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怀远县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2020—2021年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农业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保险工作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加快我县农业保险高质量发展，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助力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贫和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乡村振兴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关于加快农业保险高质量发展的指导意见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》（财金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102号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精神，结合我县实际，特制定本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  <w:t>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紧紧围绕实施乡村振兴战略和打赢脱贫攻坚战，立足深化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农业供给侧结构性改革，坚持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政府引导、市场运作、自主自愿、协同推进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的原则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加快推进政策性农险“提标、扩面、增品”，进一步发挥财政支农惠农的综合效益，健全农业保障体系，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推动农业保险高质量发展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实现补贴有效率、产业有保障、农民得实惠、机构可持续的多赢格局。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二、实施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eastAsia="zh-CN"/>
        </w:rPr>
        <w:t>（一）农业保险品种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政策性农险品种：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种植业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包括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小麦、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水稻、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玉米、大豆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，养殖业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包括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能繁母猪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育肥猪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特色</w:t>
      </w:r>
      <w:r>
        <w:rPr>
          <w:rFonts w:hint="eastAsia" w:ascii="Times New Roman" w:hAnsi="Times New Roman" w:eastAsia="仿宋_GB2312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农产品</w:t>
      </w:r>
      <w:r>
        <w:rPr>
          <w:rFonts w:hint="default" w:ascii="Times New Roman" w:hAnsi="Times New Roman" w:eastAsia="仿宋_GB2312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险品种：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根据我县特色农业发展现状，初步确定为石榴、小龙虾（精养鱼）、中药材、大棚蔬菜、大棚瓜果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54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（二）参保对象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5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农民和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新型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农业生产经营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主体。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54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（三）保额及保费标准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大宗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粮食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作物保险。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小农户（种植面积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50亩以下的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小麦每亩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保额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</w:rPr>
        <w:t>367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元、水稻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保额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</w:rPr>
        <w:t>406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元、玉米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保额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</w:rPr>
        <w:t>282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元；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新型农业经营主体（种植面积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50亩及以上的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小麦每亩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保额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</w:rPr>
        <w:t>650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元、水稻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保额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</w:rPr>
        <w:t>800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元、玉米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保额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</w:rPr>
        <w:t>550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元；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大豆不分种植面积每亩保额均为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170元。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保险费率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最高标准分别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为小麦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</w:rPr>
        <w:t>4.5%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、水稻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</w:rPr>
        <w:t>6%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、玉米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</w:rPr>
        <w:t>6%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大豆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6%，保费为相应农户品种的保额乘以相应费率，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具体根据经办保险机构中标费率确定。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生猪（育肥猪和能繁母猪）养殖保险。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能繁母猪每头保额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1500元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、育肥猪每头保额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；保险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费率最高标准分别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能繁母猪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6%、育肥猪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5%，具体根据经办保险机构中标费率确定。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3. 特色农产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</w:rPr>
        <w:t>品保险。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石榴每亩保额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1000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小龙虾（淡水鱼）每亩保额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2000元、中药材每亩保额1500元（平均）、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大棚蔬菜每亩保额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  <w:lang w:val="en-US" w:eastAsia="zh-CN"/>
        </w:rPr>
        <w:t>80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大棚瓜果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每亩保额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  <w:lang w:val="en-US" w:eastAsia="zh-CN"/>
        </w:rPr>
        <w:t>80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；保险费率最高标准为石榴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5%、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小龙虾（淡水鱼）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费率6%、中药材5%、大棚蔬菜3.5%、大棚瓜果3.5%，具体根据经办保险机构中标费率确定。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（四）保险责任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财政补贴的各类种植业险种不得设置绝对免赔，设置的起赔点（相对免赔）不得高于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20%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保险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经办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机构应通过计提大灾风险准本金、购买再保险等有效措施，防范化解巨灾风险和超赔风险，不得违规封顶赔付。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种植业包括但不限于旱涝风冻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火等各类自然灾害和病虫害等；养殖业包括但不限于主要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疾病和疫病、自然灾害（政府蓄洪除外）、意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外事故、强制扑杀等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eastAsia" w:ascii="Times New Roman" w:hAnsi="Times New Roman" w:eastAsia="楷体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shd w:val="clear" w:color="auto" w:fill="FFFFFF"/>
          <w:lang w:eastAsia="zh-CN"/>
        </w:rPr>
        <w:t>保障政策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大宗粮食作物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市级以上财政补贴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保费的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77.5%，县财政补贴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2.5%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，种植经营户承担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生猪（育肥猪和能繁母猪）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能繁母猪市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以上财政补贴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保费的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75%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县财政补贴5%，育肥猪市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以上财政补贴65%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县财政补贴15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养殖户承担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特色农产品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补贴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保费的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70%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农户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承担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30%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职责分工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zh-CN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承保机构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由经政府招标采购确定的保险公司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承办全县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政策性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农业保险工作。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县级职责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全县农业保险工作由县农业保险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领导小组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负责统一组织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，领导小组办公室（设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县财政局）负责协调保险办理事务，理赔管理办公室（设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县农业农村局）负责协调理赔事务。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（三）乡镇职责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农业保险工作在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乡镇党委、政府的领导下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，原则上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乡镇经管站具体负责各乡镇参保、征收、缴费资金划转和对账等工作。各乡镇、村要确定工作人员及其职责分工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理清工作流程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，包片包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组进村入户开展宣传、筹资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、灾情摸底、上报、理赔协调等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zh-CN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zh-CN" w:eastAsia="zh-CN"/>
        </w:rPr>
        <w:t>四、工作重点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承保管理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5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坚持投保自愿原则，严禁保险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机构以各种方式欺瞒、误导或者强制农户投保。严格执行承保公示、“见费出单”和单证发放到户制度，保险单或保险凭证应发放到户。支持保险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实行连续投保保费下浮政策，不断扩大保费下浮的险种覆盖面。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展参保主体全险种无赔款优待政策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提高主体投保积极性。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探索特定险种提前承保工作，对因农事生产特点无法在农作物可能受灾时期办理投保业务的，生产主体与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保险经办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按上一周期生产规模的一定比例签订投保意向协议，待本年度生产计划完成并通过承保机构核定后，转签正式投保合同，意向协议期内受灾的可根据约定按正式合同理赔。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zh-CN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zh-CN" w:eastAsia="zh-CN"/>
        </w:rPr>
        <w:t>（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zh-CN" w:eastAsia="zh-CN"/>
        </w:rPr>
        <w:t>二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zh-CN" w:eastAsia="zh-CN"/>
        </w:rPr>
        <w:t>）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zh-CN" w:eastAsia="zh-CN"/>
        </w:rPr>
        <w:t>保费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zh-CN" w:eastAsia="zh-CN"/>
        </w:rPr>
        <w:t>筹集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CN" w:eastAsia="zh-CN"/>
        </w:rPr>
        <w:t>财政补贴部分保费由县财政负责筹集，按照参保时间节点，将应承担部分的保费及时划转至保险经办机构。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农业保险农户缴费资金采取自行缴纳、入户征收、定点征收等多种形式。按照居民户口簿以户为单位征收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由乡镇经管站、行政村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社区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居委会开具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政策性农业保险经办机构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的保单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实行一户一票制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收取农户保费不强制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不限制，力争做到应保尽保。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筹资结束后，原则上不返还已缴纳的参保资金，对逾期不缴费的视为自愿放弃参加农业保险。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因新冠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肺炎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疫情影响，2020年午季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政策性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农业保险保费农户缴纳部分由县财政先行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垫付，将资金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调度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各乡镇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，由各乡镇与保险经办机构办理缴费事宜。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秋季农业保险保费农户缴纳部分由各乡镇按照筹集方式于2020年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日前收缴至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保险经办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。各乡镇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在筹集秋季保费时，要一并筹集午季垫付保费，并及时偿还县财政。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以后年度的保费可由各乡镇、村在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筹集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城乡居民基本医疗保险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一并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筹集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收缴。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理赔管理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保险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经办机构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严格按照政策规定，扎实做好承保理赔、查勘定损和防灾减损等各项保险服务工作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采用指数定损方式的，发生自然灾害、市场风险达到起赔标准的，保险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经办机构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可根据政府部门或事先约定的第三方机构发布的气象指数、价格指数数据，按照合同约定直接赔付。采用现场定损方式的，保险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经办机构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按照合同约定对承保主体因灾害、意外、生物疫病等造成的损失进行评估赔偿。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在与被保险人达成理赔协议后，通过银行转账、财政补贴“一卡通”等非现金方式，直接将保险赔款支付给农户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54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资金管理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54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筹资结束后，保险经办机构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编制本地承保情况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及保费情况一览表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县农业保险工作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领导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小组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审核。中央、省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、市、县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财政补贴资金按规定程序办理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特色险种的承保和财政补贴情况应在乡镇政府网站公示 7 天，公示期满无异议的，按程序办理拨付手续。各乡镇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、有关部门要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严格执行中央和省级的有关管理办法规定，规范各级财政补贴资金的使用管理，确保专款专用。如发现保险经办机构和有关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单位提供虚假材料骗取保费补贴资金的，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立即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追回相应补贴资金并视情节轻重追究责任。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工作经费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保险经办机构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  <w:t>按照年度总保费的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3.5%安排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乡镇保险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工作经费，工作经费按比例分配至各乡镇，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其中乡镇30%，村级70%，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用于保费筹集工作人员个人激励。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54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（一）加强组织领导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各乡镇和有关部门要高度重视加快农业保险高质量发展工作，加强沟通协调，形成合力，落实专人负责，共同推进农业保险工作。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（二）强化政策宣传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各乡镇和有关部门要充分利用广播、电视等新闻媒体，以及发放明白纸、悬挂横幅等形式，加大对农业保险的宣传力度，使参保农户全面了解保险政策、范围、标准、条件等相关内容，引导广大农户自愿投保，提高投保率，力争做到应保尽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（三）提升服务水平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政策性农业保险经办机构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要切实履行主体责任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做好承保理赔各项服务工作，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做到不惜赔、不拖赔，切实提高承保理赔效率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建立健全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与业务规模相适应的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基层保险服务体系，加强从业人员政策培训和素质提升，提高服务质量与水平。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  <w:t>）严格监督管理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  <w:t>在收取农户保费中，要按照确权面积和实际种植情况收取保费，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保险经办机构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  <w:t>要全程参与，做好业务指导和服务，严禁截留挪用；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县财政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县农业农村局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等相关部门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建立农业保险监督检查机制，督促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政策性农业保险承接机构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严格执行政策规定，扎实做好保险服务工作，切实增强投保农户的获得感。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ind w:firstLine="65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政策性农业保险工作流程图　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 　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政策性农业保险工作流程图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一、种植业承保流程图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种植户投保（投保分户清单签字）→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保险经办机构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审验标的→投保分户清单公示→收取保费、见费出单（对于承保面积较小的一般农户以行政村为单位集中出单，100亩以上的种植大户必须单独出单）→发放保险凭证→抽查回访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二、种植业理赔流程图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农户发生灾害后向乡镇农险服务站或村委会报案登记→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保险经办机构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受理报案→现场勘查→损失认定→查勘定损结果公示→公示无异议后由乡镇农险服务站制作到户赔付清册→上传至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保险经办机构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审核→审核无误后导入系统→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保险经办机构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打印清单交受益农户签字、公示→公示无异议后制作赔案→核赔→通过财政一卡通系统支付赔款→抽查回防→归档。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三、养殖业承保流程图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养殖户投保（投保分户清单签字）→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保险经办机构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审验标的→收取自缴保费→制作承保清单→出单→发放保险凭证→抽查回访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四、养殖业理赔流程图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　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　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420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养殖户受灾后向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保险经办机构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报案→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保险经办机构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受理报案→现场勘查、定损→理算制作、核赔→打卡赔付→抽查回访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</w:p>
    <w:sectPr>
      <w:headerReference r:id="rId3" w:type="default"/>
      <w:footerReference r:id="rId4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AndChars" w:linePitch="597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5251450</wp:posOffset>
              </wp:positionH>
              <wp:positionV relativeFrom="paragraph">
                <wp:posOffset>-85725</wp:posOffset>
              </wp:positionV>
              <wp:extent cx="481330" cy="2317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33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5pt;margin-top:-6.75pt;height:18.25pt;width:37.9pt;mso-position-horizontal-relative:margin;z-index:251658240;mso-width-relative:page;mso-height-relative:page;" filled="f" stroked="f" coordsize="21600,21600" o:gfxdata="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lNZY12QAAAAoB&#10;AAAPAAAAAAAAAAEAIAAAACIAAABkcnMvZG93bnJldi54bWxQSwECFAAUAAAACACHTuJAkVmBzB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283DC0"/>
    <w:multiLevelType w:val="singleLevel"/>
    <w:tmpl w:val="EF283D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9BFF550"/>
    <w:multiLevelType w:val="singleLevel"/>
    <w:tmpl w:val="49BFF55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E43B3CC"/>
    <w:multiLevelType w:val="singleLevel"/>
    <w:tmpl w:val="5E43B3C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DAD1176"/>
    <w:multiLevelType w:val="singleLevel"/>
    <w:tmpl w:val="7DAD1176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HorizontalSpacing w:val="164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0C52D8"/>
    <w:rsid w:val="051E3869"/>
    <w:rsid w:val="08F037C6"/>
    <w:rsid w:val="09F343DF"/>
    <w:rsid w:val="0ED81621"/>
    <w:rsid w:val="0F6C31DF"/>
    <w:rsid w:val="0FF20E4D"/>
    <w:rsid w:val="1022555F"/>
    <w:rsid w:val="123E76D0"/>
    <w:rsid w:val="128E33E5"/>
    <w:rsid w:val="15FD31C4"/>
    <w:rsid w:val="182513C5"/>
    <w:rsid w:val="196F1756"/>
    <w:rsid w:val="1E5F05A1"/>
    <w:rsid w:val="21B733A0"/>
    <w:rsid w:val="228D1C6A"/>
    <w:rsid w:val="24A73DDA"/>
    <w:rsid w:val="24D55175"/>
    <w:rsid w:val="262F3079"/>
    <w:rsid w:val="2AD67A21"/>
    <w:rsid w:val="2B775FB3"/>
    <w:rsid w:val="2B993A83"/>
    <w:rsid w:val="2C432C4E"/>
    <w:rsid w:val="2C894427"/>
    <w:rsid w:val="2DD50C34"/>
    <w:rsid w:val="2F672DE6"/>
    <w:rsid w:val="31C40139"/>
    <w:rsid w:val="32E717C7"/>
    <w:rsid w:val="396C45AB"/>
    <w:rsid w:val="3D277E02"/>
    <w:rsid w:val="3FC1626C"/>
    <w:rsid w:val="42EC5873"/>
    <w:rsid w:val="4672406C"/>
    <w:rsid w:val="4D3A2FBA"/>
    <w:rsid w:val="4F3D1CBC"/>
    <w:rsid w:val="56677184"/>
    <w:rsid w:val="597D2404"/>
    <w:rsid w:val="5E424561"/>
    <w:rsid w:val="63470028"/>
    <w:rsid w:val="653A3D96"/>
    <w:rsid w:val="6E55529A"/>
    <w:rsid w:val="733B49A9"/>
    <w:rsid w:val="737B5C3D"/>
    <w:rsid w:val="797D553A"/>
    <w:rsid w:val="7DF7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2020-03-31T02:08:00Z</dcterms:created>
  <dc:creator>Administrator.USER-20191024DM</dc:creator>
  <cp:lastModifiedBy>清风</cp:lastModifiedBy>
  <dcterms:modified xsi:type="dcterms:W3CDTF">2020-05-18T03:20:34Z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