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418"/>
        </w:tabs>
        <w:spacing w:line="360" w:lineRule="auto"/>
        <w:rPr>
          <w:rFonts w:ascii="方正小标宋简体" w:eastAsia="方正小标宋简体"/>
          <w:b w:val="0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z w:val="44"/>
        </w:rPr>
        <w:t>项目采购需求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一、项目概况：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1、 根据安徽省文化和旅游厅 安徽省财政厅《关于 2021 年采取政府购买服务方式开展“送戏进万村”活动的通知》（皖文旅发［2020］156号）和蚌埠市文化和旅游局《关于组织开展 2021 年“送戏进万村”演出活动的通知》文件要求，结合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国家公共文化服务体系示范区及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我县实际，怀远县文化和旅游局对2021年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第二批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“送戏进万村”项目采取对外公开招标方式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原则上选取十家演艺团队。（地点怀远县内）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2、服务范围：怀远县2021年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第二批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“送戏进万村”活动项目（本项目从投标单位中按照评分由高到低最终选取十家演出入围单位，如经评审入围单位不足十家，则剩余场次平均分配给已入围单位，若无法平均分配的场次，按照评分由高到低依次分配完为止），具体演出的时间与地点由发包人通知为准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3、本项目场次划分如下：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第一名：76场；第二名：74场；第三名：72场；第四名：70场；第五名：68场；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第六名：66场；第七名：64场；第八名：62场；第九名：58场；第十名：56场。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共选取十家演出单位，共计666场每场2200元，服务期为2021年度，具体服务期以合同约定时间为准。</w:t>
      </w:r>
    </w:p>
    <w:p>
      <w:pPr>
        <w:pStyle w:val="2"/>
        <w:numPr>
          <w:ilvl w:val="0"/>
          <w:numId w:val="0"/>
        </w:numPr>
        <w:ind w:leftChars="0" w:firstLine="240" w:firstLineChars="100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4、投标单位条件：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240" w:firstLineChars="1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领取《营业性演出许可证》2 年以上（含 2 年）的国有、民营文艺表演团体，有良好的演出业绩，无违法违规经营行为记录（提供供应商所在地县级及以上文化行政主管部门出具的2019年1月1日以来无违法违规经营行为记录证明）；具有一定规模，演出器材齐备，固定演职人员不少于 20人（其中专业艺术院校毕业或艺术类专业技术职称的演员占比不少于10%），有符合蚌埠地区创新现实题材优秀剧目和非遗传统戏曲作品。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二、服务需求;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1、要坚持弘扬中国特色社会主义文化，宣传贯彻十九大精神，展示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国家公共文化服务体系示范区建设、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美丽乡村建设、乡村振兴、脱贫攻坚成果，宣传疫情防控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期间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优秀典型人物事迹。演出剧（节）目应结合农村实际、适应农民需求、展现乡土特色、内容健康向上、形式丰富多样、农民喜闻乐见。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  2、每场演出时长不少于100分钟。戏曲专场可演出整本大戏或3—5个小戏、折子戏，综艺演出不少于15个节目（投标文件中需提供节目单）；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  3、演出服务单位应具有一定规模,演职人员不少于20人（其中专业艺术院校毕业或艺术类专业技术职称的演员占比不少于10%）；可演剧（节）目不少于15个；演出服务单位管理有序、队伍稳定、服务态度好，没有不良记录。具备流动舞台车、音响、全彩屏背景、灯光、布景、字幕等齐备的演出器材和设备，车辆手续合法齐全。其中流动舞台车展开面积不少于30平方米，背景统一制作标识内容为：安徽省文化惠民工程.怀远县送戏进万村活动；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  4、按省文化和旅游厅、财政厅文件精神要求，为保护传承优秀传统戏曲艺术，鼓励戏曲专场演出梆子戏或泗州戏等怀远群众喜爱的传统戏曲剧种、鼓励本地新创现实题材优秀剧目和本地非遗项目传统戏曲作品；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  5、团队精神强，演出队伍稳定，艺术水准高，弘扬社会正能量，服务态度好；</w:t>
      </w:r>
    </w:p>
    <w:p>
      <w:pPr>
        <w:adjustRightInd w:val="0"/>
        <w:snapToGrid w:val="0"/>
        <w:spacing w:line="300" w:lineRule="exact"/>
        <w:ind w:firstLine="240" w:firstLineChars="1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6、送戏下乡演出时要录制留存现场演出视频，具体要求如下：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完整演出视频（整台节目在不同行政村重复演出的，只需录制1个完整视频即可，不需要重复录制）、每场演出均要录制3个1分钟左右的短视频（1个全景视频，演出中间视频1个，观众场景视频1个）。</w:t>
      </w:r>
    </w:p>
    <w:p>
      <w:pPr>
        <w:adjustRightInd w:val="0"/>
        <w:snapToGrid w:val="0"/>
        <w:spacing w:line="300" w:lineRule="exac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   7、中标演出团体要完成所分配乡镇所有行政村演出任务，具体演出时间按合同约定，演出团队必须无条件服从。</w:t>
      </w:r>
    </w:p>
    <w:p>
      <w:pPr>
        <w:adjustRightInd w:val="0"/>
        <w:snapToGrid w:val="0"/>
        <w:spacing w:line="300" w:lineRule="exact"/>
        <w:rPr>
          <w:rFonts w:ascii="仿宋" w:hAnsi="仿宋" w:eastAsia="仿宋"/>
          <w:b w:val="0"/>
          <w:b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8、中标单位要严格履行采购合同，不得擅自变更确定的节目内容，严禁服务转包或变相转包行为。对擅自变更节目内容或服务转包、变相转包的中标单位，一经发现立即终止合同，以后不得再参加此类公开招标。</w:t>
      </w:r>
    </w:p>
    <w:p>
      <w:pPr>
        <w:pStyle w:val="2"/>
        <w:ind w:firstLine="64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2E2E57"/>
    <w:rsid w:val="00076013"/>
    <w:rsid w:val="001C4086"/>
    <w:rsid w:val="00221ACC"/>
    <w:rsid w:val="00381428"/>
    <w:rsid w:val="00393E12"/>
    <w:rsid w:val="00426ECE"/>
    <w:rsid w:val="006D78FE"/>
    <w:rsid w:val="00887865"/>
    <w:rsid w:val="008B7A31"/>
    <w:rsid w:val="009C6AC7"/>
    <w:rsid w:val="00BA43B9"/>
    <w:rsid w:val="00D94542"/>
    <w:rsid w:val="00EA7450"/>
    <w:rsid w:val="00EC0DF4"/>
    <w:rsid w:val="00F775D1"/>
    <w:rsid w:val="01283724"/>
    <w:rsid w:val="023C23AE"/>
    <w:rsid w:val="02B77BBD"/>
    <w:rsid w:val="03036611"/>
    <w:rsid w:val="03286B96"/>
    <w:rsid w:val="05132B63"/>
    <w:rsid w:val="05B51A71"/>
    <w:rsid w:val="06472204"/>
    <w:rsid w:val="066452D1"/>
    <w:rsid w:val="08CB1984"/>
    <w:rsid w:val="08CD37DF"/>
    <w:rsid w:val="08D846B1"/>
    <w:rsid w:val="10007E48"/>
    <w:rsid w:val="10115687"/>
    <w:rsid w:val="1032175F"/>
    <w:rsid w:val="115D10C1"/>
    <w:rsid w:val="11A34035"/>
    <w:rsid w:val="11DA5174"/>
    <w:rsid w:val="124F485C"/>
    <w:rsid w:val="14BA4A19"/>
    <w:rsid w:val="14F3073E"/>
    <w:rsid w:val="188B17FF"/>
    <w:rsid w:val="19342D03"/>
    <w:rsid w:val="19BF5A2C"/>
    <w:rsid w:val="1BA04CCE"/>
    <w:rsid w:val="1BD12EAF"/>
    <w:rsid w:val="1E5F3CF8"/>
    <w:rsid w:val="1F4324D3"/>
    <w:rsid w:val="1FF93BB4"/>
    <w:rsid w:val="20076A56"/>
    <w:rsid w:val="21D96E6E"/>
    <w:rsid w:val="22707FE6"/>
    <w:rsid w:val="231447B4"/>
    <w:rsid w:val="2375347E"/>
    <w:rsid w:val="239D34CA"/>
    <w:rsid w:val="23B81D49"/>
    <w:rsid w:val="249E5995"/>
    <w:rsid w:val="24E350E8"/>
    <w:rsid w:val="251A4994"/>
    <w:rsid w:val="26C44DE0"/>
    <w:rsid w:val="2AB53662"/>
    <w:rsid w:val="2B4A2FD3"/>
    <w:rsid w:val="2E005C39"/>
    <w:rsid w:val="302E4FAF"/>
    <w:rsid w:val="31841833"/>
    <w:rsid w:val="318428D9"/>
    <w:rsid w:val="32185244"/>
    <w:rsid w:val="329962FF"/>
    <w:rsid w:val="32F4198A"/>
    <w:rsid w:val="33B41DED"/>
    <w:rsid w:val="359A47EE"/>
    <w:rsid w:val="35F333A9"/>
    <w:rsid w:val="377B3151"/>
    <w:rsid w:val="37C53CE2"/>
    <w:rsid w:val="388A6743"/>
    <w:rsid w:val="3A8A7664"/>
    <w:rsid w:val="3AA342D2"/>
    <w:rsid w:val="3ACD35E7"/>
    <w:rsid w:val="3B492C90"/>
    <w:rsid w:val="3CB14655"/>
    <w:rsid w:val="3CBC479B"/>
    <w:rsid w:val="3CD92035"/>
    <w:rsid w:val="3D582BBE"/>
    <w:rsid w:val="3DFB0C33"/>
    <w:rsid w:val="404766A7"/>
    <w:rsid w:val="40C604D1"/>
    <w:rsid w:val="418D55E3"/>
    <w:rsid w:val="41B812C1"/>
    <w:rsid w:val="422E376E"/>
    <w:rsid w:val="42957210"/>
    <w:rsid w:val="43647670"/>
    <w:rsid w:val="446A661C"/>
    <w:rsid w:val="45A25168"/>
    <w:rsid w:val="466F394C"/>
    <w:rsid w:val="469D02AC"/>
    <w:rsid w:val="47C70654"/>
    <w:rsid w:val="4AB10130"/>
    <w:rsid w:val="4AFB412E"/>
    <w:rsid w:val="4C903365"/>
    <w:rsid w:val="4CA65B0B"/>
    <w:rsid w:val="4D904BA8"/>
    <w:rsid w:val="502D1DBB"/>
    <w:rsid w:val="520D4CE1"/>
    <w:rsid w:val="52FB5ADF"/>
    <w:rsid w:val="535E7435"/>
    <w:rsid w:val="53FD5A22"/>
    <w:rsid w:val="541E424A"/>
    <w:rsid w:val="54677833"/>
    <w:rsid w:val="54E427EE"/>
    <w:rsid w:val="55AB4F55"/>
    <w:rsid w:val="55E5682A"/>
    <w:rsid w:val="567011B9"/>
    <w:rsid w:val="57762863"/>
    <w:rsid w:val="591E2CF9"/>
    <w:rsid w:val="5A2E2E57"/>
    <w:rsid w:val="5B01633E"/>
    <w:rsid w:val="5BDD574A"/>
    <w:rsid w:val="5C352868"/>
    <w:rsid w:val="5D150D0B"/>
    <w:rsid w:val="5D966667"/>
    <w:rsid w:val="5E25797E"/>
    <w:rsid w:val="5E9E78C4"/>
    <w:rsid w:val="5F8C1BA0"/>
    <w:rsid w:val="603418FF"/>
    <w:rsid w:val="606151FB"/>
    <w:rsid w:val="60DB1367"/>
    <w:rsid w:val="62B44C9C"/>
    <w:rsid w:val="62E276C4"/>
    <w:rsid w:val="64D20E1C"/>
    <w:rsid w:val="64ED5A5F"/>
    <w:rsid w:val="659F330F"/>
    <w:rsid w:val="66263676"/>
    <w:rsid w:val="681061D1"/>
    <w:rsid w:val="693A0549"/>
    <w:rsid w:val="69CB7A7B"/>
    <w:rsid w:val="6AB40BA9"/>
    <w:rsid w:val="6AD7421E"/>
    <w:rsid w:val="6B0A7795"/>
    <w:rsid w:val="6D1C2929"/>
    <w:rsid w:val="6FC46A55"/>
    <w:rsid w:val="70DC3F64"/>
    <w:rsid w:val="714B3337"/>
    <w:rsid w:val="721E0E55"/>
    <w:rsid w:val="72470CA3"/>
    <w:rsid w:val="732903A7"/>
    <w:rsid w:val="74070EE0"/>
    <w:rsid w:val="744026DE"/>
    <w:rsid w:val="75853310"/>
    <w:rsid w:val="75D65413"/>
    <w:rsid w:val="7655679C"/>
    <w:rsid w:val="766414AF"/>
    <w:rsid w:val="772C7C44"/>
    <w:rsid w:val="773201FF"/>
    <w:rsid w:val="7A934197"/>
    <w:rsid w:val="7AFB42DB"/>
    <w:rsid w:val="7CE526E1"/>
    <w:rsid w:val="7D395F29"/>
    <w:rsid w:val="7E0E7000"/>
    <w:rsid w:val="7F6A36EB"/>
    <w:rsid w:val="7FA80802"/>
    <w:rsid w:val="7FA94BD1"/>
    <w:rsid w:val="7FBA3B47"/>
    <w:rsid w:val="7FBC3830"/>
    <w:rsid w:val="7F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8">
    <w:name w:val="heading 1"/>
    <w:basedOn w:val="1"/>
    <w:next w:val="1"/>
    <w:link w:val="22"/>
    <w:qFormat/>
    <w:uiPriority w:val="0"/>
    <w:pPr>
      <w:keepNext/>
      <w:keepLines/>
      <w:spacing w:before="100" w:after="90" w:line="578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9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paragraph" w:styleId="10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0"/>
      <w:szCs w:val="32"/>
    </w:rPr>
  </w:style>
  <w:style w:type="paragraph" w:styleId="11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3"/>
    </w:pPr>
    <w:rPr>
      <w:rFonts w:ascii="Arial" w:hAnsi="Arial"/>
      <w:sz w:val="3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5"/>
    <w:qFormat/>
    <w:uiPriority w:val="0"/>
    <w:pPr>
      <w:snapToGrid w:val="0"/>
    </w:pPr>
    <w:rPr>
      <w:rFonts w:ascii="Arial" w:hAnsi="Arial"/>
    </w:rPr>
  </w:style>
  <w:style w:type="paragraph" w:customStyle="1" w:styleId="5">
    <w:name w:val="正文_2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模板普通正文"/>
    <w:basedOn w:val="7"/>
    <w:qFormat/>
    <w:uiPriority w:val="0"/>
    <w:pPr>
      <w:spacing w:beforeLines="50" w:after="10"/>
      <w:ind w:firstLine="490" w:firstLineChars="175"/>
      <w:jc w:val="left"/>
    </w:pPr>
  </w:style>
  <w:style w:type="paragraph" w:customStyle="1" w:styleId="7">
    <w:name w:val="正文文本缩进_0"/>
    <w:basedOn w:val="5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12">
    <w:name w:val="Normal Indent"/>
    <w:basedOn w:val="1"/>
    <w:qFormat/>
    <w:uiPriority w:val="0"/>
    <w:pPr>
      <w:snapToGrid w:val="0"/>
      <w:spacing w:line="440" w:lineRule="exact"/>
      <w:ind w:left="-21"/>
      <w:jc w:val="left"/>
    </w:pPr>
    <w:rPr>
      <w:rFonts w:ascii="Arial" w:hAnsi="Arial"/>
      <w:b/>
      <w:color w:val="000000"/>
      <w:sz w:val="28"/>
      <w:szCs w:val="28"/>
    </w:rPr>
  </w:style>
  <w:style w:type="paragraph" w:styleId="13">
    <w:name w:val="Body Text"/>
    <w:basedOn w:val="1"/>
    <w:qFormat/>
    <w:uiPriority w:val="0"/>
    <w:rPr>
      <w:rFonts w:ascii="宋体" w:hAnsi="Arial"/>
      <w:sz w:val="28"/>
      <w:szCs w:val="22"/>
    </w:rPr>
  </w:style>
  <w:style w:type="paragraph" w:styleId="1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Body Text First Indent"/>
    <w:basedOn w:val="13"/>
    <w:qFormat/>
    <w:uiPriority w:val="0"/>
    <w:pPr>
      <w:ind w:firstLine="420" w:firstLineChars="100"/>
    </w:pPr>
    <w:rPr>
      <w:sz w:val="18"/>
      <w:szCs w:val="18"/>
    </w:rPr>
  </w:style>
  <w:style w:type="character" w:customStyle="1" w:styleId="21">
    <w:name w:val="标题 2 Char"/>
    <w:basedOn w:val="20"/>
    <w:link w:val="9"/>
    <w:qFormat/>
    <w:uiPriority w:val="99"/>
    <w:rPr>
      <w:rFonts w:ascii="Arial" w:hAnsi="Arial" w:eastAsia="宋体" w:cs="Times New Roman"/>
      <w:b/>
      <w:bCs/>
      <w:sz w:val="36"/>
      <w:szCs w:val="32"/>
    </w:rPr>
  </w:style>
  <w:style w:type="character" w:customStyle="1" w:styleId="22">
    <w:name w:val="标题 1 Char"/>
    <w:basedOn w:val="20"/>
    <w:link w:val="8"/>
    <w:qFormat/>
    <w:uiPriority w:val="9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3">
    <w:name w:val="页眉 Char"/>
    <w:basedOn w:val="20"/>
    <w:link w:val="1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页脚 Char"/>
    <w:basedOn w:val="20"/>
    <w:link w:val="14"/>
    <w:qFormat/>
    <w:uiPriority w:val="0"/>
    <w:rPr>
      <w:rFonts w:ascii="Calibri" w:hAnsi="Calibri"/>
      <w:kern w:val="2"/>
      <w:sz w:val="18"/>
      <w:szCs w:val="18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szCs w:val="22"/>
      <w:lang w:val="zh-CN" w:bidi="zh-CN"/>
    </w:rPr>
  </w:style>
  <w:style w:type="character" w:customStyle="1" w:styleId="27">
    <w:name w:val="font8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lei.txt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  <w:textAlignment w:val="center"/>
    </w:pPr>
    <w:rPr>
      <w:rFonts w:ascii="宋体" w:hAnsi="宋体" w:cs="宋体"/>
      <w:kern w:val="0"/>
      <w:sz w:val="24"/>
      <w:lang w:val="zh-CN" w:bidi="zh-CN"/>
    </w:rPr>
  </w:style>
  <w:style w:type="paragraph" w:customStyle="1" w:styleId="29">
    <w:name w:val="lei.text"/>
    <w:qFormat/>
    <w:uiPriority w:val="0"/>
    <w:pPr>
      <w:spacing w:line="360" w:lineRule="exact"/>
      <w:ind w:firstLine="200" w:firstLineChars="200"/>
    </w:pPr>
    <w:rPr>
      <w:rFonts w:ascii="宋体" w:hAnsi="Tahoma" w:eastAsia="宋体" w:cs="Times New Roman"/>
      <w:sz w:val="24"/>
      <w:lang w:val="en-US" w:eastAsia="zh-CN" w:bidi="ar-SA"/>
    </w:rPr>
  </w:style>
  <w:style w:type="paragraph" w:customStyle="1" w:styleId="30">
    <w:name w:val="lei.header2"/>
    <w:next w:val="1"/>
    <w:qFormat/>
    <w:uiPriority w:val="0"/>
    <w:pPr>
      <w:snapToGrid w:val="0"/>
      <w:spacing w:beforeLines="50" w:afterLines="50"/>
      <w:ind w:firstLine="200" w:firstLineChars="200"/>
      <w:outlineLvl w:val="1"/>
    </w:pPr>
    <w:rPr>
      <w:rFonts w:ascii="宋体" w:hAnsi="Tahoma" w:eastAsia="宋体" w:cs="Times New Roman"/>
      <w:b/>
      <w:sz w:val="24"/>
      <w:lang w:val="en-US" w:eastAsia="zh-CN" w:bidi="ar-SA"/>
    </w:rPr>
  </w:style>
  <w:style w:type="paragraph" w:styleId="31">
    <w:name w:val="List Paragraph"/>
    <w:basedOn w:val="1"/>
    <w:qFormat/>
    <w:uiPriority w:val="1"/>
    <w:pPr>
      <w:autoSpaceDE w:val="0"/>
      <w:autoSpaceDN w:val="0"/>
      <w:spacing w:before="161"/>
      <w:ind w:left="1105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2020-01-02T02:06:00Z</dcterms:created>
  <dc:creator>大鹏</dc:creator>
  <cp:lastModifiedBy>尛米</cp:lastModifiedBy>
  <cp:lastPrinted>2021-07-19T09:37:00Z</cp:lastPrinted>
  <dcterms:modified xsi:type="dcterms:W3CDTF">2021-09-02T06:51:55Z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DE86F753DA2A4867A15FB7EE03A3FCF1</vt:lpwstr>
  </property>
</Properties>
</file>