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dp" ContentType="image/vnd.ms-photo"/>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jc w:val="both"/>
        <w:rPr>
          <w:rFonts w:ascii="方正小标宋_GBK" w:eastAsia="方正小标宋_GBK"/>
          <w:bCs/>
          <w:sz w:val="64"/>
          <w:szCs w:val="64"/>
        </w:rPr>
      </w:pPr>
      <w:bookmarkStart w:id="0" w:name="_Hlk97652554"/>
      <w:bookmarkEnd w:id="0"/>
      <w:bookmarkStart w:id="1" w:name="_Toc338633792"/>
    </w:p>
    <w:p>
      <w:pPr>
        <w:adjustRightInd w:val="0"/>
        <w:snapToGrid w:val="0"/>
        <w:jc w:val="center"/>
        <w:rPr>
          <w:rFonts w:hint="eastAsia" w:ascii="方正小标宋_GBK" w:eastAsia="方正小标宋_GBK"/>
          <w:bCs/>
          <w:sz w:val="56"/>
          <w:szCs w:val="56"/>
          <w:lang w:val="en-US" w:eastAsia="zh-CN"/>
        </w:rPr>
      </w:pPr>
      <w:r>
        <w:rPr>
          <w:rFonts w:hint="eastAsia" w:ascii="方正小标宋_GBK" w:eastAsia="方正小标宋_GBK"/>
          <w:bCs/>
          <w:sz w:val="56"/>
          <w:szCs w:val="56"/>
          <w:lang w:val="en-US" w:eastAsia="zh-CN"/>
        </w:rPr>
        <w:t>S311怀远包集至蚌埠民用机场一级公路工程</w:t>
      </w:r>
    </w:p>
    <w:p>
      <w:pPr>
        <w:adjustRightInd w:val="0"/>
        <w:snapToGrid w:val="0"/>
        <w:jc w:val="center"/>
        <w:outlineLvl w:val="0"/>
        <w:rPr>
          <w:rFonts w:hint="default" w:ascii="方正小标宋_GBK" w:eastAsia="方正小标宋_GBK"/>
          <w:bCs/>
          <w:sz w:val="72"/>
          <w:szCs w:val="72"/>
          <w:lang w:val="en-US" w:eastAsia="zh-CN"/>
        </w:rPr>
      </w:pPr>
      <w:bookmarkStart w:id="2" w:name="_Toc5966"/>
      <w:bookmarkStart w:id="3" w:name="_Toc25452"/>
      <w:bookmarkStart w:id="4" w:name="_Toc22622"/>
      <w:r>
        <w:rPr>
          <w:rFonts w:hint="eastAsia" w:ascii="方正小标宋_GBK" w:eastAsia="方正小标宋_GBK"/>
          <w:bCs/>
          <w:sz w:val="72"/>
          <w:szCs w:val="72"/>
          <w:lang w:val="en-US" w:eastAsia="zh-CN"/>
        </w:rPr>
        <w:t>环境影响报告书</w:t>
      </w:r>
      <w:bookmarkEnd w:id="2"/>
      <w:bookmarkEnd w:id="3"/>
      <w:bookmarkEnd w:id="4"/>
    </w:p>
    <w:p>
      <w:pPr>
        <w:adjustRightInd w:val="0"/>
        <w:snapToGrid w:val="0"/>
        <w:spacing w:before="249" w:beforeLines="80"/>
        <w:jc w:val="center"/>
        <w:rPr>
          <w:rFonts w:ascii="楷体_GB2312" w:eastAsia="楷体_GB2312"/>
          <w:bCs/>
          <w:sz w:val="44"/>
          <w:szCs w:val="44"/>
        </w:rPr>
      </w:pPr>
      <w:r>
        <w:rPr>
          <w:rFonts w:hint="eastAsia" w:ascii="楷体_GB2312" w:eastAsia="楷体_GB2312"/>
          <w:bCs/>
          <w:sz w:val="44"/>
          <w:szCs w:val="44"/>
        </w:rPr>
        <w:t>（</w:t>
      </w:r>
      <w:r>
        <w:rPr>
          <w:rFonts w:hint="eastAsia" w:ascii="楷体_GB2312" w:eastAsia="楷体_GB2312"/>
          <w:bCs/>
          <w:sz w:val="44"/>
          <w:szCs w:val="44"/>
          <w:lang w:val="en-US" w:eastAsia="zh-CN"/>
        </w:rPr>
        <w:t>送审稿</w:t>
      </w:r>
      <w:r>
        <w:rPr>
          <w:rFonts w:hint="eastAsia" w:ascii="楷体_GB2312" w:eastAsia="楷体_GB2312"/>
          <w:bCs/>
          <w:sz w:val="44"/>
          <w:szCs w:val="44"/>
        </w:rPr>
        <w:t>）</w:t>
      </w: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left="0" w:leftChars="0" w:firstLine="1260" w:firstLineChars="0"/>
        <w:jc w:val="left"/>
        <w:outlineLvl w:val="0"/>
        <w:rPr>
          <w:rFonts w:hint="eastAsia" w:ascii="仿宋_GB2312" w:eastAsia="仿宋_GB2312"/>
          <w:b/>
          <w:bCs/>
          <w:sz w:val="32"/>
          <w:szCs w:val="32"/>
          <w:u w:val="none"/>
        </w:rPr>
      </w:pPr>
      <w:bookmarkStart w:id="5" w:name="_Toc31238"/>
      <w:bookmarkStart w:id="6" w:name="_Toc4806"/>
      <w:bookmarkStart w:id="7" w:name="_Toc8747"/>
      <w:r>
        <w:rPr>
          <w:rFonts w:hint="eastAsia" w:ascii="仿宋_GB2312" w:eastAsia="仿宋_GB2312"/>
          <w:b/>
          <w:bCs/>
          <w:sz w:val="32"/>
          <w:szCs w:val="32"/>
          <w:u w:val="none"/>
          <w:lang w:val="en-US" w:eastAsia="zh-CN"/>
        </w:rPr>
        <w:t>建设单位</w:t>
      </w:r>
      <w:r>
        <w:rPr>
          <w:rFonts w:hint="eastAsia" w:ascii="仿宋_GB2312" w:eastAsia="仿宋_GB2312"/>
          <w:b/>
          <w:bCs/>
          <w:sz w:val="32"/>
          <w:szCs w:val="32"/>
          <w:u w:val="none"/>
        </w:rPr>
        <w:t>：</w:t>
      </w:r>
      <w:r>
        <w:rPr>
          <w:rFonts w:hint="eastAsia" w:ascii="仿宋_GB2312" w:eastAsia="仿宋_GB2312"/>
          <w:b/>
          <w:bCs/>
          <w:sz w:val="32"/>
          <w:szCs w:val="32"/>
          <w:u w:val="none"/>
          <w:lang w:val="en-US" w:eastAsia="zh-CN"/>
        </w:rPr>
        <w:t>蚌埠市公路管理服务中心</w:t>
      </w:r>
      <w:bookmarkEnd w:id="5"/>
      <w:bookmarkEnd w:id="6"/>
      <w:bookmarkEnd w:id="7"/>
      <w:r>
        <w:rPr>
          <w:rFonts w:hint="eastAsia" w:ascii="仿宋_GB2312" w:eastAsia="仿宋_GB2312"/>
          <w:b/>
          <w:bCs/>
          <w:sz w:val="32"/>
          <w:szCs w:val="32"/>
          <w:u w:val="none"/>
        </w:rPr>
        <w:t xml:space="preserve"> </w:t>
      </w:r>
    </w:p>
    <w:p>
      <w:pPr>
        <w:adjustRightInd w:val="0"/>
        <w:snapToGrid w:val="0"/>
        <w:spacing w:line="288" w:lineRule="auto"/>
        <w:ind w:left="0" w:leftChars="0" w:firstLine="1260" w:firstLineChars="0"/>
        <w:jc w:val="left"/>
        <w:outlineLvl w:val="0"/>
        <w:rPr>
          <w:rFonts w:hint="eastAsia" w:ascii="仿宋_GB2312" w:eastAsia="仿宋_GB2312"/>
          <w:b/>
          <w:bCs/>
          <w:sz w:val="32"/>
          <w:szCs w:val="32"/>
          <w:u w:val="none"/>
        </w:rPr>
      </w:pPr>
      <w:bookmarkStart w:id="8" w:name="_Toc7141"/>
      <w:bookmarkStart w:id="9" w:name="_Toc4949"/>
      <w:bookmarkStart w:id="10" w:name="_Toc1989"/>
      <w:r>
        <w:rPr>
          <w:rFonts w:hint="eastAsia" w:ascii="仿宋_GB2312" w:eastAsia="仿宋_GB2312"/>
          <w:b/>
          <w:bCs/>
          <w:sz w:val="32"/>
          <w:szCs w:val="32"/>
          <w:u w:val="none"/>
          <w:lang w:val="en-US" w:eastAsia="zh-CN"/>
        </w:rPr>
        <w:t>编制单位</w:t>
      </w:r>
      <w:r>
        <w:rPr>
          <w:rFonts w:hint="eastAsia" w:ascii="仿宋_GB2312" w:eastAsia="仿宋_GB2312"/>
          <w:b/>
          <w:bCs/>
          <w:sz w:val="32"/>
          <w:szCs w:val="32"/>
          <w:u w:val="none"/>
        </w:rPr>
        <w:t>：</w:t>
      </w:r>
      <w:r>
        <w:rPr>
          <w:rFonts w:hint="eastAsia" w:ascii="仿宋_GB2312" w:eastAsia="仿宋_GB2312"/>
          <w:b/>
          <w:bCs/>
          <w:sz w:val="32"/>
          <w:szCs w:val="32"/>
          <w:u w:val="none"/>
          <w:lang w:val="en-US" w:eastAsia="zh-CN"/>
        </w:rPr>
        <w:t>安徽长之源环境工程有限公司</w:t>
      </w:r>
      <w:bookmarkEnd w:id="8"/>
      <w:bookmarkEnd w:id="9"/>
      <w:bookmarkEnd w:id="10"/>
      <w:r>
        <w:rPr>
          <w:rFonts w:hint="eastAsia" w:ascii="仿宋_GB2312" w:eastAsia="仿宋_GB2312"/>
          <w:b/>
          <w:bCs/>
          <w:sz w:val="32"/>
          <w:szCs w:val="32"/>
          <w:u w:val="none"/>
        </w:rPr>
        <w:t xml:space="preserve">  </w:t>
      </w:r>
    </w:p>
    <w:p>
      <w:pPr>
        <w:adjustRightInd w:val="0"/>
        <w:snapToGrid w:val="0"/>
        <w:spacing w:line="288" w:lineRule="auto"/>
        <w:ind w:left="0" w:leftChars="0" w:firstLine="1260" w:firstLineChars="0"/>
        <w:jc w:val="left"/>
        <w:rPr>
          <w:rFonts w:hint="default" w:ascii="仿宋_GB2312" w:eastAsia="仿宋_GB2312"/>
          <w:b/>
          <w:bCs/>
          <w:sz w:val="32"/>
          <w:szCs w:val="32"/>
          <w:u w:val="none"/>
          <w:lang w:val="en-US" w:eastAsia="zh-CN"/>
        </w:rPr>
      </w:pPr>
      <w:r>
        <w:rPr>
          <w:rFonts w:hint="eastAsia" w:ascii="仿宋_GB2312" w:eastAsia="仿宋_GB2312"/>
          <w:b/>
          <w:bCs/>
          <w:sz w:val="32"/>
          <w:szCs w:val="32"/>
          <w:u w:val="none"/>
          <w:lang w:val="en-US" w:eastAsia="zh-CN"/>
        </w:rPr>
        <w:t>编制日期：</w:t>
      </w:r>
      <w:r>
        <w:rPr>
          <w:rFonts w:hint="default" w:ascii="Times New Roman" w:hAnsi="Times New Roman" w:eastAsia="仿宋_GB2312" w:cs="Times New Roman"/>
          <w:b/>
          <w:bCs/>
          <w:sz w:val="32"/>
          <w:szCs w:val="32"/>
          <w:u w:val="none"/>
          <w:lang w:val="en-US" w:eastAsia="zh-CN"/>
        </w:rPr>
        <w:t>2022年1</w:t>
      </w:r>
      <w:r>
        <w:rPr>
          <w:rFonts w:hint="eastAsia" w:ascii="Times New Roman" w:hAnsi="Times New Roman" w:eastAsia="仿宋_GB2312" w:cs="Times New Roman"/>
          <w:b/>
          <w:bCs/>
          <w:sz w:val="32"/>
          <w:szCs w:val="32"/>
          <w:u w:val="none"/>
          <w:lang w:val="en-US" w:eastAsia="zh-CN"/>
        </w:rPr>
        <w:t>1</w:t>
      </w:r>
      <w:r>
        <w:rPr>
          <w:rFonts w:hint="default" w:ascii="Times New Roman" w:hAnsi="Times New Roman" w:eastAsia="仿宋_GB2312" w:cs="Times New Roman"/>
          <w:b/>
          <w:bCs/>
          <w:sz w:val="32"/>
          <w:szCs w:val="32"/>
          <w:u w:val="none"/>
          <w:lang w:val="en-US" w:eastAsia="zh-CN"/>
        </w:rPr>
        <w:t>月</w:t>
      </w:r>
    </w:p>
    <w:p/>
    <w:p>
      <w:pPr>
        <w:adjustRightInd w:val="0"/>
        <w:snapToGrid w:val="0"/>
        <w:spacing w:line="276" w:lineRule="auto"/>
        <w:ind w:firstLine="643"/>
        <w:jc w:val="center"/>
        <w:rPr>
          <w:b/>
          <w:color w:val="0070C0"/>
          <w:sz w:val="32"/>
          <w:szCs w:val="32"/>
        </w:rPr>
      </w:pPr>
      <w:r>
        <w:rPr>
          <w:b/>
          <w:color w:val="0070C0"/>
          <w:sz w:val="32"/>
          <w:szCs w:val="32"/>
        </w:rPr>
        <w:br w:type="page"/>
      </w:r>
    </w:p>
    <w:sdt>
      <w:sdtPr>
        <w:rPr>
          <w:rFonts w:ascii="宋体" w:hAnsi="宋体" w:eastAsia="宋体" w:cs="Times New Roman"/>
          <w:kern w:val="2"/>
          <w:sz w:val="21"/>
          <w:szCs w:val="24"/>
          <w:lang w:val="en-US" w:eastAsia="zh-CN" w:bidi="ar-SA"/>
        </w:rPr>
        <w:id w:val="147475233"/>
        <w15:color w:val="DBDBDB"/>
        <w:docPartObj>
          <w:docPartGallery w:val="Table of Contents"/>
          <w:docPartUnique/>
        </w:docPartObj>
      </w:sdtPr>
      <w:sdtContent>
        <w:p>
          <w:pPr>
            <w:spacing w:before="0" w:beforeLines="0" w:after="0" w:afterLines="0" w:line="240" w:lineRule="auto"/>
            <w:ind w:left="0" w:leftChars="0" w:right="0" w:rightChars="0" w:firstLine="0" w:firstLineChars="0"/>
            <w:jc w:val="center"/>
          </w:pPr>
          <w:r>
            <w:rPr>
              <w:rFonts w:ascii="Times New Roman" w:hAnsi="Times New Roman" w:eastAsia="宋体" w:cs="Times New Roman"/>
              <w:b/>
              <w:sz w:val="32"/>
              <w:szCs w:val="32"/>
            </w:rPr>
            <w:t>目</w:t>
          </w:r>
          <w:r>
            <w:rPr>
              <w:rFonts w:hint="eastAsia" w:ascii="Times New Roman" w:hAnsi="Times New Roman" w:eastAsia="宋体" w:cs="Times New Roman"/>
              <w:b/>
              <w:sz w:val="32"/>
              <w:szCs w:val="32"/>
              <w:lang w:val="en-US" w:eastAsia="zh-CN"/>
            </w:rPr>
            <w:t xml:space="preserve"> </w:t>
          </w:r>
          <w:r>
            <w:rPr>
              <w:rFonts w:ascii="Times New Roman" w:hAnsi="Times New Roman" w:eastAsia="宋体" w:cs="Times New Roman"/>
              <w:b/>
              <w:sz w:val="32"/>
              <w:szCs w:val="32"/>
            </w:rPr>
            <w:t>录</w:t>
          </w:r>
        </w:p>
        <w:p>
          <w:pPr>
            <w:pStyle w:val="35"/>
            <w:tabs>
              <w:tab w:val="right" w:leader="dot" w:pos="9070"/>
            </w:tabs>
          </w:pPr>
          <w:r>
            <w:fldChar w:fldCharType="begin"/>
          </w:r>
          <w:r>
            <w:instrText xml:space="preserve">TOC \o "1-2" \h \u </w:instrText>
          </w:r>
          <w:r>
            <w:fldChar w:fldCharType="separate"/>
          </w:r>
          <w:r>
            <w:fldChar w:fldCharType="begin"/>
          </w:r>
          <w:r>
            <w:instrText xml:space="preserve"> HYPERLINK \l _Toc32020 </w:instrText>
          </w:r>
          <w:r>
            <w:fldChar w:fldCharType="separate"/>
          </w:r>
          <w:r>
            <w:rPr>
              <w:rFonts w:hint="default" w:ascii="Times New Roman" w:hAnsi="Times New Roman" w:cs="Times New Roman"/>
            </w:rPr>
            <w:t xml:space="preserve">1 </w:t>
          </w:r>
          <w:r>
            <w:t>概述</w:t>
          </w:r>
          <w:r>
            <w:tab/>
          </w:r>
          <w:r>
            <w:fldChar w:fldCharType="begin"/>
          </w:r>
          <w:r>
            <w:instrText xml:space="preserve"> PAGEREF _Toc32020 \h </w:instrText>
          </w:r>
          <w:r>
            <w:fldChar w:fldCharType="separate"/>
          </w:r>
          <w:r>
            <w:t>1</w:t>
          </w:r>
          <w:r>
            <w:fldChar w:fldCharType="end"/>
          </w:r>
          <w:r>
            <w:fldChar w:fldCharType="end"/>
          </w:r>
        </w:p>
        <w:p>
          <w:pPr>
            <w:pStyle w:val="40"/>
            <w:tabs>
              <w:tab w:val="right" w:leader="dot" w:pos="9070"/>
            </w:tabs>
          </w:pPr>
          <w:r>
            <w:fldChar w:fldCharType="begin"/>
          </w:r>
          <w:r>
            <w:instrText xml:space="preserve"> HYPERLINK \l _Toc27797 </w:instrText>
          </w:r>
          <w:r>
            <w:fldChar w:fldCharType="separate"/>
          </w:r>
          <w:r>
            <w:rPr>
              <w:rFonts w:hint="eastAsia"/>
              <w:bCs/>
              <w:szCs w:val="28"/>
            </w:rPr>
            <w:t>1.1 建设项目的特点</w:t>
          </w:r>
          <w:r>
            <w:tab/>
          </w:r>
          <w:r>
            <w:fldChar w:fldCharType="begin"/>
          </w:r>
          <w:r>
            <w:instrText xml:space="preserve"> PAGEREF _Toc27797 \h </w:instrText>
          </w:r>
          <w:r>
            <w:fldChar w:fldCharType="separate"/>
          </w:r>
          <w:r>
            <w:t>1</w:t>
          </w:r>
          <w:r>
            <w:fldChar w:fldCharType="end"/>
          </w:r>
          <w:r>
            <w:fldChar w:fldCharType="end"/>
          </w:r>
        </w:p>
        <w:p>
          <w:pPr>
            <w:pStyle w:val="40"/>
            <w:tabs>
              <w:tab w:val="right" w:leader="dot" w:pos="9070"/>
            </w:tabs>
          </w:pPr>
          <w:r>
            <w:fldChar w:fldCharType="begin"/>
          </w:r>
          <w:r>
            <w:instrText xml:space="preserve"> HYPERLINK \l _Toc18705 </w:instrText>
          </w:r>
          <w:r>
            <w:fldChar w:fldCharType="separate"/>
          </w:r>
          <w:r>
            <w:rPr>
              <w:rFonts w:hint="eastAsia"/>
              <w:bCs/>
              <w:szCs w:val="28"/>
            </w:rPr>
            <w:t>1.2 环境影响评价工作过程</w:t>
          </w:r>
          <w:r>
            <w:tab/>
          </w:r>
          <w:r>
            <w:fldChar w:fldCharType="begin"/>
          </w:r>
          <w:r>
            <w:instrText xml:space="preserve"> PAGEREF _Toc18705 \h </w:instrText>
          </w:r>
          <w:r>
            <w:fldChar w:fldCharType="separate"/>
          </w:r>
          <w:r>
            <w:t>3</w:t>
          </w:r>
          <w:r>
            <w:fldChar w:fldCharType="end"/>
          </w:r>
          <w:r>
            <w:fldChar w:fldCharType="end"/>
          </w:r>
        </w:p>
        <w:p>
          <w:pPr>
            <w:pStyle w:val="40"/>
            <w:tabs>
              <w:tab w:val="right" w:leader="dot" w:pos="9070"/>
            </w:tabs>
          </w:pPr>
          <w:r>
            <w:fldChar w:fldCharType="begin"/>
          </w:r>
          <w:r>
            <w:instrText xml:space="preserve"> HYPERLINK \l _Toc12245 </w:instrText>
          </w:r>
          <w:r>
            <w:fldChar w:fldCharType="separate"/>
          </w:r>
          <w:r>
            <w:rPr>
              <w:rFonts w:hint="eastAsia"/>
              <w:bCs/>
              <w:szCs w:val="28"/>
            </w:rPr>
            <w:t>1.3 分析判定相关情况</w:t>
          </w:r>
          <w:r>
            <w:tab/>
          </w:r>
          <w:r>
            <w:fldChar w:fldCharType="begin"/>
          </w:r>
          <w:r>
            <w:instrText xml:space="preserve"> PAGEREF _Toc12245 \h </w:instrText>
          </w:r>
          <w:r>
            <w:fldChar w:fldCharType="separate"/>
          </w:r>
          <w:r>
            <w:t>3</w:t>
          </w:r>
          <w:r>
            <w:fldChar w:fldCharType="end"/>
          </w:r>
          <w:r>
            <w:fldChar w:fldCharType="end"/>
          </w:r>
        </w:p>
        <w:p>
          <w:pPr>
            <w:pStyle w:val="40"/>
            <w:tabs>
              <w:tab w:val="right" w:leader="dot" w:pos="9070"/>
            </w:tabs>
          </w:pPr>
          <w:r>
            <w:fldChar w:fldCharType="begin"/>
          </w:r>
          <w:r>
            <w:instrText xml:space="preserve"> HYPERLINK \l _Toc20305 </w:instrText>
          </w:r>
          <w:r>
            <w:fldChar w:fldCharType="separate"/>
          </w:r>
          <w:r>
            <w:rPr>
              <w:rFonts w:hint="eastAsia"/>
              <w:bCs/>
              <w:szCs w:val="28"/>
            </w:rPr>
            <w:t xml:space="preserve">1.4 </w:t>
          </w:r>
          <w:r>
            <w:rPr>
              <w:bCs/>
              <w:szCs w:val="28"/>
            </w:rPr>
            <w:t>环境影响评价关注的主要问题及环境影响</w:t>
          </w:r>
          <w:r>
            <w:tab/>
          </w:r>
          <w:r>
            <w:fldChar w:fldCharType="begin"/>
          </w:r>
          <w:r>
            <w:instrText xml:space="preserve"> PAGEREF _Toc20305 \h </w:instrText>
          </w:r>
          <w:r>
            <w:fldChar w:fldCharType="separate"/>
          </w:r>
          <w:r>
            <w:t>10</w:t>
          </w:r>
          <w:r>
            <w:fldChar w:fldCharType="end"/>
          </w:r>
          <w:r>
            <w:fldChar w:fldCharType="end"/>
          </w:r>
        </w:p>
        <w:p>
          <w:pPr>
            <w:pStyle w:val="40"/>
            <w:tabs>
              <w:tab w:val="right" w:leader="dot" w:pos="9070"/>
            </w:tabs>
          </w:pPr>
          <w:r>
            <w:fldChar w:fldCharType="begin"/>
          </w:r>
          <w:r>
            <w:instrText xml:space="preserve"> HYPERLINK \l _Toc23600 </w:instrText>
          </w:r>
          <w:r>
            <w:fldChar w:fldCharType="separate"/>
          </w:r>
          <w:r>
            <w:rPr>
              <w:rFonts w:hint="eastAsia"/>
              <w:bCs/>
              <w:szCs w:val="28"/>
            </w:rPr>
            <w:t xml:space="preserve">1.5 </w:t>
          </w:r>
          <w:r>
            <w:rPr>
              <w:bCs/>
              <w:szCs w:val="28"/>
            </w:rPr>
            <w:t>环境影响报告书的主要结论</w:t>
          </w:r>
          <w:r>
            <w:tab/>
          </w:r>
          <w:r>
            <w:fldChar w:fldCharType="begin"/>
          </w:r>
          <w:r>
            <w:instrText xml:space="preserve"> PAGEREF _Toc23600 \h </w:instrText>
          </w:r>
          <w:r>
            <w:fldChar w:fldCharType="separate"/>
          </w:r>
          <w:r>
            <w:t>10</w:t>
          </w:r>
          <w:r>
            <w:fldChar w:fldCharType="end"/>
          </w:r>
          <w:r>
            <w:fldChar w:fldCharType="end"/>
          </w:r>
        </w:p>
        <w:p>
          <w:pPr>
            <w:pStyle w:val="35"/>
            <w:tabs>
              <w:tab w:val="right" w:leader="dot" w:pos="9070"/>
            </w:tabs>
          </w:pPr>
          <w:r>
            <w:fldChar w:fldCharType="begin"/>
          </w:r>
          <w:r>
            <w:instrText xml:space="preserve"> HYPERLINK \l _Toc32653 </w:instrText>
          </w:r>
          <w:r>
            <w:fldChar w:fldCharType="separate"/>
          </w:r>
          <w:r>
            <w:rPr>
              <w:rFonts w:hint="default" w:ascii="Times New Roman" w:hAnsi="Times New Roman" w:cs="Times New Roman"/>
            </w:rPr>
            <w:t xml:space="preserve">2 </w:t>
          </w:r>
          <w:r>
            <w:t>总论</w:t>
          </w:r>
          <w:r>
            <w:tab/>
          </w:r>
          <w:r>
            <w:fldChar w:fldCharType="begin"/>
          </w:r>
          <w:r>
            <w:instrText xml:space="preserve"> PAGEREF _Toc32653 \h </w:instrText>
          </w:r>
          <w:r>
            <w:fldChar w:fldCharType="separate"/>
          </w:r>
          <w:r>
            <w:t>12</w:t>
          </w:r>
          <w:r>
            <w:fldChar w:fldCharType="end"/>
          </w:r>
          <w:r>
            <w:fldChar w:fldCharType="end"/>
          </w:r>
        </w:p>
        <w:p>
          <w:pPr>
            <w:pStyle w:val="40"/>
            <w:tabs>
              <w:tab w:val="right" w:leader="dot" w:pos="9070"/>
            </w:tabs>
          </w:pPr>
          <w:r>
            <w:fldChar w:fldCharType="begin"/>
          </w:r>
          <w:r>
            <w:instrText xml:space="preserve"> HYPERLINK \l _Toc21434 </w:instrText>
          </w:r>
          <w:r>
            <w:fldChar w:fldCharType="separate"/>
          </w:r>
          <w:r>
            <w:rPr>
              <w:rFonts w:hint="eastAsia"/>
              <w:bCs/>
              <w:szCs w:val="28"/>
            </w:rPr>
            <w:t xml:space="preserve">2.1 </w:t>
          </w:r>
          <w:r>
            <w:rPr>
              <w:bCs/>
              <w:szCs w:val="28"/>
            </w:rPr>
            <w:t>评价目的及指导思想</w:t>
          </w:r>
          <w:r>
            <w:tab/>
          </w:r>
          <w:r>
            <w:fldChar w:fldCharType="begin"/>
          </w:r>
          <w:r>
            <w:instrText xml:space="preserve"> PAGEREF _Toc21434 \h </w:instrText>
          </w:r>
          <w:r>
            <w:fldChar w:fldCharType="separate"/>
          </w:r>
          <w:r>
            <w:t>12</w:t>
          </w:r>
          <w:r>
            <w:fldChar w:fldCharType="end"/>
          </w:r>
          <w:r>
            <w:fldChar w:fldCharType="end"/>
          </w:r>
        </w:p>
        <w:p>
          <w:pPr>
            <w:pStyle w:val="40"/>
            <w:tabs>
              <w:tab w:val="right" w:leader="dot" w:pos="9070"/>
            </w:tabs>
          </w:pPr>
          <w:r>
            <w:fldChar w:fldCharType="begin"/>
          </w:r>
          <w:r>
            <w:instrText xml:space="preserve"> HYPERLINK \l _Toc2008 </w:instrText>
          </w:r>
          <w:r>
            <w:fldChar w:fldCharType="separate"/>
          </w:r>
          <w:r>
            <w:rPr>
              <w:rFonts w:hint="eastAsia"/>
              <w:bCs/>
              <w:szCs w:val="28"/>
            </w:rPr>
            <w:t xml:space="preserve">2.2 </w:t>
          </w:r>
          <w:r>
            <w:rPr>
              <w:bCs/>
              <w:szCs w:val="28"/>
            </w:rPr>
            <w:t>编制依据</w:t>
          </w:r>
          <w:r>
            <w:tab/>
          </w:r>
          <w:r>
            <w:fldChar w:fldCharType="begin"/>
          </w:r>
          <w:r>
            <w:instrText xml:space="preserve"> PAGEREF _Toc2008 \h </w:instrText>
          </w:r>
          <w:r>
            <w:fldChar w:fldCharType="separate"/>
          </w:r>
          <w:r>
            <w:t>12</w:t>
          </w:r>
          <w:r>
            <w:fldChar w:fldCharType="end"/>
          </w:r>
          <w:r>
            <w:fldChar w:fldCharType="end"/>
          </w:r>
        </w:p>
        <w:p>
          <w:pPr>
            <w:pStyle w:val="40"/>
            <w:tabs>
              <w:tab w:val="right" w:leader="dot" w:pos="9070"/>
            </w:tabs>
          </w:pPr>
          <w:r>
            <w:fldChar w:fldCharType="begin"/>
          </w:r>
          <w:r>
            <w:instrText xml:space="preserve"> HYPERLINK \l _Toc22339 </w:instrText>
          </w:r>
          <w:r>
            <w:fldChar w:fldCharType="separate"/>
          </w:r>
          <w:r>
            <w:rPr>
              <w:rFonts w:hint="eastAsia"/>
              <w:bCs/>
              <w:szCs w:val="28"/>
            </w:rPr>
            <w:t xml:space="preserve">2.3 </w:t>
          </w:r>
          <w:r>
            <w:rPr>
              <w:bCs/>
              <w:szCs w:val="28"/>
            </w:rPr>
            <w:t>评价内容与评价因子筛选</w:t>
          </w:r>
          <w:r>
            <w:tab/>
          </w:r>
          <w:r>
            <w:fldChar w:fldCharType="begin"/>
          </w:r>
          <w:r>
            <w:instrText xml:space="preserve"> PAGEREF _Toc22339 \h </w:instrText>
          </w:r>
          <w:r>
            <w:fldChar w:fldCharType="separate"/>
          </w:r>
          <w:r>
            <w:t>15</w:t>
          </w:r>
          <w:r>
            <w:fldChar w:fldCharType="end"/>
          </w:r>
          <w:r>
            <w:fldChar w:fldCharType="end"/>
          </w:r>
        </w:p>
        <w:p>
          <w:pPr>
            <w:pStyle w:val="40"/>
            <w:tabs>
              <w:tab w:val="right" w:leader="dot" w:pos="9070"/>
            </w:tabs>
          </w:pPr>
          <w:r>
            <w:fldChar w:fldCharType="begin"/>
          </w:r>
          <w:r>
            <w:instrText xml:space="preserve"> HYPERLINK \l _Toc27810 </w:instrText>
          </w:r>
          <w:r>
            <w:fldChar w:fldCharType="separate"/>
          </w:r>
          <w:r>
            <w:rPr>
              <w:rFonts w:hint="eastAsia"/>
              <w:bCs/>
              <w:szCs w:val="28"/>
            </w:rPr>
            <w:t xml:space="preserve">2.4 </w:t>
          </w:r>
          <w:r>
            <w:rPr>
              <w:bCs/>
              <w:szCs w:val="28"/>
            </w:rPr>
            <w:t>评价工作等级</w:t>
          </w:r>
          <w:r>
            <w:tab/>
          </w:r>
          <w:r>
            <w:fldChar w:fldCharType="begin"/>
          </w:r>
          <w:r>
            <w:instrText xml:space="preserve"> PAGEREF _Toc27810 \h </w:instrText>
          </w:r>
          <w:r>
            <w:fldChar w:fldCharType="separate"/>
          </w:r>
          <w:r>
            <w:t>16</w:t>
          </w:r>
          <w:r>
            <w:fldChar w:fldCharType="end"/>
          </w:r>
          <w:r>
            <w:fldChar w:fldCharType="end"/>
          </w:r>
        </w:p>
        <w:p>
          <w:pPr>
            <w:pStyle w:val="40"/>
            <w:tabs>
              <w:tab w:val="right" w:leader="dot" w:pos="9070"/>
            </w:tabs>
          </w:pPr>
          <w:r>
            <w:fldChar w:fldCharType="begin"/>
          </w:r>
          <w:r>
            <w:instrText xml:space="preserve"> HYPERLINK \l _Toc3283 </w:instrText>
          </w:r>
          <w:r>
            <w:fldChar w:fldCharType="separate"/>
          </w:r>
          <w:r>
            <w:rPr>
              <w:rFonts w:hint="eastAsia"/>
              <w:bCs/>
              <w:szCs w:val="28"/>
            </w:rPr>
            <w:t xml:space="preserve">2.5 </w:t>
          </w:r>
          <w:r>
            <w:rPr>
              <w:bCs/>
              <w:szCs w:val="28"/>
            </w:rPr>
            <w:t>评价范围</w:t>
          </w:r>
          <w:r>
            <w:tab/>
          </w:r>
          <w:r>
            <w:fldChar w:fldCharType="begin"/>
          </w:r>
          <w:r>
            <w:instrText xml:space="preserve"> PAGEREF _Toc3283 \h </w:instrText>
          </w:r>
          <w:r>
            <w:fldChar w:fldCharType="separate"/>
          </w:r>
          <w:r>
            <w:t>19</w:t>
          </w:r>
          <w:r>
            <w:fldChar w:fldCharType="end"/>
          </w:r>
          <w:r>
            <w:fldChar w:fldCharType="end"/>
          </w:r>
        </w:p>
        <w:p>
          <w:pPr>
            <w:pStyle w:val="40"/>
            <w:tabs>
              <w:tab w:val="right" w:leader="dot" w:pos="9070"/>
            </w:tabs>
          </w:pPr>
          <w:r>
            <w:fldChar w:fldCharType="begin"/>
          </w:r>
          <w:r>
            <w:instrText xml:space="preserve"> HYPERLINK \l _Toc2505 </w:instrText>
          </w:r>
          <w:r>
            <w:fldChar w:fldCharType="separate"/>
          </w:r>
          <w:r>
            <w:rPr>
              <w:rFonts w:hint="eastAsia"/>
              <w:bCs/>
              <w:szCs w:val="28"/>
            </w:rPr>
            <w:t xml:space="preserve">2.6 </w:t>
          </w:r>
          <w:r>
            <w:rPr>
              <w:bCs/>
              <w:szCs w:val="28"/>
            </w:rPr>
            <w:t>环境功能区划与评价标准</w:t>
          </w:r>
          <w:r>
            <w:tab/>
          </w:r>
          <w:r>
            <w:fldChar w:fldCharType="begin"/>
          </w:r>
          <w:r>
            <w:instrText xml:space="preserve"> PAGEREF _Toc2505 \h </w:instrText>
          </w:r>
          <w:r>
            <w:fldChar w:fldCharType="separate"/>
          </w:r>
          <w:r>
            <w:t>19</w:t>
          </w:r>
          <w:r>
            <w:fldChar w:fldCharType="end"/>
          </w:r>
          <w:r>
            <w:fldChar w:fldCharType="end"/>
          </w:r>
        </w:p>
        <w:p>
          <w:pPr>
            <w:pStyle w:val="40"/>
            <w:tabs>
              <w:tab w:val="right" w:leader="dot" w:pos="9070"/>
            </w:tabs>
          </w:pPr>
          <w:r>
            <w:fldChar w:fldCharType="begin"/>
          </w:r>
          <w:r>
            <w:instrText xml:space="preserve"> HYPERLINK \l _Toc16122 </w:instrText>
          </w:r>
          <w:r>
            <w:fldChar w:fldCharType="separate"/>
          </w:r>
          <w:r>
            <w:rPr>
              <w:rFonts w:hint="eastAsia"/>
              <w:bCs/>
              <w:szCs w:val="28"/>
            </w:rPr>
            <w:t xml:space="preserve">2.7 </w:t>
          </w:r>
          <w:r>
            <w:rPr>
              <w:bCs/>
              <w:szCs w:val="28"/>
            </w:rPr>
            <w:t>评价预测时段</w:t>
          </w:r>
          <w:r>
            <w:rPr>
              <w:rFonts w:hint="eastAsia"/>
              <w:bCs/>
              <w:szCs w:val="28"/>
            </w:rPr>
            <w:t>和评价方法</w:t>
          </w:r>
          <w:r>
            <w:tab/>
          </w:r>
          <w:r>
            <w:fldChar w:fldCharType="begin"/>
          </w:r>
          <w:r>
            <w:instrText xml:space="preserve"> PAGEREF _Toc16122 \h </w:instrText>
          </w:r>
          <w:r>
            <w:fldChar w:fldCharType="separate"/>
          </w:r>
          <w:r>
            <w:t>22</w:t>
          </w:r>
          <w:r>
            <w:fldChar w:fldCharType="end"/>
          </w:r>
          <w:r>
            <w:fldChar w:fldCharType="end"/>
          </w:r>
        </w:p>
        <w:p>
          <w:pPr>
            <w:pStyle w:val="40"/>
            <w:tabs>
              <w:tab w:val="right" w:leader="dot" w:pos="9070"/>
            </w:tabs>
          </w:pPr>
          <w:r>
            <w:fldChar w:fldCharType="begin"/>
          </w:r>
          <w:r>
            <w:instrText xml:space="preserve"> HYPERLINK \l _Toc3355 </w:instrText>
          </w:r>
          <w:r>
            <w:fldChar w:fldCharType="separate"/>
          </w:r>
          <w:r>
            <w:rPr>
              <w:rFonts w:hint="eastAsia"/>
              <w:bCs/>
              <w:szCs w:val="28"/>
            </w:rPr>
            <w:t xml:space="preserve">2.8 </w:t>
          </w:r>
          <w:r>
            <w:rPr>
              <w:bCs/>
              <w:szCs w:val="28"/>
            </w:rPr>
            <w:t>环境保护目标</w:t>
          </w:r>
          <w:r>
            <w:tab/>
          </w:r>
          <w:r>
            <w:fldChar w:fldCharType="begin"/>
          </w:r>
          <w:r>
            <w:instrText xml:space="preserve"> PAGEREF _Toc3355 \h </w:instrText>
          </w:r>
          <w:r>
            <w:fldChar w:fldCharType="separate"/>
          </w:r>
          <w:r>
            <w:t>22</w:t>
          </w:r>
          <w:r>
            <w:fldChar w:fldCharType="end"/>
          </w:r>
          <w:r>
            <w:fldChar w:fldCharType="end"/>
          </w:r>
        </w:p>
        <w:p>
          <w:pPr>
            <w:pStyle w:val="40"/>
            <w:tabs>
              <w:tab w:val="right" w:leader="dot" w:pos="9070"/>
            </w:tabs>
          </w:pPr>
          <w:r>
            <w:fldChar w:fldCharType="begin"/>
          </w:r>
          <w:r>
            <w:instrText xml:space="preserve"> HYPERLINK \l _Toc17355 </w:instrText>
          </w:r>
          <w:r>
            <w:fldChar w:fldCharType="separate"/>
          </w:r>
          <w:r>
            <w:rPr>
              <w:rFonts w:hint="eastAsia"/>
              <w:bCs/>
              <w:szCs w:val="28"/>
            </w:rPr>
            <w:t xml:space="preserve">2.9 </w:t>
          </w:r>
          <w:r>
            <w:rPr>
              <w:bCs/>
              <w:szCs w:val="28"/>
            </w:rPr>
            <w:t>评价工作程序</w:t>
          </w:r>
          <w:r>
            <w:tab/>
          </w:r>
          <w:r>
            <w:fldChar w:fldCharType="begin"/>
          </w:r>
          <w:r>
            <w:instrText xml:space="preserve"> PAGEREF _Toc17355 \h </w:instrText>
          </w:r>
          <w:r>
            <w:fldChar w:fldCharType="separate"/>
          </w:r>
          <w:r>
            <w:t>30</w:t>
          </w:r>
          <w:r>
            <w:fldChar w:fldCharType="end"/>
          </w:r>
          <w:r>
            <w:fldChar w:fldCharType="end"/>
          </w:r>
        </w:p>
        <w:p>
          <w:pPr>
            <w:pStyle w:val="35"/>
            <w:tabs>
              <w:tab w:val="right" w:leader="dot" w:pos="9070"/>
            </w:tabs>
          </w:pPr>
          <w:r>
            <w:fldChar w:fldCharType="begin"/>
          </w:r>
          <w:r>
            <w:instrText xml:space="preserve"> HYPERLINK \l _Toc15862 </w:instrText>
          </w:r>
          <w:r>
            <w:fldChar w:fldCharType="separate"/>
          </w:r>
          <w:r>
            <w:rPr>
              <w:rFonts w:hint="default" w:ascii="Times New Roman" w:hAnsi="Times New Roman" w:cs="Times New Roman"/>
            </w:rPr>
            <w:t xml:space="preserve">3 </w:t>
          </w:r>
          <w:r>
            <w:t>工程概况及工程分析</w:t>
          </w:r>
          <w:r>
            <w:tab/>
          </w:r>
          <w:r>
            <w:fldChar w:fldCharType="begin"/>
          </w:r>
          <w:r>
            <w:instrText xml:space="preserve"> PAGEREF _Toc15862 \h </w:instrText>
          </w:r>
          <w:r>
            <w:fldChar w:fldCharType="separate"/>
          </w:r>
          <w:r>
            <w:t>31</w:t>
          </w:r>
          <w:r>
            <w:fldChar w:fldCharType="end"/>
          </w:r>
          <w:r>
            <w:fldChar w:fldCharType="end"/>
          </w:r>
        </w:p>
        <w:p>
          <w:pPr>
            <w:pStyle w:val="40"/>
            <w:tabs>
              <w:tab w:val="right" w:leader="dot" w:pos="9070"/>
            </w:tabs>
          </w:pPr>
          <w:r>
            <w:fldChar w:fldCharType="begin"/>
          </w:r>
          <w:r>
            <w:instrText xml:space="preserve"> HYPERLINK \l _Toc12404 </w:instrText>
          </w:r>
          <w:r>
            <w:fldChar w:fldCharType="separate"/>
          </w:r>
          <w:r>
            <w:rPr>
              <w:rFonts w:hint="eastAsia"/>
              <w:bCs/>
              <w:szCs w:val="28"/>
            </w:rPr>
            <w:t>3.1 项目地理位置</w:t>
          </w:r>
          <w:r>
            <w:tab/>
          </w:r>
          <w:r>
            <w:fldChar w:fldCharType="begin"/>
          </w:r>
          <w:r>
            <w:instrText xml:space="preserve"> PAGEREF _Toc12404 \h </w:instrText>
          </w:r>
          <w:r>
            <w:fldChar w:fldCharType="separate"/>
          </w:r>
          <w:r>
            <w:t>31</w:t>
          </w:r>
          <w:r>
            <w:fldChar w:fldCharType="end"/>
          </w:r>
          <w:r>
            <w:fldChar w:fldCharType="end"/>
          </w:r>
        </w:p>
        <w:p>
          <w:pPr>
            <w:pStyle w:val="40"/>
            <w:tabs>
              <w:tab w:val="right" w:leader="dot" w:pos="9070"/>
            </w:tabs>
          </w:pPr>
          <w:r>
            <w:fldChar w:fldCharType="begin"/>
          </w:r>
          <w:r>
            <w:instrText xml:space="preserve"> HYPERLINK \l _Toc17134 </w:instrText>
          </w:r>
          <w:r>
            <w:fldChar w:fldCharType="separate"/>
          </w:r>
          <w:r>
            <w:rPr>
              <w:rFonts w:hint="eastAsia"/>
              <w:bCs/>
              <w:szCs w:val="28"/>
            </w:rPr>
            <w:t xml:space="preserve">3.2 </w:t>
          </w:r>
          <w:r>
            <w:rPr>
              <w:bCs/>
              <w:szCs w:val="28"/>
            </w:rPr>
            <w:t>工程概况</w:t>
          </w:r>
          <w:r>
            <w:tab/>
          </w:r>
          <w:r>
            <w:fldChar w:fldCharType="begin"/>
          </w:r>
          <w:r>
            <w:instrText xml:space="preserve"> PAGEREF _Toc17134 \h </w:instrText>
          </w:r>
          <w:r>
            <w:fldChar w:fldCharType="separate"/>
          </w:r>
          <w:r>
            <w:t>31</w:t>
          </w:r>
          <w:r>
            <w:fldChar w:fldCharType="end"/>
          </w:r>
          <w:r>
            <w:fldChar w:fldCharType="end"/>
          </w:r>
        </w:p>
        <w:p>
          <w:pPr>
            <w:pStyle w:val="40"/>
            <w:tabs>
              <w:tab w:val="right" w:leader="dot" w:pos="9070"/>
            </w:tabs>
          </w:pPr>
          <w:r>
            <w:fldChar w:fldCharType="begin"/>
          </w:r>
          <w:r>
            <w:instrText xml:space="preserve"> HYPERLINK \l _Toc26321 </w:instrText>
          </w:r>
          <w:r>
            <w:fldChar w:fldCharType="separate"/>
          </w:r>
          <w:r>
            <w:rPr>
              <w:rFonts w:hint="eastAsia"/>
              <w:bCs/>
              <w:szCs w:val="28"/>
            </w:rPr>
            <w:t xml:space="preserve">3.3 </w:t>
          </w:r>
          <w:r>
            <w:rPr>
              <w:bCs/>
              <w:szCs w:val="28"/>
            </w:rPr>
            <w:t>方案比选</w:t>
          </w:r>
          <w:r>
            <w:tab/>
          </w:r>
          <w:r>
            <w:fldChar w:fldCharType="begin"/>
          </w:r>
          <w:r>
            <w:instrText xml:space="preserve"> PAGEREF _Toc26321 \h </w:instrText>
          </w:r>
          <w:r>
            <w:fldChar w:fldCharType="separate"/>
          </w:r>
          <w:r>
            <w:t>33</w:t>
          </w:r>
          <w:r>
            <w:fldChar w:fldCharType="end"/>
          </w:r>
          <w:r>
            <w:fldChar w:fldCharType="end"/>
          </w:r>
        </w:p>
        <w:p>
          <w:pPr>
            <w:pStyle w:val="40"/>
            <w:tabs>
              <w:tab w:val="right" w:leader="dot" w:pos="9070"/>
            </w:tabs>
          </w:pPr>
          <w:r>
            <w:fldChar w:fldCharType="begin"/>
          </w:r>
          <w:r>
            <w:instrText xml:space="preserve"> HYPERLINK \l _Toc23970 </w:instrText>
          </w:r>
          <w:r>
            <w:fldChar w:fldCharType="separate"/>
          </w:r>
          <w:r>
            <w:rPr>
              <w:rFonts w:hint="eastAsia"/>
              <w:bCs/>
              <w:szCs w:val="28"/>
            </w:rPr>
            <w:t xml:space="preserve">3.4 </w:t>
          </w:r>
          <w:r>
            <w:rPr>
              <w:bCs/>
              <w:szCs w:val="28"/>
            </w:rPr>
            <w:t>交通量预测</w:t>
          </w:r>
          <w:r>
            <w:tab/>
          </w:r>
          <w:r>
            <w:fldChar w:fldCharType="begin"/>
          </w:r>
          <w:r>
            <w:instrText xml:space="preserve"> PAGEREF _Toc23970 \h </w:instrText>
          </w:r>
          <w:r>
            <w:fldChar w:fldCharType="separate"/>
          </w:r>
          <w:r>
            <w:t>37</w:t>
          </w:r>
          <w:r>
            <w:fldChar w:fldCharType="end"/>
          </w:r>
          <w:r>
            <w:fldChar w:fldCharType="end"/>
          </w:r>
        </w:p>
        <w:p>
          <w:pPr>
            <w:pStyle w:val="40"/>
            <w:tabs>
              <w:tab w:val="right" w:leader="dot" w:pos="9070"/>
            </w:tabs>
          </w:pPr>
          <w:r>
            <w:fldChar w:fldCharType="begin"/>
          </w:r>
          <w:r>
            <w:instrText xml:space="preserve"> HYPERLINK \l _Toc13428 </w:instrText>
          </w:r>
          <w:r>
            <w:fldChar w:fldCharType="separate"/>
          </w:r>
          <w:r>
            <w:rPr>
              <w:rFonts w:hint="eastAsia"/>
              <w:bCs/>
              <w:szCs w:val="28"/>
            </w:rPr>
            <w:t xml:space="preserve">3.5 </w:t>
          </w:r>
          <w:r>
            <w:rPr>
              <w:bCs/>
              <w:szCs w:val="28"/>
            </w:rPr>
            <w:t>工程内容</w:t>
          </w:r>
          <w:r>
            <w:tab/>
          </w:r>
          <w:r>
            <w:fldChar w:fldCharType="begin"/>
          </w:r>
          <w:r>
            <w:instrText xml:space="preserve"> PAGEREF _Toc13428 \h </w:instrText>
          </w:r>
          <w:r>
            <w:fldChar w:fldCharType="separate"/>
          </w:r>
          <w:r>
            <w:t>38</w:t>
          </w:r>
          <w:r>
            <w:fldChar w:fldCharType="end"/>
          </w:r>
          <w:r>
            <w:fldChar w:fldCharType="end"/>
          </w:r>
        </w:p>
        <w:p>
          <w:pPr>
            <w:pStyle w:val="40"/>
            <w:tabs>
              <w:tab w:val="right" w:leader="dot" w:pos="9070"/>
            </w:tabs>
          </w:pPr>
          <w:r>
            <w:fldChar w:fldCharType="begin"/>
          </w:r>
          <w:r>
            <w:instrText xml:space="preserve"> HYPERLINK \l _Toc5663 </w:instrText>
          </w:r>
          <w:r>
            <w:fldChar w:fldCharType="separate"/>
          </w:r>
          <w:r>
            <w:rPr>
              <w:rFonts w:hint="eastAsia"/>
              <w:bCs/>
              <w:szCs w:val="28"/>
            </w:rPr>
            <w:t xml:space="preserve">3.6 </w:t>
          </w:r>
          <w:r>
            <w:rPr>
              <w:bCs/>
              <w:szCs w:val="28"/>
            </w:rPr>
            <w:t>工程分析</w:t>
          </w:r>
          <w:r>
            <w:tab/>
          </w:r>
          <w:r>
            <w:fldChar w:fldCharType="begin"/>
          </w:r>
          <w:r>
            <w:instrText xml:space="preserve"> PAGEREF _Toc5663 \h </w:instrText>
          </w:r>
          <w:r>
            <w:fldChar w:fldCharType="separate"/>
          </w:r>
          <w:r>
            <w:t>56</w:t>
          </w:r>
          <w:r>
            <w:fldChar w:fldCharType="end"/>
          </w:r>
          <w:r>
            <w:fldChar w:fldCharType="end"/>
          </w:r>
        </w:p>
        <w:p>
          <w:pPr>
            <w:pStyle w:val="35"/>
            <w:tabs>
              <w:tab w:val="right" w:leader="dot" w:pos="9070"/>
            </w:tabs>
          </w:pPr>
          <w:r>
            <w:fldChar w:fldCharType="begin"/>
          </w:r>
          <w:r>
            <w:instrText xml:space="preserve"> HYPERLINK \l _Toc14060 </w:instrText>
          </w:r>
          <w:r>
            <w:fldChar w:fldCharType="separate"/>
          </w:r>
          <w:r>
            <w:rPr>
              <w:rFonts w:hint="default" w:ascii="Times New Roman" w:hAnsi="Times New Roman" w:cs="Times New Roman"/>
            </w:rPr>
            <w:t xml:space="preserve">4 </w:t>
          </w:r>
          <w:r>
            <w:t>环境</w:t>
          </w:r>
          <w:r>
            <w:rPr>
              <w:rFonts w:hint="eastAsia"/>
            </w:rPr>
            <w:t>现状调查与评价</w:t>
          </w:r>
          <w:r>
            <w:tab/>
          </w:r>
          <w:r>
            <w:fldChar w:fldCharType="begin"/>
          </w:r>
          <w:r>
            <w:instrText xml:space="preserve"> PAGEREF _Toc14060 \h </w:instrText>
          </w:r>
          <w:r>
            <w:fldChar w:fldCharType="separate"/>
          </w:r>
          <w:r>
            <w:t>70</w:t>
          </w:r>
          <w:r>
            <w:fldChar w:fldCharType="end"/>
          </w:r>
          <w:r>
            <w:fldChar w:fldCharType="end"/>
          </w:r>
        </w:p>
        <w:p>
          <w:pPr>
            <w:pStyle w:val="40"/>
            <w:tabs>
              <w:tab w:val="right" w:leader="dot" w:pos="9070"/>
            </w:tabs>
          </w:pPr>
          <w:r>
            <w:fldChar w:fldCharType="begin"/>
          </w:r>
          <w:r>
            <w:instrText xml:space="preserve"> HYPERLINK \l _Toc23177 </w:instrText>
          </w:r>
          <w:r>
            <w:fldChar w:fldCharType="separate"/>
          </w:r>
          <w:r>
            <w:rPr>
              <w:rFonts w:hint="eastAsia"/>
              <w:bCs/>
              <w:szCs w:val="28"/>
            </w:rPr>
            <w:t xml:space="preserve">4.1 </w:t>
          </w:r>
          <w:r>
            <w:rPr>
              <w:bCs/>
              <w:szCs w:val="28"/>
            </w:rPr>
            <w:t>自然环境概</w:t>
          </w:r>
          <w:r>
            <w:rPr>
              <w:rFonts w:hint="eastAsia"/>
              <w:bCs/>
              <w:szCs w:val="28"/>
            </w:rPr>
            <w:t>况</w:t>
          </w:r>
          <w:r>
            <w:tab/>
          </w:r>
          <w:r>
            <w:fldChar w:fldCharType="begin"/>
          </w:r>
          <w:r>
            <w:instrText xml:space="preserve"> PAGEREF _Toc23177 \h </w:instrText>
          </w:r>
          <w:r>
            <w:fldChar w:fldCharType="separate"/>
          </w:r>
          <w:r>
            <w:t>70</w:t>
          </w:r>
          <w:r>
            <w:fldChar w:fldCharType="end"/>
          </w:r>
          <w:r>
            <w:fldChar w:fldCharType="end"/>
          </w:r>
        </w:p>
        <w:p>
          <w:pPr>
            <w:pStyle w:val="40"/>
            <w:tabs>
              <w:tab w:val="right" w:leader="dot" w:pos="9070"/>
            </w:tabs>
          </w:pPr>
          <w:r>
            <w:fldChar w:fldCharType="begin"/>
          </w:r>
          <w:r>
            <w:instrText xml:space="preserve"> HYPERLINK \l _Toc5977 </w:instrText>
          </w:r>
          <w:r>
            <w:fldChar w:fldCharType="separate"/>
          </w:r>
          <w:r>
            <w:rPr>
              <w:rFonts w:hint="eastAsia"/>
              <w:bCs/>
              <w:szCs w:val="28"/>
            </w:rPr>
            <w:t>4.2 地表水环境现状监测与评价</w:t>
          </w:r>
          <w:r>
            <w:tab/>
          </w:r>
          <w:r>
            <w:fldChar w:fldCharType="begin"/>
          </w:r>
          <w:r>
            <w:instrText xml:space="preserve"> PAGEREF _Toc5977 \h </w:instrText>
          </w:r>
          <w:r>
            <w:fldChar w:fldCharType="separate"/>
          </w:r>
          <w:r>
            <w:t>75</w:t>
          </w:r>
          <w:r>
            <w:fldChar w:fldCharType="end"/>
          </w:r>
          <w:r>
            <w:fldChar w:fldCharType="end"/>
          </w:r>
        </w:p>
        <w:p>
          <w:pPr>
            <w:pStyle w:val="40"/>
            <w:tabs>
              <w:tab w:val="right" w:leader="dot" w:pos="9070"/>
            </w:tabs>
          </w:pPr>
          <w:r>
            <w:fldChar w:fldCharType="begin"/>
          </w:r>
          <w:r>
            <w:instrText xml:space="preserve"> HYPERLINK \l _Toc31970 </w:instrText>
          </w:r>
          <w:r>
            <w:fldChar w:fldCharType="separate"/>
          </w:r>
          <w:r>
            <w:rPr>
              <w:rFonts w:hint="eastAsia"/>
              <w:bCs/>
              <w:szCs w:val="28"/>
            </w:rPr>
            <w:t>4.3 环境空气质量现状评价</w:t>
          </w:r>
          <w:r>
            <w:tab/>
          </w:r>
          <w:r>
            <w:fldChar w:fldCharType="begin"/>
          </w:r>
          <w:r>
            <w:instrText xml:space="preserve"> PAGEREF _Toc31970 \h </w:instrText>
          </w:r>
          <w:r>
            <w:fldChar w:fldCharType="separate"/>
          </w:r>
          <w:r>
            <w:t>78</w:t>
          </w:r>
          <w:r>
            <w:fldChar w:fldCharType="end"/>
          </w:r>
          <w:r>
            <w:fldChar w:fldCharType="end"/>
          </w:r>
        </w:p>
        <w:p>
          <w:pPr>
            <w:pStyle w:val="40"/>
            <w:tabs>
              <w:tab w:val="right" w:leader="dot" w:pos="9070"/>
            </w:tabs>
          </w:pPr>
          <w:r>
            <w:fldChar w:fldCharType="begin"/>
          </w:r>
          <w:r>
            <w:instrText xml:space="preserve"> HYPERLINK \l _Toc32654 </w:instrText>
          </w:r>
          <w:r>
            <w:fldChar w:fldCharType="separate"/>
          </w:r>
          <w:r>
            <w:rPr>
              <w:rFonts w:hint="eastAsia"/>
              <w:bCs/>
              <w:szCs w:val="28"/>
            </w:rPr>
            <w:t>4.4 声环境现状评价</w:t>
          </w:r>
          <w:r>
            <w:tab/>
          </w:r>
          <w:r>
            <w:fldChar w:fldCharType="begin"/>
          </w:r>
          <w:r>
            <w:instrText xml:space="preserve"> PAGEREF _Toc32654 \h </w:instrText>
          </w:r>
          <w:r>
            <w:fldChar w:fldCharType="separate"/>
          </w:r>
          <w:r>
            <w:t>78</w:t>
          </w:r>
          <w:r>
            <w:fldChar w:fldCharType="end"/>
          </w:r>
          <w:r>
            <w:fldChar w:fldCharType="end"/>
          </w:r>
        </w:p>
        <w:p>
          <w:pPr>
            <w:pStyle w:val="40"/>
            <w:tabs>
              <w:tab w:val="right" w:leader="dot" w:pos="9070"/>
            </w:tabs>
          </w:pPr>
          <w:r>
            <w:fldChar w:fldCharType="begin"/>
          </w:r>
          <w:r>
            <w:instrText xml:space="preserve"> HYPERLINK \l _Toc2081 </w:instrText>
          </w:r>
          <w:r>
            <w:fldChar w:fldCharType="separate"/>
          </w:r>
          <w:r>
            <w:rPr>
              <w:rFonts w:hint="eastAsia" w:ascii="Times New Roman" w:hAnsi="Times New Roman" w:cs="Times New Roman"/>
              <w:bCs/>
              <w:szCs w:val="28"/>
            </w:rPr>
            <w:t xml:space="preserve">4.5 </w:t>
          </w:r>
          <w:r>
            <w:rPr>
              <w:rFonts w:hint="default" w:ascii="Times New Roman" w:hAnsi="Times New Roman" w:cs="Times New Roman"/>
              <w:bCs/>
              <w:szCs w:val="28"/>
            </w:rPr>
            <w:t>生态环境现状调查与评价</w:t>
          </w:r>
          <w:r>
            <w:tab/>
          </w:r>
          <w:r>
            <w:fldChar w:fldCharType="begin"/>
          </w:r>
          <w:r>
            <w:instrText xml:space="preserve"> PAGEREF _Toc2081 \h </w:instrText>
          </w:r>
          <w:r>
            <w:fldChar w:fldCharType="separate"/>
          </w:r>
          <w:r>
            <w:t>84</w:t>
          </w:r>
          <w:r>
            <w:fldChar w:fldCharType="end"/>
          </w:r>
          <w:r>
            <w:fldChar w:fldCharType="end"/>
          </w:r>
        </w:p>
        <w:p>
          <w:pPr>
            <w:pStyle w:val="35"/>
            <w:tabs>
              <w:tab w:val="right" w:leader="dot" w:pos="9070"/>
            </w:tabs>
          </w:pPr>
          <w:r>
            <w:fldChar w:fldCharType="begin"/>
          </w:r>
          <w:r>
            <w:instrText xml:space="preserve"> HYPERLINK \l _Toc32080 </w:instrText>
          </w:r>
          <w:r>
            <w:fldChar w:fldCharType="separate"/>
          </w:r>
          <w:r>
            <w:rPr>
              <w:rFonts w:hint="default" w:ascii="Times New Roman" w:hAnsi="Times New Roman" w:cs="Times New Roman"/>
            </w:rPr>
            <w:t xml:space="preserve">5 </w:t>
          </w:r>
          <w:r>
            <w:t>环境影响预测与评价</w:t>
          </w:r>
          <w:r>
            <w:tab/>
          </w:r>
          <w:r>
            <w:fldChar w:fldCharType="begin"/>
          </w:r>
          <w:r>
            <w:instrText xml:space="preserve"> PAGEREF _Toc32080 \h </w:instrText>
          </w:r>
          <w:r>
            <w:fldChar w:fldCharType="separate"/>
          </w:r>
          <w:r>
            <w:t>89</w:t>
          </w:r>
          <w:r>
            <w:fldChar w:fldCharType="end"/>
          </w:r>
          <w:r>
            <w:fldChar w:fldCharType="end"/>
          </w:r>
        </w:p>
        <w:p>
          <w:pPr>
            <w:pStyle w:val="40"/>
            <w:tabs>
              <w:tab w:val="right" w:leader="dot" w:pos="9070"/>
            </w:tabs>
          </w:pPr>
          <w:r>
            <w:fldChar w:fldCharType="begin"/>
          </w:r>
          <w:r>
            <w:instrText xml:space="preserve"> HYPERLINK \l _Toc28416 </w:instrText>
          </w:r>
          <w:r>
            <w:fldChar w:fldCharType="separate"/>
          </w:r>
          <w:r>
            <w:rPr>
              <w:rFonts w:hint="eastAsia"/>
              <w:bCs/>
              <w:szCs w:val="28"/>
            </w:rPr>
            <w:t xml:space="preserve">5.1 </w:t>
          </w:r>
          <w:r>
            <w:rPr>
              <w:bCs/>
              <w:szCs w:val="28"/>
            </w:rPr>
            <w:t>声环境影响分析</w:t>
          </w:r>
          <w:r>
            <w:tab/>
          </w:r>
          <w:r>
            <w:fldChar w:fldCharType="begin"/>
          </w:r>
          <w:r>
            <w:instrText xml:space="preserve"> PAGEREF _Toc28416 \h </w:instrText>
          </w:r>
          <w:r>
            <w:fldChar w:fldCharType="separate"/>
          </w:r>
          <w:r>
            <w:t>89</w:t>
          </w:r>
          <w:r>
            <w:fldChar w:fldCharType="end"/>
          </w:r>
          <w:r>
            <w:fldChar w:fldCharType="end"/>
          </w:r>
        </w:p>
        <w:p>
          <w:pPr>
            <w:pStyle w:val="40"/>
            <w:tabs>
              <w:tab w:val="right" w:leader="dot" w:pos="9070"/>
            </w:tabs>
          </w:pPr>
          <w:r>
            <w:fldChar w:fldCharType="begin"/>
          </w:r>
          <w:r>
            <w:instrText xml:space="preserve"> HYPERLINK \l _Toc27757 </w:instrText>
          </w:r>
          <w:r>
            <w:fldChar w:fldCharType="separate"/>
          </w:r>
          <w:r>
            <w:rPr>
              <w:rFonts w:hint="eastAsia"/>
              <w:bCs/>
              <w:szCs w:val="28"/>
            </w:rPr>
            <w:t xml:space="preserve">5.2 </w:t>
          </w:r>
          <w:r>
            <w:rPr>
              <w:bCs/>
              <w:szCs w:val="28"/>
            </w:rPr>
            <w:t>大气环境影响分析</w:t>
          </w:r>
          <w:r>
            <w:tab/>
          </w:r>
          <w:r>
            <w:fldChar w:fldCharType="begin"/>
          </w:r>
          <w:r>
            <w:instrText xml:space="preserve"> PAGEREF _Toc27757 \h </w:instrText>
          </w:r>
          <w:r>
            <w:fldChar w:fldCharType="separate"/>
          </w:r>
          <w:r>
            <w:t>109</w:t>
          </w:r>
          <w:r>
            <w:fldChar w:fldCharType="end"/>
          </w:r>
          <w:r>
            <w:fldChar w:fldCharType="end"/>
          </w:r>
        </w:p>
        <w:p>
          <w:pPr>
            <w:pStyle w:val="40"/>
            <w:tabs>
              <w:tab w:val="right" w:leader="dot" w:pos="9070"/>
            </w:tabs>
          </w:pPr>
          <w:r>
            <w:fldChar w:fldCharType="begin"/>
          </w:r>
          <w:r>
            <w:instrText xml:space="preserve"> HYPERLINK \l _Toc18555 </w:instrText>
          </w:r>
          <w:r>
            <w:fldChar w:fldCharType="separate"/>
          </w:r>
          <w:r>
            <w:rPr>
              <w:rFonts w:hint="eastAsia"/>
              <w:bCs/>
              <w:szCs w:val="28"/>
            </w:rPr>
            <w:t xml:space="preserve">5.3 </w:t>
          </w:r>
          <w:r>
            <w:rPr>
              <w:bCs/>
              <w:szCs w:val="28"/>
            </w:rPr>
            <w:t>水环境影响分析</w:t>
          </w:r>
          <w:r>
            <w:tab/>
          </w:r>
          <w:r>
            <w:fldChar w:fldCharType="begin"/>
          </w:r>
          <w:r>
            <w:instrText xml:space="preserve"> PAGEREF _Toc18555 \h </w:instrText>
          </w:r>
          <w:r>
            <w:fldChar w:fldCharType="separate"/>
          </w:r>
          <w:r>
            <w:t>114</w:t>
          </w:r>
          <w:r>
            <w:fldChar w:fldCharType="end"/>
          </w:r>
          <w:r>
            <w:fldChar w:fldCharType="end"/>
          </w:r>
        </w:p>
        <w:p>
          <w:pPr>
            <w:pStyle w:val="40"/>
            <w:tabs>
              <w:tab w:val="right" w:leader="dot" w:pos="9070"/>
            </w:tabs>
          </w:pPr>
          <w:r>
            <w:fldChar w:fldCharType="begin"/>
          </w:r>
          <w:r>
            <w:instrText xml:space="preserve"> HYPERLINK \l _Toc29070 </w:instrText>
          </w:r>
          <w:r>
            <w:fldChar w:fldCharType="separate"/>
          </w:r>
          <w:r>
            <w:rPr>
              <w:rFonts w:hint="eastAsia"/>
              <w:bCs/>
              <w:szCs w:val="28"/>
            </w:rPr>
            <w:t xml:space="preserve">5.4 </w:t>
          </w:r>
          <w:r>
            <w:rPr>
              <w:bCs/>
              <w:szCs w:val="28"/>
            </w:rPr>
            <w:t>固体废物环境影响分析</w:t>
          </w:r>
          <w:r>
            <w:tab/>
          </w:r>
          <w:r>
            <w:fldChar w:fldCharType="begin"/>
          </w:r>
          <w:r>
            <w:instrText xml:space="preserve"> PAGEREF _Toc29070 \h </w:instrText>
          </w:r>
          <w:r>
            <w:fldChar w:fldCharType="separate"/>
          </w:r>
          <w:r>
            <w:t>116</w:t>
          </w:r>
          <w:r>
            <w:fldChar w:fldCharType="end"/>
          </w:r>
          <w:r>
            <w:fldChar w:fldCharType="end"/>
          </w:r>
        </w:p>
        <w:p>
          <w:pPr>
            <w:pStyle w:val="40"/>
            <w:tabs>
              <w:tab w:val="right" w:leader="dot" w:pos="9070"/>
            </w:tabs>
          </w:pPr>
          <w:r>
            <w:fldChar w:fldCharType="begin"/>
          </w:r>
          <w:r>
            <w:instrText xml:space="preserve"> HYPERLINK \l _Toc19518 </w:instrText>
          </w:r>
          <w:r>
            <w:fldChar w:fldCharType="separate"/>
          </w:r>
          <w:r>
            <w:rPr>
              <w:rFonts w:hint="eastAsia"/>
              <w:bCs/>
              <w:szCs w:val="28"/>
            </w:rPr>
            <w:t xml:space="preserve">5.5 </w:t>
          </w:r>
          <w:r>
            <w:rPr>
              <w:bCs/>
              <w:szCs w:val="28"/>
            </w:rPr>
            <w:t>生态环境影响分析</w:t>
          </w:r>
          <w:r>
            <w:tab/>
          </w:r>
          <w:r>
            <w:fldChar w:fldCharType="begin"/>
          </w:r>
          <w:r>
            <w:instrText xml:space="preserve"> PAGEREF _Toc19518 \h </w:instrText>
          </w:r>
          <w:r>
            <w:fldChar w:fldCharType="separate"/>
          </w:r>
          <w:r>
            <w:t>117</w:t>
          </w:r>
          <w:r>
            <w:fldChar w:fldCharType="end"/>
          </w:r>
          <w:r>
            <w:fldChar w:fldCharType="end"/>
          </w:r>
        </w:p>
        <w:p>
          <w:pPr>
            <w:pStyle w:val="40"/>
            <w:tabs>
              <w:tab w:val="right" w:leader="dot" w:pos="9070"/>
            </w:tabs>
          </w:pPr>
          <w:r>
            <w:fldChar w:fldCharType="begin"/>
          </w:r>
          <w:r>
            <w:instrText xml:space="preserve"> HYPERLINK \l _Toc6438 </w:instrText>
          </w:r>
          <w:r>
            <w:fldChar w:fldCharType="separate"/>
          </w:r>
          <w:r>
            <w:rPr>
              <w:rFonts w:hint="eastAsia"/>
              <w:bCs/>
              <w:szCs w:val="28"/>
            </w:rPr>
            <w:t xml:space="preserve">5.6 </w:t>
          </w:r>
          <w:r>
            <w:rPr>
              <w:bCs/>
              <w:szCs w:val="28"/>
            </w:rPr>
            <w:t>环境风险分析</w:t>
          </w:r>
          <w:r>
            <w:tab/>
          </w:r>
          <w:r>
            <w:fldChar w:fldCharType="begin"/>
          </w:r>
          <w:r>
            <w:instrText xml:space="preserve"> PAGEREF _Toc6438 \h </w:instrText>
          </w:r>
          <w:r>
            <w:fldChar w:fldCharType="separate"/>
          </w:r>
          <w:r>
            <w:t>124</w:t>
          </w:r>
          <w:r>
            <w:fldChar w:fldCharType="end"/>
          </w:r>
          <w:r>
            <w:fldChar w:fldCharType="end"/>
          </w:r>
        </w:p>
        <w:p>
          <w:pPr>
            <w:pStyle w:val="35"/>
            <w:tabs>
              <w:tab w:val="right" w:leader="dot" w:pos="9070"/>
            </w:tabs>
          </w:pPr>
          <w:r>
            <w:fldChar w:fldCharType="begin"/>
          </w:r>
          <w:r>
            <w:instrText xml:space="preserve"> HYPERLINK \l _Toc16245 </w:instrText>
          </w:r>
          <w:r>
            <w:fldChar w:fldCharType="separate"/>
          </w:r>
          <w:r>
            <w:rPr>
              <w:rFonts w:hint="default" w:ascii="Times New Roman" w:hAnsi="Times New Roman" w:cs="Times New Roman"/>
            </w:rPr>
            <w:t xml:space="preserve">6 </w:t>
          </w:r>
          <w:r>
            <w:t>环境保护措施及其可行性论证</w:t>
          </w:r>
          <w:r>
            <w:tab/>
          </w:r>
          <w:r>
            <w:fldChar w:fldCharType="begin"/>
          </w:r>
          <w:r>
            <w:instrText xml:space="preserve"> PAGEREF _Toc16245 \h </w:instrText>
          </w:r>
          <w:r>
            <w:fldChar w:fldCharType="separate"/>
          </w:r>
          <w:r>
            <w:t>129</w:t>
          </w:r>
          <w:r>
            <w:fldChar w:fldCharType="end"/>
          </w:r>
          <w:r>
            <w:fldChar w:fldCharType="end"/>
          </w:r>
        </w:p>
        <w:p>
          <w:pPr>
            <w:pStyle w:val="40"/>
            <w:tabs>
              <w:tab w:val="right" w:leader="dot" w:pos="9070"/>
            </w:tabs>
          </w:pPr>
          <w:r>
            <w:fldChar w:fldCharType="begin"/>
          </w:r>
          <w:r>
            <w:instrText xml:space="preserve"> HYPERLINK \l _Toc31138 </w:instrText>
          </w:r>
          <w:r>
            <w:fldChar w:fldCharType="separate"/>
          </w:r>
          <w:r>
            <w:rPr>
              <w:rFonts w:hint="eastAsia"/>
              <w:bCs/>
              <w:szCs w:val="28"/>
            </w:rPr>
            <w:t xml:space="preserve">6.1 </w:t>
          </w:r>
          <w:r>
            <w:rPr>
              <w:bCs/>
              <w:szCs w:val="28"/>
            </w:rPr>
            <w:t>设计阶段环保措施</w:t>
          </w:r>
          <w:r>
            <w:tab/>
          </w:r>
          <w:r>
            <w:fldChar w:fldCharType="begin"/>
          </w:r>
          <w:r>
            <w:instrText xml:space="preserve"> PAGEREF _Toc31138 \h </w:instrText>
          </w:r>
          <w:r>
            <w:fldChar w:fldCharType="separate"/>
          </w:r>
          <w:r>
            <w:t>129</w:t>
          </w:r>
          <w:r>
            <w:fldChar w:fldCharType="end"/>
          </w:r>
          <w:r>
            <w:fldChar w:fldCharType="end"/>
          </w:r>
        </w:p>
        <w:p>
          <w:pPr>
            <w:pStyle w:val="40"/>
            <w:tabs>
              <w:tab w:val="right" w:leader="dot" w:pos="9070"/>
            </w:tabs>
          </w:pPr>
          <w:r>
            <w:fldChar w:fldCharType="begin"/>
          </w:r>
          <w:r>
            <w:instrText xml:space="preserve"> HYPERLINK \l _Toc1852 </w:instrText>
          </w:r>
          <w:r>
            <w:fldChar w:fldCharType="separate"/>
          </w:r>
          <w:r>
            <w:rPr>
              <w:rFonts w:hint="eastAsia"/>
              <w:bCs/>
              <w:szCs w:val="28"/>
            </w:rPr>
            <w:t xml:space="preserve">6.2 </w:t>
          </w:r>
          <w:r>
            <w:rPr>
              <w:bCs/>
              <w:szCs w:val="28"/>
              <w:lang w:val="zh-TW"/>
            </w:rPr>
            <w:t>施工期环境保护措施</w:t>
          </w:r>
          <w:r>
            <w:tab/>
          </w:r>
          <w:r>
            <w:fldChar w:fldCharType="begin"/>
          </w:r>
          <w:r>
            <w:instrText xml:space="preserve"> PAGEREF _Toc1852 \h </w:instrText>
          </w:r>
          <w:r>
            <w:fldChar w:fldCharType="separate"/>
          </w:r>
          <w:r>
            <w:t>132</w:t>
          </w:r>
          <w:r>
            <w:fldChar w:fldCharType="end"/>
          </w:r>
          <w:r>
            <w:fldChar w:fldCharType="end"/>
          </w:r>
        </w:p>
        <w:p>
          <w:pPr>
            <w:pStyle w:val="40"/>
            <w:tabs>
              <w:tab w:val="right" w:leader="dot" w:pos="9070"/>
            </w:tabs>
          </w:pPr>
          <w:r>
            <w:fldChar w:fldCharType="begin"/>
          </w:r>
          <w:r>
            <w:instrText xml:space="preserve"> HYPERLINK \l _Toc8122 </w:instrText>
          </w:r>
          <w:r>
            <w:fldChar w:fldCharType="separate"/>
          </w:r>
          <w:r>
            <w:rPr>
              <w:rFonts w:hint="eastAsia"/>
              <w:bCs/>
              <w:szCs w:val="28"/>
            </w:rPr>
            <w:t xml:space="preserve">6.3 </w:t>
          </w:r>
          <w:r>
            <w:rPr>
              <w:bCs/>
              <w:szCs w:val="28"/>
            </w:rPr>
            <w:t>运行期环保措施</w:t>
          </w:r>
          <w:r>
            <w:tab/>
          </w:r>
          <w:r>
            <w:fldChar w:fldCharType="begin"/>
          </w:r>
          <w:r>
            <w:instrText xml:space="preserve"> PAGEREF _Toc8122 \h </w:instrText>
          </w:r>
          <w:r>
            <w:fldChar w:fldCharType="separate"/>
          </w:r>
          <w:r>
            <w:t>142</w:t>
          </w:r>
          <w:r>
            <w:fldChar w:fldCharType="end"/>
          </w:r>
          <w:r>
            <w:fldChar w:fldCharType="end"/>
          </w:r>
        </w:p>
        <w:p>
          <w:pPr>
            <w:pStyle w:val="40"/>
            <w:tabs>
              <w:tab w:val="right" w:leader="dot" w:pos="9070"/>
            </w:tabs>
          </w:pPr>
          <w:r>
            <w:fldChar w:fldCharType="begin"/>
          </w:r>
          <w:r>
            <w:instrText xml:space="preserve"> HYPERLINK \l _Toc29006 </w:instrText>
          </w:r>
          <w:r>
            <w:fldChar w:fldCharType="separate"/>
          </w:r>
          <w:r>
            <w:rPr>
              <w:rFonts w:hint="eastAsia"/>
              <w:bCs/>
              <w:i w:val="0"/>
              <w:iCs w:val="0"/>
              <w:szCs w:val="28"/>
            </w:rPr>
            <w:t xml:space="preserve">6.4 </w:t>
          </w:r>
          <w:r>
            <w:rPr>
              <w:bCs/>
              <w:i w:val="0"/>
              <w:iCs w:val="0"/>
              <w:szCs w:val="28"/>
            </w:rPr>
            <w:t>环保投资</w:t>
          </w:r>
          <w:r>
            <w:tab/>
          </w:r>
          <w:r>
            <w:fldChar w:fldCharType="begin"/>
          </w:r>
          <w:r>
            <w:instrText xml:space="preserve"> PAGEREF _Toc29006 \h </w:instrText>
          </w:r>
          <w:r>
            <w:fldChar w:fldCharType="separate"/>
          </w:r>
          <w:r>
            <w:t>151</w:t>
          </w:r>
          <w:r>
            <w:fldChar w:fldCharType="end"/>
          </w:r>
          <w:r>
            <w:fldChar w:fldCharType="end"/>
          </w:r>
        </w:p>
        <w:p>
          <w:pPr>
            <w:pStyle w:val="35"/>
            <w:tabs>
              <w:tab w:val="right" w:leader="dot" w:pos="9070"/>
            </w:tabs>
          </w:pPr>
          <w:r>
            <w:fldChar w:fldCharType="begin"/>
          </w:r>
          <w:r>
            <w:instrText xml:space="preserve"> HYPERLINK \l _Toc20118 </w:instrText>
          </w:r>
          <w:r>
            <w:fldChar w:fldCharType="separate"/>
          </w:r>
          <w:r>
            <w:rPr>
              <w:rFonts w:hint="default" w:ascii="Times New Roman" w:hAnsi="Times New Roman" w:cs="Times New Roman"/>
            </w:rPr>
            <w:t xml:space="preserve">7 </w:t>
          </w:r>
          <w:r>
            <w:t>环境影响经济损益分析</w:t>
          </w:r>
          <w:r>
            <w:tab/>
          </w:r>
          <w:r>
            <w:fldChar w:fldCharType="begin"/>
          </w:r>
          <w:r>
            <w:instrText xml:space="preserve"> PAGEREF _Toc20118 \h </w:instrText>
          </w:r>
          <w:r>
            <w:fldChar w:fldCharType="separate"/>
          </w:r>
          <w:r>
            <w:t>153</w:t>
          </w:r>
          <w:r>
            <w:fldChar w:fldCharType="end"/>
          </w:r>
          <w:r>
            <w:fldChar w:fldCharType="end"/>
          </w:r>
        </w:p>
        <w:p>
          <w:pPr>
            <w:pStyle w:val="40"/>
            <w:tabs>
              <w:tab w:val="right" w:leader="dot" w:pos="9070"/>
            </w:tabs>
          </w:pPr>
          <w:r>
            <w:fldChar w:fldCharType="begin"/>
          </w:r>
          <w:r>
            <w:instrText xml:space="preserve"> HYPERLINK \l _Toc5925 </w:instrText>
          </w:r>
          <w:r>
            <w:fldChar w:fldCharType="separate"/>
          </w:r>
          <w:r>
            <w:rPr>
              <w:rFonts w:hint="eastAsia"/>
              <w:bCs/>
              <w:szCs w:val="28"/>
            </w:rPr>
            <w:t xml:space="preserve">7.1 </w:t>
          </w:r>
          <w:r>
            <w:rPr>
              <w:bCs/>
              <w:szCs w:val="28"/>
            </w:rPr>
            <w:t>工程带来的环境损失</w:t>
          </w:r>
          <w:r>
            <w:tab/>
          </w:r>
          <w:r>
            <w:fldChar w:fldCharType="begin"/>
          </w:r>
          <w:r>
            <w:instrText xml:space="preserve"> PAGEREF _Toc5925 \h </w:instrText>
          </w:r>
          <w:r>
            <w:fldChar w:fldCharType="separate"/>
          </w:r>
          <w:r>
            <w:t>153</w:t>
          </w:r>
          <w:r>
            <w:fldChar w:fldCharType="end"/>
          </w:r>
          <w:r>
            <w:fldChar w:fldCharType="end"/>
          </w:r>
        </w:p>
        <w:p>
          <w:pPr>
            <w:pStyle w:val="40"/>
            <w:tabs>
              <w:tab w:val="right" w:leader="dot" w:pos="9070"/>
            </w:tabs>
          </w:pPr>
          <w:r>
            <w:fldChar w:fldCharType="begin"/>
          </w:r>
          <w:r>
            <w:instrText xml:space="preserve"> HYPERLINK \l _Toc22770 </w:instrText>
          </w:r>
          <w:r>
            <w:fldChar w:fldCharType="separate"/>
          </w:r>
          <w:r>
            <w:rPr>
              <w:rFonts w:hint="eastAsia"/>
              <w:bCs/>
              <w:szCs w:val="28"/>
            </w:rPr>
            <w:t xml:space="preserve">7.2 </w:t>
          </w:r>
          <w:r>
            <w:rPr>
              <w:bCs/>
              <w:szCs w:val="28"/>
            </w:rPr>
            <w:t>环境影响经济损益分析</w:t>
          </w:r>
          <w:r>
            <w:tab/>
          </w:r>
          <w:r>
            <w:fldChar w:fldCharType="begin"/>
          </w:r>
          <w:r>
            <w:instrText xml:space="preserve"> PAGEREF _Toc22770 \h </w:instrText>
          </w:r>
          <w:r>
            <w:fldChar w:fldCharType="separate"/>
          </w:r>
          <w:r>
            <w:t>153</w:t>
          </w:r>
          <w:r>
            <w:fldChar w:fldCharType="end"/>
          </w:r>
          <w:r>
            <w:fldChar w:fldCharType="end"/>
          </w:r>
        </w:p>
        <w:p>
          <w:pPr>
            <w:pStyle w:val="35"/>
            <w:tabs>
              <w:tab w:val="right" w:leader="dot" w:pos="9070"/>
            </w:tabs>
          </w:pPr>
          <w:r>
            <w:fldChar w:fldCharType="begin"/>
          </w:r>
          <w:r>
            <w:instrText xml:space="preserve"> HYPERLINK \l _Toc19213 </w:instrText>
          </w:r>
          <w:r>
            <w:fldChar w:fldCharType="separate"/>
          </w:r>
          <w:r>
            <w:rPr>
              <w:rFonts w:hint="default" w:ascii="Times New Roman" w:hAnsi="Times New Roman" w:cs="Times New Roman"/>
            </w:rPr>
            <w:t xml:space="preserve">8 </w:t>
          </w:r>
          <w:r>
            <w:t>环境管理与监测计划</w:t>
          </w:r>
          <w:r>
            <w:tab/>
          </w:r>
          <w:r>
            <w:fldChar w:fldCharType="begin"/>
          </w:r>
          <w:r>
            <w:instrText xml:space="preserve"> PAGEREF _Toc19213 \h </w:instrText>
          </w:r>
          <w:r>
            <w:fldChar w:fldCharType="separate"/>
          </w:r>
          <w:r>
            <w:t>157</w:t>
          </w:r>
          <w:r>
            <w:fldChar w:fldCharType="end"/>
          </w:r>
          <w:r>
            <w:fldChar w:fldCharType="end"/>
          </w:r>
        </w:p>
        <w:p>
          <w:pPr>
            <w:pStyle w:val="40"/>
            <w:tabs>
              <w:tab w:val="right" w:leader="dot" w:pos="9070"/>
            </w:tabs>
          </w:pPr>
          <w:r>
            <w:fldChar w:fldCharType="begin"/>
          </w:r>
          <w:r>
            <w:instrText xml:space="preserve"> HYPERLINK \l _Toc28774 </w:instrText>
          </w:r>
          <w:r>
            <w:fldChar w:fldCharType="separate"/>
          </w:r>
          <w:r>
            <w:rPr>
              <w:rFonts w:hint="eastAsia"/>
              <w:bCs/>
              <w:szCs w:val="28"/>
            </w:rPr>
            <w:t xml:space="preserve">8.1 </w:t>
          </w:r>
          <w:r>
            <w:rPr>
              <w:bCs/>
              <w:szCs w:val="28"/>
            </w:rPr>
            <w:t>环境保护管理计划</w:t>
          </w:r>
          <w:r>
            <w:tab/>
          </w:r>
          <w:r>
            <w:fldChar w:fldCharType="begin"/>
          </w:r>
          <w:r>
            <w:instrText xml:space="preserve"> PAGEREF _Toc28774 \h </w:instrText>
          </w:r>
          <w:r>
            <w:fldChar w:fldCharType="separate"/>
          </w:r>
          <w:r>
            <w:t>157</w:t>
          </w:r>
          <w:r>
            <w:fldChar w:fldCharType="end"/>
          </w:r>
          <w:r>
            <w:fldChar w:fldCharType="end"/>
          </w:r>
        </w:p>
        <w:p>
          <w:pPr>
            <w:pStyle w:val="40"/>
            <w:tabs>
              <w:tab w:val="right" w:leader="dot" w:pos="9070"/>
            </w:tabs>
          </w:pPr>
          <w:r>
            <w:fldChar w:fldCharType="begin"/>
          </w:r>
          <w:r>
            <w:instrText xml:space="preserve"> HYPERLINK \l _Toc26324 </w:instrText>
          </w:r>
          <w:r>
            <w:fldChar w:fldCharType="separate"/>
          </w:r>
          <w:r>
            <w:rPr>
              <w:rFonts w:hint="eastAsia"/>
              <w:bCs/>
              <w:szCs w:val="28"/>
            </w:rPr>
            <w:t xml:space="preserve">8.2 </w:t>
          </w:r>
          <w:r>
            <w:rPr>
              <w:bCs/>
              <w:szCs w:val="28"/>
            </w:rPr>
            <w:t>环境监测计划</w:t>
          </w:r>
          <w:r>
            <w:tab/>
          </w:r>
          <w:r>
            <w:fldChar w:fldCharType="begin"/>
          </w:r>
          <w:r>
            <w:instrText xml:space="preserve"> PAGEREF _Toc26324 \h </w:instrText>
          </w:r>
          <w:r>
            <w:fldChar w:fldCharType="separate"/>
          </w:r>
          <w:r>
            <w:t>160</w:t>
          </w:r>
          <w:r>
            <w:fldChar w:fldCharType="end"/>
          </w:r>
          <w:r>
            <w:fldChar w:fldCharType="end"/>
          </w:r>
        </w:p>
        <w:p>
          <w:pPr>
            <w:pStyle w:val="40"/>
            <w:tabs>
              <w:tab w:val="right" w:leader="dot" w:pos="9070"/>
            </w:tabs>
          </w:pPr>
          <w:r>
            <w:fldChar w:fldCharType="begin"/>
          </w:r>
          <w:r>
            <w:instrText xml:space="preserve"> HYPERLINK \l _Toc974 </w:instrText>
          </w:r>
          <w:r>
            <w:fldChar w:fldCharType="separate"/>
          </w:r>
          <w:r>
            <w:rPr>
              <w:rFonts w:hint="eastAsia"/>
              <w:bCs/>
              <w:szCs w:val="28"/>
            </w:rPr>
            <w:t xml:space="preserve">8.3 </w:t>
          </w:r>
          <w:r>
            <w:rPr>
              <w:bCs/>
              <w:szCs w:val="28"/>
            </w:rPr>
            <w:t>竣工环保验收内容</w:t>
          </w:r>
          <w:r>
            <w:tab/>
          </w:r>
          <w:r>
            <w:fldChar w:fldCharType="begin"/>
          </w:r>
          <w:r>
            <w:instrText xml:space="preserve"> PAGEREF _Toc974 \h </w:instrText>
          </w:r>
          <w:r>
            <w:fldChar w:fldCharType="separate"/>
          </w:r>
          <w:r>
            <w:t>161</w:t>
          </w:r>
          <w:r>
            <w:fldChar w:fldCharType="end"/>
          </w:r>
          <w:r>
            <w:fldChar w:fldCharType="end"/>
          </w:r>
        </w:p>
        <w:p>
          <w:pPr>
            <w:pStyle w:val="35"/>
            <w:tabs>
              <w:tab w:val="right" w:leader="dot" w:pos="9070"/>
            </w:tabs>
          </w:pPr>
          <w:r>
            <w:fldChar w:fldCharType="begin"/>
          </w:r>
          <w:r>
            <w:instrText xml:space="preserve"> HYPERLINK \l _Toc20737 </w:instrText>
          </w:r>
          <w:r>
            <w:fldChar w:fldCharType="separate"/>
          </w:r>
          <w:r>
            <w:rPr>
              <w:rFonts w:hint="default" w:ascii="Times New Roman" w:hAnsi="Times New Roman" w:cs="Times New Roman"/>
            </w:rPr>
            <w:t xml:space="preserve">9 </w:t>
          </w:r>
          <w:r>
            <w:t>环境影响评价结论</w:t>
          </w:r>
          <w:r>
            <w:tab/>
          </w:r>
          <w:r>
            <w:fldChar w:fldCharType="begin"/>
          </w:r>
          <w:r>
            <w:instrText xml:space="preserve"> PAGEREF _Toc20737 \h </w:instrText>
          </w:r>
          <w:r>
            <w:fldChar w:fldCharType="separate"/>
          </w:r>
          <w:r>
            <w:t>163</w:t>
          </w:r>
          <w:r>
            <w:fldChar w:fldCharType="end"/>
          </w:r>
          <w:r>
            <w:fldChar w:fldCharType="end"/>
          </w:r>
        </w:p>
        <w:p>
          <w:pPr>
            <w:pStyle w:val="40"/>
            <w:tabs>
              <w:tab w:val="right" w:leader="dot" w:pos="9070"/>
            </w:tabs>
          </w:pPr>
          <w:r>
            <w:fldChar w:fldCharType="begin"/>
          </w:r>
          <w:r>
            <w:instrText xml:space="preserve"> HYPERLINK \l _Toc20018 </w:instrText>
          </w:r>
          <w:r>
            <w:fldChar w:fldCharType="separate"/>
          </w:r>
          <w:r>
            <w:rPr>
              <w:rFonts w:hint="eastAsia"/>
              <w:bCs/>
              <w:szCs w:val="28"/>
            </w:rPr>
            <w:t xml:space="preserve">9.1 </w:t>
          </w:r>
          <w:r>
            <w:rPr>
              <w:bCs/>
              <w:szCs w:val="28"/>
            </w:rPr>
            <w:t>工程概况</w:t>
          </w:r>
          <w:r>
            <w:tab/>
          </w:r>
          <w:r>
            <w:fldChar w:fldCharType="begin"/>
          </w:r>
          <w:r>
            <w:instrText xml:space="preserve"> PAGEREF _Toc20018 \h </w:instrText>
          </w:r>
          <w:r>
            <w:fldChar w:fldCharType="separate"/>
          </w:r>
          <w:r>
            <w:t>163</w:t>
          </w:r>
          <w:r>
            <w:fldChar w:fldCharType="end"/>
          </w:r>
          <w:r>
            <w:fldChar w:fldCharType="end"/>
          </w:r>
        </w:p>
        <w:p>
          <w:pPr>
            <w:pStyle w:val="40"/>
            <w:tabs>
              <w:tab w:val="right" w:leader="dot" w:pos="9070"/>
            </w:tabs>
          </w:pPr>
          <w:r>
            <w:fldChar w:fldCharType="begin"/>
          </w:r>
          <w:r>
            <w:instrText xml:space="preserve"> HYPERLINK \l _Toc29878 </w:instrText>
          </w:r>
          <w:r>
            <w:fldChar w:fldCharType="separate"/>
          </w:r>
          <w:r>
            <w:rPr>
              <w:rFonts w:hint="eastAsia"/>
              <w:bCs/>
              <w:szCs w:val="28"/>
            </w:rPr>
            <w:t xml:space="preserve">9.2 </w:t>
          </w:r>
          <w:r>
            <w:rPr>
              <w:bCs/>
              <w:szCs w:val="28"/>
            </w:rPr>
            <w:t>环境质量现状</w:t>
          </w:r>
          <w:r>
            <w:tab/>
          </w:r>
          <w:r>
            <w:fldChar w:fldCharType="begin"/>
          </w:r>
          <w:r>
            <w:instrText xml:space="preserve"> PAGEREF _Toc29878 \h </w:instrText>
          </w:r>
          <w:r>
            <w:fldChar w:fldCharType="separate"/>
          </w:r>
          <w:r>
            <w:t>163</w:t>
          </w:r>
          <w:r>
            <w:fldChar w:fldCharType="end"/>
          </w:r>
          <w:r>
            <w:fldChar w:fldCharType="end"/>
          </w:r>
        </w:p>
        <w:p>
          <w:pPr>
            <w:pStyle w:val="40"/>
            <w:tabs>
              <w:tab w:val="right" w:leader="dot" w:pos="9070"/>
            </w:tabs>
          </w:pPr>
          <w:r>
            <w:fldChar w:fldCharType="begin"/>
          </w:r>
          <w:r>
            <w:instrText xml:space="preserve"> HYPERLINK \l _Toc404 </w:instrText>
          </w:r>
          <w:r>
            <w:fldChar w:fldCharType="separate"/>
          </w:r>
          <w:r>
            <w:rPr>
              <w:rFonts w:hint="eastAsia"/>
              <w:bCs/>
              <w:szCs w:val="28"/>
            </w:rPr>
            <w:t xml:space="preserve">9.3 </w:t>
          </w:r>
          <w:r>
            <w:rPr>
              <w:bCs/>
              <w:szCs w:val="28"/>
            </w:rPr>
            <w:t>环境影响分析</w:t>
          </w:r>
          <w:r>
            <w:tab/>
          </w:r>
          <w:r>
            <w:fldChar w:fldCharType="begin"/>
          </w:r>
          <w:r>
            <w:instrText xml:space="preserve"> PAGEREF _Toc404 \h </w:instrText>
          </w:r>
          <w:r>
            <w:fldChar w:fldCharType="separate"/>
          </w:r>
          <w:r>
            <w:t>164</w:t>
          </w:r>
          <w:r>
            <w:fldChar w:fldCharType="end"/>
          </w:r>
          <w:r>
            <w:fldChar w:fldCharType="end"/>
          </w:r>
        </w:p>
        <w:p>
          <w:pPr>
            <w:pStyle w:val="40"/>
            <w:tabs>
              <w:tab w:val="right" w:leader="dot" w:pos="9070"/>
            </w:tabs>
          </w:pPr>
          <w:r>
            <w:fldChar w:fldCharType="begin"/>
          </w:r>
          <w:r>
            <w:instrText xml:space="preserve"> HYPERLINK \l _Toc2472 </w:instrText>
          </w:r>
          <w:r>
            <w:fldChar w:fldCharType="separate"/>
          </w:r>
          <w:r>
            <w:rPr>
              <w:rFonts w:hint="eastAsia"/>
              <w:bCs/>
              <w:szCs w:val="28"/>
            </w:rPr>
            <w:t xml:space="preserve">9.4 </w:t>
          </w:r>
          <w:r>
            <w:rPr>
              <w:bCs/>
              <w:szCs w:val="28"/>
            </w:rPr>
            <w:t>环境风险评价</w:t>
          </w:r>
          <w:r>
            <w:tab/>
          </w:r>
          <w:r>
            <w:fldChar w:fldCharType="begin"/>
          </w:r>
          <w:r>
            <w:instrText xml:space="preserve"> PAGEREF _Toc2472 \h </w:instrText>
          </w:r>
          <w:r>
            <w:fldChar w:fldCharType="separate"/>
          </w:r>
          <w:r>
            <w:t>166</w:t>
          </w:r>
          <w:r>
            <w:fldChar w:fldCharType="end"/>
          </w:r>
          <w:r>
            <w:fldChar w:fldCharType="end"/>
          </w:r>
        </w:p>
        <w:p>
          <w:pPr>
            <w:pStyle w:val="40"/>
            <w:tabs>
              <w:tab w:val="right" w:leader="dot" w:pos="9070"/>
            </w:tabs>
          </w:pPr>
          <w:r>
            <w:fldChar w:fldCharType="begin"/>
          </w:r>
          <w:r>
            <w:instrText xml:space="preserve"> HYPERLINK \l _Toc5523 </w:instrText>
          </w:r>
          <w:r>
            <w:fldChar w:fldCharType="separate"/>
          </w:r>
          <w:r>
            <w:rPr>
              <w:rFonts w:hint="eastAsia"/>
              <w:bCs/>
              <w:szCs w:val="28"/>
            </w:rPr>
            <w:t xml:space="preserve">9.5 </w:t>
          </w:r>
          <w:r>
            <w:rPr>
              <w:bCs/>
              <w:szCs w:val="28"/>
            </w:rPr>
            <w:t>环境保护措施</w:t>
          </w:r>
          <w:r>
            <w:tab/>
          </w:r>
          <w:r>
            <w:fldChar w:fldCharType="begin"/>
          </w:r>
          <w:r>
            <w:instrText xml:space="preserve"> PAGEREF _Toc5523 \h </w:instrText>
          </w:r>
          <w:r>
            <w:fldChar w:fldCharType="separate"/>
          </w:r>
          <w:r>
            <w:t>166</w:t>
          </w:r>
          <w:r>
            <w:fldChar w:fldCharType="end"/>
          </w:r>
          <w:r>
            <w:fldChar w:fldCharType="end"/>
          </w:r>
        </w:p>
        <w:p>
          <w:pPr>
            <w:pStyle w:val="40"/>
            <w:tabs>
              <w:tab w:val="right" w:leader="dot" w:pos="9070"/>
            </w:tabs>
          </w:pPr>
          <w:r>
            <w:fldChar w:fldCharType="begin"/>
          </w:r>
          <w:r>
            <w:instrText xml:space="preserve"> HYPERLINK \l _Toc13521 </w:instrText>
          </w:r>
          <w:r>
            <w:fldChar w:fldCharType="separate"/>
          </w:r>
          <w:r>
            <w:rPr>
              <w:rFonts w:hint="eastAsia"/>
              <w:bCs/>
              <w:szCs w:val="28"/>
            </w:rPr>
            <w:t xml:space="preserve">9.6 </w:t>
          </w:r>
          <w:r>
            <w:rPr>
              <w:bCs/>
              <w:szCs w:val="28"/>
            </w:rPr>
            <w:t>环境管理与环境影响经济损益分析结论</w:t>
          </w:r>
          <w:r>
            <w:tab/>
          </w:r>
          <w:r>
            <w:fldChar w:fldCharType="begin"/>
          </w:r>
          <w:r>
            <w:instrText xml:space="preserve"> PAGEREF _Toc13521 \h </w:instrText>
          </w:r>
          <w:r>
            <w:fldChar w:fldCharType="separate"/>
          </w:r>
          <w:r>
            <w:t>168</w:t>
          </w:r>
          <w:r>
            <w:fldChar w:fldCharType="end"/>
          </w:r>
          <w:r>
            <w:fldChar w:fldCharType="end"/>
          </w:r>
        </w:p>
        <w:p>
          <w:pPr>
            <w:pStyle w:val="40"/>
            <w:tabs>
              <w:tab w:val="right" w:leader="dot" w:pos="9070"/>
            </w:tabs>
          </w:pPr>
          <w:r>
            <w:fldChar w:fldCharType="begin"/>
          </w:r>
          <w:r>
            <w:instrText xml:space="preserve"> HYPERLINK \l _Toc16325 </w:instrText>
          </w:r>
          <w:r>
            <w:fldChar w:fldCharType="separate"/>
          </w:r>
          <w:r>
            <w:rPr>
              <w:rFonts w:hint="eastAsia"/>
              <w:bCs/>
              <w:szCs w:val="28"/>
            </w:rPr>
            <w:t xml:space="preserve">9.7 </w:t>
          </w:r>
          <w:r>
            <w:rPr>
              <w:bCs/>
              <w:szCs w:val="28"/>
            </w:rPr>
            <w:t>公众参与</w:t>
          </w:r>
          <w:r>
            <w:tab/>
          </w:r>
          <w:r>
            <w:fldChar w:fldCharType="begin"/>
          </w:r>
          <w:r>
            <w:instrText xml:space="preserve"> PAGEREF _Toc16325 \h </w:instrText>
          </w:r>
          <w:r>
            <w:fldChar w:fldCharType="separate"/>
          </w:r>
          <w:r>
            <w:t>168</w:t>
          </w:r>
          <w:r>
            <w:fldChar w:fldCharType="end"/>
          </w:r>
          <w:r>
            <w:fldChar w:fldCharType="end"/>
          </w:r>
        </w:p>
        <w:p>
          <w:pPr>
            <w:pStyle w:val="40"/>
            <w:tabs>
              <w:tab w:val="right" w:leader="dot" w:pos="9070"/>
            </w:tabs>
          </w:pPr>
          <w:r>
            <w:fldChar w:fldCharType="begin"/>
          </w:r>
          <w:r>
            <w:instrText xml:space="preserve"> HYPERLINK \l _Toc4047 </w:instrText>
          </w:r>
          <w:r>
            <w:fldChar w:fldCharType="separate"/>
          </w:r>
          <w:r>
            <w:rPr>
              <w:rFonts w:hint="eastAsia"/>
              <w:bCs/>
              <w:szCs w:val="28"/>
            </w:rPr>
            <w:t>9.8 结论</w:t>
          </w:r>
          <w:r>
            <w:tab/>
          </w:r>
          <w:r>
            <w:fldChar w:fldCharType="begin"/>
          </w:r>
          <w:r>
            <w:instrText xml:space="preserve"> PAGEREF _Toc4047 \h </w:instrText>
          </w:r>
          <w:r>
            <w:fldChar w:fldCharType="separate"/>
          </w:r>
          <w:r>
            <w:t>168</w:t>
          </w:r>
          <w:r>
            <w:fldChar w:fldCharType="end"/>
          </w:r>
          <w:r>
            <w:fldChar w:fldCharType="end"/>
          </w:r>
        </w:p>
        <w:p>
          <w:r>
            <w:fldChar w:fldCharType="end"/>
          </w:r>
        </w:p>
        <w:p/>
      </w:sdtContent>
    </w:sdt>
    <w:p>
      <w:pPr>
        <w:adjustRightInd w:val="0"/>
        <w:snapToGrid w:val="0"/>
        <w:spacing w:line="276" w:lineRule="auto"/>
        <w:ind w:firstLine="643"/>
        <w:jc w:val="center"/>
        <w:rPr>
          <w:b/>
          <w:bCs/>
          <w:caps/>
          <w:smallCaps/>
          <w:color w:val="0070C0"/>
        </w:rPr>
      </w:pPr>
    </w:p>
    <w:p>
      <w:pPr>
        <w:sectPr>
          <w:headerReference r:id="rId6" w:type="first"/>
          <w:headerReference r:id="rId5" w:type="default"/>
          <w:footerReference r:id="rId7" w:type="default"/>
          <w:pgSz w:w="11906" w:h="16838"/>
          <w:pgMar w:top="1418" w:right="1418" w:bottom="1418" w:left="1418" w:header="851" w:footer="992" w:gutter="0"/>
          <w:cols w:space="720" w:num="1"/>
          <w:titlePg/>
          <w:docGrid w:linePitch="312" w:charSpace="0"/>
        </w:sectPr>
      </w:pPr>
    </w:p>
    <w:bookmarkEnd w:id="1"/>
    <w:p>
      <w:pPr>
        <w:widowControl/>
        <w:jc w:val="left"/>
        <w:rPr>
          <w:b/>
          <w:bCs/>
          <w:sz w:val="28"/>
          <w:szCs w:val="28"/>
        </w:rPr>
      </w:pPr>
      <w:bookmarkStart w:id="11" w:name="_Toc455016444"/>
      <w:r>
        <w:rPr>
          <w:rFonts w:hint="eastAsia"/>
          <w:b/>
          <w:bCs/>
          <w:sz w:val="28"/>
          <w:szCs w:val="28"/>
        </w:rPr>
        <w:t>附 图：</w:t>
      </w:r>
    </w:p>
    <w:p>
      <w:pPr>
        <w:pStyle w:val="998"/>
        <w:widowControl/>
        <w:numPr>
          <w:ilvl w:val="0"/>
          <w:numId w:val="4"/>
        </w:numPr>
        <w:spacing w:line="360" w:lineRule="auto"/>
        <w:ind w:left="0" w:firstLine="560"/>
        <w:jc w:val="left"/>
        <w:rPr>
          <w:rFonts w:ascii="Times New Roman" w:hAnsi="Times New Roman"/>
          <w:sz w:val="24"/>
          <w:szCs w:val="24"/>
        </w:rPr>
      </w:pPr>
      <w:r>
        <w:rPr>
          <w:rFonts w:hint="eastAsia" w:ascii="Times New Roman" w:hAnsi="Times New Roman"/>
          <w:sz w:val="24"/>
          <w:szCs w:val="24"/>
          <w:lang w:val="en-US" w:eastAsia="zh-CN"/>
        </w:rPr>
        <w:t xml:space="preserve"> </w:t>
      </w:r>
      <w:r>
        <w:rPr>
          <w:rFonts w:hint="eastAsia" w:ascii="Times New Roman" w:hAnsi="Times New Roman"/>
          <w:sz w:val="24"/>
          <w:szCs w:val="24"/>
        </w:rPr>
        <w:t>项目地理位置图</w:t>
      </w:r>
    </w:p>
    <w:p>
      <w:pPr>
        <w:pStyle w:val="998"/>
        <w:widowControl/>
        <w:numPr>
          <w:ilvl w:val="0"/>
          <w:numId w:val="4"/>
        </w:numPr>
        <w:spacing w:line="360" w:lineRule="auto"/>
        <w:ind w:left="0" w:firstLine="560"/>
        <w:jc w:val="left"/>
        <w:rPr>
          <w:rFonts w:ascii="Times New Roman" w:hAnsi="Times New Roman"/>
          <w:sz w:val="24"/>
          <w:szCs w:val="24"/>
        </w:rPr>
      </w:pPr>
      <w:r>
        <w:rPr>
          <w:rFonts w:hint="eastAsia" w:ascii="Times New Roman" w:hAnsi="Times New Roman"/>
          <w:sz w:val="24"/>
          <w:szCs w:val="24"/>
          <w:lang w:val="en-US" w:eastAsia="zh-CN"/>
        </w:rPr>
        <w:t xml:space="preserve"> </w:t>
      </w:r>
      <w:r>
        <w:rPr>
          <w:rFonts w:hint="eastAsia" w:ascii="Times New Roman" w:hAnsi="Times New Roman"/>
          <w:sz w:val="24"/>
          <w:szCs w:val="24"/>
        </w:rPr>
        <w:t>道路平面布置图</w:t>
      </w:r>
    </w:p>
    <w:p>
      <w:pPr>
        <w:pStyle w:val="998"/>
        <w:widowControl/>
        <w:numPr>
          <w:ilvl w:val="0"/>
          <w:numId w:val="4"/>
        </w:numPr>
        <w:spacing w:line="360" w:lineRule="auto"/>
        <w:ind w:left="0" w:firstLine="560"/>
        <w:jc w:val="left"/>
        <w:rPr>
          <w:rFonts w:ascii="Times New Roman" w:hAnsi="Times New Roman"/>
          <w:sz w:val="24"/>
          <w:szCs w:val="24"/>
        </w:rPr>
      </w:pPr>
      <w:r>
        <w:rPr>
          <w:rFonts w:hint="eastAsia" w:ascii="Times New Roman" w:hAnsi="Times New Roman"/>
          <w:sz w:val="24"/>
          <w:szCs w:val="24"/>
          <w:lang w:val="en-US" w:eastAsia="zh-CN"/>
        </w:rPr>
        <w:t xml:space="preserve"> 道路纵断面图</w:t>
      </w:r>
    </w:p>
    <w:p>
      <w:pPr>
        <w:pStyle w:val="998"/>
        <w:widowControl/>
        <w:numPr>
          <w:ilvl w:val="0"/>
          <w:numId w:val="4"/>
        </w:numPr>
        <w:spacing w:line="360" w:lineRule="auto"/>
        <w:ind w:left="0" w:firstLine="560"/>
        <w:jc w:val="left"/>
        <w:rPr>
          <w:rFonts w:ascii="Times New Roman" w:hAnsi="Times New Roman"/>
          <w:sz w:val="24"/>
          <w:szCs w:val="24"/>
        </w:rPr>
      </w:pPr>
      <w:r>
        <w:rPr>
          <w:rFonts w:hint="eastAsia" w:ascii="Times New Roman" w:hAnsi="Times New Roman"/>
          <w:sz w:val="24"/>
          <w:szCs w:val="24"/>
          <w:lang w:val="en-US" w:eastAsia="zh-CN"/>
        </w:rPr>
        <w:t xml:space="preserve"> 与生态红线位置关系图</w:t>
      </w:r>
    </w:p>
    <w:p>
      <w:pPr>
        <w:pStyle w:val="998"/>
        <w:widowControl/>
        <w:numPr>
          <w:ilvl w:val="0"/>
          <w:numId w:val="4"/>
        </w:numPr>
        <w:spacing w:line="360" w:lineRule="auto"/>
        <w:ind w:left="0" w:firstLine="560"/>
        <w:jc w:val="left"/>
        <w:rPr>
          <w:rFonts w:ascii="Times New Roman" w:hAnsi="Times New Roman"/>
          <w:sz w:val="24"/>
          <w:szCs w:val="24"/>
        </w:rPr>
      </w:pPr>
      <w:r>
        <w:rPr>
          <w:rFonts w:hint="eastAsia" w:ascii="Times New Roman" w:hAnsi="Times New Roman"/>
          <w:sz w:val="24"/>
          <w:szCs w:val="24"/>
          <w:lang w:val="en-US" w:eastAsia="zh-CN"/>
        </w:rPr>
        <w:t xml:space="preserve"> </w:t>
      </w:r>
      <w:r>
        <w:rPr>
          <w:rFonts w:hint="eastAsia" w:ascii="Times New Roman" w:hAnsi="Times New Roman"/>
          <w:sz w:val="24"/>
          <w:szCs w:val="24"/>
        </w:rPr>
        <w:t>项目沿线环境保护目标分布图</w:t>
      </w:r>
    </w:p>
    <w:p>
      <w:pPr>
        <w:pStyle w:val="998"/>
        <w:widowControl/>
        <w:numPr>
          <w:ilvl w:val="0"/>
          <w:numId w:val="4"/>
        </w:numPr>
        <w:spacing w:line="360" w:lineRule="auto"/>
        <w:ind w:left="0" w:firstLine="560"/>
        <w:jc w:val="left"/>
        <w:rPr>
          <w:rFonts w:ascii="Times New Roman" w:hAnsi="Times New Roman"/>
          <w:sz w:val="24"/>
          <w:szCs w:val="24"/>
        </w:rPr>
      </w:pPr>
      <w:r>
        <w:rPr>
          <w:rFonts w:hint="eastAsia" w:ascii="Times New Roman" w:hAnsi="Times New Roman"/>
          <w:sz w:val="24"/>
          <w:szCs w:val="24"/>
          <w:lang w:val="en-US" w:eastAsia="zh-CN"/>
        </w:rPr>
        <w:t xml:space="preserve"> </w:t>
      </w:r>
      <w:r>
        <w:rPr>
          <w:rFonts w:hint="eastAsia" w:ascii="Times New Roman" w:hAnsi="Times New Roman"/>
          <w:sz w:val="24"/>
          <w:szCs w:val="24"/>
        </w:rPr>
        <w:t>项目区域地表水系图</w:t>
      </w:r>
    </w:p>
    <w:p>
      <w:pPr>
        <w:pStyle w:val="998"/>
        <w:widowControl/>
        <w:numPr>
          <w:ilvl w:val="0"/>
          <w:numId w:val="4"/>
        </w:numPr>
        <w:spacing w:line="360" w:lineRule="auto"/>
        <w:ind w:left="0" w:firstLine="560"/>
        <w:jc w:val="left"/>
        <w:rPr>
          <w:rFonts w:ascii="Times New Roman" w:hAnsi="Times New Roman"/>
          <w:sz w:val="24"/>
          <w:szCs w:val="24"/>
        </w:rPr>
      </w:pPr>
      <w:r>
        <w:rPr>
          <w:rFonts w:hint="eastAsia" w:ascii="Times New Roman" w:hAnsi="Times New Roman"/>
          <w:sz w:val="24"/>
          <w:szCs w:val="24"/>
          <w:lang w:val="en-US" w:eastAsia="zh-CN"/>
        </w:rPr>
        <w:t xml:space="preserve"> </w:t>
      </w:r>
      <w:r>
        <w:rPr>
          <w:rFonts w:hint="eastAsia" w:ascii="Times New Roman" w:hAnsi="Times New Roman"/>
          <w:sz w:val="24"/>
          <w:szCs w:val="24"/>
        </w:rPr>
        <w:t>怀远县土地利用总体规划图</w:t>
      </w:r>
    </w:p>
    <w:p>
      <w:pPr>
        <w:pStyle w:val="998"/>
        <w:widowControl/>
        <w:numPr>
          <w:ilvl w:val="0"/>
          <w:numId w:val="4"/>
        </w:numPr>
        <w:spacing w:line="360" w:lineRule="auto"/>
        <w:ind w:left="0" w:firstLine="560"/>
        <w:jc w:val="left"/>
        <w:rPr>
          <w:rFonts w:ascii="Times New Roman" w:hAnsi="Times New Roman"/>
          <w:sz w:val="24"/>
          <w:szCs w:val="24"/>
        </w:rPr>
      </w:pPr>
      <w:r>
        <w:rPr>
          <w:rFonts w:hint="eastAsia" w:ascii="Times New Roman" w:hAnsi="Times New Roman"/>
          <w:sz w:val="24"/>
          <w:szCs w:val="24"/>
          <w:lang w:val="en-US" w:eastAsia="zh-CN"/>
        </w:rPr>
        <w:t xml:space="preserve"> </w:t>
      </w:r>
      <w:r>
        <w:rPr>
          <w:rFonts w:hint="eastAsia" w:ascii="Times New Roman" w:hAnsi="Times New Roman"/>
          <w:sz w:val="24"/>
          <w:szCs w:val="24"/>
        </w:rPr>
        <w:t>土地利用现状图</w:t>
      </w:r>
    </w:p>
    <w:p>
      <w:pPr>
        <w:pStyle w:val="998"/>
        <w:widowControl/>
        <w:numPr>
          <w:ilvl w:val="0"/>
          <w:numId w:val="4"/>
        </w:numPr>
        <w:spacing w:line="360" w:lineRule="auto"/>
        <w:ind w:left="0" w:firstLine="560"/>
        <w:jc w:val="left"/>
        <w:rPr>
          <w:rFonts w:ascii="Times New Roman" w:hAnsi="Times New Roman"/>
          <w:sz w:val="24"/>
          <w:szCs w:val="24"/>
        </w:rPr>
      </w:pPr>
      <w:r>
        <w:rPr>
          <w:rFonts w:hint="eastAsia" w:ascii="Times New Roman" w:hAnsi="Times New Roman"/>
          <w:sz w:val="24"/>
          <w:szCs w:val="24"/>
          <w:lang w:val="en-US" w:eastAsia="zh-CN"/>
        </w:rPr>
        <w:t xml:space="preserve"> 植被类型分布图</w:t>
      </w:r>
    </w:p>
    <w:p>
      <w:pPr>
        <w:pStyle w:val="998"/>
        <w:widowControl/>
        <w:numPr>
          <w:ilvl w:val="0"/>
          <w:numId w:val="4"/>
        </w:numPr>
        <w:spacing w:line="360" w:lineRule="auto"/>
        <w:ind w:left="0" w:firstLine="560"/>
        <w:jc w:val="left"/>
        <w:rPr>
          <w:rFonts w:ascii="Times New Roman" w:hAnsi="Times New Roman"/>
          <w:sz w:val="24"/>
          <w:szCs w:val="24"/>
        </w:rPr>
      </w:pPr>
      <w:r>
        <w:rPr>
          <w:rFonts w:hint="eastAsia" w:ascii="Times New Roman" w:hAnsi="Times New Roman"/>
          <w:sz w:val="24"/>
          <w:szCs w:val="24"/>
          <w:lang w:val="en-US" w:eastAsia="zh-CN"/>
        </w:rPr>
        <w:t xml:space="preserve"> 线路水土保持措施布设图</w:t>
      </w:r>
    </w:p>
    <w:p>
      <w:pPr>
        <w:widowControl/>
        <w:ind w:firstLine="480" w:firstLineChars="200"/>
        <w:jc w:val="left"/>
        <w:rPr>
          <w:color w:val="0070C0"/>
        </w:rPr>
      </w:pPr>
    </w:p>
    <w:p>
      <w:pPr>
        <w:widowControl/>
        <w:jc w:val="left"/>
        <w:rPr>
          <w:b/>
          <w:bCs/>
          <w:sz w:val="28"/>
          <w:szCs w:val="28"/>
        </w:rPr>
      </w:pPr>
      <w:r>
        <w:rPr>
          <w:rFonts w:hint="eastAsia"/>
          <w:b/>
          <w:bCs/>
          <w:sz w:val="28"/>
          <w:szCs w:val="28"/>
        </w:rPr>
        <w:t>附 件：</w:t>
      </w:r>
    </w:p>
    <w:p>
      <w:pPr>
        <w:pStyle w:val="998"/>
        <w:widowControl/>
        <w:numPr>
          <w:ilvl w:val="0"/>
          <w:numId w:val="5"/>
        </w:numPr>
        <w:spacing w:line="360" w:lineRule="auto"/>
        <w:ind w:left="0" w:firstLine="560"/>
        <w:jc w:val="left"/>
        <w:outlineLvl w:val="0"/>
        <w:rPr>
          <w:rFonts w:ascii="Times New Roman" w:hAnsi="Times New Roman"/>
          <w:sz w:val="24"/>
          <w:szCs w:val="24"/>
        </w:rPr>
      </w:pPr>
      <w:r>
        <w:rPr>
          <w:rFonts w:hint="eastAsia" w:ascii="Times New Roman" w:hAnsi="Times New Roman"/>
          <w:sz w:val="24"/>
          <w:szCs w:val="24"/>
          <w:lang w:val="en-US" w:eastAsia="zh-CN"/>
        </w:rPr>
        <w:t xml:space="preserve"> </w:t>
      </w:r>
      <w:bookmarkStart w:id="12" w:name="_Toc5991"/>
      <w:bookmarkStart w:id="13" w:name="_Toc16641"/>
      <w:bookmarkStart w:id="14" w:name="_Toc29669"/>
      <w:r>
        <w:rPr>
          <w:rFonts w:ascii="Times New Roman" w:hAnsi="Times New Roman"/>
          <w:sz w:val="24"/>
          <w:szCs w:val="24"/>
        </w:rPr>
        <w:t>委托书</w:t>
      </w:r>
      <w:bookmarkEnd w:id="12"/>
      <w:bookmarkEnd w:id="13"/>
      <w:bookmarkEnd w:id="14"/>
    </w:p>
    <w:p>
      <w:pPr>
        <w:pStyle w:val="998"/>
        <w:widowControl/>
        <w:numPr>
          <w:ilvl w:val="0"/>
          <w:numId w:val="5"/>
        </w:numPr>
        <w:spacing w:line="360" w:lineRule="auto"/>
        <w:ind w:left="0" w:firstLine="560"/>
        <w:jc w:val="left"/>
        <w:rPr>
          <w:rFonts w:ascii="Times New Roman" w:hAnsi="Times New Roman"/>
          <w:sz w:val="24"/>
          <w:szCs w:val="24"/>
        </w:rPr>
      </w:pPr>
      <w:r>
        <w:rPr>
          <w:rFonts w:ascii="Times New Roman" w:hAnsi="Times New Roman"/>
          <w:sz w:val="24"/>
          <w:szCs w:val="24"/>
        </w:rPr>
        <w:t>《</w:t>
      </w:r>
      <w:r>
        <w:rPr>
          <w:rFonts w:hint="eastAsia" w:ascii="Times New Roman" w:hAnsi="Times New Roman"/>
          <w:sz w:val="24"/>
          <w:szCs w:val="24"/>
        </w:rPr>
        <w:t>关于S311怀远包集至蚌埠民用机场一级公路工程立项的批复</w:t>
      </w:r>
      <w:r>
        <w:rPr>
          <w:rFonts w:ascii="Times New Roman" w:hAnsi="Times New Roman"/>
          <w:sz w:val="24"/>
          <w:szCs w:val="24"/>
        </w:rPr>
        <w:t>》</w:t>
      </w:r>
      <w:r>
        <w:rPr>
          <w:rFonts w:hint="eastAsia" w:ascii="Times New Roman" w:hAnsi="Times New Roman"/>
          <w:sz w:val="24"/>
          <w:szCs w:val="24"/>
        </w:rPr>
        <w:t>（蚌发改审批（2</w:t>
      </w:r>
      <w:r>
        <w:rPr>
          <w:rFonts w:ascii="Times New Roman" w:hAnsi="Times New Roman"/>
          <w:sz w:val="24"/>
          <w:szCs w:val="24"/>
        </w:rPr>
        <w:t>022</w:t>
      </w:r>
      <w:r>
        <w:rPr>
          <w:rFonts w:hint="eastAsia" w:ascii="Times New Roman" w:hAnsi="Times New Roman"/>
          <w:sz w:val="24"/>
          <w:szCs w:val="24"/>
        </w:rPr>
        <w:t>）1</w:t>
      </w:r>
      <w:r>
        <w:rPr>
          <w:rFonts w:ascii="Times New Roman" w:hAnsi="Times New Roman"/>
          <w:sz w:val="24"/>
          <w:szCs w:val="24"/>
        </w:rPr>
        <w:t>3</w:t>
      </w:r>
      <w:r>
        <w:rPr>
          <w:rFonts w:hint="eastAsia" w:ascii="Times New Roman" w:hAnsi="Times New Roman"/>
          <w:sz w:val="24"/>
          <w:szCs w:val="24"/>
        </w:rPr>
        <w:t>号）</w:t>
      </w:r>
      <w:r>
        <w:rPr>
          <w:rFonts w:ascii="Times New Roman" w:hAnsi="Times New Roman"/>
          <w:sz w:val="24"/>
          <w:szCs w:val="24"/>
        </w:rPr>
        <w:t>，</w:t>
      </w:r>
      <w:r>
        <w:rPr>
          <w:rFonts w:hint="eastAsia" w:ascii="Times New Roman" w:hAnsi="Times New Roman"/>
          <w:sz w:val="24"/>
          <w:szCs w:val="24"/>
        </w:rPr>
        <w:t>蚌埠市发展和改革委员会</w:t>
      </w:r>
    </w:p>
    <w:p>
      <w:pPr>
        <w:pStyle w:val="998"/>
        <w:widowControl/>
        <w:numPr>
          <w:ilvl w:val="0"/>
          <w:numId w:val="5"/>
        </w:numPr>
        <w:spacing w:line="360" w:lineRule="auto"/>
        <w:ind w:left="0" w:firstLine="560"/>
        <w:jc w:val="left"/>
        <w:rPr>
          <w:rFonts w:ascii="Times New Roman" w:hAnsi="Times New Roman"/>
          <w:sz w:val="24"/>
          <w:szCs w:val="24"/>
        </w:rPr>
      </w:pPr>
      <w:r>
        <w:rPr>
          <w:rFonts w:hint="eastAsia" w:ascii="Times New Roman" w:hAnsi="Times New Roman"/>
          <w:sz w:val="24"/>
          <w:szCs w:val="24"/>
          <w:lang w:eastAsia="zh-CN"/>
        </w:rPr>
        <w:t>《</w:t>
      </w:r>
      <w:r>
        <w:rPr>
          <w:rFonts w:hint="eastAsia" w:ascii="Times New Roman" w:hAnsi="Times New Roman"/>
          <w:sz w:val="24"/>
          <w:szCs w:val="24"/>
        </w:rPr>
        <w:t>S311怀远包集至蚌埠民用机场一级公路工程</w:t>
      </w:r>
      <w:r>
        <w:rPr>
          <w:rFonts w:hint="eastAsia" w:ascii="Times New Roman" w:hAnsi="Times New Roman"/>
          <w:sz w:val="24"/>
          <w:szCs w:val="24"/>
          <w:lang w:val="en-US" w:eastAsia="zh-CN"/>
        </w:rPr>
        <w:t>可行性研究报告评审意见</w:t>
      </w:r>
      <w:r>
        <w:rPr>
          <w:rFonts w:hint="eastAsia" w:ascii="Times New Roman" w:hAnsi="Times New Roman"/>
          <w:sz w:val="24"/>
          <w:szCs w:val="24"/>
          <w:lang w:eastAsia="zh-CN"/>
        </w:rPr>
        <w:t>》</w:t>
      </w:r>
    </w:p>
    <w:p>
      <w:pPr>
        <w:pStyle w:val="998"/>
        <w:widowControl/>
        <w:numPr>
          <w:ilvl w:val="0"/>
          <w:numId w:val="5"/>
        </w:numPr>
        <w:spacing w:line="360" w:lineRule="auto"/>
        <w:ind w:left="0" w:firstLine="560"/>
        <w:jc w:val="left"/>
        <w:rPr>
          <w:rFonts w:ascii="Times New Roman" w:hAnsi="Times New Roman"/>
          <w:sz w:val="24"/>
          <w:szCs w:val="24"/>
        </w:rPr>
      </w:pPr>
      <w:r>
        <w:rPr>
          <w:rFonts w:hint="eastAsia" w:ascii="Times New Roman" w:hAnsi="Times New Roman"/>
          <w:sz w:val="24"/>
          <w:szCs w:val="24"/>
          <w:lang w:val="en-US" w:eastAsia="zh-CN"/>
        </w:rPr>
        <w:t>《</w:t>
      </w:r>
      <w:r>
        <w:rPr>
          <w:rFonts w:hint="eastAsia" w:ascii="Times New Roman" w:hAnsi="Times New Roman"/>
          <w:sz w:val="24"/>
          <w:szCs w:val="24"/>
        </w:rPr>
        <w:t>关于S311怀远包集至蚌埠民用机场一级公路工程</w:t>
      </w:r>
      <w:r>
        <w:rPr>
          <w:rFonts w:hint="eastAsia" w:ascii="Times New Roman" w:hAnsi="Times New Roman"/>
          <w:sz w:val="24"/>
          <w:szCs w:val="24"/>
          <w:lang w:val="en-US" w:eastAsia="zh-CN"/>
        </w:rPr>
        <w:t>项目用地预审与规划选址意见的复函》（蚌自然资函[2022]105号），蚌埠市自然资源和规划局，2022年11月12日</w:t>
      </w:r>
    </w:p>
    <w:p>
      <w:pPr>
        <w:pStyle w:val="998"/>
        <w:widowControl/>
        <w:numPr>
          <w:ilvl w:val="0"/>
          <w:numId w:val="5"/>
        </w:numPr>
        <w:spacing w:line="360" w:lineRule="auto"/>
        <w:ind w:left="0" w:firstLine="560"/>
        <w:jc w:val="left"/>
        <w:outlineLvl w:val="0"/>
        <w:rPr>
          <w:rFonts w:ascii="Times New Roman" w:hAnsi="Times New Roman"/>
          <w:sz w:val="24"/>
          <w:szCs w:val="24"/>
        </w:rPr>
      </w:pPr>
      <w:r>
        <w:rPr>
          <w:rFonts w:hint="eastAsia" w:ascii="Times New Roman" w:hAnsi="Times New Roman"/>
          <w:sz w:val="24"/>
          <w:szCs w:val="24"/>
          <w:lang w:val="en-US" w:eastAsia="zh-CN"/>
        </w:rPr>
        <w:t xml:space="preserve"> </w:t>
      </w:r>
      <w:bookmarkStart w:id="15" w:name="_Toc1015"/>
      <w:bookmarkStart w:id="16" w:name="_Toc22626"/>
      <w:bookmarkStart w:id="17" w:name="_Toc26348"/>
      <w:r>
        <w:rPr>
          <w:rFonts w:ascii="Times New Roman" w:hAnsi="Times New Roman"/>
          <w:sz w:val="24"/>
          <w:szCs w:val="24"/>
        </w:rPr>
        <w:t>监测报告</w:t>
      </w:r>
      <w:bookmarkEnd w:id="15"/>
      <w:bookmarkEnd w:id="16"/>
      <w:bookmarkEnd w:id="17"/>
    </w:p>
    <w:p>
      <w:pPr>
        <w:widowControl/>
        <w:ind w:firstLine="560"/>
        <w:jc w:val="left"/>
        <w:rPr>
          <w:sz w:val="28"/>
          <w:szCs w:val="32"/>
        </w:rPr>
      </w:pPr>
    </w:p>
    <w:p>
      <w:pPr>
        <w:widowControl/>
        <w:jc w:val="left"/>
        <w:rPr>
          <w:b/>
          <w:bCs/>
          <w:sz w:val="28"/>
          <w:szCs w:val="28"/>
        </w:rPr>
      </w:pPr>
      <w:r>
        <w:rPr>
          <w:rFonts w:hint="eastAsia"/>
          <w:b/>
          <w:bCs/>
          <w:sz w:val="28"/>
          <w:szCs w:val="28"/>
        </w:rPr>
        <w:t>附 表：</w:t>
      </w:r>
    </w:p>
    <w:p>
      <w:pPr>
        <w:widowControl/>
        <w:ind w:firstLine="480" w:firstLineChars="200"/>
        <w:jc w:val="left"/>
        <w:rPr>
          <w:sz w:val="24"/>
          <w:szCs w:val="24"/>
        </w:rPr>
      </w:pPr>
      <w:r>
        <w:rPr>
          <w:rFonts w:hint="eastAsia"/>
          <w:sz w:val="24"/>
          <w:szCs w:val="24"/>
        </w:rPr>
        <w:t>附表</w:t>
      </w:r>
      <w:r>
        <w:rPr>
          <w:sz w:val="24"/>
          <w:szCs w:val="24"/>
        </w:rPr>
        <w:t xml:space="preserve">1 </w:t>
      </w:r>
      <w:r>
        <w:rPr>
          <w:rFonts w:hint="eastAsia"/>
          <w:sz w:val="24"/>
          <w:szCs w:val="24"/>
          <w:lang w:val="en-US" w:eastAsia="zh-CN"/>
        </w:rPr>
        <w:t xml:space="preserve"> </w:t>
      </w:r>
      <w:r>
        <w:rPr>
          <w:rFonts w:hint="eastAsia"/>
          <w:sz w:val="24"/>
          <w:szCs w:val="24"/>
        </w:rPr>
        <w:t>建设项目环境影响报告书审批基础信息表</w:t>
      </w:r>
    </w:p>
    <w:p>
      <w:pPr>
        <w:widowControl/>
        <w:spacing w:line="240" w:lineRule="auto"/>
        <w:ind w:firstLine="480" w:firstLineChars="200"/>
        <w:jc w:val="left"/>
        <w:rPr>
          <w:color w:val="0070C0"/>
        </w:rPr>
        <w:sectPr>
          <w:footerReference r:id="rId9" w:type="first"/>
          <w:footerReference r:id="rId8" w:type="default"/>
          <w:pgSz w:w="11906" w:h="16838"/>
          <w:pgMar w:top="1418" w:right="1418" w:bottom="1418" w:left="1418" w:header="851" w:footer="992" w:gutter="0"/>
          <w:pgNumType w:start="1"/>
          <w:cols w:space="720" w:num="1"/>
          <w:docGrid w:linePitch="326" w:charSpace="0"/>
        </w:sectPr>
      </w:pPr>
    </w:p>
    <w:p>
      <w:pPr>
        <w:pStyle w:val="5"/>
      </w:pPr>
      <w:bookmarkStart w:id="18" w:name="_Toc22963"/>
      <w:bookmarkStart w:id="19" w:name="_Toc26047"/>
      <w:bookmarkStart w:id="20" w:name="_Toc32020"/>
      <w:r>
        <w:t>概述</w:t>
      </w:r>
      <w:bookmarkEnd w:id="18"/>
      <w:bookmarkEnd w:id="19"/>
      <w:bookmarkEnd w:id="20"/>
    </w:p>
    <w:p>
      <w:pPr>
        <w:pStyle w:val="7"/>
        <w:rPr>
          <w:b/>
          <w:bCs/>
          <w:sz w:val="28"/>
          <w:szCs w:val="28"/>
        </w:rPr>
      </w:pPr>
      <w:bookmarkStart w:id="21" w:name="_Toc25882"/>
      <w:bookmarkStart w:id="22" w:name="_Toc27797"/>
      <w:bookmarkStart w:id="23" w:name="_Toc57645126"/>
      <w:r>
        <w:rPr>
          <w:rFonts w:hint="eastAsia"/>
          <w:b/>
          <w:bCs/>
          <w:sz w:val="28"/>
          <w:szCs w:val="28"/>
        </w:rPr>
        <w:t>建设项目的特点</w:t>
      </w:r>
      <w:bookmarkEnd w:id="21"/>
      <w:bookmarkEnd w:id="22"/>
    </w:p>
    <w:p>
      <w:pPr>
        <w:pStyle w:val="8"/>
        <w:rPr>
          <w:b/>
          <w:bCs/>
        </w:rPr>
      </w:pPr>
      <w:bookmarkStart w:id="24" w:name="_Toc19175"/>
      <w:r>
        <w:rPr>
          <w:b/>
          <w:bCs/>
        </w:rPr>
        <w:t>项目由来</w:t>
      </w:r>
      <w:bookmarkEnd w:id="23"/>
      <w:bookmarkEnd w:id="24"/>
    </w:p>
    <w:p>
      <w:pPr>
        <w:spacing w:line="360" w:lineRule="auto"/>
        <w:ind w:firstLine="480"/>
        <w:rPr>
          <w:rFonts w:hint="default" w:ascii="Times New Roman" w:hAnsi="Times New Roman" w:cs="Times New Roman"/>
          <w:color w:val="auto"/>
          <w:sz w:val="24"/>
          <w:szCs w:val="24"/>
          <w:highlight w:val="none"/>
          <w:lang w:val="en-US" w:eastAsia="zh-CN"/>
        </w:rPr>
      </w:pPr>
      <w:bookmarkStart w:id="25" w:name="_Hlk87915099"/>
      <w:r>
        <w:rPr>
          <w:rFonts w:hint="eastAsia" w:cs="Times New Roman"/>
          <w:color w:val="auto"/>
          <w:sz w:val="24"/>
          <w:szCs w:val="24"/>
          <w:highlight w:val="none"/>
          <w:lang w:val="en-US" w:eastAsia="zh-CN"/>
        </w:rPr>
        <w:t>怀远县，隶属于安徽省蚌埠市，位于安徽省北部，淮河中游，淮北平原的南端，东邻固镇、蚌埠、凤阳，南界淮南，西毗凤台、蒙城，北依濉溪、宿州。介于东经</w:t>
      </w:r>
      <w:r>
        <w:rPr>
          <w:rFonts w:hint="default" w:ascii="Times New Roman" w:hAnsi="Times New Roman" w:cs="Times New Roman"/>
          <w:color w:val="auto"/>
          <w:sz w:val="24"/>
          <w:szCs w:val="24"/>
          <w:highlight w:val="none"/>
          <w:lang w:val="en-US" w:eastAsia="zh-CN"/>
        </w:rPr>
        <w:t>116°45′—117°09′、北纬32°43′—33°19′</w:t>
      </w:r>
      <w:r>
        <w:rPr>
          <w:rFonts w:hint="eastAsia" w:cs="Times New Roman"/>
          <w:color w:val="auto"/>
          <w:sz w:val="24"/>
          <w:szCs w:val="24"/>
          <w:highlight w:val="none"/>
          <w:lang w:val="en-US" w:eastAsia="zh-CN"/>
        </w:rPr>
        <w:t>之间，总面积2192平方千米。</w:t>
      </w:r>
    </w:p>
    <w:p>
      <w:pPr>
        <w:spacing w:line="360" w:lineRule="auto"/>
        <w:ind w:firstLine="480"/>
        <w:rPr>
          <w:rFonts w:hint="default" w:ascii="Times New Roman" w:hAnsi="Times New Roman" w:cs="Times New Roman"/>
          <w:color w:val="auto"/>
          <w:kern w:val="0"/>
          <w:sz w:val="24"/>
        </w:rPr>
      </w:pPr>
      <w:r>
        <w:rPr>
          <w:rFonts w:hint="default" w:ascii="Times New Roman" w:hAnsi="Times New Roman" w:cs="Times New Roman"/>
          <w:color w:val="auto"/>
          <w:sz w:val="24"/>
          <w:szCs w:val="24"/>
          <w:highlight w:val="none"/>
          <w:lang w:val="zh-CN" w:eastAsia="zh-CN"/>
        </w:rPr>
        <w:t>十四五期间，为充分适应经济社会发展，蚌埠以更好的发挥公路发展先行官为主题，加快构建畅通安全、布局合理、衔接高效、绿色智能、文明和谐的现代综合交通运输体系，明确了“十四五”时期公路发展的指导思想、发展目标、重点任务和保障措施。坚持一手抓交通基础设施建设；一手抓运输产业培育和运输市场的规范管理。突出“三个重点”：即道路建设、安全生产和交通运输业发展。坚持“三个同步”</w:t>
      </w:r>
      <w:r>
        <w:rPr>
          <w:rFonts w:hint="default" w:ascii="Times New Roman" w:hAnsi="Times New Roman" w:cs="Times New Roman"/>
          <w:color w:val="auto"/>
          <w:kern w:val="0"/>
          <w:sz w:val="24"/>
        </w:rPr>
        <w:t>。</w:t>
      </w:r>
    </w:p>
    <w:p>
      <w:pPr>
        <w:bidi w:val="0"/>
        <w:ind w:firstLine="480" w:firstLineChars="200"/>
        <w:rPr>
          <w:rFonts w:hint="default" w:ascii="Times New Roman" w:hAnsi="Times New Roman" w:cs="Times New Roman"/>
          <w:color w:val="auto"/>
        </w:rPr>
      </w:pPr>
      <w:r>
        <w:rPr>
          <w:rFonts w:hint="default" w:ascii="Times New Roman" w:hAnsi="Times New Roman" w:cs="Times New Roman"/>
          <w:color w:val="auto"/>
        </w:rPr>
        <w:t>根据《安徽省普通省道网规划(2016年-2030年)》，S311是安徽省中北部地区重要的干线公路，呈东西走向，连接五河、固镇、怀远等多座大中城市，起点位于五河县与江苏省交界，终点位于怀远县双桥集镇，是沿线城市、乡镇交通出行的重要载体，在省、市、县各级路网中均占有重要地位，在安徽省社会经济发展中占有重要地位。全长约104.1公里。主要控制点为：头铺、浍南、王庄、鲍集、双桥集。</w:t>
      </w:r>
    </w:p>
    <w:p>
      <w:pPr>
        <w:bidi w:val="0"/>
        <w:ind w:firstLine="480" w:firstLineChars="200"/>
        <w:rPr>
          <w:rFonts w:hint="default" w:ascii="Times New Roman" w:hAnsi="Times New Roman" w:cs="Times New Roman"/>
          <w:color w:val="auto"/>
          <w:szCs w:val="24"/>
          <w:highlight w:val="none"/>
        </w:rPr>
      </w:pPr>
      <w:r>
        <w:rPr>
          <w:rFonts w:hint="default" w:ascii="Times New Roman" w:hAnsi="Times New Roman" w:cs="Times New Roman"/>
          <w:color w:val="auto"/>
        </w:rPr>
        <w:t>根据《蚌埠市交通基础设施国土空间控制规划（2020-2030）》（报批稿），S311五河江苏交界至龙亢一级公路改建工程起点位于五河江苏交界，路线沿老路淮河大堤泗蚌路向西布线，下穿G104后、进入五河城区后接大寨路、新站路、环城北路、彩虹大道、兴浍路至沱湖大道（西环线）,向西沿五河县老路X025、固镇县老路X015、怀远县老路X041布线，途经五河县头铺镇、固镇县王庄镇、磨盘张镇和怀远县鲍集镇三县，与S419共线一段后，继续向西到达终点怀远县龙亢镇，路线全长约116.96公里。拟于十四五期间进行一级公路改扩建提升。国土空间规划方案对怀远县境内S311路线进行了局部调整：路线终点由双桥集调整为龙亢镇；路线穿越包集镇段调整为从镇规划区南侧绕行。</w:t>
      </w:r>
    </w:p>
    <w:p>
      <w:pPr>
        <w:spacing w:beforeLines="0" w:afterLines="0"/>
        <w:ind w:firstLine="480" w:firstLineChars="200"/>
        <w:jc w:val="left"/>
        <w:rPr>
          <w:rFonts w:hint="eastAsia" w:ascii="Times New Roman" w:hAnsi="Times New Roman" w:eastAsia="宋体" w:cs="Times New Roman"/>
          <w:color w:val="auto"/>
          <w:lang w:eastAsia="zh-CN"/>
        </w:rPr>
      </w:pPr>
      <w:r>
        <w:rPr>
          <w:rFonts w:hint="default" w:ascii="Times New Roman" w:hAnsi="Times New Roman" w:cs="Times New Roman"/>
          <w:color w:val="auto"/>
        </w:rPr>
        <w:t>蚌埠民用机场项目是蚌埠市综合交通网络的重要载体之一，机场选址位于怀远县淝河镇北部，滕湖村东部，占地面积约168公顷，距离市区直线距离约37公里。蚌埠民用机场已开工建设，计划在2025年建成通航</w:t>
      </w:r>
      <w:r>
        <w:rPr>
          <w:rFonts w:hint="eastAsia" w:cs="Times New Roman"/>
          <w:color w:val="auto"/>
          <w:lang w:eastAsia="zh-CN"/>
        </w:rPr>
        <w:t>。</w:t>
      </w:r>
      <w:r>
        <w:rPr>
          <w:rFonts w:hint="default" w:ascii="Times New Roman" w:hAnsi="Times New Roman" w:cs="Times New Roman"/>
          <w:color w:val="auto"/>
        </w:rPr>
        <w:t>随着蚌埠民用机场的建设，现状原S311两车道已无法满足该段通行需求，为更好的解决交通转换，急需对S311进行改造提升，加快促进公路网与民航间的交通快速转换</w:t>
      </w:r>
      <w:r>
        <w:rPr>
          <w:rFonts w:hint="eastAsia" w:cs="Times New Roman"/>
          <w:color w:val="auto"/>
          <w:lang w:eastAsia="zh-CN"/>
        </w:rPr>
        <w:t>。</w:t>
      </w:r>
    </w:p>
    <w:p>
      <w:pPr>
        <w:spacing w:beforeLines="0" w:afterLines="0"/>
        <w:ind w:firstLine="480" w:firstLineChars="200"/>
        <w:jc w:val="left"/>
        <w:rPr>
          <w:rFonts w:hint="eastAsia" w:ascii="Times New Roman" w:hAnsi="Times New Roman" w:eastAsia="宋体" w:cs="Times New Roman"/>
          <w:color w:val="auto"/>
          <w:lang w:eastAsia="zh-CN"/>
        </w:rPr>
      </w:pPr>
      <w:r>
        <w:rPr>
          <w:rFonts w:hint="default" w:ascii="Times New Roman" w:hAnsi="Times New Roman" w:cs="Times New Roman"/>
          <w:color w:val="auto"/>
        </w:rPr>
        <w:t>本项目位于蚌埠市怀远县境内，是S311连接包集镇与蚌埠民用机场的重要段落。项目起于包集互通出入口，接原G206；终于小沟沿北侧，接刘褚路（S419）。项目建设可有效完善区域路网，促进沿线经济发展，密切沿线乡镇经济来往，提升区域综合运输网的服务水平和运输效率具有重要意义</w:t>
      </w:r>
      <w:r>
        <w:rPr>
          <w:rFonts w:hint="eastAsia" w:cs="Times New Roman"/>
          <w:color w:val="auto"/>
          <w:lang w:eastAsia="zh-CN"/>
        </w:rPr>
        <w:t>。</w:t>
      </w:r>
    </w:p>
    <w:p>
      <w:pPr>
        <w:spacing w:beforeLines="0" w:afterLines="0"/>
        <w:ind w:firstLine="480" w:firstLineChars="200"/>
        <w:jc w:val="left"/>
        <w:rPr>
          <w:rFonts w:hint="default" w:ascii="Times New Roman" w:hAnsi="Times New Roman" w:eastAsia="宋体" w:cs="Times New Roman"/>
          <w:color w:val="auto"/>
          <w:lang w:val="en-US" w:eastAsia="zh-CN"/>
        </w:rPr>
      </w:pPr>
      <w:r>
        <w:rPr>
          <w:rFonts w:hint="eastAsia" w:cs="Times New Roman"/>
          <w:color w:val="auto"/>
          <w:lang w:val="en-US" w:eastAsia="zh-CN"/>
        </w:rPr>
        <w:t>S311怀远包集至蚌埠民用机场一级公路工程起于包集互通出入口，与原G206十字交叉，线位沿现状S311下穿京台高速、与在建新G206交叉后，向西北偏转，经仁和村、邵楼村，与机场出入道路衔接后向西延伸至小沟沿北侧，接刘褚路（S419）。路线全长约7.70km。</w:t>
      </w:r>
    </w:p>
    <w:p>
      <w:pPr>
        <w:spacing w:beforeLines="0" w:afterLines="0"/>
        <w:ind w:left="0" w:leftChars="0" w:firstLine="0" w:firstLineChars="0"/>
        <w:jc w:val="both"/>
        <w:rPr>
          <w:rFonts w:hint="default" w:ascii="Times New Roman" w:hAnsi="Times New Roman" w:eastAsia="宋体" w:cs="Times New Roman"/>
          <w:color w:val="auto"/>
          <w:lang w:val="en-US" w:eastAsia="zh-CN"/>
        </w:rPr>
      </w:pPr>
      <w:r>
        <w:rPr>
          <w:rFonts w:hint="eastAsia" w:ascii="Times New Roman" w:hAnsi="Times New Roman" w:eastAsia="宋体" w:cs="宋体"/>
          <w:color w:val="auto"/>
          <w:sz w:val="28"/>
          <w:szCs w:val="28"/>
          <w:highlight w:val="none"/>
          <w:lang w:eastAsia="zh-CN"/>
        </w:rPr>
        <w:drawing>
          <wp:inline distT="0" distB="0" distL="114300" distR="114300">
            <wp:extent cx="5711190" cy="2367915"/>
            <wp:effectExtent l="0" t="0" r="3810" b="9525"/>
            <wp:docPr id="91" name="图片 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 descr="图片3"/>
                    <pic:cNvPicPr>
                      <a:picLocks noChangeAspect="1"/>
                    </pic:cNvPicPr>
                  </pic:nvPicPr>
                  <pic:blipFill>
                    <a:blip r:embed="rId16"/>
                    <a:srcRect l="1102" t="3329" r="17902" b="14957"/>
                    <a:stretch>
                      <a:fillRect/>
                    </a:stretch>
                  </pic:blipFill>
                  <pic:spPr>
                    <a:xfrm>
                      <a:off x="0" y="0"/>
                      <a:ext cx="5711190" cy="2367915"/>
                    </a:xfrm>
                    <a:prstGeom prst="rect">
                      <a:avLst/>
                    </a:prstGeom>
                    <a:noFill/>
                    <a:ln>
                      <a:noFill/>
                    </a:ln>
                  </pic:spPr>
                </pic:pic>
              </a:graphicData>
            </a:graphic>
          </wp:inline>
        </w:drawing>
      </w:r>
    </w:p>
    <w:p>
      <w:pPr>
        <w:spacing w:beforeLines="0" w:afterLines="0"/>
        <w:jc w:val="center"/>
        <w:rPr>
          <w:rFonts w:hint="default" w:ascii="Times New Roman" w:hAnsi="Times New Roman" w:cs="Times New Roman"/>
          <w:b/>
          <w:bCs/>
          <w:color w:val="auto"/>
          <w:lang w:val="en-US" w:eastAsia="zh-CN"/>
        </w:rPr>
      </w:pPr>
      <w:r>
        <w:rPr>
          <w:rFonts w:hint="eastAsia" w:cs="Times New Roman"/>
          <w:b/>
          <w:bCs/>
          <w:color w:val="auto"/>
          <w:lang w:val="en-US" w:eastAsia="zh-CN"/>
        </w:rPr>
        <w:t>图1-1 本项目位置关系图</w:t>
      </w:r>
    </w:p>
    <w:p>
      <w:pPr>
        <w:tabs>
          <w:tab w:val="left" w:pos="6195"/>
        </w:tabs>
        <w:topLinePunct/>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根据《建设项目环境影响评价分类管理名录》（2021年版），本项目属于“五十二 交通运输业、管道运输业 130等级公路（不含维护；不含生命救援、应急保通工程以及国防交通保障项目；不含改扩建四级公路）”中“新建涉及环境敏感区的二级及以上等级公路”，需编制环境影响报告书，蚌埠市公路管理服务中心委托我公司承担</w:t>
      </w:r>
      <w:r>
        <w:rPr>
          <w:rFonts w:hint="eastAsia" w:cs="Times New Roman"/>
          <w:color w:val="auto"/>
          <w:lang w:val="en-US" w:eastAsia="zh-CN"/>
        </w:rPr>
        <w:t>S311怀远包集至蚌埠民用机场一级公路工程</w:t>
      </w:r>
      <w:r>
        <w:rPr>
          <w:rFonts w:hint="default" w:ascii="Times New Roman" w:hAnsi="Times New Roman" w:eastAsia="宋体" w:cs="Times New Roman"/>
          <w:color w:val="auto"/>
          <w:sz w:val="24"/>
          <w:szCs w:val="24"/>
          <w:lang w:val="en-US" w:eastAsia="zh-CN"/>
        </w:rPr>
        <w:t>的环境影响评价工作。</w:t>
      </w:r>
    </w:p>
    <w:p>
      <w:pPr>
        <w:pStyle w:val="10"/>
        <w:ind w:firstLine="480"/>
        <w:rPr>
          <w:color w:val="auto"/>
        </w:rPr>
      </w:pPr>
      <w:r>
        <w:rPr>
          <w:rFonts w:hint="default" w:ascii="Times New Roman" w:hAnsi="Times New Roman" w:cs="Times New Roman"/>
          <w:color w:val="auto"/>
        </w:rPr>
        <w:t>我司接到评价任务后，立即成立了项目工作组，在现场踏勘和收集研读有关资料、文件的基础上，按照有关法律法规、环境保护标准、环境影响评价技术规范编制了本项目环境影响报告书</w:t>
      </w:r>
      <w:r>
        <w:rPr>
          <w:rFonts w:hint="default" w:ascii="Times New Roman" w:hAnsi="Times New Roman" w:cs="Times New Roman"/>
          <w:color w:val="auto"/>
          <w:lang w:eastAsia="zh-CN"/>
        </w:rPr>
        <w:t>。</w:t>
      </w:r>
      <w:r>
        <w:rPr>
          <w:rFonts w:hint="default" w:ascii="Times New Roman" w:hAnsi="Times New Roman" w:eastAsia="宋体" w:cs="Times New Roman"/>
          <w:color w:val="auto"/>
          <w:sz w:val="24"/>
          <w:szCs w:val="24"/>
          <w:lang w:val="en-US" w:eastAsia="zh-CN"/>
        </w:rPr>
        <w:t>现呈报</w:t>
      </w:r>
      <w:r>
        <w:rPr>
          <w:rFonts w:hint="eastAsia" w:cs="Times New Roman"/>
          <w:color w:val="auto"/>
          <w:sz w:val="24"/>
          <w:szCs w:val="24"/>
          <w:lang w:val="en-US" w:eastAsia="zh-CN"/>
        </w:rPr>
        <w:t>蚌埠</w:t>
      </w:r>
      <w:r>
        <w:rPr>
          <w:rFonts w:hint="default" w:ascii="Times New Roman" w:hAnsi="Times New Roman" w:eastAsia="宋体" w:cs="Times New Roman"/>
          <w:color w:val="auto"/>
          <w:sz w:val="24"/>
          <w:szCs w:val="24"/>
          <w:lang w:val="en-US" w:eastAsia="zh-CN"/>
        </w:rPr>
        <w:t>市生态环境主管部门</w:t>
      </w:r>
      <w:r>
        <w:rPr>
          <w:rFonts w:hint="eastAsia" w:ascii="Times New Roman" w:hAnsi="Times New Roman" w:eastAsia="宋体" w:cs="Times New Roman"/>
          <w:color w:val="auto"/>
          <w:sz w:val="24"/>
          <w:szCs w:val="24"/>
          <w:lang w:val="en-US" w:eastAsia="zh-CN"/>
        </w:rPr>
        <w:t>。</w:t>
      </w:r>
    </w:p>
    <w:p>
      <w:pPr>
        <w:pStyle w:val="8"/>
        <w:rPr>
          <w:b/>
          <w:bCs/>
          <w:color w:val="auto"/>
        </w:rPr>
      </w:pPr>
      <w:bookmarkStart w:id="26" w:name="_Toc8022"/>
      <w:r>
        <w:rPr>
          <w:b/>
          <w:bCs/>
          <w:color w:val="auto"/>
        </w:rPr>
        <w:t>项目概况</w:t>
      </w:r>
      <w:bookmarkEnd w:id="26"/>
    </w:p>
    <w:p>
      <w:pPr>
        <w:tabs>
          <w:tab w:val="left" w:pos="6195"/>
        </w:tabs>
        <w:topLinePunct/>
        <w:spacing w:line="360" w:lineRule="auto"/>
        <w:ind w:firstLine="480" w:firstLineChars="200"/>
        <w:rPr>
          <w:rFonts w:hint="default" w:ascii="Times New Roman" w:hAnsi="Times New Roman" w:cs="Times New Roman"/>
          <w:color w:val="auto"/>
          <w:sz w:val="24"/>
          <w:highlight w:val="none"/>
          <w:lang w:val="en-US" w:eastAsia="zh-CN"/>
        </w:rPr>
      </w:pPr>
      <w:r>
        <w:rPr>
          <w:rFonts w:hint="eastAsia" w:cs="Times New Roman"/>
          <w:color w:val="auto"/>
          <w:lang w:val="en-US" w:eastAsia="zh-CN"/>
        </w:rPr>
        <w:t>S311怀远包集至蚌埠民用机场一级公路工程</w:t>
      </w:r>
      <w:r>
        <w:rPr>
          <w:rFonts w:hint="default" w:ascii="Times New Roman" w:hAnsi="Times New Roman" w:cs="Times New Roman"/>
          <w:color w:val="auto"/>
          <w:lang w:val="en-US" w:eastAsia="zh-CN"/>
        </w:rPr>
        <w:t>路线</w:t>
      </w:r>
      <w:r>
        <w:rPr>
          <w:rFonts w:hint="eastAsia" w:cs="Times New Roman"/>
          <w:color w:val="auto"/>
          <w:lang w:val="en-US" w:eastAsia="zh-CN"/>
        </w:rPr>
        <w:t>起于包集互通出入口，与原G206十字交叉，线位沿现状S311下穿京台高速、与在建新G206交叉后，向西北偏转，经仁和村、邵楼村，与机场出入道路衔接后向西延伸至小沟沿北侧，接刘褚路（S419）</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拟建项目全长约</w:t>
      </w:r>
      <w:r>
        <w:rPr>
          <w:rFonts w:hint="eastAsia" w:cs="Times New Roman"/>
          <w:color w:val="auto"/>
          <w:sz w:val="24"/>
          <w:szCs w:val="24"/>
          <w:lang w:val="en-US" w:eastAsia="zh-CN"/>
        </w:rPr>
        <w:t>7.70</w:t>
      </w:r>
      <w:r>
        <w:rPr>
          <w:rFonts w:hint="default" w:ascii="Times New Roman" w:hAnsi="Times New Roman" w:cs="Times New Roman"/>
          <w:color w:val="auto"/>
          <w:sz w:val="24"/>
          <w:szCs w:val="24"/>
          <w:lang w:val="en-US" w:eastAsia="zh-CN"/>
        </w:rPr>
        <w:t>km，全部为新建道路。道路按一级公路标准建设，设计速度</w:t>
      </w:r>
      <w:r>
        <w:rPr>
          <w:rFonts w:hint="eastAsia" w:cs="Times New Roman"/>
          <w:color w:val="auto"/>
          <w:sz w:val="24"/>
          <w:szCs w:val="24"/>
          <w:lang w:val="en-US" w:eastAsia="zh-CN"/>
        </w:rPr>
        <w:t>6</w:t>
      </w:r>
      <w:r>
        <w:rPr>
          <w:rFonts w:hint="default" w:ascii="Times New Roman" w:hAnsi="Times New Roman" w:cs="Times New Roman"/>
          <w:color w:val="auto"/>
          <w:sz w:val="24"/>
          <w:szCs w:val="24"/>
          <w:lang w:val="en-US" w:eastAsia="zh-CN"/>
        </w:rPr>
        <w:t>0km/h。</w:t>
      </w:r>
      <w:r>
        <w:rPr>
          <w:rFonts w:hint="default" w:ascii="Times New Roman" w:hAnsi="Times New Roman" w:cs="Times New Roman"/>
          <w:color w:val="auto"/>
          <w:sz w:val="24"/>
          <w:highlight w:val="none"/>
        </w:rPr>
        <w:t>路基宽</w:t>
      </w:r>
      <w:r>
        <w:rPr>
          <w:rFonts w:hint="eastAsia" w:cs="Times New Roman"/>
          <w:color w:val="auto"/>
          <w:sz w:val="24"/>
          <w:highlight w:val="none"/>
          <w:lang w:val="en-US" w:eastAsia="zh-CN"/>
        </w:rPr>
        <w:t>33.5</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lang w:val="en-US" w:eastAsia="zh-CN"/>
        </w:rPr>
        <w:t>。</w:t>
      </w:r>
    </w:p>
    <w:p>
      <w:pPr>
        <w:tabs>
          <w:tab w:val="left" w:pos="6195"/>
        </w:tabs>
        <w:topLinePunct/>
        <w:spacing w:line="360" w:lineRule="auto"/>
        <w:ind w:firstLine="480" w:firstLineChars="200"/>
        <w:rPr>
          <w:rFonts w:hint="eastAsia" w:ascii="Times New Roman" w:hAnsi="Times New Roman" w:eastAsia="宋体" w:cs="Times New Roman"/>
          <w:color w:val="auto"/>
          <w:vertAlign w:val="baseline"/>
          <w:lang w:val="en-US" w:eastAsia="zh-CN"/>
        </w:rPr>
      </w:pPr>
      <w:r>
        <w:rPr>
          <w:rFonts w:hint="default" w:ascii="Times New Roman" w:hAnsi="Times New Roman" w:cs="Times New Roman"/>
          <w:color w:val="auto"/>
          <w:highlight w:val="none"/>
          <w:lang w:val="en-US" w:eastAsia="zh-CN"/>
        </w:rPr>
        <w:t>本项目</w:t>
      </w:r>
      <w:r>
        <w:rPr>
          <w:rFonts w:hint="eastAsia" w:cs="Times New Roman"/>
          <w:color w:val="auto"/>
          <w:highlight w:val="none"/>
          <w:lang w:val="en-US" w:eastAsia="zh-CN"/>
        </w:rPr>
        <w:t>永久</w:t>
      </w:r>
      <w:r>
        <w:rPr>
          <w:rFonts w:hint="default" w:ascii="Times New Roman" w:hAnsi="Times New Roman" w:cs="Times New Roman"/>
          <w:color w:val="auto"/>
          <w:highlight w:val="none"/>
          <w:lang w:val="en-US" w:eastAsia="zh-CN"/>
        </w:rPr>
        <w:t>占地</w:t>
      </w:r>
      <w:r>
        <w:rPr>
          <w:rFonts w:hint="eastAsia" w:ascii="Times New Roman" w:hAnsi="Times New Roman" w:cs="Times New Roman"/>
          <w:color w:val="auto"/>
          <w:lang w:val="en-US" w:eastAsia="zh-CN"/>
        </w:rPr>
        <w:t>592.09亩</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临时占地248.06亩</w:t>
      </w:r>
      <w:r>
        <w:rPr>
          <w:rFonts w:hint="default" w:ascii="Times New Roman" w:hAnsi="Times New Roman" w:cs="Times New Roman"/>
          <w:color w:val="auto"/>
          <w:lang w:val="en-US" w:eastAsia="zh-CN"/>
        </w:rPr>
        <w:t>。工程需拆迁</w:t>
      </w:r>
      <w:r>
        <w:rPr>
          <w:rFonts w:hint="eastAsia"/>
          <w:color w:val="auto"/>
          <w:lang w:val="en-US" w:eastAsia="zh-CN"/>
        </w:rPr>
        <w:t>建筑物共计38680m</w:t>
      </w:r>
      <w:r>
        <w:rPr>
          <w:rFonts w:hint="eastAsia"/>
          <w:color w:val="auto"/>
          <w:vertAlign w:val="superscript"/>
          <w:lang w:val="en-US" w:eastAsia="zh-CN"/>
        </w:rPr>
        <w:t>2</w:t>
      </w:r>
      <w:r>
        <w:rPr>
          <w:rFonts w:hint="eastAsia"/>
          <w:color w:val="auto"/>
          <w:lang w:val="en-US" w:eastAsia="zh-CN"/>
        </w:rPr>
        <w:t>，楼房33710</w:t>
      </w:r>
      <w:r>
        <w:rPr>
          <w:color w:val="auto"/>
          <w:lang w:eastAsia="en-US"/>
        </w:rPr>
        <w:t>m</w:t>
      </w:r>
      <w:r>
        <w:rPr>
          <w:color w:val="auto"/>
          <w:vertAlign w:val="superscript"/>
          <w:lang w:eastAsia="en-US"/>
        </w:rPr>
        <w:t>2</w:t>
      </w:r>
      <w:r>
        <w:rPr>
          <w:rFonts w:hint="eastAsia"/>
          <w:color w:val="auto"/>
          <w:vertAlign w:val="baseline"/>
          <w:lang w:eastAsia="zh-CN"/>
        </w:rPr>
        <w:t>，</w:t>
      </w:r>
      <w:r>
        <w:rPr>
          <w:rFonts w:hint="eastAsia"/>
          <w:color w:val="auto"/>
          <w:vertAlign w:val="baseline"/>
          <w:lang w:val="en-US" w:eastAsia="zh-CN"/>
        </w:rPr>
        <w:t>砖瓦房3180</w:t>
      </w:r>
      <w:r>
        <w:rPr>
          <w:color w:val="auto"/>
          <w:lang w:eastAsia="en-US"/>
        </w:rPr>
        <w:t>m</w:t>
      </w:r>
      <w:r>
        <w:rPr>
          <w:color w:val="auto"/>
          <w:vertAlign w:val="superscript"/>
          <w:lang w:eastAsia="en-US"/>
        </w:rPr>
        <w:t>2</w:t>
      </w:r>
      <w:r>
        <w:rPr>
          <w:rFonts w:hint="eastAsia"/>
          <w:color w:val="auto"/>
          <w:vertAlign w:val="baseline"/>
          <w:lang w:eastAsia="zh-CN"/>
        </w:rPr>
        <w:t>，</w:t>
      </w:r>
      <w:r>
        <w:rPr>
          <w:rFonts w:hint="eastAsia"/>
          <w:color w:val="auto"/>
          <w:vertAlign w:val="baseline"/>
          <w:lang w:val="en-US" w:eastAsia="zh-CN"/>
        </w:rPr>
        <w:t>简易房1790</w:t>
      </w:r>
      <w:r>
        <w:rPr>
          <w:color w:val="auto"/>
          <w:lang w:eastAsia="en-US"/>
        </w:rPr>
        <w:t>m</w:t>
      </w:r>
      <w:r>
        <w:rPr>
          <w:color w:val="auto"/>
          <w:vertAlign w:val="superscript"/>
          <w:lang w:eastAsia="en-US"/>
        </w:rPr>
        <w:t>2</w:t>
      </w:r>
      <w:r>
        <w:rPr>
          <w:rFonts w:hint="eastAsia"/>
          <w:color w:val="auto"/>
          <w:vertAlign w:val="baseline"/>
          <w:lang w:val="en-US" w:eastAsia="zh-CN"/>
        </w:rPr>
        <w:t>。</w:t>
      </w:r>
    </w:p>
    <w:p>
      <w:pPr>
        <w:pStyle w:val="10"/>
        <w:ind w:firstLine="480"/>
        <w:rPr>
          <w:color w:val="auto"/>
        </w:rPr>
      </w:pPr>
      <w:r>
        <w:rPr>
          <w:rFonts w:hint="default" w:ascii="Times New Roman" w:hAnsi="Times New Roman" w:cs="Times New Roman"/>
          <w:color w:val="auto"/>
          <w:highlight w:val="none"/>
          <w:lang w:val="en-US" w:eastAsia="zh-CN"/>
        </w:rPr>
        <w:t>项目总投资</w:t>
      </w:r>
      <w:r>
        <w:rPr>
          <w:rFonts w:hint="eastAsia" w:ascii="Times New Roman" w:hAnsi="Times New Roman" w:cs="Times New Roman"/>
          <w:color w:val="auto"/>
          <w:highlight w:val="none"/>
          <w:lang w:val="en-US" w:eastAsia="zh-CN"/>
        </w:rPr>
        <w:t>59515.8</w:t>
      </w:r>
      <w:r>
        <w:rPr>
          <w:rFonts w:hint="default" w:ascii="Times New Roman" w:hAnsi="Times New Roman" w:cs="Times New Roman"/>
          <w:color w:val="auto"/>
          <w:highlight w:val="none"/>
          <w:lang w:val="en-US" w:eastAsia="zh-CN"/>
        </w:rPr>
        <w:t>万元，其中</w:t>
      </w:r>
      <w:r>
        <w:rPr>
          <w:rFonts w:hint="default" w:ascii="Times New Roman" w:hAnsi="Times New Roman" w:cs="Times New Roman"/>
          <w:color w:val="auto"/>
          <w:sz w:val="24"/>
          <w:szCs w:val="24"/>
          <w:highlight w:val="none"/>
        </w:rPr>
        <w:t>环保投资</w:t>
      </w:r>
      <w:r>
        <w:rPr>
          <w:rFonts w:hint="eastAsia" w:ascii="Times New Roman" w:hAnsi="Times New Roman" w:cs="Times New Roman"/>
          <w:color w:val="auto"/>
          <w:sz w:val="24"/>
          <w:szCs w:val="24"/>
          <w:highlight w:val="none"/>
          <w:lang w:val="en-US" w:eastAsia="zh-CN"/>
        </w:rPr>
        <w:t>655</w:t>
      </w:r>
      <w:r>
        <w:rPr>
          <w:rFonts w:hint="default" w:ascii="Times New Roman" w:hAnsi="Times New Roman" w:cs="Times New Roman"/>
          <w:color w:val="auto"/>
          <w:sz w:val="24"/>
          <w:szCs w:val="24"/>
          <w:highlight w:val="none"/>
        </w:rPr>
        <w:t>万元，占总投资的</w:t>
      </w:r>
      <w:r>
        <w:rPr>
          <w:rFonts w:hint="eastAsia" w:ascii="Times New Roman" w:hAnsi="Times New Roman" w:cs="Times New Roman"/>
          <w:color w:val="auto"/>
          <w:sz w:val="24"/>
          <w:szCs w:val="24"/>
          <w:highlight w:val="none"/>
          <w:lang w:val="en-US" w:eastAsia="zh-CN"/>
        </w:rPr>
        <w:t>1.1</w:t>
      </w:r>
      <w:r>
        <w:rPr>
          <w:rFonts w:hint="default" w:ascii="Times New Roman" w:hAnsi="Times New Roman" w:cs="Times New Roman"/>
          <w:color w:val="auto"/>
          <w:sz w:val="24"/>
          <w:szCs w:val="24"/>
          <w:highlight w:val="none"/>
        </w:rPr>
        <w:t>%。工程计划20</w:t>
      </w:r>
      <w:r>
        <w:rPr>
          <w:rFonts w:hint="default" w:ascii="Times New Roman" w:hAnsi="Times New Roman" w:cs="Times New Roman"/>
          <w:color w:val="auto"/>
          <w:sz w:val="24"/>
          <w:szCs w:val="24"/>
          <w:highlight w:val="none"/>
          <w:lang w:val="en-US" w:eastAsia="zh-CN"/>
        </w:rPr>
        <w:t>2</w:t>
      </w:r>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月开工建设，20</w:t>
      </w:r>
      <w:r>
        <w:rPr>
          <w:rFonts w:hint="default" w:ascii="Times New Roman" w:hAnsi="Times New Roman"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12</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val="en-US" w:eastAsia="zh-CN"/>
        </w:rPr>
        <w:t>底</w:t>
      </w:r>
      <w:r>
        <w:rPr>
          <w:rFonts w:hint="default" w:ascii="Times New Roman" w:hAnsi="Times New Roman" w:cs="Times New Roman"/>
          <w:color w:val="auto"/>
          <w:sz w:val="24"/>
          <w:szCs w:val="24"/>
          <w:highlight w:val="none"/>
        </w:rPr>
        <w:t>竣工，总工期</w:t>
      </w:r>
      <w:r>
        <w:rPr>
          <w:rFonts w:hint="eastAsia" w:ascii="Times New Roman" w:hAnsi="Times New Roman" w:cs="Times New Roman"/>
          <w:color w:val="auto"/>
          <w:sz w:val="24"/>
          <w:szCs w:val="24"/>
          <w:highlight w:val="none"/>
          <w:lang w:val="en-US" w:eastAsia="zh-CN"/>
        </w:rPr>
        <w:t>12</w:t>
      </w:r>
      <w:r>
        <w:rPr>
          <w:rFonts w:hint="default" w:ascii="Times New Roman" w:hAnsi="Times New Roman" w:cs="Times New Roman"/>
          <w:color w:val="auto"/>
          <w:sz w:val="24"/>
          <w:szCs w:val="24"/>
          <w:highlight w:val="none"/>
        </w:rPr>
        <w:t>个月</w:t>
      </w:r>
      <w:r>
        <w:rPr>
          <w:rFonts w:hint="eastAsia"/>
          <w:color w:val="auto"/>
        </w:rPr>
        <w:t>。</w:t>
      </w:r>
    </w:p>
    <w:bookmarkEnd w:id="25"/>
    <w:p>
      <w:pPr>
        <w:pStyle w:val="7"/>
        <w:rPr>
          <w:rFonts w:hint="eastAsia"/>
          <w:b/>
          <w:bCs/>
          <w:sz w:val="28"/>
          <w:szCs w:val="28"/>
        </w:rPr>
      </w:pPr>
      <w:bookmarkStart w:id="27" w:name="_Toc57645128"/>
      <w:bookmarkStart w:id="28" w:name="_Toc455016441"/>
      <w:bookmarkStart w:id="29" w:name="_Toc15411"/>
      <w:bookmarkStart w:id="30" w:name="_Toc18705"/>
      <w:r>
        <w:rPr>
          <w:rFonts w:hint="eastAsia"/>
          <w:b/>
          <w:bCs/>
          <w:sz w:val="28"/>
          <w:szCs w:val="28"/>
        </w:rPr>
        <w:t>环境影响评价工作过程</w:t>
      </w:r>
      <w:bookmarkEnd w:id="27"/>
      <w:bookmarkEnd w:id="28"/>
      <w:bookmarkEnd w:id="29"/>
      <w:bookmarkEnd w:id="30"/>
    </w:p>
    <w:p>
      <w:pPr>
        <w:pStyle w:val="10"/>
        <w:ind w:firstLine="480"/>
      </w:pPr>
      <w:r>
        <w:t>根据《中华人民共和国环境影响评价法》和国务院682号令《建设项目环境保护管理条例》的有关规定，</w:t>
      </w:r>
      <w:r>
        <w:rPr>
          <w:rFonts w:hint="eastAsia"/>
        </w:rPr>
        <w:t>S311怀远包集至蚌埠民用机场一级公路工程需进行环境影响评价。蚌埠市公路管理服务中心于202</w:t>
      </w:r>
      <w:r>
        <w:t>2</w:t>
      </w:r>
      <w:r>
        <w:rPr>
          <w:rFonts w:hint="eastAsia"/>
        </w:rPr>
        <w:t>年9月2</w:t>
      </w:r>
      <w:r>
        <w:rPr>
          <w:rFonts w:hint="eastAsia"/>
          <w:lang w:val="en-US" w:eastAsia="zh-CN"/>
        </w:rPr>
        <w:t>0</w:t>
      </w:r>
      <w:r>
        <w:rPr>
          <w:rFonts w:hint="eastAsia"/>
        </w:rPr>
        <w:t>日</w:t>
      </w:r>
      <w:r>
        <w:t>委托安徽</w:t>
      </w:r>
      <w:r>
        <w:rPr>
          <w:rFonts w:hint="eastAsia"/>
        </w:rPr>
        <w:t>长之源</w:t>
      </w:r>
      <w:r>
        <w:t>环境工程有限公司承担</w:t>
      </w:r>
      <w:r>
        <w:rPr>
          <w:rFonts w:hint="eastAsia"/>
        </w:rPr>
        <w:t>S311怀远包集至蚌埠民用机场一级公路工程</w:t>
      </w:r>
      <w:r>
        <w:t>的环境影响评价工作。接受委托后，我公司立即组织专业技术人员赴现场进行现场踏勘、调研，收集有关区域环境和工程的技术基础资料。</w:t>
      </w:r>
    </w:p>
    <w:p>
      <w:pPr>
        <w:pStyle w:val="10"/>
        <w:ind w:firstLine="480"/>
      </w:pPr>
      <w:r>
        <w:rPr>
          <w:rFonts w:hint="eastAsia"/>
        </w:rPr>
        <w:t>在本报告编制过程中主要时间节点如下：</w:t>
      </w:r>
    </w:p>
    <w:p>
      <w:pPr>
        <w:pStyle w:val="10"/>
        <w:ind w:firstLine="480"/>
      </w:pPr>
      <w:r>
        <w:t>（1）</w:t>
      </w:r>
      <w:r>
        <w:rPr>
          <w:rFonts w:hint="eastAsia"/>
        </w:rPr>
        <w:t>第一次公示：</w:t>
      </w:r>
      <w:r>
        <w:t>2022年9月</w:t>
      </w:r>
      <w:r>
        <w:rPr>
          <w:rFonts w:hint="eastAsia"/>
        </w:rPr>
        <w:t>2</w:t>
      </w:r>
      <w:r>
        <w:t>3日，该项目在</w:t>
      </w:r>
      <w:r>
        <w:rPr>
          <w:rFonts w:hint="eastAsia"/>
        </w:rPr>
        <w:t>蚌埠市交通运输局</w:t>
      </w:r>
      <w:r>
        <w:t>网站（http://jtj.bengbu.gov.cn/content/article/9191125）上进行了第一次环评公示；</w:t>
      </w:r>
    </w:p>
    <w:p>
      <w:pPr>
        <w:pStyle w:val="10"/>
        <w:ind w:firstLine="480"/>
      </w:pPr>
      <w:r>
        <w:t>（2）区域环境质量现状监测：2022年10月</w:t>
      </w:r>
      <w:r>
        <w:rPr>
          <w:rFonts w:hint="eastAsia"/>
        </w:rPr>
        <w:t>1</w:t>
      </w:r>
      <w:r>
        <w:t>3</w:t>
      </w:r>
      <w:r>
        <w:rPr>
          <w:rFonts w:hint="eastAsia"/>
        </w:rPr>
        <w:t>日~</w:t>
      </w:r>
      <w:r>
        <w:t>10</w:t>
      </w:r>
      <w:r>
        <w:rPr>
          <w:rFonts w:hint="eastAsia"/>
        </w:rPr>
        <w:t>月1</w:t>
      </w:r>
      <w:r>
        <w:t>5</w:t>
      </w:r>
      <w:r>
        <w:rPr>
          <w:rFonts w:hint="eastAsia"/>
        </w:rPr>
        <w:t>日</w:t>
      </w:r>
      <w:r>
        <w:t>，安徽田博仕检测有限公司对项目区域及</w:t>
      </w:r>
      <w:r>
        <w:rPr>
          <w:rFonts w:hint="eastAsia"/>
        </w:rPr>
        <w:t>沿线</w:t>
      </w:r>
      <w:r>
        <w:t>的地表水、声环境质量现状进行了监测；</w:t>
      </w:r>
    </w:p>
    <w:p>
      <w:pPr>
        <w:pStyle w:val="10"/>
        <w:ind w:firstLine="486"/>
      </w:pPr>
      <w:r>
        <w:rPr>
          <w:spacing w:val="3"/>
        </w:rPr>
        <w:t>（3）</w:t>
      </w:r>
      <w:r>
        <w:t>2022年1</w:t>
      </w:r>
      <w:r>
        <w:rPr>
          <w:rFonts w:hint="eastAsia"/>
          <w:lang w:val="en-US" w:eastAsia="zh-CN"/>
        </w:rPr>
        <w:t>0</w:t>
      </w:r>
      <w:r>
        <w:t>月，编制完成了《</w:t>
      </w:r>
      <w:r>
        <w:rPr>
          <w:rFonts w:hint="eastAsia"/>
        </w:rPr>
        <w:t>S311怀远包集至蚌埠民用机场一级公路工程</w:t>
      </w:r>
      <w:r>
        <w:t>环境影响报告书》，并通过公司内部审核修改后形成</w:t>
      </w:r>
      <w:r>
        <w:rPr>
          <w:rFonts w:hint="eastAsia"/>
        </w:rPr>
        <w:t>征求意见稿</w:t>
      </w:r>
      <w:r>
        <w:t xml:space="preserve">； </w:t>
      </w:r>
    </w:p>
    <w:p>
      <w:pPr>
        <w:pStyle w:val="10"/>
        <w:numPr>
          <w:ilvl w:val="0"/>
          <w:numId w:val="6"/>
        </w:numPr>
        <w:ind w:firstLine="486"/>
        <w:rPr>
          <w:rFonts w:hint="eastAsia"/>
          <w:lang w:eastAsia="zh-CN"/>
        </w:rPr>
      </w:pPr>
      <w:r>
        <w:rPr>
          <w:rFonts w:hint="eastAsia"/>
        </w:rPr>
        <w:t>征求意见稿</w:t>
      </w:r>
      <w:r>
        <w:t>公示：2022年</w:t>
      </w:r>
      <w:r>
        <w:rPr>
          <w:rFonts w:hint="eastAsia"/>
          <w:lang w:val="en-US" w:eastAsia="zh-CN"/>
        </w:rPr>
        <w:t>10</w:t>
      </w:r>
      <w:r>
        <w:t>月</w:t>
      </w:r>
      <w:r>
        <w:rPr>
          <w:rFonts w:hint="eastAsia"/>
          <w:lang w:val="en-US" w:eastAsia="zh-CN"/>
        </w:rPr>
        <w:t>21</w:t>
      </w:r>
      <w:r>
        <w:t>日，本项目在</w:t>
      </w:r>
      <w:r>
        <w:rPr>
          <w:rFonts w:hint="eastAsia"/>
          <w:lang w:val="en-US" w:eastAsia="zh-CN"/>
        </w:rPr>
        <w:t>蚌埠市交通运输局网站</w:t>
      </w:r>
      <w:r>
        <w:t>（</w:t>
      </w:r>
      <w:r>
        <w:rPr>
          <w:rFonts w:hint="eastAsia" w:ascii="Times New Roman" w:hAnsi="Times New Roman" w:eastAsia="宋体" w:cs="Times New Roman"/>
          <w:kern w:val="0"/>
          <w:sz w:val="24"/>
          <w:szCs w:val="24"/>
        </w:rPr>
        <w:t>http://jtj.bengbu.gov.cn/content/article/9193380</w:t>
      </w:r>
      <w:r>
        <w:t>）进行了</w:t>
      </w:r>
      <w:r>
        <w:rPr>
          <w:rFonts w:hint="eastAsia"/>
        </w:rPr>
        <w:t>征求意见稿公示</w:t>
      </w:r>
      <w:r>
        <w:t>，</w:t>
      </w:r>
      <w:r>
        <w:rPr>
          <w:rFonts w:hint="eastAsia"/>
        </w:rPr>
        <w:t>并</w:t>
      </w:r>
      <w:r>
        <w:t>于</w:t>
      </w:r>
      <w:r>
        <w:rPr>
          <w:rFonts w:hint="eastAsia"/>
        </w:rPr>
        <w:t>2</w:t>
      </w:r>
      <w:r>
        <w:t>022年</w:t>
      </w:r>
      <w:r>
        <w:rPr>
          <w:rFonts w:hint="eastAsia"/>
          <w:lang w:val="en-US" w:eastAsia="zh-CN"/>
        </w:rPr>
        <w:t>10</w:t>
      </w:r>
      <w:r>
        <w:t>月</w:t>
      </w:r>
      <w:r>
        <w:rPr>
          <w:rFonts w:hint="eastAsia"/>
          <w:lang w:val="en-US" w:eastAsia="zh-CN"/>
        </w:rPr>
        <w:t>29</w:t>
      </w:r>
      <w:r>
        <w:rPr>
          <w:rFonts w:hint="eastAsia"/>
        </w:rPr>
        <w:t>日、</w:t>
      </w:r>
      <w:r>
        <w:rPr>
          <w:rFonts w:hint="eastAsia"/>
          <w:lang w:val="en-US" w:eastAsia="zh-CN"/>
        </w:rPr>
        <w:t>11</w:t>
      </w:r>
      <w:r>
        <w:rPr>
          <w:rFonts w:hint="eastAsia"/>
        </w:rPr>
        <w:t>月</w:t>
      </w:r>
      <w:r>
        <w:rPr>
          <w:rFonts w:hint="eastAsia"/>
          <w:lang w:val="en-US" w:eastAsia="zh-CN"/>
        </w:rPr>
        <w:t>2</w:t>
      </w:r>
      <w:r>
        <w:rPr>
          <w:rFonts w:hint="eastAsia"/>
        </w:rPr>
        <w:t>日在</w:t>
      </w:r>
      <w:r>
        <w:t>安徽日报（纸媒体）</w:t>
      </w:r>
      <w:r>
        <w:rPr>
          <w:rFonts w:hint="eastAsia"/>
        </w:rPr>
        <w:t>进行了两次报纸公示，同时在</w:t>
      </w:r>
      <w:r>
        <w:t>道路沿线村庄（现场）进行了公示，征求公众对本项目的环境影响有关意见</w:t>
      </w:r>
      <w:r>
        <w:rPr>
          <w:rFonts w:hint="eastAsia"/>
          <w:lang w:eastAsia="zh-CN"/>
        </w:rPr>
        <w:t>；</w:t>
      </w:r>
    </w:p>
    <w:p>
      <w:pPr>
        <w:pStyle w:val="10"/>
        <w:numPr>
          <w:ilvl w:val="0"/>
          <w:numId w:val="6"/>
        </w:numPr>
        <w:ind w:firstLine="486"/>
        <w:rPr>
          <w:rFonts w:hint="eastAsia"/>
          <w:lang w:val="en-US" w:eastAsia="zh-CN"/>
        </w:rPr>
      </w:pPr>
      <w:r>
        <w:rPr>
          <w:rFonts w:hint="eastAsia"/>
          <w:lang w:val="en-US" w:eastAsia="zh-CN"/>
        </w:rPr>
        <w:t>2022年11月，编制完成了《</w:t>
      </w:r>
      <w:r>
        <w:rPr>
          <w:rFonts w:hint="eastAsia"/>
        </w:rPr>
        <w:t>S311怀远包集至蚌埠民用机场一级公路工程</w:t>
      </w:r>
      <w:r>
        <w:rPr>
          <w:rFonts w:hint="eastAsia"/>
          <w:lang w:val="en-US" w:eastAsia="zh-CN"/>
        </w:rPr>
        <w:t>环境影响报告书》，并通过公司内部三级审核修改后形成送审稿。</w:t>
      </w:r>
    </w:p>
    <w:p>
      <w:pPr>
        <w:pStyle w:val="7"/>
        <w:rPr>
          <w:b/>
          <w:bCs/>
          <w:sz w:val="28"/>
          <w:szCs w:val="28"/>
        </w:rPr>
      </w:pPr>
      <w:bookmarkStart w:id="31" w:name="_Toc21517"/>
      <w:bookmarkStart w:id="32" w:name="_Toc12245"/>
      <w:r>
        <w:rPr>
          <w:rFonts w:hint="eastAsia"/>
          <w:b/>
          <w:bCs/>
          <w:sz w:val="28"/>
          <w:szCs w:val="28"/>
        </w:rPr>
        <w:t>分析判定相关情况</w:t>
      </w:r>
      <w:bookmarkEnd w:id="31"/>
      <w:bookmarkEnd w:id="32"/>
    </w:p>
    <w:p>
      <w:pPr>
        <w:pStyle w:val="8"/>
        <w:rPr>
          <w:b/>
          <w:bCs/>
        </w:rPr>
      </w:pPr>
      <w:bookmarkStart w:id="33" w:name="_Toc19038"/>
      <w:bookmarkStart w:id="34" w:name="_Toc234679583"/>
      <w:bookmarkStart w:id="35" w:name="_Toc401564384"/>
      <w:bookmarkStart w:id="36" w:name="_Toc402509422"/>
      <w:bookmarkStart w:id="37" w:name="_Toc471329469"/>
      <w:bookmarkStart w:id="38" w:name="_Toc455016442"/>
      <w:bookmarkStart w:id="39" w:name="_Toc57645129"/>
      <w:r>
        <w:rPr>
          <w:b/>
          <w:bCs/>
        </w:rPr>
        <w:t>项目建设的必要性</w:t>
      </w:r>
      <w:bookmarkEnd w:id="33"/>
    </w:p>
    <w:p>
      <w:pPr>
        <w:pStyle w:val="112"/>
        <w:ind w:firstLine="482"/>
        <w:rPr>
          <w:b/>
          <w:bCs/>
        </w:rPr>
      </w:pPr>
      <w:r>
        <w:rPr>
          <w:rFonts w:hint="eastAsia"/>
          <w:b/>
          <w:bCs/>
        </w:rPr>
        <w:t>（1）</w:t>
      </w:r>
      <w:r>
        <w:rPr>
          <w:b/>
          <w:bCs/>
        </w:rPr>
        <w:t>项目的建设是加强交通基础设施互联互通，支撑国家和省市各项战略实施的需要</w:t>
      </w:r>
    </w:p>
    <w:p>
      <w:pPr>
        <w:pStyle w:val="10"/>
        <w:ind w:firstLine="480"/>
      </w:pPr>
      <w:r>
        <w:t>无论是“一带一路”、“交通强国”及“长三角区域一体化发展”等战略的实施，还是东陇海产业带、皖北地区的快速发展，均需要便捷的交通基础设施作为支撑。多年来，萧县主动作为，积极融入国家和省市各项重大战略，加快推进与之相适应的一批重点工程、重大项目，在强化交通设施互联互通建设方面取得明显成效。</w:t>
      </w:r>
    </w:p>
    <w:p>
      <w:pPr>
        <w:pStyle w:val="112"/>
        <w:ind w:firstLine="482"/>
        <w:rPr>
          <w:b/>
          <w:bCs/>
        </w:rPr>
      </w:pPr>
      <w:r>
        <w:rPr>
          <w:rFonts w:hint="eastAsia"/>
          <w:b/>
          <w:bCs/>
        </w:rPr>
        <w:t>（2）项目的建设是贯彻落实省委、省政府振兴皖北地区经济，加快皖北地区基础设施建设的重要举措</w:t>
      </w:r>
    </w:p>
    <w:p>
      <w:pPr>
        <w:pStyle w:val="10"/>
        <w:ind w:firstLine="480"/>
      </w:pPr>
      <w:r>
        <w:rPr>
          <w:rFonts w:hint="eastAsia"/>
        </w:rPr>
        <w:t>皖北地区包括六市（淮北市、亳州市、宿州市、蚌埠市、阜阳市、淮南市）五县（定远县、凤阳县、明光市、寿县、霍邱县），国土面积5.3万平方公里。2010年总人口3633.2万人，占全省的53.5%；实现地区生产总值4102.2亿元，占全省的33.5%，在安徽省经济社会发展格局中占有重要地位。</w:t>
      </w:r>
    </w:p>
    <w:p>
      <w:pPr>
        <w:pStyle w:val="10"/>
        <w:ind w:firstLine="480"/>
      </w:pPr>
      <w:r>
        <w:rPr>
          <w:rFonts w:hint="eastAsia"/>
        </w:rPr>
        <w:t>为加快皖北地区发展、更好地发挥综合比较优势、加快培育安徽发展新生力量、缩小发展差距、促进区域协调发展，2011年省发改委公开征求《皖北地区“十三五”发展规划》意见。根据该规划，“十三五”期间，皖北地区将坚持以加快发展为主题，以工业化、城镇化和农业现代化为主线，做大做优特色产业，着力培育中心城市，壮大县城和中心镇。作为振兴皖北地区的基础性工程，交通建设致力于有机衔接公路、水路、铁路、民航，协调对内对外交通，形成网络完善、布局合理、运行高效的综合交通运输体系。其中，干线公路网主要任务是加快改造升级，完善衔接高速公路和县乡公路的干线公路，加快形成城际之间、城镇与高速公路之间的快速连接。</w:t>
      </w:r>
    </w:p>
    <w:p>
      <w:pPr>
        <w:pStyle w:val="112"/>
        <w:ind w:firstLine="482"/>
        <w:rPr>
          <w:b/>
          <w:bCs/>
        </w:rPr>
      </w:pPr>
      <w:r>
        <w:rPr>
          <w:rFonts w:hint="eastAsia"/>
          <w:b/>
          <w:bCs/>
        </w:rPr>
        <w:t>（3）项目的建设是改善区域干线公路交通出行环境的重要举措</w:t>
      </w:r>
    </w:p>
    <w:p>
      <w:pPr>
        <w:pStyle w:val="10"/>
        <w:ind w:firstLine="480"/>
      </w:pPr>
      <w:r>
        <w:rPr>
          <w:rFonts w:hint="eastAsia"/>
        </w:rPr>
        <w:t>S311是安徽省东西走向重要的干线公路，连接五河、固镇、怀远等市县，是沿线城镇交通出行的重要载体，在省、市、县各级路网中均占有重要地位。</w:t>
      </w:r>
    </w:p>
    <w:p>
      <w:pPr>
        <w:pStyle w:val="10"/>
        <w:ind w:firstLine="480"/>
      </w:pPr>
      <w:r>
        <w:rPr>
          <w:rFonts w:hint="eastAsia"/>
        </w:rPr>
        <w:t>本项目的建设，将彻底改善沿线交通出行环境，提高交通服务水平，提升蚌埠市、怀远县之间的交通出行效率，实现对干线公路网的高效补充，符合沿线交通快速增长的迫切需要。</w:t>
      </w:r>
    </w:p>
    <w:p>
      <w:pPr>
        <w:pStyle w:val="112"/>
        <w:ind w:firstLine="482"/>
        <w:rPr>
          <w:b/>
          <w:bCs/>
        </w:rPr>
      </w:pPr>
      <w:r>
        <w:rPr>
          <w:rFonts w:hint="eastAsia"/>
          <w:b/>
          <w:bCs/>
        </w:rPr>
        <w:t>（4）项目的建设是蚌埠民用机场的主要出入道路，加快公路网与民航的快速转换</w:t>
      </w:r>
    </w:p>
    <w:p>
      <w:pPr>
        <w:pStyle w:val="10"/>
        <w:ind w:firstLine="480"/>
      </w:pPr>
      <w:r>
        <w:rPr>
          <w:rFonts w:hint="eastAsia"/>
        </w:rPr>
        <w:t>蚌埠民用机场项目是蚌埠市综合交通网络的重要载体之一，目前蚌埠民用机场已开工建设，计划在2025年建成通航。</w:t>
      </w:r>
    </w:p>
    <w:p>
      <w:pPr>
        <w:pStyle w:val="10"/>
        <w:ind w:firstLine="480"/>
      </w:pPr>
      <w:r>
        <w:rPr>
          <w:rFonts w:hint="eastAsia"/>
        </w:rPr>
        <w:t>随着蚌埠民用机场的建设，现状原S311两车道已无法满足该段通行需求，为更好的解决交通转换，急需对S311进行改造提升，加快促进公路网与民航间的交通快速转换。</w:t>
      </w:r>
    </w:p>
    <w:p>
      <w:pPr>
        <w:pStyle w:val="112"/>
        <w:ind w:firstLine="482"/>
        <w:rPr>
          <w:b/>
          <w:bCs/>
        </w:rPr>
      </w:pPr>
      <w:r>
        <w:rPr>
          <w:rFonts w:hint="eastAsia"/>
          <w:b/>
          <w:bCs/>
        </w:rPr>
        <w:t>（5）项目的建设是促进怀远县社会经济发展的重要举措</w:t>
      </w:r>
    </w:p>
    <w:p>
      <w:pPr>
        <w:pStyle w:val="10"/>
        <w:ind w:firstLine="480"/>
      </w:pPr>
      <w:r>
        <w:rPr>
          <w:rFonts w:hint="eastAsia"/>
        </w:rPr>
        <w:t>“十三五”期间，怀远县</w:t>
      </w:r>
      <w:r>
        <w:t>以“加速崛起、转型发展、强县富民”为主线，按照“一个核心，两手抓”的总体工作思路，着力拓展发展空间，做大经济总量，加速推进工业化、城镇化、农业产业化进程，在皖北地区崛起进程中实现率先发展，为全面建设小康社会奠定坚实基础。</w:t>
      </w:r>
    </w:p>
    <w:p>
      <w:pPr>
        <w:pStyle w:val="10"/>
        <w:ind w:firstLine="480"/>
      </w:pPr>
      <w:r>
        <w:rPr>
          <w:rFonts w:hint="eastAsia"/>
        </w:rPr>
        <w:t>同时，根据《</w:t>
      </w:r>
      <w:r>
        <w:rPr>
          <w:bCs/>
        </w:rPr>
        <w:t>怀远县国民经济和社会发展第十</w:t>
      </w:r>
      <w:r>
        <w:rPr>
          <w:rFonts w:hint="eastAsia"/>
          <w:bCs/>
        </w:rPr>
        <w:t>三</w:t>
      </w:r>
      <w:r>
        <w:rPr>
          <w:bCs/>
        </w:rPr>
        <w:t>个五年规划纲要</w:t>
      </w:r>
      <w:r>
        <w:rPr>
          <w:rFonts w:hint="eastAsia"/>
        </w:rPr>
        <w:t>》，怀远县</w:t>
      </w:r>
      <w:r>
        <w:t>着力构建“一核</w:t>
      </w:r>
      <w:r>
        <w:rPr>
          <w:rFonts w:hint="eastAsia"/>
        </w:rPr>
        <w:t>（</w:t>
      </w:r>
      <w:r>
        <w:t>以县城为核心</w:t>
      </w:r>
      <w:r>
        <w:rPr>
          <w:rFonts w:hint="eastAsia"/>
        </w:rPr>
        <w:t>）</w:t>
      </w:r>
      <w:r>
        <w:t>一轴</w:t>
      </w:r>
      <w:r>
        <w:rPr>
          <w:rFonts w:hint="eastAsia"/>
        </w:rPr>
        <w:t>（</w:t>
      </w:r>
      <w:r>
        <w:t>以307省道为主轴</w:t>
      </w:r>
      <w:r>
        <w:rPr>
          <w:rFonts w:hint="eastAsia"/>
        </w:rPr>
        <w:t>）</w:t>
      </w:r>
      <w:r>
        <w:t>两翼</w:t>
      </w:r>
      <w:r>
        <w:rPr>
          <w:rFonts w:hint="eastAsia"/>
        </w:rPr>
        <w:t>（</w:t>
      </w:r>
      <w:r>
        <w:t>以206国道和225省道为两翼</w:t>
      </w:r>
      <w:r>
        <w:rPr>
          <w:rFonts w:hint="eastAsia"/>
        </w:rPr>
        <w:t>）</w:t>
      </w:r>
      <w:r>
        <w:t>五组团</w:t>
      </w:r>
      <w:r>
        <w:rPr>
          <w:rFonts w:hint="eastAsia"/>
        </w:rPr>
        <w:t>（</w:t>
      </w:r>
      <w:r>
        <w:t>马城-常坟</w:t>
      </w:r>
      <w:r>
        <w:rPr>
          <w:rFonts w:hint="eastAsia"/>
        </w:rPr>
        <w:t>、</w:t>
      </w:r>
      <w:r>
        <w:t>一场三镇</w:t>
      </w:r>
      <w:r>
        <w:rPr>
          <w:rFonts w:hint="eastAsia"/>
        </w:rPr>
        <w:t>、</w:t>
      </w:r>
      <w:r>
        <w:t>唐集-万福</w:t>
      </w:r>
      <w:r>
        <w:rPr>
          <w:rFonts w:hint="eastAsia"/>
        </w:rPr>
        <w:t>、</w:t>
      </w:r>
      <w:r>
        <w:t>双桥-褚集</w:t>
      </w:r>
      <w:r>
        <w:rPr>
          <w:rFonts w:hint="eastAsia"/>
        </w:rPr>
        <w:t>、</w:t>
      </w:r>
      <w:r>
        <w:t>鲍集-古城</w:t>
      </w:r>
      <w:r>
        <w:rPr>
          <w:rFonts w:hint="eastAsia"/>
        </w:rPr>
        <w:t>）</w:t>
      </w:r>
      <w:r>
        <w:t>”的发展空间布局</w:t>
      </w:r>
      <w:r>
        <w:rPr>
          <w:rFonts w:hint="eastAsia"/>
        </w:rPr>
        <w:t>。</w:t>
      </w:r>
    </w:p>
    <w:p>
      <w:pPr>
        <w:pStyle w:val="10"/>
        <w:ind w:firstLine="480"/>
        <w:rPr>
          <w:rFonts w:ascii="宋体" w:hAnsi="宋体" w:cs="宋体"/>
        </w:rPr>
      </w:pPr>
      <w:r>
        <w:rPr>
          <w:rFonts w:hint="eastAsia" w:ascii="宋体" w:hAnsi="宋体" w:cs="宋体"/>
        </w:rPr>
        <w:t>本项</w:t>
      </w:r>
      <w:r>
        <w:rPr>
          <w:rFonts w:hint="eastAsia"/>
        </w:rPr>
        <w:t>目位于怀远县境内，是沿线乡镇对外出行的重要通道。本项目的建设，将充分发挥S311区域干线</w:t>
      </w:r>
      <w:r>
        <w:rPr>
          <w:rFonts w:hint="eastAsia" w:ascii="宋体" w:hAnsi="宋体" w:cs="宋体"/>
        </w:rPr>
        <w:t>公路功能，依托其交通优势，促进沿线城镇经济和园区经济，推动怀远县经济发展，逐步完善县域空间布局，符合怀远县国民经济和社会发展规划。</w:t>
      </w:r>
    </w:p>
    <w:bookmarkEnd w:id="34"/>
    <w:bookmarkEnd w:id="35"/>
    <w:bookmarkEnd w:id="36"/>
    <w:bookmarkEnd w:id="37"/>
    <w:p>
      <w:pPr>
        <w:pStyle w:val="8"/>
        <w:rPr>
          <w:b/>
          <w:bCs/>
        </w:rPr>
      </w:pPr>
      <w:bookmarkStart w:id="40" w:name="_Toc21056"/>
      <w:bookmarkStart w:id="41" w:name="_Toc402509423"/>
      <w:bookmarkStart w:id="42" w:name="_Toc471329470"/>
      <w:r>
        <w:rPr>
          <w:b/>
          <w:bCs/>
        </w:rPr>
        <w:t>产业政策符合性</w:t>
      </w:r>
      <w:bookmarkEnd w:id="40"/>
    </w:p>
    <w:p>
      <w:pPr>
        <w:pStyle w:val="10"/>
        <w:ind w:firstLine="480"/>
      </w:pPr>
      <w:r>
        <w:rPr>
          <w:rFonts w:hint="eastAsia"/>
        </w:rPr>
        <w:t>根据</w:t>
      </w:r>
      <w:r>
        <w:t>《产业结构调整指导目录（2019年本）》（2019年国家发展和改革委第29号令）</w:t>
      </w:r>
      <w:r>
        <w:rPr>
          <w:rFonts w:hint="eastAsia"/>
        </w:rPr>
        <w:t>，本项目不属于其</w:t>
      </w:r>
      <w:r>
        <w:t>中鼓励类</w:t>
      </w:r>
      <w:r>
        <w:rPr>
          <w:rFonts w:hint="eastAsia"/>
        </w:rPr>
        <w:t>、限制类和淘汰类，视为允许类。且本项目不属于国土资源部“关于发布实施《</w:t>
      </w:r>
      <w:r>
        <w:t>限制用地项目目录（2012年本）</w:t>
      </w:r>
      <w:r>
        <w:rPr>
          <w:rFonts w:hint="eastAsia"/>
        </w:rPr>
        <w:t>》和《禁止</w:t>
      </w:r>
      <w:r>
        <w:t>用地项目目录（2012年本）</w:t>
      </w:r>
      <w:r>
        <w:rPr>
          <w:rFonts w:hint="eastAsia"/>
        </w:rPr>
        <w:t>》的通知”规定的项目。</w:t>
      </w:r>
    </w:p>
    <w:p>
      <w:pPr>
        <w:pStyle w:val="10"/>
        <w:ind w:firstLine="480"/>
      </w:pPr>
      <w:r>
        <w:rPr>
          <w:rFonts w:hint="eastAsia"/>
        </w:rPr>
        <w:t>本项目已取得蚌埠市发展和改革委员会《关于S311怀远包集至蚌埠民用机场一级公路工程立项的批复》（蚌发改审批（2022）13号），</w:t>
      </w:r>
      <w:r>
        <w:t>本项目的建设符合国家产业政策。</w:t>
      </w:r>
    </w:p>
    <w:p>
      <w:pPr>
        <w:pStyle w:val="8"/>
        <w:rPr>
          <w:b/>
          <w:bCs/>
        </w:rPr>
      </w:pPr>
      <w:bookmarkStart w:id="43" w:name="_Toc19659"/>
      <w:r>
        <w:rPr>
          <w:b/>
          <w:bCs/>
        </w:rPr>
        <w:t>项目与相关规划相符性分析</w:t>
      </w:r>
      <w:bookmarkEnd w:id="41"/>
      <w:bookmarkEnd w:id="42"/>
      <w:bookmarkEnd w:id="43"/>
    </w:p>
    <w:p>
      <w:pPr>
        <w:pStyle w:val="9"/>
      </w:pPr>
      <w:bookmarkStart w:id="44" w:name="_Toc28294"/>
      <w:r>
        <w:t>与</w:t>
      </w:r>
      <w:r>
        <w:rPr>
          <w:rFonts w:hint="eastAsia"/>
        </w:rPr>
        <w:t>《怀远县国民经济和社会发展第十四个五年规划和2035年远景目标纲要》</w:t>
      </w:r>
      <w:r>
        <w:t>相符性分析</w:t>
      </w:r>
      <w:bookmarkEnd w:id="44"/>
    </w:p>
    <w:p>
      <w:pPr>
        <w:pStyle w:val="112"/>
        <w:ind w:firstLine="480"/>
        <w:rPr>
          <w:rFonts w:hint="default" w:ascii="Times New Roman" w:hAnsi="Times New Roman" w:cs="Times New Roman"/>
          <w:color w:val="auto"/>
          <w:szCs w:val="21"/>
        </w:rPr>
      </w:pPr>
      <w:r>
        <w:rPr>
          <w:rFonts w:hint="default" w:ascii="Times New Roman" w:hAnsi="Times New Roman" w:cs="Times New Roman"/>
          <w:color w:val="auto"/>
          <w:szCs w:val="21"/>
        </w:rPr>
        <w:t>根据《怀远县国民经济和社会发展第十四个五年规划和2035年远景目标纲要》</w:t>
      </w:r>
      <w:r>
        <w:rPr>
          <w:rFonts w:hint="eastAsia" w:cs="Times New Roman"/>
          <w:color w:val="auto"/>
          <w:szCs w:val="21"/>
          <w:lang w:eastAsia="zh-CN"/>
        </w:rPr>
        <w:t>：“</w:t>
      </w:r>
      <w:r>
        <w:rPr>
          <w:rFonts w:hint="default" w:ascii="Times New Roman" w:hAnsi="Times New Roman" w:cs="Times New Roman"/>
          <w:color w:val="auto"/>
          <w:szCs w:val="21"/>
        </w:rPr>
        <w:t>怀远县</w:t>
      </w:r>
      <w:r>
        <w:rPr>
          <w:rFonts w:hint="eastAsia" w:cs="Times New Roman"/>
          <w:color w:val="auto"/>
          <w:szCs w:val="21"/>
          <w:lang w:val="en-US" w:eastAsia="zh-CN"/>
        </w:rPr>
        <w:t>加快新型基础建设，全面提升综合运输服务水平和保障能力，巩固扩大交通区位优势，形成以机场、高铁、高速公路为主骨架、以国省道、快速通道、县乡道路、水路为重要组成部分的交通网络体系。完善县域交通路网，重点推进五蒙高速、G36淮南连接线（凤台-怀远）、G36（怀远北出口），稳步推进G206（荆涂大桥-宿州段）、G345（黄疃窑大桥-唐集汪街）、G329（淮上区-卞和路）、S311（汤湖-S235）、S230（中轴线）等项目建设。配合做好滕湖机场、蚌亳城际铁路建设，谋划茨淮新河大桥、荆涂大桥（东海大道西延线）、河溜—兰桥芡河大桥、涡河六桥、淝河大桥工程。提升乡镇公路等级，加快推进S235（龙亢农场至河溜大成段）、S224、S315、X118等项目建设，发挥淮河干线航道的优势，完善航道和主要港口的水运体系，打造蚌埠市西部港口运输基地。到2025年，完成新改建县道、乡道、村道1000公里”</w:t>
      </w:r>
      <w:r>
        <w:rPr>
          <w:rFonts w:hint="default" w:ascii="Times New Roman" w:hAnsi="Times New Roman" w:cs="Times New Roman"/>
          <w:color w:val="auto"/>
          <w:szCs w:val="21"/>
        </w:rPr>
        <w:t>。</w:t>
      </w:r>
    </w:p>
    <w:p>
      <w:pPr>
        <w:pStyle w:val="112"/>
        <w:ind w:firstLine="480"/>
        <w:rPr>
          <w:rFonts w:hint="eastAsia" w:eastAsia="宋体"/>
          <w:color w:val="0070C0"/>
          <w:lang w:eastAsia="zh-CN"/>
        </w:rPr>
      </w:pPr>
      <w:r>
        <w:rPr>
          <w:rFonts w:hint="default" w:ascii="Times New Roman" w:hAnsi="Times New Roman" w:cs="Times New Roman"/>
          <w:color w:val="auto"/>
          <w:szCs w:val="21"/>
        </w:rPr>
        <w:t>本项目位于怀远县境内，是沿线乡镇对外出行的重要通道。本项目的建设，将充分发挥S311区域干线公路功能，依托其交通优势，促进沿线城镇经济和园区经济，推动怀远县经济发展，逐步完善县域空间布局，符合怀远县国民经济和社会发展规划</w:t>
      </w:r>
      <w:r>
        <w:rPr>
          <w:rFonts w:hint="default" w:ascii="Times New Roman" w:hAnsi="Times New Roman" w:cs="Times New Roman"/>
          <w:color w:val="auto"/>
          <w:szCs w:val="21"/>
          <w:lang w:eastAsia="zh-CN"/>
        </w:rPr>
        <w:t>。</w:t>
      </w:r>
    </w:p>
    <w:p>
      <w:pPr>
        <w:pStyle w:val="9"/>
        <w:rPr>
          <w:color w:val="auto"/>
        </w:rPr>
      </w:pPr>
      <w:bookmarkStart w:id="45" w:name="_Toc15729"/>
      <w:r>
        <w:rPr>
          <w:rFonts w:hint="eastAsia"/>
          <w:color w:val="auto"/>
        </w:rPr>
        <w:t>与《蚌埠市国民经济和社会发展第十四个五年规划和2035年远景目标纲要》相符性分析</w:t>
      </w:r>
      <w:bookmarkEnd w:id="45"/>
    </w:p>
    <w:p>
      <w:pPr>
        <w:pStyle w:val="112"/>
        <w:ind w:firstLine="480"/>
        <w:rPr>
          <w:rFonts w:hint="default" w:ascii="宋体" w:hAnsi="宋体" w:eastAsia="宋体"/>
          <w:color w:val="0070C0"/>
          <w:szCs w:val="21"/>
          <w:lang w:val="en-US" w:eastAsia="zh-CN"/>
        </w:rPr>
      </w:pPr>
      <w:r>
        <w:rPr>
          <w:rFonts w:hint="eastAsia" w:ascii="宋体" w:hAnsi="宋体"/>
          <w:color w:val="auto"/>
          <w:szCs w:val="21"/>
        </w:rPr>
        <w:t>根据</w:t>
      </w:r>
      <w:r>
        <w:rPr>
          <w:rFonts w:hint="eastAsia"/>
          <w:color w:val="auto"/>
        </w:rPr>
        <w:t>《蚌埠市国民经济和社会发展第十四个五年规划和2035年远景目标纲要》</w:t>
      </w:r>
      <w:r>
        <w:rPr>
          <w:rFonts w:hint="eastAsia"/>
          <w:color w:val="auto"/>
          <w:lang w:val="en-US" w:eastAsia="zh-CN"/>
        </w:rPr>
        <w:t>专栏23全国性综合交通枢纽城市建设工程：“民用航空。建成蚌埠民用机场，加快建设固镇、五河通用机场。配套建设机场高速公路联络线、异地城市候机楼等，引入轨道交通”</w:t>
      </w:r>
      <w:r>
        <w:rPr>
          <w:rFonts w:hint="eastAsia" w:ascii="宋体" w:hAnsi="宋体"/>
          <w:color w:val="auto"/>
          <w:szCs w:val="21"/>
        </w:rPr>
        <w:t>，</w:t>
      </w:r>
      <w:r>
        <w:rPr>
          <w:rFonts w:hint="eastAsia" w:ascii="宋体" w:hAnsi="宋体"/>
          <w:color w:val="auto"/>
          <w:szCs w:val="21"/>
          <w:lang w:val="en-US" w:eastAsia="zh-CN"/>
        </w:rPr>
        <w:t>本项目为连接怀远包集至蚌埠民用机场道路，能够加强交通基础设施互联互通，符合该规划的要求。</w:t>
      </w:r>
    </w:p>
    <w:p>
      <w:pPr>
        <w:pStyle w:val="9"/>
        <w:rPr>
          <w:color w:val="auto"/>
        </w:rPr>
      </w:pPr>
      <w:bookmarkStart w:id="46" w:name="_Toc15310"/>
      <w:r>
        <w:rPr>
          <w:rFonts w:hint="eastAsia"/>
          <w:color w:val="auto"/>
          <w:lang w:val="en-US" w:eastAsia="zh-CN"/>
        </w:rPr>
        <w:t>与《自然资源部办公厅关于依据“三区三线”划定成果报批建设项目用地用海有关事宜的函》相符性分析</w:t>
      </w:r>
      <w:bookmarkEnd w:id="46"/>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firstLine="480" w:firstLineChars="200"/>
        <w:textAlignment w:val="auto"/>
        <w:outlineLvl w:val="9"/>
        <w:rPr>
          <w:rFonts w:hint="eastAsia"/>
          <w:color w:val="auto"/>
          <w:lang w:val="en-US" w:eastAsia="zh-CN"/>
        </w:rPr>
      </w:pPr>
      <w:r>
        <w:rPr>
          <w:rFonts w:hint="eastAsia"/>
          <w:color w:val="auto"/>
          <w:lang w:val="en-US" w:eastAsia="zh-CN"/>
        </w:rPr>
        <w:t>自然资源部办公厅于2022年9月28日发布《关于依据“三区三线”划定成果报批建设项目用地用海有关事宜的函》（自然资办函[2022]2072号），文件规定：山西、吉林、上海、安徽、河南、青海6省（市）按照《全国国土空间规划纲要（2021-2035年）》确定的耕地和永久基本农田红线保护任务和《全国“三区三线”划定规则》，完成了“三区三线”划定工作，“三区三线”划定成果符合质检要求，从即日起正式启用，作为建设项目用地用海组卷报批的依据。</w:t>
      </w: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本项目为连接怀远包集至蚌埠民用机场道路，不占用永久基本农田红线及生态保护红线，符合《自然资源部办公厅关于依据“三区三线”划定成果报批建设项目用地用海有关事宜的函》要求。</w:t>
      </w:r>
    </w:p>
    <w:p>
      <w:pPr>
        <w:pStyle w:val="9"/>
        <w:rPr>
          <w:color w:val="auto"/>
        </w:rPr>
      </w:pPr>
      <w:bookmarkStart w:id="47" w:name="_Toc10505"/>
      <w:r>
        <w:rPr>
          <w:rFonts w:hint="eastAsia"/>
          <w:color w:val="auto"/>
        </w:rPr>
        <w:t>与</w:t>
      </w:r>
      <w:r>
        <w:rPr>
          <w:color w:val="auto"/>
        </w:rPr>
        <w:t>生态红线</w:t>
      </w:r>
      <w:r>
        <w:rPr>
          <w:rFonts w:hint="eastAsia"/>
          <w:color w:val="auto"/>
        </w:rPr>
        <w:t>分区管控相符性分析</w:t>
      </w:r>
      <w:bookmarkEnd w:id="47"/>
    </w:p>
    <w:p>
      <w:pPr>
        <w:pStyle w:val="112"/>
        <w:ind w:firstLine="480"/>
        <w:rPr>
          <w:color w:val="auto"/>
        </w:rPr>
      </w:pPr>
      <w:r>
        <w:rPr>
          <w:color w:val="auto"/>
        </w:rPr>
        <w:t>根据</w:t>
      </w:r>
      <w:r>
        <w:rPr>
          <w:rFonts w:hint="eastAsia"/>
          <w:color w:val="auto"/>
          <w:lang w:val="en-US" w:eastAsia="zh-CN"/>
        </w:rPr>
        <w:t>蚌埠</w:t>
      </w:r>
      <w:r>
        <w:rPr>
          <w:color w:val="auto"/>
        </w:rPr>
        <w:t>市生态</w:t>
      </w:r>
      <w:r>
        <w:rPr>
          <w:rFonts w:hint="eastAsia"/>
          <w:color w:val="auto"/>
        </w:rPr>
        <w:t>保护</w:t>
      </w:r>
      <w:r>
        <w:rPr>
          <w:color w:val="auto"/>
        </w:rPr>
        <w:t>红线区域分布图，拟建项目</w:t>
      </w:r>
      <w:r>
        <w:rPr>
          <w:rFonts w:hint="eastAsia"/>
          <w:color w:val="auto"/>
        </w:rPr>
        <w:t>用地不涉及经批准公布的生态红线保护范围，属于一般生态空间。项目距最近生态保护红线距离约</w:t>
      </w:r>
      <w:r>
        <w:rPr>
          <w:rFonts w:hint="eastAsia"/>
          <w:color w:val="auto"/>
          <w:lang w:val="en-US" w:eastAsia="zh-CN"/>
        </w:rPr>
        <w:t>4290</w:t>
      </w:r>
      <w:r>
        <w:rPr>
          <w:rFonts w:hint="eastAsia"/>
          <w:color w:val="auto"/>
        </w:rPr>
        <w:t>m，本项目与</w:t>
      </w:r>
      <w:r>
        <w:rPr>
          <w:rFonts w:hint="eastAsia"/>
          <w:color w:val="auto"/>
          <w:lang w:val="en-US" w:eastAsia="zh-CN"/>
        </w:rPr>
        <w:t>蚌埠</w:t>
      </w:r>
      <w:r>
        <w:rPr>
          <w:rFonts w:hint="eastAsia"/>
          <w:color w:val="auto"/>
        </w:rPr>
        <w:t>市生态保护红线关系见附图</w:t>
      </w:r>
      <w:r>
        <w:rPr>
          <w:rFonts w:hint="eastAsia"/>
          <w:color w:val="auto"/>
          <w:lang w:val="en-US" w:eastAsia="zh-CN"/>
        </w:rPr>
        <w:t>3</w:t>
      </w:r>
      <w:r>
        <w:rPr>
          <w:rFonts w:hint="eastAsia"/>
          <w:color w:val="auto"/>
        </w:rPr>
        <w:t>。一般生态空间内涉及的自然保护区按照法律、法规和规章等要求执行，因此，</w:t>
      </w:r>
      <w:r>
        <w:rPr>
          <w:color w:val="auto"/>
        </w:rPr>
        <w:t>本项目建设符合生态保护红线</w:t>
      </w:r>
      <w:r>
        <w:rPr>
          <w:rFonts w:hint="eastAsia"/>
          <w:color w:val="auto"/>
        </w:rPr>
        <w:t>分区管控</w:t>
      </w:r>
      <w:r>
        <w:rPr>
          <w:color w:val="auto"/>
        </w:rPr>
        <w:t>要求。</w:t>
      </w:r>
    </w:p>
    <w:p>
      <w:pPr>
        <w:pStyle w:val="9"/>
        <w:rPr>
          <w:color w:val="auto"/>
        </w:rPr>
      </w:pPr>
      <w:bookmarkStart w:id="48" w:name="_Toc27469"/>
      <w:r>
        <w:rPr>
          <w:rFonts w:hint="eastAsia"/>
          <w:color w:val="auto"/>
        </w:rPr>
        <w:t>与</w:t>
      </w:r>
      <w:r>
        <w:rPr>
          <w:color w:val="auto"/>
        </w:rPr>
        <w:t>环境质量底线</w:t>
      </w:r>
      <w:r>
        <w:rPr>
          <w:rFonts w:hint="eastAsia"/>
          <w:color w:val="auto"/>
        </w:rPr>
        <w:t>及环境分区管控相符性分析</w:t>
      </w:r>
      <w:bookmarkEnd w:id="48"/>
    </w:p>
    <w:p>
      <w:pPr>
        <w:pStyle w:val="112"/>
        <w:ind w:firstLine="480"/>
        <w:rPr>
          <w:color w:val="0070C0"/>
        </w:rPr>
      </w:pPr>
      <w:r>
        <w:rPr>
          <w:color w:val="auto"/>
        </w:rPr>
        <w:t>项目所在区域</w:t>
      </w:r>
      <w:r>
        <w:rPr>
          <w:rFonts w:hint="eastAsia"/>
          <w:color w:val="auto"/>
        </w:rPr>
        <w:t>大气环境为</w:t>
      </w:r>
      <w:r>
        <w:rPr>
          <w:rFonts w:hint="eastAsia"/>
          <w:color w:val="auto"/>
          <w:lang w:val="en-US" w:eastAsia="zh-CN"/>
        </w:rPr>
        <w:t>受体敏感重点</w:t>
      </w:r>
      <w:r>
        <w:rPr>
          <w:rFonts w:hint="eastAsia"/>
          <w:color w:val="auto"/>
        </w:rPr>
        <w:t>管控区，根据《2021年蚌埠市生态环境质量概况》，</w:t>
      </w:r>
      <w:r>
        <w:rPr>
          <w:color w:val="auto"/>
        </w:rPr>
        <w:t>大气污染物SO</w:t>
      </w:r>
      <w:r>
        <w:rPr>
          <w:color w:val="auto"/>
          <w:vertAlign w:val="subscript"/>
        </w:rPr>
        <w:t>2</w:t>
      </w:r>
      <w:r>
        <w:rPr>
          <w:rFonts w:hint="eastAsia"/>
          <w:color w:val="auto"/>
        </w:rPr>
        <w:t>、</w:t>
      </w:r>
      <w:r>
        <w:rPr>
          <w:color w:val="auto"/>
        </w:rPr>
        <w:t>NO</w:t>
      </w:r>
      <w:r>
        <w:rPr>
          <w:color w:val="auto"/>
          <w:vertAlign w:val="subscript"/>
        </w:rPr>
        <w:t>2</w:t>
      </w:r>
      <w:r>
        <w:rPr>
          <w:rFonts w:hint="eastAsia"/>
          <w:color w:val="auto"/>
        </w:rPr>
        <w:t>、</w:t>
      </w:r>
      <w:r>
        <w:rPr>
          <w:color w:val="auto"/>
        </w:rPr>
        <w:t>PM</w:t>
      </w:r>
      <w:r>
        <w:rPr>
          <w:color w:val="auto"/>
          <w:vertAlign w:val="subscript"/>
        </w:rPr>
        <w:t>10</w:t>
      </w:r>
      <w:r>
        <w:rPr>
          <w:rFonts w:hint="eastAsia"/>
          <w:color w:val="auto"/>
        </w:rPr>
        <w:t>、</w:t>
      </w:r>
      <w:r>
        <w:rPr>
          <w:color w:val="auto"/>
        </w:rPr>
        <w:t>PM</w:t>
      </w:r>
      <w:r>
        <w:rPr>
          <w:color w:val="auto"/>
          <w:vertAlign w:val="subscript"/>
        </w:rPr>
        <w:t>2.5</w:t>
      </w:r>
      <w:r>
        <w:rPr>
          <w:rFonts w:hint="eastAsia"/>
          <w:color w:val="auto"/>
        </w:rPr>
        <w:t>、</w:t>
      </w:r>
      <w:r>
        <w:rPr>
          <w:color w:val="auto"/>
        </w:rPr>
        <w:t>CO</w:t>
      </w:r>
      <w:r>
        <w:rPr>
          <w:rFonts w:hint="eastAsia"/>
          <w:color w:val="auto"/>
        </w:rPr>
        <w:t>和O</w:t>
      </w:r>
      <w:r>
        <w:rPr>
          <w:color w:val="auto"/>
          <w:vertAlign w:val="subscript"/>
        </w:rPr>
        <w:t>3</w:t>
      </w:r>
      <w:r>
        <w:rPr>
          <w:color w:val="auto"/>
        </w:rPr>
        <w:t>均</w:t>
      </w:r>
      <w:r>
        <w:rPr>
          <w:rFonts w:hint="eastAsia"/>
          <w:color w:val="auto"/>
        </w:rPr>
        <w:t>满足</w:t>
      </w:r>
      <w:r>
        <w:rPr>
          <w:color w:val="auto"/>
        </w:rPr>
        <w:t>《环境空气质量标准》(GB3095-2012)中的相应标准要求。区域内的空气环境质量现状较好</w:t>
      </w:r>
      <w:r>
        <w:rPr>
          <w:rFonts w:hint="eastAsia"/>
          <w:color w:val="auto"/>
        </w:rPr>
        <w:t>，</w:t>
      </w:r>
      <w:r>
        <w:rPr>
          <w:rFonts w:hint="eastAsia"/>
          <w:color w:val="auto"/>
          <w:lang w:val="en-US" w:eastAsia="zh-CN"/>
        </w:rPr>
        <w:t>蚌埠市</w:t>
      </w:r>
      <w:r>
        <w:rPr>
          <w:rFonts w:hint="eastAsia"/>
          <w:color w:val="auto"/>
        </w:rPr>
        <w:t>大气环境分区管控图见图1</w:t>
      </w:r>
      <w:r>
        <w:rPr>
          <w:color w:val="auto"/>
        </w:rPr>
        <w:t>.3</w:t>
      </w:r>
      <w:r>
        <w:rPr>
          <w:rFonts w:hint="eastAsia"/>
          <w:color w:val="auto"/>
        </w:rPr>
        <w:t>-</w:t>
      </w:r>
      <w:r>
        <w:rPr>
          <w:color w:val="auto"/>
        </w:rPr>
        <w:t>1。</w:t>
      </w:r>
    </w:p>
    <w:p>
      <w:pPr>
        <w:pStyle w:val="112"/>
        <w:rPr>
          <w:color w:val="auto"/>
        </w:rPr>
      </w:pPr>
      <w:r>
        <w:rPr>
          <w:color w:val="auto"/>
        </w:rPr>
        <w:t>项目所在区域</w:t>
      </w:r>
      <w:r>
        <w:rPr>
          <w:rFonts w:hint="eastAsia"/>
          <w:color w:val="auto"/>
        </w:rPr>
        <w:t>水环境为</w:t>
      </w:r>
      <w:r>
        <w:rPr>
          <w:rFonts w:hint="eastAsia"/>
          <w:color w:val="auto"/>
          <w:lang w:val="en-US" w:eastAsia="zh-CN"/>
        </w:rPr>
        <w:t>城镇生活污染</w:t>
      </w:r>
      <w:r>
        <w:rPr>
          <w:rFonts w:hint="eastAsia"/>
          <w:color w:val="auto"/>
        </w:rPr>
        <w:t>管控区，</w:t>
      </w:r>
      <w:r>
        <w:rPr>
          <w:color w:val="auto"/>
        </w:rPr>
        <w:t>水质监测结果表明：沿线地表水</w:t>
      </w:r>
      <w:r>
        <w:rPr>
          <w:rFonts w:hint="eastAsia"/>
          <w:color w:val="auto"/>
          <w:lang w:val="en-US" w:eastAsia="zh-CN"/>
        </w:rPr>
        <w:t>清沟河</w:t>
      </w:r>
      <w:r>
        <w:rPr>
          <w:color w:val="auto"/>
        </w:rPr>
        <w:t>水质满足《地表水环境质量标准》（GB3838-2002）中的</w:t>
      </w:r>
      <w:r>
        <w:rPr>
          <w:rFonts w:hint="eastAsia" w:ascii="宋体" w:hAnsi="宋体" w:eastAsia="宋体" w:cs="宋体"/>
          <w:color w:val="auto"/>
        </w:rPr>
        <w:t>Ⅲ</w:t>
      </w:r>
      <w:r>
        <w:rPr>
          <w:color w:val="auto"/>
        </w:rPr>
        <w:t>类标准</w:t>
      </w:r>
      <w:r>
        <w:rPr>
          <w:rFonts w:hint="eastAsia"/>
          <w:color w:val="auto"/>
        </w:rPr>
        <w:t>，</w:t>
      </w:r>
      <w:r>
        <w:rPr>
          <w:rFonts w:hint="eastAsia"/>
          <w:color w:val="auto"/>
          <w:lang w:val="en-US" w:eastAsia="zh-CN"/>
        </w:rPr>
        <w:t>蚌埠</w:t>
      </w:r>
      <w:r>
        <w:rPr>
          <w:rFonts w:hint="eastAsia"/>
          <w:color w:val="auto"/>
        </w:rPr>
        <w:t>市水环境分区管控图见图1</w:t>
      </w:r>
      <w:r>
        <w:rPr>
          <w:color w:val="auto"/>
        </w:rPr>
        <w:t>.3</w:t>
      </w:r>
      <w:r>
        <w:rPr>
          <w:rFonts w:hint="eastAsia"/>
          <w:color w:val="auto"/>
        </w:rPr>
        <w:t>-</w:t>
      </w:r>
      <w:r>
        <w:rPr>
          <w:color w:val="auto"/>
        </w:rPr>
        <w:t>2。</w:t>
      </w:r>
    </w:p>
    <w:p>
      <w:pPr>
        <w:pStyle w:val="112"/>
        <w:rPr>
          <w:color w:val="auto"/>
        </w:rPr>
        <w:sectPr>
          <w:headerReference r:id="rId10" w:type="default"/>
          <w:footerReference r:id="rId11" w:type="default"/>
          <w:pgSz w:w="11906" w:h="16838"/>
          <w:pgMar w:top="1418" w:right="1418" w:bottom="1418" w:left="1418" w:header="851" w:footer="992" w:gutter="0"/>
          <w:pgNumType w:start="1"/>
          <w:cols w:space="720" w:num="1"/>
          <w:docGrid w:linePitch="326" w:charSpace="0"/>
        </w:sectPr>
      </w:pPr>
      <w:r>
        <w:rPr>
          <w:color w:val="auto"/>
        </w:rPr>
        <w:t>按照相应的环境噪声标准，监测的各敏感点噪声均满足《声环境质量标准》（GB3096-2008）中4a/2类标准要求。</w:t>
      </w:r>
    </w:p>
    <w:p>
      <w:pPr>
        <w:pStyle w:val="112"/>
        <w:ind w:left="0" w:leftChars="0" w:firstLine="0" w:firstLineChars="0"/>
        <w:jc w:val="center"/>
      </w:pPr>
      <w:r>
        <w:drawing>
          <wp:inline distT="0" distB="0" distL="114300" distR="114300">
            <wp:extent cx="7589520" cy="5006340"/>
            <wp:effectExtent l="0" t="0" r="0" b="762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17"/>
                    <a:stretch>
                      <a:fillRect/>
                    </a:stretch>
                  </pic:blipFill>
                  <pic:spPr>
                    <a:xfrm>
                      <a:off x="0" y="0"/>
                      <a:ext cx="7589520" cy="5006340"/>
                    </a:xfrm>
                    <a:prstGeom prst="rect">
                      <a:avLst/>
                    </a:prstGeom>
                    <a:noFill/>
                    <a:ln>
                      <a:noFill/>
                    </a:ln>
                  </pic:spPr>
                </pic:pic>
              </a:graphicData>
            </a:graphic>
          </wp:inline>
        </w:drawing>
      </w:r>
    </w:p>
    <w:p>
      <w:pPr>
        <w:pStyle w:val="112"/>
        <w:ind w:left="0" w:leftChars="0" w:firstLine="0" w:firstLineChars="0"/>
        <w:jc w:val="center"/>
        <w:rPr>
          <w:rFonts w:hint="eastAsia"/>
          <w:b/>
          <w:bCs/>
          <w:lang w:val="en-US" w:eastAsia="zh-CN"/>
        </w:rPr>
        <w:sectPr>
          <w:pgSz w:w="16838" w:h="11906" w:orient="landscape"/>
          <w:pgMar w:top="1418" w:right="1418" w:bottom="1418" w:left="1418" w:header="851" w:footer="992" w:gutter="0"/>
          <w:cols w:space="720" w:num="1"/>
          <w:docGrid w:linePitch="326" w:charSpace="0"/>
        </w:sectPr>
      </w:pPr>
      <w:r>
        <w:rPr>
          <w:rFonts w:hint="eastAsia"/>
          <w:b/>
          <w:bCs/>
          <w:lang w:val="en-US" w:eastAsia="zh-CN"/>
        </w:rPr>
        <w:t>图1.3-1 蚌埠市大气环境分区管控图</w:t>
      </w:r>
    </w:p>
    <w:p>
      <w:pPr>
        <w:pStyle w:val="112"/>
        <w:ind w:left="0" w:leftChars="0" w:firstLine="0" w:firstLineChars="0"/>
        <w:jc w:val="center"/>
      </w:pPr>
      <w:r>
        <w:drawing>
          <wp:inline distT="0" distB="0" distL="114300" distR="114300">
            <wp:extent cx="7597140" cy="5021580"/>
            <wp:effectExtent l="0" t="0" r="7620" b="7620"/>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18"/>
                    <a:stretch>
                      <a:fillRect/>
                    </a:stretch>
                  </pic:blipFill>
                  <pic:spPr>
                    <a:xfrm>
                      <a:off x="0" y="0"/>
                      <a:ext cx="7597140" cy="5021580"/>
                    </a:xfrm>
                    <a:prstGeom prst="rect">
                      <a:avLst/>
                    </a:prstGeom>
                    <a:noFill/>
                    <a:ln>
                      <a:noFill/>
                    </a:ln>
                  </pic:spPr>
                </pic:pic>
              </a:graphicData>
            </a:graphic>
          </wp:inline>
        </w:drawing>
      </w:r>
    </w:p>
    <w:p>
      <w:pPr>
        <w:pStyle w:val="112"/>
        <w:ind w:left="0" w:leftChars="0" w:firstLine="0" w:firstLineChars="0"/>
        <w:jc w:val="center"/>
        <w:rPr>
          <w:rFonts w:hint="default"/>
          <w:b/>
          <w:bCs/>
          <w:lang w:val="en-US" w:eastAsia="zh-CN"/>
        </w:rPr>
        <w:sectPr>
          <w:pgSz w:w="16838" w:h="11906" w:orient="landscape"/>
          <w:pgMar w:top="1418" w:right="1418" w:bottom="1418" w:left="1418" w:header="851" w:footer="992" w:gutter="0"/>
          <w:cols w:space="720" w:num="1"/>
          <w:docGrid w:linePitch="326" w:charSpace="0"/>
        </w:sectPr>
      </w:pPr>
      <w:r>
        <w:rPr>
          <w:rFonts w:hint="eastAsia"/>
          <w:b/>
          <w:bCs/>
          <w:lang w:val="en-US" w:eastAsia="zh-CN"/>
        </w:rPr>
        <w:t>图1.3-2 蚌埠市</w:t>
      </w:r>
      <w:r>
        <w:rPr>
          <w:rFonts w:hint="eastAsia"/>
          <w:b/>
          <w:bCs/>
          <w:color w:val="auto"/>
        </w:rPr>
        <w:t>水环境分区管控图</w:t>
      </w:r>
    </w:p>
    <w:p>
      <w:pPr>
        <w:pStyle w:val="9"/>
        <w:rPr>
          <w:color w:val="auto"/>
        </w:rPr>
      </w:pPr>
      <w:bookmarkStart w:id="49" w:name="_Toc32215"/>
      <w:r>
        <w:rPr>
          <w:color w:val="auto"/>
        </w:rPr>
        <w:t>资源利用上线</w:t>
      </w:r>
      <w:bookmarkEnd w:id="49"/>
    </w:p>
    <w:p>
      <w:pPr>
        <w:pStyle w:val="112"/>
        <w:ind w:firstLine="480"/>
        <w:rPr>
          <w:color w:val="auto"/>
        </w:rPr>
      </w:pPr>
      <w:r>
        <w:rPr>
          <w:color w:val="auto"/>
        </w:rPr>
        <w:t>拟建项目建成营运后通过相关部门的严格管理、沿线绿化、采用清洁能源、污染治理、合理控制沿线规划等多方面可行的措施，以“节能、降耗、减污”为目标，有效地控制沿线污染和生态影响。</w:t>
      </w:r>
    </w:p>
    <w:p>
      <w:pPr>
        <w:pStyle w:val="9"/>
        <w:rPr>
          <w:color w:val="auto"/>
        </w:rPr>
      </w:pPr>
      <w:bookmarkStart w:id="50" w:name="_Toc5292"/>
      <w:r>
        <w:rPr>
          <w:rFonts w:hint="eastAsia"/>
          <w:color w:val="auto"/>
        </w:rPr>
        <w:t>生态</w:t>
      </w:r>
      <w:r>
        <w:rPr>
          <w:color w:val="auto"/>
        </w:rPr>
        <w:t>环境准入清单</w:t>
      </w:r>
      <w:bookmarkEnd w:id="50"/>
    </w:p>
    <w:p>
      <w:pPr>
        <w:pStyle w:val="112"/>
        <w:ind w:firstLine="480"/>
        <w:rPr>
          <w:color w:val="auto"/>
        </w:rPr>
      </w:pPr>
      <w:r>
        <w:rPr>
          <w:rFonts w:hint="eastAsia"/>
          <w:color w:val="auto"/>
        </w:rPr>
        <w:t>根据</w:t>
      </w:r>
      <w:r>
        <w:rPr>
          <w:rFonts w:hint="eastAsia"/>
          <w:color w:val="auto"/>
          <w:lang w:val="en-US" w:eastAsia="zh-CN"/>
        </w:rPr>
        <w:t>蚌埠</w:t>
      </w:r>
      <w:r>
        <w:rPr>
          <w:rFonts w:hint="eastAsia"/>
          <w:color w:val="auto"/>
        </w:rPr>
        <w:t>市“三线一单”生态环境准入清单</w:t>
      </w:r>
      <w:r>
        <w:rPr>
          <w:color w:val="auto"/>
        </w:rPr>
        <w:t>，</w:t>
      </w:r>
      <w:r>
        <w:rPr>
          <w:rFonts w:hint="eastAsia"/>
          <w:color w:val="auto"/>
        </w:rPr>
        <w:t>不属于其中禁止开发和限制开发建设项目。</w:t>
      </w:r>
      <w:r>
        <w:rPr>
          <w:color w:val="auto"/>
        </w:rPr>
        <w:t>根据GB/T4754-2017《国民经济行业分类代码表》，本项目属其中的“E4812公路工程建筑”。根据中华人民共和国国家发展和改革委员会第29号令《产业结构调整指导目录（2019年本）》，</w:t>
      </w:r>
      <w:r>
        <w:rPr>
          <w:rFonts w:hint="eastAsia"/>
        </w:rPr>
        <w:t>本项目不属于其</w:t>
      </w:r>
      <w:r>
        <w:t>中鼓励类</w:t>
      </w:r>
      <w:r>
        <w:rPr>
          <w:rFonts w:hint="eastAsia"/>
        </w:rPr>
        <w:t>、限制类和淘汰类，视为允许类</w:t>
      </w:r>
      <w:r>
        <w:rPr>
          <w:color w:val="auto"/>
        </w:rPr>
        <w:t>，符合国家产业、地方政策和环境准入标准和要求。</w:t>
      </w:r>
    </w:p>
    <w:p>
      <w:pPr>
        <w:pStyle w:val="112"/>
        <w:ind w:firstLine="480"/>
        <w:rPr>
          <w:color w:val="auto"/>
        </w:rPr>
      </w:pPr>
      <w:r>
        <w:rPr>
          <w:color w:val="auto"/>
        </w:rPr>
        <w:t>综上所述，项目建设符合“三线一单”要求。</w:t>
      </w:r>
    </w:p>
    <w:p>
      <w:pPr>
        <w:pStyle w:val="7"/>
        <w:rPr>
          <w:b/>
          <w:bCs/>
          <w:sz w:val="28"/>
          <w:szCs w:val="28"/>
        </w:rPr>
      </w:pPr>
      <w:bookmarkStart w:id="51" w:name="_Toc5503"/>
      <w:bookmarkStart w:id="52" w:name="_Toc20305"/>
      <w:r>
        <w:rPr>
          <w:b/>
          <w:bCs/>
          <w:sz w:val="28"/>
          <w:szCs w:val="28"/>
        </w:rPr>
        <w:t>环境影响评价关注的主要问题</w:t>
      </w:r>
      <w:bookmarkEnd w:id="38"/>
      <w:r>
        <w:rPr>
          <w:b/>
          <w:bCs/>
          <w:sz w:val="28"/>
          <w:szCs w:val="28"/>
        </w:rPr>
        <w:t>及环境影响</w:t>
      </w:r>
      <w:bookmarkEnd w:id="39"/>
      <w:bookmarkEnd w:id="51"/>
      <w:bookmarkEnd w:id="52"/>
    </w:p>
    <w:p>
      <w:pPr>
        <w:pStyle w:val="10"/>
        <w:ind w:firstLine="480"/>
      </w:pPr>
      <w:r>
        <w:t>（1）施工期</w:t>
      </w:r>
    </w:p>
    <w:p>
      <w:pPr>
        <w:pStyle w:val="10"/>
        <w:ind w:firstLine="480"/>
      </w:pPr>
      <w:r>
        <w:t>1）施工</w:t>
      </w:r>
      <w:r>
        <w:rPr>
          <w:rFonts w:hint="eastAsia"/>
        </w:rPr>
        <w:t>营地</w:t>
      </w:r>
      <w:r>
        <w:t>排放的少量生活污水、桥梁施工可能对本项目涉及的水环境保护目标</w:t>
      </w:r>
      <w:r>
        <w:rPr>
          <w:rFonts w:hint="eastAsia"/>
        </w:rPr>
        <w:t>清沟河</w:t>
      </w:r>
      <w:r>
        <w:t>产生不利影响；</w:t>
      </w:r>
    </w:p>
    <w:p>
      <w:pPr>
        <w:pStyle w:val="10"/>
        <w:ind w:firstLine="480"/>
      </w:pPr>
      <w:r>
        <w:t>2）施工车辆运输产生的交通噪声、施工过程中的施工机械产生的噪声对本项目沿线声环境保护目标的影响；</w:t>
      </w:r>
    </w:p>
    <w:p>
      <w:pPr>
        <w:pStyle w:val="10"/>
        <w:ind w:firstLine="480"/>
      </w:pPr>
      <w:r>
        <w:t>3）</w:t>
      </w:r>
      <w:r>
        <w:rPr>
          <w:rFonts w:hint="eastAsia"/>
        </w:rPr>
        <w:t>施工现场中未完工路面、堆场和施工车辆进出工地道路等产生的扬尘污染以及沥青摊铺时的烟气和动力机械排出的尾气污染</w:t>
      </w:r>
      <w:r>
        <w:t>对本项目沿线环境空气保护目标的影响；</w:t>
      </w:r>
    </w:p>
    <w:p>
      <w:pPr>
        <w:pStyle w:val="10"/>
        <w:ind w:firstLine="480"/>
      </w:pPr>
      <w:r>
        <w:t>4）沿线将根据工程内容设置一定数量的施工便道、施工场地</w:t>
      </w:r>
      <w:r>
        <w:rPr>
          <w:rFonts w:hint="eastAsia"/>
        </w:rPr>
        <w:t>、弃土场</w:t>
      </w:r>
      <w:r>
        <w:t>等</w:t>
      </w:r>
      <w:r>
        <w:rPr>
          <w:rFonts w:hint="eastAsia"/>
        </w:rPr>
        <w:t>；</w:t>
      </w:r>
      <w:r>
        <w:t>项目的实施产生一定永久占地和临时占地</w:t>
      </w:r>
      <w:r>
        <w:rPr>
          <w:rFonts w:hint="eastAsia"/>
        </w:rPr>
        <w:t>，</w:t>
      </w:r>
      <w:r>
        <w:t>因此将占用一定耕地，加大水土流失强度</w:t>
      </w:r>
      <w:r>
        <w:rPr>
          <w:rFonts w:hint="eastAsia"/>
        </w:rPr>
        <w:t>。</w:t>
      </w:r>
    </w:p>
    <w:p>
      <w:pPr>
        <w:pStyle w:val="10"/>
        <w:ind w:firstLine="480"/>
      </w:pPr>
      <w:r>
        <w:t>（2）营运期</w:t>
      </w:r>
    </w:p>
    <w:p>
      <w:pPr>
        <w:pStyle w:val="10"/>
        <w:ind w:firstLine="480"/>
      </w:pPr>
      <w:r>
        <w:t>1）废水：降雨冲刷路面产生的道路径流污水进入周边水系影响水系水质，但仅限初期雨水导致水体SS增加的影响等，影响较小。</w:t>
      </w:r>
    </w:p>
    <w:p>
      <w:pPr>
        <w:pStyle w:val="10"/>
        <w:ind w:firstLine="480"/>
      </w:pPr>
      <w:r>
        <w:t>2）废气：本项目营运期废气污染物主要是行驶车辆的尾气（NOx、CO</w:t>
      </w:r>
      <w:r>
        <w:rPr>
          <w:rFonts w:hint="eastAsia"/>
        </w:rPr>
        <w:t>、T</w:t>
      </w:r>
      <w:r>
        <w:t>HC）。</w:t>
      </w:r>
    </w:p>
    <w:p>
      <w:pPr>
        <w:pStyle w:val="10"/>
        <w:ind w:firstLine="480"/>
      </w:pPr>
      <w:r>
        <w:t>3）噪声：交通噪声影响沿线一定范围内的</w:t>
      </w:r>
      <w:r>
        <w:rPr>
          <w:rFonts w:hint="eastAsia"/>
        </w:rPr>
        <w:t>环境</w:t>
      </w:r>
      <w:r>
        <w:t>敏感点，可能干扰正常的生产和生活。</w:t>
      </w:r>
    </w:p>
    <w:p>
      <w:pPr>
        <w:pStyle w:val="10"/>
        <w:ind w:firstLine="480"/>
      </w:pPr>
      <w:r>
        <w:t>4）环境风险：若发生装载危险品的车辆因交通事故泄漏，污染沿线水体，危害大，但事故概率低。</w:t>
      </w:r>
    </w:p>
    <w:p>
      <w:pPr>
        <w:pStyle w:val="7"/>
        <w:rPr>
          <w:b/>
          <w:bCs/>
          <w:sz w:val="28"/>
          <w:szCs w:val="28"/>
        </w:rPr>
      </w:pPr>
      <w:bookmarkStart w:id="53" w:name="_Toc57645130"/>
      <w:bookmarkStart w:id="54" w:name="_Toc455016443"/>
      <w:bookmarkStart w:id="55" w:name="_Toc28927"/>
      <w:bookmarkStart w:id="56" w:name="_Toc23600"/>
      <w:r>
        <w:rPr>
          <w:b/>
          <w:bCs/>
          <w:sz w:val="28"/>
          <w:szCs w:val="28"/>
        </w:rPr>
        <w:t>环境影响报告书的主要结论</w:t>
      </w:r>
      <w:bookmarkEnd w:id="53"/>
      <w:bookmarkEnd w:id="54"/>
      <w:bookmarkEnd w:id="55"/>
      <w:bookmarkEnd w:id="56"/>
    </w:p>
    <w:p>
      <w:pPr>
        <w:pStyle w:val="112"/>
        <w:ind w:firstLine="480"/>
        <w:rPr>
          <w:color w:val="0070C0"/>
        </w:rPr>
      </w:pPr>
      <w:r>
        <w:rPr>
          <w:rFonts w:hint="eastAsia"/>
        </w:rPr>
        <w:t>S311怀远包集至蚌埠民用机场一级公路工程是国省公路升级改造的重要组成部分，</w:t>
      </w:r>
      <w:r>
        <w:rPr>
          <w:rFonts w:hint="eastAsia"/>
          <w:lang w:bidi="he-IL"/>
        </w:rPr>
        <w:t>项目建设可</w:t>
      </w:r>
      <w:r>
        <w:rPr>
          <w:rStyle w:val="75"/>
          <w:rFonts w:hint="eastAsia"/>
        </w:rPr>
        <w:t>有效完善区域路网，促进沿线经济发展，密切沿线乡镇经济来往，对提升区域综合运输网的服务水平和运输效率具有重要意义</w:t>
      </w:r>
      <w:r>
        <w:rPr>
          <w:rStyle w:val="75"/>
        </w:rPr>
        <w:t>。</w:t>
      </w:r>
      <w:r>
        <w:rPr>
          <w:rStyle w:val="75"/>
          <w:rFonts w:hint="eastAsia"/>
        </w:rPr>
        <w:t>本项目的</w:t>
      </w:r>
      <w:r>
        <w:rPr>
          <w:rStyle w:val="75"/>
        </w:rPr>
        <w:t>建设将会对沿线地区的生态环境、声环境、水环境及大气环境等产生一定的不利影响，但通过落实本报告所提出的污染防治措施、生态保护措施和环境风险防范措施，可将项目建设对周围环境的影响降到最低，环境风险可以接受。因此，本次评价认为从环境</w:t>
      </w:r>
      <w:r>
        <w:rPr>
          <w:rStyle w:val="75"/>
          <w:rFonts w:hint="eastAsia"/>
        </w:rPr>
        <w:t>保护</w:t>
      </w:r>
      <w:r>
        <w:rPr>
          <w:rStyle w:val="75"/>
        </w:rPr>
        <w:t>的角度而言，拟建项目的建设是可行的。</w:t>
      </w:r>
    </w:p>
    <w:p>
      <w:pPr>
        <w:ind w:firstLine="480"/>
        <w:rPr>
          <w:color w:val="0070C0"/>
        </w:rPr>
        <w:sectPr>
          <w:pgSz w:w="11906" w:h="16838"/>
          <w:pgMar w:top="1418" w:right="1418" w:bottom="1418" w:left="1418" w:header="851" w:footer="992" w:gutter="0"/>
          <w:cols w:space="720" w:num="1"/>
          <w:docGrid w:linePitch="326" w:charSpace="0"/>
        </w:sectPr>
      </w:pPr>
    </w:p>
    <w:p>
      <w:pPr>
        <w:pStyle w:val="5"/>
      </w:pPr>
      <w:bookmarkStart w:id="57" w:name="_Toc7208"/>
      <w:bookmarkStart w:id="58" w:name="_Toc31432"/>
      <w:bookmarkStart w:id="59" w:name="_Toc32653"/>
      <w:r>
        <w:t>总论</w:t>
      </w:r>
      <w:bookmarkEnd w:id="11"/>
      <w:bookmarkEnd w:id="57"/>
      <w:bookmarkEnd w:id="58"/>
      <w:bookmarkEnd w:id="59"/>
    </w:p>
    <w:p>
      <w:pPr>
        <w:pStyle w:val="7"/>
        <w:rPr>
          <w:b/>
          <w:bCs/>
          <w:sz w:val="28"/>
          <w:szCs w:val="28"/>
        </w:rPr>
      </w:pPr>
      <w:bookmarkStart w:id="60" w:name="_Toc455016445"/>
      <w:bookmarkStart w:id="61" w:name="_Toc9731"/>
      <w:bookmarkStart w:id="62" w:name="_Toc21434"/>
      <w:r>
        <w:rPr>
          <w:b/>
          <w:bCs/>
          <w:sz w:val="28"/>
          <w:szCs w:val="28"/>
        </w:rPr>
        <w:t>评价目的及指导思想</w:t>
      </w:r>
      <w:bookmarkEnd w:id="60"/>
      <w:bookmarkEnd w:id="61"/>
      <w:bookmarkEnd w:id="62"/>
    </w:p>
    <w:p>
      <w:pPr>
        <w:pStyle w:val="8"/>
        <w:rPr>
          <w:b/>
          <w:bCs/>
        </w:rPr>
      </w:pPr>
      <w:bookmarkStart w:id="63" w:name="_Toc12863"/>
      <w:r>
        <w:rPr>
          <w:b/>
          <w:bCs/>
        </w:rPr>
        <w:t>评价目的</w:t>
      </w:r>
      <w:bookmarkEnd w:id="63"/>
    </w:p>
    <w:p>
      <w:pPr>
        <w:pStyle w:val="10"/>
        <w:ind w:firstLine="480"/>
      </w:pPr>
      <w:r>
        <w:t>该项目的施工和营运将对拟建项目区域环境产生一定的影响。本评价拟在对项目区域环境现状调查的基础上，通过工程污染分析，预测项目建设对环境的影响，提出防治污染和减缓影响的可行性措施，为项目决策提供依据，指导项目环境保护设计和该项目施工期及营运期环境管理，使该项目建设达到经济效益、社会效益和环境效益的统一。</w:t>
      </w:r>
    </w:p>
    <w:p>
      <w:pPr>
        <w:pStyle w:val="10"/>
        <w:ind w:firstLine="480"/>
      </w:pPr>
      <w:r>
        <w:t>（1）通过对项目在设计、施工和营运中的各种活动所带来的对不同环境要素的影响进行评价，</w:t>
      </w:r>
      <w:r>
        <w:rPr>
          <w:rFonts w:hint="eastAsia"/>
        </w:rPr>
        <w:t>综合评估环境要素的影响，制定有效的预防控制措施；</w:t>
      </w:r>
    </w:p>
    <w:p>
      <w:pPr>
        <w:pStyle w:val="10"/>
        <w:ind w:firstLine="480"/>
      </w:pPr>
      <w:r>
        <w:t>（2）通过工程沿线环境质量现状的调查、监测，了解工程区域环境质量现状，预测项目建设造成的环境影响和生态破坏程度，提出切实可行的减缓或补偿措施，使工程建设带来的环境负面影响得以有效控制；</w:t>
      </w:r>
    </w:p>
    <w:p>
      <w:pPr>
        <w:pStyle w:val="10"/>
        <w:ind w:firstLine="480"/>
      </w:pPr>
      <w:r>
        <w:t>（3）为项目施工期和营运期的环境管理提供依据，使项目建设满足国家有关建设项目环境保护和地方规划的要求，并为沿线地区经济的发展和环境规划提供科学依据。</w:t>
      </w:r>
    </w:p>
    <w:p>
      <w:pPr>
        <w:pStyle w:val="8"/>
        <w:rPr>
          <w:b/>
          <w:bCs/>
        </w:rPr>
      </w:pPr>
      <w:bookmarkStart w:id="64" w:name="_Toc27827"/>
      <w:r>
        <w:rPr>
          <w:b/>
          <w:bCs/>
        </w:rPr>
        <w:t>指导思想</w:t>
      </w:r>
      <w:bookmarkEnd w:id="64"/>
    </w:p>
    <w:p>
      <w:pPr>
        <w:pStyle w:val="10"/>
        <w:ind w:firstLine="480"/>
      </w:pPr>
      <w:r>
        <w:t>本次评价的指导思想是在对项目进行详细工程分析的基础上，依据环境影响评价</w:t>
      </w:r>
      <w:r>
        <w:rPr>
          <w:rFonts w:hint="eastAsia"/>
        </w:rPr>
        <w:t>有关</w:t>
      </w:r>
      <w:r>
        <w:t>技术导则、《公路建设项目环境影响评价规范》（JTGB03-2006）和《城市道路工程设计规范》(CJJ37-2012)中的要求，充分利用现有基础资料和借鉴有关公路建设项目评价成果，合理确定评价范围、监测项目。并根据工程特点，筛选有代表性的监测和评价因子，选用适宜的预测模式，力求科学、公正、客观地给出环境影响评价结论。</w:t>
      </w:r>
    </w:p>
    <w:p>
      <w:pPr>
        <w:pStyle w:val="7"/>
        <w:rPr>
          <w:b/>
          <w:bCs/>
          <w:sz w:val="28"/>
          <w:szCs w:val="28"/>
        </w:rPr>
      </w:pPr>
      <w:bookmarkStart w:id="65" w:name="_Toc455016446"/>
      <w:bookmarkStart w:id="66" w:name="_Toc17679"/>
      <w:bookmarkStart w:id="67" w:name="_Toc2008"/>
      <w:r>
        <w:rPr>
          <w:b/>
          <w:bCs/>
          <w:sz w:val="28"/>
          <w:szCs w:val="28"/>
        </w:rPr>
        <w:t>编制依据</w:t>
      </w:r>
      <w:bookmarkEnd w:id="65"/>
      <w:bookmarkEnd w:id="66"/>
      <w:bookmarkEnd w:id="67"/>
    </w:p>
    <w:p>
      <w:pPr>
        <w:pStyle w:val="8"/>
        <w:rPr>
          <w:b/>
          <w:bCs/>
        </w:rPr>
      </w:pPr>
      <w:bookmarkStart w:id="68" w:name="_Toc30016"/>
      <w:r>
        <w:rPr>
          <w:b/>
          <w:bCs/>
        </w:rPr>
        <w:t>法律法规</w:t>
      </w:r>
      <w:bookmarkEnd w:id="68"/>
    </w:p>
    <w:p>
      <w:pPr>
        <w:pStyle w:val="10"/>
        <w:ind w:firstLine="480"/>
      </w:pPr>
      <w:r>
        <w:t>（1）《中华人民共和国环境保护法》（2015</w:t>
      </w:r>
      <w:r>
        <w:rPr>
          <w:rFonts w:hint="eastAsia"/>
        </w:rPr>
        <w:t>年</w:t>
      </w:r>
      <w:r>
        <w:t>1</w:t>
      </w:r>
      <w:r>
        <w:rPr>
          <w:rFonts w:hint="eastAsia"/>
        </w:rPr>
        <w:t>月</w:t>
      </w:r>
      <w:r>
        <w:t>1</w:t>
      </w:r>
      <w:r>
        <w:rPr>
          <w:rFonts w:hint="eastAsia"/>
        </w:rPr>
        <w:t>日起施行</w:t>
      </w:r>
      <w:r>
        <w:t>）；</w:t>
      </w:r>
    </w:p>
    <w:p>
      <w:pPr>
        <w:pStyle w:val="10"/>
        <w:ind w:firstLine="480"/>
      </w:pPr>
      <w:r>
        <w:t>（2）《中华人民共和国环境影响评价法》（2018</w:t>
      </w:r>
      <w:r>
        <w:rPr>
          <w:rFonts w:hint="eastAsia"/>
        </w:rPr>
        <w:t>年</w:t>
      </w:r>
      <w:r>
        <w:tab/>
      </w:r>
      <w:r>
        <w:tab/>
      </w:r>
      <w:r>
        <w:t>12</w:t>
      </w:r>
      <w:r>
        <w:rPr>
          <w:rFonts w:hint="eastAsia"/>
        </w:rPr>
        <w:t>月</w:t>
      </w:r>
      <w:r>
        <w:t>29</w:t>
      </w:r>
      <w:r>
        <w:rPr>
          <w:rFonts w:hint="eastAsia"/>
        </w:rPr>
        <w:t>日第二次修正</w:t>
      </w:r>
      <w:r>
        <w:t>）；</w:t>
      </w:r>
    </w:p>
    <w:p>
      <w:pPr>
        <w:pStyle w:val="10"/>
        <w:ind w:firstLine="480"/>
      </w:pPr>
      <w:r>
        <w:t>（3）《中华人民共和国大气污染防治法》（2018</w:t>
      </w:r>
      <w:r>
        <w:rPr>
          <w:rFonts w:hint="eastAsia"/>
        </w:rPr>
        <w:t>年</w:t>
      </w:r>
      <w:r>
        <w:t>10</w:t>
      </w:r>
      <w:r>
        <w:rPr>
          <w:rFonts w:hint="eastAsia"/>
        </w:rPr>
        <w:t>月</w:t>
      </w:r>
      <w:r>
        <w:t>26</w:t>
      </w:r>
      <w:r>
        <w:rPr>
          <w:rFonts w:hint="eastAsia"/>
        </w:rPr>
        <w:t>第二次修订</w:t>
      </w:r>
      <w:r>
        <w:t>）；</w:t>
      </w:r>
    </w:p>
    <w:p>
      <w:pPr>
        <w:pStyle w:val="10"/>
        <w:ind w:firstLine="480"/>
      </w:pPr>
      <w:r>
        <w:t>（4）《中华人民共和国水污染防治法》（2018</w:t>
      </w:r>
      <w:r>
        <w:rPr>
          <w:rFonts w:hint="eastAsia"/>
        </w:rPr>
        <w:t>年</w:t>
      </w:r>
      <w:r>
        <w:t>1</w:t>
      </w:r>
      <w:r>
        <w:rPr>
          <w:rFonts w:hint="eastAsia"/>
        </w:rPr>
        <w:t>月</w:t>
      </w:r>
      <w:r>
        <w:t>1</w:t>
      </w:r>
      <w:r>
        <w:rPr>
          <w:rFonts w:hint="eastAsia"/>
        </w:rPr>
        <w:t>日起施行</w:t>
      </w:r>
      <w:r>
        <w:t>）；</w:t>
      </w:r>
    </w:p>
    <w:p>
      <w:pPr>
        <w:pStyle w:val="10"/>
        <w:ind w:firstLine="480"/>
      </w:pPr>
      <w:r>
        <w:t>（5）《中华人民共和国噪声污染防治法》（2022</w:t>
      </w:r>
      <w:r>
        <w:rPr>
          <w:rFonts w:hint="eastAsia"/>
        </w:rPr>
        <w:t>年6月5日起施行</w:t>
      </w:r>
      <w:r>
        <w:t>）；</w:t>
      </w:r>
    </w:p>
    <w:p>
      <w:pPr>
        <w:pStyle w:val="10"/>
        <w:ind w:firstLine="480"/>
      </w:pPr>
      <w:r>
        <w:t>（6）《中华人民共和国固体废物污染环境防治法》（2020</w:t>
      </w:r>
      <w:r>
        <w:rPr>
          <w:rFonts w:hint="eastAsia"/>
        </w:rPr>
        <w:t>年</w:t>
      </w:r>
      <w:r>
        <w:t>9</w:t>
      </w:r>
      <w:r>
        <w:rPr>
          <w:rFonts w:hint="eastAsia"/>
        </w:rPr>
        <w:t>月</w:t>
      </w:r>
      <w:r>
        <w:t>1</w:t>
      </w:r>
      <w:r>
        <w:rPr>
          <w:rFonts w:hint="eastAsia"/>
        </w:rPr>
        <w:t>日起施行</w:t>
      </w:r>
      <w:r>
        <w:t>）；</w:t>
      </w:r>
    </w:p>
    <w:p>
      <w:pPr>
        <w:pStyle w:val="10"/>
        <w:ind w:firstLine="480"/>
      </w:pPr>
      <w:r>
        <w:t>（7）《中华人民共和国土地管理法》（2019</w:t>
      </w:r>
      <w:r>
        <w:rPr>
          <w:rFonts w:hint="eastAsia"/>
        </w:rPr>
        <w:t>年</w:t>
      </w:r>
      <w:r>
        <w:t>8</w:t>
      </w:r>
      <w:r>
        <w:rPr>
          <w:rFonts w:hint="eastAsia"/>
        </w:rPr>
        <w:t>月</w:t>
      </w:r>
      <w:r>
        <w:t>26</w:t>
      </w:r>
      <w:r>
        <w:rPr>
          <w:rFonts w:hint="eastAsia"/>
        </w:rPr>
        <w:t>日第三次修订</w:t>
      </w:r>
      <w:r>
        <w:t>）；</w:t>
      </w:r>
    </w:p>
    <w:p>
      <w:pPr>
        <w:pStyle w:val="10"/>
        <w:ind w:firstLine="480"/>
      </w:pPr>
      <w:r>
        <w:t>（8）《中华人民共和国城乡规划法》（2019</w:t>
      </w:r>
      <w:r>
        <w:rPr>
          <w:rFonts w:hint="eastAsia"/>
        </w:rPr>
        <w:t>年</w:t>
      </w:r>
      <w:r>
        <w:t>4</w:t>
      </w:r>
      <w:r>
        <w:rPr>
          <w:rFonts w:hint="eastAsia"/>
        </w:rPr>
        <w:t>月</w:t>
      </w:r>
      <w:r>
        <w:t>23</w:t>
      </w:r>
      <w:r>
        <w:rPr>
          <w:rFonts w:hint="eastAsia"/>
        </w:rPr>
        <w:t>日第二次修正</w:t>
      </w:r>
      <w:r>
        <w:t>）；</w:t>
      </w:r>
    </w:p>
    <w:p>
      <w:pPr>
        <w:pStyle w:val="10"/>
        <w:ind w:firstLine="480"/>
      </w:pPr>
      <w:r>
        <w:t>（9）《中华人民共和国水土保持法》（2011</w:t>
      </w:r>
      <w:r>
        <w:rPr>
          <w:rFonts w:hint="eastAsia"/>
        </w:rPr>
        <w:t>年</w:t>
      </w:r>
      <w:r>
        <w:t>3</w:t>
      </w:r>
      <w:r>
        <w:rPr>
          <w:rFonts w:hint="eastAsia"/>
        </w:rPr>
        <w:t>月</w:t>
      </w:r>
      <w:r>
        <w:t>1</w:t>
      </w:r>
      <w:r>
        <w:rPr>
          <w:rFonts w:hint="eastAsia"/>
        </w:rPr>
        <w:t>日起施行</w:t>
      </w:r>
      <w:r>
        <w:t>）；</w:t>
      </w:r>
    </w:p>
    <w:p>
      <w:pPr>
        <w:pStyle w:val="10"/>
        <w:ind w:firstLine="480"/>
      </w:pPr>
      <w:r>
        <w:t>（10）《中华人民共和国野生动物保护法》（2018</w:t>
      </w:r>
      <w:r>
        <w:rPr>
          <w:rFonts w:hint="eastAsia"/>
        </w:rPr>
        <w:t>年</w:t>
      </w:r>
      <w:r>
        <w:t>10</w:t>
      </w:r>
      <w:r>
        <w:rPr>
          <w:rFonts w:hint="eastAsia"/>
        </w:rPr>
        <w:t>月</w:t>
      </w:r>
      <w:r>
        <w:t>26</w:t>
      </w:r>
      <w:r>
        <w:rPr>
          <w:rFonts w:hint="eastAsia"/>
        </w:rPr>
        <w:t>日修订</w:t>
      </w:r>
      <w:r>
        <w:t>）；</w:t>
      </w:r>
    </w:p>
    <w:p>
      <w:pPr>
        <w:pStyle w:val="10"/>
        <w:ind w:firstLine="480"/>
      </w:pPr>
      <w:r>
        <w:t>（11）《中华人民共和国公路法》（2017</w:t>
      </w:r>
      <w:r>
        <w:rPr>
          <w:rFonts w:hint="eastAsia"/>
        </w:rPr>
        <w:t>年</w:t>
      </w:r>
      <w:r>
        <w:t>11</w:t>
      </w:r>
      <w:r>
        <w:rPr>
          <w:rFonts w:hint="eastAsia"/>
        </w:rPr>
        <w:t>月</w:t>
      </w:r>
      <w:r>
        <w:t>4</w:t>
      </w:r>
      <w:r>
        <w:rPr>
          <w:rFonts w:hint="eastAsia"/>
        </w:rPr>
        <w:t>日第五次修正</w:t>
      </w:r>
      <w:r>
        <w:t>）；</w:t>
      </w:r>
    </w:p>
    <w:p>
      <w:pPr>
        <w:pStyle w:val="10"/>
        <w:ind w:firstLine="480"/>
      </w:pPr>
      <w:r>
        <w:t>（12）国家颁布的其他法律、法规等。</w:t>
      </w:r>
    </w:p>
    <w:p>
      <w:pPr>
        <w:pStyle w:val="8"/>
      </w:pPr>
      <w:bookmarkStart w:id="69" w:name="_Toc1938"/>
      <w:r>
        <w:t>部门规章、规定</w:t>
      </w:r>
      <w:bookmarkEnd w:id="69"/>
    </w:p>
    <w:p>
      <w:pPr>
        <w:pStyle w:val="112"/>
        <w:ind w:firstLine="480"/>
      </w:pPr>
      <w:r>
        <w:t>（1）《建设项目环境保护管理条例》，（国务院682号令，2017</w:t>
      </w:r>
      <w:r>
        <w:rPr>
          <w:rFonts w:hint="eastAsia"/>
        </w:rPr>
        <w:t>年</w:t>
      </w:r>
      <w:r>
        <w:t>10月1</w:t>
      </w:r>
      <w:r>
        <w:rPr>
          <w:rFonts w:hint="eastAsia"/>
        </w:rPr>
        <w:t>日</w:t>
      </w:r>
      <w:r>
        <w:t>）；</w:t>
      </w:r>
    </w:p>
    <w:p>
      <w:pPr>
        <w:pStyle w:val="112"/>
        <w:ind w:firstLine="480"/>
      </w:pPr>
      <w:r>
        <w:t>（2）《建设项目环境影响评价分类管理名录》（</w:t>
      </w:r>
      <w:r>
        <w:rPr>
          <w:rFonts w:hint="eastAsia"/>
        </w:rPr>
        <w:t>2021年版</w:t>
      </w:r>
      <w:r>
        <w:t>）（20</w:t>
      </w:r>
      <w:r>
        <w:rPr>
          <w:rFonts w:hint="eastAsia"/>
        </w:rPr>
        <w:t>21年1</w:t>
      </w:r>
      <w:r>
        <w:t>月</w:t>
      </w:r>
      <w:r>
        <w:rPr>
          <w:rFonts w:hint="eastAsia"/>
        </w:rPr>
        <w:t>1日</w:t>
      </w:r>
      <w:r>
        <w:t>）；</w:t>
      </w:r>
    </w:p>
    <w:p>
      <w:pPr>
        <w:pStyle w:val="112"/>
        <w:ind w:firstLine="480"/>
        <w:rPr>
          <w:szCs w:val="22"/>
        </w:rPr>
      </w:pPr>
      <w:r>
        <w:t>（3）</w:t>
      </w:r>
      <w:r>
        <w:rPr>
          <w:szCs w:val="22"/>
        </w:rPr>
        <w:t>《产业结构调整指导目录》</w:t>
      </w:r>
      <w:r>
        <w:rPr>
          <w:rFonts w:hint="eastAsia"/>
          <w:szCs w:val="22"/>
        </w:rPr>
        <w:t>（2</w:t>
      </w:r>
      <w:r>
        <w:rPr>
          <w:szCs w:val="22"/>
        </w:rPr>
        <w:t>019</w:t>
      </w:r>
      <w:r>
        <w:rPr>
          <w:rFonts w:hint="eastAsia"/>
          <w:szCs w:val="22"/>
        </w:rPr>
        <w:t>年本）</w:t>
      </w:r>
      <w:r>
        <w:rPr>
          <w:szCs w:val="22"/>
        </w:rPr>
        <w:t>（20</w:t>
      </w:r>
      <w:r>
        <w:rPr>
          <w:rFonts w:hint="eastAsia"/>
          <w:szCs w:val="22"/>
        </w:rPr>
        <w:t>20</w:t>
      </w:r>
      <w:r>
        <w:rPr>
          <w:rFonts w:hint="eastAsia"/>
        </w:rPr>
        <w:t>年</w:t>
      </w:r>
      <w:r>
        <w:rPr>
          <w:rFonts w:hint="eastAsia"/>
          <w:szCs w:val="22"/>
        </w:rPr>
        <w:t>1</w:t>
      </w:r>
      <w:r>
        <w:rPr>
          <w:szCs w:val="22"/>
        </w:rPr>
        <w:t>月</w:t>
      </w:r>
      <w:r>
        <w:rPr>
          <w:rFonts w:hint="eastAsia"/>
          <w:szCs w:val="22"/>
        </w:rPr>
        <w:t>1</w:t>
      </w:r>
      <w:r>
        <w:rPr>
          <w:rFonts w:hint="eastAsia"/>
        </w:rPr>
        <w:t>日</w:t>
      </w:r>
      <w:r>
        <w:rPr>
          <w:rFonts w:hint="eastAsia"/>
          <w:szCs w:val="22"/>
        </w:rPr>
        <w:t>施行）</w:t>
      </w:r>
      <w:r>
        <w:rPr>
          <w:szCs w:val="22"/>
        </w:rPr>
        <w:t>；</w:t>
      </w:r>
    </w:p>
    <w:p>
      <w:pPr>
        <w:pStyle w:val="112"/>
        <w:ind w:firstLine="480"/>
      </w:pPr>
      <w:r>
        <w:t>（4）《限制用地项目目录（2012年本）》；</w:t>
      </w:r>
    </w:p>
    <w:p>
      <w:pPr>
        <w:pStyle w:val="112"/>
        <w:ind w:firstLine="480"/>
      </w:pPr>
      <w:r>
        <w:t>（5）《禁止用地项目目录（2012年本）》；</w:t>
      </w:r>
    </w:p>
    <w:p>
      <w:pPr>
        <w:pStyle w:val="112"/>
        <w:ind w:firstLine="480"/>
      </w:pPr>
      <w:r>
        <w:t>（6）</w:t>
      </w:r>
      <w:r>
        <w:rPr>
          <w:rFonts w:hint="eastAsia"/>
        </w:rPr>
        <w:t>《关于公路、铁路（含轻轨）等建设项目环境影响评价中环境噪声有关问题的通知》（环发〔2003〕94号），2</w:t>
      </w:r>
      <w:r>
        <w:t>003</w:t>
      </w:r>
      <w:r>
        <w:rPr>
          <w:rFonts w:hint="eastAsia"/>
        </w:rPr>
        <w:t>年</w:t>
      </w:r>
      <w:r>
        <w:t>5月27</w:t>
      </w:r>
      <w:r>
        <w:rPr>
          <w:rFonts w:hint="eastAsia"/>
        </w:rPr>
        <w:t>日；</w:t>
      </w:r>
    </w:p>
    <w:p>
      <w:pPr>
        <w:pStyle w:val="112"/>
        <w:ind w:firstLine="480"/>
      </w:pPr>
      <w:r>
        <w:t>（7）《关于坚决制止占用基本农田进行植树等行为的紧急通知》，国务院，2004</w:t>
      </w:r>
      <w:r>
        <w:rPr>
          <w:rFonts w:hint="eastAsia"/>
        </w:rPr>
        <w:t>年</w:t>
      </w:r>
      <w:r>
        <w:t>3</w:t>
      </w:r>
      <w:r>
        <w:rPr>
          <w:rFonts w:hint="eastAsia"/>
        </w:rPr>
        <w:t>日</w:t>
      </w:r>
      <w:r>
        <w:t>；</w:t>
      </w:r>
    </w:p>
    <w:p>
      <w:pPr>
        <w:pStyle w:val="112"/>
        <w:ind w:firstLine="480"/>
      </w:pPr>
      <w:r>
        <w:t>（8）《关于在公路建设中实行最严格的耕地保护制度的若干意见》，交公路发[2004]164号，2004</w:t>
      </w:r>
      <w:r>
        <w:rPr>
          <w:rFonts w:hint="eastAsia"/>
        </w:rPr>
        <w:t>年</w:t>
      </w:r>
      <w:r>
        <w:t>4</w:t>
      </w:r>
      <w:r>
        <w:rPr>
          <w:rFonts w:hint="eastAsia"/>
        </w:rPr>
        <w:t>日</w:t>
      </w:r>
      <w:r>
        <w:t>；</w:t>
      </w:r>
    </w:p>
    <w:p>
      <w:pPr>
        <w:pStyle w:val="112"/>
        <w:ind w:firstLine="480"/>
      </w:pPr>
      <w:r>
        <w:t>（9）《关于进一步做好基本农田保护有关工作的意见》(2005)196号文，2005</w:t>
      </w:r>
      <w:r>
        <w:rPr>
          <w:rFonts w:hint="eastAsia"/>
        </w:rPr>
        <w:t>年</w:t>
      </w:r>
      <w:r>
        <w:t>9</w:t>
      </w:r>
      <w:r>
        <w:rPr>
          <w:rFonts w:hint="eastAsia"/>
        </w:rPr>
        <w:t>日</w:t>
      </w:r>
      <w:r>
        <w:t>；</w:t>
      </w:r>
    </w:p>
    <w:p>
      <w:pPr>
        <w:pStyle w:val="112"/>
        <w:ind w:firstLine="480"/>
      </w:pPr>
      <w:r>
        <w:t>（10）《关于加强生产建设项目土地复垦管理工作的通知》，国土资源部会同国家发改委等七部委，国土资发(2006)225号，2006</w:t>
      </w:r>
      <w:r>
        <w:rPr>
          <w:rFonts w:hint="eastAsia"/>
        </w:rPr>
        <w:t>年</w:t>
      </w:r>
      <w:r>
        <w:t>9</w:t>
      </w:r>
      <w:r>
        <w:rPr>
          <w:rFonts w:hint="eastAsia"/>
        </w:rPr>
        <w:t>月</w:t>
      </w:r>
      <w:r>
        <w:t>；</w:t>
      </w:r>
    </w:p>
    <w:p>
      <w:pPr>
        <w:pStyle w:val="112"/>
        <w:ind w:firstLine="480"/>
      </w:pPr>
      <w:r>
        <w:t>（11）《关于发布&lt;地面交通噪声污染防治技术政策&gt;的通知》，环境保护部，环发[2010]7号，2010</w:t>
      </w:r>
      <w:r>
        <w:rPr>
          <w:rFonts w:hint="eastAsia"/>
        </w:rPr>
        <w:t>年</w:t>
      </w:r>
      <w:r>
        <w:t>1</w:t>
      </w:r>
      <w:r>
        <w:rPr>
          <w:rFonts w:hint="eastAsia"/>
        </w:rPr>
        <w:t>月</w:t>
      </w:r>
      <w:r>
        <w:t>；</w:t>
      </w:r>
    </w:p>
    <w:p>
      <w:pPr>
        <w:pStyle w:val="112"/>
        <w:ind w:firstLine="480"/>
      </w:pPr>
      <w:r>
        <w:t>（12）《关于进一步加强环境影响评价管理防范环境风险的通知》（环境保护部环发[2012]77号文），2012</w:t>
      </w:r>
      <w:r>
        <w:rPr>
          <w:rFonts w:hint="eastAsia"/>
        </w:rPr>
        <w:t>年</w:t>
      </w:r>
      <w:r>
        <w:t>7月3</w:t>
      </w:r>
      <w:r>
        <w:rPr>
          <w:rFonts w:hint="eastAsia"/>
        </w:rPr>
        <w:t>日</w:t>
      </w:r>
      <w:r>
        <w:t>；</w:t>
      </w:r>
    </w:p>
    <w:p>
      <w:pPr>
        <w:pStyle w:val="112"/>
        <w:ind w:firstLine="480"/>
      </w:pPr>
      <w:r>
        <w:t>（13）《关于切实加强风险防范严格环境影响评价管理的通知》（环境保护部环发[2012]98号文），2012</w:t>
      </w:r>
      <w:r>
        <w:rPr>
          <w:rFonts w:hint="eastAsia"/>
        </w:rPr>
        <w:t>年</w:t>
      </w:r>
      <w:r>
        <w:t>8月7</w:t>
      </w:r>
      <w:r>
        <w:rPr>
          <w:rFonts w:hint="eastAsia"/>
        </w:rPr>
        <w:t>日</w:t>
      </w:r>
      <w:r>
        <w:t>；</w:t>
      </w:r>
    </w:p>
    <w:p>
      <w:pPr>
        <w:pStyle w:val="112"/>
        <w:ind w:firstLine="480"/>
      </w:pPr>
      <w:r>
        <w:t>（14）《突发环境事件应急管理办法》，环境保护部 部令第34号文，2015</w:t>
      </w:r>
      <w:r>
        <w:rPr>
          <w:rFonts w:hint="eastAsia"/>
        </w:rPr>
        <w:t>年</w:t>
      </w:r>
      <w:r>
        <w:t>4月16</w:t>
      </w:r>
      <w:r>
        <w:rPr>
          <w:rFonts w:hint="eastAsia"/>
        </w:rPr>
        <w:t>日</w:t>
      </w:r>
      <w:r>
        <w:t>；</w:t>
      </w:r>
    </w:p>
    <w:p>
      <w:pPr>
        <w:pStyle w:val="112"/>
        <w:ind w:firstLine="480"/>
      </w:pPr>
      <w:r>
        <w:rPr>
          <w:rFonts w:hint="eastAsia"/>
        </w:rPr>
        <w:t>（1</w:t>
      </w:r>
      <w:r>
        <w:t>5</w:t>
      </w:r>
      <w:r>
        <w:rPr>
          <w:rFonts w:hint="eastAsia"/>
        </w:rPr>
        <w:t>）《</w:t>
      </w:r>
      <w:r>
        <w:t>道路危险货物运输管理规定》，交通运输部令2016年第36号，2016</w:t>
      </w:r>
      <w:r>
        <w:rPr>
          <w:rFonts w:hint="eastAsia"/>
        </w:rPr>
        <w:t>年</w:t>
      </w:r>
      <w:r>
        <w:t>4</w:t>
      </w:r>
      <w:r>
        <w:rPr>
          <w:rFonts w:hint="eastAsia"/>
        </w:rPr>
        <w:t>月</w:t>
      </w:r>
      <w:r>
        <w:t>；</w:t>
      </w:r>
    </w:p>
    <w:p>
      <w:pPr>
        <w:pStyle w:val="112"/>
        <w:numPr>
          <w:ilvl w:val="0"/>
          <w:numId w:val="7"/>
        </w:numPr>
        <w:ind w:left="0" w:firstLine="480"/>
      </w:pPr>
      <w:r>
        <w:rPr>
          <w:rFonts w:hint="eastAsia"/>
        </w:rPr>
        <w:t>《</w:t>
      </w:r>
      <w:r>
        <w:t>企业信息公示暂行条例</w:t>
      </w:r>
      <w:r>
        <w:rPr>
          <w:rFonts w:hint="eastAsia"/>
        </w:rPr>
        <w:t>》</w:t>
      </w:r>
      <w:r>
        <w:t>（国务院令第654号），国务院，2014</w:t>
      </w:r>
      <w:r>
        <w:rPr>
          <w:rFonts w:hint="eastAsia"/>
        </w:rPr>
        <w:t>年</w:t>
      </w:r>
      <w:r>
        <w:t>8月7</w:t>
      </w:r>
      <w:r>
        <w:rPr>
          <w:rFonts w:hint="eastAsia"/>
        </w:rPr>
        <w:t>日</w:t>
      </w:r>
      <w:r>
        <w:t>；</w:t>
      </w:r>
    </w:p>
    <w:p>
      <w:pPr>
        <w:pStyle w:val="112"/>
        <w:numPr>
          <w:ilvl w:val="0"/>
          <w:numId w:val="7"/>
        </w:numPr>
        <w:ind w:left="0" w:firstLine="480"/>
      </w:pPr>
      <w:r>
        <w:t>《企业事业单位环境信息公开办法》（环保部部令 第31号），环境保护部，2014</w:t>
      </w:r>
      <w:r>
        <w:rPr>
          <w:rFonts w:hint="eastAsia"/>
        </w:rPr>
        <w:t>年</w:t>
      </w:r>
      <w:r>
        <w:t>12月19</w:t>
      </w:r>
      <w:r>
        <w:rPr>
          <w:rFonts w:hint="eastAsia"/>
        </w:rPr>
        <w:t>日</w:t>
      </w:r>
      <w:r>
        <w:t>；</w:t>
      </w:r>
    </w:p>
    <w:p>
      <w:pPr>
        <w:pStyle w:val="112"/>
        <w:numPr>
          <w:ilvl w:val="0"/>
          <w:numId w:val="7"/>
        </w:numPr>
        <w:ind w:left="0" w:firstLine="480"/>
      </w:pPr>
      <w:r>
        <w:t>关于印发《建设项目环境影响评价信息公开机制方案》的通知（环发[2015]162号），环境保护部，2015</w:t>
      </w:r>
      <w:r>
        <w:rPr>
          <w:rFonts w:hint="eastAsia"/>
        </w:rPr>
        <w:t>年</w:t>
      </w:r>
      <w:r>
        <w:t>12月10</w:t>
      </w:r>
      <w:r>
        <w:rPr>
          <w:rFonts w:hint="eastAsia"/>
        </w:rPr>
        <w:t>日；</w:t>
      </w:r>
    </w:p>
    <w:p>
      <w:pPr>
        <w:pStyle w:val="986"/>
        <w:numPr>
          <w:ilvl w:val="0"/>
          <w:numId w:val="7"/>
        </w:numPr>
        <w:ind w:left="0" w:firstLine="480"/>
        <w:rPr>
          <w:rFonts w:ascii="Times New Roman" w:hAnsi="Times New Roman" w:cs="Times New Roman"/>
        </w:rPr>
      </w:pPr>
      <w:r>
        <w:rPr>
          <w:rFonts w:ascii="Times New Roman" w:hAnsi="Times New Roman" w:cs="Times New Roman"/>
        </w:rPr>
        <w:t>《环境影响评价公众参与办法》（生态环境部令第4号，2019</w:t>
      </w:r>
      <w:r>
        <w:rPr>
          <w:rFonts w:hint="eastAsia"/>
        </w:rPr>
        <w:t>年</w:t>
      </w:r>
      <w:r>
        <w:rPr>
          <w:rFonts w:ascii="Times New Roman" w:hAnsi="Times New Roman" w:cs="Times New Roman"/>
        </w:rPr>
        <w:t>1月1）；</w:t>
      </w:r>
    </w:p>
    <w:p>
      <w:pPr>
        <w:pStyle w:val="986"/>
        <w:numPr>
          <w:ilvl w:val="0"/>
          <w:numId w:val="7"/>
        </w:numPr>
        <w:ind w:left="0" w:firstLine="480"/>
        <w:rPr>
          <w:rFonts w:ascii="Times New Roman" w:hAnsi="Times New Roman" w:cs="Times New Roman"/>
        </w:rPr>
      </w:pPr>
      <w:r>
        <w:rPr>
          <w:rFonts w:ascii="Times New Roman" w:hAnsi="Times New Roman" w:cs="Times New Roman"/>
        </w:rPr>
        <w:t>《安徽省环境保护条例》（安徽省人大会常委会，2018</w:t>
      </w:r>
      <w:r>
        <w:rPr>
          <w:rFonts w:hint="eastAsia"/>
        </w:rPr>
        <w:t>年</w:t>
      </w:r>
      <w:r>
        <w:rPr>
          <w:rFonts w:ascii="Times New Roman" w:hAnsi="Times New Roman" w:cs="Times New Roman"/>
        </w:rPr>
        <w:t>11月1）；</w:t>
      </w:r>
    </w:p>
    <w:p>
      <w:pPr>
        <w:pStyle w:val="986"/>
        <w:numPr>
          <w:ilvl w:val="0"/>
          <w:numId w:val="7"/>
        </w:numPr>
        <w:ind w:left="0" w:firstLine="480"/>
        <w:rPr>
          <w:rFonts w:ascii="Times New Roman" w:hAnsi="Times New Roman" w:cs="Times New Roman"/>
        </w:rPr>
      </w:pPr>
      <w:r>
        <w:rPr>
          <w:rFonts w:ascii="Times New Roman" w:hAnsi="Times New Roman" w:cs="Times New Roman"/>
        </w:rPr>
        <w:t>《安徽省人民政府关于印发安徽省大气污染防治行动计划实施方案的通知》，安徽省人民政府，皖政[2013]89号，2013</w:t>
      </w:r>
      <w:r>
        <w:rPr>
          <w:rFonts w:hint="eastAsia"/>
        </w:rPr>
        <w:t>年</w:t>
      </w:r>
      <w:r>
        <w:rPr>
          <w:rFonts w:ascii="Times New Roman" w:hAnsi="Times New Roman" w:cs="Times New Roman"/>
        </w:rPr>
        <w:t>12月30</w:t>
      </w:r>
      <w:r>
        <w:rPr>
          <w:rFonts w:hint="eastAsia"/>
        </w:rPr>
        <w:t>日</w:t>
      </w:r>
      <w:r>
        <w:rPr>
          <w:rFonts w:ascii="Times New Roman" w:hAnsi="Times New Roman" w:cs="Times New Roman"/>
        </w:rPr>
        <w:t>；</w:t>
      </w:r>
    </w:p>
    <w:p>
      <w:pPr>
        <w:pStyle w:val="986"/>
        <w:numPr>
          <w:ilvl w:val="0"/>
          <w:numId w:val="7"/>
        </w:numPr>
        <w:ind w:left="0" w:firstLine="480"/>
        <w:rPr>
          <w:rFonts w:ascii="Times New Roman" w:hAnsi="Times New Roman" w:cs="Times New Roman"/>
        </w:rPr>
      </w:pPr>
      <w:r>
        <w:rPr>
          <w:rFonts w:ascii="Times New Roman" w:hAnsi="Times New Roman" w:cs="Times New Roman"/>
        </w:rPr>
        <w:t>《安徽省人民政府关于印发安徽省水污染防治工作方案的通知》，皖政[2015]131号，2015</w:t>
      </w:r>
      <w:r>
        <w:rPr>
          <w:rFonts w:hint="eastAsia"/>
        </w:rPr>
        <w:t>年</w:t>
      </w:r>
      <w:r>
        <w:rPr>
          <w:rFonts w:ascii="Times New Roman" w:hAnsi="Times New Roman" w:cs="Times New Roman"/>
        </w:rPr>
        <w:t>12月29</w:t>
      </w:r>
      <w:r>
        <w:rPr>
          <w:rFonts w:hint="eastAsia"/>
        </w:rPr>
        <w:t>日</w:t>
      </w:r>
      <w:r>
        <w:rPr>
          <w:rFonts w:ascii="Times New Roman" w:hAnsi="Times New Roman" w:cs="Times New Roman"/>
        </w:rPr>
        <w:t>；</w:t>
      </w:r>
    </w:p>
    <w:p>
      <w:pPr>
        <w:pStyle w:val="986"/>
        <w:numPr>
          <w:ilvl w:val="0"/>
          <w:numId w:val="7"/>
        </w:numPr>
        <w:ind w:left="0" w:firstLine="480"/>
        <w:rPr>
          <w:rFonts w:ascii="Times New Roman" w:hAnsi="Times New Roman" w:cs="Times New Roman"/>
        </w:rPr>
      </w:pPr>
      <w:r>
        <w:rPr>
          <w:rFonts w:ascii="Times New Roman" w:hAnsi="Times New Roman" w:cs="Times New Roman"/>
        </w:rPr>
        <w:t>《安徽省人民政府关于印发安徽省土壤污染防治工作方案的通知》，皖政[2016]116号，2016</w:t>
      </w:r>
      <w:r>
        <w:rPr>
          <w:rFonts w:hint="eastAsia"/>
        </w:rPr>
        <w:t>年</w:t>
      </w:r>
      <w:r>
        <w:rPr>
          <w:rFonts w:ascii="Times New Roman" w:hAnsi="Times New Roman" w:cs="Times New Roman"/>
        </w:rPr>
        <w:t>12月29</w:t>
      </w:r>
      <w:r>
        <w:rPr>
          <w:rFonts w:hint="eastAsia"/>
        </w:rPr>
        <w:t>日</w:t>
      </w:r>
      <w:r>
        <w:rPr>
          <w:rFonts w:ascii="Times New Roman" w:hAnsi="Times New Roman" w:cs="Times New Roman"/>
        </w:rPr>
        <w:t>；</w:t>
      </w:r>
    </w:p>
    <w:p>
      <w:pPr>
        <w:pStyle w:val="986"/>
        <w:numPr>
          <w:ilvl w:val="0"/>
          <w:numId w:val="7"/>
        </w:numPr>
        <w:ind w:left="0" w:firstLine="480"/>
        <w:rPr>
          <w:rFonts w:ascii="Times New Roman" w:hAnsi="Times New Roman" w:cs="Times New Roman"/>
        </w:rPr>
      </w:pPr>
      <w:r>
        <w:rPr>
          <w:rFonts w:hint="eastAsia" w:ascii="Times New Roman" w:hAnsi="Times New Roman" w:cs="Times New Roman"/>
        </w:rPr>
        <w:t>安徽省生态环境厅 安徽省发展改革委员会关于印发</w:t>
      </w:r>
      <w:r>
        <w:rPr>
          <w:rFonts w:ascii="Times New Roman" w:hAnsi="Times New Roman" w:cs="Times New Roman"/>
        </w:rPr>
        <w:t>《</w:t>
      </w:r>
      <w:r>
        <w:rPr>
          <w:rFonts w:hint="eastAsia" w:ascii="Times New Roman" w:hAnsi="Times New Roman" w:cs="Times New Roman"/>
        </w:rPr>
        <w:t>安徽省</w:t>
      </w:r>
      <w:r>
        <w:rPr>
          <w:rFonts w:ascii="Times New Roman" w:hAnsi="Times New Roman" w:cs="Times New Roman"/>
        </w:rPr>
        <w:t>“十</w:t>
      </w:r>
      <w:r>
        <w:rPr>
          <w:rFonts w:hint="eastAsia" w:ascii="Times New Roman" w:hAnsi="Times New Roman" w:cs="Times New Roman"/>
        </w:rPr>
        <w:t>四</w:t>
      </w:r>
      <w:r>
        <w:rPr>
          <w:rFonts w:ascii="Times New Roman" w:hAnsi="Times New Roman" w:cs="Times New Roman"/>
        </w:rPr>
        <w:t>五”生态环境保护规划》</w:t>
      </w:r>
      <w:r>
        <w:rPr>
          <w:rFonts w:hint="eastAsia" w:ascii="Times New Roman" w:hAnsi="Times New Roman" w:cs="Times New Roman"/>
        </w:rPr>
        <w:t>的通知，皖环发（2</w:t>
      </w:r>
      <w:r>
        <w:rPr>
          <w:rFonts w:ascii="Times New Roman" w:hAnsi="Times New Roman" w:cs="Times New Roman"/>
        </w:rPr>
        <w:t>022</w:t>
      </w:r>
      <w:r>
        <w:rPr>
          <w:rFonts w:hint="eastAsia" w:ascii="Times New Roman" w:hAnsi="Times New Roman" w:cs="Times New Roman"/>
        </w:rPr>
        <w:t>）8号</w:t>
      </w:r>
      <w:r>
        <w:rPr>
          <w:rFonts w:ascii="Times New Roman" w:hAnsi="Times New Roman" w:cs="Times New Roman"/>
        </w:rPr>
        <w:t>；</w:t>
      </w:r>
    </w:p>
    <w:p>
      <w:pPr>
        <w:pStyle w:val="112"/>
        <w:numPr>
          <w:ilvl w:val="0"/>
          <w:numId w:val="7"/>
        </w:numPr>
        <w:ind w:left="0" w:firstLine="480"/>
      </w:pPr>
      <w:r>
        <w:t>《</w:t>
      </w:r>
      <w:r>
        <w:rPr>
          <w:rFonts w:hint="eastAsia"/>
        </w:rPr>
        <w:t>关于全面打造水清岸绿产业优美丽长江（安徽）经济带的实施意见（升级版）</w:t>
      </w:r>
      <w:r>
        <w:t>》</w:t>
      </w:r>
      <w:r>
        <w:rPr>
          <w:rFonts w:hint="eastAsia"/>
        </w:rPr>
        <w:t>（皖发[2021]19号），2021年8月9日；</w:t>
      </w:r>
    </w:p>
    <w:p>
      <w:pPr>
        <w:pStyle w:val="8"/>
        <w:rPr>
          <w:b/>
          <w:bCs/>
        </w:rPr>
      </w:pPr>
      <w:bookmarkStart w:id="70" w:name="_Toc15326"/>
      <w:r>
        <w:rPr>
          <w:b/>
          <w:bCs/>
        </w:rPr>
        <w:t>导则规范</w:t>
      </w:r>
      <w:bookmarkEnd w:id="70"/>
    </w:p>
    <w:p>
      <w:pPr>
        <w:pStyle w:val="10"/>
        <w:ind w:firstLine="480"/>
      </w:pPr>
      <w:r>
        <w:t>（1）《环境影响评价技术导则－总纲》（HJ2.1-2016）；</w:t>
      </w:r>
    </w:p>
    <w:p>
      <w:pPr>
        <w:pStyle w:val="10"/>
        <w:ind w:firstLine="480"/>
      </w:pPr>
      <w:r>
        <w:t>（2）《环境影响评价技术导则－大气环境》（HJ2.2-2018）；</w:t>
      </w:r>
    </w:p>
    <w:p>
      <w:pPr>
        <w:pStyle w:val="10"/>
        <w:ind w:firstLine="480"/>
      </w:pPr>
      <w:r>
        <w:t>（3）《环境影响评价技术导则－地表水环境》（HJ2.3-2018）；</w:t>
      </w:r>
    </w:p>
    <w:p>
      <w:pPr>
        <w:pStyle w:val="10"/>
        <w:ind w:firstLine="480"/>
      </w:pPr>
      <w:r>
        <w:t>（4）《环境影响评价技术导则－声环境》（HJ2.4-2021）；</w:t>
      </w:r>
    </w:p>
    <w:p>
      <w:pPr>
        <w:pStyle w:val="10"/>
        <w:ind w:firstLine="480"/>
      </w:pPr>
      <w:r>
        <w:t>（5）《环境影响评价技术导则－地下水环境》（HJ610-2016）；</w:t>
      </w:r>
    </w:p>
    <w:p>
      <w:pPr>
        <w:pStyle w:val="10"/>
        <w:ind w:firstLine="480"/>
      </w:pPr>
      <w:r>
        <w:t>（6）《环境影响评价技术导则－生态影响》（HJ19-2022）；</w:t>
      </w:r>
    </w:p>
    <w:p>
      <w:pPr>
        <w:pStyle w:val="10"/>
        <w:ind w:firstLine="480"/>
      </w:pPr>
      <w:r>
        <w:t>（7）《建设项目环境风险评价技术导则》（HJ169-2018）；</w:t>
      </w:r>
    </w:p>
    <w:p>
      <w:pPr>
        <w:pStyle w:val="10"/>
        <w:ind w:firstLine="480"/>
      </w:pPr>
      <w:r>
        <w:t>（8）《公路建设项目环境影响评价规范》（JTGB03-2006）；</w:t>
      </w:r>
    </w:p>
    <w:p>
      <w:pPr>
        <w:pStyle w:val="10"/>
        <w:ind w:firstLine="480"/>
      </w:pPr>
      <w:r>
        <w:t>（9）《公路环境保护设计规范》（JTGB04-2010）。</w:t>
      </w:r>
    </w:p>
    <w:p>
      <w:pPr>
        <w:pStyle w:val="8"/>
        <w:rPr>
          <w:b/>
          <w:bCs/>
          <w:color w:val="auto"/>
        </w:rPr>
      </w:pPr>
      <w:bookmarkStart w:id="71" w:name="_Toc8545"/>
      <w:r>
        <w:rPr>
          <w:b/>
          <w:bCs/>
          <w:color w:val="auto"/>
        </w:rPr>
        <w:t>相关技术文件</w:t>
      </w:r>
      <w:bookmarkEnd w:id="71"/>
    </w:p>
    <w:p>
      <w:pPr>
        <w:pStyle w:val="112"/>
        <w:numPr>
          <w:ilvl w:val="0"/>
          <w:numId w:val="8"/>
        </w:numPr>
        <w:ind w:left="0" w:firstLine="480"/>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关于S311怀远包集至蚌埠民用机场一级公路工程立项的批复</w:t>
      </w:r>
      <w:r>
        <w:rPr>
          <w:rFonts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（蚌发改审批[2022]1</w:t>
      </w:r>
      <w:r>
        <w:rPr>
          <w:rFonts w:ascii="Times New Roman" w:hAnsi="Times New Roman" w:eastAsia="宋体" w:cs="Times New Roman"/>
          <w:color w:val="auto"/>
          <w:kern w:val="2"/>
          <w:sz w:val="24"/>
          <w:szCs w:val="24"/>
          <w:lang w:val="en-US" w:eastAsia="zh-CN" w:bidi="ar-SA"/>
        </w:rPr>
        <w:t>3</w:t>
      </w:r>
      <w:r>
        <w:rPr>
          <w:rFonts w:hint="eastAsia" w:ascii="Times New Roman" w:hAnsi="Times New Roman" w:eastAsia="宋体" w:cs="Times New Roman"/>
          <w:color w:val="auto"/>
          <w:kern w:val="2"/>
          <w:sz w:val="24"/>
          <w:szCs w:val="24"/>
          <w:lang w:val="en-US" w:eastAsia="zh-CN" w:bidi="ar-SA"/>
        </w:rPr>
        <w:t>号）</w:t>
      </w:r>
      <w:r>
        <w:rPr>
          <w:rFonts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蚌埠市发展和改革委员会</w:t>
      </w:r>
      <w:r>
        <w:rPr>
          <w:rFonts w:ascii="Times New Roman" w:hAnsi="Times New Roman" w:eastAsia="宋体" w:cs="Times New Roman"/>
          <w:color w:val="auto"/>
          <w:kern w:val="2"/>
          <w:sz w:val="24"/>
          <w:szCs w:val="24"/>
          <w:lang w:val="en-US" w:eastAsia="zh-CN" w:bidi="ar-SA"/>
        </w:rPr>
        <w:t>；</w:t>
      </w:r>
    </w:p>
    <w:p>
      <w:pPr>
        <w:pStyle w:val="112"/>
        <w:numPr>
          <w:ilvl w:val="0"/>
          <w:numId w:val="8"/>
        </w:numPr>
        <w:ind w:left="0" w:firstLine="480"/>
        <w:rPr>
          <w:color w:val="auto"/>
        </w:rPr>
      </w:pPr>
      <w:r>
        <w:rPr>
          <w:rFonts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S311怀远包集至蚌埠民用机场一级公路工程</w:t>
      </w:r>
      <w:r>
        <w:rPr>
          <w:rFonts w:ascii="Times New Roman" w:hAnsi="Times New Roman" w:eastAsia="宋体" w:cs="Times New Roman"/>
          <w:color w:val="auto"/>
          <w:kern w:val="2"/>
          <w:sz w:val="24"/>
          <w:szCs w:val="24"/>
          <w:lang w:val="en-US" w:eastAsia="zh-CN" w:bidi="ar-SA"/>
        </w:rPr>
        <w:t>可行性研究报告》，安徽省交通规划设计研究总院股份有限公司；</w:t>
      </w:r>
    </w:p>
    <w:p>
      <w:pPr>
        <w:pStyle w:val="112"/>
        <w:numPr>
          <w:ilvl w:val="0"/>
          <w:numId w:val="8"/>
        </w:numPr>
        <w:ind w:left="0" w:firstLine="480"/>
        <w:rPr>
          <w:color w:val="auto"/>
        </w:rPr>
      </w:pPr>
      <w:r>
        <w:rPr>
          <w:color w:val="auto"/>
        </w:rPr>
        <w:t>《</w:t>
      </w:r>
      <w:r>
        <w:rPr>
          <w:rFonts w:hint="eastAsia" w:ascii="Times New Roman" w:hAnsi="Times New Roman" w:eastAsia="宋体" w:cs="Times New Roman"/>
          <w:color w:val="auto"/>
          <w:kern w:val="2"/>
          <w:sz w:val="24"/>
          <w:szCs w:val="24"/>
          <w:lang w:val="en-US" w:eastAsia="zh-CN" w:bidi="ar-SA"/>
        </w:rPr>
        <w:t>S311怀远包集至蚌埠民用机场一级公路工程</w:t>
      </w:r>
      <w:r>
        <w:rPr>
          <w:rFonts w:hint="eastAsia"/>
          <w:color w:val="auto"/>
        </w:rPr>
        <w:t>初步设计文件</w:t>
      </w:r>
      <w:r>
        <w:rPr>
          <w:color w:val="auto"/>
        </w:rPr>
        <w:t>》</w:t>
      </w:r>
      <w:r>
        <w:rPr>
          <w:rFonts w:hint="eastAsia"/>
          <w:color w:val="auto"/>
        </w:rPr>
        <w:t>，2</w:t>
      </w:r>
      <w:r>
        <w:rPr>
          <w:color w:val="auto"/>
        </w:rPr>
        <w:t>02</w:t>
      </w:r>
      <w:r>
        <w:rPr>
          <w:rFonts w:hint="eastAsia"/>
          <w:color w:val="auto"/>
          <w:lang w:val="en-US" w:eastAsia="zh-CN"/>
        </w:rPr>
        <w:t>2</w:t>
      </w:r>
      <w:r>
        <w:rPr>
          <w:rFonts w:hint="eastAsia"/>
          <w:color w:val="auto"/>
        </w:rPr>
        <w:t>年1</w:t>
      </w:r>
      <w:r>
        <w:rPr>
          <w:rFonts w:hint="eastAsia"/>
          <w:color w:val="auto"/>
          <w:lang w:val="en-US" w:eastAsia="zh-CN"/>
        </w:rPr>
        <w:t>0</w:t>
      </w:r>
      <w:r>
        <w:rPr>
          <w:rFonts w:hint="eastAsia"/>
          <w:color w:val="auto"/>
        </w:rPr>
        <w:t>月；</w:t>
      </w:r>
    </w:p>
    <w:p>
      <w:pPr>
        <w:pStyle w:val="112"/>
        <w:numPr>
          <w:ilvl w:val="0"/>
          <w:numId w:val="8"/>
        </w:numPr>
        <w:ind w:left="0" w:firstLine="480"/>
        <w:rPr>
          <w:color w:val="auto"/>
        </w:rPr>
      </w:pPr>
      <w:r>
        <w:rPr>
          <w:color w:val="auto"/>
        </w:rPr>
        <w:t>《安徽省交通运输“十</w:t>
      </w:r>
      <w:r>
        <w:rPr>
          <w:rFonts w:hint="eastAsia"/>
          <w:color w:val="auto"/>
        </w:rPr>
        <w:t>四</w:t>
      </w:r>
      <w:r>
        <w:rPr>
          <w:color w:val="auto"/>
        </w:rPr>
        <w:t>五”发展规划》，安徽省交通运输厅；</w:t>
      </w:r>
    </w:p>
    <w:p>
      <w:pPr>
        <w:pStyle w:val="112"/>
        <w:numPr>
          <w:ilvl w:val="0"/>
          <w:numId w:val="8"/>
        </w:numPr>
        <w:ind w:left="0" w:firstLine="480"/>
        <w:rPr>
          <w:color w:val="auto"/>
        </w:rPr>
      </w:pPr>
      <w:r>
        <w:rPr>
          <w:rFonts w:hint="eastAsia" w:ascii="Times New Roman" w:hAnsi="Times New Roman"/>
          <w:sz w:val="24"/>
          <w:szCs w:val="24"/>
          <w:lang w:val="en-US" w:eastAsia="zh-CN"/>
        </w:rPr>
        <w:t>《</w:t>
      </w:r>
      <w:r>
        <w:rPr>
          <w:rFonts w:hint="eastAsia" w:ascii="Times New Roman" w:hAnsi="Times New Roman"/>
          <w:sz w:val="24"/>
          <w:szCs w:val="24"/>
        </w:rPr>
        <w:t>关于S311怀远包集至蚌埠民用机场一级公路工程</w:t>
      </w:r>
      <w:r>
        <w:rPr>
          <w:rFonts w:hint="eastAsia" w:ascii="Times New Roman" w:hAnsi="Times New Roman"/>
          <w:sz w:val="24"/>
          <w:szCs w:val="24"/>
          <w:lang w:val="en-US" w:eastAsia="zh-CN"/>
        </w:rPr>
        <w:t>项目用地预审与规划选址意见的复函》（蚌自然资函[2022]105号），蚌埠市自然资源和规划局，2022年11月12日</w:t>
      </w:r>
      <w:r>
        <w:rPr>
          <w:rFonts w:hint="eastAsia"/>
          <w:sz w:val="24"/>
          <w:szCs w:val="24"/>
          <w:lang w:val="en-US" w:eastAsia="zh-CN"/>
        </w:rPr>
        <w:t>。</w:t>
      </w:r>
    </w:p>
    <w:p>
      <w:pPr>
        <w:pStyle w:val="7"/>
        <w:rPr>
          <w:b/>
          <w:bCs/>
          <w:sz w:val="28"/>
          <w:szCs w:val="28"/>
        </w:rPr>
      </w:pPr>
      <w:bookmarkStart w:id="72" w:name="_Toc23830"/>
      <w:bookmarkStart w:id="73" w:name="_Toc22339"/>
      <w:r>
        <w:rPr>
          <w:b/>
          <w:bCs/>
          <w:sz w:val="28"/>
          <w:szCs w:val="28"/>
        </w:rPr>
        <w:t>评价内容与评价因子筛选</w:t>
      </w:r>
      <w:bookmarkEnd w:id="72"/>
      <w:bookmarkEnd w:id="73"/>
    </w:p>
    <w:p>
      <w:pPr>
        <w:pStyle w:val="8"/>
        <w:rPr>
          <w:b/>
          <w:bCs/>
        </w:rPr>
      </w:pPr>
      <w:bookmarkStart w:id="74" w:name="_Toc19181"/>
      <w:r>
        <w:rPr>
          <w:b/>
          <w:bCs/>
        </w:rPr>
        <w:t>评价内容</w:t>
      </w:r>
      <w:bookmarkEnd w:id="74"/>
    </w:p>
    <w:p>
      <w:pPr>
        <w:pStyle w:val="10"/>
        <w:ind w:firstLine="480"/>
      </w:pPr>
      <w:r>
        <w:t>本次评价的主要内容有：项目概况、工程分析、环境质量现状调查与评价、环境影响预测与评价、环境保护措施及其可行性论证、环境影响经济损益分析、环境管理与</w:t>
      </w:r>
      <w:r>
        <w:rPr>
          <w:rFonts w:hint="eastAsia"/>
        </w:rPr>
        <w:t>监测</w:t>
      </w:r>
      <w:r>
        <w:t>计划等。</w:t>
      </w:r>
    </w:p>
    <w:p>
      <w:pPr>
        <w:pStyle w:val="10"/>
        <w:ind w:firstLine="480"/>
      </w:pPr>
      <w:r>
        <w:t>建设期：以生态环境（含水土流失）、噪声、扬尘及对周边敏感点的影响为评价重点，其次为项目对地表水，以及固体废弃物的影响评价。</w:t>
      </w:r>
    </w:p>
    <w:p>
      <w:pPr>
        <w:pStyle w:val="10"/>
        <w:ind w:firstLine="480"/>
        <w:rPr>
          <w:color w:val="0070C0"/>
        </w:rPr>
      </w:pPr>
      <w:r>
        <w:t>营运期：交通噪声对沿线主要</w:t>
      </w:r>
      <w:r>
        <w:rPr>
          <w:rFonts w:hint="eastAsia"/>
        </w:rPr>
        <w:t>保护目标</w:t>
      </w:r>
      <w:r>
        <w:t>的声环境影响、水环境影响、风险评价、大气环境影响和污染防治措施为评价重点。</w:t>
      </w:r>
    </w:p>
    <w:p>
      <w:pPr>
        <w:pStyle w:val="8"/>
        <w:rPr>
          <w:b/>
          <w:bCs/>
        </w:rPr>
      </w:pPr>
      <w:bookmarkStart w:id="75" w:name="_Toc11636"/>
      <w:r>
        <w:rPr>
          <w:b/>
          <w:bCs/>
        </w:rPr>
        <w:t>环境影响识别</w:t>
      </w:r>
      <w:bookmarkEnd w:id="75"/>
      <w:r>
        <w:rPr>
          <w:b/>
          <w:bCs/>
        </w:rPr>
        <w:t xml:space="preserve"> </w:t>
      </w:r>
    </w:p>
    <w:p>
      <w:pPr>
        <w:pStyle w:val="112"/>
        <w:ind w:firstLine="480"/>
      </w:pPr>
      <w:r>
        <w:t>根据工程初步分析，本工程施工期和营运期主要是对声环境、公路沿线生态环境、大气环境和桥梁跨越处的水环境等产生不利影响，环境影响分析见</w:t>
      </w:r>
      <w:r>
        <w:rPr>
          <w:rFonts w:hint="eastAsia"/>
        </w:rPr>
        <w:t>下</w:t>
      </w:r>
      <w:r>
        <w:t>表。</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环境影响矩阵分析</w:t>
      </w:r>
    </w:p>
    <w:tbl>
      <w:tblPr>
        <w:tblStyle w:val="47"/>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218"/>
        <w:gridCol w:w="593"/>
        <w:gridCol w:w="1018"/>
        <w:gridCol w:w="803"/>
        <w:gridCol w:w="593"/>
        <w:gridCol w:w="591"/>
        <w:gridCol w:w="591"/>
        <w:gridCol w:w="1016"/>
        <w:gridCol w:w="1018"/>
        <w:gridCol w:w="931"/>
        <w:gridCol w:w="81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63" w:type="pct"/>
            <w:vMerge w:val="restart"/>
            <w:tcBorders>
              <w:top w:val="single" w:color="auto" w:sz="4" w:space="0"/>
              <w:left w:val="single" w:color="auto" w:sz="4" w:space="0"/>
              <w:bottom w:val="single" w:color="auto" w:sz="4" w:space="0"/>
              <w:tl2br w:val="single" w:color="auto" w:sz="4" w:space="0"/>
            </w:tcBorders>
            <w:vAlign w:val="center"/>
          </w:tcPr>
          <w:p>
            <w:pPr>
              <w:pStyle w:val="1132"/>
            </w:pPr>
            <w:r>
              <w:t xml:space="preserve">  </w:t>
            </w:r>
            <w:r>
              <w:rPr>
                <w:rFonts w:hint="eastAsia"/>
                <w:lang w:val="en-US" w:eastAsia="zh-CN"/>
              </w:rPr>
              <w:t xml:space="preserve">   </w:t>
            </w:r>
            <w:r>
              <w:t>工程行为</w:t>
            </w:r>
          </w:p>
          <w:p>
            <w:pPr>
              <w:pStyle w:val="1132"/>
            </w:pPr>
          </w:p>
          <w:p>
            <w:pPr>
              <w:pStyle w:val="1132"/>
              <w:jc w:val="both"/>
              <w:rPr>
                <w:rFonts w:eastAsia="仿宋_GB2312"/>
              </w:rPr>
            </w:pPr>
            <w:r>
              <w:t>环境要素</w:t>
            </w:r>
          </w:p>
        </w:tc>
        <w:tc>
          <w:tcPr>
            <w:tcW w:w="876" w:type="pct"/>
            <w:gridSpan w:val="2"/>
            <w:tcBorders>
              <w:top w:val="single" w:color="auto" w:sz="4" w:space="0"/>
              <w:bottom w:val="single" w:color="auto" w:sz="4" w:space="0"/>
            </w:tcBorders>
            <w:vAlign w:val="center"/>
          </w:tcPr>
          <w:p>
            <w:pPr>
              <w:pStyle w:val="1132"/>
            </w:pPr>
            <w:r>
              <w:t>前期</w:t>
            </w:r>
          </w:p>
        </w:tc>
        <w:tc>
          <w:tcPr>
            <w:tcW w:w="2511" w:type="pct"/>
            <w:gridSpan w:val="6"/>
            <w:tcBorders>
              <w:top w:val="single" w:color="auto" w:sz="4" w:space="0"/>
              <w:bottom w:val="single" w:color="auto" w:sz="4" w:space="0"/>
            </w:tcBorders>
            <w:vAlign w:val="center"/>
          </w:tcPr>
          <w:p>
            <w:pPr>
              <w:pStyle w:val="1132"/>
            </w:pPr>
            <w:r>
              <w:t>施工期</w:t>
            </w:r>
          </w:p>
        </w:tc>
        <w:tc>
          <w:tcPr>
            <w:tcW w:w="950" w:type="pct"/>
            <w:gridSpan w:val="2"/>
            <w:tcBorders>
              <w:top w:val="single" w:color="auto" w:sz="4" w:space="0"/>
              <w:bottom w:val="single" w:color="auto" w:sz="4" w:space="0"/>
              <w:right w:val="single" w:color="auto" w:sz="4" w:space="0"/>
            </w:tcBorders>
            <w:vAlign w:val="center"/>
          </w:tcPr>
          <w:p>
            <w:pPr>
              <w:pStyle w:val="1132"/>
            </w:pPr>
            <w:r>
              <w:t>营运期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63" w:type="pct"/>
            <w:vMerge w:val="continue"/>
            <w:tcBorders>
              <w:top w:val="single" w:color="auto" w:sz="4" w:space="0"/>
              <w:left w:val="single" w:color="auto" w:sz="4" w:space="0"/>
              <w:bottom w:val="single" w:color="auto" w:sz="4" w:space="0"/>
              <w:tl2br w:val="single" w:color="auto" w:sz="4" w:space="0"/>
            </w:tcBorders>
            <w:vAlign w:val="center"/>
          </w:tcPr>
          <w:p>
            <w:pPr>
              <w:pStyle w:val="1132"/>
              <w:rPr>
                <w:rFonts w:eastAsia="仿宋_GB2312"/>
              </w:rPr>
            </w:pPr>
          </w:p>
        </w:tc>
        <w:tc>
          <w:tcPr>
            <w:tcW w:w="323" w:type="pct"/>
            <w:tcBorders>
              <w:top w:val="single" w:color="auto" w:sz="4" w:space="0"/>
              <w:bottom w:val="single" w:color="auto" w:sz="4" w:space="0"/>
            </w:tcBorders>
            <w:vAlign w:val="center"/>
          </w:tcPr>
          <w:p>
            <w:pPr>
              <w:pStyle w:val="1132"/>
            </w:pPr>
            <w:r>
              <w:t>占地</w:t>
            </w:r>
          </w:p>
        </w:tc>
        <w:tc>
          <w:tcPr>
            <w:tcW w:w="554" w:type="pct"/>
            <w:tcBorders>
              <w:top w:val="single" w:color="auto" w:sz="4" w:space="0"/>
              <w:bottom w:val="single" w:color="auto" w:sz="4" w:space="0"/>
            </w:tcBorders>
            <w:vAlign w:val="center"/>
          </w:tcPr>
          <w:p>
            <w:pPr>
              <w:pStyle w:val="1132"/>
            </w:pPr>
            <w:r>
              <w:t>拆迁安置</w:t>
            </w:r>
          </w:p>
        </w:tc>
        <w:tc>
          <w:tcPr>
            <w:tcW w:w="437" w:type="pct"/>
            <w:tcBorders>
              <w:top w:val="single" w:color="auto" w:sz="4" w:space="0"/>
              <w:bottom w:val="single" w:color="auto" w:sz="4" w:space="0"/>
            </w:tcBorders>
            <w:vAlign w:val="center"/>
          </w:tcPr>
          <w:p>
            <w:pPr>
              <w:pStyle w:val="1132"/>
            </w:pPr>
            <w:r>
              <w:t>弃土场</w:t>
            </w:r>
          </w:p>
        </w:tc>
        <w:tc>
          <w:tcPr>
            <w:tcW w:w="323" w:type="pct"/>
            <w:tcBorders>
              <w:top w:val="single" w:color="auto" w:sz="4" w:space="0"/>
              <w:bottom w:val="single" w:color="auto" w:sz="4" w:space="0"/>
            </w:tcBorders>
            <w:vAlign w:val="center"/>
          </w:tcPr>
          <w:p>
            <w:pPr>
              <w:pStyle w:val="1132"/>
            </w:pPr>
            <w:r>
              <w:t>路基</w:t>
            </w:r>
          </w:p>
        </w:tc>
        <w:tc>
          <w:tcPr>
            <w:tcW w:w="322" w:type="pct"/>
            <w:tcBorders>
              <w:top w:val="single" w:color="auto" w:sz="4" w:space="0"/>
              <w:bottom w:val="single" w:color="auto" w:sz="4" w:space="0"/>
            </w:tcBorders>
            <w:vAlign w:val="center"/>
          </w:tcPr>
          <w:p>
            <w:pPr>
              <w:pStyle w:val="1132"/>
            </w:pPr>
            <w:r>
              <w:t>路面</w:t>
            </w:r>
          </w:p>
        </w:tc>
        <w:tc>
          <w:tcPr>
            <w:tcW w:w="322" w:type="pct"/>
            <w:tcBorders>
              <w:top w:val="single" w:color="auto" w:sz="4" w:space="0"/>
              <w:bottom w:val="single" w:color="auto" w:sz="4" w:space="0"/>
            </w:tcBorders>
            <w:vAlign w:val="center"/>
          </w:tcPr>
          <w:p>
            <w:pPr>
              <w:pStyle w:val="1132"/>
            </w:pPr>
            <w:r>
              <w:t>桥涵</w:t>
            </w:r>
          </w:p>
        </w:tc>
        <w:tc>
          <w:tcPr>
            <w:tcW w:w="553" w:type="pct"/>
            <w:tcBorders>
              <w:top w:val="single" w:color="auto" w:sz="4" w:space="0"/>
              <w:bottom w:val="single" w:color="auto" w:sz="4" w:space="0"/>
            </w:tcBorders>
            <w:vAlign w:val="center"/>
          </w:tcPr>
          <w:p>
            <w:pPr>
              <w:pStyle w:val="1132"/>
            </w:pPr>
            <w:r>
              <w:t>材料运输</w:t>
            </w:r>
          </w:p>
        </w:tc>
        <w:tc>
          <w:tcPr>
            <w:tcW w:w="553" w:type="pct"/>
            <w:tcBorders>
              <w:top w:val="single" w:color="auto" w:sz="4" w:space="0"/>
              <w:bottom w:val="single" w:color="auto" w:sz="4" w:space="0"/>
            </w:tcBorders>
            <w:vAlign w:val="center"/>
          </w:tcPr>
          <w:p>
            <w:pPr>
              <w:pStyle w:val="1132"/>
            </w:pPr>
            <w:r>
              <w:t>施工作业</w:t>
            </w:r>
          </w:p>
        </w:tc>
        <w:tc>
          <w:tcPr>
            <w:tcW w:w="507" w:type="pct"/>
            <w:tcBorders>
              <w:top w:val="single" w:color="auto" w:sz="4" w:space="0"/>
              <w:bottom w:val="single" w:color="auto" w:sz="4" w:space="0"/>
            </w:tcBorders>
            <w:vAlign w:val="center"/>
          </w:tcPr>
          <w:p>
            <w:pPr>
              <w:pStyle w:val="1132"/>
            </w:pPr>
            <w:r>
              <w:t>车辆行驶</w:t>
            </w:r>
          </w:p>
        </w:tc>
        <w:tc>
          <w:tcPr>
            <w:tcW w:w="442" w:type="pct"/>
            <w:tcBorders>
              <w:top w:val="single" w:color="auto" w:sz="4" w:space="0"/>
              <w:bottom w:val="single" w:color="auto" w:sz="4" w:space="0"/>
              <w:right w:val="single" w:color="auto" w:sz="4" w:space="0"/>
            </w:tcBorders>
            <w:vAlign w:val="center"/>
          </w:tcPr>
          <w:p>
            <w:pPr>
              <w:pStyle w:val="1132"/>
            </w:pPr>
            <w:r>
              <w:t>绿化</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63" w:type="pct"/>
            <w:tcBorders>
              <w:top w:val="single" w:color="auto" w:sz="4" w:space="0"/>
              <w:left w:val="single" w:color="auto" w:sz="4" w:space="0"/>
            </w:tcBorders>
            <w:vAlign w:val="center"/>
          </w:tcPr>
          <w:p>
            <w:pPr>
              <w:pStyle w:val="1132"/>
            </w:pPr>
            <w:r>
              <w:t>水土流失</w:t>
            </w:r>
          </w:p>
        </w:tc>
        <w:tc>
          <w:tcPr>
            <w:tcW w:w="323" w:type="pct"/>
            <w:tcBorders>
              <w:top w:val="single" w:color="auto" w:sz="4" w:space="0"/>
              <w:bottom w:val="single" w:color="auto" w:sz="4" w:space="0"/>
            </w:tcBorders>
            <w:vAlign w:val="center"/>
          </w:tcPr>
          <w:p>
            <w:pPr>
              <w:pStyle w:val="1132"/>
            </w:pPr>
            <w:r>
              <w:t>-1S</w:t>
            </w:r>
          </w:p>
        </w:tc>
        <w:tc>
          <w:tcPr>
            <w:tcW w:w="554" w:type="pct"/>
            <w:tcBorders>
              <w:top w:val="single" w:color="auto" w:sz="4" w:space="0"/>
              <w:bottom w:val="single" w:color="auto" w:sz="4" w:space="0"/>
            </w:tcBorders>
            <w:vAlign w:val="center"/>
          </w:tcPr>
          <w:p>
            <w:pPr>
              <w:pStyle w:val="1132"/>
            </w:pPr>
          </w:p>
        </w:tc>
        <w:tc>
          <w:tcPr>
            <w:tcW w:w="437" w:type="pct"/>
            <w:tcBorders>
              <w:top w:val="single" w:color="auto" w:sz="4" w:space="0"/>
              <w:bottom w:val="single" w:color="auto" w:sz="4" w:space="0"/>
            </w:tcBorders>
            <w:vAlign w:val="center"/>
          </w:tcPr>
          <w:p>
            <w:pPr>
              <w:pStyle w:val="1132"/>
            </w:pPr>
            <w:r>
              <w:t>-1S</w:t>
            </w:r>
          </w:p>
        </w:tc>
        <w:tc>
          <w:tcPr>
            <w:tcW w:w="323" w:type="pct"/>
            <w:tcBorders>
              <w:top w:val="single" w:color="auto" w:sz="4" w:space="0"/>
              <w:bottom w:val="single" w:color="auto" w:sz="4" w:space="0"/>
            </w:tcBorders>
            <w:vAlign w:val="center"/>
          </w:tcPr>
          <w:p>
            <w:pPr>
              <w:pStyle w:val="1132"/>
            </w:pPr>
            <w:r>
              <w:t>-1S</w:t>
            </w:r>
          </w:p>
        </w:tc>
        <w:tc>
          <w:tcPr>
            <w:tcW w:w="322" w:type="pct"/>
            <w:tcBorders>
              <w:top w:val="single" w:color="auto" w:sz="4" w:space="0"/>
              <w:bottom w:val="single" w:color="auto" w:sz="4" w:space="0"/>
            </w:tcBorders>
            <w:vAlign w:val="center"/>
          </w:tcPr>
          <w:p>
            <w:pPr>
              <w:pStyle w:val="1132"/>
            </w:pPr>
            <w:r>
              <w:t>-2S</w:t>
            </w:r>
          </w:p>
        </w:tc>
        <w:tc>
          <w:tcPr>
            <w:tcW w:w="322" w:type="pct"/>
            <w:tcBorders>
              <w:top w:val="single" w:color="auto" w:sz="4" w:space="0"/>
              <w:bottom w:val="single" w:color="auto" w:sz="4" w:space="0"/>
            </w:tcBorders>
            <w:vAlign w:val="center"/>
          </w:tcPr>
          <w:p>
            <w:pPr>
              <w:pStyle w:val="1132"/>
            </w:pPr>
            <w:r>
              <w:t>-2S</w:t>
            </w:r>
          </w:p>
        </w:tc>
        <w:tc>
          <w:tcPr>
            <w:tcW w:w="553" w:type="pct"/>
            <w:tcBorders>
              <w:top w:val="single" w:color="auto" w:sz="4" w:space="0"/>
              <w:bottom w:val="single" w:color="auto" w:sz="4" w:space="0"/>
            </w:tcBorders>
            <w:vAlign w:val="center"/>
          </w:tcPr>
          <w:p>
            <w:pPr>
              <w:pStyle w:val="1132"/>
            </w:pPr>
          </w:p>
        </w:tc>
        <w:tc>
          <w:tcPr>
            <w:tcW w:w="553" w:type="pct"/>
            <w:tcBorders>
              <w:top w:val="single" w:color="auto" w:sz="4" w:space="0"/>
              <w:bottom w:val="single" w:color="auto" w:sz="4" w:space="0"/>
            </w:tcBorders>
            <w:vAlign w:val="center"/>
          </w:tcPr>
          <w:p>
            <w:pPr>
              <w:pStyle w:val="1132"/>
            </w:pPr>
          </w:p>
        </w:tc>
        <w:tc>
          <w:tcPr>
            <w:tcW w:w="507" w:type="pct"/>
            <w:tcBorders>
              <w:top w:val="single" w:color="auto" w:sz="4" w:space="0"/>
              <w:bottom w:val="single" w:color="auto" w:sz="4" w:space="0"/>
            </w:tcBorders>
            <w:vAlign w:val="center"/>
          </w:tcPr>
          <w:p>
            <w:pPr>
              <w:pStyle w:val="1132"/>
            </w:pPr>
          </w:p>
        </w:tc>
        <w:tc>
          <w:tcPr>
            <w:tcW w:w="442" w:type="pct"/>
            <w:tcBorders>
              <w:top w:val="single" w:color="auto" w:sz="4" w:space="0"/>
              <w:bottom w:val="single" w:color="auto" w:sz="4" w:space="0"/>
              <w:right w:val="single" w:color="auto" w:sz="4" w:space="0"/>
            </w:tcBorders>
            <w:vAlign w:val="center"/>
          </w:tcPr>
          <w:p>
            <w:pPr>
              <w:pStyle w:val="1132"/>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63" w:type="pct"/>
            <w:tcBorders>
              <w:left w:val="single" w:color="auto" w:sz="4" w:space="0"/>
            </w:tcBorders>
            <w:vAlign w:val="center"/>
          </w:tcPr>
          <w:p>
            <w:pPr>
              <w:pStyle w:val="1132"/>
            </w:pPr>
            <w:r>
              <w:t>陆地植被</w:t>
            </w:r>
          </w:p>
        </w:tc>
        <w:tc>
          <w:tcPr>
            <w:tcW w:w="323" w:type="pct"/>
            <w:tcBorders>
              <w:top w:val="single" w:color="auto" w:sz="4" w:space="0"/>
              <w:bottom w:val="single" w:color="auto" w:sz="4" w:space="0"/>
            </w:tcBorders>
            <w:vAlign w:val="center"/>
          </w:tcPr>
          <w:p>
            <w:pPr>
              <w:pStyle w:val="1132"/>
            </w:pPr>
            <w:r>
              <w:t>-1L</w:t>
            </w:r>
          </w:p>
        </w:tc>
        <w:tc>
          <w:tcPr>
            <w:tcW w:w="554" w:type="pct"/>
            <w:tcBorders>
              <w:top w:val="single" w:color="auto" w:sz="4" w:space="0"/>
              <w:bottom w:val="single" w:color="auto" w:sz="4" w:space="0"/>
            </w:tcBorders>
            <w:vAlign w:val="center"/>
          </w:tcPr>
          <w:p>
            <w:pPr>
              <w:pStyle w:val="1132"/>
            </w:pPr>
          </w:p>
        </w:tc>
        <w:tc>
          <w:tcPr>
            <w:tcW w:w="437" w:type="pct"/>
            <w:tcBorders>
              <w:top w:val="single" w:color="auto" w:sz="4" w:space="0"/>
              <w:bottom w:val="single" w:color="auto" w:sz="4" w:space="0"/>
            </w:tcBorders>
            <w:vAlign w:val="center"/>
          </w:tcPr>
          <w:p>
            <w:pPr>
              <w:pStyle w:val="1132"/>
            </w:pPr>
            <w:r>
              <w:t>-2S</w:t>
            </w:r>
          </w:p>
        </w:tc>
        <w:tc>
          <w:tcPr>
            <w:tcW w:w="323" w:type="pct"/>
            <w:tcBorders>
              <w:top w:val="single" w:color="auto" w:sz="4" w:space="0"/>
              <w:bottom w:val="single" w:color="auto" w:sz="4" w:space="0"/>
            </w:tcBorders>
            <w:vAlign w:val="center"/>
          </w:tcPr>
          <w:p>
            <w:pPr>
              <w:pStyle w:val="1132"/>
            </w:pPr>
            <w:r>
              <w:t>-2L</w:t>
            </w:r>
          </w:p>
        </w:tc>
        <w:tc>
          <w:tcPr>
            <w:tcW w:w="322" w:type="pct"/>
            <w:tcBorders>
              <w:top w:val="single" w:color="auto" w:sz="4" w:space="0"/>
              <w:bottom w:val="single" w:color="auto" w:sz="4" w:space="0"/>
            </w:tcBorders>
            <w:vAlign w:val="center"/>
          </w:tcPr>
          <w:p>
            <w:pPr>
              <w:pStyle w:val="1132"/>
            </w:pPr>
            <w:r>
              <w:t>-2S</w:t>
            </w:r>
          </w:p>
        </w:tc>
        <w:tc>
          <w:tcPr>
            <w:tcW w:w="322" w:type="pct"/>
            <w:tcBorders>
              <w:top w:val="single" w:color="auto" w:sz="4" w:space="0"/>
              <w:bottom w:val="single" w:color="auto" w:sz="4" w:space="0"/>
            </w:tcBorders>
            <w:vAlign w:val="center"/>
          </w:tcPr>
          <w:p>
            <w:pPr>
              <w:pStyle w:val="1132"/>
            </w:pPr>
            <w:r>
              <w:t>-2S</w:t>
            </w:r>
          </w:p>
        </w:tc>
        <w:tc>
          <w:tcPr>
            <w:tcW w:w="553" w:type="pct"/>
            <w:tcBorders>
              <w:top w:val="single" w:color="auto" w:sz="4" w:space="0"/>
              <w:bottom w:val="single" w:color="auto" w:sz="4" w:space="0"/>
            </w:tcBorders>
            <w:vAlign w:val="center"/>
          </w:tcPr>
          <w:p>
            <w:pPr>
              <w:pStyle w:val="1132"/>
            </w:pPr>
          </w:p>
        </w:tc>
        <w:tc>
          <w:tcPr>
            <w:tcW w:w="553" w:type="pct"/>
            <w:tcBorders>
              <w:top w:val="single" w:color="auto" w:sz="4" w:space="0"/>
              <w:bottom w:val="single" w:color="auto" w:sz="4" w:space="0"/>
            </w:tcBorders>
            <w:vAlign w:val="center"/>
          </w:tcPr>
          <w:p>
            <w:pPr>
              <w:pStyle w:val="1132"/>
            </w:pPr>
          </w:p>
        </w:tc>
        <w:tc>
          <w:tcPr>
            <w:tcW w:w="507" w:type="pct"/>
            <w:tcBorders>
              <w:top w:val="single" w:color="auto" w:sz="4" w:space="0"/>
              <w:bottom w:val="single" w:color="auto" w:sz="4" w:space="0"/>
            </w:tcBorders>
            <w:vAlign w:val="center"/>
          </w:tcPr>
          <w:p>
            <w:pPr>
              <w:pStyle w:val="1132"/>
            </w:pPr>
          </w:p>
        </w:tc>
        <w:tc>
          <w:tcPr>
            <w:tcW w:w="442" w:type="pct"/>
            <w:tcBorders>
              <w:top w:val="single" w:color="auto" w:sz="4" w:space="0"/>
              <w:bottom w:val="single" w:color="auto" w:sz="4" w:space="0"/>
              <w:right w:val="single" w:color="auto" w:sz="4" w:space="0"/>
            </w:tcBorders>
            <w:vAlign w:val="center"/>
          </w:tcPr>
          <w:p>
            <w:pPr>
              <w:pStyle w:val="1132"/>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63" w:type="pct"/>
            <w:tcBorders>
              <w:left w:val="single" w:color="auto" w:sz="4" w:space="0"/>
            </w:tcBorders>
            <w:vAlign w:val="center"/>
          </w:tcPr>
          <w:p>
            <w:pPr>
              <w:pStyle w:val="1132"/>
            </w:pPr>
            <w:r>
              <w:t>环境空气</w:t>
            </w:r>
          </w:p>
        </w:tc>
        <w:tc>
          <w:tcPr>
            <w:tcW w:w="323" w:type="pct"/>
            <w:tcBorders>
              <w:top w:val="single" w:color="auto" w:sz="4" w:space="0"/>
              <w:bottom w:val="single" w:color="auto" w:sz="4" w:space="0"/>
            </w:tcBorders>
            <w:vAlign w:val="center"/>
          </w:tcPr>
          <w:p>
            <w:pPr>
              <w:pStyle w:val="1132"/>
            </w:pPr>
          </w:p>
        </w:tc>
        <w:tc>
          <w:tcPr>
            <w:tcW w:w="554" w:type="pct"/>
            <w:tcBorders>
              <w:top w:val="single" w:color="auto" w:sz="4" w:space="0"/>
              <w:bottom w:val="single" w:color="auto" w:sz="4" w:space="0"/>
            </w:tcBorders>
            <w:vAlign w:val="center"/>
          </w:tcPr>
          <w:p>
            <w:pPr>
              <w:pStyle w:val="1132"/>
            </w:pPr>
          </w:p>
        </w:tc>
        <w:tc>
          <w:tcPr>
            <w:tcW w:w="437" w:type="pct"/>
            <w:tcBorders>
              <w:top w:val="single" w:color="auto" w:sz="4" w:space="0"/>
              <w:bottom w:val="single" w:color="auto" w:sz="4" w:space="0"/>
            </w:tcBorders>
            <w:vAlign w:val="center"/>
          </w:tcPr>
          <w:p>
            <w:pPr>
              <w:pStyle w:val="1132"/>
            </w:pPr>
            <w:r>
              <w:t>-2S</w:t>
            </w:r>
          </w:p>
        </w:tc>
        <w:tc>
          <w:tcPr>
            <w:tcW w:w="323" w:type="pct"/>
            <w:tcBorders>
              <w:top w:val="single" w:color="auto" w:sz="4" w:space="0"/>
              <w:bottom w:val="single" w:color="auto" w:sz="4" w:space="0"/>
            </w:tcBorders>
            <w:vAlign w:val="center"/>
          </w:tcPr>
          <w:p>
            <w:pPr>
              <w:pStyle w:val="1132"/>
            </w:pPr>
            <w:r>
              <w:t>-2S</w:t>
            </w:r>
          </w:p>
        </w:tc>
        <w:tc>
          <w:tcPr>
            <w:tcW w:w="322" w:type="pct"/>
            <w:tcBorders>
              <w:top w:val="single" w:color="auto" w:sz="4" w:space="0"/>
              <w:bottom w:val="single" w:color="auto" w:sz="4" w:space="0"/>
            </w:tcBorders>
            <w:vAlign w:val="center"/>
          </w:tcPr>
          <w:p>
            <w:pPr>
              <w:pStyle w:val="1132"/>
            </w:pPr>
          </w:p>
        </w:tc>
        <w:tc>
          <w:tcPr>
            <w:tcW w:w="322" w:type="pct"/>
            <w:tcBorders>
              <w:top w:val="single" w:color="auto" w:sz="4" w:space="0"/>
              <w:bottom w:val="single" w:color="auto" w:sz="4" w:space="0"/>
            </w:tcBorders>
            <w:vAlign w:val="center"/>
          </w:tcPr>
          <w:p>
            <w:pPr>
              <w:pStyle w:val="1132"/>
            </w:pPr>
          </w:p>
        </w:tc>
        <w:tc>
          <w:tcPr>
            <w:tcW w:w="553" w:type="pct"/>
            <w:tcBorders>
              <w:top w:val="single" w:color="auto" w:sz="4" w:space="0"/>
              <w:bottom w:val="single" w:color="auto" w:sz="4" w:space="0"/>
            </w:tcBorders>
            <w:vAlign w:val="center"/>
          </w:tcPr>
          <w:p>
            <w:pPr>
              <w:pStyle w:val="1132"/>
            </w:pPr>
            <w:r>
              <w:t>-1S</w:t>
            </w:r>
          </w:p>
        </w:tc>
        <w:tc>
          <w:tcPr>
            <w:tcW w:w="553" w:type="pct"/>
            <w:tcBorders>
              <w:top w:val="single" w:color="auto" w:sz="4" w:space="0"/>
              <w:bottom w:val="single" w:color="auto" w:sz="4" w:space="0"/>
            </w:tcBorders>
            <w:vAlign w:val="center"/>
          </w:tcPr>
          <w:p>
            <w:pPr>
              <w:pStyle w:val="1132"/>
            </w:pPr>
            <w:r>
              <w:t>-1S</w:t>
            </w:r>
          </w:p>
        </w:tc>
        <w:tc>
          <w:tcPr>
            <w:tcW w:w="507" w:type="pct"/>
            <w:tcBorders>
              <w:top w:val="single" w:color="auto" w:sz="4" w:space="0"/>
              <w:bottom w:val="single" w:color="auto" w:sz="4" w:space="0"/>
            </w:tcBorders>
            <w:vAlign w:val="center"/>
          </w:tcPr>
          <w:p>
            <w:pPr>
              <w:pStyle w:val="1132"/>
            </w:pPr>
            <w:r>
              <w:t>-2L</w:t>
            </w:r>
          </w:p>
        </w:tc>
        <w:tc>
          <w:tcPr>
            <w:tcW w:w="442" w:type="pct"/>
            <w:tcBorders>
              <w:top w:val="single" w:color="auto" w:sz="4" w:space="0"/>
              <w:bottom w:val="single" w:color="auto" w:sz="4" w:space="0"/>
              <w:right w:val="single" w:color="auto" w:sz="4" w:space="0"/>
            </w:tcBorders>
            <w:vAlign w:val="center"/>
          </w:tcPr>
          <w:p>
            <w:pPr>
              <w:pStyle w:val="1132"/>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63" w:type="pct"/>
            <w:tcBorders>
              <w:left w:val="single" w:color="auto" w:sz="4" w:space="0"/>
            </w:tcBorders>
            <w:vAlign w:val="center"/>
          </w:tcPr>
          <w:p>
            <w:pPr>
              <w:pStyle w:val="1132"/>
            </w:pPr>
            <w:r>
              <w:t>声环境</w:t>
            </w:r>
          </w:p>
        </w:tc>
        <w:tc>
          <w:tcPr>
            <w:tcW w:w="323" w:type="pct"/>
            <w:tcBorders>
              <w:top w:val="single" w:color="auto" w:sz="4" w:space="0"/>
              <w:bottom w:val="single" w:color="auto" w:sz="4" w:space="0"/>
            </w:tcBorders>
            <w:vAlign w:val="center"/>
          </w:tcPr>
          <w:p>
            <w:pPr>
              <w:pStyle w:val="1132"/>
            </w:pPr>
          </w:p>
        </w:tc>
        <w:tc>
          <w:tcPr>
            <w:tcW w:w="554" w:type="pct"/>
            <w:tcBorders>
              <w:top w:val="single" w:color="auto" w:sz="4" w:space="0"/>
              <w:bottom w:val="single" w:color="auto" w:sz="4" w:space="0"/>
            </w:tcBorders>
            <w:vAlign w:val="center"/>
          </w:tcPr>
          <w:p>
            <w:pPr>
              <w:pStyle w:val="1132"/>
            </w:pPr>
          </w:p>
        </w:tc>
        <w:tc>
          <w:tcPr>
            <w:tcW w:w="437" w:type="pct"/>
            <w:tcBorders>
              <w:top w:val="single" w:color="auto" w:sz="4" w:space="0"/>
              <w:bottom w:val="single" w:color="auto" w:sz="4" w:space="0"/>
            </w:tcBorders>
            <w:vAlign w:val="center"/>
          </w:tcPr>
          <w:p>
            <w:pPr>
              <w:pStyle w:val="1132"/>
            </w:pPr>
          </w:p>
        </w:tc>
        <w:tc>
          <w:tcPr>
            <w:tcW w:w="323" w:type="pct"/>
            <w:tcBorders>
              <w:top w:val="single" w:color="auto" w:sz="4" w:space="0"/>
              <w:bottom w:val="single" w:color="auto" w:sz="4" w:space="0"/>
            </w:tcBorders>
            <w:vAlign w:val="center"/>
          </w:tcPr>
          <w:p>
            <w:pPr>
              <w:pStyle w:val="1132"/>
            </w:pPr>
          </w:p>
        </w:tc>
        <w:tc>
          <w:tcPr>
            <w:tcW w:w="322" w:type="pct"/>
            <w:tcBorders>
              <w:top w:val="single" w:color="auto" w:sz="4" w:space="0"/>
              <w:bottom w:val="single" w:color="auto" w:sz="4" w:space="0"/>
            </w:tcBorders>
            <w:vAlign w:val="center"/>
          </w:tcPr>
          <w:p>
            <w:pPr>
              <w:pStyle w:val="1132"/>
            </w:pPr>
          </w:p>
        </w:tc>
        <w:tc>
          <w:tcPr>
            <w:tcW w:w="322" w:type="pct"/>
            <w:tcBorders>
              <w:top w:val="single" w:color="auto" w:sz="4" w:space="0"/>
              <w:bottom w:val="single" w:color="auto" w:sz="4" w:space="0"/>
            </w:tcBorders>
            <w:vAlign w:val="center"/>
          </w:tcPr>
          <w:p>
            <w:pPr>
              <w:pStyle w:val="1132"/>
            </w:pPr>
          </w:p>
        </w:tc>
        <w:tc>
          <w:tcPr>
            <w:tcW w:w="553" w:type="pct"/>
            <w:tcBorders>
              <w:top w:val="single" w:color="auto" w:sz="4" w:space="0"/>
              <w:bottom w:val="single" w:color="auto" w:sz="4" w:space="0"/>
            </w:tcBorders>
            <w:vAlign w:val="center"/>
          </w:tcPr>
          <w:p>
            <w:pPr>
              <w:pStyle w:val="1132"/>
            </w:pPr>
            <w:r>
              <w:t>-1S</w:t>
            </w:r>
          </w:p>
        </w:tc>
        <w:tc>
          <w:tcPr>
            <w:tcW w:w="553" w:type="pct"/>
            <w:tcBorders>
              <w:top w:val="single" w:color="auto" w:sz="4" w:space="0"/>
              <w:bottom w:val="single" w:color="auto" w:sz="4" w:space="0"/>
            </w:tcBorders>
            <w:vAlign w:val="center"/>
          </w:tcPr>
          <w:p>
            <w:pPr>
              <w:pStyle w:val="1132"/>
            </w:pPr>
            <w:r>
              <w:t>-1S</w:t>
            </w:r>
          </w:p>
        </w:tc>
        <w:tc>
          <w:tcPr>
            <w:tcW w:w="507" w:type="pct"/>
            <w:tcBorders>
              <w:top w:val="single" w:color="auto" w:sz="4" w:space="0"/>
              <w:bottom w:val="single" w:color="auto" w:sz="4" w:space="0"/>
            </w:tcBorders>
            <w:vAlign w:val="center"/>
          </w:tcPr>
          <w:p>
            <w:pPr>
              <w:pStyle w:val="1132"/>
            </w:pPr>
            <w:r>
              <w:t>-1L</w:t>
            </w:r>
          </w:p>
        </w:tc>
        <w:tc>
          <w:tcPr>
            <w:tcW w:w="442" w:type="pct"/>
            <w:tcBorders>
              <w:top w:val="single" w:color="auto" w:sz="4" w:space="0"/>
              <w:bottom w:val="single" w:color="auto" w:sz="4" w:space="0"/>
              <w:right w:val="single" w:color="auto" w:sz="4" w:space="0"/>
            </w:tcBorders>
            <w:vAlign w:val="center"/>
          </w:tcPr>
          <w:p>
            <w:pPr>
              <w:pStyle w:val="1132"/>
            </w:pPr>
            <w:r>
              <w:t>+1L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63" w:type="pct"/>
            <w:tcBorders>
              <w:left w:val="single" w:color="auto" w:sz="4" w:space="0"/>
            </w:tcBorders>
            <w:vAlign w:val="center"/>
          </w:tcPr>
          <w:p>
            <w:pPr>
              <w:pStyle w:val="1132"/>
            </w:pPr>
            <w:r>
              <w:t>地表水</w:t>
            </w:r>
          </w:p>
        </w:tc>
        <w:tc>
          <w:tcPr>
            <w:tcW w:w="323" w:type="pct"/>
            <w:tcBorders>
              <w:top w:val="single" w:color="auto" w:sz="4" w:space="0"/>
              <w:bottom w:val="single" w:color="auto" w:sz="4" w:space="0"/>
            </w:tcBorders>
            <w:vAlign w:val="center"/>
          </w:tcPr>
          <w:p>
            <w:pPr>
              <w:pStyle w:val="1132"/>
            </w:pPr>
          </w:p>
        </w:tc>
        <w:tc>
          <w:tcPr>
            <w:tcW w:w="554" w:type="pct"/>
            <w:tcBorders>
              <w:top w:val="single" w:color="auto" w:sz="4" w:space="0"/>
              <w:bottom w:val="single" w:color="auto" w:sz="4" w:space="0"/>
            </w:tcBorders>
            <w:vAlign w:val="center"/>
          </w:tcPr>
          <w:p>
            <w:pPr>
              <w:pStyle w:val="1132"/>
            </w:pPr>
          </w:p>
        </w:tc>
        <w:tc>
          <w:tcPr>
            <w:tcW w:w="437" w:type="pct"/>
            <w:tcBorders>
              <w:top w:val="single" w:color="auto" w:sz="4" w:space="0"/>
              <w:bottom w:val="single" w:color="auto" w:sz="4" w:space="0"/>
            </w:tcBorders>
            <w:vAlign w:val="center"/>
          </w:tcPr>
          <w:p>
            <w:pPr>
              <w:pStyle w:val="1132"/>
            </w:pPr>
          </w:p>
        </w:tc>
        <w:tc>
          <w:tcPr>
            <w:tcW w:w="323" w:type="pct"/>
            <w:tcBorders>
              <w:top w:val="single" w:color="auto" w:sz="4" w:space="0"/>
              <w:bottom w:val="single" w:color="auto" w:sz="4" w:space="0"/>
            </w:tcBorders>
            <w:vAlign w:val="center"/>
          </w:tcPr>
          <w:p>
            <w:pPr>
              <w:pStyle w:val="1132"/>
            </w:pPr>
          </w:p>
        </w:tc>
        <w:tc>
          <w:tcPr>
            <w:tcW w:w="322" w:type="pct"/>
            <w:tcBorders>
              <w:top w:val="single" w:color="auto" w:sz="4" w:space="0"/>
              <w:bottom w:val="single" w:color="auto" w:sz="4" w:space="0"/>
            </w:tcBorders>
            <w:vAlign w:val="center"/>
          </w:tcPr>
          <w:p>
            <w:pPr>
              <w:pStyle w:val="1132"/>
            </w:pPr>
            <w:r>
              <w:t>-2S</w:t>
            </w:r>
          </w:p>
        </w:tc>
        <w:tc>
          <w:tcPr>
            <w:tcW w:w="322" w:type="pct"/>
            <w:tcBorders>
              <w:top w:val="single" w:color="auto" w:sz="4" w:space="0"/>
              <w:bottom w:val="single" w:color="auto" w:sz="4" w:space="0"/>
            </w:tcBorders>
            <w:vAlign w:val="center"/>
          </w:tcPr>
          <w:p>
            <w:pPr>
              <w:pStyle w:val="1132"/>
            </w:pPr>
            <w:r>
              <w:t>-2S</w:t>
            </w:r>
          </w:p>
        </w:tc>
        <w:tc>
          <w:tcPr>
            <w:tcW w:w="553" w:type="pct"/>
            <w:tcBorders>
              <w:top w:val="single" w:color="auto" w:sz="4" w:space="0"/>
              <w:bottom w:val="single" w:color="auto" w:sz="4" w:space="0"/>
            </w:tcBorders>
            <w:vAlign w:val="center"/>
          </w:tcPr>
          <w:p>
            <w:pPr>
              <w:pStyle w:val="1132"/>
            </w:pPr>
            <w:r>
              <w:t>-2S</w:t>
            </w:r>
          </w:p>
        </w:tc>
        <w:tc>
          <w:tcPr>
            <w:tcW w:w="553" w:type="pct"/>
            <w:tcBorders>
              <w:top w:val="single" w:color="auto" w:sz="4" w:space="0"/>
              <w:bottom w:val="single" w:color="auto" w:sz="4" w:space="0"/>
            </w:tcBorders>
            <w:vAlign w:val="center"/>
          </w:tcPr>
          <w:p>
            <w:pPr>
              <w:pStyle w:val="1132"/>
            </w:pPr>
          </w:p>
        </w:tc>
        <w:tc>
          <w:tcPr>
            <w:tcW w:w="507" w:type="pct"/>
            <w:tcBorders>
              <w:top w:val="single" w:color="auto" w:sz="4" w:space="0"/>
              <w:bottom w:val="single" w:color="auto" w:sz="4" w:space="0"/>
            </w:tcBorders>
            <w:vAlign w:val="center"/>
          </w:tcPr>
          <w:p>
            <w:pPr>
              <w:pStyle w:val="1132"/>
            </w:pPr>
          </w:p>
        </w:tc>
        <w:tc>
          <w:tcPr>
            <w:tcW w:w="442" w:type="pct"/>
            <w:tcBorders>
              <w:top w:val="single" w:color="auto" w:sz="4" w:space="0"/>
              <w:bottom w:val="single" w:color="auto" w:sz="4" w:space="0"/>
              <w:right w:val="single" w:color="auto" w:sz="4" w:space="0"/>
            </w:tcBorders>
            <w:vAlign w:val="center"/>
          </w:tcPr>
          <w:p>
            <w:pPr>
              <w:pStyle w:val="1132"/>
            </w:pPr>
            <w:r>
              <w:t>+2L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63" w:type="pct"/>
            <w:tcBorders>
              <w:left w:val="single" w:color="auto" w:sz="4" w:space="0"/>
            </w:tcBorders>
            <w:vAlign w:val="center"/>
          </w:tcPr>
          <w:p>
            <w:pPr>
              <w:pStyle w:val="1132"/>
            </w:pPr>
            <w:r>
              <w:t>地下水</w:t>
            </w:r>
          </w:p>
        </w:tc>
        <w:tc>
          <w:tcPr>
            <w:tcW w:w="323" w:type="pct"/>
            <w:tcBorders>
              <w:top w:val="single" w:color="auto" w:sz="4" w:space="0"/>
              <w:bottom w:val="single" w:color="auto" w:sz="4" w:space="0"/>
            </w:tcBorders>
            <w:vAlign w:val="center"/>
          </w:tcPr>
          <w:p>
            <w:pPr>
              <w:pStyle w:val="1132"/>
            </w:pPr>
          </w:p>
        </w:tc>
        <w:tc>
          <w:tcPr>
            <w:tcW w:w="554" w:type="pct"/>
            <w:tcBorders>
              <w:top w:val="single" w:color="auto" w:sz="4" w:space="0"/>
              <w:bottom w:val="single" w:color="auto" w:sz="4" w:space="0"/>
            </w:tcBorders>
            <w:vAlign w:val="center"/>
          </w:tcPr>
          <w:p>
            <w:pPr>
              <w:pStyle w:val="1132"/>
            </w:pPr>
          </w:p>
        </w:tc>
        <w:tc>
          <w:tcPr>
            <w:tcW w:w="437" w:type="pct"/>
            <w:tcBorders>
              <w:top w:val="single" w:color="auto" w:sz="4" w:space="0"/>
              <w:bottom w:val="single" w:color="auto" w:sz="4" w:space="0"/>
            </w:tcBorders>
            <w:vAlign w:val="center"/>
          </w:tcPr>
          <w:p>
            <w:pPr>
              <w:pStyle w:val="1132"/>
            </w:pPr>
          </w:p>
        </w:tc>
        <w:tc>
          <w:tcPr>
            <w:tcW w:w="323" w:type="pct"/>
            <w:tcBorders>
              <w:top w:val="single" w:color="auto" w:sz="4" w:space="0"/>
              <w:bottom w:val="single" w:color="auto" w:sz="4" w:space="0"/>
            </w:tcBorders>
            <w:vAlign w:val="center"/>
          </w:tcPr>
          <w:p>
            <w:pPr>
              <w:pStyle w:val="1132"/>
            </w:pPr>
            <w:r>
              <w:t>-2S</w:t>
            </w:r>
          </w:p>
        </w:tc>
        <w:tc>
          <w:tcPr>
            <w:tcW w:w="322" w:type="pct"/>
            <w:tcBorders>
              <w:top w:val="single" w:color="auto" w:sz="4" w:space="0"/>
              <w:bottom w:val="single" w:color="auto" w:sz="4" w:space="0"/>
            </w:tcBorders>
            <w:vAlign w:val="center"/>
          </w:tcPr>
          <w:p>
            <w:pPr>
              <w:pStyle w:val="1132"/>
            </w:pPr>
          </w:p>
        </w:tc>
        <w:tc>
          <w:tcPr>
            <w:tcW w:w="322" w:type="pct"/>
            <w:tcBorders>
              <w:top w:val="single" w:color="auto" w:sz="4" w:space="0"/>
              <w:bottom w:val="single" w:color="auto" w:sz="4" w:space="0"/>
            </w:tcBorders>
            <w:vAlign w:val="center"/>
          </w:tcPr>
          <w:p>
            <w:pPr>
              <w:pStyle w:val="1132"/>
            </w:pPr>
            <w:r>
              <w:t>-2S</w:t>
            </w:r>
          </w:p>
        </w:tc>
        <w:tc>
          <w:tcPr>
            <w:tcW w:w="553" w:type="pct"/>
            <w:tcBorders>
              <w:top w:val="single" w:color="auto" w:sz="4" w:space="0"/>
              <w:bottom w:val="single" w:color="auto" w:sz="4" w:space="0"/>
            </w:tcBorders>
            <w:vAlign w:val="center"/>
          </w:tcPr>
          <w:p>
            <w:pPr>
              <w:pStyle w:val="1132"/>
            </w:pPr>
            <w:r>
              <w:t>-1S</w:t>
            </w:r>
          </w:p>
        </w:tc>
        <w:tc>
          <w:tcPr>
            <w:tcW w:w="553" w:type="pct"/>
            <w:tcBorders>
              <w:top w:val="single" w:color="auto" w:sz="4" w:space="0"/>
              <w:bottom w:val="single" w:color="auto" w:sz="4" w:space="0"/>
            </w:tcBorders>
            <w:vAlign w:val="center"/>
          </w:tcPr>
          <w:p>
            <w:pPr>
              <w:pStyle w:val="1132"/>
            </w:pPr>
          </w:p>
        </w:tc>
        <w:tc>
          <w:tcPr>
            <w:tcW w:w="507" w:type="pct"/>
            <w:tcBorders>
              <w:top w:val="single" w:color="auto" w:sz="4" w:space="0"/>
              <w:bottom w:val="single" w:color="auto" w:sz="4" w:space="0"/>
            </w:tcBorders>
            <w:vAlign w:val="center"/>
          </w:tcPr>
          <w:p>
            <w:pPr>
              <w:pStyle w:val="1132"/>
            </w:pPr>
          </w:p>
        </w:tc>
        <w:tc>
          <w:tcPr>
            <w:tcW w:w="442" w:type="pct"/>
            <w:tcBorders>
              <w:top w:val="single" w:color="auto" w:sz="4" w:space="0"/>
              <w:bottom w:val="single" w:color="auto" w:sz="4" w:space="0"/>
              <w:right w:val="single" w:color="auto" w:sz="4" w:space="0"/>
            </w:tcBorders>
            <w:vAlign w:val="center"/>
          </w:tcPr>
          <w:p>
            <w:pPr>
              <w:pStyle w:val="1132"/>
            </w:pPr>
            <w:r>
              <w:t>+2L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63" w:type="pct"/>
            <w:tcBorders>
              <w:left w:val="single" w:color="auto" w:sz="4" w:space="0"/>
              <w:bottom w:val="single" w:color="auto" w:sz="4" w:space="0"/>
            </w:tcBorders>
            <w:vAlign w:val="center"/>
          </w:tcPr>
          <w:p>
            <w:pPr>
              <w:pStyle w:val="1132"/>
            </w:pPr>
            <w:r>
              <w:t>土地利用</w:t>
            </w:r>
          </w:p>
        </w:tc>
        <w:tc>
          <w:tcPr>
            <w:tcW w:w="323" w:type="pct"/>
            <w:tcBorders>
              <w:top w:val="single" w:color="auto" w:sz="4" w:space="0"/>
              <w:bottom w:val="single" w:color="auto" w:sz="4" w:space="0"/>
            </w:tcBorders>
            <w:vAlign w:val="center"/>
          </w:tcPr>
          <w:p>
            <w:pPr>
              <w:pStyle w:val="1132"/>
            </w:pPr>
            <w:r>
              <w:t>-1L</w:t>
            </w:r>
          </w:p>
        </w:tc>
        <w:tc>
          <w:tcPr>
            <w:tcW w:w="554" w:type="pct"/>
            <w:tcBorders>
              <w:top w:val="single" w:color="auto" w:sz="4" w:space="0"/>
              <w:bottom w:val="single" w:color="auto" w:sz="4" w:space="0"/>
            </w:tcBorders>
            <w:vAlign w:val="center"/>
          </w:tcPr>
          <w:p>
            <w:pPr>
              <w:pStyle w:val="1132"/>
            </w:pPr>
            <w:r>
              <w:t>-2L</w:t>
            </w:r>
          </w:p>
        </w:tc>
        <w:tc>
          <w:tcPr>
            <w:tcW w:w="437" w:type="pct"/>
            <w:tcBorders>
              <w:top w:val="single" w:color="auto" w:sz="4" w:space="0"/>
              <w:bottom w:val="single" w:color="auto" w:sz="4" w:space="0"/>
            </w:tcBorders>
            <w:vAlign w:val="center"/>
          </w:tcPr>
          <w:p>
            <w:pPr>
              <w:pStyle w:val="1132"/>
            </w:pPr>
            <w:r>
              <w:t>-1S</w:t>
            </w:r>
          </w:p>
        </w:tc>
        <w:tc>
          <w:tcPr>
            <w:tcW w:w="323" w:type="pct"/>
            <w:tcBorders>
              <w:top w:val="single" w:color="auto" w:sz="4" w:space="0"/>
              <w:bottom w:val="single" w:color="auto" w:sz="4" w:space="0"/>
            </w:tcBorders>
            <w:vAlign w:val="center"/>
          </w:tcPr>
          <w:p>
            <w:pPr>
              <w:pStyle w:val="1132"/>
            </w:pPr>
          </w:p>
        </w:tc>
        <w:tc>
          <w:tcPr>
            <w:tcW w:w="322" w:type="pct"/>
            <w:tcBorders>
              <w:top w:val="single" w:color="auto" w:sz="4" w:space="0"/>
              <w:bottom w:val="single" w:color="auto" w:sz="4" w:space="0"/>
            </w:tcBorders>
            <w:vAlign w:val="center"/>
          </w:tcPr>
          <w:p>
            <w:pPr>
              <w:pStyle w:val="1132"/>
            </w:pPr>
          </w:p>
        </w:tc>
        <w:tc>
          <w:tcPr>
            <w:tcW w:w="322" w:type="pct"/>
            <w:tcBorders>
              <w:top w:val="single" w:color="auto" w:sz="4" w:space="0"/>
              <w:bottom w:val="single" w:color="auto" w:sz="4" w:space="0"/>
            </w:tcBorders>
            <w:vAlign w:val="center"/>
          </w:tcPr>
          <w:p>
            <w:pPr>
              <w:pStyle w:val="1132"/>
            </w:pPr>
          </w:p>
        </w:tc>
        <w:tc>
          <w:tcPr>
            <w:tcW w:w="553" w:type="pct"/>
            <w:tcBorders>
              <w:top w:val="single" w:color="auto" w:sz="4" w:space="0"/>
              <w:bottom w:val="single" w:color="auto" w:sz="4" w:space="0"/>
            </w:tcBorders>
            <w:vAlign w:val="center"/>
          </w:tcPr>
          <w:p>
            <w:pPr>
              <w:pStyle w:val="1132"/>
            </w:pPr>
          </w:p>
        </w:tc>
        <w:tc>
          <w:tcPr>
            <w:tcW w:w="553" w:type="pct"/>
            <w:tcBorders>
              <w:top w:val="single" w:color="auto" w:sz="4" w:space="0"/>
              <w:bottom w:val="single" w:color="auto" w:sz="4" w:space="0"/>
            </w:tcBorders>
            <w:vAlign w:val="center"/>
          </w:tcPr>
          <w:p>
            <w:pPr>
              <w:pStyle w:val="1132"/>
            </w:pPr>
          </w:p>
        </w:tc>
        <w:tc>
          <w:tcPr>
            <w:tcW w:w="507" w:type="pct"/>
            <w:tcBorders>
              <w:top w:val="single" w:color="auto" w:sz="4" w:space="0"/>
              <w:bottom w:val="single" w:color="auto" w:sz="4" w:space="0"/>
            </w:tcBorders>
            <w:vAlign w:val="center"/>
          </w:tcPr>
          <w:p>
            <w:pPr>
              <w:pStyle w:val="1132"/>
            </w:pPr>
          </w:p>
        </w:tc>
        <w:tc>
          <w:tcPr>
            <w:tcW w:w="442" w:type="pct"/>
            <w:tcBorders>
              <w:top w:val="single" w:color="auto" w:sz="4" w:space="0"/>
              <w:bottom w:val="single" w:color="auto" w:sz="4" w:space="0"/>
              <w:right w:val="single" w:color="auto" w:sz="4" w:space="0"/>
            </w:tcBorders>
            <w:vAlign w:val="center"/>
          </w:tcPr>
          <w:p>
            <w:pPr>
              <w:pStyle w:val="1132"/>
            </w:pPr>
          </w:p>
        </w:tc>
      </w:tr>
    </w:tbl>
    <w:p>
      <w:pPr>
        <w:pStyle w:val="46"/>
        <w:spacing w:line="240" w:lineRule="auto"/>
        <w:ind w:firstLine="180"/>
        <w:rPr>
          <w:sz w:val="18"/>
          <w:szCs w:val="18"/>
        </w:rPr>
      </w:pPr>
      <w:r>
        <w:rPr>
          <w:sz w:val="18"/>
          <w:szCs w:val="18"/>
        </w:rPr>
        <w:t>注：“+”——有利影响，“－”——不利影响，“L”——长期影响，“S”——短期影响，“1”——明显影响，“2”——轻微影响，空白为无影响。</w:t>
      </w:r>
    </w:p>
    <w:p>
      <w:pPr>
        <w:pStyle w:val="8"/>
        <w:rPr>
          <w:b/>
          <w:bCs/>
        </w:rPr>
      </w:pPr>
      <w:bookmarkStart w:id="76" w:name="_Toc5357"/>
      <w:r>
        <w:rPr>
          <w:b/>
          <w:bCs/>
        </w:rPr>
        <w:t>评价内容及评价因子</w:t>
      </w:r>
      <w:bookmarkEnd w:id="76"/>
    </w:p>
    <w:p>
      <w:pPr>
        <w:pStyle w:val="112"/>
        <w:ind w:firstLine="480"/>
      </w:pPr>
      <w:r>
        <w:t>根据对项目的工程分析、项目所在地区各环境要素的特征以及存在的环境问题，确定的评价内容及评价因子见</w:t>
      </w:r>
      <w:r>
        <w:rPr>
          <w:rFonts w:hint="eastAsia"/>
        </w:rPr>
        <w:t>下</w:t>
      </w:r>
      <w:r>
        <w:t>表。</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2.3</w:t>
      </w:r>
      <w:r>
        <w:fldChar w:fldCharType="end"/>
      </w:r>
      <w:r>
        <w:rPr>
          <w:rFonts w:hint="eastAsia"/>
          <w:lang w:val="en-US" w:eastAsia="zh-CN"/>
        </w:rPr>
        <w:t>-</w:t>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评价内容及评价因子</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0"/>
        <w:gridCol w:w="5560"/>
        <w:gridCol w:w="2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6" w:type="pct"/>
            <w:vAlign w:val="center"/>
          </w:tcPr>
          <w:p>
            <w:pPr>
              <w:pStyle w:val="1132"/>
              <w:rPr>
                <w:b/>
                <w:bCs w:val="0"/>
                <w:snapToGrid w:val="0"/>
              </w:rPr>
            </w:pPr>
            <w:r>
              <w:rPr>
                <w:b/>
                <w:bCs w:val="0"/>
                <w:snapToGrid w:val="0"/>
              </w:rPr>
              <w:t>环境要素</w:t>
            </w:r>
          </w:p>
        </w:tc>
        <w:tc>
          <w:tcPr>
            <w:tcW w:w="2994" w:type="pct"/>
            <w:vAlign w:val="center"/>
          </w:tcPr>
          <w:p>
            <w:pPr>
              <w:pStyle w:val="1132"/>
              <w:rPr>
                <w:b/>
                <w:bCs w:val="0"/>
                <w:snapToGrid w:val="0"/>
              </w:rPr>
            </w:pPr>
            <w:r>
              <w:rPr>
                <w:b/>
                <w:bCs w:val="0"/>
                <w:snapToGrid w:val="0"/>
              </w:rPr>
              <w:t>评价内容</w:t>
            </w:r>
          </w:p>
        </w:tc>
        <w:tc>
          <w:tcPr>
            <w:tcW w:w="1360" w:type="pct"/>
            <w:vAlign w:val="center"/>
          </w:tcPr>
          <w:p>
            <w:pPr>
              <w:pStyle w:val="1132"/>
              <w:rPr>
                <w:b/>
                <w:bCs w:val="0"/>
                <w:snapToGrid w:val="0"/>
              </w:rPr>
            </w:pPr>
            <w:r>
              <w:rPr>
                <w:b/>
                <w:bCs w:val="0"/>
                <w:snapToGrid w:val="0"/>
              </w:rPr>
              <w:t>评价因子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46" w:type="pct"/>
            <w:vMerge w:val="restart"/>
            <w:vAlign w:val="center"/>
          </w:tcPr>
          <w:p>
            <w:pPr>
              <w:pStyle w:val="1132"/>
              <w:rPr>
                <w:snapToGrid w:val="0"/>
              </w:rPr>
            </w:pPr>
            <w:r>
              <w:rPr>
                <w:snapToGrid w:val="0"/>
              </w:rPr>
              <w:t>大气环境</w:t>
            </w:r>
          </w:p>
        </w:tc>
        <w:tc>
          <w:tcPr>
            <w:tcW w:w="2994" w:type="pct"/>
            <w:vAlign w:val="center"/>
          </w:tcPr>
          <w:p>
            <w:pPr>
              <w:pStyle w:val="1132"/>
              <w:jc w:val="both"/>
              <w:rPr>
                <w:snapToGrid w:val="0"/>
              </w:rPr>
            </w:pPr>
            <w:r>
              <w:rPr>
                <w:rFonts w:hint="eastAsia"/>
                <w:snapToGrid w:val="0"/>
                <w:lang w:val="en-US" w:eastAsia="zh-CN"/>
              </w:rPr>
              <w:t>1、</w:t>
            </w:r>
            <w:r>
              <w:rPr>
                <w:snapToGrid w:val="0"/>
              </w:rPr>
              <w:t>施工期道路运输、物料堆放的扬尘以及路面施工沥青烟排放的影响</w:t>
            </w:r>
          </w:p>
        </w:tc>
        <w:tc>
          <w:tcPr>
            <w:tcW w:w="1360" w:type="pct"/>
            <w:vAlign w:val="center"/>
          </w:tcPr>
          <w:p>
            <w:pPr>
              <w:pStyle w:val="1132"/>
              <w:rPr>
                <w:snapToGrid w:val="0"/>
              </w:rPr>
            </w:pPr>
            <w:r>
              <w:rPr>
                <w:snapToGrid w:val="0"/>
              </w:rPr>
              <w:t>沥青烟、TSP、PM</w:t>
            </w:r>
            <w:r>
              <w:rPr>
                <w:snapToGrid w:val="0"/>
                <w:vertAlign w:val="subscript"/>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6" w:type="pct"/>
            <w:vMerge w:val="continue"/>
            <w:vAlign w:val="center"/>
          </w:tcPr>
          <w:p>
            <w:pPr>
              <w:pStyle w:val="1132"/>
              <w:rPr>
                <w:snapToGrid w:val="0"/>
              </w:rPr>
            </w:pPr>
          </w:p>
        </w:tc>
        <w:tc>
          <w:tcPr>
            <w:tcW w:w="2994" w:type="pct"/>
            <w:vAlign w:val="center"/>
          </w:tcPr>
          <w:p>
            <w:pPr>
              <w:pStyle w:val="1132"/>
              <w:jc w:val="both"/>
              <w:rPr>
                <w:snapToGrid w:val="0"/>
              </w:rPr>
            </w:pPr>
            <w:r>
              <w:rPr>
                <w:rFonts w:hint="eastAsia"/>
                <w:snapToGrid w:val="0"/>
                <w:lang w:val="en-US" w:eastAsia="zh-CN"/>
              </w:rPr>
              <w:t>2、</w:t>
            </w:r>
            <w:r>
              <w:rPr>
                <w:snapToGrid w:val="0"/>
              </w:rPr>
              <w:t>营运期汽车尾气影响</w:t>
            </w:r>
          </w:p>
        </w:tc>
        <w:tc>
          <w:tcPr>
            <w:tcW w:w="1360" w:type="pct"/>
            <w:vAlign w:val="center"/>
          </w:tcPr>
          <w:p>
            <w:pPr>
              <w:pStyle w:val="1132"/>
              <w:rPr>
                <w:snapToGrid w:val="0"/>
              </w:rPr>
            </w:pPr>
            <w:r>
              <w:rPr>
                <w:snapToGrid w:val="0"/>
              </w:rPr>
              <w:t>NO</w:t>
            </w:r>
            <w:r>
              <w:rPr>
                <w:snapToGrid w:val="0"/>
                <w:vertAlign w:val="subscript"/>
              </w:rPr>
              <w:t>2</w:t>
            </w:r>
            <w:r>
              <w:rPr>
                <w:snapToGrid w:val="0"/>
              </w:rPr>
              <w:t>、CO、</w:t>
            </w:r>
            <w:r>
              <w:rPr>
                <w:rFonts w:hint="eastAsia"/>
                <w:snapToGrid w:val="0"/>
              </w:rPr>
              <w:t>T</w:t>
            </w:r>
            <w:r>
              <w:rPr>
                <w:snapToGrid w:val="0"/>
              </w:rPr>
              <w:t>HC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 w:hRule="atLeast"/>
          <w:jc w:val="center"/>
        </w:trPr>
        <w:tc>
          <w:tcPr>
            <w:tcW w:w="646" w:type="pct"/>
            <w:vMerge w:val="restart"/>
            <w:vAlign w:val="center"/>
          </w:tcPr>
          <w:p>
            <w:pPr>
              <w:pStyle w:val="1132"/>
              <w:rPr>
                <w:snapToGrid w:val="0"/>
              </w:rPr>
            </w:pPr>
            <w:r>
              <w:rPr>
                <w:snapToGrid w:val="0"/>
              </w:rPr>
              <w:t>地表水环境</w:t>
            </w:r>
          </w:p>
        </w:tc>
        <w:tc>
          <w:tcPr>
            <w:tcW w:w="2994" w:type="pct"/>
            <w:vAlign w:val="center"/>
          </w:tcPr>
          <w:p>
            <w:pPr>
              <w:pStyle w:val="1132"/>
              <w:jc w:val="both"/>
              <w:rPr>
                <w:snapToGrid w:val="0"/>
              </w:rPr>
            </w:pPr>
            <w:r>
              <w:rPr>
                <w:rFonts w:hint="eastAsia"/>
                <w:snapToGrid w:val="0"/>
                <w:lang w:val="en-US" w:eastAsia="zh-CN"/>
              </w:rPr>
              <w:t>1、</w:t>
            </w:r>
            <w:r>
              <w:rPr>
                <w:snapToGrid w:val="0"/>
              </w:rPr>
              <w:t>施工人员生活污水、垃圾等的影响</w:t>
            </w:r>
          </w:p>
        </w:tc>
        <w:tc>
          <w:tcPr>
            <w:tcW w:w="1360" w:type="pct"/>
            <w:vMerge w:val="restart"/>
            <w:vAlign w:val="center"/>
          </w:tcPr>
          <w:p>
            <w:pPr>
              <w:pStyle w:val="1132"/>
              <w:rPr>
                <w:snapToGrid w:val="0"/>
              </w:rPr>
            </w:pPr>
            <w:r>
              <w:rPr>
                <w:snapToGrid w:val="0"/>
              </w:rPr>
              <w:t>pH、COD</w:t>
            </w:r>
            <w:r>
              <w:rPr>
                <w:snapToGrid w:val="0"/>
                <w:vertAlign w:val="subscript"/>
              </w:rPr>
              <w:t>cr</w:t>
            </w:r>
            <w:r>
              <w:rPr>
                <w:snapToGrid w:val="0"/>
              </w:rPr>
              <w:t>、</w:t>
            </w:r>
            <w:r>
              <w:rPr>
                <w:rFonts w:hint="eastAsia"/>
                <w:snapToGrid w:val="0"/>
              </w:rPr>
              <w:t>氨氮、</w:t>
            </w:r>
            <w:r>
              <w:rPr>
                <w:snapToGrid w:val="0"/>
              </w:rPr>
              <w:t>石油类、SS等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6" w:type="pct"/>
            <w:vMerge w:val="continue"/>
            <w:vAlign w:val="center"/>
          </w:tcPr>
          <w:p>
            <w:pPr>
              <w:pStyle w:val="1132"/>
              <w:rPr>
                <w:snapToGrid w:val="0"/>
              </w:rPr>
            </w:pPr>
          </w:p>
        </w:tc>
        <w:tc>
          <w:tcPr>
            <w:tcW w:w="2994" w:type="pct"/>
            <w:vAlign w:val="center"/>
          </w:tcPr>
          <w:p>
            <w:pPr>
              <w:pStyle w:val="1132"/>
              <w:jc w:val="both"/>
              <w:rPr>
                <w:snapToGrid w:val="0"/>
              </w:rPr>
            </w:pPr>
            <w:r>
              <w:rPr>
                <w:snapToGrid w:val="0"/>
              </w:rPr>
              <w:t>2</w:t>
            </w:r>
            <w:r>
              <w:rPr>
                <w:rFonts w:hint="eastAsia"/>
                <w:snapToGrid w:val="0"/>
                <w:lang w:eastAsia="zh-CN"/>
              </w:rPr>
              <w:t>、</w:t>
            </w:r>
            <w:r>
              <w:rPr>
                <w:snapToGrid w:val="0"/>
              </w:rPr>
              <w:t>路面径流污染物的影响</w:t>
            </w:r>
          </w:p>
        </w:tc>
        <w:tc>
          <w:tcPr>
            <w:tcW w:w="1360" w:type="pct"/>
            <w:vMerge w:val="continue"/>
            <w:vAlign w:val="center"/>
          </w:tcPr>
          <w:p>
            <w:pPr>
              <w:pStyle w:val="1132"/>
              <w:rPr>
                <w:snapToGrid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 w:hRule="atLeast"/>
          <w:jc w:val="center"/>
        </w:trPr>
        <w:tc>
          <w:tcPr>
            <w:tcW w:w="646" w:type="pct"/>
            <w:vMerge w:val="continue"/>
            <w:vAlign w:val="center"/>
          </w:tcPr>
          <w:p>
            <w:pPr>
              <w:pStyle w:val="1132"/>
              <w:rPr>
                <w:snapToGrid w:val="0"/>
              </w:rPr>
            </w:pPr>
          </w:p>
        </w:tc>
        <w:tc>
          <w:tcPr>
            <w:tcW w:w="2994" w:type="pct"/>
            <w:vAlign w:val="center"/>
          </w:tcPr>
          <w:p>
            <w:pPr>
              <w:pStyle w:val="1132"/>
              <w:jc w:val="both"/>
              <w:rPr>
                <w:snapToGrid w:val="0"/>
              </w:rPr>
            </w:pPr>
            <w:r>
              <w:rPr>
                <w:snapToGrid w:val="0"/>
              </w:rPr>
              <w:t>3</w:t>
            </w:r>
            <w:r>
              <w:rPr>
                <w:rFonts w:hint="eastAsia"/>
                <w:snapToGrid w:val="0"/>
                <w:lang w:eastAsia="zh-CN"/>
              </w:rPr>
              <w:t>、</w:t>
            </w:r>
            <w:r>
              <w:rPr>
                <w:snapToGrid w:val="0"/>
              </w:rPr>
              <w:t>危险品运输风险事故的影响</w:t>
            </w:r>
          </w:p>
        </w:tc>
        <w:tc>
          <w:tcPr>
            <w:tcW w:w="1360" w:type="pct"/>
            <w:vMerge w:val="continue"/>
            <w:vAlign w:val="center"/>
          </w:tcPr>
          <w:p>
            <w:pPr>
              <w:pStyle w:val="1132"/>
              <w:rPr>
                <w:snapToGrid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6" w:type="pct"/>
            <w:vMerge w:val="restart"/>
            <w:vAlign w:val="center"/>
          </w:tcPr>
          <w:p>
            <w:pPr>
              <w:pStyle w:val="1132"/>
              <w:rPr>
                <w:snapToGrid w:val="0"/>
              </w:rPr>
            </w:pPr>
            <w:r>
              <w:rPr>
                <w:snapToGrid w:val="0"/>
              </w:rPr>
              <w:t>声环境</w:t>
            </w:r>
          </w:p>
        </w:tc>
        <w:tc>
          <w:tcPr>
            <w:tcW w:w="2994" w:type="pct"/>
            <w:vAlign w:val="center"/>
          </w:tcPr>
          <w:p>
            <w:pPr>
              <w:pStyle w:val="1132"/>
              <w:jc w:val="both"/>
              <w:rPr>
                <w:snapToGrid w:val="0"/>
              </w:rPr>
            </w:pPr>
            <w:r>
              <w:rPr>
                <w:snapToGrid w:val="0"/>
              </w:rPr>
              <w:t>1</w:t>
            </w:r>
            <w:r>
              <w:rPr>
                <w:rFonts w:hint="eastAsia"/>
                <w:snapToGrid w:val="0"/>
                <w:lang w:eastAsia="zh-CN"/>
              </w:rPr>
              <w:t>、</w:t>
            </w:r>
            <w:r>
              <w:rPr>
                <w:snapToGrid w:val="0"/>
              </w:rPr>
              <w:t>施工期作业机械噪声、运输车辆的噪声影响</w:t>
            </w:r>
          </w:p>
        </w:tc>
        <w:tc>
          <w:tcPr>
            <w:tcW w:w="1360" w:type="pct"/>
            <w:vMerge w:val="restart"/>
            <w:vAlign w:val="center"/>
          </w:tcPr>
          <w:p>
            <w:pPr>
              <w:pStyle w:val="1132"/>
              <w:rPr>
                <w:snapToGrid w:val="0"/>
              </w:rPr>
            </w:pPr>
            <w:r>
              <w:rPr>
                <w:snapToGrid w:val="0"/>
              </w:rPr>
              <w:t>L</w:t>
            </w:r>
            <w:r>
              <w:rPr>
                <w:snapToGrid w:val="0"/>
                <w:vertAlign w:val="subscript"/>
              </w:rPr>
              <w:t>Aeq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6" w:type="pct"/>
            <w:vMerge w:val="continue"/>
            <w:vAlign w:val="center"/>
          </w:tcPr>
          <w:p>
            <w:pPr>
              <w:pStyle w:val="1132"/>
              <w:rPr>
                <w:snapToGrid w:val="0"/>
              </w:rPr>
            </w:pPr>
          </w:p>
        </w:tc>
        <w:tc>
          <w:tcPr>
            <w:tcW w:w="2994" w:type="pct"/>
            <w:vAlign w:val="center"/>
          </w:tcPr>
          <w:p>
            <w:pPr>
              <w:pStyle w:val="1132"/>
              <w:jc w:val="both"/>
              <w:rPr>
                <w:snapToGrid w:val="0"/>
              </w:rPr>
            </w:pPr>
            <w:r>
              <w:rPr>
                <w:snapToGrid w:val="0"/>
              </w:rPr>
              <w:t>2</w:t>
            </w:r>
            <w:r>
              <w:rPr>
                <w:rFonts w:hint="eastAsia"/>
                <w:snapToGrid w:val="0"/>
                <w:lang w:eastAsia="zh-CN"/>
              </w:rPr>
              <w:t>、</w:t>
            </w:r>
            <w:r>
              <w:rPr>
                <w:snapToGrid w:val="0"/>
              </w:rPr>
              <w:t>营运期交通噪声的影响</w:t>
            </w:r>
          </w:p>
        </w:tc>
        <w:tc>
          <w:tcPr>
            <w:tcW w:w="1360" w:type="pct"/>
            <w:vMerge w:val="continue"/>
            <w:vAlign w:val="center"/>
          </w:tcPr>
          <w:p>
            <w:pPr>
              <w:pStyle w:val="1132"/>
              <w:rPr>
                <w:snapToGrid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6" w:type="pct"/>
            <w:vAlign w:val="center"/>
          </w:tcPr>
          <w:p>
            <w:pPr>
              <w:pStyle w:val="1132"/>
              <w:rPr>
                <w:snapToGrid w:val="0"/>
              </w:rPr>
            </w:pPr>
            <w:r>
              <w:rPr>
                <w:snapToGrid w:val="0"/>
              </w:rPr>
              <w:t>生态环境</w:t>
            </w:r>
          </w:p>
        </w:tc>
        <w:tc>
          <w:tcPr>
            <w:tcW w:w="2994" w:type="pct"/>
            <w:vAlign w:val="center"/>
          </w:tcPr>
          <w:p>
            <w:pPr>
              <w:pStyle w:val="1132"/>
              <w:jc w:val="both"/>
              <w:rPr>
                <w:snapToGrid w:val="0"/>
              </w:rPr>
            </w:pPr>
            <w:r>
              <w:rPr>
                <w:rFonts w:hint="eastAsia"/>
                <w:snapToGrid w:val="0"/>
              </w:rPr>
              <w:t>分析土地利用现状、植被现状、野生动植物现状，编制土地利用现状图、植被类型图、生态保护目标分布图等图件</w:t>
            </w:r>
          </w:p>
        </w:tc>
        <w:tc>
          <w:tcPr>
            <w:tcW w:w="1360" w:type="pct"/>
            <w:vAlign w:val="center"/>
          </w:tcPr>
          <w:p>
            <w:pPr>
              <w:pStyle w:val="1132"/>
              <w:rPr>
                <w:snapToGrid w:val="0"/>
              </w:rPr>
            </w:pPr>
            <w:r>
              <w:rPr>
                <w:rFonts w:hint="eastAsia"/>
                <w:snapToGrid w:val="0"/>
              </w:rPr>
              <w:t>土地利用现状、植被现状、野生动植物现状等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646" w:type="pct"/>
            <w:vAlign w:val="center"/>
          </w:tcPr>
          <w:p>
            <w:pPr>
              <w:pStyle w:val="1132"/>
              <w:rPr>
                <w:snapToGrid w:val="0"/>
              </w:rPr>
            </w:pPr>
            <w:r>
              <w:t>固体废物</w:t>
            </w:r>
          </w:p>
        </w:tc>
        <w:tc>
          <w:tcPr>
            <w:tcW w:w="2994" w:type="pct"/>
            <w:vAlign w:val="center"/>
          </w:tcPr>
          <w:p>
            <w:pPr>
              <w:pStyle w:val="1132"/>
              <w:jc w:val="both"/>
              <w:rPr>
                <w:snapToGrid w:val="0"/>
              </w:rPr>
            </w:pPr>
            <w:r>
              <w:rPr>
                <w:snapToGrid w:val="0"/>
              </w:rPr>
              <w:t>公路建设产生的建筑垃圾、弃土弃渣、生活垃圾</w:t>
            </w:r>
          </w:p>
        </w:tc>
        <w:tc>
          <w:tcPr>
            <w:tcW w:w="1360" w:type="pct"/>
            <w:vAlign w:val="center"/>
          </w:tcPr>
          <w:p>
            <w:pPr>
              <w:pStyle w:val="1132"/>
              <w:rPr>
                <w:snapToGrid w:val="0"/>
              </w:rPr>
            </w:pPr>
            <w:r>
              <w:rPr>
                <w:snapToGrid w:val="0"/>
              </w:rPr>
              <w:t>建筑垃圾、生活垃圾、弃土弃渣</w:t>
            </w:r>
          </w:p>
        </w:tc>
      </w:tr>
    </w:tbl>
    <w:p>
      <w:pPr>
        <w:spacing w:line="360" w:lineRule="auto"/>
        <w:jc w:val="center"/>
        <w:rPr>
          <w:rFonts w:hint="default" w:eastAsia="宋体"/>
          <w:b/>
          <w:bCs/>
          <w:lang w:val="en-US" w:eastAsia="zh-CN"/>
        </w:rPr>
      </w:pPr>
      <w:r>
        <w:rPr>
          <w:rFonts w:hint="eastAsia"/>
          <w:b/>
          <w:bCs/>
          <w:lang w:val="en-US" w:eastAsia="zh-CN"/>
        </w:rPr>
        <w:t>表2.3-3 生态影响评价因子一览表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0"/>
        <w:gridCol w:w="1903"/>
        <w:gridCol w:w="3787"/>
        <w:gridCol w:w="1107"/>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0"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受影响对象</w:t>
            </w:r>
          </w:p>
        </w:tc>
        <w:tc>
          <w:tcPr>
            <w:tcW w:w="1903"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评价因子</w:t>
            </w:r>
          </w:p>
        </w:tc>
        <w:tc>
          <w:tcPr>
            <w:tcW w:w="3787"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工程内容及影响方式</w:t>
            </w:r>
          </w:p>
        </w:tc>
        <w:tc>
          <w:tcPr>
            <w:tcW w:w="1107"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影响性质</w:t>
            </w:r>
          </w:p>
        </w:tc>
        <w:tc>
          <w:tcPr>
            <w:tcW w:w="1079"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0"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物种</w:t>
            </w:r>
          </w:p>
        </w:tc>
        <w:tc>
          <w:tcPr>
            <w:tcW w:w="1903"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分布范围、行为等</w:t>
            </w:r>
          </w:p>
        </w:tc>
        <w:tc>
          <w:tcPr>
            <w:tcW w:w="3787"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工程占地、施工活动、工程运营等对两栖、爬行、小型兽类、鸟类等物种的分布范围、行为等产生直接、间接影响</w:t>
            </w:r>
          </w:p>
        </w:tc>
        <w:tc>
          <w:tcPr>
            <w:tcW w:w="1107"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短期、可逆</w:t>
            </w:r>
          </w:p>
        </w:tc>
        <w:tc>
          <w:tcPr>
            <w:tcW w:w="1079"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0"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生境</w:t>
            </w:r>
          </w:p>
        </w:tc>
        <w:tc>
          <w:tcPr>
            <w:tcW w:w="1903"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w:t>
            </w:r>
          </w:p>
        </w:tc>
        <w:tc>
          <w:tcPr>
            <w:tcW w:w="3787"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w:t>
            </w:r>
          </w:p>
        </w:tc>
        <w:tc>
          <w:tcPr>
            <w:tcW w:w="1107"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w:t>
            </w:r>
          </w:p>
        </w:tc>
        <w:tc>
          <w:tcPr>
            <w:tcW w:w="1079"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0"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生物群落</w:t>
            </w:r>
          </w:p>
        </w:tc>
        <w:tc>
          <w:tcPr>
            <w:tcW w:w="1903"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w:t>
            </w:r>
          </w:p>
        </w:tc>
        <w:tc>
          <w:tcPr>
            <w:tcW w:w="3787"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w:t>
            </w:r>
          </w:p>
        </w:tc>
        <w:tc>
          <w:tcPr>
            <w:tcW w:w="1107"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w:t>
            </w:r>
          </w:p>
        </w:tc>
        <w:tc>
          <w:tcPr>
            <w:tcW w:w="1079"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0"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生态系统</w:t>
            </w:r>
          </w:p>
        </w:tc>
        <w:tc>
          <w:tcPr>
            <w:tcW w:w="1903"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植物覆盖度、生物量等</w:t>
            </w:r>
          </w:p>
        </w:tc>
        <w:tc>
          <w:tcPr>
            <w:tcW w:w="3787"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工程占地对植物覆盖度、生物量等产生直接、间接影响</w:t>
            </w:r>
          </w:p>
        </w:tc>
        <w:tc>
          <w:tcPr>
            <w:tcW w:w="1107"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短期、可逆</w:t>
            </w:r>
          </w:p>
        </w:tc>
        <w:tc>
          <w:tcPr>
            <w:tcW w:w="1079"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0"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生物多样性</w:t>
            </w:r>
          </w:p>
        </w:tc>
        <w:tc>
          <w:tcPr>
            <w:tcW w:w="1903"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物种丰富度</w:t>
            </w:r>
          </w:p>
        </w:tc>
        <w:tc>
          <w:tcPr>
            <w:tcW w:w="3787"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工程占地、施工活动、工程运营等对物种丰富度等产生直接、间接影响</w:t>
            </w:r>
          </w:p>
        </w:tc>
        <w:tc>
          <w:tcPr>
            <w:tcW w:w="1107"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短期、可逆</w:t>
            </w:r>
          </w:p>
        </w:tc>
        <w:tc>
          <w:tcPr>
            <w:tcW w:w="1079"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0"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生态敏感区</w:t>
            </w:r>
          </w:p>
        </w:tc>
        <w:tc>
          <w:tcPr>
            <w:tcW w:w="1903"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c>
          <w:tcPr>
            <w:tcW w:w="3787"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c>
          <w:tcPr>
            <w:tcW w:w="1107"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c>
          <w:tcPr>
            <w:tcW w:w="1079"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0"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自然景观</w:t>
            </w:r>
          </w:p>
        </w:tc>
        <w:tc>
          <w:tcPr>
            <w:tcW w:w="1903"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c>
          <w:tcPr>
            <w:tcW w:w="3787"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c>
          <w:tcPr>
            <w:tcW w:w="1107"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c>
          <w:tcPr>
            <w:tcW w:w="1079"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0" w:type="dxa"/>
            <w:vAlign w:val="center"/>
          </w:tcPr>
          <w:p>
            <w:pPr>
              <w:pStyle w:val="112"/>
              <w:spacing w:line="240" w:lineRule="auto"/>
              <w:ind w:firstLine="0" w:firstLineChars="0"/>
              <w:jc w:val="center"/>
              <w:rPr>
                <w:rFonts w:hint="default"/>
                <w:sz w:val="21"/>
                <w:szCs w:val="21"/>
                <w:lang w:val="en-US" w:eastAsia="zh-CN"/>
              </w:rPr>
            </w:pPr>
            <w:r>
              <w:rPr>
                <w:rFonts w:hint="eastAsia"/>
                <w:sz w:val="21"/>
                <w:szCs w:val="21"/>
                <w:lang w:val="en-US" w:eastAsia="zh-CN"/>
              </w:rPr>
              <w:t>自然遗迹</w:t>
            </w:r>
          </w:p>
        </w:tc>
        <w:tc>
          <w:tcPr>
            <w:tcW w:w="1903"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c>
          <w:tcPr>
            <w:tcW w:w="3787"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c>
          <w:tcPr>
            <w:tcW w:w="1107"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c>
          <w:tcPr>
            <w:tcW w:w="1079" w:type="dxa"/>
            <w:vAlign w:val="center"/>
          </w:tcPr>
          <w:p>
            <w:pPr>
              <w:pStyle w:val="112"/>
              <w:spacing w:line="240" w:lineRule="auto"/>
              <w:ind w:firstLine="0" w:firstLineChars="0"/>
              <w:jc w:val="center"/>
              <w:rPr>
                <w:rFonts w:hint="eastAsia"/>
                <w:sz w:val="21"/>
                <w:szCs w:val="21"/>
                <w:lang w:val="en-US" w:eastAsia="zh-CN"/>
              </w:rPr>
            </w:pPr>
            <w:r>
              <w:rPr>
                <w:rFonts w:hint="eastAsia"/>
                <w:sz w:val="21"/>
                <w:szCs w:val="21"/>
                <w:lang w:val="en-US" w:eastAsia="zh-CN"/>
              </w:rPr>
              <w:t>/</w:t>
            </w:r>
          </w:p>
        </w:tc>
      </w:tr>
    </w:tbl>
    <w:p>
      <w:pPr>
        <w:pStyle w:val="7"/>
        <w:keepNext w:val="0"/>
        <w:keepLines w:val="0"/>
        <w:pageBreakBefore w:val="0"/>
        <w:widowControl w:val="0"/>
        <w:kinsoku/>
        <w:wordWrap/>
        <w:overflowPunct/>
        <w:topLinePunct w:val="0"/>
        <w:autoSpaceDE/>
        <w:autoSpaceDN/>
        <w:bidi w:val="0"/>
        <w:adjustRightInd/>
        <w:snapToGrid/>
        <w:textAlignment w:val="auto"/>
        <w:rPr>
          <w:b/>
          <w:bCs/>
          <w:sz w:val="28"/>
          <w:szCs w:val="28"/>
        </w:rPr>
      </w:pPr>
      <w:bookmarkStart w:id="77" w:name="_Toc14278"/>
      <w:bookmarkStart w:id="78" w:name="_Toc27810"/>
      <w:r>
        <w:rPr>
          <w:b/>
          <w:bCs/>
          <w:sz w:val="28"/>
          <w:szCs w:val="28"/>
        </w:rPr>
        <w:t>评价工作等级</w:t>
      </w:r>
      <w:bookmarkEnd w:id="77"/>
      <w:bookmarkEnd w:id="78"/>
    </w:p>
    <w:p>
      <w:pPr>
        <w:pStyle w:val="10"/>
        <w:ind w:firstLine="480"/>
        <w:rPr>
          <w:snapToGrid w:val="0"/>
          <w:spacing w:val="-6"/>
        </w:rPr>
      </w:pPr>
      <w:r>
        <w:t>按照《环境影响评价技术导则》（HJ2.1-2016、HJ2.2-2018、HJ2.3-2018、HJ2.4-2021、HJ19-2022、</w:t>
      </w:r>
      <w:r>
        <w:rPr>
          <w:snapToGrid w:val="0"/>
        </w:rPr>
        <w:t>HJ169-2018、</w:t>
      </w:r>
      <w:r>
        <w:rPr>
          <w:szCs w:val="28"/>
        </w:rPr>
        <w:t>HJ610-2016</w:t>
      </w:r>
      <w:r>
        <w:t>）要求和《公路建设项目环境影响评价规范》（JTGB03-2006）</w:t>
      </w:r>
      <w:r>
        <w:rPr>
          <w:rFonts w:hint="eastAsia"/>
        </w:rPr>
        <w:t>中有关规定</w:t>
      </w:r>
      <w:r>
        <w:rPr>
          <w:snapToGrid w:val="0"/>
        </w:rPr>
        <w:t>，并根据建设项目的排</w:t>
      </w:r>
      <w:r>
        <w:rPr>
          <w:snapToGrid w:val="0"/>
          <w:spacing w:val="-6"/>
        </w:rPr>
        <w:t>污特征、污染物排放量及项目所在地环境功能区划要求，确定各项专题评价工作等级如下</w:t>
      </w:r>
      <w:r>
        <w:rPr>
          <w:rFonts w:hint="eastAsia"/>
          <w:snapToGrid w:val="0"/>
          <w:spacing w:val="-6"/>
        </w:rPr>
        <w:t>。</w:t>
      </w:r>
    </w:p>
    <w:p>
      <w:pPr>
        <w:pStyle w:val="8"/>
        <w:rPr>
          <w:b/>
          <w:bCs/>
        </w:rPr>
      </w:pPr>
      <w:bookmarkStart w:id="79" w:name="_Toc28704"/>
      <w:r>
        <w:rPr>
          <w:b/>
          <w:bCs/>
        </w:rPr>
        <w:t>环境空气</w:t>
      </w:r>
      <w:bookmarkEnd w:id="79"/>
    </w:p>
    <w:p>
      <w:pPr>
        <w:pStyle w:val="10"/>
        <w:ind w:firstLine="480"/>
      </w:pPr>
      <w:r>
        <w:t>本项目施工期的主要大气污染物为施工过程中产生的扬尘污染和沥青烟污染，总体影响范围较小；</w:t>
      </w:r>
      <w:r>
        <w:rPr>
          <w:rFonts w:hint="eastAsia"/>
        </w:rPr>
        <w:t>运营期主要污染物为汽车尾气</w:t>
      </w:r>
      <w:r>
        <w:rPr>
          <w:rFonts w:hint="eastAsia"/>
          <w:lang w:eastAsia="zh-CN"/>
        </w:rPr>
        <w:t>。</w:t>
      </w:r>
      <w:r>
        <w:t>根据《环境影响评价技术导则 大气环境》（HJ2.2-2018）中</w:t>
      </w:r>
      <w:r>
        <w:rPr>
          <w:rFonts w:hint="eastAsia"/>
        </w:rPr>
        <w:t>“5.3.3.3对等级公路、铁路项目，分别按项目沿线主要集中式排放源（如服务区、车站大气污染源）排放的污染物计算其评价等级</w:t>
      </w:r>
      <w:r>
        <w:rPr>
          <w:rFonts w:hint="eastAsia"/>
          <w:lang w:eastAsia="zh-CN"/>
        </w:rPr>
        <w:t>”，</w:t>
      </w:r>
      <w:r>
        <w:rPr>
          <w:rFonts w:hint="eastAsia"/>
        </w:rPr>
        <w:t>本项目设计为一级公路，不涉及服务区及加油站，无集中式排放源，因此</w:t>
      </w:r>
      <w:r>
        <w:t>确定本次评价等级为</w:t>
      </w:r>
      <w:r>
        <w:rPr>
          <w:rFonts w:hint="eastAsia"/>
        </w:rPr>
        <w:t>三级。</w:t>
      </w:r>
    </w:p>
    <w:p>
      <w:pPr>
        <w:pStyle w:val="8"/>
        <w:rPr>
          <w:b/>
          <w:bCs/>
        </w:rPr>
      </w:pPr>
      <w:bookmarkStart w:id="80" w:name="_Toc7760"/>
      <w:r>
        <w:rPr>
          <w:b/>
          <w:bCs/>
        </w:rPr>
        <w:t>地表水评价等级</w:t>
      </w:r>
      <w:bookmarkEnd w:id="80"/>
    </w:p>
    <w:p>
      <w:pPr>
        <w:pStyle w:val="10"/>
        <w:ind w:firstLine="480"/>
      </w:pPr>
      <w:r>
        <w:t>项目施工期有一定的施工废水排放，废水成分简单，排放量少，经收集、沉淀后</w:t>
      </w:r>
      <w:r>
        <w:rPr>
          <w:rFonts w:hint="eastAsia"/>
        </w:rPr>
        <w:t>回用</w:t>
      </w:r>
      <w:r>
        <w:t>。随着施工期的结束，施工废水对环境的影响也即消失</w:t>
      </w:r>
      <w:r>
        <w:rPr>
          <w:rFonts w:hint="default" w:ascii="Times New Roman" w:hAnsi="Times New Roman" w:cs="Times New Roman"/>
          <w:color w:val="auto"/>
          <w:highlight w:val="none"/>
        </w:rPr>
        <w:t>。营运期主要污水</w:t>
      </w:r>
      <w:r>
        <w:rPr>
          <w:rFonts w:hint="default" w:ascii="Times New Roman" w:hAnsi="Times New Roman" w:cs="Times New Roman"/>
          <w:color w:val="auto"/>
          <w:highlight w:val="none"/>
          <w:lang w:eastAsia="zh-CN"/>
        </w:rPr>
        <w:t>为</w:t>
      </w:r>
      <w:r>
        <w:rPr>
          <w:rFonts w:hint="default" w:ascii="Times New Roman" w:hAnsi="Times New Roman" w:cs="Times New Roman"/>
          <w:color w:val="auto"/>
          <w:highlight w:val="none"/>
        </w:rPr>
        <w:t>路面径流，道路沿线不穿越饮用水源保护区等敏感水体</w:t>
      </w:r>
      <w:r>
        <w:rPr>
          <w:rFonts w:hint="default" w:ascii="Times New Roman" w:hAnsi="Times New Roman" w:cs="Times New Roman"/>
          <w:color w:val="auto"/>
          <w:highlight w:val="none"/>
          <w:lang w:eastAsia="zh-CN"/>
        </w:rPr>
        <w:t>。</w:t>
      </w:r>
      <w:r>
        <w:rPr>
          <w:rFonts w:hint="default" w:ascii="Times New Roman" w:hAnsi="Times New Roman" w:cs="Times New Roman"/>
          <w:color w:val="000000" w:themeColor="text1"/>
          <w:highlight w:val="none"/>
          <w14:textFill>
            <w14:solidFill>
              <w14:schemeClr w14:val="tx1"/>
            </w14:solidFill>
          </w14:textFill>
        </w:rPr>
        <w:t xml:space="preserve">根据《环境影响评价技术导则 </w:t>
      </w:r>
      <w:r>
        <w:rPr>
          <w:rFonts w:hint="default" w:ascii="Times New Roman" w:hAnsi="Times New Roman" w:cs="Times New Roman"/>
          <w:color w:val="000000" w:themeColor="text1"/>
          <w:highlight w:val="none"/>
          <w:lang w:val="en-US" w:eastAsia="zh-CN"/>
          <w14:textFill>
            <w14:solidFill>
              <w14:schemeClr w14:val="tx1"/>
            </w14:solidFill>
          </w14:textFill>
        </w:rPr>
        <w:t>地表水</w:t>
      </w:r>
      <w:r>
        <w:rPr>
          <w:rFonts w:hint="default" w:ascii="Times New Roman" w:hAnsi="Times New Roman" w:cs="Times New Roman"/>
          <w:color w:val="000000" w:themeColor="text1"/>
          <w:highlight w:val="none"/>
          <w14:textFill>
            <w14:solidFill>
              <w14:schemeClr w14:val="tx1"/>
            </w14:solidFill>
          </w14:textFill>
        </w:rPr>
        <w:t>环境》（HJ2.2-2018）</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本次评价等级为三级</w:t>
      </w:r>
      <w:r>
        <w:rPr>
          <w:rFonts w:hint="default" w:ascii="Times New Roman" w:hAnsi="Times New Roman" w:cs="Times New Roman"/>
          <w:color w:val="000000" w:themeColor="text1"/>
          <w:highlight w:val="none"/>
          <w14:textFill>
            <w14:solidFill>
              <w14:schemeClr w14:val="tx1"/>
            </w14:solidFill>
          </w14:textFill>
        </w:rPr>
        <w:t>（B）</w:t>
      </w:r>
      <w:r>
        <w:rPr>
          <w:rFonts w:hint="eastAsia" w:cs="Times New Roman"/>
          <w:color w:val="000000" w:themeColor="text1"/>
          <w:highlight w:val="none"/>
          <w:lang w:eastAsia="zh-CN"/>
          <w14:textFill>
            <w14:solidFill>
              <w14:schemeClr w14:val="tx1"/>
            </w14:solidFill>
          </w14:textFill>
        </w:rPr>
        <w:t>。</w:t>
      </w:r>
      <w:r>
        <w:rPr>
          <w:rFonts w:hint="eastAsia"/>
        </w:rPr>
        <w:t>地表水评价等级判定见下表</w:t>
      </w:r>
      <w:r>
        <w:t>。</w:t>
      </w:r>
    </w:p>
    <w:p>
      <w:pPr>
        <w:pStyle w:val="19"/>
        <w:ind w:firstLine="482"/>
      </w:pPr>
      <w:r>
        <w:tab/>
      </w: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rPr>
        <w:t>地表水评价等级判定表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0"/>
        <w:gridCol w:w="1559"/>
        <w:gridCol w:w="55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0" w:type="dxa"/>
            <w:vMerge w:val="restart"/>
            <w:vAlign w:val="center"/>
          </w:tcPr>
          <w:p>
            <w:pPr>
              <w:pStyle w:val="112"/>
              <w:spacing w:line="240" w:lineRule="auto"/>
              <w:ind w:firstLine="0" w:firstLineChars="0"/>
              <w:jc w:val="center"/>
              <w:rPr>
                <w:b/>
                <w:bCs/>
                <w:sz w:val="21"/>
                <w:szCs w:val="21"/>
              </w:rPr>
            </w:pPr>
            <w:r>
              <w:rPr>
                <w:rFonts w:hint="eastAsia"/>
                <w:b/>
                <w:bCs/>
                <w:sz w:val="21"/>
                <w:szCs w:val="21"/>
              </w:rPr>
              <w:t>评价等级</w:t>
            </w:r>
          </w:p>
        </w:tc>
        <w:tc>
          <w:tcPr>
            <w:tcW w:w="7080" w:type="dxa"/>
            <w:gridSpan w:val="2"/>
            <w:vAlign w:val="center"/>
          </w:tcPr>
          <w:p>
            <w:pPr>
              <w:pStyle w:val="112"/>
              <w:spacing w:line="240" w:lineRule="auto"/>
              <w:ind w:firstLine="0" w:firstLineChars="0"/>
              <w:jc w:val="center"/>
              <w:rPr>
                <w:b/>
                <w:bCs/>
                <w:sz w:val="21"/>
                <w:szCs w:val="21"/>
              </w:rPr>
            </w:pPr>
            <w:r>
              <w:rPr>
                <w:rFonts w:hint="eastAsia"/>
                <w:b/>
                <w:bCs/>
                <w:sz w:val="21"/>
                <w:szCs w:val="21"/>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0" w:type="dxa"/>
            <w:vMerge w:val="continue"/>
            <w:vAlign w:val="center"/>
          </w:tcPr>
          <w:p>
            <w:pPr>
              <w:pStyle w:val="112"/>
              <w:spacing w:line="240" w:lineRule="auto"/>
              <w:ind w:firstLine="0" w:firstLineChars="0"/>
              <w:jc w:val="center"/>
              <w:rPr>
                <w:sz w:val="21"/>
                <w:szCs w:val="21"/>
              </w:rPr>
            </w:pPr>
          </w:p>
        </w:tc>
        <w:tc>
          <w:tcPr>
            <w:tcW w:w="1559" w:type="dxa"/>
            <w:vAlign w:val="center"/>
          </w:tcPr>
          <w:p>
            <w:pPr>
              <w:pStyle w:val="112"/>
              <w:spacing w:line="240" w:lineRule="auto"/>
              <w:ind w:firstLine="0" w:firstLineChars="0"/>
              <w:jc w:val="center"/>
              <w:rPr>
                <w:sz w:val="21"/>
                <w:szCs w:val="21"/>
              </w:rPr>
            </w:pPr>
            <w:r>
              <w:rPr>
                <w:rFonts w:hint="eastAsia"/>
                <w:sz w:val="21"/>
                <w:szCs w:val="21"/>
              </w:rPr>
              <w:t>排放方式</w:t>
            </w:r>
          </w:p>
        </w:tc>
        <w:tc>
          <w:tcPr>
            <w:tcW w:w="5521" w:type="dxa"/>
            <w:vAlign w:val="center"/>
          </w:tcPr>
          <w:p>
            <w:pPr>
              <w:pStyle w:val="112"/>
              <w:spacing w:line="240" w:lineRule="auto"/>
              <w:ind w:firstLine="0" w:firstLineChars="0"/>
              <w:jc w:val="center"/>
              <w:rPr>
                <w:sz w:val="21"/>
                <w:szCs w:val="21"/>
              </w:rPr>
            </w:pPr>
            <w:r>
              <w:rPr>
                <w:rFonts w:hint="eastAsia"/>
                <w:sz w:val="21"/>
                <w:szCs w:val="21"/>
              </w:rPr>
              <w:t>废水排放量Q</w:t>
            </w:r>
            <w:r>
              <w:rPr>
                <w:sz w:val="21"/>
                <w:szCs w:val="21"/>
              </w:rPr>
              <w:t>/</w:t>
            </w:r>
            <w:r>
              <w:rPr>
                <w:rFonts w:hint="eastAsia"/>
                <w:sz w:val="21"/>
                <w:szCs w:val="21"/>
              </w:rPr>
              <w:t>（m</w:t>
            </w:r>
            <w:r>
              <w:rPr>
                <w:sz w:val="21"/>
                <w:szCs w:val="21"/>
                <w:vertAlign w:val="superscript"/>
              </w:rPr>
              <w:t>3</w:t>
            </w:r>
            <w:r>
              <w:rPr>
                <w:sz w:val="21"/>
                <w:szCs w:val="21"/>
              </w:rPr>
              <w:t>/</w:t>
            </w:r>
            <w:r>
              <w:rPr>
                <w:rFonts w:hint="eastAsia"/>
                <w:sz w:val="21"/>
                <w:szCs w:val="21"/>
              </w:rPr>
              <w:t>d）；水污染物当量数W</w:t>
            </w:r>
            <w:r>
              <w:rPr>
                <w:sz w:val="21"/>
                <w:szCs w:val="21"/>
              </w:rPr>
              <w:t>/</w:t>
            </w:r>
            <w:r>
              <w:rPr>
                <w:rFonts w:hint="eastAsia"/>
                <w:sz w:val="21"/>
                <w:szCs w:val="21"/>
              </w:rPr>
              <w:t>（量纲一）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0" w:type="dxa"/>
            <w:vAlign w:val="center"/>
          </w:tcPr>
          <w:p>
            <w:pPr>
              <w:pStyle w:val="112"/>
              <w:spacing w:line="240" w:lineRule="auto"/>
              <w:ind w:firstLine="0" w:firstLineChars="0"/>
              <w:jc w:val="center"/>
              <w:rPr>
                <w:sz w:val="21"/>
                <w:szCs w:val="21"/>
              </w:rPr>
            </w:pPr>
            <w:r>
              <w:rPr>
                <w:rFonts w:hint="eastAsia"/>
                <w:sz w:val="21"/>
                <w:szCs w:val="21"/>
              </w:rPr>
              <w:t>一级</w:t>
            </w:r>
          </w:p>
        </w:tc>
        <w:tc>
          <w:tcPr>
            <w:tcW w:w="1559" w:type="dxa"/>
            <w:vAlign w:val="center"/>
          </w:tcPr>
          <w:p>
            <w:pPr>
              <w:pStyle w:val="112"/>
              <w:spacing w:line="240" w:lineRule="auto"/>
              <w:ind w:firstLine="0" w:firstLineChars="0"/>
              <w:jc w:val="center"/>
              <w:rPr>
                <w:sz w:val="21"/>
                <w:szCs w:val="21"/>
              </w:rPr>
            </w:pPr>
            <w:r>
              <w:rPr>
                <w:rFonts w:hint="eastAsia"/>
                <w:sz w:val="21"/>
                <w:szCs w:val="21"/>
              </w:rPr>
              <w:t>直接排放</w:t>
            </w:r>
          </w:p>
        </w:tc>
        <w:tc>
          <w:tcPr>
            <w:tcW w:w="5521" w:type="dxa"/>
            <w:vAlign w:val="center"/>
          </w:tcPr>
          <w:p>
            <w:pPr>
              <w:pStyle w:val="112"/>
              <w:spacing w:line="240" w:lineRule="auto"/>
              <w:ind w:firstLine="0" w:firstLineChars="0"/>
              <w:jc w:val="center"/>
              <w:rPr>
                <w:sz w:val="21"/>
                <w:szCs w:val="21"/>
              </w:rPr>
            </w:pPr>
            <w:r>
              <w:rPr>
                <w:rFonts w:hint="eastAsia"/>
                <w:sz w:val="21"/>
                <w:szCs w:val="21"/>
              </w:rPr>
              <w:t>Q≥2</w:t>
            </w:r>
            <w:r>
              <w:rPr>
                <w:sz w:val="21"/>
                <w:szCs w:val="21"/>
              </w:rPr>
              <w:t>0000</w:t>
            </w:r>
            <w:r>
              <w:rPr>
                <w:rFonts w:hint="eastAsia"/>
                <w:sz w:val="21"/>
                <w:szCs w:val="21"/>
              </w:rPr>
              <w:t>或W≥6</w:t>
            </w:r>
            <w:r>
              <w:rPr>
                <w:sz w:val="21"/>
                <w:szCs w:val="21"/>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0" w:type="dxa"/>
            <w:vAlign w:val="center"/>
          </w:tcPr>
          <w:p>
            <w:pPr>
              <w:pStyle w:val="112"/>
              <w:spacing w:line="240" w:lineRule="auto"/>
              <w:ind w:firstLine="0" w:firstLineChars="0"/>
              <w:jc w:val="center"/>
              <w:rPr>
                <w:sz w:val="21"/>
                <w:szCs w:val="21"/>
              </w:rPr>
            </w:pPr>
            <w:r>
              <w:rPr>
                <w:rFonts w:hint="eastAsia"/>
                <w:sz w:val="21"/>
                <w:szCs w:val="21"/>
              </w:rPr>
              <w:t>二级</w:t>
            </w:r>
          </w:p>
        </w:tc>
        <w:tc>
          <w:tcPr>
            <w:tcW w:w="1559" w:type="dxa"/>
            <w:vAlign w:val="center"/>
          </w:tcPr>
          <w:p>
            <w:pPr>
              <w:pStyle w:val="112"/>
              <w:spacing w:line="240" w:lineRule="auto"/>
              <w:ind w:firstLine="0" w:firstLineChars="0"/>
              <w:jc w:val="center"/>
              <w:rPr>
                <w:sz w:val="21"/>
                <w:szCs w:val="21"/>
              </w:rPr>
            </w:pPr>
            <w:r>
              <w:rPr>
                <w:rFonts w:hint="eastAsia"/>
                <w:sz w:val="21"/>
                <w:szCs w:val="21"/>
              </w:rPr>
              <w:t>直接排放</w:t>
            </w:r>
          </w:p>
        </w:tc>
        <w:tc>
          <w:tcPr>
            <w:tcW w:w="5521" w:type="dxa"/>
            <w:vAlign w:val="center"/>
          </w:tcPr>
          <w:p>
            <w:pPr>
              <w:pStyle w:val="112"/>
              <w:spacing w:line="240" w:lineRule="auto"/>
              <w:ind w:firstLine="0" w:firstLineChars="0"/>
              <w:jc w:val="center"/>
              <w:rPr>
                <w:sz w:val="21"/>
                <w:szCs w:val="21"/>
              </w:rPr>
            </w:pPr>
            <w:r>
              <w:rPr>
                <w:rFonts w:hint="eastAsia"/>
                <w:sz w:val="21"/>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0" w:type="dxa"/>
            <w:vAlign w:val="center"/>
          </w:tcPr>
          <w:p>
            <w:pPr>
              <w:pStyle w:val="112"/>
              <w:spacing w:line="240" w:lineRule="auto"/>
              <w:ind w:firstLine="0" w:firstLineChars="0"/>
              <w:jc w:val="center"/>
              <w:rPr>
                <w:sz w:val="21"/>
                <w:szCs w:val="21"/>
              </w:rPr>
            </w:pPr>
            <w:r>
              <w:rPr>
                <w:rFonts w:hint="eastAsia"/>
                <w:sz w:val="21"/>
                <w:szCs w:val="21"/>
              </w:rPr>
              <w:t>三级A</w:t>
            </w:r>
          </w:p>
        </w:tc>
        <w:tc>
          <w:tcPr>
            <w:tcW w:w="1559" w:type="dxa"/>
            <w:vAlign w:val="center"/>
          </w:tcPr>
          <w:p>
            <w:pPr>
              <w:pStyle w:val="112"/>
              <w:spacing w:line="240" w:lineRule="auto"/>
              <w:ind w:firstLine="0" w:firstLineChars="0"/>
              <w:jc w:val="center"/>
              <w:rPr>
                <w:sz w:val="21"/>
                <w:szCs w:val="21"/>
              </w:rPr>
            </w:pPr>
            <w:r>
              <w:rPr>
                <w:rFonts w:hint="eastAsia"/>
                <w:sz w:val="21"/>
                <w:szCs w:val="21"/>
              </w:rPr>
              <w:t>直接排放</w:t>
            </w:r>
          </w:p>
        </w:tc>
        <w:tc>
          <w:tcPr>
            <w:tcW w:w="5521" w:type="dxa"/>
            <w:vAlign w:val="center"/>
          </w:tcPr>
          <w:p>
            <w:pPr>
              <w:pStyle w:val="112"/>
              <w:spacing w:line="240" w:lineRule="auto"/>
              <w:ind w:firstLine="0" w:firstLineChars="0"/>
              <w:jc w:val="center"/>
              <w:rPr>
                <w:sz w:val="21"/>
                <w:szCs w:val="21"/>
              </w:rPr>
            </w:pPr>
            <w:r>
              <w:rPr>
                <w:rFonts w:hint="eastAsia"/>
                <w:sz w:val="21"/>
                <w:szCs w:val="21"/>
              </w:rPr>
              <w:t>Q＜2</w:t>
            </w:r>
            <w:r>
              <w:rPr>
                <w:sz w:val="21"/>
                <w:szCs w:val="21"/>
              </w:rPr>
              <w:t>00</w:t>
            </w:r>
            <w:r>
              <w:rPr>
                <w:rFonts w:hint="eastAsia"/>
                <w:sz w:val="21"/>
                <w:szCs w:val="21"/>
              </w:rPr>
              <w:t>且W＜6</w:t>
            </w:r>
            <w:r>
              <w:rPr>
                <w:sz w:val="21"/>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0" w:type="dxa"/>
            <w:vAlign w:val="center"/>
          </w:tcPr>
          <w:p>
            <w:pPr>
              <w:pStyle w:val="112"/>
              <w:spacing w:line="240" w:lineRule="auto"/>
              <w:ind w:firstLine="0" w:firstLineChars="0"/>
              <w:jc w:val="center"/>
              <w:rPr>
                <w:sz w:val="21"/>
                <w:szCs w:val="21"/>
              </w:rPr>
            </w:pPr>
            <w:r>
              <w:rPr>
                <w:rFonts w:hint="eastAsia"/>
                <w:sz w:val="21"/>
                <w:szCs w:val="21"/>
              </w:rPr>
              <w:t>三级B</w:t>
            </w:r>
          </w:p>
        </w:tc>
        <w:tc>
          <w:tcPr>
            <w:tcW w:w="1559" w:type="dxa"/>
            <w:vAlign w:val="center"/>
          </w:tcPr>
          <w:p>
            <w:pPr>
              <w:pStyle w:val="112"/>
              <w:spacing w:line="240" w:lineRule="auto"/>
              <w:ind w:firstLine="0" w:firstLineChars="0"/>
              <w:jc w:val="center"/>
              <w:rPr>
                <w:sz w:val="21"/>
                <w:szCs w:val="21"/>
              </w:rPr>
            </w:pPr>
            <w:r>
              <w:rPr>
                <w:rFonts w:hint="eastAsia"/>
                <w:sz w:val="21"/>
                <w:szCs w:val="21"/>
              </w:rPr>
              <w:t>间接排放</w:t>
            </w:r>
          </w:p>
        </w:tc>
        <w:tc>
          <w:tcPr>
            <w:tcW w:w="5521" w:type="dxa"/>
            <w:vAlign w:val="center"/>
          </w:tcPr>
          <w:p>
            <w:pPr>
              <w:pStyle w:val="112"/>
              <w:spacing w:line="240" w:lineRule="auto"/>
              <w:ind w:firstLine="0" w:firstLineChars="0"/>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9060" w:type="dxa"/>
            <w:gridSpan w:val="3"/>
            <w:vAlign w:val="center"/>
          </w:tcPr>
          <w:p>
            <w:pPr>
              <w:pStyle w:val="112"/>
              <w:spacing w:line="240" w:lineRule="auto"/>
              <w:ind w:firstLine="0" w:firstLineChars="0"/>
              <w:rPr>
                <w:sz w:val="21"/>
                <w:szCs w:val="21"/>
              </w:rPr>
            </w:pPr>
            <w:r>
              <w:rPr>
                <w:rFonts w:hint="eastAsia"/>
                <w:sz w:val="21"/>
                <w:szCs w:val="21"/>
              </w:rPr>
              <w:t>注10：建设项目生产工艺中有废水产生，但作为回水利用，不排放到外环境的，按三级B评价。</w:t>
            </w:r>
          </w:p>
        </w:tc>
      </w:tr>
    </w:tbl>
    <w:p>
      <w:pPr>
        <w:numPr>
          <w:ilvl w:val="0"/>
          <w:numId w:val="0"/>
        </w:numPr>
        <w:tabs>
          <w:tab w:val="left" w:pos="-1800"/>
          <w:tab w:val="left" w:pos="900"/>
        </w:tabs>
        <w:ind w:leftChars="0" w:firstLine="480" w:firstLineChars="200"/>
        <w:outlineLvl w:val="9"/>
        <w:rPr>
          <w:rFonts w:hint="default" w:eastAsia="宋体"/>
          <w:color w:val="auto"/>
          <w:lang w:val="en-US" w:eastAsia="zh-CN"/>
        </w:rPr>
      </w:pPr>
      <w:r>
        <w:rPr>
          <w:rFonts w:hint="eastAsia"/>
          <w:color w:val="auto"/>
          <w:lang w:val="en-US" w:eastAsia="zh-CN"/>
        </w:rPr>
        <w:t>清沟河位于桩号K0+000右侧90m左右，本项目不跨越清沟河。项目建设2座中桥，中桥跨越的大沟和北一支渠均为农田灌溉水渠，现场踏勘发现大沟和北一支渠基本被植被覆盖，因此本项目不属于水文要素影响型。</w:t>
      </w:r>
    </w:p>
    <w:p>
      <w:pPr>
        <w:pStyle w:val="8"/>
        <w:rPr>
          <w:b/>
          <w:bCs/>
        </w:rPr>
      </w:pPr>
      <w:bookmarkStart w:id="81" w:name="_Toc8244"/>
      <w:r>
        <w:rPr>
          <w:b/>
          <w:bCs/>
        </w:rPr>
        <w:t>噪声评价等级</w:t>
      </w:r>
      <w:bookmarkEnd w:id="81"/>
    </w:p>
    <w:p>
      <w:pPr>
        <w:pStyle w:val="112"/>
        <w:ind w:firstLine="480"/>
      </w:pPr>
      <w:r>
        <w:t>声环境影响评价级别的划分是根据建设项目类型、所在功能区适用的环境标准类别及项目建设前后噪声级变化情况确定级别，本项目建设后区域环境噪声标准适用于《声环境质量标准》（GB3096-2008）中的2类及4a类标准，且项目建设</w:t>
      </w:r>
      <w:r>
        <w:rPr>
          <w:rFonts w:hint="eastAsia"/>
        </w:rPr>
        <w:t>前</w:t>
      </w:r>
      <w:r>
        <w:t>后</w:t>
      </w:r>
      <w:r>
        <w:rPr>
          <w:rFonts w:hint="eastAsia"/>
        </w:rPr>
        <w:t>声环境保护目标</w:t>
      </w:r>
      <w:r>
        <w:t>噪声</w:t>
      </w:r>
      <w:r>
        <w:rPr>
          <w:rFonts w:hint="eastAsia"/>
        </w:rPr>
        <w:t>级</w:t>
      </w:r>
      <w:r>
        <w:t>增量</w:t>
      </w:r>
      <w:r>
        <w:rPr>
          <w:rFonts w:hint="eastAsia"/>
        </w:rPr>
        <w:t>达</w:t>
      </w:r>
      <w:r>
        <w:t>5</w:t>
      </w:r>
      <w:r>
        <w:rPr>
          <w:rFonts w:hint="eastAsia"/>
        </w:rPr>
        <w:t>dB（A）以上（不含</w:t>
      </w:r>
      <w:r>
        <w:t>5</w:t>
      </w:r>
      <w:r>
        <w:rPr>
          <w:rFonts w:hint="eastAsia"/>
        </w:rPr>
        <w:t>dB（A））</w:t>
      </w:r>
      <w:r>
        <w:t>。按《环境影响评价技术导则声环境》（HJ2.4-2021）的规定，确定本项目声环境评价工作等级为一级。</w:t>
      </w:r>
    </w:p>
    <w:p>
      <w:pPr>
        <w:pStyle w:val="8"/>
        <w:rPr>
          <w:b/>
          <w:bCs/>
        </w:rPr>
      </w:pPr>
      <w:bookmarkStart w:id="82" w:name="_Toc32414"/>
      <w:r>
        <w:rPr>
          <w:b/>
          <w:bCs/>
        </w:rPr>
        <w:t>生态环境评价工作等级</w:t>
      </w:r>
      <w:bookmarkEnd w:id="82"/>
    </w:p>
    <w:p>
      <w:pPr>
        <w:pStyle w:val="112"/>
        <w:ind w:firstLine="480"/>
      </w:pPr>
      <w:r>
        <w:rPr>
          <w:rFonts w:hint="eastAsia"/>
        </w:rPr>
        <w:t>依据建设项目影响区域的生态敏感性和影响程度，评价等级划分为一级、二级和三级，按以下原则确定评价等级：</w:t>
      </w:r>
    </w:p>
    <w:p>
      <w:pPr>
        <w:pStyle w:val="112"/>
        <w:numPr>
          <w:ilvl w:val="0"/>
          <w:numId w:val="9"/>
        </w:numPr>
        <w:ind w:left="0" w:firstLine="480"/>
      </w:pPr>
      <w:r>
        <w:rPr>
          <w:rFonts w:hint="eastAsia"/>
        </w:rPr>
        <w:t>涉及国家公园、自然保护区、世界自然遗产、重要生境时，评价等级为一级；</w:t>
      </w:r>
    </w:p>
    <w:p>
      <w:pPr>
        <w:pStyle w:val="112"/>
        <w:numPr>
          <w:ilvl w:val="0"/>
          <w:numId w:val="9"/>
        </w:numPr>
        <w:ind w:left="0" w:firstLine="480"/>
      </w:pPr>
      <w:r>
        <w:rPr>
          <w:rFonts w:hint="eastAsia"/>
        </w:rPr>
        <w:t>涉及自然公园时，评价等级为二级；</w:t>
      </w:r>
    </w:p>
    <w:p>
      <w:pPr>
        <w:pStyle w:val="112"/>
        <w:numPr>
          <w:ilvl w:val="0"/>
          <w:numId w:val="9"/>
        </w:numPr>
        <w:ind w:left="0" w:firstLine="480"/>
      </w:pPr>
      <w:r>
        <w:rPr>
          <w:rFonts w:hint="eastAsia"/>
        </w:rPr>
        <w:t>涉及生态保护红线时，评价等级不低于二级；</w:t>
      </w:r>
    </w:p>
    <w:p>
      <w:pPr>
        <w:pStyle w:val="112"/>
        <w:numPr>
          <w:ilvl w:val="0"/>
          <w:numId w:val="9"/>
        </w:numPr>
        <w:ind w:left="0" w:firstLine="480"/>
      </w:pPr>
      <w:r>
        <w:rPr>
          <w:rFonts w:hint="eastAsia"/>
        </w:rPr>
        <w:t>根据HJ2.3判断属于水文要素影响型且地表水评价等级不低于二级的建设项目，生态影响评价等级不低于二级；</w:t>
      </w:r>
    </w:p>
    <w:p>
      <w:pPr>
        <w:pStyle w:val="112"/>
        <w:numPr>
          <w:ilvl w:val="0"/>
          <w:numId w:val="9"/>
        </w:numPr>
        <w:ind w:left="0" w:firstLine="480"/>
      </w:pPr>
      <w:r>
        <w:rPr>
          <w:rFonts w:hint="eastAsia"/>
        </w:rPr>
        <w:t>根据HJ610、HJ964判断地下水水位或土壤影响范围内分布有天然林、公益林、湿地等生态保护目标的建设项目，生态影响评价等级不低于二级；</w:t>
      </w:r>
    </w:p>
    <w:p>
      <w:pPr>
        <w:pStyle w:val="112"/>
        <w:numPr>
          <w:ilvl w:val="0"/>
          <w:numId w:val="9"/>
        </w:numPr>
        <w:ind w:left="0" w:firstLine="480"/>
      </w:pPr>
      <w:r>
        <w:rPr>
          <w:rFonts w:hint="eastAsia"/>
        </w:rPr>
        <w:t>当工程占地规模大于20km</w:t>
      </w:r>
      <w:r>
        <w:rPr>
          <w:rFonts w:hint="eastAsia"/>
          <w:vertAlign w:val="superscript"/>
        </w:rPr>
        <w:t>2</w:t>
      </w:r>
      <w:r>
        <w:rPr>
          <w:rFonts w:hint="eastAsia"/>
        </w:rPr>
        <w:t>时（包括永久和临时占用陆域和水域），评价等级不低于二级；改扩建项目的占地范围以新增占地（包括陆域和水域）确定；</w:t>
      </w:r>
    </w:p>
    <w:p>
      <w:pPr>
        <w:pStyle w:val="112"/>
        <w:numPr>
          <w:ilvl w:val="0"/>
          <w:numId w:val="9"/>
        </w:numPr>
        <w:ind w:left="0" w:firstLine="480"/>
      </w:pPr>
      <w:r>
        <w:rPr>
          <w:rFonts w:hint="eastAsia"/>
        </w:rPr>
        <w:t>除上述（1）~（6）以外的情况，评价等级为三级；</w:t>
      </w:r>
    </w:p>
    <w:p>
      <w:pPr>
        <w:pStyle w:val="10"/>
        <w:ind w:firstLine="480"/>
      </w:pPr>
      <w:r>
        <w:rPr>
          <w:rFonts w:hint="eastAsia"/>
        </w:rPr>
        <w:t>当评价等级判定同时符合上述多种情况时，应采用其中最高的评价等级。</w:t>
      </w:r>
    </w:p>
    <w:p>
      <w:pPr>
        <w:pStyle w:val="10"/>
        <w:ind w:firstLine="480"/>
      </w:pPr>
      <w:r>
        <w:t>本项目为新建工程，</w:t>
      </w:r>
      <w:r>
        <w:rPr>
          <w:rFonts w:hint="eastAsia"/>
        </w:rPr>
        <w:t>工程总占地</w:t>
      </w:r>
      <w:r>
        <w:t>592.09</w:t>
      </w:r>
      <w:r>
        <w:rPr>
          <w:rFonts w:hint="eastAsia"/>
        </w:rPr>
        <w:t>亩（0</w:t>
      </w:r>
      <w:r>
        <w:t>.39</w:t>
      </w:r>
      <w:r>
        <w:rPr>
          <w:rFonts w:hint="eastAsia"/>
        </w:rPr>
        <w:t>km</w:t>
      </w:r>
      <w:r>
        <w:rPr>
          <w:vertAlign w:val="superscript"/>
        </w:rPr>
        <w:t>2</w:t>
      </w:r>
      <w:r>
        <w:rPr>
          <w:rFonts w:hint="eastAsia"/>
        </w:rPr>
        <w:t>）＜20km</w:t>
      </w:r>
      <w:r>
        <w:rPr>
          <w:rFonts w:hint="eastAsia"/>
          <w:vertAlign w:val="superscript"/>
        </w:rPr>
        <w:t>2</w:t>
      </w:r>
      <w:r>
        <w:t>，项目</w:t>
      </w:r>
      <w:r>
        <w:rPr>
          <w:rFonts w:hint="eastAsia"/>
        </w:rPr>
        <w:t>评价范围内不涉及国家公园、自然保护区、世界自然遗产、重要生境、生态保护红线等，</w:t>
      </w:r>
      <w:r>
        <w:t>根据《环境影响评价技术导则</w:t>
      </w:r>
      <w:r>
        <w:rPr>
          <w:rFonts w:hint="eastAsia"/>
        </w:rPr>
        <w:t xml:space="preserve"> </w:t>
      </w:r>
      <w:r>
        <w:t>生态影响》（HJ19-2022）</w:t>
      </w:r>
      <w:r>
        <w:rPr>
          <w:rFonts w:hint="eastAsia"/>
        </w:rPr>
        <w:t>，属于上述（1）~（6）以外的情况，因此，根据</w:t>
      </w:r>
      <w:r>
        <w:t>评价等级划分原则</w:t>
      </w:r>
      <w:r>
        <w:rPr>
          <w:rFonts w:hint="eastAsia"/>
        </w:rPr>
        <w:t>，本项目</w:t>
      </w:r>
      <w:r>
        <w:t>生态环境评价等级</w:t>
      </w:r>
      <w:r>
        <w:rPr>
          <w:rFonts w:hint="eastAsia"/>
          <w:lang w:val="en-US" w:eastAsia="zh-CN"/>
        </w:rPr>
        <w:t>定为三级</w:t>
      </w:r>
      <w:r>
        <w:t>。</w:t>
      </w:r>
    </w:p>
    <w:p>
      <w:pPr>
        <w:pStyle w:val="8"/>
        <w:rPr>
          <w:b/>
          <w:bCs/>
        </w:rPr>
      </w:pPr>
      <w:bookmarkStart w:id="83" w:name="_Toc23249"/>
      <w:r>
        <w:rPr>
          <w:b/>
          <w:bCs/>
        </w:rPr>
        <w:t>地下水</w:t>
      </w:r>
      <w:bookmarkEnd w:id="83"/>
    </w:p>
    <w:p>
      <w:pPr>
        <w:pStyle w:val="10"/>
        <w:ind w:firstLine="480"/>
      </w:pPr>
      <w:r>
        <w:t>本项目属于</w:t>
      </w:r>
      <w:r>
        <w:rPr>
          <w:rFonts w:hint="default" w:ascii="Times New Roman" w:hAnsi="Times New Roman" w:cs="Times New Roman"/>
          <w:lang w:val="en-US" w:eastAsia="zh-CN"/>
        </w:rPr>
        <w:t>一级</w:t>
      </w:r>
      <w:r>
        <w:rPr>
          <w:rFonts w:hint="default" w:ascii="Times New Roman" w:hAnsi="Times New Roman" w:cs="Times New Roman"/>
        </w:rPr>
        <w:t>公路</w:t>
      </w:r>
      <w:r>
        <w:rPr>
          <w:rFonts w:hint="default" w:ascii="Times New Roman" w:hAnsi="Times New Roman" w:cs="Times New Roman"/>
          <w:lang w:val="en-US" w:eastAsia="zh-CN"/>
        </w:rPr>
        <w:t>建设</w:t>
      </w:r>
      <w:r>
        <w:rPr>
          <w:rFonts w:hint="default" w:ascii="Times New Roman" w:hAnsi="Times New Roman" w:cs="Times New Roman"/>
        </w:rPr>
        <w:t>项目</w:t>
      </w:r>
      <w:r>
        <w:t>，</w:t>
      </w:r>
      <w:r>
        <w:rPr>
          <w:rFonts w:hint="default" w:ascii="Times New Roman" w:hAnsi="Times New Roman" w:cs="Times New Roman"/>
        </w:rPr>
        <w:t>且不涉及服务区及加油站，</w:t>
      </w:r>
      <w:r>
        <w:rPr>
          <w:rFonts w:hint="default" w:ascii="Times New Roman" w:hAnsi="Times New Roman" w:cs="Times New Roman"/>
          <w:lang w:val="en-US" w:eastAsia="zh-CN"/>
        </w:rPr>
        <w:t>不</w:t>
      </w:r>
      <w:r>
        <w:rPr>
          <w:rFonts w:hint="default" w:ascii="Times New Roman" w:hAnsi="Times New Roman" w:cs="Times New Roman"/>
        </w:rPr>
        <w:t>涉及环境敏感区的1公里及以上的独立隧道；</w:t>
      </w:r>
      <w:r>
        <w:rPr>
          <w:rFonts w:hint="default" w:ascii="Times New Roman" w:hAnsi="Times New Roman" w:cs="Times New Roman"/>
          <w:lang w:val="en-US" w:eastAsia="zh-CN"/>
        </w:rPr>
        <w:t>不</w:t>
      </w:r>
      <w:r>
        <w:rPr>
          <w:rFonts w:hint="default" w:ascii="Times New Roman" w:hAnsi="Times New Roman" w:cs="Times New Roman"/>
        </w:rPr>
        <w:t>涉及环境敏感区的主桥长度1公里及以上的独立桥梁，因此敏感程度为不敏感</w:t>
      </w:r>
      <w:r>
        <w:rPr>
          <w:rFonts w:hint="eastAsia"/>
        </w:rPr>
        <w:t>，</w:t>
      </w:r>
      <w:r>
        <w:t>根据《环境影响评价技术导则</w:t>
      </w:r>
      <w:r>
        <w:rPr>
          <w:rFonts w:hint="eastAsia"/>
        </w:rPr>
        <w:t xml:space="preserve"> </w:t>
      </w:r>
      <w:r>
        <w:t>地下水环境》(HJ610-2016)</w:t>
      </w:r>
      <w:r>
        <w:rPr>
          <w:rFonts w:hint="eastAsia"/>
        </w:rPr>
        <w:t>中附录A</w:t>
      </w:r>
      <w:r>
        <w:t>，</w:t>
      </w:r>
      <w:r>
        <w:rPr>
          <w:rFonts w:hint="eastAsia"/>
        </w:rPr>
        <w:t>本项目地下水环境影响评价项目类别为</w:t>
      </w:r>
      <w:r>
        <w:t>Ⅳ类，无需开展地下水环境影响评价。</w:t>
      </w:r>
    </w:p>
    <w:p>
      <w:pPr>
        <w:pStyle w:val="8"/>
        <w:rPr>
          <w:b/>
          <w:bCs/>
          <w:i w:val="0"/>
          <w:iCs w:val="0"/>
        </w:rPr>
      </w:pPr>
      <w:bookmarkStart w:id="84" w:name="_Toc13526"/>
      <w:r>
        <w:rPr>
          <w:b/>
          <w:bCs/>
          <w:i w:val="0"/>
          <w:iCs w:val="0"/>
        </w:rPr>
        <w:t>环境风险</w:t>
      </w:r>
      <w:bookmarkEnd w:id="84"/>
    </w:p>
    <w:p>
      <w:pPr>
        <w:pStyle w:val="10"/>
        <w:ind w:firstLine="480"/>
      </w:pPr>
      <w:r>
        <w:t>本项目路线不涉及危险物质的生产、储存和使用</w:t>
      </w:r>
      <w:r>
        <w:rPr>
          <w:rFonts w:hint="eastAsia"/>
        </w:rPr>
        <w:t>，本</w:t>
      </w:r>
      <w:r>
        <w:rPr>
          <w:rFonts w:hint="eastAsia"/>
          <w:lang w:val="en-US" w:eastAsia="zh-CN"/>
        </w:rPr>
        <w:tab/>
      </w:r>
      <w:r>
        <w:rPr>
          <w:rFonts w:hint="eastAsia"/>
        </w:rPr>
        <w:t>次项目不涉及服务区及加油站，</w:t>
      </w:r>
      <w:r>
        <w:t>根据《建设项目环境风险技术导则》（HJ169-2018），</w:t>
      </w:r>
      <w:r>
        <w:rPr>
          <w:rFonts w:hint="eastAsia"/>
        </w:rPr>
        <w:t>本项目涉及的物质和工艺系统的危险性为轻度危害（P</w:t>
      </w:r>
      <w:r>
        <w:t>4</w:t>
      </w:r>
      <w:r>
        <w:rPr>
          <w:rFonts w:hint="eastAsia"/>
        </w:rPr>
        <w:t>）</w:t>
      </w:r>
      <w:r>
        <w:rPr>
          <w:rFonts w:hint="eastAsia"/>
          <w:lang w:eastAsia="zh-CN"/>
        </w:rPr>
        <w:t>，</w:t>
      </w:r>
      <w:r>
        <w:rPr>
          <w:rFonts w:hint="eastAsia"/>
          <w:lang w:val="en-US" w:eastAsia="zh-CN"/>
        </w:rPr>
        <w:t>周边500m范围内人口总数小于500人，</w:t>
      </w:r>
      <w:r>
        <w:rPr>
          <w:rFonts w:hint="eastAsia"/>
        </w:rPr>
        <w:t>所在地的环境敏感程度低（E</w:t>
      </w:r>
      <w:r>
        <w:t>3</w:t>
      </w:r>
      <w:r>
        <w:rPr>
          <w:rFonts w:hint="eastAsia"/>
        </w:rPr>
        <w:t>）</w:t>
      </w:r>
      <w:r>
        <w:rPr>
          <w:rFonts w:hint="eastAsia"/>
          <w:lang w:eastAsia="zh-CN"/>
        </w:rPr>
        <w:t>，</w:t>
      </w:r>
      <w:r>
        <w:rPr>
          <w:rFonts w:hint="eastAsia"/>
        </w:rPr>
        <w:t>判定环境风险潜势为</w:t>
      </w:r>
      <w:r>
        <w:t>Ⅰ，等级为简单分析，但针对穿越水体路段进行了营运期危化品泄漏的影响</w:t>
      </w:r>
      <w:r>
        <w:rPr>
          <w:rFonts w:hint="eastAsia"/>
        </w:rPr>
        <w:t>评价</w:t>
      </w:r>
      <w:r>
        <w:t>。</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w:t>
      </w:r>
      <w:r>
        <w:rPr>
          <w:rFonts w:hint="eastAsia"/>
        </w:rPr>
        <w:t>建设项目环境风险潜势划分</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5"/>
        <w:gridCol w:w="1663"/>
        <w:gridCol w:w="1664"/>
        <w:gridCol w:w="1664"/>
        <w:gridCol w:w="16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5" w:type="dxa"/>
            <w:vMerge w:val="restart"/>
            <w:vAlign w:val="center"/>
          </w:tcPr>
          <w:p>
            <w:pPr>
              <w:pStyle w:val="112"/>
              <w:spacing w:line="240" w:lineRule="auto"/>
              <w:ind w:firstLine="0" w:firstLineChars="0"/>
              <w:jc w:val="center"/>
              <w:rPr>
                <w:b/>
                <w:bCs/>
                <w:sz w:val="21"/>
                <w:szCs w:val="21"/>
              </w:rPr>
            </w:pPr>
            <w:r>
              <w:rPr>
                <w:b/>
                <w:bCs/>
                <w:sz w:val="21"/>
                <w:szCs w:val="21"/>
              </w:rPr>
              <w:t>环境敏感程度</w:t>
            </w:r>
          </w:p>
        </w:tc>
        <w:tc>
          <w:tcPr>
            <w:tcW w:w="6655" w:type="dxa"/>
            <w:gridSpan w:val="4"/>
            <w:vAlign w:val="center"/>
          </w:tcPr>
          <w:p>
            <w:pPr>
              <w:pStyle w:val="112"/>
              <w:spacing w:line="240" w:lineRule="auto"/>
              <w:ind w:firstLine="0" w:firstLineChars="0"/>
              <w:jc w:val="center"/>
              <w:rPr>
                <w:b/>
                <w:bCs/>
                <w:sz w:val="21"/>
                <w:szCs w:val="21"/>
              </w:rPr>
            </w:pPr>
            <w:r>
              <w:rPr>
                <w:b/>
                <w:bCs/>
                <w:sz w:val="21"/>
                <w:szCs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5" w:type="dxa"/>
            <w:vMerge w:val="continue"/>
            <w:vAlign w:val="center"/>
          </w:tcPr>
          <w:p>
            <w:pPr>
              <w:pStyle w:val="112"/>
              <w:spacing w:line="240" w:lineRule="auto"/>
              <w:ind w:firstLine="0" w:firstLineChars="0"/>
              <w:jc w:val="center"/>
              <w:rPr>
                <w:sz w:val="21"/>
                <w:szCs w:val="21"/>
              </w:rPr>
            </w:pPr>
          </w:p>
        </w:tc>
        <w:tc>
          <w:tcPr>
            <w:tcW w:w="1663" w:type="dxa"/>
            <w:vAlign w:val="center"/>
          </w:tcPr>
          <w:p>
            <w:pPr>
              <w:pStyle w:val="112"/>
              <w:spacing w:line="240" w:lineRule="auto"/>
              <w:ind w:firstLine="0" w:firstLineChars="0"/>
              <w:jc w:val="center"/>
              <w:rPr>
                <w:sz w:val="21"/>
                <w:szCs w:val="21"/>
              </w:rPr>
            </w:pPr>
            <w:r>
              <w:rPr>
                <w:sz w:val="21"/>
                <w:szCs w:val="21"/>
              </w:rPr>
              <w:t>极高危害（P1）</w:t>
            </w:r>
          </w:p>
        </w:tc>
        <w:tc>
          <w:tcPr>
            <w:tcW w:w="1664" w:type="dxa"/>
            <w:vAlign w:val="center"/>
          </w:tcPr>
          <w:p>
            <w:pPr>
              <w:pStyle w:val="112"/>
              <w:spacing w:line="240" w:lineRule="auto"/>
              <w:ind w:firstLine="0" w:firstLineChars="0"/>
              <w:jc w:val="center"/>
              <w:rPr>
                <w:sz w:val="21"/>
                <w:szCs w:val="21"/>
              </w:rPr>
            </w:pPr>
            <w:r>
              <w:rPr>
                <w:sz w:val="21"/>
                <w:szCs w:val="21"/>
              </w:rPr>
              <w:t>高度危害（P2）</w:t>
            </w:r>
          </w:p>
        </w:tc>
        <w:tc>
          <w:tcPr>
            <w:tcW w:w="1664" w:type="dxa"/>
            <w:vAlign w:val="center"/>
          </w:tcPr>
          <w:p>
            <w:pPr>
              <w:pStyle w:val="112"/>
              <w:spacing w:line="240" w:lineRule="auto"/>
              <w:ind w:firstLine="0" w:firstLineChars="0"/>
              <w:jc w:val="center"/>
              <w:rPr>
                <w:sz w:val="21"/>
                <w:szCs w:val="21"/>
              </w:rPr>
            </w:pPr>
            <w:r>
              <w:rPr>
                <w:sz w:val="21"/>
                <w:szCs w:val="21"/>
              </w:rPr>
              <w:t>中度危害（P3）</w:t>
            </w:r>
          </w:p>
        </w:tc>
        <w:tc>
          <w:tcPr>
            <w:tcW w:w="1664" w:type="dxa"/>
            <w:vAlign w:val="center"/>
          </w:tcPr>
          <w:p>
            <w:pPr>
              <w:pStyle w:val="112"/>
              <w:spacing w:line="240" w:lineRule="auto"/>
              <w:ind w:firstLine="0" w:firstLineChars="0"/>
              <w:jc w:val="center"/>
              <w:rPr>
                <w:sz w:val="21"/>
                <w:szCs w:val="21"/>
              </w:rPr>
            </w:pPr>
            <w:r>
              <w:rPr>
                <w:sz w:val="21"/>
                <w:szCs w:val="21"/>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5" w:type="dxa"/>
            <w:vAlign w:val="center"/>
          </w:tcPr>
          <w:p>
            <w:pPr>
              <w:pStyle w:val="112"/>
              <w:spacing w:line="240" w:lineRule="auto"/>
              <w:ind w:firstLine="0" w:firstLineChars="0"/>
              <w:jc w:val="center"/>
              <w:rPr>
                <w:sz w:val="21"/>
                <w:szCs w:val="21"/>
              </w:rPr>
            </w:pPr>
            <w:r>
              <w:rPr>
                <w:sz w:val="21"/>
                <w:szCs w:val="21"/>
              </w:rPr>
              <w:t>环境高度敏感区（E1）</w:t>
            </w:r>
          </w:p>
        </w:tc>
        <w:tc>
          <w:tcPr>
            <w:tcW w:w="1663" w:type="dxa"/>
            <w:vAlign w:val="center"/>
          </w:tcPr>
          <w:p>
            <w:pPr>
              <w:spacing w:line="240" w:lineRule="auto"/>
              <w:jc w:val="center"/>
              <w:rPr>
                <w:sz w:val="21"/>
                <w:szCs w:val="21"/>
              </w:rPr>
            </w:pPr>
            <w:r>
              <w:rPr>
                <w:sz w:val="21"/>
                <w:szCs w:val="21"/>
              </w:rPr>
              <w:t>Ⅳ</w:t>
            </w:r>
            <w:r>
              <w:rPr>
                <w:sz w:val="21"/>
                <w:szCs w:val="21"/>
                <w:vertAlign w:val="superscript"/>
              </w:rPr>
              <w:t>+</w:t>
            </w:r>
          </w:p>
        </w:tc>
        <w:tc>
          <w:tcPr>
            <w:tcW w:w="1664" w:type="dxa"/>
            <w:vAlign w:val="center"/>
          </w:tcPr>
          <w:p>
            <w:pPr>
              <w:pStyle w:val="112"/>
              <w:spacing w:line="240" w:lineRule="auto"/>
              <w:ind w:firstLine="0" w:firstLineChars="0"/>
              <w:jc w:val="center"/>
              <w:rPr>
                <w:sz w:val="21"/>
                <w:szCs w:val="21"/>
              </w:rPr>
            </w:pPr>
            <w:r>
              <w:rPr>
                <w:sz w:val="21"/>
                <w:szCs w:val="21"/>
              </w:rPr>
              <w:t>Ⅳ</w:t>
            </w:r>
          </w:p>
        </w:tc>
        <w:tc>
          <w:tcPr>
            <w:tcW w:w="1664" w:type="dxa"/>
            <w:vAlign w:val="center"/>
          </w:tcPr>
          <w:p>
            <w:pPr>
              <w:pStyle w:val="112"/>
              <w:spacing w:line="240" w:lineRule="auto"/>
              <w:ind w:firstLine="0" w:firstLineChars="0"/>
              <w:jc w:val="center"/>
              <w:rPr>
                <w:sz w:val="21"/>
                <w:szCs w:val="21"/>
              </w:rPr>
            </w:pPr>
            <w:r>
              <w:rPr>
                <w:sz w:val="21"/>
                <w:szCs w:val="21"/>
              </w:rPr>
              <w:t>Ⅲ</w:t>
            </w:r>
          </w:p>
        </w:tc>
        <w:tc>
          <w:tcPr>
            <w:tcW w:w="1664" w:type="dxa"/>
            <w:vAlign w:val="center"/>
          </w:tcPr>
          <w:p>
            <w:pPr>
              <w:pStyle w:val="112"/>
              <w:spacing w:line="240" w:lineRule="auto"/>
              <w:ind w:firstLine="0" w:firstLineChars="0"/>
              <w:jc w:val="center"/>
              <w:rPr>
                <w:sz w:val="21"/>
                <w:szCs w:val="21"/>
              </w:rPr>
            </w:pPr>
            <w:r>
              <w:rPr>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5" w:type="dxa"/>
            <w:vAlign w:val="center"/>
          </w:tcPr>
          <w:p>
            <w:pPr>
              <w:pStyle w:val="112"/>
              <w:spacing w:line="240" w:lineRule="auto"/>
              <w:ind w:firstLine="0" w:firstLineChars="0"/>
              <w:jc w:val="center"/>
              <w:rPr>
                <w:sz w:val="21"/>
                <w:szCs w:val="21"/>
              </w:rPr>
            </w:pPr>
            <w:r>
              <w:rPr>
                <w:sz w:val="21"/>
                <w:szCs w:val="21"/>
              </w:rPr>
              <w:t>环境中度敏感区（E2）</w:t>
            </w:r>
          </w:p>
        </w:tc>
        <w:tc>
          <w:tcPr>
            <w:tcW w:w="1663" w:type="dxa"/>
            <w:vAlign w:val="center"/>
          </w:tcPr>
          <w:p>
            <w:pPr>
              <w:pStyle w:val="112"/>
              <w:spacing w:line="240" w:lineRule="auto"/>
              <w:ind w:firstLine="0" w:firstLineChars="0"/>
              <w:jc w:val="center"/>
              <w:rPr>
                <w:sz w:val="21"/>
                <w:szCs w:val="21"/>
              </w:rPr>
            </w:pPr>
            <w:r>
              <w:rPr>
                <w:sz w:val="21"/>
                <w:szCs w:val="21"/>
              </w:rPr>
              <w:t>Ⅳ</w:t>
            </w:r>
          </w:p>
        </w:tc>
        <w:tc>
          <w:tcPr>
            <w:tcW w:w="1664" w:type="dxa"/>
            <w:vAlign w:val="center"/>
          </w:tcPr>
          <w:p>
            <w:pPr>
              <w:pStyle w:val="112"/>
              <w:spacing w:line="240" w:lineRule="auto"/>
              <w:ind w:firstLine="0" w:firstLineChars="0"/>
              <w:jc w:val="center"/>
              <w:rPr>
                <w:sz w:val="21"/>
                <w:szCs w:val="21"/>
              </w:rPr>
            </w:pPr>
            <w:r>
              <w:rPr>
                <w:sz w:val="21"/>
                <w:szCs w:val="21"/>
              </w:rPr>
              <w:t>Ⅲ</w:t>
            </w:r>
          </w:p>
        </w:tc>
        <w:tc>
          <w:tcPr>
            <w:tcW w:w="1664" w:type="dxa"/>
            <w:vAlign w:val="center"/>
          </w:tcPr>
          <w:p>
            <w:pPr>
              <w:pStyle w:val="112"/>
              <w:spacing w:line="240" w:lineRule="auto"/>
              <w:ind w:firstLine="0" w:firstLineChars="0"/>
              <w:jc w:val="center"/>
              <w:rPr>
                <w:sz w:val="21"/>
                <w:szCs w:val="21"/>
              </w:rPr>
            </w:pPr>
            <w:r>
              <w:rPr>
                <w:sz w:val="21"/>
                <w:szCs w:val="21"/>
              </w:rPr>
              <w:t>Ⅲ</w:t>
            </w:r>
          </w:p>
        </w:tc>
        <w:tc>
          <w:tcPr>
            <w:tcW w:w="1664" w:type="dxa"/>
            <w:vAlign w:val="center"/>
          </w:tcPr>
          <w:p>
            <w:pPr>
              <w:pStyle w:val="112"/>
              <w:spacing w:line="240" w:lineRule="auto"/>
              <w:ind w:firstLine="0" w:firstLineChars="0"/>
              <w:jc w:val="center"/>
              <w:rPr>
                <w:sz w:val="21"/>
                <w:szCs w:val="21"/>
              </w:rPr>
            </w:pPr>
            <w:r>
              <w:rPr>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5" w:type="dxa"/>
            <w:vAlign w:val="center"/>
          </w:tcPr>
          <w:p>
            <w:pPr>
              <w:pStyle w:val="112"/>
              <w:spacing w:line="240" w:lineRule="auto"/>
              <w:ind w:firstLine="0" w:firstLineChars="0"/>
              <w:jc w:val="center"/>
              <w:rPr>
                <w:sz w:val="21"/>
                <w:szCs w:val="21"/>
              </w:rPr>
            </w:pPr>
            <w:r>
              <w:rPr>
                <w:sz w:val="21"/>
                <w:szCs w:val="21"/>
              </w:rPr>
              <w:t>环境低度敏感区（E3）</w:t>
            </w:r>
          </w:p>
        </w:tc>
        <w:tc>
          <w:tcPr>
            <w:tcW w:w="1663" w:type="dxa"/>
            <w:vAlign w:val="center"/>
          </w:tcPr>
          <w:p>
            <w:pPr>
              <w:pStyle w:val="112"/>
              <w:spacing w:line="240" w:lineRule="auto"/>
              <w:ind w:firstLine="0" w:firstLineChars="0"/>
              <w:jc w:val="center"/>
              <w:rPr>
                <w:sz w:val="21"/>
                <w:szCs w:val="21"/>
              </w:rPr>
            </w:pPr>
            <w:r>
              <w:rPr>
                <w:sz w:val="21"/>
                <w:szCs w:val="21"/>
              </w:rPr>
              <w:t>Ⅲ</w:t>
            </w:r>
          </w:p>
        </w:tc>
        <w:tc>
          <w:tcPr>
            <w:tcW w:w="1664" w:type="dxa"/>
            <w:vAlign w:val="center"/>
          </w:tcPr>
          <w:p>
            <w:pPr>
              <w:pStyle w:val="112"/>
              <w:spacing w:line="240" w:lineRule="auto"/>
              <w:ind w:firstLine="0" w:firstLineChars="0"/>
              <w:jc w:val="center"/>
              <w:rPr>
                <w:sz w:val="21"/>
                <w:szCs w:val="21"/>
              </w:rPr>
            </w:pPr>
            <w:r>
              <w:rPr>
                <w:sz w:val="21"/>
                <w:szCs w:val="21"/>
              </w:rPr>
              <w:t>Ⅲ</w:t>
            </w:r>
          </w:p>
        </w:tc>
        <w:tc>
          <w:tcPr>
            <w:tcW w:w="1664" w:type="dxa"/>
            <w:vAlign w:val="center"/>
          </w:tcPr>
          <w:p>
            <w:pPr>
              <w:pStyle w:val="112"/>
              <w:spacing w:line="240" w:lineRule="auto"/>
              <w:ind w:firstLine="0" w:firstLineChars="0"/>
              <w:jc w:val="center"/>
              <w:rPr>
                <w:sz w:val="21"/>
                <w:szCs w:val="21"/>
              </w:rPr>
            </w:pPr>
            <w:r>
              <w:rPr>
                <w:sz w:val="21"/>
                <w:szCs w:val="21"/>
              </w:rPr>
              <w:t>Ⅱ</w:t>
            </w:r>
          </w:p>
        </w:tc>
        <w:tc>
          <w:tcPr>
            <w:tcW w:w="1664" w:type="dxa"/>
            <w:shd w:val="clear" w:color="auto" w:fill="D8D8D8" w:themeFill="background1" w:themeFillShade="D9"/>
            <w:vAlign w:val="center"/>
          </w:tcPr>
          <w:p>
            <w:pPr>
              <w:pStyle w:val="112"/>
              <w:spacing w:line="240" w:lineRule="auto"/>
              <w:ind w:firstLine="0" w:firstLineChars="0"/>
              <w:jc w:val="center"/>
              <w:rPr>
                <w:sz w:val="21"/>
                <w:szCs w:val="21"/>
              </w:rPr>
            </w:pPr>
            <w:r>
              <w:rPr>
                <w:sz w:val="21"/>
                <w:szCs w:val="21"/>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gridSpan w:val="5"/>
            <w:vAlign w:val="center"/>
          </w:tcPr>
          <w:p>
            <w:pPr>
              <w:pStyle w:val="112"/>
              <w:spacing w:line="240" w:lineRule="auto"/>
              <w:ind w:firstLine="0" w:firstLineChars="0"/>
              <w:rPr>
                <w:sz w:val="21"/>
                <w:szCs w:val="21"/>
              </w:rPr>
            </w:pPr>
            <w:r>
              <w:rPr>
                <w:sz w:val="21"/>
                <w:szCs w:val="21"/>
              </w:rPr>
              <w:t>注：Ⅳ</w:t>
            </w:r>
            <w:r>
              <w:rPr>
                <w:sz w:val="21"/>
                <w:szCs w:val="21"/>
                <w:vertAlign w:val="superscript"/>
              </w:rPr>
              <w:t>+</w:t>
            </w:r>
            <w:r>
              <w:rPr>
                <w:sz w:val="21"/>
                <w:szCs w:val="21"/>
              </w:rPr>
              <w:t>为极高环境风险。</w:t>
            </w:r>
          </w:p>
        </w:tc>
      </w:tr>
    </w:tbl>
    <w:p>
      <w:pPr>
        <w:pStyle w:val="8"/>
        <w:rPr>
          <w:b/>
          <w:bCs/>
        </w:rPr>
      </w:pPr>
      <w:bookmarkStart w:id="85" w:name="_Toc7195"/>
      <w:r>
        <w:rPr>
          <w:b/>
          <w:bCs/>
        </w:rPr>
        <w:t>土壤环境</w:t>
      </w:r>
      <w:bookmarkEnd w:id="85"/>
    </w:p>
    <w:p>
      <w:pPr>
        <w:pStyle w:val="10"/>
        <w:ind w:firstLine="480"/>
        <w:rPr>
          <w:lang w:val="zh-CN"/>
        </w:rPr>
      </w:pPr>
      <w:r>
        <w:t>本项目为</w:t>
      </w:r>
      <w:r>
        <w:rPr>
          <w:rFonts w:hint="default" w:ascii="Times New Roman" w:hAnsi="Times New Roman" w:cs="Times New Roman"/>
          <w:lang w:val="en-US" w:eastAsia="zh-CN"/>
        </w:rPr>
        <w:t>一级</w:t>
      </w:r>
      <w:r>
        <w:rPr>
          <w:rFonts w:hint="default" w:ascii="Times New Roman" w:hAnsi="Times New Roman" w:cs="Times New Roman"/>
        </w:rPr>
        <w:t>公路</w:t>
      </w:r>
      <w:r>
        <w:rPr>
          <w:rFonts w:hint="default" w:ascii="Times New Roman" w:hAnsi="Times New Roman" w:cs="Times New Roman"/>
          <w:lang w:val="en-US" w:eastAsia="zh-CN"/>
        </w:rPr>
        <w:t>建设</w:t>
      </w:r>
      <w:r>
        <w:rPr>
          <w:rFonts w:hint="default" w:ascii="Times New Roman" w:hAnsi="Times New Roman" w:cs="Times New Roman"/>
        </w:rPr>
        <w:t>项目</w:t>
      </w:r>
      <w:r>
        <w:t>，且本次项目不涉及服务区及加油站，根据《环境影响评价技术导则 土壤环境（试行）》（HJ964-2018）附录A，属于“交通运输仓储邮政业中的其他类”，</w:t>
      </w:r>
      <w:r>
        <w:rPr>
          <w:rFonts w:hint="eastAsia"/>
        </w:rPr>
        <w:t>土壤环境影响评价项目类别</w:t>
      </w:r>
      <w:r>
        <w:t>为Ⅳ类，可不开展土壤环境影响评价。</w:t>
      </w:r>
    </w:p>
    <w:p>
      <w:pPr>
        <w:pStyle w:val="7"/>
        <w:rPr>
          <w:b/>
          <w:bCs/>
          <w:sz w:val="28"/>
          <w:szCs w:val="28"/>
        </w:rPr>
      </w:pPr>
      <w:bookmarkStart w:id="86" w:name="_Toc455016448"/>
      <w:bookmarkStart w:id="87" w:name="_Toc234679576"/>
      <w:bookmarkStart w:id="88" w:name="_Toc289442040"/>
      <w:bookmarkStart w:id="89" w:name="_Toc703"/>
      <w:bookmarkStart w:id="90" w:name="_Toc3283"/>
      <w:r>
        <w:rPr>
          <w:b/>
          <w:bCs/>
          <w:sz w:val="28"/>
          <w:szCs w:val="28"/>
        </w:rPr>
        <w:t>评价范围</w:t>
      </w:r>
      <w:bookmarkEnd w:id="86"/>
      <w:bookmarkEnd w:id="87"/>
      <w:bookmarkEnd w:id="88"/>
      <w:bookmarkEnd w:id="89"/>
      <w:bookmarkEnd w:id="90"/>
    </w:p>
    <w:p>
      <w:pPr>
        <w:pStyle w:val="10"/>
        <w:ind w:firstLine="480"/>
      </w:pPr>
      <w:bookmarkStart w:id="91" w:name="_Toc234679577"/>
      <w:r>
        <w:t>项目评价范围见表2.5-1。</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项目评价范围一览表</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7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pct"/>
            <w:vAlign w:val="center"/>
          </w:tcPr>
          <w:p>
            <w:pPr>
              <w:pStyle w:val="1132"/>
              <w:rPr>
                <w:b/>
                <w:bCs w:val="0"/>
              </w:rPr>
            </w:pPr>
            <w:r>
              <w:rPr>
                <w:b/>
                <w:bCs w:val="0"/>
              </w:rPr>
              <w:t>评价对象</w:t>
            </w:r>
          </w:p>
        </w:tc>
        <w:tc>
          <w:tcPr>
            <w:tcW w:w="4188" w:type="pct"/>
            <w:vAlign w:val="center"/>
          </w:tcPr>
          <w:p>
            <w:pPr>
              <w:pStyle w:val="1132"/>
              <w:rPr>
                <w:b/>
                <w:bCs w:val="0"/>
              </w:rPr>
            </w:pPr>
            <w:r>
              <w:rPr>
                <w:b/>
                <w:bCs w:val="0"/>
              </w:rPr>
              <w:t>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pct"/>
            <w:vAlign w:val="center"/>
          </w:tcPr>
          <w:p>
            <w:pPr>
              <w:pStyle w:val="1132"/>
            </w:pPr>
            <w:r>
              <w:t>环境空气</w:t>
            </w:r>
          </w:p>
        </w:tc>
        <w:tc>
          <w:tcPr>
            <w:tcW w:w="4188" w:type="pct"/>
            <w:vAlign w:val="center"/>
          </w:tcPr>
          <w:p>
            <w:pPr>
              <w:pStyle w:val="1132"/>
              <w:jc w:val="both"/>
              <w:rPr>
                <w:rFonts w:hint="eastAsia" w:eastAsia="宋体"/>
                <w:lang w:val="en-US" w:eastAsia="zh-CN"/>
              </w:rPr>
            </w:pPr>
            <w:r>
              <w:rPr>
                <w:rFonts w:hint="eastAsia"/>
              </w:rPr>
              <w:t>道路中心线两侧2</w:t>
            </w:r>
            <w:r>
              <w:t>00</w:t>
            </w:r>
            <w:r>
              <w:rPr>
                <w:rFonts w:hint="eastAsia"/>
              </w:rPr>
              <w:t>m范围内</w:t>
            </w:r>
            <w:r>
              <w:rPr>
                <w:rFonts w:hint="eastAsia"/>
                <w:lang w:val="en-US" w:eastAsia="zh-CN"/>
              </w:rPr>
              <w:t>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pct"/>
            <w:vAlign w:val="center"/>
          </w:tcPr>
          <w:p>
            <w:pPr>
              <w:pStyle w:val="1132"/>
            </w:pPr>
            <w:r>
              <w:t>地表水环境</w:t>
            </w:r>
          </w:p>
        </w:tc>
        <w:tc>
          <w:tcPr>
            <w:tcW w:w="4188" w:type="pct"/>
            <w:vAlign w:val="center"/>
          </w:tcPr>
          <w:p>
            <w:pPr>
              <w:pStyle w:val="1132"/>
              <w:jc w:val="both"/>
            </w:pPr>
            <w:r>
              <w:rPr>
                <w:rFonts w:hint="eastAsia"/>
              </w:rPr>
              <w:t>道路中心线两侧各200m内区域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pct"/>
            <w:vAlign w:val="center"/>
          </w:tcPr>
          <w:p>
            <w:pPr>
              <w:pStyle w:val="1132"/>
            </w:pPr>
            <w:r>
              <w:t>声环境</w:t>
            </w:r>
          </w:p>
        </w:tc>
        <w:tc>
          <w:tcPr>
            <w:tcW w:w="4188" w:type="pct"/>
            <w:vAlign w:val="center"/>
          </w:tcPr>
          <w:p>
            <w:pPr>
              <w:pStyle w:val="1132"/>
              <w:jc w:val="both"/>
            </w:pPr>
            <w:r>
              <w:t>道路中心线两侧各200</w:t>
            </w:r>
            <w:r>
              <w:rPr>
                <w:rFonts w:hint="eastAsia"/>
              </w:rPr>
              <w:t>m</w:t>
            </w:r>
            <w:r>
              <w:t>以内范围</w:t>
            </w:r>
            <w:r>
              <w:rPr>
                <w:rFonts w:hint="eastAsia"/>
              </w:rPr>
              <w:t>；大临工程施工场界周边200m范围内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pct"/>
            <w:vAlign w:val="center"/>
          </w:tcPr>
          <w:p>
            <w:pPr>
              <w:pStyle w:val="1132"/>
            </w:pPr>
            <w:r>
              <w:t>生态环境</w:t>
            </w:r>
          </w:p>
        </w:tc>
        <w:tc>
          <w:tcPr>
            <w:tcW w:w="4188" w:type="pct"/>
            <w:vAlign w:val="center"/>
          </w:tcPr>
          <w:p>
            <w:pPr>
              <w:pStyle w:val="1132"/>
              <w:jc w:val="both"/>
              <w:rPr>
                <w:rFonts w:hint="eastAsia" w:eastAsia="宋体"/>
                <w:lang w:eastAsia="zh-CN"/>
              </w:rPr>
            </w:pPr>
            <w:r>
              <w:t>公路中心线两侧各300m以内区域及公路沿线动土范围</w:t>
            </w:r>
            <w:r>
              <w:rPr>
                <w:rFonts w:hint="eastAsia"/>
                <w:lang w:eastAsia="zh-CN"/>
              </w:rPr>
              <w:t>（</w:t>
            </w:r>
            <w:r>
              <w:t>包括涉及</w:t>
            </w:r>
            <w:r>
              <w:rPr>
                <w:rFonts w:hint="eastAsia"/>
              </w:rPr>
              <w:t>的</w:t>
            </w:r>
            <w:r>
              <w:t>弃土场、便道和施工场地区等临时用地</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pct"/>
            <w:vAlign w:val="center"/>
          </w:tcPr>
          <w:p>
            <w:pPr>
              <w:pStyle w:val="1132"/>
            </w:pPr>
            <w:r>
              <w:t>环境风险</w:t>
            </w:r>
          </w:p>
        </w:tc>
        <w:tc>
          <w:tcPr>
            <w:tcW w:w="4188" w:type="pct"/>
            <w:vAlign w:val="center"/>
          </w:tcPr>
          <w:p>
            <w:pPr>
              <w:pStyle w:val="1132"/>
              <w:jc w:val="both"/>
            </w:pPr>
            <w:r>
              <w:rPr>
                <w:rFonts w:hint="eastAsia"/>
              </w:rPr>
              <w:t>道路中心线两侧各200m内区域</w:t>
            </w:r>
          </w:p>
        </w:tc>
      </w:tr>
      <w:bookmarkEnd w:id="91"/>
    </w:tbl>
    <w:p>
      <w:pPr>
        <w:pStyle w:val="7"/>
        <w:rPr>
          <w:b/>
          <w:bCs/>
          <w:sz w:val="28"/>
          <w:szCs w:val="28"/>
        </w:rPr>
      </w:pPr>
      <w:bookmarkStart w:id="92" w:name="_Toc455016449"/>
      <w:bookmarkStart w:id="93" w:name="_Toc17449"/>
      <w:bookmarkStart w:id="94" w:name="_Toc2505"/>
      <w:r>
        <w:rPr>
          <w:b/>
          <w:bCs/>
          <w:sz w:val="28"/>
          <w:szCs w:val="28"/>
        </w:rPr>
        <w:t>环境功能区划与评价标准</w:t>
      </w:r>
      <w:bookmarkEnd w:id="92"/>
      <w:bookmarkEnd w:id="93"/>
      <w:bookmarkEnd w:id="94"/>
    </w:p>
    <w:p>
      <w:pPr>
        <w:pStyle w:val="8"/>
        <w:rPr>
          <w:b/>
          <w:bCs/>
        </w:rPr>
      </w:pPr>
      <w:bookmarkStart w:id="95" w:name="_Toc32727"/>
      <w:r>
        <w:rPr>
          <w:b/>
          <w:bCs/>
        </w:rPr>
        <w:t>环境功能区划</w:t>
      </w:r>
      <w:bookmarkEnd w:id="95"/>
    </w:p>
    <w:p>
      <w:pPr>
        <w:pStyle w:val="9"/>
      </w:pPr>
      <w:bookmarkStart w:id="96" w:name="_Toc27966"/>
      <w:r>
        <w:t>声环境</w:t>
      </w:r>
      <w:bookmarkEnd w:id="96"/>
    </w:p>
    <w:p>
      <w:pPr>
        <w:pStyle w:val="10"/>
        <w:ind w:firstLine="480"/>
      </w:pPr>
      <w:r>
        <w:t>项目位于农村区域，根据</w:t>
      </w:r>
      <w:r>
        <w:rPr>
          <w:rFonts w:hint="eastAsia"/>
        </w:rPr>
        <w:t>《关于公路、铁路（含轻轨）等建设项目环境影响评价中环境噪声有关问题的通知》（环发〔2003〕94号）、</w:t>
      </w:r>
      <w:r>
        <w:t>《声环境质量标准》(GB3096-2008)、《声环境功能区划分技术规范》(GB/T15190-2014)</w:t>
      </w:r>
      <w:r>
        <w:rPr>
          <w:rFonts w:hint="eastAsia"/>
          <w:lang w:val="en-US" w:eastAsia="zh-CN"/>
        </w:rPr>
        <w:t>和《蚌埠市声环境功能区划分方案（修订）》</w:t>
      </w:r>
      <w:r>
        <w:t>，评价范围内，现有交通干线边界线外两侧各35米以内区域为4a类功能区，35米以外等其他评价区域均为2类声功能区。</w:t>
      </w:r>
    </w:p>
    <w:p>
      <w:pPr>
        <w:pStyle w:val="9"/>
      </w:pPr>
      <w:bookmarkStart w:id="97" w:name="_Toc8996"/>
      <w:r>
        <w:t>地表水环境</w:t>
      </w:r>
      <w:bookmarkEnd w:id="97"/>
    </w:p>
    <w:p>
      <w:pPr>
        <w:pStyle w:val="112"/>
        <w:ind w:firstLine="480"/>
        <w:rPr>
          <w:snapToGrid w:val="0"/>
        </w:rPr>
      </w:pPr>
      <w:r>
        <w:t>本项目</w:t>
      </w:r>
      <w:r>
        <w:rPr>
          <w:rFonts w:hint="eastAsia"/>
        </w:rPr>
        <w:t>周边</w:t>
      </w:r>
      <w:r>
        <w:t>地表水体主要</w:t>
      </w:r>
      <w:r>
        <w:rPr>
          <w:rFonts w:hint="eastAsia"/>
        </w:rPr>
        <w:t>为清沟河、大沟和北一支渠</w:t>
      </w:r>
      <w:r>
        <w:rPr>
          <w:snapToGrid w:val="0"/>
        </w:rPr>
        <w:t>，</w:t>
      </w:r>
      <w:r>
        <w:rPr>
          <w:rFonts w:hint="eastAsia"/>
          <w:snapToGrid w:val="0"/>
        </w:rPr>
        <w:t>沿线地表</w:t>
      </w:r>
      <w:r>
        <w:rPr>
          <w:snapToGrid w:val="0"/>
        </w:rPr>
        <w:t>水环境功能区划见表2.6-1。</w:t>
      </w:r>
      <w:r>
        <w:rPr>
          <w:rFonts w:hint="eastAsia"/>
          <w:snapToGrid w:val="0"/>
        </w:rPr>
        <w:t>其中大沟和北一支渠为小沟渠，暂无地表水环境质量标准要求。</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rPr>
          <w:rFonts w:hint="eastAsia"/>
          <w:lang w:val="en-US" w:eastAsia="zh-CN"/>
        </w:rPr>
        <w:t>-</w:t>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rPr>
          <w:snapToGrid w:val="0"/>
        </w:rPr>
        <w:t xml:space="preserve">  本项目</w:t>
      </w:r>
      <w:r>
        <w:t>沿线水体的环境功能区划</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1335"/>
        <w:gridCol w:w="1746"/>
        <w:gridCol w:w="1831"/>
        <w:gridCol w:w="1775"/>
        <w:gridCol w:w="1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vAlign w:val="center"/>
          </w:tcPr>
          <w:p>
            <w:pPr>
              <w:pStyle w:val="1132"/>
              <w:rPr>
                <w:b/>
                <w:bCs w:val="0"/>
              </w:rPr>
            </w:pPr>
            <w:r>
              <w:rPr>
                <w:b/>
                <w:bCs w:val="0"/>
              </w:rPr>
              <w:t>序号</w:t>
            </w:r>
          </w:p>
        </w:tc>
        <w:tc>
          <w:tcPr>
            <w:tcW w:w="719" w:type="pct"/>
            <w:vAlign w:val="center"/>
          </w:tcPr>
          <w:p>
            <w:pPr>
              <w:pStyle w:val="1132"/>
              <w:rPr>
                <w:b/>
                <w:bCs w:val="0"/>
              </w:rPr>
            </w:pPr>
            <w:r>
              <w:rPr>
                <w:b/>
                <w:bCs w:val="0"/>
              </w:rPr>
              <w:t>河流名称</w:t>
            </w:r>
          </w:p>
        </w:tc>
        <w:tc>
          <w:tcPr>
            <w:tcW w:w="940" w:type="pct"/>
            <w:vAlign w:val="center"/>
          </w:tcPr>
          <w:p>
            <w:pPr>
              <w:pStyle w:val="1132"/>
              <w:rPr>
                <w:b/>
                <w:bCs w:val="0"/>
              </w:rPr>
            </w:pPr>
            <w:r>
              <w:rPr>
                <w:rFonts w:hint="eastAsia"/>
                <w:b/>
                <w:bCs w:val="0"/>
              </w:rPr>
              <w:t>交叉位置</w:t>
            </w:r>
          </w:p>
        </w:tc>
        <w:tc>
          <w:tcPr>
            <w:tcW w:w="986" w:type="pct"/>
            <w:vAlign w:val="center"/>
          </w:tcPr>
          <w:p>
            <w:pPr>
              <w:pStyle w:val="1132"/>
              <w:rPr>
                <w:b/>
                <w:bCs w:val="0"/>
              </w:rPr>
            </w:pPr>
            <w:r>
              <w:rPr>
                <w:rFonts w:hint="eastAsia"/>
                <w:b/>
                <w:bCs w:val="0"/>
              </w:rPr>
              <w:t>环境功能分区</w:t>
            </w:r>
          </w:p>
        </w:tc>
        <w:tc>
          <w:tcPr>
            <w:tcW w:w="956" w:type="pct"/>
            <w:vAlign w:val="center"/>
          </w:tcPr>
          <w:p>
            <w:pPr>
              <w:pStyle w:val="1132"/>
              <w:rPr>
                <w:b/>
                <w:bCs w:val="0"/>
              </w:rPr>
            </w:pPr>
            <w:r>
              <w:rPr>
                <w:b/>
                <w:bCs w:val="0"/>
              </w:rPr>
              <w:t>与路线位置关系</w:t>
            </w:r>
          </w:p>
        </w:tc>
        <w:tc>
          <w:tcPr>
            <w:tcW w:w="997" w:type="pct"/>
            <w:vAlign w:val="center"/>
          </w:tcPr>
          <w:p>
            <w:pPr>
              <w:pStyle w:val="1132"/>
              <w:rPr>
                <w:b/>
                <w:bCs w:val="0"/>
              </w:rPr>
            </w:pPr>
            <w:r>
              <w:rPr>
                <w:b/>
                <w:bCs w:val="0"/>
              </w:rPr>
              <w:t>有无涉水桥墩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402" w:type="pct"/>
            <w:vAlign w:val="center"/>
          </w:tcPr>
          <w:p>
            <w:pPr>
              <w:pStyle w:val="1132"/>
            </w:pPr>
            <w:r>
              <w:t>1</w:t>
            </w:r>
          </w:p>
        </w:tc>
        <w:tc>
          <w:tcPr>
            <w:tcW w:w="719" w:type="pct"/>
            <w:vAlign w:val="center"/>
          </w:tcPr>
          <w:p>
            <w:pPr>
              <w:pStyle w:val="1132"/>
            </w:pPr>
            <w:r>
              <w:rPr>
                <w:rFonts w:hint="eastAsia"/>
              </w:rPr>
              <w:t>清沟河</w:t>
            </w:r>
          </w:p>
        </w:tc>
        <w:tc>
          <w:tcPr>
            <w:tcW w:w="940" w:type="pct"/>
            <w:vAlign w:val="center"/>
          </w:tcPr>
          <w:p>
            <w:pPr>
              <w:pStyle w:val="1132"/>
            </w:pPr>
            <w:r>
              <w:rPr>
                <w:rFonts w:hint="eastAsia"/>
              </w:rPr>
              <w:t>/</w:t>
            </w:r>
          </w:p>
        </w:tc>
        <w:tc>
          <w:tcPr>
            <w:tcW w:w="986" w:type="pct"/>
            <w:vAlign w:val="center"/>
          </w:tcPr>
          <w:p>
            <w:pPr>
              <w:pStyle w:val="1132"/>
            </w:pPr>
            <w:r>
              <w:t>GB3838-2002</w:t>
            </w:r>
            <w:r>
              <w:rPr>
                <w:rFonts w:hint="eastAsia"/>
              </w:rPr>
              <w:t>中</w:t>
            </w:r>
            <w:r>
              <w:t>ⅡI类</w:t>
            </w:r>
          </w:p>
        </w:tc>
        <w:tc>
          <w:tcPr>
            <w:tcW w:w="956" w:type="pct"/>
            <w:vAlign w:val="center"/>
          </w:tcPr>
          <w:p>
            <w:pPr>
              <w:pStyle w:val="1132"/>
            </w:pPr>
            <w:r>
              <w:rPr>
                <w:rFonts w:hint="eastAsia"/>
              </w:rPr>
              <w:t>路右</w:t>
            </w:r>
          </w:p>
        </w:tc>
        <w:tc>
          <w:tcPr>
            <w:tcW w:w="997" w:type="pct"/>
            <w:vAlign w:val="center"/>
          </w:tcPr>
          <w:p>
            <w:pPr>
              <w:pStyle w:val="1132"/>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402" w:type="pct"/>
            <w:vAlign w:val="center"/>
          </w:tcPr>
          <w:p>
            <w:pPr>
              <w:pStyle w:val="1132"/>
            </w:pPr>
            <w:r>
              <w:rPr>
                <w:rFonts w:hint="eastAsia"/>
              </w:rPr>
              <w:t>2</w:t>
            </w:r>
          </w:p>
        </w:tc>
        <w:tc>
          <w:tcPr>
            <w:tcW w:w="719" w:type="pct"/>
            <w:vAlign w:val="center"/>
          </w:tcPr>
          <w:p>
            <w:pPr>
              <w:pStyle w:val="1132"/>
            </w:pPr>
            <w:r>
              <w:rPr>
                <w:rFonts w:hint="eastAsia"/>
                <w:szCs w:val="21"/>
              </w:rPr>
              <w:t>大沟</w:t>
            </w:r>
          </w:p>
        </w:tc>
        <w:tc>
          <w:tcPr>
            <w:tcW w:w="940" w:type="pct"/>
            <w:vAlign w:val="center"/>
          </w:tcPr>
          <w:p>
            <w:pPr>
              <w:pStyle w:val="1132"/>
            </w:pPr>
            <w:r>
              <w:rPr>
                <w:szCs w:val="21"/>
              </w:rPr>
              <w:t>K3+378</w:t>
            </w:r>
          </w:p>
        </w:tc>
        <w:tc>
          <w:tcPr>
            <w:tcW w:w="986" w:type="pct"/>
            <w:vAlign w:val="center"/>
          </w:tcPr>
          <w:p>
            <w:pPr>
              <w:pStyle w:val="1132"/>
            </w:pPr>
            <w:r>
              <w:rPr>
                <w:rFonts w:hint="eastAsia"/>
              </w:rPr>
              <w:t>无</w:t>
            </w:r>
          </w:p>
        </w:tc>
        <w:tc>
          <w:tcPr>
            <w:tcW w:w="956" w:type="pct"/>
            <w:vAlign w:val="center"/>
          </w:tcPr>
          <w:p>
            <w:pPr>
              <w:pStyle w:val="1132"/>
            </w:pPr>
            <w:r>
              <w:rPr>
                <w:rFonts w:hint="eastAsia"/>
              </w:rPr>
              <w:t>跨越</w:t>
            </w:r>
          </w:p>
        </w:tc>
        <w:tc>
          <w:tcPr>
            <w:tcW w:w="997" w:type="pct"/>
            <w:vAlign w:val="center"/>
          </w:tcPr>
          <w:p>
            <w:pPr>
              <w:pStyle w:val="1132"/>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402" w:type="pct"/>
            <w:vAlign w:val="center"/>
          </w:tcPr>
          <w:p>
            <w:pPr>
              <w:pStyle w:val="1132"/>
            </w:pPr>
            <w:r>
              <w:rPr>
                <w:rFonts w:hint="eastAsia"/>
              </w:rPr>
              <w:t>3</w:t>
            </w:r>
          </w:p>
        </w:tc>
        <w:tc>
          <w:tcPr>
            <w:tcW w:w="719" w:type="pct"/>
            <w:vAlign w:val="center"/>
          </w:tcPr>
          <w:p>
            <w:pPr>
              <w:pStyle w:val="1132"/>
            </w:pPr>
            <w:r>
              <w:rPr>
                <w:rFonts w:hint="eastAsia"/>
                <w:szCs w:val="21"/>
              </w:rPr>
              <w:t>北一支渠</w:t>
            </w:r>
          </w:p>
        </w:tc>
        <w:tc>
          <w:tcPr>
            <w:tcW w:w="940" w:type="pct"/>
            <w:vAlign w:val="center"/>
          </w:tcPr>
          <w:p>
            <w:pPr>
              <w:pStyle w:val="1132"/>
            </w:pPr>
            <w:r>
              <w:rPr>
                <w:szCs w:val="21"/>
              </w:rPr>
              <w:t>K6+186</w:t>
            </w:r>
          </w:p>
        </w:tc>
        <w:tc>
          <w:tcPr>
            <w:tcW w:w="986" w:type="pct"/>
            <w:vAlign w:val="center"/>
          </w:tcPr>
          <w:p>
            <w:pPr>
              <w:pStyle w:val="1132"/>
            </w:pPr>
            <w:r>
              <w:rPr>
                <w:rFonts w:hint="eastAsia"/>
              </w:rPr>
              <w:t>无</w:t>
            </w:r>
          </w:p>
        </w:tc>
        <w:tc>
          <w:tcPr>
            <w:tcW w:w="956" w:type="pct"/>
            <w:vAlign w:val="center"/>
          </w:tcPr>
          <w:p>
            <w:pPr>
              <w:pStyle w:val="1132"/>
            </w:pPr>
            <w:r>
              <w:rPr>
                <w:rFonts w:hint="eastAsia"/>
              </w:rPr>
              <w:t>跨越</w:t>
            </w:r>
          </w:p>
        </w:tc>
        <w:tc>
          <w:tcPr>
            <w:tcW w:w="997" w:type="pct"/>
            <w:vAlign w:val="center"/>
          </w:tcPr>
          <w:p>
            <w:pPr>
              <w:pStyle w:val="1132"/>
            </w:pPr>
            <w:r>
              <w:rPr>
                <w:rFonts w:hint="eastAsia"/>
              </w:rPr>
              <w:t>无</w:t>
            </w:r>
          </w:p>
        </w:tc>
      </w:tr>
    </w:tbl>
    <w:p>
      <w:pPr>
        <w:pStyle w:val="9"/>
      </w:pPr>
      <w:bookmarkStart w:id="98" w:name="_Toc10445"/>
      <w:r>
        <w:t>环境空气</w:t>
      </w:r>
      <w:bookmarkEnd w:id="98"/>
    </w:p>
    <w:p>
      <w:pPr>
        <w:pStyle w:val="10"/>
        <w:ind w:firstLine="480"/>
      </w:pPr>
      <w:r>
        <w:t>项目所经过区域</w:t>
      </w:r>
      <w:r>
        <w:rPr>
          <w:rFonts w:hint="eastAsia"/>
        </w:rPr>
        <w:t>功能区划分</w:t>
      </w:r>
      <w:r>
        <w:t>为环境空气二类功能区。</w:t>
      </w:r>
    </w:p>
    <w:p>
      <w:pPr>
        <w:pStyle w:val="8"/>
        <w:rPr>
          <w:b/>
          <w:bCs/>
        </w:rPr>
      </w:pPr>
      <w:bookmarkStart w:id="99" w:name="_Toc31924"/>
      <w:r>
        <w:rPr>
          <w:b/>
          <w:bCs/>
        </w:rPr>
        <w:t>评价标准</w:t>
      </w:r>
      <w:bookmarkEnd w:id="99"/>
    </w:p>
    <w:p>
      <w:pPr>
        <w:pStyle w:val="9"/>
      </w:pPr>
      <w:bookmarkStart w:id="100" w:name="_Toc392"/>
      <w:r>
        <w:t>环境质量标准</w:t>
      </w:r>
      <w:bookmarkEnd w:id="100"/>
    </w:p>
    <w:p>
      <w:pPr>
        <w:pStyle w:val="10"/>
        <w:ind w:firstLine="480"/>
      </w:pPr>
      <w:r>
        <w:t>（1）地表水</w:t>
      </w:r>
    </w:p>
    <w:p>
      <w:pPr>
        <w:pStyle w:val="10"/>
        <w:ind w:firstLine="480"/>
        <w:rPr>
          <w:snapToGrid w:val="0"/>
        </w:rPr>
      </w:pPr>
      <w:r>
        <w:t>项目区域</w:t>
      </w:r>
      <w:r>
        <w:rPr>
          <w:rFonts w:hint="eastAsia"/>
        </w:rPr>
        <w:t>周边地表水清沟河</w:t>
      </w:r>
      <w:r>
        <w:t>执行《地表水环境质量标准》（GB3838-2002）中ⅡI类标准。</w:t>
      </w:r>
      <w:r>
        <w:rPr>
          <w:snapToGrid w:val="0"/>
        </w:rPr>
        <w:t>具体标准限值详见表2.6-2。</w:t>
      </w:r>
    </w:p>
    <w:p>
      <w:pPr>
        <w:pStyle w:val="19"/>
        <w:ind w:firstLine="482"/>
        <w:rPr>
          <w:snapToGrid w:val="0"/>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rPr>
          <w:snapToGrid w:val="0"/>
        </w:rPr>
        <w:t xml:space="preserve">  地表水环境质量标准（摘录）（单位：mg/L，pH除外）</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1007"/>
        <w:gridCol w:w="3881"/>
        <w:gridCol w:w="4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jc w:val="center"/>
        </w:trPr>
        <w:tc>
          <w:tcPr>
            <w:tcW w:w="545" w:type="pct"/>
            <w:vAlign w:val="center"/>
          </w:tcPr>
          <w:p>
            <w:pPr>
              <w:pStyle w:val="1132"/>
              <w:rPr>
                <w:b/>
                <w:bCs w:val="0"/>
                <w:snapToGrid w:val="0"/>
              </w:rPr>
            </w:pPr>
            <w:r>
              <w:rPr>
                <w:b/>
                <w:bCs w:val="0"/>
                <w:snapToGrid w:val="0"/>
              </w:rPr>
              <w:t>序号</w:t>
            </w:r>
          </w:p>
        </w:tc>
        <w:tc>
          <w:tcPr>
            <w:tcW w:w="2100" w:type="pct"/>
            <w:vAlign w:val="center"/>
          </w:tcPr>
          <w:p>
            <w:pPr>
              <w:pStyle w:val="1132"/>
              <w:rPr>
                <w:b/>
                <w:bCs w:val="0"/>
                <w:snapToGrid w:val="0"/>
              </w:rPr>
            </w:pPr>
            <w:r>
              <w:rPr>
                <w:b/>
                <w:bCs w:val="0"/>
                <w:snapToGrid w:val="0"/>
              </w:rPr>
              <w:t>项目</w:t>
            </w:r>
          </w:p>
        </w:tc>
        <w:tc>
          <w:tcPr>
            <w:tcW w:w="2355" w:type="pct"/>
            <w:vAlign w:val="center"/>
          </w:tcPr>
          <w:p>
            <w:pPr>
              <w:pStyle w:val="1132"/>
              <w:rPr>
                <w:b/>
                <w:bCs w:val="0"/>
                <w:snapToGrid w:val="0"/>
              </w:rPr>
            </w:pPr>
            <w:r>
              <w:rPr>
                <w:rFonts w:hint="eastAsia"/>
                <w:b/>
                <w:bCs w:val="0"/>
                <w:snapToGrid w:val="0"/>
              </w:rPr>
              <w:t>I</w:t>
            </w:r>
            <w:r>
              <w:rPr>
                <w:b/>
                <w:bCs w:val="0"/>
                <w:snapToGrid w:val="0"/>
              </w:rPr>
              <w:t>II类标准值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5" w:hRule="atLeast"/>
          <w:jc w:val="center"/>
        </w:trPr>
        <w:tc>
          <w:tcPr>
            <w:tcW w:w="545" w:type="pct"/>
            <w:vAlign w:val="center"/>
          </w:tcPr>
          <w:p>
            <w:pPr>
              <w:pStyle w:val="1132"/>
              <w:rPr>
                <w:snapToGrid w:val="0"/>
              </w:rPr>
            </w:pPr>
            <w:r>
              <w:rPr>
                <w:snapToGrid w:val="0"/>
              </w:rPr>
              <w:t>1</w:t>
            </w:r>
          </w:p>
        </w:tc>
        <w:tc>
          <w:tcPr>
            <w:tcW w:w="2100" w:type="pct"/>
            <w:vAlign w:val="center"/>
          </w:tcPr>
          <w:p>
            <w:pPr>
              <w:pStyle w:val="1132"/>
              <w:rPr>
                <w:snapToGrid w:val="0"/>
              </w:rPr>
            </w:pPr>
            <w:r>
              <w:rPr>
                <w:snapToGrid w:val="0"/>
              </w:rPr>
              <w:t>pH</w:t>
            </w:r>
          </w:p>
        </w:tc>
        <w:tc>
          <w:tcPr>
            <w:tcW w:w="2355" w:type="pct"/>
            <w:vAlign w:val="center"/>
          </w:tcPr>
          <w:p>
            <w:pPr>
              <w:pStyle w:val="1132"/>
              <w:rPr>
                <w:snapToGrid w:val="0"/>
              </w:rPr>
            </w:pPr>
            <w:r>
              <w:rPr>
                <w:snapToGrid w:val="0"/>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0" w:hRule="atLeast"/>
          <w:jc w:val="center"/>
        </w:trPr>
        <w:tc>
          <w:tcPr>
            <w:tcW w:w="545" w:type="pct"/>
            <w:vAlign w:val="center"/>
          </w:tcPr>
          <w:p>
            <w:pPr>
              <w:pStyle w:val="1132"/>
              <w:rPr>
                <w:snapToGrid w:val="0"/>
              </w:rPr>
            </w:pPr>
            <w:r>
              <w:rPr>
                <w:snapToGrid w:val="0"/>
              </w:rPr>
              <w:t>2</w:t>
            </w:r>
          </w:p>
        </w:tc>
        <w:tc>
          <w:tcPr>
            <w:tcW w:w="2100" w:type="pct"/>
            <w:vAlign w:val="center"/>
          </w:tcPr>
          <w:p>
            <w:pPr>
              <w:pStyle w:val="1132"/>
              <w:rPr>
                <w:snapToGrid w:val="0"/>
              </w:rPr>
            </w:pPr>
            <w:r>
              <w:rPr>
                <w:snapToGrid w:val="0"/>
              </w:rPr>
              <w:t>COD</w:t>
            </w:r>
            <w:r>
              <w:t>≤</w:t>
            </w:r>
          </w:p>
        </w:tc>
        <w:tc>
          <w:tcPr>
            <w:tcW w:w="2355" w:type="pct"/>
            <w:vAlign w:val="center"/>
          </w:tcPr>
          <w:p>
            <w:pPr>
              <w:pStyle w:val="1132"/>
              <w:rPr>
                <w:snapToGrid w:val="0"/>
              </w:rPr>
            </w:pPr>
            <w:r>
              <w:rPr>
                <w:snapToGrid w:val="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jc w:val="center"/>
        </w:trPr>
        <w:tc>
          <w:tcPr>
            <w:tcW w:w="545" w:type="pct"/>
            <w:vAlign w:val="center"/>
          </w:tcPr>
          <w:p>
            <w:pPr>
              <w:pStyle w:val="1132"/>
              <w:rPr>
                <w:snapToGrid w:val="0"/>
              </w:rPr>
            </w:pPr>
            <w:r>
              <w:rPr>
                <w:snapToGrid w:val="0"/>
              </w:rPr>
              <w:t>3</w:t>
            </w:r>
          </w:p>
        </w:tc>
        <w:tc>
          <w:tcPr>
            <w:tcW w:w="2100" w:type="pct"/>
            <w:vAlign w:val="center"/>
          </w:tcPr>
          <w:p>
            <w:pPr>
              <w:pStyle w:val="1132"/>
              <w:rPr>
                <w:snapToGrid w:val="0"/>
              </w:rPr>
            </w:pPr>
            <w:r>
              <w:rPr>
                <w:snapToGrid w:val="0"/>
              </w:rPr>
              <w:t>氨氮</w:t>
            </w:r>
            <w:r>
              <w:t>≤</w:t>
            </w:r>
          </w:p>
        </w:tc>
        <w:tc>
          <w:tcPr>
            <w:tcW w:w="2355" w:type="pct"/>
            <w:vAlign w:val="center"/>
          </w:tcPr>
          <w:p>
            <w:pPr>
              <w:pStyle w:val="1132"/>
              <w:rPr>
                <w:snapToGrid w:val="0"/>
              </w:rPr>
            </w:pPr>
            <w:r>
              <w:rPr>
                <w:snapToGrid w:val="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0" w:hRule="atLeast"/>
          <w:jc w:val="center"/>
        </w:trPr>
        <w:tc>
          <w:tcPr>
            <w:tcW w:w="545" w:type="pct"/>
            <w:vAlign w:val="center"/>
          </w:tcPr>
          <w:p>
            <w:pPr>
              <w:pStyle w:val="1132"/>
              <w:rPr>
                <w:snapToGrid w:val="0"/>
              </w:rPr>
            </w:pPr>
            <w:r>
              <w:rPr>
                <w:snapToGrid w:val="0"/>
              </w:rPr>
              <w:t>4</w:t>
            </w:r>
          </w:p>
        </w:tc>
        <w:tc>
          <w:tcPr>
            <w:tcW w:w="2100" w:type="pct"/>
            <w:vAlign w:val="center"/>
          </w:tcPr>
          <w:p>
            <w:pPr>
              <w:pStyle w:val="1132"/>
              <w:rPr>
                <w:snapToGrid w:val="0"/>
              </w:rPr>
            </w:pPr>
            <w:r>
              <w:t>BOD</w:t>
            </w:r>
            <w:r>
              <w:rPr>
                <w:vertAlign w:val="subscript"/>
              </w:rPr>
              <w:t>5</w:t>
            </w:r>
            <w:r>
              <w:t>≤</w:t>
            </w:r>
          </w:p>
        </w:tc>
        <w:tc>
          <w:tcPr>
            <w:tcW w:w="2355" w:type="pct"/>
            <w:vAlign w:val="center"/>
          </w:tcPr>
          <w:p>
            <w:pPr>
              <w:pStyle w:val="1132"/>
              <w:rPr>
                <w:snapToGrid w:val="0"/>
              </w:rPr>
            </w:pPr>
            <w: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jc w:val="center"/>
        </w:trPr>
        <w:tc>
          <w:tcPr>
            <w:tcW w:w="545" w:type="pct"/>
            <w:vAlign w:val="center"/>
          </w:tcPr>
          <w:p>
            <w:pPr>
              <w:pStyle w:val="1132"/>
              <w:rPr>
                <w:snapToGrid w:val="0"/>
              </w:rPr>
            </w:pPr>
            <w:r>
              <w:rPr>
                <w:snapToGrid w:val="0"/>
              </w:rPr>
              <w:t>5</w:t>
            </w:r>
          </w:p>
        </w:tc>
        <w:tc>
          <w:tcPr>
            <w:tcW w:w="2100" w:type="pct"/>
            <w:vAlign w:val="center"/>
          </w:tcPr>
          <w:p>
            <w:pPr>
              <w:pStyle w:val="1132"/>
              <w:rPr>
                <w:snapToGrid w:val="0"/>
              </w:rPr>
            </w:pPr>
            <w:r>
              <w:rPr>
                <w:snapToGrid w:val="0"/>
              </w:rPr>
              <w:t>总磷</w:t>
            </w:r>
            <w:r>
              <w:t>≤</w:t>
            </w:r>
          </w:p>
        </w:tc>
        <w:tc>
          <w:tcPr>
            <w:tcW w:w="2355" w:type="pct"/>
            <w:vAlign w:val="center"/>
          </w:tcPr>
          <w:p>
            <w:pPr>
              <w:pStyle w:val="1132"/>
              <w:rPr>
                <w:snapToGrid w:val="0"/>
              </w:rPr>
            </w:pPr>
            <w:r>
              <w:rPr>
                <w:snapToGrid w:val="0"/>
              </w:rPr>
              <w:t>0.2（湖、库0.05）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jc w:val="center"/>
        </w:trPr>
        <w:tc>
          <w:tcPr>
            <w:tcW w:w="545" w:type="pct"/>
            <w:vAlign w:val="center"/>
          </w:tcPr>
          <w:p>
            <w:pPr>
              <w:pStyle w:val="1132"/>
              <w:rPr>
                <w:snapToGrid w:val="0"/>
              </w:rPr>
            </w:pPr>
            <w:r>
              <w:rPr>
                <w:snapToGrid w:val="0"/>
              </w:rPr>
              <w:t>6</w:t>
            </w:r>
          </w:p>
        </w:tc>
        <w:tc>
          <w:tcPr>
            <w:tcW w:w="2100" w:type="pct"/>
            <w:vAlign w:val="center"/>
          </w:tcPr>
          <w:p>
            <w:pPr>
              <w:pStyle w:val="1132"/>
              <w:rPr>
                <w:snapToGrid w:val="0"/>
              </w:rPr>
            </w:pPr>
            <w:r>
              <w:t>溶解氧≥</w:t>
            </w:r>
          </w:p>
        </w:tc>
        <w:tc>
          <w:tcPr>
            <w:tcW w:w="2355" w:type="pct"/>
            <w:vAlign w:val="center"/>
          </w:tcPr>
          <w:p>
            <w:pPr>
              <w:pStyle w:val="1132"/>
              <w:rPr>
                <w:snapToGrid w:val="0"/>
              </w:rPr>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jc w:val="center"/>
        </w:trPr>
        <w:tc>
          <w:tcPr>
            <w:tcW w:w="545" w:type="pct"/>
            <w:vAlign w:val="center"/>
          </w:tcPr>
          <w:p>
            <w:pPr>
              <w:pStyle w:val="1132"/>
              <w:rPr>
                <w:snapToGrid w:val="0"/>
              </w:rPr>
            </w:pPr>
            <w:r>
              <w:rPr>
                <w:snapToGrid w:val="0"/>
              </w:rPr>
              <w:t>7</w:t>
            </w:r>
          </w:p>
        </w:tc>
        <w:tc>
          <w:tcPr>
            <w:tcW w:w="2100" w:type="pct"/>
            <w:vAlign w:val="center"/>
          </w:tcPr>
          <w:p>
            <w:pPr>
              <w:pStyle w:val="1132"/>
              <w:rPr>
                <w:snapToGrid w:val="0"/>
              </w:rPr>
            </w:pPr>
            <w:r>
              <w:t>石油类≤</w:t>
            </w:r>
          </w:p>
        </w:tc>
        <w:tc>
          <w:tcPr>
            <w:tcW w:w="2355" w:type="pct"/>
            <w:vAlign w:val="center"/>
          </w:tcPr>
          <w:p>
            <w:pPr>
              <w:pStyle w:val="1132"/>
              <w:rPr>
                <w:snapToGrid w:val="0"/>
              </w:rPr>
            </w:pPr>
            <w:r>
              <w:rPr>
                <w:snapToGrid w:val="0"/>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jc w:val="center"/>
        </w:trPr>
        <w:tc>
          <w:tcPr>
            <w:tcW w:w="545" w:type="pct"/>
            <w:vAlign w:val="center"/>
          </w:tcPr>
          <w:p>
            <w:pPr>
              <w:pStyle w:val="1132"/>
              <w:rPr>
                <w:snapToGrid w:val="0"/>
              </w:rPr>
            </w:pPr>
            <w:r>
              <w:rPr>
                <w:snapToGrid w:val="0"/>
              </w:rPr>
              <w:t>8</w:t>
            </w:r>
          </w:p>
        </w:tc>
        <w:tc>
          <w:tcPr>
            <w:tcW w:w="2100" w:type="pct"/>
            <w:vAlign w:val="center"/>
          </w:tcPr>
          <w:p>
            <w:pPr>
              <w:pStyle w:val="1132"/>
              <w:rPr>
                <w:snapToGrid w:val="0"/>
              </w:rPr>
            </w:pPr>
            <w:r>
              <w:t>高锰酸盐指数≤</w:t>
            </w:r>
          </w:p>
        </w:tc>
        <w:tc>
          <w:tcPr>
            <w:tcW w:w="2355" w:type="pct"/>
            <w:vAlign w:val="center"/>
          </w:tcPr>
          <w:p>
            <w:pPr>
              <w:pStyle w:val="1132"/>
              <w:rPr>
                <w:snapToGrid w:val="0"/>
              </w:rPr>
            </w:pPr>
            <w:r>
              <w:t>6</w:t>
            </w:r>
          </w:p>
        </w:tc>
      </w:tr>
    </w:tbl>
    <w:p>
      <w:pPr>
        <w:pStyle w:val="10"/>
        <w:ind w:firstLine="480"/>
      </w:pPr>
      <w:r>
        <w:t>（2）大气</w:t>
      </w:r>
    </w:p>
    <w:p>
      <w:pPr>
        <w:pStyle w:val="10"/>
        <w:ind w:firstLine="480"/>
      </w:pPr>
      <w:r>
        <w:t>项目沿线</w:t>
      </w:r>
      <w:r>
        <w:rPr>
          <w:rFonts w:hint="eastAsia"/>
        </w:rPr>
        <w:t>区域</w:t>
      </w:r>
      <w:r>
        <w:t>环境空气执行《环境空气质量标准》</w:t>
      </w:r>
      <w:r>
        <w:rPr>
          <w:kern w:val="0"/>
          <w:lang w:val="zh-CN"/>
        </w:rPr>
        <w:t>（GB3095-2012）</w:t>
      </w:r>
      <w:r>
        <w:rPr>
          <w:rFonts w:hint="eastAsia"/>
          <w:kern w:val="0"/>
          <w:lang w:val="zh-CN"/>
        </w:rPr>
        <w:t>及</w:t>
      </w:r>
      <w:r>
        <w:rPr>
          <w:rFonts w:hint="eastAsia"/>
        </w:rPr>
        <w:t>修改单中的</w:t>
      </w:r>
      <w:r>
        <w:rPr>
          <w:kern w:val="0"/>
          <w:lang w:val="zh-CN"/>
        </w:rPr>
        <w:t>二级标准</w:t>
      </w:r>
      <w:r>
        <w:rPr>
          <w:rFonts w:hint="eastAsia"/>
          <w:kern w:val="0"/>
          <w:lang w:val="zh-CN"/>
        </w:rPr>
        <w:t>，</w:t>
      </w:r>
      <w:r>
        <w:rPr>
          <w:kern w:val="0"/>
          <w:lang w:val="zh-CN"/>
        </w:rPr>
        <w:t>具体标准值详见表</w:t>
      </w:r>
      <w:r>
        <w:rPr>
          <w:snapToGrid w:val="0"/>
        </w:rPr>
        <w:t>2.6-3</w:t>
      </w:r>
      <w:r>
        <w:rPr>
          <w:kern w:val="0"/>
          <w:lang w:val="zh-CN"/>
        </w:rPr>
        <w:t>。</w:t>
      </w:r>
    </w:p>
    <w:p>
      <w:pPr>
        <w:pStyle w:val="19"/>
        <w:keepNext w:val="0"/>
        <w:keepLines w:val="0"/>
        <w:pageBreakBefore w:val="0"/>
        <w:widowControl w:val="0"/>
        <w:kinsoku/>
        <w:wordWrap/>
        <w:overflowPunct/>
        <w:topLinePunct w:val="0"/>
        <w:autoSpaceDE/>
        <w:autoSpaceDN/>
        <w:bidi w:val="0"/>
        <w:adjustRightInd/>
        <w:snapToGrid/>
        <w:ind w:firstLine="482"/>
        <w:textAlignment w:val="auto"/>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rPr>
          <w:rFonts w:hint="eastAsia"/>
          <w:lang w:val="en-US" w:eastAsia="zh-CN"/>
        </w:rPr>
        <w:t>-</w:t>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r>
        <w:t xml:space="preserve">  《环境空气质量标准》（GB3095-2012）</w:t>
      </w:r>
    </w:p>
    <w:tbl>
      <w:tblPr>
        <w:tblStyle w:val="4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19"/>
        <w:gridCol w:w="2133"/>
        <w:gridCol w:w="2348"/>
        <w:gridCol w:w="2008"/>
        <w:gridCol w:w="18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610" w:hRule="atLeast"/>
          <w:jc w:val="center"/>
        </w:trPr>
        <w:tc>
          <w:tcPr>
            <w:tcW w:w="495" w:type="pct"/>
            <w:vAlign w:val="center"/>
          </w:tcPr>
          <w:p>
            <w:pPr>
              <w:pStyle w:val="1132"/>
              <w:rPr>
                <w:b/>
                <w:bCs w:val="0"/>
                <w:snapToGrid w:val="0"/>
              </w:rPr>
            </w:pPr>
            <w:r>
              <w:rPr>
                <w:b/>
                <w:bCs w:val="0"/>
                <w:snapToGrid w:val="0"/>
              </w:rPr>
              <w:t>序号</w:t>
            </w:r>
          </w:p>
        </w:tc>
        <w:tc>
          <w:tcPr>
            <w:tcW w:w="1148" w:type="pct"/>
            <w:vAlign w:val="center"/>
          </w:tcPr>
          <w:p>
            <w:pPr>
              <w:pStyle w:val="1132"/>
              <w:rPr>
                <w:b/>
                <w:bCs w:val="0"/>
                <w:snapToGrid w:val="0"/>
              </w:rPr>
            </w:pPr>
            <w:r>
              <w:rPr>
                <w:b/>
                <w:bCs w:val="0"/>
                <w:snapToGrid w:val="0"/>
              </w:rPr>
              <w:t>污染物项目</w:t>
            </w:r>
          </w:p>
        </w:tc>
        <w:tc>
          <w:tcPr>
            <w:tcW w:w="1264" w:type="pct"/>
            <w:vAlign w:val="center"/>
          </w:tcPr>
          <w:p>
            <w:pPr>
              <w:pStyle w:val="1132"/>
              <w:rPr>
                <w:b/>
                <w:bCs w:val="0"/>
                <w:snapToGrid w:val="0"/>
              </w:rPr>
            </w:pPr>
            <w:r>
              <w:rPr>
                <w:b/>
                <w:bCs w:val="0"/>
                <w:snapToGrid w:val="0"/>
              </w:rPr>
              <w:t>平均时间</w:t>
            </w:r>
          </w:p>
        </w:tc>
        <w:tc>
          <w:tcPr>
            <w:tcW w:w="1081" w:type="pct"/>
            <w:vAlign w:val="center"/>
          </w:tcPr>
          <w:p>
            <w:pPr>
              <w:pStyle w:val="1132"/>
              <w:rPr>
                <w:b/>
                <w:bCs w:val="0"/>
                <w:snapToGrid w:val="0"/>
              </w:rPr>
            </w:pPr>
            <w:r>
              <w:rPr>
                <w:b/>
                <w:bCs w:val="0"/>
                <w:snapToGrid w:val="0"/>
              </w:rPr>
              <w:t>浓度限值</w:t>
            </w:r>
          </w:p>
        </w:tc>
        <w:tc>
          <w:tcPr>
            <w:tcW w:w="1011" w:type="pct"/>
            <w:vAlign w:val="center"/>
          </w:tcPr>
          <w:p>
            <w:pPr>
              <w:pStyle w:val="1132"/>
              <w:rPr>
                <w:b/>
                <w:bCs w:val="0"/>
                <w:snapToGrid w:val="0"/>
              </w:rPr>
            </w:pPr>
            <w:r>
              <w:rPr>
                <w:rFonts w:hint="eastAsia"/>
                <w:b/>
                <w:bCs w:val="0"/>
                <w:snapToGrid w:val="0"/>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restart"/>
            <w:vAlign w:val="center"/>
          </w:tcPr>
          <w:p>
            <w:pPr>
              <w:pStyle w:val="1132"/>
            </w:pPr>
            <w:r>
              <w:t>1</w:t>
            </w:r>
          </w:p>
        </w:tc>
        <w:tc>
          <w:tcPr>
            <w:tcW w:w="1148" w:type="pct"/>
            <w:vMerge w:val="restart"/>
            <w:vAlign w:val="center"/>
          </w:tcPr>
          <w:p>
            <w:pPr>
              <w:pStyle w:val="1132"/>
            </w:pPr>
            <w:r>
              <w:t>SO</w:t>
            </w:r>
            <w:r>
              <w:rPr>
                <w:vertAlign w:val="subscript"/>
              </w:rPr>
              <w:t>2</w:t>
            </w:r>
          </w:p>
        </w:tc>
        <w:tc>
          <w:tcPr>
            <w:tcW w:w="1264" w:type="pct"/>
            <w:vAlign w:val="center"/>
          </w:tcPr>
          <w:p>
            <w:pPr>
              <w:pStyle w:val="1132"/>
              <w:rPr>
                <w:snapToGrid w:val="0"/>
              </w:rPr>
            </w:pPr>
            <w:r>
              <w:rPr>
                <w:rFonts w:hint="eastAsia"/>
                <w:snapToGrid w:val="0"/>
              </w:rPr>
              <w:t>年平均</w:t>
            </w:r>
          </w:p>
        </w:tc>
        <w:tc>
          <w:tcPr>
            <w:tcW w:w="1081" w:type="pct"/>
            <w:vAlign w:val="center"/>
          </w:tcPr>
          <w:p>
            <w:pPr>
              <w:pStyle w:val="1132"/>
              <w:rPr>
                <w:snapToGrid w:val="0"/>
              </w:rPr>
            </w:pPr>
            <w:r>
              <w:rPr>
                <w:rFonts w:hint="eastAsia"/>
                <w:snapToGrid w:val="0"/>
              </w:rPr>
              <w:t>6</w:t>
            </w:r>
            <w:r>
              <w:rPr>
                <w:snapToGrid w:val="0"/>
              </w:rPr>
              <w:t>0</w:t>
            </w:r>
          </w:p>
        </w:tc>
        <w:tc>
          <w:tcPr>
            <w:tcW w:w="1011" w:type="pct"/>
            <w:vMerge w:val="restart"/>
            <w:vAlign w:val="center"/>
          </w:tcPr>
          <w:p>
            <w:pPr>
              <w:pStyle w:val="1132"/>
            </w:pPr>
            <w:r>
              <w:t>μg/m</w:t>
            </w:r>
            <w:r>
              <w:rPr>
                <w:vertAlign w:val="superscript"/>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continue"/>
            <w:vAlign w:val="center"/>
          </w:tcPr>
          <w:p>
            <w:pPr>
              <w:pStyle w:val="1132"/>
            </w:pPr>
          </w:p>
        </w:tc>
        <w:tc>
          <w:tcPr>
            <w:tcW w:w="1148" w:type="pct"/>
            <w:vMerge w:val="continue"/>
            <w:vAlign w:val="center"/>
          </w:tcPr>
          <w:p>
            <w:pPr>
              <w:pStyle w:val="1132"/>
              <w:rPr>
                <w:snapToGrid w:val="0"/>
              </w:rPr>
            </w:pPr>
          </w:p>
        </w:tc>
        <w:tc>
          <w:tcPr>
            <w:tcW w:w="1264" w:type="pct"/>
            <w:vAlign w:val="center"/>
          </w:tcPr>
          <w:p>
            <w:pPr>
              <w:pStyle w:val="1132"/>
              <w:rPr>
                <w:snapToGrid w:val="0"/>
              </w:rPr>
            </w:pPr>
            <w:r>
              <w:rPr>
                <w:rFonts w:hint="eastAsia"/>
                <w:snapToGrid w:val="0"/>
              </w:rPr>
              <w:t>24小时</w:t>
            </w:r>
            <w:r>
              <w:rPr>
                <w:snapToGrid w:val="0"/>
              </w:rPr>
              <w:t>平均</w:t>
            </w:r>
          </w:p>
        </w:tc>
        <w:tc>
          <w:tcPr>
            <w:tcW w:w="1081" w:type="pct"/>
            <w:vAlign w:val="center"/>
          </w:tcPr>
          <w:p>
            <w:pPr>
              <w:pStyle w:val="1132"/>
              <w:rPr>
                <w:snapToGrid w:val="0"/>
              </w:rPr>
            </w:pPr>
            <w:r>
              <w:rPr>
                <w:snapToGrid w:val="0"/>
              </w:rPr>
              <w:t>150</w:t>
            </w:r>
          </w:p>
        </w:tc>
        <w:tc>
          <w:tcPr>
            <w:tcW w:w="1011" w:type="pct"/>
            <w:vMerge w:val="continue"/>
            <w:vAlign w:val="center"/>
          </w:tcPr>
          <w:p>
            <w:pPr>
              <w:pStyle w:val="1132"/>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continue"/>
            <w:vAlign w:val="center"/>
          </w:tcPr>
          <w:p>
            <w:pPr>
              <w:pStyle w:val="1132"/>
            </w:pPr>
          </w:p>
        </w:tc>
        <w:tc>
          <w:tcPr>
            <w:tcW w:w="1148" w:type="pct"/>
            <w:vMerge w:val="continue"/>
            <w:vAlign w:val="center"/>
          </w:tcPr>
          <w:p>
            <w:pPr>
              <w:pStyle w:val="1132"/>
            </w:pPr>
          </w:p>
        </w:tc>
        <w:tc>
          <w:tcPr>
            <w:tcW w:w="1264" w:type="pct"/>
            <w:vAlign w:val="center"/>
          </w:tcPr>
          <w:p>
            <w:pPr>
              <w:pStyle w:val="1132"/>
              <w:rPr>
                <w:snapToGrid w:val="0"/>
              </w:rPr>
            </w:pPr>
            <w:r>
              <w:rPr>
                <w:rFonts w:hint="eastAsia"/>
                <w:snapToGrid w:val="0"/>
              </w:rPr>
              <w:t>1</w:t>
            </w:r>
            <w:r>
              <w:rPr>
                <w:snapToGrid w:val="0"/>
              </w:rPr>
              <w:t>小时平均</w:t>
            </w:r>
          </w:p>
        </w:tc>
        <w:tc>
          <w:tcPr>
            <w:tcW w:w="1081" w:type="pct"/>
            <w:vAlign w:val="center"/>
          </w:tcPr>
          <w:p>
            <w:pPr>
              <w:pStyle w:val="1132"/>
              <w:rPr>
                <w:snapToGrid w:val="0"/>
              </w:rPr>
            </w:pPr>
            <w:r>
              <w:rPr>
                <w:snapToGrid w:val="0"/>
              </w:rPr>
              <w:t>500</w:t>
            </w:r>
          </w:p>
        </w:tc>
        <w:tc>
          <w:tcPr>
            <w:tcW w:w="1011" w:type="pct"/>
            <w:vMerge w:val="continue"/>
            <w:vAlign w:val="center"/>
          </w:tcPr>
          <w:p>
            <w:pPr>
              <w:pStyle w:val="1132"/>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restart"/>
            <w:vAlign w:val="center"/>
          </w:tcPr>
          <w:p>
            <w:pPr>
              <w:pStyle w:val="1132"/>
            </w:pPr>
            <w:r>
              <w:t>2</w:t>
            </w:r>
          </w:p>
        </w:tc>
        <w:tc>
          <w:tcPr>
            <w:tcW w:w="1148" w:type="pct"/>
            <w:vMerge w:val="restart"/>
            <w:vAlign w:val="center"/>
          </w:tcPr>
          <w:p>
            <w:pPr>
              <w:pStyle w:val="1132"/>
              <w:rPr>
                <w:snapToGrid w:val="0"/>
              </w:rPr>
            </w:pPr>
            <w:r>
              <w:rPr>
                <w:snapToGrid w:val="0"/>
              </w:rPr>
              <w:t>NO</w:t>
            </w:r>
            <w:r>
              <w:rPr>
                <w:snapToGrid w:val="0"/>
                <w:vertAlign w:val="subscript"/>
              </w:rPr>
              <w:t>2</w:t>
            </w:r>
          </w:p>
        </w:tc>
        <w:tc>
          <w:tcPr>
            <w:tcW w:w="1264" w:type="pct"/>
            <w:vAlign w:val="center"/>
          </w:tcPr>
          <w:p>
            <w:pPr>
              <w:pStyle w:val="1132"/>
              <w:rPr>
                <w:snapToGrid w:val="0"/>
              </w:rPr>
            </w:pPr>
            <w:r>
              <w:rPr>
                <w:rFonts w:hint="eastAsia"/>
                <w:snapToGrid w:val="0"/>
              </w:rPr>
              <w:t>年平均</w:t>
            </w:r>
          </w:p>
        </w:tc>
        <w:tc>
          <w:tcPr>
            <w:tcW w:w="1081" w:type="pct"/>
            <w:vAlign w:val="center"/>
          </w:tcPr>
          <w:p>
            <w:pPr>
              <w:pStyle w:val="1132"/>
              <w:rPr>
                <w:snapToGrid w:val="0"/>
              </w:rPr>
            </w:pPr>
            <w:r>
              <w:rPr>
                <w:rFonts w:hint="eastAsia"/>
                <w:snapToGrid w:val="0"/>
              </w:rPr>
              <w:t>4</w:t>
            </w:r>
            <w:r>
              <w:rPr>
                <w:snapToGrid w:val="0"/>
              </w:rPr>
              <w:t>0</w:t>
            </w:r>
          </w:p>
        </w:tc>
        <w:tc>
          <w:tcPr>
            <w:tcW w:w="1011" w:type="pct"/>
            <w:vMerge w:val="continue"/>
            <w:vAlign w:val="center"/>
          </w:tcPr>
          <w:p>
            <w:pPr>
              <w:pStyle w:val="1132"/>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continue"/>
            <w:vAlign w:val="center"/>
          </w:tcPr>
          <w:p>
            <w:pPr>
              <w:pStyle w:val="1132"/>
            </w:pPr>
          </w:p>
        </w:tc>
        <w:tc>
          <w:tcPr>
            <w:tcW w:w="1148" w:type="pct"/>
            <w:vMerge w:val="continue"/>
            <w:vAlign w:val="center"/>
          </w:tcPr>
          <w:p>
            <w:pPr>
              <w:pStyle w:val="1132"/>
              <w:rPr>
                <w:snapToGrid w:val="0"/>
              </w:rPr>
            </w:pPr>
          </w:p>
        </w:tc>
        <w:tc>
          <w:tcPr>
            <w:tcW w:w="1264" w:type="pct"/>
            <w:vAlign w:val="center"/>
          </w:tcPr>
          <w:p>
            <w:pPr>
              <w:pStyle w:val="1132"/>
              <w:rPr>
                <w:snapToGrid w:val="0"/>
              </w:rPr>
            </w:pPr>
            <w:r>
              <w:rPr>
                <w:rFonts w:hint="eastAsia"/>
                <w:snapToGrid w:val="0"/>
              </w:rPr>
              <w:t>24小时</w:t>
            </w:r>
            <w:r>
              <w:rPr>
                <w:snapToGrid w:val="0"/>
              </w:rPr>
              <w:t>平均</w:t>
            </w:r>
          </w:p>
        </w:tc>
        <w:tc>
          <w:tcPr>
            <w:tcW w:w="1081" w:type="pct"/>
            <w:vAlign w:val="center"/>
          </w:tcPr>
          <w:p>
            <w:pPr>
              <w:pStyle w:val="1132"/>
              <w:rPr>
                <w:snapToGrid w:val="0"/>
              </w:rPr>
            </w:pPr>
            <w:r>
              <w:rPr>
                <w:snapToGrid w:val="0"/>
              </w:rPr>
              <w:t>80</w:t>
            </w:r>
          </w:p>
        </w:tc>
        <w:tc>
          <w:tcPr>
            <w:tcW w:w="1011" w:type="pct"/>
            <w:vMerge w:val="continue"/>
            <w:vAlign w:val="center"/>
          </w:tcPr>
          <w:p>
            <w:pPr>
              <w:pStyle w:val="1132"/>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continue"/>
            <w:vAlign w:val="center"/>
          </w:tcPr>
          <w:p>
            <w:pPr>
              <w:pStyle w:val="1132"/>
            </w:pPr>
          </w:p>
        </w:tc>
        <w:tc>
          <w:tcPr>
            <w:tcW w:w="1148" w:type="pct"/>
            <w:vMerge w:val="continue"/>
            <w:vAlign w:val="center"/>
          </w:tcPr>
          <w:p>
            <w:pPr>
              <w:pStyle w:val="1132"/>
            </w:pPr>
          </w:p>
        </w:tc>
        <w:tc>
          <w:tcPr>
            <w:tcW w:w="1264" w:type="pct"/>
            <w:vAlign w:val="center"/>
          </w:tcPr>
          <w:p>
            <w:pPr>
              <w:pStyle w:val="1132"/>
              <w:rPr>
                <w:snapToGrid w:val="0"/>
              </w:rPr>
            </w:pPr>
            <w:r>
              <w:rPr>
                <w:snapToGrid w:val="0"/>
              </w:rPr>
              <w:t>小时平均</w:t>
            </w:r>
          </w:p>
        </w:tc>
        <w:tc>
          <w:tcPr>
            <w:tcW w:w="1081" w:type="pct"/>
            <w:vAlign w:val="center"/>
          </w:tcPr>
          <w:p>
            <w:pPr>
              <w:pStyle w:val="1132"/>
              <w:rPr>
                <w:snapToGrid w:val="0"/>
              </w:rPr>
            </w:pPr>
            <w:r>
              <w:rPr>
                <w:snapToGrid w:val="0"/>
              </w:rPr>
              <w:t>200</w:t>
            </w:r>
          </w:p>
        </w:tc>
        <w:tc>
          <w:tcPr>
            <w:tcW w:w="1011" w:type="pct"/>
            <w:vMerge w:val="continue"/>
            <w:tcBorders>
              <w:bottom w:val="single" w:color="auto" w:sz="4" w:space="0"/>
            </w:tcBorders>
            <w:vAlign w:val="center"/>
          </w:tcPr>
          <w:p>
            <w:pPr>
              <w:pStyle w:val="1132"/>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restart"/>
            <w:vAlign w:val="center"/>
          </w:tcPr>
          <w:p>
            <w:pPr>
              <w:pStyle w:val="1132"/>
            </w:pPr>
            <w:r>
              <w:t>3</w:t>
            </w:r>
          </w:p>
        </w:tc>
        <w:tc>
          <w:tcPr>
            <w:tcW w:w="1148" w:type="pct"/>
            <w:vMerge w:val="restart"/>
            <w:vAlign w:val="center"/>
          </w:tcPr>
          <w:p>
            <w:pPr>
              <w:pStyle w:val="1132"/>
            </w:pPr>
            <w:r>
              <w:t>CO</w:t>
            </w:r>
          </w:p>
        </w:tc>
        <w:tc>
          <w:tcPr>
            <w:tcW w:w="1264" w:type="pct"/>
            <w:vAlign w:val="center"/>
          </w:tcPr>
          <w:p>
            <w:pPr>
              <w:pStyle w:val="1132"/>
              <w:rPr>
                <w:snapToGrid w:val="0"/>
              </w:rPr>
            </w:pPr>
            <w:r>
              <w:rPr>
                <w:rFonts w:hint="eastAsia"/>
                <w:snapToGrid w:val="0"/>
              </w:rPr>
              <w:t>24小时</w:t>
            </w:r>
            <w:r>
              <w:rPr>
                <w:snapToGrid w:val="0"/>
              </w:rPr>
              <w:t>平均</w:t>
            </w:r>
          </w:p>
        </w:tc>
        <w:tc>
          <w:tcPr>
            <w:tcW w:w="1081" w:type="pct"/>
            <w:vAlign w:val="center"/>
          </w:tcPr>
          <w:p>
            <w:pPr>
              <w:pStyle w:val="1132"/>
              <w:rPr>
                <w:snapToGrid w:val="0"/>
              </w:rPr>
            </w:pPr>
            <w:r>
              <w:rPr>
                <w:snapToGrid w:val="0"/>
              </w:rPr>
              <w:t>4</w:t>
            </w:r>
          </w:p>
        </w:tc>
        <w:tc>
          <w:tcPr>
            <w:tcW w:w="1011" w:type="pct"/>
            <w:vMerge w:val="restart"/>
            <w:tcBorders>
              <w:top w:val="single" w:color="auto" w:sz="4" w:space="0"/>
            </w:tcBorders>
            <w:vAlign w:val="center"/>
          </w:tcPr>
          <w:p>
            <w:pPr>
              <w:pStyle w:val="1132"/>
            </w:pPr>
            <w:r>
              <w:rPr>
                <w:rFonts w:hint="eastAsia"/>
              </w:rPr>
              <w:t>m</w:t>
            </w:r>
            <w:r>
              <w:t>g/m</w:t>
            </w:r>
            <w:r>
              <w:rPr>
                <w:vertAlign w:val="superscript"/>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continue"/>
            <w:vAlign w:val="center"/>
          </w:tcPr>
          <w:p>
            <w:pPr>
              <w:pStyle w:val="1132"/>
            </w:pPr>
          </w:p>
        </w:tc>
        <w:tc>
          <w:tcPr>
            <w:tcW w:w="1148" w:type="pct"/>
            <w:vMerge w:val="continue"/>
            <w:vAlign w:val="center"/>
          </w:tcPr>
          <w:p>
            <w:pPr>
              <w:pStyle w:val="1132"/>
            </w:pPr>
          </w:p>
        </w:tc>
        <w:tc>
          <w:tcPr>
            <w:tcW w:w="1264" w:type="pct"/>
            <w:vAlign w:val="center"/>
          </w:tcPr>
          <w:p>
            <w:pPr>
              <w:pStyle w:val="1132"/>
              <w:rPr>
                <w:snapToGrid w:val="0"/>
              </w:rPr>
            </w:pPr>
            <w:r>
              <w:rPr>
                <w:snapToGrid w:val="0"/>
              </w:rPr>
              <w:t>小时平均</w:t>
            </w:r>
          </w:p>
        </w:tc>
        <w:tc>
          <w:tcPr>
            <w:tcW w:w="1081" w:type="pct"/>
            <w:vAlign w:val="center"/>
          </w:tcPr>
          <w:p>
            <w:pPr>
              <w:pStyle w:val="1132"/>
              <w:rPr>
                <w:snapToGrid w:val="0"/>
              </w:rPr>
            </w:pPr>
            <w:r>
              <w:rPr>
                <w:snapToGrid w:val="0"/>
              </w:rPr>
              <w:t>10</w:t>
            </w:r>
          </w:p>
        </w:tc>
        <w:tc>
          <w:tcPr>
            <w:tcW w:w="1011" w:type="pct"/>
            <w:vMerge w:val="continue"/>
            <w:vAlign w:val="center"/>
          </w:tcPr>
          <w:p>
            <w:pPr>
              <w:pStyle w:val="1132"/>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restart"/>
            <w:vAlign w:val="center"/>
          </w:tcPr>
          <w:p>
            <w:pPr>
              <w:pStyle w:val="1132"/>
            </w:pPr>
            <w:r>
              <w:rPr>
                <w:rFonts w:hint="eastAsia"/>
              </w:rPr>
              <w:t>4</w:t>
            </w:r>
          </w:p>
        </w:tc>
        <w:tc>
          <w:tcPr>
            <w:tcW w:w="1148" w:type="pct"/>
            <w:vMerge w:val="restart"/>
            <w:vAlign w:val="center"/>
          </w:tcPr>
          <w:p>
            <w:pPr>
              <w:pStyle w:val="1132"/>
            </w:pPr>
            <w:r>
              <w:rPr>
                <w:rFonts w:hint="eastAsia"/>
              </w:rPr>
              <w:t>O</w:t>
            </w:r>
            <w:r>
              <w:rPr>
                <w:vertAlign w:val="subscript"/>
              </w:rPr>
              <w:t>3</w:t>
            </w:r>
          </w:p>
        </w:tc>
        <w:tc>
          <w:tcPr>
            <w:tcW w:w="1264" w:type="pct"/>
            <w:vAlign w:val="center"/>
          </w:tcPr>
          <w:p>
            <w:pPr>
              <w:pStyle w:val="1132"/>
              <w:rPr>
                <w:snapToGrid w:val="0"/>
              </w:rPr>
            </w:pPr>
            <w:r>
              <w:rPr>
                <w:rFonts w:hint="eastAsia"/>
                <w:snapToGrid w:val="0"/>
              </w:rPr>
              <w:t>日最大8小时平均</w:t>
            </w:r>
          </w:p>
        </w:tc>
        <w:tc>
          <w:tcPr>
            <w:tcW w:w="1081" w:type="pct"/>
            <w:vAlign w:val="center"/>
          </w:tcPr>
          <w:p>
            <w:pPr>
              <w:pStyle w:val="1132"/>
              <w:rPr>
                <w:snapToGrid w:val="0"/>
              </w:rPr>
            </w:pPr>
            <w:r>
              <w:rPr>
                <w:snapToGrid w:val="0"/>
              </w:rPr>
              <w:t>160</w:t>
            </w:r>
          </w:p>
        </w:tc>
        <w:tc>
          <w:tcPr>
            <w:tcW w:w="1011" w:type="pct"/>
            <w:vMerge w:val="restart"/>
            <w:vAlign w:val="center"/>
          </w:tcPr>
          <w:p>
            <w:pPr>
              <w:pStyle w:val="1132"/>
            </w:pPr>
            <w:r>
              <w:t>μg/m</w:t>
            </w:r>
            <w:r>
              <w:rPr>
                <w:vertAlign w:val="superscript"/>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continue"/>
            <w:vAlign w:val="center"/>
          </w:tcPr>
          <w:p>
            <w:pPr>
              <w:pStyle w:val="1132"/>
            </w:pPr>
          </w:p>
        </w:tc>
        <w:tc>
          <w:tcPr>
            <w:tcW w:w="1148" w:type="pct"/>
            <w:vMerge w:val="continue"/>
            <w:vAlign w:val="center"/>
          </w:tcPr>
          <w:p>
            <w:pPr>
              <w:pStyle w:val="1132"/>
            </w:pPr>
          </w:p>
        </w:tc>
        <w:tc>
          <w:tcPr>
            <w:tcW w:w="1264" w:type="pct"/>
            <w:vAlign w:val="center"/>
          </w:tcPr>
          <w:p>
            <w:pPr>
              <w:pStyle w:val="1132"/>
              <w:rPr>
                <w:snapToGrid w:val="0"/>
              </w:rPr>
            </w:pPr>
            <w:r>
              <w:rPr>
                <w:rFonts w:hint="eastAsia"/>
                <w:snapToGrid w:val="0"/>
              </w:rPr>
              <w:t>小时平均</w:t>
            </w:r>
          </w:p>
        </w:tc>
        <w:tc>
          <w:tcPr>
            <w:tcW w:w="1081" w:type="pct"/>
            <w:vAlign w:val="center"/>
          </w:tcPr>
          <w:p>
            <w:pPr>
              <w:pStyle w:val="1132"/>
              <w:rPr>
                <w:snapToGrid w:val="0"/>
              </w:rPr>
            </w:pPr>
            <w:r>
              <w:rPr>
                <w:snapToGrid w:val="0"/>
              </w:rPr>
              <w:t>200</w:t>
            </w:r>
          </w:p>
        </w:tc>
        <w:tc>
          <w:tcPr>
            <w:tcW w:w="1011" w:type="pct"/>
            <w:vMerge w:val="continue"/>
            <w:vAlign w:val="center"/>
          </w:tcPr>
          <w:p>
            <w:pPr>
              <w:pStyle w:val="1132"/>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restart"/>
            <w:vAlign w:val="center"/>
          </w:tcPr>
          <w:p>
            <w:pPr>
              <w:pStyle w:val="1132"/>
            </w:pPr>
            <w:r>
              <w:t>5</w:t>
            </w:r>
          </w:p>
        </w:tc>
        <w:tc>
          <w:tcPr>
            <w:tcW w:w="1148" w:type="pct"/>
            <w:vMerge w:val="restart"/>
            <w:vAlign w:val="center"/>
          </w:tcPr>
          <w:p>
            <w:pPr>
              <w:pStyle w:val="1132"/>
              <w:rPr>
                <w:snapToGrid w:val="0"/>
              </w:rPr>
            </w:pPr>
            <w:r>
              <w:rPr>
                <w:snapToGrid w:val="0"/>
              </w:rPr>
              <w:t>PM</w:t>
            </w:r>
            <w:r>
              <w:rPr>
                <w:snapToGrid w:val="0"/>
                <w:vertAlign w:val="subscript"/>
              </w:rPr>
              <w:t>10</w:t>
            </w:r>
          </w:p>
        </w:tc>
        <w:tc>
          <w:tcPr>
            <w:tcW w:w="1264" w:type="pct"/>
            <w:vAlign w:val="center"/>
          </w:tcPr>
          <w:p>
            <w:pPr>
              <w:pStyle w:val="1132"/>
              <w:rPr>
                <w:snapToGrid w:val="0"/>
              </w:rPr>
            </w:pPr>
            <w:r>
              <w:rPr>
                <w:rFonts w:hint="eastAsia"/>
                <w:snapToGrid w:val="0"/>
              </w:rPr>
              <w:t>年平均</w:t>
            </w:r>
          </w:p>
        </w:tc>
        <w:tc>
          <w:tcPr>
            <w:tcW w:w="1081" w:type="pct"/>
            <w:vAlign w:val="center"/>
          </w:tcPr>
          <w:p>
            <w:pPr>
              <w:pStyle w:val="1132"/>
              <w:rPr>
                <w:snapToGrid w:val="0"/>
              </w:rPr>
            </w:pPr>
            <w:r>
              <w:rPr>
                <w:snapToGrid w:val="0"/>
              </w:rPr>
              <w:t>70</w:t>
            </w:r>
          </w:p>
        </w:tc>
        <w:tc>
          <w:tcPr>
            <w:tcW w:w="1011" w:type="pct"/>
            <w:vMerge w:val="continue"/>
            <w:vAlign w:val="center"/>
          </w:tcPr>
          <w:p>
            <w:pPr>
              <w:pStyle w:val="1132"/>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continue"/>
            <w:vAlign w:val="center"/>
          </w:tcPr>
          <w:p>
            <w:pPr>
              <w:pStyle w:val="1132"/>
            </w:pPr>
          </w:p>
        </w:tc>
        <w:tc>
          <w:tcPr>
            <w:tcW w:w="1148" w:type="pct"/>
            <w:vMerge w:val="continue"/>
            <w:vAlign w:val="center"/>
          </w:tcPr>
          <w:p>
            <w:pPr>
              <w:pStyle w:val="1132"/>
            </w:pPr>
          </w:p>
        </w:tc>
        <w:tc>
          <w:tcPr>
            <w:tcW w:w="1264" w:type="pct"/>
            <w:vAlign w:val="center"/>
          </w:tcPr>
          <w:p>
            <w:pPr>
              <w:pStyle w:val="1132"/>
              <w:rPr>
                <w:snapToGrid w:val="0"/>
              </w:rPr>
            </w:pPr>
            <w:r>
              <w:rPr>
                <w:rFonts w:hint="eastAsia"/>
                <w:snapToGrid w:val="0"/>
              </w:rPr>
              <w:t>24小时</w:t>
            </w:r>
            <w:r>
              <w:rPr>
                <w:snapToGrid w:val="0"/>
              </w:rPr>
              <w:t>平均</w:t>
            </w:r>
          </w:p>
        </w:tc>
        <w:tc>
          <w:tcPr>
            <w:tcW w:w="1081" w:type="pct"/>
            <w:vAlign w:val="center"/>
          </w:tcPr>
          <w:p>
            <w:pPr>
              <w:pStyle w:val="1132"/>
              <w:rPr>
                <w:snapToGrid w:val="0"/>
              </w:rPr>
            </w:pPr>
            <w:r>
              <w:rPr>
                <w:snapToGrid w:val="0"/>
              </w:rPr>
              <w:t>150</w:t>
            </w:r>
          </w:p>
        </w:tc>
        <w:tc>
          <w:tcPr>
            <w:tcW w:w="1011" w:type="pct"/>
            <w:vMerge w:val="continue"/>
            <w:vAlign w:val="center"/>
          </w:tcPr>
          <w:p>
            <w:pPr>
              <w:pStyle w:val="1132"/>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restart"/>
            <w:vAlign w:val="center"/>
          </w:tcPr>
          <w:p>
            <w:pPr>
              <w:pStyle w:val="1132"/>
            </w:pPr>
            <w:r>
              <w:t>6</w:t>
            </w:r>
          </w:p>
        </w:tc>
        <w:tc>
          <w:tcPr>
            <w:tcW w:w="1148" w:type="pct"/>
            <w:vMerge w:val="restart"/>
            <w:vAlign w:val="center"/>
          </w:tcPr>
          <w:p>
            <w:pPr>
              <w:pStyle w:val="1132"/>
              <w:rPr>
                <w:snapToGrid w:val="0"/>
              </w:rPr>
            </w:pPr>
            <w:r>
              <w:rPr>
                <w:snapToGrid w:val="0"/>
              </w:rPr>
              <w:t>PM</w:t>
            </w:r>
            <w:r>
              <w:rPr>
                <w:snapToGrid w:val="0"/>
                <w:vertAlign w:val="subscript"/>
              </w:rPr>
              <w:t>2.5</w:t>
            </w:r>
          </w:p>
        </w:tc>
        <w:tc>
          <w:tcPr>
            <w:tcW w:w="1264" w:type="pct"/>
            <w:vAlign w:val="center"/>
          </w:tcPr>
          <w:p>
            <w:pPr>
              <w:pStyle w:val="1132"/>
              <w:rPr>
                <w:snapToGrid w:val="0"/>
              </w:rPr>
            </w:pPr>
            <w:r>
              <w:rPr>
                <w:rFonts w:hint="eastAsia"/>
                <w:snapToGrid w:val="0"/>
              </w:rPr>
              <w:t>年平均</w:t>
            </w:r>
          </w:p>
        </w:tc>
        <w:tc>
          <w:tcPr>
            <w:tcW w:w="1081" w:type="pct"/>
            <w:vAlign w:val="center"/>
          </w:tcPr>
          <w:p>
            <w:pPr>
              <w:pStyle w:val="1132"/>
              <w:rPr>
                <w:snapToGrid w:val="0"/>
              </w:rPr>
            </w:pPr>
            <w:r>
              <w:rPr>
                <w:rFonts w:hint="eastAsia"/>
                <w:snapToGrid w:val="0"/>
              </w:rPr>
              <w:t>3</w:t>
            </w:r>
            <w:r>
              <w:rPr>
                <w:snapToGrid w:val="0"/>
              </w:rPr>
              <w:t>5</w:t>
            </w:r>
          </w:p>
        </w:tc>
        <w:tc>
          <w:tcPr>
            <w:tcW w:w="1011" w:type="pct"/>
            <w:vMerge w:val="continue"/>
            <w:vAlign w:val="center"/>
          </w:tcPr>
          <w:p>
            <w:pPr>
              <w:pStyle w:val="1132"/>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495" w:type="pct"/>
            <w:vMerge w:val="continue"/>
            <w:vAlign w:val="center"/>
          </w:tcPr>
          <w:p>
            <w:pPr>
              <w:pStyle w:val="1132"/>
            </w:pPr>
          </w:p>
        </w:tc>
        <w:tc>
          <w:tcPr>
            <w:tcW w:w="1148" w:type="pct"/>
            <w:vMerge w:val="continue"/>
            <w:vAlign w:val="center"/>
          </w:tcPr>
          <w:p>
            <w:pPr>
              <w:pStyle w:val="1132"/>
            </w:pPr>
          </w:p>
        </w:tc>
        <w:tc>
          <w:tcPr>
            <w:tcW w:w="1264" w:type="pct"/>
            <w:vAlign w:val="center"/>
          </w:tcPr>
          <w:p>
            <w:pPr>
              <w:pStyle w:val="1132"/>
              <w:rPr>
                <w:snapToGrid w:val="0"/>
              </w:rPr>
            </w:pPr>
            <w:r>
              <w:rPr>
                <w:rFonts w:hint="eastAsia"/>
                <w:snapToGrid w:val="0"/>
              </w:rPr>
              <w:t>24小时</w:t>
            </w:r>
            <w:r>
              <w:rPr>
                <w:snapToGrid w:val="0"/>
              </w:rPr>
              <w:t>平均</w:t>
            </w:r>
          </w:p>
        </w:tc>
        <w:tc>
          <w:tcPr>
            <w:tcW w:w="1081" w:type="pct"/>
            <w:vAlign w:val="center"/>
          </w:tcPr>
          <w:p>
            <w:pPr>
              <w:pStyle w:val="1132"/>
              <w:rPr>
                <w:snapToGrid w:val="0"/>
              </w:rPr>
            </w:pPr>
            <w:r>
              <w:rPr>
                <w:snapToGrid w:val="0"/>
              </w:rPr>
              <w:t>75</w:t>
            </w:r>
          </w:p>
        </w:tc>
        <w:tc>
          <w:tcPr>
            <w:tcW w:w="1011" w:type="pct"/>
            <w:vMerge w:val="continue"/>
            <w:vAlign w:val="center"/>
          </w:tcPr>
          <w:p>
            <w:pPr>
              <w:pStyle w:val="1132"/>
            </w:pPr>
          </w:p>
        </w:tc>
      </w:tr>
    </w:tbl>
    <w:p>
      <w:pPr>
        <w:pStyle w:val="10"/>
        <w:ind w:firstLine="480"/>
      </w:pPr>
      <w:r>
        <w:t>（3）声环境</w:t>
      </w:r>
    </w:p>
    <w:p>
      <w:pPr>
        <w:pStyle w:val="10"/>
        <w:ind w:firstLine="480"/>
      </w:pPr>
      <w:r>
        <w:rPr>
          <w:kern w:val="0"/>
          <w:lang w:val="zh-CN"/>
        </w:rPr>
        <w:t>位于现有交通干线边界线外两侧各35米内的</w:t>
      </w:r>
      <w:r>
        <w:rPr>
          <w:rFonts w:hint="eastAsia"/>
          <w:kern w:val="0"/>
          <w:lang w:val="zh-CN"/>
        </w:rPr>
        <w:t>声环境保护目标</w:t>
      </w:r>
      <w:r>
        <w:rPr>
          <w:kern w:val="0"/>
          <w:lang w:val="zh-CN"/>
        </w:rPr>
        <w:t>执行</w:t>
      </w:r>
      <w:r>
        <w:t>《声环境质量标准》（GB3096-2008）中4a类标准，</w:t>
      </w:r>
      <w:r>
        <w:rPr>
          <w:kern w:val="0"/>
          <w:lang w:val="zh-CN"/>
        </w:rPr>
        <w:t>35米以外的</w:t>
      </w:r>
      <w:r>
        <w:rPr>
          <w:rFonts w:hint="eastAsia"/>
          <w:kern w:val="0"/>
          <w:lang w:val="zh-CN"/>
        </w:rPr>
        <w:t>声环境保护目标</w:t>
      </w:r>
      <w:r>
        <w:rPr>
          <w:kern w:val="0"/>
          <w:lang w:val="zh-CN"/>
        </w:rPr>
        <w:t>执行</w:t>
      </w:r>
      <w:r>
        <w:t>《声环境质量标准》（GB3096-2008）中2类标准</w:t>
      </w:r>
      <w:r>
        <w:rPr>
          <w:rFonts w:hint="eastAsia"/>
        </w:rPr>
        <w:t>，</w:t>
      </w:r>
      <w:r>
        <w:t>具体标准值见表</w:t>
      </w:r>
      <w:r>
        <w:rPr>
          <w:snapToGrid w:val="0"/>
        </w:rPr>
        <w:t>2.6</w:t>
      </w:r>
      <w:r>
        <w:rPr>
          <w:rFonts w:hint="eastAsia"/>
          <w:snapToGrid w:val="0"/>
        </w:rPr>
        <w:t>-</w:t>
      </w:r>
      <w:r>
        <w:rPr>
          <w:snapToGrid w:val="0"/>
        </w:rPr>
        <w:t>4</w:t>
      </w:r>
      <w:r>
        <w:t>所示。</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rPr>
          <w:snapToGrid w:val="0"/>
        </w:rPr>
        <w:t xml:space="preserve"> </w:t>
      </w:r>
      <w:r>
        <w:rPr>
          <w:lang w:val="zh-CN"/>
        </w:rPr>
        <w:t xml:space="preserve"> </w:t>
      </w:r>
      <w:r>
        <w:t>《声环境质量标准》（GB3096-2008） 单位：dB（A）</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2321"/>
        <w:gridCol w:w="2322"/>
        <w:gridCol w:w="2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1250" w:type="pct"/>
            <w:vAlign w:val="center"/>
          </w:tcPr>
          <w:p>
            <w:pPr>
              <w:pStyle w:val="1132"/>
              <w:rPr>
                <w:b/>
                <w:bCs w:val="0"/>
              </w:rPr>
            </w:pPr>
            <w:r>
              <w:rPr>
                <w:b/>
                <w:bCs w:val="0"/>
              </w:rPr>
              <w:t>指标</w:t>
            </w:r>
          </w:p>
        </w:tc>
        <w:tc>
          <w:tcPr>
            <w:tcW w:w="1250" w:type="pct"/>
            <w:vAlign w:val="center"/>
          </w:tcPr>
          <w:p>
            <w:pPr>
              <w:pStyle w:val="1132"/>
              <w:rPr>
                <w:b/>
                <w:bCs w:val="0"/>
              </w:rPr>
            </w:pPr>
            <w:r>
              <w:rPr>
                <w:b/>
                <w:bCs w:val="0"/>
              </w:rPr>
              <w:t>类别</w:t>
            </w:r>
          </w:p>
        </w:tc>
        <w:tc>
          <w:tcPr>
            <w:tcW w:w="1250" w:type="pct"/>
            <w:vAlign w:val="center"/>
          </w:tcPr>
          <w:p>
            <w:pPr>
              <w:pStyle w:val="1132"/>
              <w:rPr>
                <w:b/>
                <w:bCs w:val="0"/>
              </w:rPr>
            </w:pPr>
            <w:r>
              <w:rPr>
                <w:b/>
                <w:bCs w:val="0"/>
              </w:rPr>
              <w:t>昼间</w:t>
            </w:r>
          </w:p>
        </w:tc>
        <w:tc>
          <w:tcPr>
            <w:tcW w:w="1250" w:type="pct"/>
            <w:vAlign w:val="center"/>
          </w:tcPr>
          <w:p>
            <w:pPr>
              <w:pStyle w:val="1132"/>
              <w:rPr>
                <w:b/>
                <w:bCs w:val="0"/>
              </w:rPr>
            </w:pPr>
            <w:r>
              <w:rPr>
                <w:b/>
                <w:bCs w:val="0"/>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 w:hRule="atLeast"/>
          <w:jc w:val="center"/>
        </w:trPr>
        <w:tc>
          <w:tcPr>
            <w:tcW w:w="1250" w:type="pct"/>
            <w:vMerge w:val="restart"/>
            <w:vAlign w:val="center"/>
          </w:tcPr>
          <w:p>
            <w:pPr>
              <w:pStyle w:val="1132"/>
            </w:pPr>
            <w:r>
              <w:t>《声环境质量标准》（GB3096-2008）</w:t>
            </w:r>
          </w:p>
        </w:tc>
        <w:tc>
          <w:tcPr>
            <w:tcW w:w="1250" w:type="pct"/>
            <w:vAlign w:val="center"/>
          </w:tcPr>
          <w:p>
            <w:pPr>
              <w:pStyle w:val="1132"/>
            </w:pPr>
            <w:r>
              <w:t>2类</w:t>
            </w:r>
          </w:p>
        </w:tc>
        <w:tc>
          <w:tcPr>
            <w:tcW w:w="1250" w:type="pct"/>
            <w:vAlign w:val="center"/>
          </w:tcPr>
          <w:p>
            <w:pPr>
              <w:pStyle w:val="1132"/>
            </w:pPr>
            <w:r>
              <w:t>60</w:t>
            </w:r>
          </w:p>
        </w:tc>
        <w:tc>
          <w:tcPr>
            <w:tcW w:w="1250" w:type="pct"/>
            <w:vAlign w:val="center"/>
          </w:tcPr>
          <w:p>
            <w:pPr>
              <w:pStyle w:val="1132"/>
            </w:pPr>
            <w: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 w:hRule="atLeast"/>
          <w:jc w:val="center"/>
        </w:trPr>
        <w:tc>
          <w:tcPr>
            <w:tcW w:w="1250" w:type="pct"/>
            <w:vMerge w:val="continue"/>
            <w:vAlign w:val="center"/>
          </w:tcPr>
          <w:p>
            <w:pPr>
              <w:pStyle w:val="1132"/>
            </w:pPr>
          </w:p>
        </w:tc>
        <w:tc>
          <w:tcPr>
            <w:tcW w:w="1250" w:type="pct"/>
            <w:vAlign w:val="center"/>
          </w:tcPr>
          <w:p>
            <w:pPr>
              <w:pStyle w:val="1132"/>
            </w:pPr>
            <w:r>
              <w:t>4a类</w:t>
            </w:r>
          </w:p>
        </w:tc>
        <w:tc>
          <w:tcPr>
            <w:tcW w:w="1250" w:type="pct"/>
            <w:vAlign w:val="center"/>
          </w:tcPr>
          <w:p>
            <w:pPr>
              <w:pStyle w:val="1132"/>
            </w:pPr>
            <w:r>
              <w:t>70</w:t>
            </w:r>
          </w:p>
        </w:tc>
        <w:tc>
          <w:tcPr>
            <w:tcW w:w="1250" w:type="pct"/>
            <w:vAlign w:val="center"/>
          </w:tcPr>
          <w:p>
            <w:pPr>
              <w:pStyle w:val="1132"/>
            </w:pPr>
            <w:r>
              <w:t>55</w:t>
            </w:r>
          </w:p>
        </w:tc>
      </w:tr>
    </w:tbl>
    <w:p>
      <w:pPr>
        <w:pStyle w:val="9"/>
      </w:pPr>
      <w:bookmarkStart w:id="101" w:name="_Toc9184"/>
      <w:r>
        <w:t>污染物排放标准</w:t>
      </w:r>
      <w:bookmarkEnd w:id="101"/>
    </w:p>
    <w:p>
      <w:pPr>
        <w:pStyle w:val="10"/>
        <w:ind w:firstLine="480"/>
      </w:pPr>
      <w:r>
        <w:t>（1）</w:t>
      </w:r>
      <w:bookmarkStart w:id="102" w:name="_Toc234679578"/>
      <w:bookmarkStart w:id="103" w:name="_Toc289442042"/>
      <w:r>
        <w:t>废气排放标准</w:t>
      </w:r>
    </w:p>
    <w:p>
      <w:pPr>
        <w:pStyle w:val="10"/>
        <w:ind w:firstLine="480"/>
        <w:rPr>
          <w:rFonts w:hint="eastAsia"/>
        </w:rPr>
      </w:pPr>
      <w:r>
        <w:t>大气污染物排放执行《大气污染物综合排放标准》(GB16297-1996)二级标准。具体见表</w:t>
      </w:r>
      <w:r>
        <w:rPr>
          <w:snapToGrid w:val="0"/>
        </w:rPr>
        <w:t>2.6-5</w:t>
      </w:r>
      <w:r>
        <w:t>。</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rPr>
          <w:rFonts w:hint="eastAsia"/>
          <w:lang w:val="en-US" w:eastAsia="zh-CN"/>
        </w:rPr>
        <w:t>-</w:t>
      </w:r>
      <w:r>
        <w:fldChar w:fldCharType="begin"/>
      </w:r>
      <w:r>
        <w:instrText xml:space="preserve"> </w:instrText>
      </w:r>
      <w:r>
        <w:rPr>
          <w:rFonts w:hint="eastAsia"/>
        </w:rPr>
        <w:instrText xml:space="preserve">SEQ 表 \* ARABIC \s 2</w:instrText>
      </w:r>
      <w:r>
        <w:instrText xml:space="preserve"> </w:instrText>
      </w:r>
      <w:r>
        <w:fldChar w:fldCharType="separate"/>
      </w:r>
      <w:r>
        <w:t>5</w:t>
      </w:r>
      <w:r>
        <w:fldChar w:fldCharType="end"/>
      </w:r>
      <w:r>
        <w:t xml:space="preserve">  废气污染物排放标准</w:t>
      </w:r>
    </w:p>
    <w:tbl>
      <w:tblPr>
        <w:tblStyle w:val="47"/>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57" w:type="dxa"/>
          <w:bottom w:w="0" w:type="dxa"/>
          <w:right w:w="57" w:type="dxa"/>
        </w:tblCellMar>
      </w:tblPr>
      <w:tblGrid>
        <w:gridCol w:w="608"/>
        <w:gridCol w:w="1412"/>
        <w:gridCol w:w="836"/>
        <w:gridCol w:w="1073"/>
        <w:gridCol w:w="1223"/>
        <w:gridCol w:w="1835"/>
        <w:gridCol w:w="219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331"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排放工序</w:t>
            </w:r>
          </w:p>
        </w:tc>
        <w:tc>
          <w:tcPr>
            <w:tcW w:w="769"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污染因子</w:t>
            </w:r>
          </w:p>
        </w:tc>
        <w:tc>
          <w:tcPr>
            <w:tcW w:w="455"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排气筒高度m</w:t>
            </w:r>
          </w:p>
        </w:tc>
        <w:tc>
          <w:tcPr>
            <w:tcW w:w="584"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最高允许排放速率kg/h</w:t>
            </w:r>
          </w:p>
        </w:tc>
        <w:tc>
          <w:tcPr>
            <w:tcW w:w="666"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最高允许排放浓度mg/m</w:t>
            </w:r>
            <w:r>
              <w:rPr>
                <w:rFonts w:hint="default" w:ascii="Times New Roman" w:hAnsi="Times New Roman" w:cs="Times New Roman"/>
                <w:b/>
                <w:bCs/>
                <w:sz w:val="21"/>
                <w:szCs w:val="21"/>
                <w:vertAlign w:val="superscript"/>
              </w:rPr>
              <w:t>3</w:t>
            </w:r>
          </w:p>
        </w:tc>
        <w:tc>
          <w:tcPr>
            <w:tcW w:w="999"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无组织排放监控浓度限值mg/m</w:t>
            </w:r>
            <w:r>
              <w:rPr>
                <w:rFonts w:hint="default" w:ascii="Times New Roman" w:hAnsi="Times New Roman" w:cs="Times New Roman"/>
                <w:b/>
                <w:bCs/>
                <w:sz w:val="21"/>
                <w:szCs w:val="21"/>
                <w:vertAlign w:val="superscript"/>
              </w:rPr>
              <w:t>3</w:t>
            </w:r>
          </w:p>
        </w:tc>
        <w:tc>
          <w:tcPr>
            <w:tcW w:w="1193"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标准名称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331" w:type="pct"/>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施工期</w:t>
            </w:r>
          </w:p>
        </w:tc>
        <w:tc>
          <w:tcPr>
            <w:tcW w:w="769"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颗粒物</w:t>
            </w:r>
          </w:p>
        </w:tc>
        <w:tc>
          <w:tcPr>
            <w:tcW w:w="455"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584"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666"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999"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1.0</w:t>
            </w:r>
          </w:p>
        </w:tc>
        <w:tc>
          <w:tcPr>
            <w:tcW w:w="1193" w:type="pct"/>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《大气污染物综合排放标准》(GB16297-1996)表2中二级标准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331"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769"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氮氧化物</w:t>
            </w:r>
          </w:p>
        </w:tc>
        <w:tc>
          <w:tcPr>
            <w:tcW w:w="455"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584"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666"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999"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0.12</w:t>
            </w:r>
          </w:p>
        </w:tc>
        <w:tc>
          <w:tcPr>
            <w:tcW w:w="1193"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331"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769"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非甲烷总烃</w:t>
            </w:r>
          </w:p>
        </w:tc>
        <w:tc>
          <w:tcPr>
            <w:tcW w:w="836" w:type="dxa"/>
            <w:noWrap w:val="0"/>
            <w:vAlign w:val="center"/>
          </w:tcPr>
          <w:p>
            <w:pPr>
              <w:pStyle w:val="1132"/>
              <w:rPr>
                <w:rFonts w:hint="default" w:ascii="Times New Roman" w:hAnsi="Times New Roman" w:cs="Times New Roman"/>
                <w:sz w:val="21"/>
                <w:szCs w:val="21"/>
              </w:rPr>
            </w:pPr>
            <w:r>
              <w:t>/</w:t>
            </w:r>
          </w:p>
        </w:tc>
        <w:tc>
          <w:tcPr>
            <w:tcW w:w="1073" w:type="dxa"/>
            <w:noWrap w:val="0"/>
            <w:vAlign w:val="center"/>
          </w:tcPr>
          <w:p>
            <w:pPr>
              <w:pStyle w:val="1132"/>
              <w:rPr>
                <w:rFonts w:hint="default" w:ascii="Times New Roman" w:hAnsi="Times New Roman" w:cs="Times New Roman"/>
                <w:sz w:val="21"/>
                <w:szCs w:val="21"/>
              </w:rPr>
            </w:pPr>
            <w:r>
              <w:t>/</w:t>
            </w:r>
          </w:p>
        </w:tc>
        <w:tc>
          <w:tcPr>
            <w:tcW w:w="1223" w:type="dxa"/>
            <w:noWrap w:val="0"/>
            <w:vAlign w:val="center"/>
          </w:tcPr>
          <w:p>
            <w:pPr>
              <w:pStyle w:val="1132"/>
              <w:rPr>
                <w:rFonts w:hint="default" w:ascii="Times New Roman" w:hAnsi="Times New Roman" w:cs="Times New Roman"/>
                <w:sz w:val="21"/>
                <w:szCs w:val="21"/>
              </w:rPr>
            </w:pPr>
            <w:r>
              <w:t>/</w:t>
            </w:r>
          </w:p>
        </w:tc>
        <w:tc>
          <w:tcPr>
            <w:tcW w:w="999" w:type="pc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4.0</w:t>
            </w:r>
          </w:p>
        </w:tc>
        <w:tc>
          <w:tcPr>
            <w:tcW w:w="1193"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331"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769" w:type="pct"/>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沥青烟</w:t>
            </w:r>
          </w:p>
        </w:tc>
        <w:tc>
          <w:tcPr>
            <w:tcW w:w="455" w:type="pct"/>
            <w:tcBorders>
              <w:bottom w:val="single" w:color="auto" w:sz="4" w:space="0"/>
            </w:tcBorders>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15</w:t>
            </w:r>
          </w:p>
        </w:tc>
        <w:tc>
          <w:tcPr>
            <w:tcW w:w="584" w:type="pct"/>
            <w:tcBorders>
              <w:bottom w:val="single" w:color="auto" w:sz="4" w:space="0"/>
            </w:tcBorders>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0.18</w:t>
            </w:r>
          </w:p>
        </w:tc>
        <w:tc>
          <w:tcPr>
            <w:tcW w:w="666" w:type="pct"/>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75（建筑</w:t>
            </w:r>
          </w:p>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搅拌）</w:t>
            </w:r>
          </w:p>
        </w:tc>
        <w:tc>
          <w:tcPr>
            <w:tcW w:w="999" w:type="pct"/>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生产设备不得有明显得无组织排放存在</w:t>
            </w:r>
          </w:p>
        </w:tc>
        <w:tc>
          <w:tcPr>
            <w:tcW w:w="1193"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331"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769"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455" w:type="pct"/>
            <w:tcBorders>
              <w:top w:val="single" w:color="auto" w:sz="4" w:space="0"/>
              <w:bottom w:val="single" w:color="auto" w:sz="4" w:space="0"/>
            </w:tcBorders>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20</w:t>
            </w:r>
          </w:p>
        </w:tc>
        <w:tc>
          <w:tcPr>
            <w:tcW w:w="584" w:type="pct"/>
            <w:tcBorders>
              <w:top w:val="single" w:color="auto" w:sz="4" w:space="0"/>
              <w:bottom w:val="single" w:color="auto" w:sz="4" w:space="0"/>
            </w:tcBorders>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0.30</w:t>
            </w:r>
          </w:p>
        </w:tc>
        <w:tc>
          <w:tcPr>
            <w:tcW w:w="666"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999"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1193"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331"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769"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455" w:type="pct"/>
            <w:tcBorders>
              <w:top w:val="single" w:color="auto" w:sz="4" w:space="0"/>
              <w:bottom w:val="single" w:color="auto" w:sz="4" w:space="0"/>
            </w:tcBorders>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30</w:t>
            </w:r>
          </w:p>
        </w:tc>
        <w:tc>
          <w:tcPr>
            <w:tcW w:w="584" w:type="pct"/>
            <w:tcBorders>
              <w:top w:val="single" w:color="auto" w:sz="4" w:space="0"/>
              <w:bottom w:val="single" w:color="auto" w:sz="4" w:space="0"/>
            </w:tcBorders>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1.3</w:t>
            </w:r>
          </w:p>
        </w:tc>
        <w:tc>
          <w:tcPr>
            <w:tcW w:w="666"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999"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1193"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331"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769"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455" w:type="pct"/>
            <w:tcBorders>
              <w:top w:val="single" w:color="auto" w:sz="4" w:space="0"/>
            </w:tcBorders>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40</w:t>
            </w:r>
          </w:p>
        </w:tc>
        <w:tc>
          <w:tcPr>
            <w:tcW w:w="584" w:type="pct"/>
            <w:tcBorders>
              <w:top w:val="single" w:color="auto" w:sz="4" w:space="0"/>
            </w:tcBorders>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sz w:val="21"/>
                <w:szCs w:val="21"/>
              </w:rPr>
              <w:t>2.3</w:t>
            </w:r>
          </w:p>
        </w:tc>
        <w:tc>
          <w:tcPr>
            <w:tcW w:w="666"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999"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c>
          <w:tcPr>
            <w:tcW w:w="1193" w:type="pct"/>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p>
        </w:tc>
      </w:tr>
    </w:tbl>
    <w:p>
      <w:pPr>
        <w:pStyle w:val="10"/>
        <w:ind w:firstLine="480"/>
      </w:pPr>
      <w:r>
        <w:t>（2）噪声排放标准</w:t>
      </w:r>
    </w:p>
    <w:p>
      <w:pPr>
        <w:pStyle w:val="10"/>
        <w:ind w:firstLine="480"/>
      </w:pPr>
      <w:r>
        <w:t>施工期噪声执行《建筑施工场界环境噪声排放标准》（GB12523-2011）</w:t>
      </w:r>
      <w:r>
        <w:rPr>
          <w:rFonts w:hint="eastAsia"/>
        </w:rPr>
        <w:t>，</w:t>
      </w:r>
      <w:r>
        <w:t>噪声排放标准见表</w:t>
      </w:r>
      <w:r>
        <w:rPr>
          <w:snapToGrid w:val="0"/>
        </w:rPr>
        <w:t>2.6-6</w:t>
      </w:r>
      <w:r>
        <w:t>。</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6</w:t>
      </w:r>
      <w:r>
        <w:fldChar w:fldCharType="end"/>
      </w:r>
      <w:r>
        <w:t xml:space="preserve">  环境噪声排放标准    单位：dB(A)</w:t>
      </w:r>
    </w:p>
    <w:tbl>
      <w:tblPr>
        <w:tblStyle w:val="47"/>
        <w:tblpPr w:leftFromText="180" w:rightFromText="180" w:vertAnchor="text" w:tblpXSpec="center" w:tblpY="1"/>
        <w:tblOverlap w:val="never"/>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144"/>
        <w:gridCol w:w="1571"/>
        <w:gridCol w:w="15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308" w:type="pct"/>
            <w:vAlign w:val="center"/>
          </w:tcPr>
          <w:p>
            <w:pPr>
              <w:pStyle w:val="1132"/>
              <w:rPr>
                <w:b/>
                <w:bCs w:val="0"/>
              </w:rPr>
            </w:pPr>
            <w:r>
              <w:rPr>
                <w:b/>
                <w:bCs w:val="0"/>
              </w:rPr>
              <w:t>标准名称</w:t>
            </w:r>
          </w:p>
        </w:tc>
        <w:tc>
          <w:tcPr>
            <w:tcW w:w="846" w:type="pct"/>
            <w:vAlign w:val="center"/>
          </w:tcPr>
          <w:p>
            <w:pPr>
              <w:pStyle w:val="1132"/>
              <w:rPr>
                <w:b/>
                <w:bCs w:val="0"/>
              </w:rPr>
            </w:pPr>
            <w:r>
              <w:rPr>
                <w:b/>
                <w:bCs w:val="0"/>
              </w:rPr>
              <w:t>昼间</w:t>
            </w:r>
          </w:p>
        </w:tc>
        <w:tc>
          <w:tcPr>
            <w:tcW w:w="846" w:type="pct"/>
            <w:vAlign w:val="center"/>
          </w:tcPr>
          <w:p>
            <w:pPr>
              <w:pStyle w:val="1132"/>
              <w:rPr>
                <w:b/>
                <w:bCs w:val="0"/>
              </w:rPr>
            </w:pPr>
            <w:r>
              <w:rPr>
                <w:b/>
                <w:bCs w:val="0"/>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308" w:type="pct"/>
            <w:vAlign w:val="center"/>
          </w:tcPr>
          <w:p>
            <w:pPr>
              <w:pStyle w:val="1132"/>
            </w:pPr>
            <w:r>
              <w:t>《建筑施工场界环境噪声排放标准》（GB12523-2011）</w:t>
            </w:r>
          </w:p>
        </w:tc>
        <w:tc>
          <w:tcPr>
            <w:tcW w:w="846" w:type="pct"/>
            <w:vAlign w:val="center"/>
          </w:tcPr>
          <w:p>
            <w:pPr>
              <w:pStyle w:val="1132"/>
            </w:pPr>
            <w:r>
              <w:t>70</w:t>
            </w:r>
          </w:p>
        </w:tc>
        <w:tc>
          <w:tcPr>
            <w:tcW w:w="846" w:type="pct"/>
            <w:vAlign w:val="center"/>
          </w:tcPr>
          <w:p>
            <w:pPr>
              <w:pStyle w:val="1132"/>
            </w:pPr>
            <w:r>
              <w:t>55</w:t>
            </w:r>
          </w:p>
        </w:tc>
      </w:tr>
    </w:tbl>
    <w:p>
      <w:pPr>
        <w:pStyle w:val="112"/>
        <w:ind w:firstLine="480"/>
        <w:rPr>
          <w:bCs/>
        </w:rPr>
      </w:pPr>
      <w:r>
        <w:rPr>
          <w:bCs/>
        </w:rPr>
        <w:t>（3）废水排放标准</w:t>
      </w:r>
    </w:p>
    <w:p>
      <w:pPr>
        <w:pStyle w:val="112"/>
        <w:ind w:firstLine="480"/>
      </w:pPr>
      <w:r>
        <w:t>施工期：施工期废水经处理后回用于施工场地洒水抑尘等，不外排；施工场地生活污水经化粪池或旱厕处理后用于农肥</w:t>
      </w:r>
      <w:r>
        <w:rPr>
          <w:rFonts w:hint="eastAsia"/>
        </w:rPr>
        <w:t>灌溉</w:t>
      </w:r>
      <w:r>
        <w:t>。</w:t>
      </w:r>
    </w:p>
    <w:p>
      <w:pPr>
        <w:pStyle w:val="112"/>
        <w:ind w:firstLine="480"/>
      </w:pPr>
      <w:bookmarkStart w:id="104" w:name="_Toc455016450"/>
      <w:r>
        <w:rPr>
          <w:rFonts w:hint="eastAsia"/>
        </w:rPr>
        <w:t>（4）固废</w:t>
      </w:r>
    </w:p>
    <w:p>
      <w:pPr>
        <w:pStyle w:val="112"/>
        <w:ind w:firstLine="480"/>
      </w:pPr>
      <w:r>
        <w:rPr>
          <w:rFonts w:hint="eastAsia"/>
        </w:rPr>
        <w:t>项目产生的一般固废处置执行《一般工业固体废物贮存和填埋污染控制标准》（GB18599-2020）中相关规定。</w:t>
      </w:r>
      <w:r>
        <w:t>危险废物的贮存执行《危险废物贮存污染控制标准》（GB18597-2001）</w:t>
      </w:r>
      <w:r>
        <w:rPr>
          <w:rFonts w:hint="eastAsia"/>
        </w:rPr>
        <w:t>及原环境保护部2013年第36号公告文件中的修改要求</w:t>
      </w:r>
      <w:r>
        <w:t>。</w:t>
      </w:r>
    </w:p>
    <w:p>
      <w:pPr>
        <w:pStyle w:val="7"/>
        <w:rPr>
          <w:b/>
          <w:bCs/>
          <w:sz w:val="28"/>
          <w:szCs w:val="28"/>
        </w:rPr>
      </w:pPr>
      <w:bookmarkStart w:id="105" w:name="_Toc21264"/>
      <w:bookmarkStart w:id="106" w:name="_Toc16122"/>
      <w:r>
        <w:rPr>
          <w:b/>
          <w:bCs/>
          <w:sz w:val="28"/>
          <w:szCs w:val="28"/>
        </w:rPr>
        <w:t>评价预测时段</w:t>
      </w:r>
      <w:bookmarkEnd w:id="102"/>
      <w:bookmarkEnd w:id="103"/>
      <w:bookmarkEnd w:id="104"/>
      <w:r>
        <w:rPr>
          <w:rFonts w:hint="eastAsia"/>
          <w:b/>
          <w:bCs/>
          <w:sz w:val="28"/>
          <w:szCs w:val="28"/>
        </w:rPr>
        <w:t>和评价方法</w:t>
      </w:r>
      <w:bookmarkEnd w:id="105"/>
      <w:bookmarkEnd w:id="106"/>
    </w:p>
    <w:p>
      <w:pPr>
        <w:pStyle w:val="8"/>
        <w:rPr>
          <w:b/>
          <w:bCs/>
        </w:rPr>
      </w:pPr>
      <w:bookmarkStart w:id="107" w:name="_Toc18631"/>
      <w:r>
        <w:rPr>
          <w:rFonts w:hint="eastAsia"/>
          <w:b/>
          <w:bCs/>
        </w:rPr>
        <w:t>评价预测时段</w:t>
      </w:r>
      <w:bookmarkEnd w:id="107"/>
    </w:p>
    <w:p>
      <w:pPr>
        <w:pStyle w:val="10"/>
        <w:ind w:firstLine="480"/>
      </w:pPr>
      <w:r>
        <w:t>评价考虑现状评价和预测评价，现状评价为2022年，预测评价时段为：</w:t>
      </w:r>
    </w:p>
    <w:p>
      <w:pPr>
        <w:pStyle w:val="10"/>
        <w:ind w:firstLine="480"/>
      </w:pPr>
      <w:r>
        <w:t>施工期：2023年</w:t>
      </w:r>
      <w:r>
        <w:rPr>
          <w:rFonts w:hint="eastAsia"/>
        </w:rPr>
        <w:t>1月</w:t>
      </w:r>
      <w:r>
        <w:t>~2023年</w:t>
      </w:r>
      <w:r>
        <w:rPr>
          <w:rFonts w:hint="eastAsia"/>
        </w:rPr>
        <w:t>1</w:t>
      </w:r>
      <w:r>
        <w:t>2</w:t>
      </w:r>
      <w:r>
        <w:rPr>
          <w:rFonts w:hint="eastAsia"/>
        </w:rPr>
        <w:t>月</w:t>
      </w:r>
      <w:r>
        <w:t>建成，施工期12个月；</w:t>
      </w:r>
    </w:p>
    <w:p>
      <w:pPr>
        <w:pStyle w:val="10"/>
        <w:ind w:firstLine="480"/>
      </w:pPr>
      <w:r>
        <w:t>营运期：分别选择202</w:t>
      </w:r>
      <w:r>
        <w:rPr>
          <w:rFonts w:hint="eastAsia"/>
          <w:lang w:val="en-US" w:eastAsia="zh-CN"/>
        </w:rPr>
        <w:t>4</w:t>
      </w:r>
      <w:r>
        <w:t>年、203</w:t>
      </w:r>
      <w:r>
        <w:rPr>
          <w:rFonts w:hint="eastAsia"/>
          <w:lang w:val="en-US" w:eastAsia="zh-CN"/>
        </w:rPr>
        <w:t>0</w:t>
      </w:r>
      <w:r>
        <w:t>年和203</w:t>
      </w:r>
      <w:r>
        <w:rPr>
          <w:rFonts w:hint="eastAsia"/>
          <w:lang w:val="en-US" w:eastAsia="zh-CN"/>
        </w:rPr>
        <w:t>8</w:t>
      </w:r>
      <w:r>
        <w:t>年分别代表预测评价近期、中期和远期。</w:t>
      </w:r>
    </w:p>
    <w:p>
      <w:pPr>
        <w:pStyle w:val="8"/>
        <w:rPr>
          <w:b/>
          <w:bCs/>
        </w:rPr>
      </w:pPr>
      <w:bookmarkStart w:id="108" w:name="_Toc19457"/>
      <w:r>
        <w:rPr>
          <w:rFonts w:hint="eastAsia"/>
          <w:b/>
          <w:bCs/>
        </w:rPr>
        <w:t>评价方法</w:t>
      </w:r>
      <w:bookmarkEnd w:id="108"/>
    </w:p>
    <w:p>
      <w:pPr>
        <w:pStyle w:val="10"/>
        <w:ind w:firstLine="480"/>
        <w:rPr>
          <w:rFonts w:hint="eastAsia"/>
        </w:rPr>
      </w:pPr>
      <w:r>
        <w:t>本项目评价方法见</w:t>
      </w:r>
      <w:r>
        <w:rPr>
          <w:rFonts w:hint="eastAsia"/>
        </w:rPr>
        <w:t>下</w:t>
      </w:r>
      <w:r>
        <w:t>表</w:t>
      </w:r>
      <w:r>
        <w:rPr>
          <w:rFonts w:hint="eastAsia"/>
        </w:rPr>
        <w:t>。</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2.7</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环境影响评价方法一览表</w:t>
      </w:r>
    </w:p>
    <w:tbl>
      <w:tblPr>
        <w:tblStyle w:val="47"/>
        <w:tblW w:w="50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88"/>
        <w:gridCol w:w="3244"/>
        <w:gridCol w:w="3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30" w:type="pct"/>
            <w:vAlign w:val="center"/>
          </w:tcPr>
          <w:p>
            <w:pPr>
              <w:pStyle w:val="1132"/>
              <w:rPr>
                <w:b/>
                <w:bCs w:val="0"/>
              </w:rPr>
            </w:pPr>
            <w:r>
              <w:rPr>
                <w:b/>
                <w:bCs w:val="0"/>
              </w:rPr>
              <w:t>环境要素</w:t>
            </w:r>
          </w:p>
        </w:tc>
        <w:tc>
          <w:tcPr>
            <w:tcW w:w="1744" w:type="pct"/>
            <w:vAlign w:val="center"/>
          </w:tcPr>
          <w:p>
            <w:pPr>
              <w:pStyle w:val="1132"/>
              <w:rPr>
                <w:b/>
                <w:bCs w:val="0"/>
              </w:rPr>
            </w:pPr>
            <w:r>
              <w:rPr>
                <w:b/>
                <w:bCs w:val="0"/>
              </w:rPr>
              <w:t>现状评价</w:t>
            </w:r>
          </w:p>
        </w:tc>
        <w:tc>
          <w:tcPr>
            <w:tcW w:w="2026" w:type="pct"/>
            <w:vAlign w:val="center"/>
          </w:tcPr>
          <w:p>
            <w:pPr>
              <w:pStyle w:val="1132"/>
              <w:rPr>
                <w:b/>
                <w:bCs w:val="0"/>
              </w:rPr>
            </w:pPr>
            <w:r>
              <w:rPr>
                <w:b/>
                <w:bCs w:val="0"/>
              </w:rPr>
              <w:t>预测评价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30" w:type="pct"/>
            <w:vAlign w:val="center"/>
          </w:tcPr>
          <w:p>
            <w:pPr>
              <w:pStyle w:val="1132"/>
            </w:pPr>
            <w:r>
              <w:t>地表水环境</w:t>
            </w:r>
          </w:p>
        </w:tc>
        <w:tc>
          <w:tcPr>
            <w:tcW w:w="1744" w:type="pct"/>
            <w:vAlign w:val="center"/>
          </w:tcPr>
          <w:p>
            <w:pPr>
              <w:pStyle w:val="1132"/>
            </w:pPr>
            <w:r>
              <w:t>收集资料、现状监测</w:t>
            </w:r>
          </w:p>
        </w:tc>
        <w:tc>
          <w:tcPr>
            <w:tcW w:w="2026" w:type="pct"/>
            <w:vAlign w:val="center"/>
          </w:tcPr>
          <w:p>
            <w:pPr>
              <w:pStyle w:val="1132"/>
            </w:pPr>
            <w:r>
              <w:t>类比分析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30" w:type="pct"/>
            <w:vAlign w:val="center"/>
          </w:tcPr>
          <w:p>
            <w:pPr>
              <w:pStyle w:val="1132"/>
            </w:pPr>
            <w:r>
              <w:t>声环境</w:t>
            </w:r>
          </w:p>
        </w:tc>
        <w:tc>
          <w:tcPr>
            <w:tcW w:w="1744" w:type="pct"/>
            <w:vAlign w:val="center"/>
          </w:tcPr>
          <w:p>
            <w:pPr>
              <w:pStyle w:val="1132"/>
            </w:pPr>
            <w:r>
              <w:t>资料收集、现状监测</w:t>
            </w:r>
          </w:p>
        </w:tc>
        <w:tc>
          <w:tcPr>
            <w:tcW w:w="2026" w:type="pct"/>
            <w:vAlign w:val="center"/>
          </w:tcPr>
          <w:p>
            <w:pPr>
              <w:pStyle w:val="1132"/>
            </w:pPr>
            <w:r>
              <w:t>模式计算、类比分析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30" w:type="pct"/>
            <w:vAlign w:val="center"/>
          </w:tcPr>
          <w:p>
            <w:pPr>
              <w:pStyle w:val="1132"/>
            </w:pPr>
            <w:r>
              <w:t>环境空气</w:t>
            </w:r>
          </w:p>
        </w:tc>
        <w:tc>
          <w:tcPr>
            <w:tcW w:w="1744" w:type="pct"/>
            <w:vAlign w:val="center"/>
          </w:tcPr>
          <w:p>
            <w:pPr>
              <w:pStyle w:val="1132"/>
            </w:pPr>
            <w:r>
              <w:t>资料收集</w:t>
            </w:r>
          </w:p>
        </w:tc>
        <w:tc>
          <w:tcPr>
            <w:tcW w:w="2026" w:type="pct"/>
            <w:vAlign w:val="center"/>
          </w:tcPr>
          <w:p>
            <w:pPr>
              <w:pStyle w:val="1132"/>
            </w:pPr>
            <w:r>
              <w:t>模式计算、类比分析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30" w:type="pct"/>
            <w:vAlign w:val="center"/>
          </w:tcPr>
          <w:p>
            <w:pPr>
              <w:pStyle w:val="1132"/>
            </w:pPr>
            <w:r>
              <w:t>生态环境</w:t>
            </w:r>
          </w:p>
        </w:tc>
        <w:tc>
          <w:tcPr>
            <w:tcW w:w="1744" w:type="pct"/>
            <w:vAlign w:val="center"/>
          </w:tcPr>
          <w:p>
            <w:pPr>
              <w:pStyle w:val="1132"/>
            </w:pPr>
            <w:r>
              <w:t>现状调查、资料收集</w:t>
            </w:r>
          </w:p>
        </w:tc>
        <w:tc>
          <w:tcPr>
            <w:tcW w:w="2026" w:type="pct"/>
            <w:vAlign w:val="center"/>
          </w:tcPr>
          <w:p>
            <w:pPr>
              <w:pStyle w:val="1132"/>
            </w:pPr>
            <w:r>
              <w:t>资料调查与分析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30" w:type="pct"/>
            <w:vAlign w:val="center"/>
          </w:tcPr>
          <w:p>
            <w:pPr>
              <w:pStyle w:val="1132"/>
            </w:pPr>
            <w:r>
              <w:t>环境风险</w:t>
            </w:r>
          </w:p>
        </w:tc>
        <w:tc>
          <w:tcPr>
            <w:tcW w:w="1744" w:type="pct"/>
            <w:vAlign w:val="center"/>
          </w:tcPr>
          <w:p>
            <w:pPr>
              <w:pStyle w:val="1132"/>
            </w:pPr>
            <w:r>
              <w:rPr>
                <w:rFonts w:hint="eastAsia"/>
              </w:rPr>
              <w:t>-</w:t>
            </w:r>
          </w:p>
        </w:tc>
        <w:tc>
          <w:tcPr>
            <w:tcW w:w="2026" w:type="pct"/>
            <w:vAlign w:val="center"/>
          </w:tcPr>
          <w:p>
            <w:pPr>
              <w:pStyle w:val="1132"/>
            </w:pPr>
            <w:r>
              <w:t>资料收集、调查分析、模式计算</w:t>
            </w:r>
          </w:p>
        </w:tc>
      </w:tr>
    </w:tbl>
    <w:p>
      <w:pPr>
        <w:pStyle w:val="7"/>
        <w:rPr>
          <w:b/>
          <w:bCs/>
          <w:sz w:val="28"/>
          <w:szCs w:val="28"/>
        </w:rPr>
      </w:pPr>
      <w:bookmarkStart w:id="109" w:name="_Toc455016452"/>
      <w:bookmarkStart w:id="110" w:name="_Toc234679580"/>
      <w:bookmarkStart w:id="111" w:name="_Toc289442044"/>
      <w:bookmarkStart w:id="112" w:name="_Toc2727"/>
      <w:bookmarkStart w:id="113" w:name="_Toc3355"/>
      <w:r>
        <w:rPr>
          <w:b/>
          <w:bCs/>
          <w:sz w:val="28"/>
          <w:szCs w:val="28"/>
        </w:rPr>
        <w:t>环境保护目标</w:t>
      </w:r>
      <w:bookmarkEnd w:id="109"/>
      <w:bookmarkEnd w:id="110"/>
      <w:bookmarkEnd w:id="111"/>
      <w:bookmarkEnd w:id="112"/>
      <w:bookmarkEnd w:id="113"/>
    </w:p>
    <w:p>
      <w:pPr>
        <w:pStyle w:val="8"/>
        <w:rPr>
          <w:b/>
          <w:bCs/>
        </w:rPr>
      </w:pPr>
      <w:bookmarkStart w:id="114" w:name="_Toc21863"/>
      <w:r>
        <w:rPr>
          <w:b/>
          <w:bCs/>
        </w:rPr>
        <w:t>生态环境保护目标</w:t>
      </w:r>
      <w:bookmarkEnd w:id="114"/>
    </w:p>
    <w:p>
      <w:pPr>
        <w:pStyle w:val="112"/>
        <w:ind w:firstLine="480"/>
        <w:rPr>
          <w:bCs/>
        </w:rPr>
      </w:pPr>
      <w:r>
        <w:rPr>
          <w:bCs/>
        </w:rPr>
        <w:t>（1）生态敏感区</w:t>
      </w:r>
    </w:p>
    <w:p>
      <w:pPr>
        <w:pStyle w:val="112"/>
        <w:ind w:firstLine="480"/>
        <w:rPr>
          <w:bCs/>
        </w:rPr>
      </w:pPr>
      <w:r>
        <w:rPr>
          <w:rFonts w:hint="eastAsia"/>
          <w:bCs/>
        </w:rPr>
        <w:t>本项目评价范围内无自然保护区、风景旅游点和文物古迹等需要特殊保护的环境敏感对象。</w:t>
      </w:r>
    </w:p>
    <w:p>
      <w:pPr>
        <w:pStyle w:val="112"/>
        <w:ind w:firstLine="480"/>
        <w:rPr>
          <w:bCs/>
        </w:rPr>
      </w:pPr>
      <w:r>
        <w:rPr>
          <w:bCs/>
        </w:rPr>
        <w:t>（2）林地和耕地</w:t>
      </w:r>
    </w:p>
    <w:p>
      <w:pPr>
        <w:pStyle w:val="112"/>
        <w:ind w:firstLine="480"/>
        <w:rPr>
          <w:bCs/>
        </w:rPr>
      </w:pPr>
      <w:r>
        <w:rPr>
          <w:bCs/>
        </w:rPr>
        <w:t>本项目占地不涉及国家级、省级公益林。</w:t>
      </w:r>
    </w:p>
    <w:p>
      <w:pPr>
        <w:pStyle w:val="10"/>
        <w:ind w:firstLine="480"/>
      </w:pPr>
      <w:r>
        <w:t>（3）珍稀动植物</w:t>
      </w:r>
    </w:p>
    <w:p>
      <w:pPr>
        <w:pStyle w:val="10"/>
        <w:ind w:firstLine="480"/>
      </w:pPr>
      <w:r>
        <w:t>根据实地调查和资料收集，拟建道路</w:t>
      </w:r>
      <w:r>
        <w:rPr>
          <w:rFonts w:hint="eastAsia"/>
        </w:rPr>
        <w:t>周边</w:t>
      </w:r>
      <w:r>
        <w:t>人为活动频繁，动物资源以家畜家禽为主，有牛、羊、猪、鸡、鸭、鹅、兔等</w:t>
      </w:r>
      <w:r>
        <w:rPr>
          <w:rFonts w:hint="eastAsia"/>
        </w:rPr>
        <w:t>，无珍稀动植物</w:t>
      </w:r>
      <w:r>
        <w:t>。</w:t>
      </w:r>
    </w:p>
    <w:p>
      <w:pPr>
        <w:pStyle w:val="8"/>
        <w:rPr>
          <w:b/>
          <w:bCs/>
        </w:rPr>
      </w:pPr>
      <w:bookmarkStart w:id="115" w:name="_Toc510"/>
      <w:r>
        <w:rPr>
          <w:b/>
          <w:bCs/>
        </w:rPr>
        <w:t>地表水环境保护目标</w:t>
      </w:r>
      <w:bookmarkEnd w:id="115"/>
      <w:bookmarkStart w:id="116" w:name="_Toc94696005"/>
    </w:p>
    <w:p>
      <w:pPr>
        <w:pStyle w:val="112"/>
        <w:ind w:firstLine="480"/>
      </w:pPr>
      <w:r>
        <w:t>（1）本项目沿线地表水体</w:t>
      </w:r>
    </w:p>
    <w:p>
      <w:pPr>
        <w:pStyle w:val="112"/>
        <w:ind w:firstLine="480"/>
        <w:rPr>
          <w:snapToGrid w:val="0"/>
        </w:rPr>
      </w:pPr>
      <w:r>
        <w:t>经调查，本项目沿线地表水环境保护目标主要为</w:t>
      </w:r>
      <w:r>
        <w:rPr>
          <w:rFonts w:hint="eastAsia"/>
        </w:rPr>
        <w:t>清沟河</w:t>
      </w:r>
      <w:r>
        <w:rPr>
          <w:snapToGrid w:val="0"/>
        </w:rPr>
        <w:t>。本项目建设和运营过程中的水环境保护目标见表2.8-1。</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地表水环境保护目标</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1369"/>
        <w:gridCol w:w="1146"/>
        <w:gridCol w:w="1374"/>
        <w:gridCol w:w="1369"/>
        <w:gridCol w:w="30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06" w:type="pct"/>
            <w:vAlign w:val="center"/>
          </w:tcPr>
          <w:p>
            <w:pPr>
              <w:pStyle w:val="1132"/>
              <w:rPr>
                <w:b/>
                <w:bCs w:val="0"/>
              </w:rPr>
            </w:pPr>
            <w:r>
              <w:rPr>
                <w:b/>
                <w:bCs w:val="0"/>
              </w:rPr>
              <w:t>河流名称</w:t>
            </w:r>
          </w:p>
        </w:tc>
        <w:tc>
          <w:tcPr>
            <w:tcW w:w="737" w:type="pct"/>
            <w:vAlign w:val="center"/>
          </w:tcPr>
          <w:p>
            <w:pPr>
              <w:pStyle w:val="1132"/>
              <w:rPr>
                <w:b/>
                <w:bCs w:val="0"/>
              </w:rPr>
            </w:pPr>
            <w:r>
              <w:rPr>
                <w:b/>
                <w:bCs w:val="0"/>
              </w:rPr>
              <w:t>中心桩号</w:t>
            </w:r>
          </w:p>
        </w:tc>
        <w:tc>
          <w:tcPr>
            <w:tcW w:w="617" w:type="pct"/>
            <w:vAlign w:val="center"/>
          </w:tcPr>
          <w:p>
            <w:pPr>
              <w:pStyle w:val="1132"/>
              <w:rPr>
                <w:b/>
                <w:bCs w:val="0"/>
              </w:rPr>
            </w:pPr>
            <w:r>
              <w:rPr>
                <w:b/>
                <w:bCs w:val="0"/>
              </w:rPr>
              <w:t>水</w:t>
            </w:r>
            <w:r>
              <w:rPr>
                <w:rFonts w:hint="eastAsia"/>
                <w:b/>
                <w:bCs w:val="0"/>
              </w:rPr>
              <w:t>环境功能分区</w:t>
            </w:r>
          </w:p>
        </w:tc>
        <w:tc>
          <w:tcPr>
            <w:tcW w:w="740" w:type="pct"/>
            <w:vAlign w:val="center"/>
          </w:tcPr>
          <w:p>
            <w:pPr>
              <w:pStyle w:val="1132"/>
              <w:rPr>
                <w:b/>
                <w:bCs w:val="0"/>
              </w:rPr>
            </w:pPr>
            <w:r>
              <w:rPr>
                <w:b/>
                <w:bCs w:val="0"/>
              </w:rPr>
              <w:t>主要功能</w:t>
            </w:r>
          </w:p>
        </w:tc>
        <w:tc>
          <w:tcPr>
            <w:tcW w:w="737" w:type="pct"/>
            <w:vAlign w:val="center"/>
          </w:tcPr>
          <w:p>
            <w:pPr>
              <w:pStyle w:val="1132"/>
              <w:rPr>
                <w:b/>
                <w:bCs w:val="0"/>
              </w:rPr>
            </w:pPr>
            <w:r>
              <w:rPr>
                <w:b/>
                <w:bCs w:val="0"/>
              </w:rPr>
              <w:t>与路线位置关系</w:t>
            </w:r>
          </w:p>
        </w:tc>
        <w:tc>
          <w:tcPr>
            <w:tcW w:w="1663" w:type="pct"/>
            <w:vAlign w:val="center"/>
          </w:tcPr>
          <w:p>
            <w:pPr>
              <w:pStyle w:val="1132"/>
              <w:rPr>
                <w:b/>
                <w:bCs w:val="0"/>
              </w:rPr>
            </w:pPr>
            <w:r>
              <w:rPr>
                <w:rFonts w:hint="eastAsia"/>
                <w:b/>
                <w:bCs w:val="0"/>
              </w:rPr>
              <w:t>现状照片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91" w:hRule="atLeast"/>
          <w:jc w:val="center"/>
        </w:trPr>
        <w:tc>
          <w:tcPr>
            <w:tcW w:w="506" w:type="pct"/>
            <w:vAlign w:val="center"/>
          </w:tcPr>
          <w:p>
            <w:pPr>
              <w:pStyle w:val="1132"/>
            </w:pPr>
            <w:r>
              <w:rPr>
                <w:rFonts w:hint="eastAsia"/>
              </w:rPr>
              <w:t>清沟河</w:t>
            </w:r>
          </w:p>
        </w:tc>
        <w:tc>
          <w:tcPr>
            <w:tcW w:w="737" w:type="pct"/>
            <w:vAlign w:val="center"/>
          </w:tcPr>
          <w:p>
            <w:pPr>
              <w:pStyle w:val="1132"/>
            </w:pPr>
            <w:r>
              <w:t>K0+000</w:t>
            </w:r>
          </w:p>
        </w:tc>
        <w:tc>
          <w:tcPr>
            <w:tcW w:w="617" w:type="pct"/>
            <w:vAlign w:val="center"/>
          </w:tcPr>
          <w:p>
            <w:pPr>
              <w:pStyle w:val="1132"/>
            </w:pPr>
            <w:r>
              <w:t>GB3838-2002</w:t>
            </w:r>
            <w:r>
              <w:rPr>
                <w:rFonts w:hint="eastAsia"/>
              </w:rPr>
              <w:t>中II</w:t>
            </w:r>
            <w:r>
              <w:t>I类</w:t>
            </w:r>
            <w:r>
              <w:rPr>
                <w:rFonts w:hint="eastAsia"/>
              </w:rPr>
              <w:t>区</w:t>
            </w:r>
          </w:p>
        </w:tc>
        <w:tc>
          <w:tcPr>
            <w:tcW w:w="740" w:type="pct"/>
            <w:vAlign w:val="center"/>
          </w:tcPr>
          <w:p>
            <w:pPr>
              <w:pStyle w:val="1132"/>
            </w:pPr>
            <w:r>
              <w:t>农业用水</w:t>
            </w:r>
          </w:p>
        </w:tc>
        <w:tc>
          <w:tcPr>
            <w:tcW w:w="737" w:type="pct"/>
            <w:vAlign w:val="center"/>
          </w:tcPr>
          <w:p>
            <w:pPr>
              <w:pStyle w:val="1132"/>
            </w:pPr>
            <w:r>
              <w:rPr>
                <w:rFonts w:hint="eastAsia"/>
              </w:rPr>
              <w:t>路右</w:t>
            </w:r>
          </w:p>
        </w:tc>
        <w:tc>
          <w:tcPr>
            <w:tcW w:w="1663" w:type="pct"/>
            <w:vAlign w:val="center"/>
          </w:tcPr>
          <w:p>
            <w:pPr>
              <w:pStyle w:val="1132"/>
            </w:pPr>
            <w:r>
              <w:rPr>
                <w:rFonts w:hint="eastAsia" w:eastAsia="宋体"/>
                <w:color w:val="FF0000"/>
                <w:lang w:eastAsia="zh-CN"/>
              </w:rPr>
              <w:drawing>
                <wp:anchor distT="0" distB="0" distL="114300" distR="114300" simplePos="0" relativeHeight="251661312" behindDoc="0" locked="0" layoutInCell="1" allowOverlap="1">
                  <wp:simplePos x="0" y="0"/>
                  <wp:positionH relativeFrom="column">
                    <wp:posOffset>-17780</wp:posOffset>
                  </wp:positionH>
                  <wp:positionV relativeFrom="paragraph">
                    <wp:posOffset>29845</wp:posOffset>
                  </wp:positionV>
                  <wp:extent cx="1792605" cy="1344295"/>
                  <wp:effectExtent l="0" t="0" r="5715" b="12065"/>
                  <wp:wrapNone/>
                  <wp:docPr id="3" name="图片 3" descr="d951c00a37e056a2daa907187c36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951c00a37e056a2daa907187c36fff"/>
                          <pic:cNvPicPr>
                            <a:picLocks noChangeAspect="1"/>
                          </pic:cNvPicPr>
                        </pic:nvPicPr>
                        <pic:blipFill>
                          <a:blip r:embed="rId19"/>
                          <a:stretch>
                            <a:fillRect/>
                          </a:stretch>
                        </pic:blipFill>
                        <pic:spPr>
                          <a:xfrm>
                            <a:off x="0" y="0"/>
                            <a:ext cx="1792605" cy="1344295"/>
                          </a:xfrm>
                          <a:prstGeom prst="rect">
                            <a:avLst/>
                          </a:prstGeom>
                        </pic:spPr>
                      </pic:pic>
                    </a:graphicData>
                  </a:graphic>
                </wp:anchor>
              </w:drawing>
            </w:r>
          </w:p>
        </w:tc>
      </w:tr>
      <w:bookmarkEnd w:id="116"/>
    </w:tbl>
    <w:p>
      <w:pPr>
        <w:pStyle w:val="8"/>
        <w:rPr>
          <w:b/>
          <w:bCs/>
        </w:rPr>
      </w:pPr>
      <w:bookmarkStart w:id="117" w:name="_Toc13030"/>
      <w:r>
        <w:rPr>
          <w:b/>
          <w:bCs/>
        </w:rPr>
        <w:t>声环境和环境空气保护目标</w:t>
      </w:r>
      <w:bookmarkEnd w:id="117"/>
    </w:p>
    <w:p>
      <w:pPr>
        <w:pStyle w:val="112"/>
        <w:ind w:firstLine="480"/>
      </w:pPr>
      <w:bookmarkStart w:id="118" w:name="_Hlk88560773"/>
      <w:r>
        <w:t>根据现场调查，工程沿线的敏感对象</w:t>
      </w:r>
      <w:bookmarkEnd w:id="118"/>
      <w:r>
        <w:t>及其保护目标见</w:t>
      </w:r>
      <w:r>
        <w:rPr>
          <w:rFonts w:hint="eastAsia"/>
        </w:rPr>
        <w:t>下</w:t>
      </w:r>
      <w:r>
        <w:t>表。</w:t>
      </w:r>
    </w:p>
    <w:p>
      <w:pPr>
        <w:pStyle w:val="112"/>
        <w:ind w:firstLine="480"/>
        <w:rPr>
          <w:color w:val="0070C0"/>
        </w:rPr>
        <w:sectPr>
          <w:pgSz w:w="11906" w:h="16838"/>
          <w:pgMar w:top="1418" w:right="1418" w:bottom="1418" w:left="1418" w:header="851" w:footer="992" w:gutter="0"/>
          <w:cols w:space="720" w:num="1"/>
          <w:docGrid w:linePitch="326" w:charSpace="0"/>
        </w:sectPr>
      </w:pPr>
    </w:p>
    <w:p>
      <w:pPr>
        <w:pStyle w:val="19"/>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2.8</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3</w:t>
      </w:r>
      <w:r>
        <w:rPr>
          <w:color w:val="auto"/>
        </w:rPr>
        <w:fldChar w:fldCharType="end"/>
      </w:r>
      <w:r>
        <w:rPr>
          <w:color w:val="auto"/>
        </w:rPr>
        <w:t xml:space="preserve">  沿线声环境、大气环境保护目标一览表</w:t>
      </w:r>
    </w:p>
    <w:tbl>
      <w:tblPr>
        <w:tblStyle w:val="47"/>
        <w:tblW w:w="1380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28" w:type="dxa"/>
          <w:left w:w="15" w:type="dxa"/>
          <w:bottom w:w="15" w:type="dxa"/>
          <w:right w:w="15" w:type="dxa"/>
        </w:tblCellMar>
      </w:tblPr>
      <w:tblGrid>
        <w:gridCol w:w="371"/>
        <w:gridCol w:w="685"/>
        <w:gridCol w:w="644"/>
        <w:gridCol w:w="894"/>
        <w:gridCol w:w="589"/>
        <w:gridCol w:w="600"/>
        <w:gridCol w:w="709"/>
        <w:gridCol w:w="589"/>
        <w:gridCol w:w="600"/>
        <w:gridCol w:w="589"/>
        <w:gridCol w:w="1430"/>
        <w:gridCol w:w="2890"/>
        <w:gridCol w:w="32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340" w:hRule="atLeast"/>
          <w:tblHeader/>
          <w:jc w:val="center"/>
        </w:trPr>
        <w:tc>
          <w:tcPr>
            <w:tcW w:w="371"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685"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声环境保护目标名称</w:t>
            </w:r>
          </w:p>
        </w:tc>
        <w:tc>
          <w:tcPr>
            <w:tcW w:w="644"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val="en-US" w:eastAsia="zh-CN"/>
              </w:rPr>
              <w:t>所在路段</w:t>
            </w:r>
          </w:p>
        </w:tc>
        <w:tc>
          <w:tcPr>
            <w:tcW w:w="894"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r>
              <w:rPr>
                <w:rFonts w:hint="eastAsia" w:cs="Times New Roman"/>
                <w:b/>
                <w:bCs/>
                <w:color w:val="auto"/>
                <w:sz w:val="21"/>
                <w:szCs w:val="21"/>
                <w:lang w:val="en-US" w:eastAsia="zh-CN"/>
              </w:rPr>
              <w:t>里程范围</w:t>
            </w:r>
          </w:p>
        </w:tc>
        <w:tc>
          <w:tcPr>
            <w:tcW w:w="589"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线路形式</w:t>
            </w:r>
          </w:p>
        </w:tc>
        <w:tc>
          <w:tcPr>
            <w:tcW w:w="600"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r>
              <w:rPr>
                <w:rFonts w:hint="eastAsia" w:cs="Times New Roman"/>
                <w:b/>
                <w:bCs/>
                <w:color w:val="auto"/>
                <w:sz w:val="21"/>
                <w:szCs w:val="21"/>
                <w:lang w:val="en-US" w:eastAsia="zh-CN"/>
              </w:rPr>
              <w:t>方位</w:t>
            </w:r>
          </w:p>
        </w:tc>
        <w:tc>
          <w:tcPr>
            <w:tcW w:w="709"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声环境保护目标预测点与路面高差/m</w:t>
            </w:r>
          </w:p>
        </w:tc>
        <w:tc>
          <w:tcPr>
            <w:tcW w:w="589"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距道路边界（红线）距离/m</w:t>
            </w:r>
          </w:p>
        </w:tc>
        <w:tc>
          <w:tcPr>
            <w:tcW w:w="1189" w:type="dxa"/>
            <w:gridSpan w:val="2"/>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不同功能区户数</w:t>
            </w:r>
          </w:p>
        </w:tc>
        <w:tc>
          <w:tcPr>
            <w:tcW w:w="1430"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声环境保护目标情况说明（介绍声环境保护目标建筑结构、朝向、楼层、周围环境情况）</w:t>
            </w:r>
          </w:p>
        </w:tc>
        <w:tc>
          <w:tcPr>
            <w:tcW w:w="2890"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敏感点图</w:t>
            </w:r>
          </w:p>
        </w:tc>
        <w:tc>
          <w:tcPr>
            <w:tcW w:w="3210"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敏感点位置图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340" w:hRule="atLeast"/>
          <w:tblHeader/>
          <w:jc w:val="center"/>
        </w:trPr>
        <w:tc>
          <w:tcPr>
            <w:tcW w:w="371"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p>
        </w:tc>
        <w:tc>
          <w:tcPr>
            <w:tcW w:w="685"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bCs/>
                <w:color w:val="auto"/>
                <w:sz w:val="21"/>
                <w:szCs w:val="21"/>
                <w:lang w:val="en-US" w:eastAsia="zh-CN"/>
              </w:rPr>
            </w:pPr>
          </w:p>
        </w:tc>
        <w:tc>
          <w:tcPr>
            <w:tcW w:w="644"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bCs/>
                <w:color w:val="auto"/>
                <w:sz w:val="21"/>
                <w:szCs w:val="21"/>
                <w:lang w:val="en-US" w:eastAsia="zh-CN"/>
              </w:rPr>
            </w:pPr>
          </w:p>
        </w:tc>
        <w:tc>
          <w:tcPr>
            <w:tcW w:w="894"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bCs/>
                <w:color w:val="auto"/>
                <w:sz w:val="21"/>
                <w:szCs w:val="21"/>
                <w:lang w:val="en-US" w:eastAsia="zh-CN"/>
              </w:rPr>
            </w:pPr>
          </w:p>
        </w:tc>
        <w:tc>
          <w:tcPr>
            <w:tcW w:w="589"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p>
        </w:tc>
        <w:tc>
          <w:tcPr>
            <w:tcW w:w="600"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p>
        </w:tc>
        <w:tc>
          <w:tcPr>
            <w:tcW w:w="709"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p>
        </w:tc>
        <w:tc>
          <w:tcPr>
            <w:tcW w:w="589"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4a类</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2类</w:t>
            </w:r>
          </w:p>
        </w:tc>
        <w:tc>
          <w:tcPr>
            <w:tcW w:w="1430"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p>
        </w:tc>
        <w:tc>
          <w:tcPr>
            <w:tcW w:w="2890"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p>
        </w:tc>
        <w:tc>
          <w:tcPr>
            <w:tcW w:w="3210"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2326" w:hRule="atLeast"/>
          <w:jc w:val="center"/>
        </w:trPr>
        <w:tc>
          <w:tcPr>
            <w:tcW w:w="371"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w:t>
            </w:r>
          </w:p>
        </w:tc>
        <w:tc>
          <w:tcPr>
            <w:tcW w:w="685"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宋小庄</w:t>
            </w:r>
          </w:p>
        </w:tc>
        <w:tc>
          <w:tcPr>
            <w:tcW w:w="64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包集互通出入口</w:t>
            </w:r>
          </w:p>
        </w:tc>
        <w:tc>
          <w:tcPr>
            <w:tcW w:w="89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default" w:ascii="Times New Roman" w:hAnsi="Times New Roman" w:cs="Times New Roman"/>
                <w:b w:val="0"/>
                <w:bCs w:val="0"/>
                <w:color w:val="auto"/>
                <w:sz w:val="21"/>
                <w:szCs w:val="21"/>
              </w:rPr>
              <w:t>K</w:t>
            </w:r>
            <w:r>
              <w:rPr>
                <w:rFonts w:hint="eastAsia" w:cs="Times New Roman"/>
                <w:b w:val="0"/>
                <w:bCs w:val="0"/>
                <w:color w:val="auto"/>
                <w:sz w:val="21"/>
                <w:szCs w:val="21"/>
                <w:lang w:val="en-US" w:eastAsia="zh-CN"/>
              </w:rPr>
              <w:t>0</w:t>
            </w:r>
            <w:r>
              <w:rPr>
                <w:rFonts w:hint="default" w:ascii="Times New Roman" w:hAnsi="Times New Roman" w:cs="Times New Roman"/>
                <w:b w:val="0"/>
                <w:bCs w:val="0"/>
                <w:color w:val="auto"/>
                <w:sz w:val="21"/>
                <w:szCs w:val="21"/>
              </w:rPr>
              <w:t>+</w:t>
            </w:r>
            <w:r>
              <w:rPr>
                <w:rFonts w:hint="default" w:ascii="Times New Roman" w:hAnsi="Times New Roman" w:cs="Times New Roman"/>
                <w:b w:val="0"/>
                <w:bCs w:val="0"/>
                <w:color w:val="auto"/>
                <w:sz w:val="21"/>
                <w:szCs w:val="21"/>
                <w:lang w:val="en-US" w:eastAsia="zh-CN"/>
              </w:rPr>
              <w:t>0</w:t>
            </w:r>
            <w:r>
              <w:rPr>
                <w:rFonts w:hint="eastAsia" w:cs="Times New Roman"/>
                <w:b w:val="0"/>
                <w:bCs w:val="0"/>
                <w:color w:val="auto"/>
                <w:sz w:val="21"/>
                <w:szCs w:val="21"/>
                <w:lang w:val="en-US" w:eastAsia="zh-CN"/>
              </w:rPr>
              <w:t>0</w:t>
            </w:r>
            <w:r>
              <w:rPr>
                <w:rFonts w:hint="default" w:ascii="Times New Roman" w:hAnsi="Times New Roman" w:cs="Times New Roman"/>
                <w:b w:val="0"/>
                <w:bCs w:val="0"/>
                <w:color w:val="auto"/>
                <w:sz w:val="21"/>
                <w:szCs w:val="21"/>
              </w:rPr>
              <w:t>0~K</w:t>
            </w:r>
            <w:r>
              <w:rPr>
                <w:rFonts w:hint="eastAsia" w:cs="Times New Roman"/>
                <w:b w:val="0"/>
                <w:bCs w:val="0"/>
                <w:color w:val="auto"/>
                <w:sz w:val="21"/>
                <w:szCs w:val="21"/>
                <w:lang w:val="en-US" w:eastAsia="zh-CN"/>
              </w:rPr>
              <w:t>0</w:t>
            </w:r>
            <w:r>
              <w:rPr>
                <w:rFonts w:hint="default" w:ascii="Times New Roman" w:hAnsi="Times New Roman" w:cs="Times New Roman"/>
                <w:b w:val="0"/>
                <w:bCs w:val="0"/>
                <w:color w:val="auto"/>
                <w:sz w:val="21"/>
                <w:szCs w:val="21"/>
              </w:rPr>
              <w:t>+</w:t>
            </w:r>
            <w:r>
              <w:rPr>
                <w:rFonts w:hint="eastAsia" w:cs="Times New Roman"/>
                <w:b w:val="0"/>
                <w:bCs w:val="0"/>
                <w:color w:val="auto"/>
                <w:sz w:val="21"/>
                <w:szCs w:val="21"/>
                <w:lang w:val="en-US" w:eastAsia="zh-CN"/>
              </w:rPr>
              <w:t>0</w:t>
            </w:r>
            <w:r>
              <w:rPr>
                <w:rFonts w:hint="default" w:ascii="Times New Roman" w:hAnsi="Times New Roman" w:cs="Times New Roman"/>
                <w:b w:val="0"/>
                <w:bCs w:val="0"/>
                <w:color w:val="auto"/>
                <w:sz w:val="21"/>
                <w:szCs w:val="21"/>
                <w:lang w:val="en-US" w:eastAsia="zh-CN"/>
              </w:rPr>
              <w:t>2</w:t>
            </w:r>
            <w:r>
              <w:rPr>
                <w:rFonts w:hint="default" w:ascii="Times New Roman" w:hAnsi="Times New Roman" w:cs="Times New Roman"/>
                <w:b w:val="0"/>
                <w:bCs w:val="0"/>
                <w:color w:val="auto"/>
                <w:sz w:val="21"/>
                <w:szCs w:val="21"/>
              </w:rPr>
              <w:t>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路堤</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路右</w:t>
            </w:r>
          </w:p>
        </w:tc>
        <w:tc>
          <w:tcPr>
            <w:tcW w:w="70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val="0"/>
                <w:bCs w:val="0"/>
                <w:color w:val="auto"/>
                <w:sz w:val="21"/>
                <w:szCs w:val="21"/>
              </w:rPr>
            </w:pPr>
            <w:r>
              <w:rPr>
                <w:rFonts w:hint="default" w:ascii="Times New Roman" w:hAnsi="Times New Roman" w:cs="Times New Roman"/>
                <w:color w:val="auto"/>
                <w:sz w:val="21"/>
                <w:szCs w:val="21"/>
                <w:lang w:val="en-US" w:eastAsia="zh-CN"/>
              </w:rPr>
              <w:t>0~0.7</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176</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3</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6</w:t>
            </w:r>
          </w:p>
        </w:tc>
        <w:tc>
          <w:tcPr>
            <w:tcW w:w="143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房屋排列紧密，背对拟建道路，以1~2层砖房为主，结构较好。植被较好。</w:t>
            </w:r>
          </w:p>
        </w:tc>
        <w:tc>
          <w:tcPr>
            <w:tcW w:w="289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val="0"/>
                <w:bCs w:val="0"/>
                <w:color w:val="auto"/>
                <w:sz w:val="21"/>
                <w:szCs w:val="21"/>
              </w:rPr>
            </w:pPr>
            <w:r>
              <w:rPr>
                <w:rFonts w:hint="default" w:ascii="Times New Roman" w:hAnsi="Times New Roman" w:eastAsia="宋体" w:cs="Times New Roman"/>
                <w:color w:val="auto"/>
                <w:sz w:val="21"/>
                <w:szCs w:val="21"/>
                <w:lang w:eastAsia="zh-CN"/>
              </w:rPr>
              <w:drawing>
                <wp:inline distT="0" distB="0" distL="114300" distR="114300">
                  <wp:extent cx="1795780" cy="1346835"/>
                  <wp:effectExtent l="0" t="0" r="2540" b="9525"/>
                  <wp:docPr id="29" name="图片 29" descr="09be83a6927d65b5a2eb4f957e10b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9be83a6927d65b5a2eb4f957e10bdf"/>
                          <pic:cNvPicPr>
                            <a:picLocks noChangeAspect="1"/>
                          </pic:cNvPicPr>
                        </pic:nvPicPr>
                        <pic:blipFill>
                          <a:blip r:embed="rId20"/>
                          <a:stretch>
                            <a:fillRect/>
                          </a:stretch>
                        </pic:blipFill>
                        <pic:spPr>
                          <a:xfrm>
                            <a:off x="0" y="0"/>
                            <a:ext cx="1795780" cy="1346835"/>
                          </a:xfrm>
                          <a:prstGeom prst="rect">
                            <a:avLst/>
                          </a:prstGeom>
                        </pic:spPr>
                      </pic:pic>
                    </a:graphicData>
                  </a:graphic>
                </wp:inline>
              </w:drawing>
            </w:r>
          </w:p>
        </w:tc>
        <w:tc>
          <w:tcPr>
            <w:tcW w:w="321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val="0"/>
                <w:bCs w:val="0"/>
                <w:color w:val="auto"/>
                <w:sz w:val="21"/>
                <w:szCs w:val="21"/>
              </w:rPr>
            </w:pPr>
            <w:r>
              <w:rPr>
                <w:color w:val="auto"/>
              </w:rPr>
              <w:drawing>
                <wp:inline distT="0" distB="0" distL="114300" distR="114300">
                  <wp:extent cx="2094865" cy="1381760"/>
                  <wp:effectExtent l="0" t="0" r="8255"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1"/>
                          <a:stretch>
                            <a:fillRect/>
                          </a:stretch>
                        </pic:blipFill>
                        <pic:spPr>
                          <a:xfrm>
                            <a:off x="0" y="0"/>
                            <a:ext cx="2094865" cy="1381760"/>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2485" w:hRule="atLeast"/>
          <w:jc w:val="center"/>
        </w:trPr>
        <w:tc>
          <w:tcPr>
            <w:tcW w:w="371"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2</w:t>
            </w:r>
          </w:p>
        </w:tc>
        <w:tc>
          <w:tcPr>
            <w:tcW w:w="685"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color w:val="auto"/>
                <w:sz w:val="21"/>
                <w:szCs w:val="21"/>
                <w:lang w:val="en-US" w:eastAsia="zh-CN"/>
              </w:rPr>
              <w:t>路圩村</w:t>
            </w:r>
          </w:p>
        </w:tc>
        <w:tc>
          <w:tcPr>
            <w:tcW w:w="64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包集-蚌埠民用机场</w:t>
            </w:r>
          </w:p>
        </w:tc>
        <w:tc>
          <w:tcPr>
            <w:tcW w:w="89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val="0"/>
                <w:bCs w:val="0"/>
                <w:color w:val="auto"/>
                <w:sz w:val="21"/>
                <w:szCs w:val="21"/>
              </w:rPr>
            </w:pPr>
            <w:r>
              <w:rPr>
                <w:rFonts w:hint="eastAsia" w:cs="Times New Roman"/>
                <w:color w:val="auto"/>
                <w:sz w:val="21"/>
                <w:szCs w:val="21"/>
                <w:lang w:val="en-US" w:eastAsia="zh-CN"/>
              </w:rPr>
              <w:t>K1+402~K1+720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路堤</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路右</w:t>
            </w:r>
          </w:p>
        </w:tc>
        <w:tc>
          <w:tcPr>
            <w:tcW w:w="70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color w:val="auto"/>
                <w:sz w:val="21"/>
                <w:szCs w:val="21"/>
                <w:lang w:val="en-US" w:eastAsia="zh-CN"/>
              </w:rPr>
              <w:t>0~1.2</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118</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2</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7</w:t>
            </w:r>
          </w:p>
        </w:tc>
        <w:tc>
          <w:tcPr>
            <w:tcW w:w="143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房屋排列紧密，正对拟建道路，以1层砖房为主，结构较好。植被较好。</w:t>
            </w:r>
          </w:p>
        </w:tc>
        <w:tc>
          <w:tcPr>
            <w:tcW w:w="289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1899285" cy="1426210"/>
                  <wp:effectExtent l="0" t="0" r="5715" b="6350"/>
                  <wp:docPr id="36" name="图片 36" descr="6095387bb4472301c4101010fe6f0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6095387bb4472301c4101010fe6f0ba"/>
                          <pic:cNvPicPr>
                            <a:picLocks noChangeAspect="1"/>
                          </pic:cNvPicPr>
                        </pic:nvPicPr>
                        <pic:blipFill>
                          <a:blip r:embed="rId22"/>
                          <a:stretch>
                            <a:fillRect/>
                          </a:stretch>
                        </pic:blipFill>
                        <pic:spPr>
                          <a:xfrm>
                            <a:off x="0" y="0"/>
                            <a:ext cx="1899285" cy="1426210"/>
                          </a:xfrm>
                          <a:prstGeom prst="rect">
                            <a:avLst/>
                          </a:prstGeom>
                        </pic:spPr>
                      </pic:pic>
                    </a:graphicData>
                  </a:graphic>
                </wp:inline>
              </w:drawing>
            </w:r>
          </w:p>
        </w:tc>
        <w:tc>
          <w:tcPr>
            <w:tcW w:w="321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rPr>
            </w:pPr>
            <w:r>
              <w:rPr>
                <w:color w:val="auto"/>
              </w:rPr>
              <w:drawing>
                <wp:inline distT="0" distB="0" distL="114300" distR="114300">
                  <wp:extent cx="1955800" cy="1398270"/>
                  <wp:effectExtent l="0" t="0" r="1016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3"/>
                          <a:stretch>
                            <a:fillRect/>
                          </a:stretch>
                        </pic:blipFill>
                        <pic:spPr>
                          <a:xfrm>
                            <a:off x="0" y="0"/>
                            <a:ext cx="1955800" cy="1398270"/>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340" w:hRule="atLeast"/>
          <w:jc w:val="center"/>
        </w:trPr>
        <w:tc>
          <w:tcPr>
            <w:tcW w:w="371"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3</w:t>
            </w:r>
          </w:p>
        </w:tc>
        <w:tc>
          <w:tcPr>
            <w:tcW w:w="685"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color w:val="auto"/>
                <w:sz w:val="21"/>
                <w:szCs w:val="21"/>
                <w:lang w:val="en-US" w:eastAsia="zh-CN"/>
              </w:rPr>
            </w:pPr>
            <w:r>
              <w:rPr>
                <w:rFonts w:hint="eastAsia" w:cs="Times New Roman"/>
                <w:color w:val="auto"/>
                <w:sz w:val="21"/>
                <w:szCs w:val="21"/>
                <w:lang w:val="en-US" w:eastAsia="zh-CN"/>
              </w:rPr>
              <w:t>汤庄</w:t>
            </w:r>
          </w:p>
        </w:tc>
        <w:tc>
          <w:tcPr>
            <w:tcW w:w="644"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包集-蚌埠民用机场</w:t>
            </w:r>
          </w:p>
        </w:tc>
        <w:tc>
          <w:tcPr>
            <w:tcW w:w="89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K2+600~K2+800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路堤</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路右</w:t>
            </w:r>
          </w:p>
        </w:tc>
        <w:tc>
          <w:tcPr>
            <w:tcW w:w="70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0~1.2</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136</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4</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8</w:t>
            </w:r>
          </w:p>
        </w:tc>
        <w:tc>
          <w:tcPr>
            <w:tcW w:w="143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房屋排列紧密，正对拟建道路，以1</w:t>
            </w:r>
            <w:r>
              <w:rPr>
                <w:rFonts w:hint="default" w:ascii="Times New Roman" w:hAnsi="Times New Roman" w:cs="Times New Roman"/>
                <w:color w:val="auto"/>
              </w:rPr>
              <w:t>~</w:t>
            </w:r>
            <w:r>
              <w:rPr>
                <w:rFonts w:hint="eastAsia" w:cs="Times New Roman"/>
                <w:color w:val="auto"/>
                <w:lang w:val="en-US" w:eastAsia="zh-CN"/>
              </w:rPr>
              <w:t>3</w:t>
            </w:r>
            <w:r>
              <w:rPr>
                <w:rFonts w:hint="eastAsia" w:cs="Times New Roman"/>
                <w:b w:val="0"/>
                <w:bCs w:val="0"/>
                <w:color w:val="auto"/>
                <w:sz w:val="21"/>
                <w:szCs w:val="21"/>
                <w:lang w:val="en-US" w:eastAsia="zh-CN"/>
              </w:rPr>
              <w:t>层砖房为主，结构较好。植被较好。</w:t>
            </w:r>
          </w:p>
        </w:tc>
        <w:tc>
          <w:tcPr>
            <w:tcW w:w="289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1753870" cy="1316355"/>
                  <wp:effectExtent l="0" t="0" r="13970" b="9525"/>
                  <wp:docPr id="6" name="图片 6" descr="85bfac83a7589379e10c28517b6e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85bfac83a7589379e10c28517b6e969"/>
                          <pic:cNvPicPr>
                            <a:picLocks noChangeAspect="1"/>
                          </pic:cNvPicPr>
                        </pic:nvPicPr>
                        <pic:blipFill>
                          <a:blip r:embed="rId24"/>
                          <a:stretch>
                            <a:fillRect/>
                          </a:stretch>
                        </pic:blipFill>
                        <pic:spPr>
                          <a:xfrm>
                            <a:off x="0" y="0"/>
                            <a:ext cx="1753870" cy="1316355"/>
                          </a:xfrm>
                          <a:prstGeom prst="rect">
                            <a:avLst/>
                          </a:prstGeom>
                        </pic:spPr>
                      </pic:pic>
                    </a:graphicData>
                  </a:graphic>
                </wp:inline>
              </w:drawing>
            </w:r>
          </w:p>
        </w:tc>
        <w:tc>
          <w:tcPr>
            <w:tcW w:w="3210"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drawing>
                <wp:inline distT="0" distB="0" distL="114300" distR="114300">
                  <wp:extent cx="1962150" cy="1449070"/>
                  <wp:effectExtent l="0" t="0" r="3810" b="13970"/>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25"/>
                          <a:stretch>
                            <a:fillRect/>
                          </a:stretch>
                        </pic:blipFill>
                        <pic:spPr>
                          <a:xfrm>
                            <a:off x="0" y="0"/>
                            <a:ext cx="1962150" cy="1449070"/>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340" w:hRule="atLeast"/>
          <w:jc w:val="center"/>
        </w:trPr>
        <w:tc>
          <w:tcPr>
            <w:tcW w:w="371"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p>
        </w:tc>
        <w:tc>
          <w:tcPr>
            <w:tcW w:w="685"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p>
        </w:tc>
        <w:tc>
          <w:tcPr>
            <w:tcW w:w="644"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p>
        </w:tc>
        <w:tc>
          <w:tcPr>
            <w:tcW w:w="89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K3+350~K3+430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路堤</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路右</w:t>
            </w:r>
          </w:p>
        </w:tc>
        <w:tc>
          <w:tcPr>
            <w:tcW w:w="70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1.1~1.5</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10</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5</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16</w:t>
            </w:r>
          </w:p>
        </w:tc>
        <w:tc>
          <w:tcPr>
            <w:tcW w:w="143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房屋排列紧密，侧对拟建道路，以</w:t>
            </w:r>
            <w:r>
              <w:rPr>
                <w:rFonts w:hint="eastAsia" w:cs="Times New Roman"/>
                <w:color w:val="auto"/>
                <w:lang w:val="en-US" w:eastAsia="zh-CN"/>
              </w:rPr>
              <w:t>3</w:t>
            </w:r>
            <w:r>
              <w:rPr>
                <w:rFonts w:hint="eastAsia" w:cs="Times New Roman"/>
                <w:b w:val="0"/>
                <w:bCs w:val="0"/>
                <w:color w:val="auto"/>
                <w:sz w:val="21"/>
                <w:szCs w:val="21"/>
                <w:lang w:val="en-US" w:eastAsia="zh-CN"/>
              </w:rPr>
              <w:t>层砖房为主，结构较好。植被较好。</w:t>
            </w:r>
          </w:p>
        </w:tc>
        <w:tc>
          <w:tcPr>
            <w:tcW w:w="289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1788160" cy="1297305"/>
                  <wp:effectExtent l="0" t="0" r="10160" b="13335"/>
                  <wp:docPr id="24" name="图片 24" descr="c9bf2041e0b8dc8d06bcce74ea5f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9bf2041e0b8dc8d06bcce74ea5f0b0"/>
                          <pic:cNvPicPr>
                            <a:picLocks noChangeAspect="1"/>
                          </pic:cNvPicPr>
                        </pic:nvPicPr>
                        <pic:blipFill>
                          <a:blip r:embed="rId26"/>
                          <a:stretch>
                            <a:fillRect/>
                          </a:stretch>
                        </pic:blipFill>
                        <pic:spPr>
                          <a:xfrm>
                            <a:off x="0" y="0"/>
                            <a:ext cx="1788160" cy="1297305"/>
                          </a:xfrm>
                          <a:prstGeom prst="rect">
                            <a:avLst/>
                          </a:prstGeom>
                        </pic:spPr>
                      </pic:pic>
                    </a:graphicData>
                  </a:graphic>
                </wp:inline>
              </w:drawing>
            </w:r>
          </w:p>
        </w:tc>
        <w:tc>
          <w:tcPr>
            <w:tcW w:w="3210"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340" w:hRule="atLeast"/>
          <w:jc w:val="center"/>
        </w:trPr>
        <w:tc>
          <w:tcPr>
            <w:tcW w:w="371"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4</w:t>
            </w:r>
          </w:p>
        </w:tc>
        <w:tc>
          <w:tcPr>
            <w:tcW w:w="685"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仁和村</w:t>
            </w:r>
          </w:p>
        </w:tc>
        <w:tc>
          <w:tcPr>
            <w:tcW w:w="64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包集-蚌埠民用机场</w:t>
            </w:r>
          </w:p>
        </w:tc>
        <w:tc>
          <w:tcPr>
            <w:tcW w:w="89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K3+210~K3+450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路堤</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路左</w:t>
            </w:r>
          </w:p>
        </w:tc>
        <w:tc>
          <w:tcPr>
            <w:tcW w:w="70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1.1~1.5</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17</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2</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24</w:t>
            </w:r>
          </w:p>
        </w:tc>
        <w:tc>
          <w:tcPr>
            <w:tcW w:w="14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房屋排列紧密，侧对拟建道路，以1~</w:t>
            </w:r>
            <w:r>
              <w:rPr>
                <w:rFonts w:hint="eastAsia" w:cs="Times New Roman"/>
                <w:color w:val="auto"/>
                <w:sz w:val="21"/>
                <w:szCs w:val="21"/>
                <w:lang w:val="en-US" w:eastAsia="zh-CN"/>
              </w:rPr>
              <w:t>3</w:t>
            </w:r>
            <w:r>
              <w:rPr>
                <w:rFonts w:hint="eastAsia" w:cs="Times New Roman"/>
                <w:b w:val="0"/>
                <w:bCs w:val="0"/>
                <w:color w:val="auto"/>
                <w:sz w:val="21"/>
                <w:szCs w:val="21"/>
                <w:lang w:val="en-US" w:eastAsia="zh-CN"/>
              </w:rPr>
              <w:t>层砖房为主，结构较好。植被较好。</w:t>
            </w:r>
          </w:p>
        </w:tc>
        <w:tc>
          <w:tcPr>
            <w:tcW w:w="289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1796415" cy="1357630"/>
                  <wp:effectExtent l="0" t="0" r="1905" b="13970"/>
                  <wp:docPr id="17" name="图片 17" descr="6fd4998531117f86b5b17cdc6e46e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6fd4998531117f86b5b17cdc6e46efa"/>
                          <pic:cNvPicPr>
                            <a:picLocks noChangeAspect="1"/>
                          </pic:cNvPicPr>
                        </pic:nvPicPr>
                        <pic:blipFill>
                          <a:blip r:embed="rId27"/>
                          <a:stretch>
                            <a:fillRect/>
                          </a:stretch>
                        </pic:blipFill>
                        <pic:spPr>
                          <a:xfrm>
                            <a:off x="0" y="0"/>
                            <a:ext cx="1796415" cy="1357630"/>
                          </a:xfrm>
                          <a:prstGeom prst="rect">
                            <a:avLst/>
                          </a:prstGeom>
                        </pic:spPr>
                      </pic:pic>
                    </a:graphicData>
                  </a:graphic>
                </wp:inline>
              </w:drawing>
            </w:r>
          </w:p>
        </w:tc>
        <w:tc>
          <w:tcPr>
            <w:tcW w:w="321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drawing>
                <wp:inline distT="0" distB="0" distL="114300" distR="114300">
                  <wp:extent cx="1973580" cy="1373505"/>
                  <wp:effectExtent l="0" t="0" r="7620" b="1333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8"/>
                          <a:stretch>
                            <a:fillRect/>
                          </a:stretch>
                        </pic:blipFill>
                        <pic:spPr>
                          <a:xfrm>
                            <a:off x="0" y="0"/>
                            <a:ext cx="1973580" cy="1373505"/>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340" w:hRule="atLeast"/>
          <w:jc w:val="center"/>
        </w:trPr>
        <w:tc>
          <w:tcPr>
            <w:tcW w:w="371"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5</w:t>
            </w:r>
          </w:p>
        </w:tc>
        <w:tc>
          <w:tcPr>
            <w:tcW w:w="685"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王庄</w:t>
            </w:r>
          </w:p>
        </w:tc>
        <w:tc>
          <w:tcPr>
            <w:tcW w:w="644"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包集-蚌埠民用机场</w:t>
            </w:r>
          </w:p>
        </w:tc>
        <w:tc>
          <w:tcPr>
            <w:tcW w:w="894"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K3+480~K3+710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路堤</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路左</w:t>
            </w:r>
          </w:p>
        </w:tc>
        <w:tc>
          <w:tcPr>
            <w:tcW w:w="70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0.5</w:t>
            </w:r>
            <w:r>
              <w:rPr>
                <w:rFonts w:hint="default"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lang w:val="en-US" w:eastAsia="zh-CN"/>
              </w:rPr>
              <w:t>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19</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6</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17</w:t>
            </w:r>
          </w:p>
        </w:tc>
        <w:tc>
          <w:tcPr>
            <w:tcW w:w="143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房屋排列紧密，正对/背对拟建道路，以1~</w:t>
            </w:r>
            <w:r>
              <w:rPr>
                <w:rFonts w:hint="eastAsia" w:cs="Times New Roman"/>
                <w:color w:val="auto"/>
                <w:sz w:val="21"/>
                <w:szCs w:val="21"/>
                <w:lang w:val="en-US" w:eastAsia="zh-CN"/>
              </w:rPr>
              <w:t>3</w:t>
            </w:r>
            <w:r>
              <w:rPr>
                <w:rFonts w:hint="eastAsia" w:cs="Times New Roman"/>
                <w:b w:val="0"/>
                <w:bCs w:val="0"/>
                <w:color w:val="auto"/>
                <w:sz w:val="21"/>
                <w:szCs w:val="21"/>
                <w:lang w:val="en-US" w:eastAsia="zh-CN"/>
              </w:rPr>
              <w:t>层砖房为主，结构较好。植被较好。</w:t>
            </w:r>
          </w:p>
        </w:tc>
        <w:tc>
          <w:tcPr>
            <w:tcW w:w="289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1746250" cy="1387475"/>
                  <wp:effectExtent l="0" t="0" r="6350" b="14605"/>
                  <wp:docPr id="15" name="图片 15" descr="1316967b16e069fc6eac6398bf9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316967b16e069fc6eac6398bf95091"/>
                          <pic:cNvPicPr>
                            <a:picLocks noChangeAspect="1"/>
                          </pic:cNvPicPr>
                        </pic:nvPicPr>
                        <pic:blipFill>
                          <a:blip r:embed="rId29"/>
                          <a:stretch>
                            <a:fillRect/>
                          </a:stretch>
                        </pic:blipFill>
                        <pic:spPr>
                          <a:xfrm>
                            <a:off x="0" y="0"/>
                            <a:ext cx="1746250" cy="1387475"/>
                          </a:xfrm>
                          <a:prstGeom prst="rect">
                            <a:avLst/>
                          </a:prstGeom>
                        </pic:spPr>
                      </pic:pic>
                    </a:graphicData>
                  </a:graphic>
                </wp:inline>
              </w:drawing>
            </w:r>
          </w:p>
        </w:tc>
        <w:tc>
          <w:tcPr>
            <w:tcW w:w="3210"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drawing>
                <wp:inline distT="0" distB="0" distL="114300" distR="114300">
                  <wp:extent cx="1844675" cy="1381125"/>
                  <wp:effectExtent l="0" t="0" r="14605" b="5715"/>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30"/>
                          <a:stretch>
                            <a:fillRect/>
                          </a:stretch>
                        </pic:blipFill>
                        <pic:spPr>
                          <a:xfrm>
                            <a:off x="0" y="0"/>
                            <a:ext cx="1844675" cy="1381125"/>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340" w:hRule="atLeast"/>
          <w:jc w:val="center"/>
        </w:trPr>
        <w:tc>
          <w:tcPr>
            <w:tcW w:w="371"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p>
        </w:tc>
        <w:tc>
          <w:tcPr>
            <w:tcW w:w="685"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p>
        </w:tc>
        <w:tc>
          <w:tcPr>
            <w:tcW w:w="644"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p>
        </w:tc>
        <w:tc>
          <w:tcPr>
            <w:tcW w:w="894"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路堤</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路右</w:t>
            </w:r>
          </w:p>
        </w:tc>
        <w:tc>
          <w:tcPr>
            <w:tcW w:w="70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1.1、0~0.7</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18</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6</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40</w:t>
            </w:r>
          </w:p>
        </w:tc>
        <w:tc>
          <w:tcPr>
            <w:tcW w:w="143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cs="Times New Roman"/>
                <w:b w:val="0"/>
                <w:bCs w:val="0"/>
                <w:color w:val="auto"/>
                <w:sz w:val="21"/>
                <w:szCs w:val="21"/>
                <w:lang w:val="en-US" w:eastAsia="zh-CN"/>
              </w:rPr>
            </w:pPr>
          </w:p>
        </w:tc>
        <w:tc>
          <w:tcPr>
            <w:tcW w:w="289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1791970" cy="1344295"/>
                  <wp:effectExtent l="0" t="0" r="6350" b="12065"/>
                  <wp:docPr id="38" name="图片 38" descr="6462d155abd502c73ea13d499975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6462d155abd502c73ea13d499975e90"/>
                          <pic:cNvPicPr>
                            <a:picLocks noChangeAspect="1"/>
                          </pic:cNvPicPr>
                        </pic:nvPicPr>
                        <pic:blipFill>
                          <a:blip r:embed="rId31"/>
                          <a:stretch>
                            <a:fillRect/>
                          </a:stretch>
                        </pic:blipFill>
                        <pic:spPr>
                          <a:xfrm>
                            <a:off x="0" y="0"/>
                            <a:ext cx="1791970" cy="1344295"/>
                          </a:xfrm>
                          <a:prstGeom prst="rect">
                            <a:avLst/>
                          </a:prstGeom>
                        </pic:spPr>
                      </pic:pic>
                    </a:graphicData>
                  </a:graphic>
                </wp:inline>
              </w:drawing>
            </w:r>
          </w:p>
        </w:tc>
        <w:tc>
          <w:tcPr>
            <w:tcW w:w="3210"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340" w:hRule="atLeast"/>
          <w:jc w:val="center"/>
        </w:trPr>
        <w:tc>
          <w:tcPr>
            <w:tcW w:w="371"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6</w:t>
            </w:r>
          </w:p>
        </w:tc>
        <w:tc>
          <w:tcPr>
            <w:tcW w:w="685"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张园</w:t>
            </w:r>
          </w:p>
        </w:tc>
        <w:tc>
          <w:tcPr>
            <w:tcW w:w="64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包集-蚌埠民用机场</w:t>
            </w:r>
          </w:p>
        </w:tc>
        <w:tc>
          <w:tcPr>
            <w:tcW w:w="89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K3+440~K3+920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路堤</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路右</w:t>
            </w:r>
          </w:p>
        </w:tc>
        <w:tc>
          <w:tcPr>
            <w:tcW w:w="70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0~3.4</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20</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20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28</w:t>
            </w:r>
          </w:p>
        </w:tc>
        <w:tc>
          <w:tcPr>
            <w:tcW w:w="14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房屋排列紧密，正对/背对拟建道路，以1~</w:t>
            </w:r>
            <w:r>
              <w:rPr>
                <w:rFonts w:hint="eastAsia" w:cs="Times New Roman"/>
                <w:color w:val="auto"/>
                <w:sz w:val="21"/>
                <w:szCs w:val="21"/>
                <w:lang w:val="en-US" w:eastAsia="zh-CN"/>
              </w:rPr>
              <w:t>3</w:t>
            </w:r>
            <w:r>
              <w:rPr>
                <w:rFonts w:hint="eastAsia" w:cs="Times New Roman"/>
                <w:b w:val="0"/>
                <w:bCs w:val="0"/>
                <w:color w:val="auto"/>
                <w:sz w:val="21"/>
                <w:szCs w:val="21"/>
                <w:lang w:val="en-US" w:eastAsia="zh-CN"/>
              </w:rPr>
              <w:t>层砖房为主，结构较好。植被较好。</w:t>
            </w:r>
          </w:p>
        </w:tc>
        <w:tc>
          <w:tcPr>
            <w:tcW w:w="289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1723390" cy="1292860"/>
                  <wp:effectExtent l="0" t="0" r="13970" b="2540"/>
                  <wp:docPr id="20" name="图片 20" descr="626f1b1ff0a6d700522057089f30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626f1b1ff0a6d700522057089f30789"/>
                          <pic:cNvPicPr>
                            <a:picLocks noChangeAspect="1"/>
                          </pic:cNvPicPr>
                        </pic:nvPicPr>
                        <pic:blipFill>
                          <a:blip r:embed="rId32"/>
                          <a:stretch>
                            <a:fillRect/>
                          </a:stretch>
                        </pic:blipFill>
                        <pic:spPr>
                          <a:xfrm>
                            <a:off x="0" y="0"/>
                            <a:ext cx="1723390" cy="1292860"/>
                          </a:xfrm>
                          <a:prstGeom prst="rect">
                            <a:avLst/>
                          </a:prstGeom>
                        </pic:spPr>
                      </pic:pic>
                    </a:graphicData>
                  </a:graphic>
                </wp:inline>
              </w:drawing>
            </w:r>
          </w:p>
        </w:tc>
        <w:tc>
          <w:tcPr>
            <w:tcW w:w="321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drawing>
                <wp:inline distT="0" distB="0" distL="114300" distR="114300">
                  <wp:extent cx="1809115" cy="1321435"/>
                  <wp:effectExtent l="0" t="0" r="4445" b="4445"/>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33"/>
                          <a:stretch>
                            <a:fillRect/>
                          </a:stretch>
                        </pic:blipFill>
                        <pic:spPr>
                          <a:xfrm>
                            <a:off x="0" y="0"/>
                            <a:ext cx="1809115" cy="1321435"/>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340" w:hRule="atLeast"/>
          <w:jc w:val="center"/>
        </w:trPr>
        <w:tc>
          <w:tcPr>
            <w:tcW w:w="371"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7</w:t>
            </w:r>
          </w:p>
        </w:tc>
        <w:tc>
          <w:tcPr>
            <w:tcW w:w="685"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邵楼村</w:t>
            </w:r>
          </w:p>
        </w:tc>
        <w:tc>
          <w:tcPr>
            <w:tcW w:w="644"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包集-蚌埠民用机场</w:t>
            </w:r>
          </w:p>
        </w:tc>
        <w:tc>
          <w:tcPr>
            <w:tcW w:w="894"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K4+000~K4+740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路堤</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路左</w:t>
            </w:r>
          </w:p>
        </w:tc>
        <w:tc>
          <w:tcPr>
            <w:tcW w:w="70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0.8~2.5</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18</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8</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45</w:t>
            </w:r>
          </w:p>
        </w:tc>
        <w:tc>
          <w:tcPr>
            <w:tcW w:w="14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房屋排列紧密，正对拟建道路，以1~</w:t>
            </w:r>
            <w:r>
              <w:rPr>
                <w:rFonts w:hint="eastAsia" w:cs="Times New Roman"/>
                <w:color w:val="auto"/>
                <w:sz w:val="21"/>
                <w:szCs w:val="21"/>
                <w:lang w:val="en-US" w:eastAsia="zh-CN"/>
              </w:rPr>
              <w:t>3</w:t>
            </w:r>
            <w:r>
              <w:rPr>
                <w:rFonts w:hint="eastAsia" w:cs="Times New Roman"/>
                <w:b w:val="0"/>
                <w:bCs w:val="0"/>
                <w:color w:val="auto"/>
                <w:sz w:val="21"/>
                <w:szCs w:val="21"/>
                <w:lang w:val="en-US" w:eastAsia="zh-CN"/>
              </w:rPr>
              <w:t>层砖房为主，结构较好。植被较好。</w:t>
            </w:r>
          </w:p>
        </w:tc>
        <w:tc>
          <w:tcPr>
            <w:tcW w:w="289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1791970" cy="1344295"/>
                  <wp:effectExtent l="0" t="0" r="6350" b="12065"/>
                  <wp:docPr id="39" name="图片 39" descr="6ecc086fce643e38f6b97b7296b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6ecc086fce643e38f6b97b7296b3034"/>
                          <pic:cNvPicPr>
                            <a:picLocks noChangeAspect="1"/>
                          </pic:cNvPicPr>
                        </pic:nvPicPr>
                        <pic:blipFill>
                          <a:blip r:embed="rId34"/>
                          <a:stretch>
                            <a:fillRect/>
                          </a:stretch>
                        </pic:blipFill>
                        <pic:spPr>
                          <a:xfrm>
                            <a:off x="0" y="0"/>
                            <a:ext cx="1791970" cy="1344295"/>
                          </a:xfrm>
                          <a:prstGeom prst="rect">
                            <a:avLst/>
                          </a:prstGeom>
                        </pic:spPr>
                      </pic:pic>
                    </a:graphicData>
                  </a:graphic>
                </wp:inline>
              </w:drawing>
            </w:r>
          </w:p>
        </w:tc>
        <w:tc>
          <w:tcPr>
            <w:tcW w:w="3210" w:type="dxa"/>
            <w:vMerge w:val="restart"/>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drawing>
                <wp:inline distT="0" distB="0" distL="114300" distR="114300">
                  <wp:extent cx="1869440" cy="1471295"/>
                  <wp:effectExtent l="0" t="0" r="5080"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5"/>
                          <a:stretch>
                            <a:fillRect/>
                          </a:stretch>
                        </pic:blipFill>
                        <pic:spPr>
                          <a:xfrm>
                            <a:off x="0" y="0"/>
                            <a:ext cx="1869440" cy="1471295"/>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340" w:hRule="atLeast"/>
          <w:jc w:val="center"/>
        </w:trPr>
        <w:tc>
          <w:tcPr>
            <w:tcW w:w="371"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p>
        </w:tc>
        <w:tc>
          <w:tcPr>
            <w:tcW w:w="685"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p>
        </w:tc>
        <w:tc>
          <w:tcPr>
            <w:tcW w:w="644"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p>
        </w:tc>
        <w:tc>
          <w:tcPr>
            <w:tcW w:w="894"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路堤</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路右</w:t>
            </w:r>
          </w:p>
        </w:tc>
        <w:tc>
          <w:tcPr>
            <w:tcW w:w="70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cs="Times New Roman"/>
                <w:color w:val="auto"/>
                <w:sz w:val="21"/>
                <w:szCs w:val="21"/>
                <w:lang w:val="en-US" w:eastAsia="zh-CN"/>
              </w:rPr>
            </w:pPr>
            <w:r>
              <w:rPr>
                <w:rFonts w:hint="eastAsia" w:cs="Times New Roman"/>
                <w:color w:val="auto"/>
                <w:sz w:val="21"/>
                <w:szCs w:val="21"/>
                <w:lang w:val="en-US" w:eastAsia="zh-CN"/>
              </w:rPr>
              <w:t>2.0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22</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10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52</w:t>
            </w:r>
          </w:p>
        </w:tc>
        <w:tc>
          <w:tcPr>
            <w:tcW w:w="14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房屋排列紧密，正对/背对拟建道路，以1~</w:t>
            </w:r>
            <w:r>
              <w:rPr>
                <w:rFonts w:hint="eastAsia" w:cs="Times New Roman"/>
                <w:color w:val="auto"/>
                <w:sz w:val="21"/>
                <w:szCs w:val="21"/>
                <w:lang w:val="en-US" w:eastAsia="zh-CN"/>
              </w:rPr>
              <w:t>3</w:t>
            </w:r>
            <w:r>
              <w:rPr>
                <w:rFonts w:hint="eastAsia" w:cs="Times New Roman"/>
                <w:b w:val="0"/>
                <w:bCs w:val="0"/>
                <w:color w:val="auto"/>
                <w:sz w:val="21"/>
                <w:szCs w:val="21"/>
                <w:lang w:val="en-US" w:eastAsia="zh-CN"/>
              </w:rPr>
              <w:t>层砖房为主，结构较好。植被较好。</w:t>
            </w:r>
          </w:p>
        </w:tc>
        <w:tc>
          <w:tcPr>
            <w:tcW w:w="289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1791970" cy="1344295"/>
                  <wp:effectExtent l="0" t="0" r="6350" b="12065"/>
                  <wp:docPr id="22" name="图片 22" descr="b0412a7037ff0340d83cde5298629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b0412a7037ff0340d83cde5298629a1"/>
                          <pic:cNvPicPr>
                            <a:picLocks noChangeAspect="1"/>
                          </pic:cNvPicPr>
                        </pic:nvPicPr>
                        <pic:blipFill>
                          <a:blip r:embed="rId36"/>
                          <a:stretch>
                            <a:fillRect/>
                          </a:stretch>
                        </pic:blipFill>
                        <pic:spPr>
                          <a:xfrm>
                            <a:off x="0" y="0"/>
                            <a:ext cx="1791970" cy="1344295"/>
                          </a:xfrm>
                          <a:prstGeom prst="rect">
                            <a:avLst/>
                          </a:prstGeom>
                        </pic:spPr>
                      </pic:pic>
                    </a:graphicData>
                  </a:graphic>
                </wp:inline>
              </w:drawing>
            </w:r>
          </w:p>
        </w:tc>
        <w:tc>
          <w:tcPr>
            <w:tcW w:w="3210" w:type="dxa"/>
            <w:vMerge w:val="continue"/>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15" w:type="dxa"/>
            <w:bottom w:w="15" w:type="dxa"/>
            <w:right w:w="15" w:type="dxa"/>
          </w:tblCellMar>
        </w:tblPrEx>
        <w:trPr>
          <w:trHeight w:val="2039" w:hRule="atLeast"/>
          <w:jc w:val="center"/>
        </w:trPr>
        <w:tc>
          <w:tcPr>
            <w:tcW w:w="371"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8</w:t>
            </w:r>
          </w:p>
        </w:tc>
        <w:tc>
          <w:tcPr>
            <w:tcW w:w="685"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color w:val="auto"/>
                <w:sz w:val="21"/>
                <w:szCs w:val="21"/>
                <w:lang w:val="en-US" w:eastAsia="zh-CN"/>
              </w:rPr>
            </w:pPr>
            <w:r>
              <w:rPr>
                <w:rFonts w:hint="eastAsia" w:cs="Times New Roman"/>
                <w:color w:val="auto"/>
                <w:sz w:val="21"/>
                <w:szCs w:val="21"/>
                <w:lang w:val="en-US" w:eastAsia="zh-CN"/>
              </w:rPr>
              <w:t>小沟沿</w:t>
            </w:r>
          </w:p>
        </w:tc>
        <w:tc>
          <w:tcPr>
            <w:tcW w:w="64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包集-蚌埠民用机场</w:t>
            </w:r>
          </w:p>
        </w:tc>
        <w:tc>
          <w:tcPr>
            <w:tcW w:w="894"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K6+400~K7+000</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路堤</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路左</w:t>
            </w:r>
          </w:p>
        </w:tc>
        <w:tc>
          <w:tcPr>
            <w:tcW w:w="70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0.4~1.8</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17</w:t>
            </w:r>
          </w:p>
        </w:tc>
        <w:tc>
          <w:tcPr>
            <w:tcW w:w="60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9</w:t>
            </w:r>
          </w:p>
        </w:tc>
        <w:tc>
          <w:tcPr>
            <w:tcW w:w="589"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48</w:t>
            </w:r>
          </w:p>
        </w:tc>
        <w:tc>
          <w:tcPr>
            <w:tcW w:w="143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房屋排列紧密，侧对/背对拟建道路，以1~</w:t>
            </w:r>
            <w:r>
              <w:rPr>
                <w:rFonts w:hint="eastAsia" w:cs="Times New Roman"/>
                <w:color w:val="auto"/>
                <w:sz w:val="21"/>
                <w:szCs w:val="21"/>
                <w:lang w:val="en-US" w:eastAsia="zh-CN"/>
              </w:rPr>
              <w:t>3</w:t>
            </w:r>
            <w:r>
              <w:rPr>
                <w:rFonts w:hint="eastAsia" w:cs="Times New Roman"/>
                <w:b w:val="0"/>
                <w:bCs w:val="0"/>
                <w:color w:val="auto"/>
                <w:sz w:val="21"/>
                <w:szCs w:val="21"/>
                <w:lang w:val="en-US" w:eastAsia="zh-CN"/>
              </w:rPr>
              <w:t>层砖房为主，结构较好。植被较好。</w:t>
            </w:r>
          </w:p>
        </w:tc>
        <w:tc>
          <w:tcPr>
            <w:tcW w:w="289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1718310" cy="1287780"/>
                  <wp:effectExtent l="0" t="0" r="3810" b="7620"/>
                  <wp:docPr id="23" name="图片 23" descr="7a9bec1c5cdc9f82ef063e088967a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7a9bec1c5cdc9f82ef063e088967a98"/>
                          <pic:cNvPicPr>
                            <a:picLocks noChangeAspect="1"/>
                          </pic:cNvPicPr>
                        </pic:nvPicPr>
                        <pic:blipFill>
                          <a:blip r:embed="rId37"/>
                          <a:stretch>
                            <a:fillRect/>
                          </a:stretch>
                        </pic:blipFill>
                        <pic:spPr>
                          <a:xfrm>
                            <a:off x="0" y="0"/>
                            <a:ext cx="1718310" cy="1287780"/>
                          </a:xfrm>
                          <a:prstGeom prst="rect">
                            <a:avLst/>
                          </a:prstGeom>
                        </pic:spPr>
                      </pic:pic>
                    </a:graphicData>
                  </a:graphic>
                </wp:inline>
              </w:drawing>
            </w:r>
          </w:p>
        </w:tc>
        <w:tc>
          <w:tcPr>
            <w:tcW w:w="3210" w:type="dxa"/>
            <w:noWrap w:val="0"/>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drawing>
                <wp:inline distT="0" distB="0" distL="114300" distR="114300">
                  <wp:extent cx="1816100" cy="1249045"/>
                  <wp:effectExtent l="0" t="0" r="1270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8"/>
                          <a:stretch>
                            <a:fillRect/>
                          </a:stretch>
                        </pic:blipFill>
                        <pic:spPr>
                          <a:xfrm>
                            <a:off x="0" y="0"/>
                            <a:ext cx="1816100" cy="1249045"/>
                          </a:xfrm>
                          <a:prstGeom prst="rect">
                            <a:avLst/>
                          </a:prstGeom>
                          <a:noFill/>
                          <a:ln>
                            <a:noFill/>
                          </a:ln>
                        </pic:spPr>
                      </pic:pic>
                    </a:graphicData>
                  </a:graphic>
                </wp:inline>
              </w:drawing>
            </w:r>
          </w:p>
        </w:tc>
      </w:tr>
    </w:tbl>
    <w:p>
      <w:pPr>
        <w:pStyle w:val="112"/>
        <w:ind w:firstLine="480"/>
        <w:rPr>
          <w:color w:val="0070C0"/>
        </w:rPr>
        <w:sectPr>
          <w:pgSz w:w="16838" w:h="11906" w:orient="landscape"/>
          <w:pgMar w:top="1418" w:right="1418" w:bottom="1418" w:left="1418" w:header="851" w:footer="992" w:gutter="0"/>
          <w:cols w:space="720" w:num="1"/>
          <w:docGrid w:linePitch="326" w:charSpace="0"/>
        </w:sectPr>
      </w:pPr>
    </w:p>
    <w:p>
      <w:pPr>
        <w:pStyle w:val="8"/>
        <w:rPr>
          <w:b/>
          <w:bCs/>
        </w:rPr>
      </w:pPr>
      <w:bookmarkStart w:id="119" w:name="_Toc9360"/>
      <w:r>
        <w:rPr>
          <w:rFonts w:hint="eastAsia"/>
          <w:b/>
          <w:bCs/>
        </w:rPr>
        <w:t>大临工程周边环境保护目标</w:t>
      </w:r>
      <w:bookmarkEnd w:id="119"/>
    </w:p>
    <w:p>
      <w:pPr>
        <w:ind w:firstLine="480" w:firstLineChars="200"/>
        <w:rPr>
          <w:color w:val="0070C0"/>
        </w:rPr>
      </w:pPr>
      <w:r>
        <w:rPr>
          <w:rFonts w:hint="eastAsia"/>
        </w:rPr>
        <w:t>根据现场调查，工程沿线的取土场周边敏感保护目标见表</w:t>
      </w:r>
      <w:r>
        <w:rPr>
          <w:rFonts w:hint="eastAsia"/>
          <w:lang w:val="en-US" w:eastAsia="zh-CN"/>
        </w:rPr>
        <w:t>2</w:t>
      </w:r>
      <w:r>
        <w:rPr>
          <w:rFonts w:hint="eastAsia"/>
        </w:rPr>
        <w:t>.8-</w:t>
      </w:r>
      <w:r>
        <w:rPr>
          <w:rFonts w:hint="eastAsia"/>
          <w:lang w:val="en-US" w:eastAsia="zh-CN"/>
        </w:rPr>
        <w:t>4</w:t>
      </w:r>
      <w:r>
        <w:rPr>
          <w:rFonts w:hint="eastAsia"/>
        </w:rPr>
        <w:t>，其余大临工程周边敏感保护目标见表</w:t>
      </w:r>
      <w:r>
        <w:rPr>
          <w:rFonts w:hint="eastAsia"/>
          <w:lang w:val="en-US" w:eastAsia="zh-CN"/>
        </w:rPr>
        <w:t>2</w:t>
      </w:r>
      <w:r>
        <w:rPr>
          <w:rFonts w:hint="eastAsia"/>
        </w:rPr>
        <w:t>.8-</w:t>
      </w:r>
      <w:r>
        <w:rPr>
          <w:rFonts w:hint="eastAsia"/>
          <w:lang w:val="en-US" w:eastAsia="zh-CN"/>
        </w:rPr>
        <w:t>5</w:t>
      </w:r>
      <w:r>
        <w:rPr>
          <w:rFonts w:hint="eastAsia"/>
        </w:rPr>
        <w:t>。</w:t>
      </w:r>
    </w:p>
    <w:p>
      <w:pPr>
        <w:pStyle w:val="63"/>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cs="Times New Roman"/>
          <w:b/>
          <w:bCs/>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val="en-US" w:eastAsia="zh-CN"/>
          <w14:textFill>
            <w14:solidFill>
              <w14:schemeClr w14:val="tx1"/>
            </w14:solidFill>
          </w14:textFill>
        </w:rPr>
        <w:t>表</w:t>
      </w:r>
      <w:r>
        <w:rPr>
          <w:rFonts w:hint="eastAsia" w:ascii="Times New Roman" w:cs="Times New Roman"/>
          <w:b/>
          <w:bCs/>
          <w:color w:val="000000" w:themeColor="text1"/>
          <w:lang w:val="en-US" w:eastAsia="zh-CN"/>
          <w14:textFill>
            <w14:solidFill>
              <w14:schemeClr w14:val="tx1"/>
            </w14:solidFill>
          </w14:textFill>
        </w:rPr>
        <w:t>2</w:t>
      </w:r>
      <w:r>
        <w:rPr>
          <w:rFonts w:hint="eastAsia" w:ascii="Times New Roman" w:hAnsi="Times New Roman" w:cs="Times New Roman"/>
          <w:b/>
          <w:bCs/>
          <w:color w:val="000000" w:themeColor="text1"/>
          <w:lang w:val="en-US" w:eastAsia="zh-CN"/>
          <w14:textFill>
            <w14:solidFill>
              <w14:schemeClr w14:val="tx1"/>
            </w14:solidFill>
          </w14:textFill>
        </w:rPr>
        <w:t>.8-</w:t>
      </w:r>
      <w:r>
        <w:rPr>
          <w:rFonts w:hint="eastAsia" w:ascii="Times New Roman" w:cs="Times New Roman"/>
          <w:b/>
          <w:bCs/>
          <w:color w:val="000000" w:themeColor="text1"/>
          <w:lang w:val="en-US" w:eastAsia="zh-CN"/>
          <w14:textFill>
            <w14:solidFill>
              <w14:schemeClr w14:val="tx1"/>
            </w14:solidFill>
          </w14:textFill>
        </w:rPr>
        <w:t>4</w:t>
      </w:r>
      <w:r>
        <w:rPr>
          <w:rFonts w:hint="eastAsia" w:ascii="Times New Roman" w:hAnsi="Times New Roman" w:cs="Times New Roman"/>
          <w:b/>
          <w:bCs/>
          <w:color w:val="000000" w:themeColor="text1"/>
          <w:lang w:val="en-US" w:eastAsia="zh-CN"/>
          <w14:textFill>
            <w14:solidFill>
              <w14:schemeClr w14:val="tx1"/>
            </w14:solidFill>
          </w14:textFill>
        </w:rPr>
        <w:t xml:space="preserve"> </w:t>
      </w:r>
      <w:r>
        <w:rPr>
          <w:rFonts w:hint="eastAsia" w:ascii="Times New Roman" w:cs="Times New Roman"/>
          <w:b/>
          <w:bCs/>
          <w:color w:val="000000" w:themeColor="text1"/>
          <w:lang w:val="en-US" w:eastAsia="zh-CN"/>
          <w14:textFill>
            <w14:solidFill>
              <w14:schemeClr w14:val="tx1"/>
            </w14:solidFill>
          </w14:textFill>
        </w:rPr>
        <w:t>弃</w:t>
      </w:r>
      <w:r>
        <w:rPr>
          <w:rFonts w:hint="eastAsia" w:ascii="Times New Roman" w:hAnsi="Times New Roman" w:cs="Times New Roman"/>
          <w:b/>
          <w:bCs/>
          <w:color w:val="000000" w:themeColor="text1"/>
          <w:lang w:val="en-US" w:eastAsia="zh-CN"/>
          <w14:textFill>
            <w14:solidFill>
              <w14:schemeClr w14:val="tx1"/>
            </w14:solidFill>
          </w14:textFill>
        </w:rPr>
        <w:t>土场周边敏感保护目标表</w:t>
      </w:r>
    </w:p>
    <w:tbl>
      <w:tblPr>
        <w:tblStyle w:val="47"/>
        <w:tblW w:w="54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1144"/>
        <w:gridCol w:w="1914"/>
        <w:gridCol w:w="1124"/>
        <w:gridCol w:w="902"/>
        <w:gridCol w:w="1010"/>
        <w:gridCol w:w="3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6"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序号</w:t>
            </w:r>
          </w:p>
        </w:tc>
        <w:tc>
          <w:tcPr>
            <w:tcW w:w="560"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工程</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名称</w:t>
            </w:r>
          </w:p>
        </w:tc>
        <w:tc>
          <w:tcPr>
            <w:tcW w:w="937"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位置地点或桩号</w:t>
            </w:r>
          </w:p>
        </w:tc>
        <w:tc>
          <w:tcPr>
            <w:tcW w:w="1486" w:type="pct"/>
            <w:gridSpan w:val="3"/>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周围敏感目标情况</w:t>
            </w:r>
          </w:p>
        </w:tc>
        <w:tc>
          <w:tcPr>
            <w:tcW w:w="1690"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敏感点与项目位置关系图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56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937"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55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名称</w:t>
            </w:r>
          </w:p>
        </w:tc>
        <w:tc>
          <w:tcPr>
            <w:tcW w:w="44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方位</w:t>
            </w:r>
          </w:p>
        </w:tc>
        <w:tc>
          <w:tcPr>
            <w:tcW w:w="494"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距离（m）</w:t>
            </w:r>
          </w:p>
        </w:tc>
        <w:tc>
          <w:tcPr>
            <w:tcW w:w="169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326"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56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bCs/>
                <w:color w:val="000000" w:themeColor="text1"/>
                <w:kern w:val="0"/>
                <w:sz w:val="21"/>
                <w:szCs w:val="21"/>
                <w:lang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弃土场</w:t>
            </w:r>
          </w:p>
        </w:tc>
        <w:tc>
          <w:tcPr>
            <w:tcW w:w="937"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bCs/>
                <w:color w:val="000000" w:themeColor="text1"/>
                <w:kern w:val="0"/>
                <w:sz w:val="21"/>
                <w:szCs w:val="21"/>
                <w:lang w:val="en-US" w:eastAsia="zh-CN"/>
                <w14:textFill>
                  <w14:solidFill>
                    <w14:schemeClr w14:val="tx1"/>
                  </w14:solidFill>
                </w14:textFill>
              </w:rPr>
            </w:pPr>
            <w:r>
              <w:rPr>
                <w:rFonts w:hint="eastAsia" w:eastAsia="宋体"/>
                <w:b w:val="0"/>
                <w:bCs w:val="0"/>
                <w:color w:val="000000" w:themeColor="text1"/>
                <w:kern w:val="0"/>
                <w:sz w:val="21"/>
                <w:szCs w:val="21"/>
                <w:lang w:eastAsia="zh-CN"/>
                <w14:textFill>
                  <w14:solidFill>
                    <w14:schemeClr w14:val="tx1"/>
                  </w14:solidFill>
                </w14:textFill>
              </w:rPr>
              <w:t>K</w:t>
            </w:r>
            <w:r>
              <w:rPr>
                <w:rFonts w:hint="eastAsia"/>
                <w:b w:val="0"/>
                <w:bCs w:val="0"/>
                <w:color w:val="000000" w:themeColor="text1"/>
                <w:kern w:val="0"/>
                <w:sz w:val="21"/>
                <w:szCs w:val="21"/>
                <w:lang w:val="en-US" w:eastAsia="zh-CN"/>
                <w14:textFill>
                  <w14:solidFill>
                    <w14:schemeClr w14:val="tx1"/>
                  </w14:solidFill>
                </w14:textFill>
              </w:rPr>
              <w:t>1</w:t>
            </w:r>
            <w:r>
              <w:rPr>
                <w:rFonts w:hint="eastAsia" w:eastAsia="宋体"/>
                <w:b w:val="0"/>
                <w:bCs w:val="0"/>
                <w:color w:val="000000" w:themeColor="text1"/>
                <w:kern w:val="0"/>
                <w:sz w:val="21"/>
                <w:szCs w:val="21"/>
                <w:lang w:eastAsia="zh-CN"/>
                <w14:textFill>
                  <w14:solidFill>
                    <w14:schemeClr w14:val="tx1"/>
                  </w14:solidFill>
                </w14:textFill>
              </w:rPr>
              <w:t>+</w:t>
            </w:r>
            <w:r>
              <w:rPr>
                <w:rFonts w:hint="eastAsia"/>
                <w:b w:val="0"/>
                <w:bCs w:val="0"/>
                <w:color w:val="000000" w:themeColor="text1"/>
                <w:kern w:val="0"/>
                <w:sz w:val="21"/>
                <w:szCs w:val="21"/>
                <w:lang w:val="en-US" w:eastAsia="zh-CN"/>
                <w14:textFill>
                  <w14:solidFill>
                    <w14:schemeClr w14:val="tx1"/>
                  </w14:solidFill>
                </w14:textFill>
              </w:rPr>
              <w:t>550</w:t>
            </w:r>
            <w:r>
              <w:rPr>
                <w:rFonts w:hint="eastAsia"/>
                <w:b w:val="0"/>
                <w:bCs w:val="0"/>
                <w:color w:val="000000" w:themeColor="text1"/>
                <w:kern w:val="0"/>
                <w:sz w:val="21"/>
                <w:szCs w:val="21"/>
                <w:lang w:eastAsia="zh-CN"/>
                <w14:textFill>
                  <w14:solidFill>
                    <w14:schemeClr w14:val="tx1"/>
                  </w14:solidFill>
                </w14:textFill>
              </w:rPr>
              <w:t>（</w:t>
            </w:r>
            <w:r>
              <w:rPr>
                <w:rFonts w:hint="eastAsia"/>
                <w:b w:val="0"/>
                <w:bCs w:val="0"/>
                <w:color w:val="000000" w:themeColor="text1"/>
                <w:kern w:val="0"/>
                <w:sz w:val="21"/>
                <w:szCs w:val="21"/>
                <w:lang w:val="en-US" w:eastAsia="zh-CN"/>
                <w14:textFill>
                  <w14:solidFill>
                    <w14:schemeClr w14:val="tx1"/>
                  </w14:solidFill>
                </w14:textFill>
              </w:rPr>
              <w:t>路左</w:t>
            </w:r>
            <w:r>
              <w:rPr>
                <w:rFonts w:hint="eastAsia"/>
                <w:b w:val="0"/>
                <w:bCs w:val="0"/>
                <w:color w:val="000000" w:themeColor="text1"/>
                <w:kern w:val="0"/>
                <w:sz w:val="21"/>
                <w:szCs w:val="21"/>
                <w:lang w:eastAsia="zh-CN"/>
                <w14:textFill>
                  <w14:solidFill>
                    <w14:schemeClr w14:val="tx1"/>
                  </w14:solidFill>
                </w14:textFill>
              </w:rPr>
              <w:t>）</w:t>
            </w:r>
          </w:p>
        </w:tc>
        <w:tc>
          <w:tcPr>
            <w:tcW w:w="55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路圩村</w:t>
            </w:r>
          </w:p>
        </w:tc>
        <w:tc>
          <w:tcPr>
            <w:tcW w:w="44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S</w:t>
            </w:r>
          </w:p>
        </w:tc>
        <w:tc>
          <w:tcPr>
            <w:tcW w:w="494"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156</w:t>
            </w:r>
          </w:p>
        </w:tc>
        <w:tc>
          <w:tcPr>
            <w:tcW w:w="169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drawing>
                <wp:inline distT="0" distB="0" distL="114300" distR="114300">
                  <wp:extent cx="2051685" cy="1611630"/>
                  <wp:effectExtent l="0" t="0" r="5715" b="3810"/>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pic:cNvPicPr>
                        </pic:nvPicPr>
                        <pic:blipFill>
                          <a:blip r:embed="rId39"/>
                          <a:stretch>
                            <a:fillRect/>
                          </a:stretch>
                        </pic:blipFill>
                        <pic:spPr>
                          <a:xfrm>
                            <a:off x="0" y="0"/>
                            <a:ext cx="2051685" cy="1611630"/>
                          </a:xfrm>
                          <a:prstGeom prst="rect">
                            <a:avLst/>
                          </a:prstGeom>
                          <a:noFill/>
                          <a:ln>
                            <a:noFill/>
                          </a:ln>
                        </pic:spPr>
                      </pic:pic>
                    </a:graphicData>
                  </a:graphic>
                </wp:inline>
              </w:drawing>
            </w:r>
          </w:p>
        </w:tc>
      </w:tr>
    </w:tbl>
    <w:p>
      <w:pPr>
        <w:pStyle w:val="63"/>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cs="Times New Roman"/>
          <w:b/>
          <w:bCs/>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val="en-US" w:eastAsia="zh-CN"/>
          <w14:textFill>
            <w14:solidFill>
              <w14:schemeClr w14:val="tx1"/>
            </w14:solidFill>
          </w14:textFill>
        </w:rPr>
        <w:t>表</w:t>
      </w:r>
      <w:r>
        <w:rPr>
          <w:rFonts w:hint="eastAsia" w:ascii="Times New Roman" w:cs="Times New Roman"/>
          <w:b/>
          <w:bCs/>
          <w:color w:val="000000" w:themeColor="text1"/>
          <w:lang w:val="en-US" w:eastAsia="zh-CN"/>
          <w14:textFill>
            <w14:solidFill>
              <w14:schemeClr w14:val="tx1"/>
            </w14:solidFill>
          </w14:textFill>
        </w:rPr>
        <w:t>2</w:t>
      </w:r>
      <w:r>
        <w:rPr>
          <w:rFonts w:hint="eastAsia" w:ascii="Times New Roman" w:hAnsi="Times New Roman" w:cs="Times New Roman"/>
          <w:b/>
          <w:bCs/>
          <w:color w:val="000000" w:themeColor="text1"/>
          <w:lang w:val="en-US" w:eastAsia="zh-CN"/>
          <w14:textFill>
            <w14:solidFill>
              <w14:schemeClr w14:val="tx1"/>
            </w14:solidFill>
          </w14:textFill>
        </w:rPr>
        <w:t>.8-</w:t>
      </w:r>
      <w:r>
        <w:rPr>
          <w:rFonts w:hint="eastAsia" w:ascii="Times New Roman" w:cs="Times New Roman"/>
          <w:b/>
          <w:bCs/>
          <w:color w:val="000000" w:themeColor="text1"/>
          <w:lang w:val="en-US" w:eastAsia="zh-CN"/>
          <w14:textFill>
            <w14:solidFill>
              <w14:schemeClr w14:val="tx1"/>
            </w14:solidFill>
          </w14:textFill>
        </w:rPr>
        <w:t>5</w:t>
      </w:r>
      <w:r>
        <w:rPr>
          <w:rFonts w:hint="eastAsia" w:ascii="Times New Roman" w:hAnsi="Times New Roman" w:cs="Times New Roman"/>
          <w:b/>
          <w:bCs/>
          <w:color w:val="000000" w:themeColor="text1"/>
          <w:lang w:val="en-US" w:eastAsia="zh-CN"/>
          <w14:textFill>
            <w14:solidFill>
              <w14:schemeClr w14:val="tx1"/>
            </w14:solidFill>
          </w14:textFill>
        </w:rPr>
        <w:t xml:space="preserve"> 其余大临工程周边敏感保护目标表</w:t>
      </w:r>
    </w:p>
    <w:tbl>
      <w:tblPr>
        <w:tblStyle w:val="47"/>
        <w:tblW w:w="54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1508"/>
        <w:gridCol w:w="1958"/>
        <w:gridCol w:w="1008"/>
        <w:gridCol w:w="781"/>
        <w:gridCol w:w="839"/>
        <w:gridCol w:w="3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6"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序号</w:t>
            </w:r>
          </w:p>
        </w:tc>
        <w:tc>
          <w:tcPr>
            <w:tcW w:w="738"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工程</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名称</w:t>
            </w:r>
          </w:p>
        </w:tc>
        <w:tc>
          <w:tcPr>
            <w:tcW w:w="958"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位置地点或桩号</w:t>
            </w:r>
          </w:p>
        </w:tc>
        <w:tc>
          <w:tcPr>
            <w:tcW w:w="1286" w:type="pct"/>
            <w:gridSpan w:val="3"/>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周围敏感目标情况</w:t>
            </w:r>
          </w:p>
        </w:tc>
        <w:tc>
          <w:tcPr>
            <w:tcW w:w="1690"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敏感点与项目位置关系图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73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95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49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名称</w:t>
            </w:r>
          </w:p>
        </w:tc>
        <w:tc>
          <w:tcPr>
            <w:tcW w:w="3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方位</w:t>
            </w:r>
          </w:p>
        </w:tc>
        <w:tc>
          <w:tcPr>
            <w:tcW w:w="41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距离（m）</w:t>
            </w:r>
          </w:p>
        </w:tc>
        <w:tc>
          <w:tcPr>
            <w:tcW w:w="169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326"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738" w:type="pct"/>
            <w:shd w:val="clear" w:color="auto" w:fill="auto"/>
            <w:noWrap/>
            <w:vAlign w:val="center"/>
          </w:tcPr>
          <w:p>
            <w:pPr>
              <w:pStyle w:val="1132"/>
              <w:spacing w:line="240" w:lineRule="auto"/>
              <w:rPr>
                <w:rFonts w:hint="eastAsia" w:eastAsia="宋体"/>
                <w:b/>
                <w:bCs/>
                <w:color w:val="000000" w:themeColor="text1"/>
                <w:kern w:val="0"/>
                <w:sz w:val="21"/>
                <w:szCs w:val="21"/>
                <w:lang w:eastAsia="zh-CN"/>
                <w14:textFill>
                  <w14:solidFill>
                    <w14:schemeClr w14:val="tx1"/>
                  </w14:solidFill>
                </w14:textFill>
              </w:rPr>
            </w:pPr>
            <w:r>
              <w:rPr>
                <w:rFonts w:hint="eastAsia"/>
                <w:sz w:val="21"/>
                <w:szCs w:val="21"/>
                <w:lang w:val="en-US" w:eastAsia="zh-CN"/>
              </w:rPr>
              <w:t>水稳砼拌合站</w:t>
            </w:r>
          </w:p>
        </w:tc>
        <w:tc>
          <w:tcPr>
            <w:tcW w:w="958"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bCs/>
                <w:color w:val="000000" w:themeColor="text1"/>
                <w:kern w:val="0"/>
                <w:sz w:val="21"/>
                <w:szCs w:val="21"/>
                <w:lang w:val="en-US" w:eastAsia="zh-CN"/>
                <w14:textFill>
                  <w14:solidFill>
                    <w14:schemeClr w14:val="tx1"/>
                  </w14:solidFill>
                </w14:textFill>
              </w:rPr>
            </w:pPr>
            <w:r>
              <w:rPr>
                <w:rFonts w:hint="eastAsia"/>
                <w:sz w:val="21"/>
                <w:szCs w:val="21"/>
              </w:rPr>
              <w:t>K1+920</w:t>
            </w:r>
            <w:r>
              <w:rPr>
                <w:rFonts w:hint="eastAsia"/>
                <w:b w:val="0"/>
                <w:bCs w:val="0"/>
                <w:color w:val="000000" w:themeColor="text1"/>
                <w:kern w:val="0"/>
                <w:sz w:val="21"/>
                <w:szCs w:val="21"/>
                <w:lang w:eastAsia="zh-CN"/>
                <w14:textFill>
                  <w14:solidFill>
                    <w14:schemeClr w14:val="tx1"/>
                  </w14:solidFill>
                </w14:textFill>
              </w:rPr>
              <w:t>（</w:t>
            </w:r>
            <w:r>
              <w:rPr>
                <w:rFonts w:hint="eastAsia"/>
                <w:b w:val="0"/>
                <w:bCs w:val="0"/>
                <w:color w:val="000000" w:themeColor="text1"/>
                <w:kern w:val="0"/>
                <w:sz w:val="21"/>
                <w:szCs w:val="21"/>
                <w:lang w:val="en-US" w:eastAsia="zh-CN"/>
                <w14:textFill>
                  <w14:solidFill>
                    <w14:schemeClr w14:val="tx1"/>
                  </w14:solidFill>
                </w14:textFill>
              </w:rPr>
              <w:t>路左）</w:t>
            </w:r>
          </w:p>
        </w:tc>
        <w:tc>
          <w:tcPr>
            <w:tcW w:w="49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路圩村</w:t>
            </w:r>
          </w:p>
        </w:tc>
        <w:tc>
          <w:tcPr>
            <w:tcW w:w="3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SW</w:t>
            </w:r>
          </w:p>
        </w:tc>
        <w:tc>
          <w:tcPr>
            <w:tcW w:w="41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328</w:t>
            </w:r>
          </w:p>
        </w:tc>
        <w:tc>
          <w:tcPr>
            <w:tcW w:w="169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drawing>
                <wp:inline distT="0" distB="0" distL="114300" distR="114300">
                  <wp:extent cx="2051050" cy="1573530"/>
                  <wp:effectExtent l="0" t="0" r="6350" b="1143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40"/>
                          <a:stretch>
                            <a:fillRect/>
                          </a:stretch>
                        </pic:blipFill>
                        <pic:spPr>
                          <a:xfrm>
                            <a:off x="0" y="0"/>
                            <a:ext cx="2051050" cy="15735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326"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2</w:t>
            </w:r>
          </w:p>
        </w:tc>
        <w:tc>
          <w:tcPr>
            <w:tcW w:w="738" w:type="pct"/>
            <w:shd w:val="clear" w:color="auto" w:fill="auto"/>
            <w:noWrap/>
            <w:vAlign w:val="center"/>
          </w:tcPr>
          <w:p>
            <w:pPr>
              <w:pStyle w:val="1132"/>
              <w:spacing w:line="240" w:lineRule="auto"/>
              <w:rPr>
                <w:rFonts w:hint="eastAsia"/>
                <w:color w:val="000000" w:themeColor="text1"/>
                <w:kern w:val="0"/>
                <w:sz w:val="21"/>
                <w:szCs w:val="21"/>
                <w14:textFill>
                  <w14:solidFill>
                    <w14:schemeClr w14:val="tx1"/>
                  </w14:solidFill>
                </w14:textFill>
              </w:rPr>
            </w:pPr>
            <w:r>
              <w:rPr>
                <w:rFonts w:hint="eastAsia"/>
                <w:sz w:val="21"/>
                <w:szCs w:val="21"/>
                <w:lang w:val="en-US" w:eastAsia="zh-CN"/>
              </w:rPr>
              <w:t>水泥砼拌合站</w:t>
            </w:r>
          </w:p>
        </w:tc>
        <w:tc>
          <w:tcPr>
            <w:tcW w:w="958"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bCs/>
                <w:color w:val="000000" w:themeColor="text1"/>
                <w:kern w:val="0"/>
                <w:sz w:val="21"/>
                <w:szCs w:val="21"/>
                <w:lang w:val="en-US" w:eastAsia="zh-CN"/>
                <w14:textFill>
                  <w14:solidFill>
                    <w14:schemeClr w14:val="tx1"/>
                  </w14:solidFill>
                </w14:textFill>
              </w:rPr>
            </w:pPr>
            <w:r>
              <w:rPr>
                <w:rFonts w:hint="eastAsia"/>
                <w:sz w:val="21"/>
                <w:szCs w:val="21"/>
              </w:rPr>
              <w:t>K2+000</w:t>
            </w:r>
            <w:r>
              <w:rPr>
                <w:rFonts w:hint="eastAsia"/>
                <w:sz w:val="21"/>
                <w:szCs w:val="21"/>
                <w:lang w:eastAsia="zh-CN"/>
              </w:rPr>
              <w:t>（</w:t>
            </w:r>
            <w:r>
              <w:rPr>
                <w:rFonts w:hint="eastAsia"/>
                <w:sz w:val="21"/>
                <w:szCs w:val="21"/>
                <w:lang w:val="en-US" w:eastAsia="zh-CN"/>
              </w:rPr>
              <w:t>路右</w:t>
            </w:r>
            <w:r>
              <w:rPr>
                <w:rFonts w:hint="eastAsia"/>
                <w:sz w:val="21"/>
                <w:szCs w:val="21"/>
                <w:lang w:eastAsia="zh-CN"/>
              </w:rPr>
              <w:t>）</w:t>
            </w:r>
          </w:p>
        </w:tc>
        <w:tc>
          <w:tcPr>
            <w:tcW w:w="49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路圩村</w:t>
            </w:r>
          </w:p>
        </w:tc>
        <w:tc>
          <w:tcPr>
            <w:tcW w:w="3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W</w:t>
            </w:r>
          </w:p>
        </w:tc>
        <w:tc>
          <w:tcPr>
            <w:tcW w:w="41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232</w:t>
            </w:r>
          </w:p>
        </w:tc>
        <w:tc>
          <w:tcPr>
            <w:tcW w:w="169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drawing>
                <wp:inline distT="0" distB="0" distL="114300" distR="114300">
                  <wp:extent cx="2049780" cy="1736725"/>
                  <wp:effectExtent l="0" t="0" r="7620" b="635"/>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41"/>
                          <a:stretch>
                            <a:fillRect/>
                          </a:stretch>
                        </pic:blipFill>
                        <pic:spPr>
                          <a:xfrm>
                            <a:off x="0" y="0"/>
                            <a:ext cx="2049780" cy="17367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326"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3</w:t>
            </w:r>
          </w:p>
        </w:tc>
        <w:tc>
          <w:tcPr>
            <w:tcW w:w="738" w:type="pct"/>
            <w:shd w:val="clear" w:color="auto" w:fill="auto"/>
            <w:noWrap/>
            <w:vAlign w:val="center"/>
          </w:tcPr>
          <w:p>
            <w:pPr>
              <w:pStyle w:val="1132"/>
              <w:spacing w:line="240" w:lineRule="auto"/>
              <w:rPr>
                <w:rFonts w:hint="default"/>
                <w:sz w:val="21"/>
                <w:szCs w:val="21"/>
                <w:lang w:val="en-US" w:eastAsia="zh-CN"/>
              </w:rPr>
            </w:pPr>
            <w:r>
              <w:rPr>
                <w:rFonts w:hint="eastAsia"/>
                <w:sz w:val="21"/>
                <w:szCs w:val="21"/>
                <w:lang w:val="en-US" w:eastAsia="zh-CN"/>
              </w:rPr>
              <w:t>沥青砼拌合站</w:t>
            </w:r>
          </w:p>
        </w:tc>
        <w:tc>
          <w:tcPr>
            <w:tcW w:w="958"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rPr>
              <w:t>K</w:t>
            </w:r>
            <w:r>
              <w:rPr>
                <w:rFonts w:hint="eastAsia"/>
                <w:sz w:val="21"/>
                <w:szCs w:val="21"/>
                <w:lang w:val="en-US" w:eastAsia="zh-CN"/>
              </w:rPr>
              <w:t>2</w:t>
            </w:r>
            <w:r>
              <w:rPr>
                <w:rFonts w:hint="eastAsia"/>
                <w:sz w:val="21"/>
                <w:szCs w:val="21"/>
              </w:rPr>
              <w:t>+</w:t>
            </w:r>
            <w:r>
              <w:rPr>
                <w:rFonts w:hint="eastAsia"/>
                <w:sz w:val="21"/>
                <w:szCs w:val="21"/>
                <w:lang w:val="en-US" w:eastAsia="zh-CN"/>
              </w:rPr>
              <w:t>165</w:t>
            </w:r>
            <w:r>
              <w:rPr>
                <w:rFonts w:hint="eastAsia"/>
                <w:sz w:val="21"/>
                <w:szCs w:val="21"/>
                <w:lang w:eastAsia="zh-CN"/>
              </w:rPr>
              <w:t>（</w:t>
            </w:r>
            <w:r>
              <w:rPr>
                <w:rFonts w:hint="eastAsia"/>
                <w:sz w:val="21"/>
                <w:szCs w:val="21"/>
                <w:lang w:val="en-US" w:eastAsia="zh-CN"/>
              </w:rPr>
              <w:t>路右</w:t>
            </w:r>
            <w:r>
              <w:rPr>
                <w:rFonts w:hint="eastAsia"/>
                <w:sz w:val="21"/>
                <w:szCs w:val="21"/>
                <w:lang w:eastAsia="zh-CN"/>
              </w:rPr>
              <w:t>）</w:t>
            </w:r>
          </w:p>
        </w:tc>
        <w:tc>
          <w:tcPr>
            <w:tcW w:w="49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路圩村</w:t>
            </w:r>
          </w:p>
        </w:tc>
        <w:tc>
          <w:tcPr>
            <w:tcW w:w="3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W</w:t>
            </w:r>
          </w:p>
        </w:tc>
        <w:tc>
          <w:tcPr>
            <w:tcW w:w="41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408</w:t>
            </w:r>
          </w:p>
        </w:tc>
        <w:tc>
          <w:tcPr>
            <w:tcW w:w="169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drawing>
                <wp:inline distT="0" distB="0" distL="114300" distR="114300">
                  <wp:extent cx="2041525" cy="1580515"/>
                  <wp:effectExtent l="0" t="0" r="635" b="4445"/>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42"/>
                          <a:stretch>
                            <a:fillRect/>
                          </a:stretch>
                        </pic:blipFill>
                        <pic:spPr>
                          <a:xfrm>
                            <a:off x="0" y="0"/>
                            <a:ext cx="2041525" cy="15805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 w:hRule="atLeast"/>
          <w:jc w:val="center"/>
        </w:trPr>
        <w:tc>
          <w:tcPr>
            <w:tcW w:w="326"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4</w:t>
            </w:r>
          </w:p>
        </w:tc>
        <w:tc>
          <w:tcPr>
            <w:tcW w:w="738" w:type="pct"/>
            <w:vMerge w:val="restart"/>
            <w:shd w:val="clear" w:color="auto" w:fill="auto"/>
            <w:noWrap/>
            <w:vAlign w:val="center"/>
          </w:tcPr>
          <w:p>
            <w:pPr>
              <w:pStyle w:val="1132"/>
              <w:spacing w:line="240" w:lineRule="auto"/>
              <w:rPr>
                <w:rFonts w:hint="default"/>
                <w:sz w:val="21"/>
                <w:szCs w:val="21"/>
                <w:lang w:val="en-US" w:eastAsia="zh-CN"/>
              </w:rPr>
            </w:pPr>
            <w:r>
              <w:rPr>
                <w:rFonts w:hint="eastAsia"/>
                <w:sz w:val="21"/>
                <w:szCs w:val="21"/>
                <w:lang w:val="en-US" w:eastAsia="zh-CN"/>
              </w:rPr>
              <w:t>项目部</w:t>
            </w:r>
          </w:p>
        </w:tc>
        <w:tc>
          <w:tcPr>
            <w:tcW w:w="958"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K3+222（路右）</w:t>
            </w:r>
          </w:p>
        </w:tc>
        <w:tc>
          <w:tcPr>
            <w:tcW w:w="49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汤庄</w:t>
            </w:r>
          </w:p>
        </w:tc>
        <w:tc>
          <w:tcPr>
            <w:tcW w:w="3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W</w:t>
            </w:r>
          </w:p>
        </w:tc>
        <w:tc>
          <w:tcPr>
            <w:tcW w:w="41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25</w:t>
            </w:r>
          </w:p>
        </w:tc>
        <w:tc>
          <w:tcPr>
            <w:tcW w:w="1690"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pPr>
            <w:r>
              <w:drawing>
                <wp:inline distT="0" distB="0" distL="114300" distR="114300">
                  <wp:extent cx="2050415" cy="1455420"/>
                  <wp:effectExtent l="0" t="0" r="6985" b="7620"/>
                  <wp:docPr id="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
                          <pic:cNvPicPr>
                            <a:picLocks noChangeAspect="1"/>
                          </pic:cNvPicPr>
                        </pic:nvPicPr>
                        <pic:blipFill>
                          <a:blip r:embed="rId43"/>
                          <a:stretch>
                            <a:fillRect/>
                          </a:stretch>
                        </pic:blipFill>
                        <pic:spPr>
                          <a:xfrm>
                            <a:off x="0" y="0"/>
                            <a:ext cx="2050415" cy="14554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32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kern w:val="0"/>
                <w:sz w:val="21"/>
                <w:szCs w:val="21"/>
                <w:lang w:val="en-US" w:eastAsia="zh-CN"/>
                <w14:textFill>
                  <w14:solidFill>
                    <w14:schemeClr w14:val="tx1"/>
                  </w14:solidFill>
                </w14:textFill>
              </w:rPr>
            </w:pPr>
          </w:p>
        </w:tc>
        <w:tc>
          <w:tcPr>
            <w:tcW w:w="738" w:type="pct"/>
            <w:vMerge w:val="continue"/>
            <w:shd w:val="clear" w:color="auto" w:fill="auto"/>
            <w:noWrap/>
            <w:vAlign w:val="center"/>
          </w:tcPr>
          <w:p>
            <w:pPr>
              <w:pStyle w:val="1132"/>
              <w:spacing w:line="240" w:lineRule="auto"/>
              <w:rPr>
                <w:rFonts w:hint="eastAsia"/>
                <w:sz w:val="21"/>
                <w:szCs w:val="21"/>
                <w:lang w:val="en-US" w:eastAsia="zh-CN"/>
              </w:rPr>
            </w:pPr>
          </w:p>
        </w:tc>
        <w:tc>
          <w:tcPr>
            <w:tcW w:w="95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p>
        </w:tc>
        <w:tc>
          <w:tcPr>
            <w:tcW w:w="49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仁和村</w:t>
            </w:r>
          </w:p>
        </w:tc>
        <w:tc>
          <w:tcPr>
            <w:tcW w:w="3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SW</w:t>
            </w:r>
          </w:p>
        </w:tc>
        <w:tc>
          <w:tcPr>
            <w:tcW w:w="41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102</w:t>
            </w:r>
          </w:p>
        </w:tc>
        <w:tc>
          <w:tcPr>
            <w:tcW w:w="169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326"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5</w:t>
            </w:r>
          </w:p>
        </w:tc>
        <w:tc>
          <w:tcPr>
            <w:tcW w:w="738" w:type="pct"/>
            <w:shd w:val="clear" w:color="auto" w:fill="auto"/>
            <w:noWrap/>
            <w:vAlign w:val="center"/>
          </w:tcPr>
          <w:p>
            <w:pPr>
              <w:pStyle w:val="1132"/>
              <w:spacing w:line="240" w:lineRule="auto"/>
              <w:rPr>
                <w:rFonts w:hint="eastAsia"/>
                <w:sz w:val="21"/>
                <w:szCs w:val="21"/>
                <w:lang w:val="en-US" w:eastAsia="zh-CN"/>
              </w:rPr>
            </w:pPr>
            <w:r>
              <w:rPr>
                <w:rFonts w:hint="eastAsia"/>
                <w:sz w:val="21"/>
                <w:szCs w:val="21"/>
                <w:highlight w:val="none"/>
              </w:rPr>
              <w:t>制梁场、钢筋加工场</w:t>
            </w:r>
          </w:p>
        </w:tc>
        <w:tc>
          <w:tcPr>
            <w:tcW w:w="958"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lang w:val="en-US"/>
              </w:rPr>
            </w:pPr>
            <w:r>
              <w:rPr>
                <w:sz w:val="21"/>
                <w:szCs w:val="21"/>
                <w:highlight w:val="none"/>
              </w:rPr>
              <w:t>K</w:t>
            </w:r>
            <w:r>
              <w:rPr>
                <w:rFonts w:hint="eastAsia"/>
                <w:sz w:val="21"/>
                <w:szCs w:val="21"/>
                <w:highlight w:val="none"/>
                <w:lang w:val="en-US" w:eastAsia="zh-CN"/>
              </w:rPr>
              <w:t>4</w:t>
            </w:r>
            <w:r>
              <w:rPr>
                <w:sz w:val="21"/>
                <w:szCs w:val="21"/>
                <w:highlight w:val="none"/>
              </w:rPr>
              <w:t>+</w:t>
            </w:r>
            <w:r>
              <w:rPr>
                <w:rFonts w:hint="eastAsia"/>
                <w:sz w:val="21"/>
                <w:szCs w:val="21"/>
                <w:highlight w:val="none"/>
                <w:lang w:val="en-US" w:eastAsia="zh-CN"/>
              </w:rPr>
              <w:t>534（路右）</w:t>
            </w:r>
          </w:p>
        </w:tc>
        <w:tc>
          <w:tcPr>
            <w:tcW w:w="49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邵楼村</w:t>
            </w:r>
          </w:p>
        </w:tc>
        <w:tc>
          <w:tcPr>
            <w:tcW w:w="3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W</w:t>
            </w:r>
          </w:p>
        </w:tc>
        <w:tc>
          <w:tcPr>
            <w:tcW w:w="41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35</w:t>
            </w:r>
          </w:p>
        </w:tc>
        <w:tc>
          <w:tcPr>
            <w:tcW w:w="1690"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pPr>
            <w:r>
              <w:drawing>
                <wp:inline distT="0" distB="0" distL="114300" distR="114300">
                  <wp:extent cx="2052955" cy="1424940"/>
                  <wp:effectExtent l="0" t="0" r="4445" b="7620"/>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44"/>
                          <a:stretch>
                            <a:fillRect/>
                          </a:stretch>
                        </pic:blipFill>
                        <pic:spPr>
                          <a:xfrm>
                            <a:off x="0" y="0"/>
                            <a:ext cx="2052955" cy="1424940"/>
                          </a:xfrm>
                          <a:prstGeom prst="rect">
                            <a:avLst/>
                          </a:prstGeom>
                          <a:noFill/>
                          <a:ln>
                            <a:noFill/>
                          </a:ln>
                        </pic:spPr>
                      </pic:pic>
                    </a:graphicData>
                  </a:graphic>
                </wp:inline>
              </w:drawing>
            </w:r>
          </w:p>
        </w:tc>
      </w:tr>
    </w:tbl>
    <w:p>
      <w:pPr>
        <w:pStyle w:val="25"/>
        <w:sectPr>
          <w:headerReference r:id="rId12" w:type="default"/>
          <w:pgSz w:w="11906" w:h="16838"/>
          <w:pgMar w:top="1418" w:right="1418" w:bottom="1418" w:left="1418" w:header="851" w:footer="992" w:gutter="0"/>
          <w:cols w:space="720" w:num="1"/>
          <w:docGrid w:linePitch="326" w:charSpace="0"/>
        </w:sectPr>
      </w:pPr>
    </w:p>
    <w:p>
      <w:pPr>
        <w:pStyle w:val="7"/>
        <w:rPr>
          <w:b/>
          <w:bCs/>
          <w:sz w:val="28"/>
          <w:szCs w:val="28"/>
        </w:rPr>
      </w:pPr>
      <w:bookmarkStart w:id="120" w:name="_Toc2333"/>
      <w:bookmarkStart w:id="121" w:name="_Toc17355"/>
      <w:bookmarkStart w:id="122" w:name="_Toc338633803"/>
      <w:r>
        <w:rPr>
          <w:b/>
          <w:bCs/>
          <w:sz w:val="28"/>
          <w:szCs w:val="28"/>
        </w:rPr>
        <w:t>评价工作程序</w:t>
      </w:r>
      <w:bookmarkEnd w:id="120"/>
      <w:bookmarkEnd w:id="121"/>
    </w:p>
    <w:p>
      <w:pPr>
        <w:pStyle w:val="10"/>
        <w:ind w:firstLine="480"/>
      </w:pPr>
      <w:r>
        <w:t>本项目环境影响评价工作程序如图2.9-1。</w:t>
      </w:r>
      <w:bookmarkEnd w:id="122"/>
    </w:p>
    <w:p>
      <w:pPr>
        <w:pStyle w:val="112"/>
        <w:ind w:firstLine="0" w:firstLineChars="0"/>
        <w:jc w:val="center"/>
        <w:rPr>
          <w:color w:val="0070C0"/>
        </w:rPr>
      </w:pPr>
      <w:r>
        <w:rPr>
          <w:color w:val="0070C0"/>
        </w:rPr>
        <w:drawing>
          <wp:inline distT="0" distB="0" distL="0" distR="0">
            <wp:extent cx="5777230" cy="7524750"/>
            <wp:effectExtent l="19050" t="19050" r="13970" b="1905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836408" cy="7601986"/>
                    </a:xfrm>
                    <a:prstGeom prst="rect">
                      <a:avLst/>
                    </a:prstGeom>
                    <a:noFill/>
                    <a:ln w="9525">
                      <a:solidFill>
                        <a:srgbClr val="000000"/>
                      </a:solidFill>
                      <a:miter lim="800000"/>
                      <a:headEnd/>
                      <a:tailEnd/>
                    </a:ln>
                  </pic:spPr>
                </pic:pic>
              </a:graphicData>
            </a:graphic>
          </wp:inline>
        </w:drawing>
      </w:r>
    </w:p>
    <w:p>
      <w:pPr>
        <w:pStyle w:val="19"/>
        <w:ind w:firstLine="482"/>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2.9</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t xml:space="preserve">  环境影响评价工作程序图</w:t>
      </w:r>
      <w:bookmarkStart w:id="123" w:name="_Toc289442045"/>
      <w:bookmarkStart w:id="124" w:name="_Toc455016454"/>
      <w:bookmarkStart w:id="125" w:name="_Toc333180437"/>
      <w:bookmarkStart w:id="126" w:name="_Toc338633805"/>
      <w:r>
        <w:br w:type="page"/>
      </w:r>
    </w:p>
    <w:p>
      <w:pPr>
        <w:pStyle w:val="5"/>
      </w:pPr>
      <w:r>
        <w:rPr>
          <w:rFonts w:hint="eastAsia"/>
        </w:rPr>
        <w:t xml:space="preserve"> </w:t>
      </w:r>
      <w:bookmarkStart w:id="127" w:name="_Toc2045"/>
      <w:bookmarkStart w:id="128" w:name="_Toc6857"/>
      <w:bookmarkStart w:id="129" w:name="_Toc15862"/>
      <w:r>
        <w:t>工程概况</w:t>
      </w:r>
      <w:bookmarkEnd w:id="123"/>
      <w:bookmarkEnd w:id="124"/>
      <w:r>
        <w:t>及工程分析</w:t>
      </w:r>
      <w:bookmarkEnd w:id="127"/>
      <w:bookmarkEnd w:id="128"/>
      <w:bookmarkEnd w:id="129"/>
    </w:p>
    <w:p>
      <w:pPr>
        <w:pStyle w:val="7"/>
        <w:rPr>
          <w:b/>
          <w:bCs/>
          <w:sz w:val="28"/>
          <w:szCs w:val="28"/>
        </w:rPr>
      </w:pPr>
      <w:bookmarkStart w:id="130" w:name="_Toc9215"/>
      <w:bookmarkStart w:id="131" w:name="_Toc12404"/>
      <w:bookmarkStart w:id="132" w:name="_Toc455016455"/>
      <w:r>
        <w:rPr>
          <w:rFonts w:hint="eastAsia"/>
          <w:b/>
          <w:bCs/>
          <w:sz w:val="28"/>
          <w:szCs w:val="28"/>
        </w:rPr>
        <w:t>项目地理位置</w:t>
      </w:r>
      <w:bookmarkEnd w:id="130"/>
      <w:bookmarkEnd w:id="131"/>
    </w:p>
    <w:p>
      <w:pPr>
        <w:pStyle w:val="10"/>
        <w:ind w:firstLine="480"/>
        <w:jc w:val="center"/>
        <w:rPr>
          <w:rFonts w:hint="default" w:eastAsia="宋体"/>
          <w:lang w:val="en-US" w:eastAsia="zh-CN"/>
        </w:rPr>
      </w:pPr>
      <w:r>
        <w:rPr>
          <w:rFonts w:hint="eastAsia"/>
        </w:rPr>
        <w:t>本项目位于蚌埠市怀远县包集镇，线路起自包集镇建成区，南侧接原G206，</w:t>
      </w:r>
      <w:r>
        <w:rPr>
          <w:rFonts w:hint="eastAsia"/>
          <w:lang w:bidi="he-IL"/>
        </w:rPr>
        <w:t>终于小沟沿北侧，接刘褚路（S419）</w:t>
      </w:r>
      <w:r>
        <w:rPr>
          <w:rFonts w:hint="eastAsia"/>
        </w:rPr>
        <w:t>，全长约7.70km，起讫桩号</w:t>
      </w:r>
      <w:r>
        <w:t>K0+000~K7+700.604</w:t>
      </w:r>
      <w:r>
        <w:rPr>
          <w:rFonts w:hint="eastAsia"/>
        </w:rPr>
        <w:t>。</w:t>
      </w:r>
      <w:r>
        <w:drawing>
          <wp:inline distT="0" distB="0" distL="114300" distR="114300">
            <wp:extent cx="5755640" cy="3415030"/>
            <wp:effectExtent l="0" t="0" r="5080" b="13970"/>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46"/>
                    <a:stretch>
                      <a:fillRect/>
                    </a:stretch>
                  </pic:blipFill>
                  <pic:spPr>
                    <a:xfrm>
                      <a:off x="0" y="0"/>
                      <a:ext cx="5755640" cy="3415030"/>
                    </a:xfrm>
                    <a:prstGeom prst="rect">
                      <a:avLst/>
                    </a:prstGeom>
                    <a:noFill/>
                    <a:ln>
                      <a:noFill/>
                    </a:ln>
                  </pic:spPr>
                </pic:pic>
              </a:graphicData>
            </a:graphic>
          </wp:inline>
        </w:drawing>
      </w:r>
      <w:r>
        <w:rPr>
          <w:rFonts w:hint="eastAsia"/>
          <w:b/>
          <w:bCs/>
          <w:lang w:val="en-US" w:eastAsia="zh-CN"/>
        </w:rPr>
        <w:t>图3.1-1 项目地理位置图</w:t>
      </w:r>
    </w:p>
    <w:p>
      <w:pPr>
        <w:pStyle w:val="7"/>
        <w:rPr>
          <w:b/>
          <w:bCs/>
          <w:sz w:val="28"/>
          <w:szCs w:val="28"/>
        </w:rPr>
      </w:pPr>
      <w:bookmarkStart w:id="133" w:name="_Toc6425"/>
      <w:bookmarkStart w:id="134" w:name="_Toc17134"/>
      <w:r>
        <w:rPr>
          <w:b/>
          <w:bCs/>
          <w:sz w:val="28"/>
          <w:szCs w:val="28"/>
        </w:rPr>
        <w:t>工程概况</w:t>
      </w:r>
      <w:bookmarkEnd w:id="132"/>
      <w:bookmarkEnd w:id="133"/>
      <w:bookmarkEnd w:id="134"/>
    </w:p>
    <w:p>
      <w:pPr>
        <w:pStyle w:val="8"/>
        <w:rPr>
          <w:b/>
          <w:bCs/>
        </w:rPr>
      </w:pPr>
      <w:bookmarkStart w:id="135" w:name="_Toc25927"/>
      <w:r>
        <w:rPr>
          <w:b/>
          <w:bCs/>
        </w:rPr>
        <w:t>项目基本情况</w:t>
      </w:r>
      <w:bookmarkEnd w:id="135"/>
    </w:p>
    <w:p>
      <w:pPr>
        <w:pStyle w:val="10"/>
        <w:ind w:firstLine="480"/>
      </w:pPr>
      <w:r>
        <w:t>项目名称：</w:t>
      </w:r>
      <w:r>
        <w:rPr>
          <w:rFonts w:hint="eastAsia"/>
        </w:rPr>
        <w:t>S311怀远包集至蚌埠民用机场一级公路工程</w:t>
      </w:r>
      <w:r>
        <w:t>；</w:t>
      </w:r>
    </w:p>
    <w:p>
      <w:pPr>
        <w:pStyle w:val="10"/>
        <w:ind w:firstLine="480"/>
      </w:pPr>
      <w:r>
        <w:t>建设单位：</w:t>
      </w:r>
      <w:r>
        <w:rPr>
          <w:rFonts w:hint="eastAsia"/>
        </w:rPr>
        <w:t>蚌埠市公路管理服务中心</w:t>
      </w:r>
      <w:r>
        <w:t>；</w:t>
      </w:r>
    </w:p>
    <w:p>
      <w:pPr>
        <w:pStyle w:val="10"/>
        <w:ind w:firstLine="480"/>
      </w:pPr>
      <w:r>
        <w:t>建设地点：</w:t>
      </w:r>
      <w:r>
        <w:rPr>
          <w:rFonts w:hint="eastAsia"/>
        </w:rPr>
        <w:t>蚌埠市怀远县</w:t>
      </w:r>
      <w:r>
        <w:t>；</w:t>
      </w:r>
    </w:p>
    <w:p>
      <w:pPr>
        <w:pStyle w:val="10"/>
        <w:ind w:firstLine="480"/>
      </w:pPr>
      <w:r>
        <w:t>建设性质：新建；</w:t>
      </w:r>
    </w:p>
    <w:p>
      <w:pPr>
        <w:pStyle w:val="10"/>
        <w:ind w:firstLine="480"/>
      </w:pPr>
      <w:r>
        <w:t>建设规模：</w:t>
      </w:r>
      <w:bookmarkStart w:id="136" w:name="_Hlk85392048"/>
      <w:r>
        <w:t>工程起终点范围为</w:t>
      </w:r>
      <w:r>
        <w:rPr>
          <w:rFonts w:hint="eastAsia"/>
        </w:rPr>
        <w:t>K0+000~K7+700.604</w:t>
      </w:r>
      <w:r>
        <w:t>，</w:t>
      </w:r>
      <w:r>
        <w:rPr>
          <w:rFonts w:hint="eastAsia"/>
        </w:rPr>
        <w:t>路线里程约7.70km</w:t>
      </w:r>
      <w:r>
        <w:t>，路基宽度</w:t>
      </w:r>
      <w:r>
        <w:rPr>
          <w:rFonts w:hint="eastAsia"/>
        </w:rPr>
        <w:t>33</w:t>
      </w:r>
      <w:r>
        <w:t>.5米，双向</w:t>
      </w:r>
      <w:r>
        <w:rPr>
          <w:rFonts w:hint="eastAsia"/>
        </w:rPr>
        <w:t>六</w:t>
      </w:r>
      <w:r>
        <w:t>车道，设计速度</w:t>
      </w:r>
      <w:r>
        <w:rPr>
          <w:rFonts w:hint="eastAsia"/>
        </w:rPr>
        <w:t>6</w:t>
      </w:r>
      <w:r>
        <w:t>0</w:t>
      </w:r>
      <w:r>
        <w:rPr>
          <w:rFonts w:hint="eastAsia"/>
        </w:rPr>
        <w:t>k</w:t>
      </w:r>
      <w:r>
        <w:t>m/h</w:t>
      </w:r>
      <w:r>
        <w:rPr>
          <w:rFonts w:hint="eastAsia"/>
        </w:rPr>
        <w:t>；</w:t>
      </w:r>
      <w:r>
        <w:t>新建中</w:t>
      </w:r>
      <w:r>
        <w:rPr>
          <w:rFonts w:hint="eastAsia"/>
        </w:rPr>
        <w:t>型</w:t>
      </w:r>
      <w:r>
        <w:t>桥梁</w:t>
      </w:r>
      <w:r>
        <w:rPr>
          <w:rFonts w:hint="eastAsia"/>
        </w:rPr>
        <w:t>2</w:t>
      </w:r>
      <w:r>
        <w:t>座总长</w:t>
      </w:r>
      <w:r>
        <w:rPr>
          <w:rFonts w:hint="eastAsia"/>
        </w:rPr>
        <w:t>108</w:t>
      </w:r>
      <w:r>
        <w:t>米，</w:t>
      </w:r>
      <w:r>
        <w:rPr>
          <w:rFonts w:hint="eastAsia"/>
        </w:rPr>
        <w:t>全线共设置2</w:t>
      </w:r>
      <w:r>
        <w:rPr>
          <w:rFonts w:hint="eastAsia"/>
          <w:lang w:val="en-US" w:eastAsia="zh-CN"/>
        </w:rPr>
        <w:t>8</w:t>
      </w:r>
      <w:r>
        <w:rPr>
          <w:rFonts w:hint="eastAsia"/>
        </w:rPr>
        <w:t>道涵洞，其中φ1.5m圆管涵共1</w:t>
      </w:r>
      <w:r>
        <w:rPr>
          <w:rFonts w:hint="eastAsia"/>
          <w:lang w:val="en-US" w:eastAsia="zh-CN"/>
        </w:rPr>
        <w:t>7</w:t>
      </w:r>
      <w:r>
        <w:rPr>
          <w:rFonts w:hint="eastAsia"/>
        </w:rPr>
        <w:t>道；跨径4m箱涵共3道；跨径6m箱涵共8道；设置平面交叉6处，交体交叉1处；项目</w:t>
      </w:r>
      <w:r>
        <w:t>占地</w:t>
      </w:r>
      <w:r>
        <w:rPr>
          <w:rFonts w:hint="eastAsia"/>
        </w:rPr>
        <w:t>592.09亩。</w:t>
      </w:r>
    </w:p>
    <w:p>
      <w:pPr>
        <w:pStyle w:val="112"/>
        <w:ind w:firstLine="480"/>
      </w:pPr>
      <w:r>
        <w:rPr>
          <w:rFonts w:hint="eastAsia"/>
        </w:rPr>
        <w:t>本项目利用原有公路占地1</w:t>
      </w:r>
      <w:r>
        <w:t>1.02</w:t>
      </w:r>
      <w:r>
        <w:rPr>
          <w:rFonts w:hint="eastAsia"/>
        </w:rPr>
        <w:t>亩，新增占地581.07亩，合计占地592.09亩。</w:t>
      </w:r>
    </w:p>
    <w:p>
      <w:pPr>
        <w:pStyle w:val="10"/>
        <w:ind w:firstLine="480"/>
      </w:pPr>
      <w:r>
        <w:rPr>
          <w:rFonts w:hint="eastAsia"/>
        </w:rPr>
        <w:t>本项目概算总金额为</w:t>
      </w:r>
      <w:r>
        <w:t>59515.8</w:t>
      </w:r>
      <w:r>
        <w:rPr>
          <w:rFonts w:hint="eastAsia"/>
        </w:rPr>
        <w:t>万元，其中环保投资</w:t>
      </w:r>
      <w:r>
        <w:rPr>
          <w:rFonts w:hint="eastAsia"/>
          <w:lang w:val="en-US" w:eastAsia="zh-CN"/>
        </w:rPr>
        <w:t>655</w:t>
      </w:r>
      <w:r>
        <w:rPr>
          <w:rFonts w:hint="eastAsia"/>
        </w:rPr>
        <w:t>万元，占总投资的比例为1.</w:t>
      </w:r>
      <w:r>
        <w:rPr>
          <w:rFonts w:hint="eastAsia"/>
          <w:lang w:val="en-US" w:eastAsia="zh-CN"/>
        </w:rPr>
        <w:t>1</w:t>
      </w:r>
      <w:r>
        <w:rPr>
          <w:rFonts w:hint="eastAsia"/>
        </w:rPr>
        <w:t>%。施工期计划从2</w:t>
      </w:r>
      <w:r>
        <w:t>02</w:t>
      </w:r>
      <w:r>
        <w:rPr>
          <w:rFonts w:hint="eastAsia"/>
          <w:lang w:val="en-US" w:eastAsia="zh-CN"/>
        </w:rPr>
        <w:t>3</w:t>
      </w:r>
      <w:r>
        <w:rPr>
          <w:rFonts w:hint="eastAsia"/>
        </w:rPr>
        <w:t>年</w:t>
      </w:r>
      <w:r>
        <w:t>1</w:t>
      </w:r>
      <w:r>
        <w:rPr>
          <w:rFonts w:hint="eastAsia"/>
        </w:rPr>
        <w:t>月开始，计划2</w:t>
      </w:r>
      <w:r>
        <w:t>023</w:t>
      </w:r>
      <w:r>
        <w:rPr>
          <w:rFonts w:hint="eastAsia"/>
        </w:rPr>
        <w:t>年</w:t>
      </w:r>
      <w:r>
        <w:t>12</w:t>
      </w:r>
      <w:r>
        <w:rPr>
          <w:rFonts w:hint="eastAsia"/>
        </w:rPr>
        <w:t>月建成。</w:t>
      </w:r>
    </w:p>
    <w:bookmarkEnd w:id="136"/>
    <w:p>
      <w:pPr>
        <w:pStyle w:val="9"/>
      </w:pPr>
      <w:bookmarkStart w:id="137" w:name="_Toc9527"/>
      <w:bookmarkStart w:id="138" w:name="_Toc455016458"/>
      <w:bookmarkStart w:id="139" w:name="_Toc382252581"/>
      <w:r>
        <w:t>项目组成</w:t>
      </w:r>
      <w:bookmarkEnd w:id="137"/>
    </w:p>
    <w:p>
      <w:pPr>
        <w:ind w:firstLine="480"/>
      </w:pPr>
      <w:r>
        <w:t>本项目工程</w:t>
      </w:r>
      <w:r>
        <w:rPr>
          <w:rFonts w:hint="eastAsia"/>
        </w:rPr>
        <w:t>范围</w:t>
      </w:r>
      <w:r>
        <w:t>包含路线、路基、路面、桥涵、环保绿化、交通机电及房建工程等。工程项目组成详见</w:t>
      </w:r>
      <w:r>
        <w:rPr>
          <w:rFonts w:hint="eastAsia"/>
        </w:rPr>
        <w:t>下</w:t>
      </w:r>
      <w:r>
        <w:t>表。</w:t>
      </w:r>
    </w:p>
    <w:p>
      <w:pPr>
        <w:pStyle w:val="19"/>
        <w:ind w:firstLine="482"/>
      </w:pPr>
      <w:r>
        <w:t xml:space="preserve">表 </w:t>
      </w:r>
      <w:r>
        <w:fldChar w:fldCharType="begin"/>
      </w:r>
      <w:r>
        <w:instrText xml:space="preserve"> STYLEREF 2 \s </w:instrText>
      </w:r>
      <w:r>
        <w:fldChar w:fldCharType="separate"/>
      </w:r>
      <w:r>
        <w:t>3.2</w:t>
      </w:r>
      <w:r>
        <w:fldChar w:fldCharType="end"/>
      </w:r>
      <w:r>
        <w:noBreakHyphen/>
      </w:r>
      <w:r>
        <w:fldChar w:fldCharType="begin"/>
      </w:r>
      <w:r>
        <w:instrText xml:space="preserve"> SEQ 表 \* ARABIC \s 2 </w:instrText>
      </w:r>
      <w:r>
        <w:fldChar w:fldCharType="separate"/>
      </w:r>
      <w:r>
        <w:t>1</w:t>
      </w:r>
      <w:r>
        <w:fldChar w:fldCharType="end"/>
      </w:r>
      <w:r>
        <w:t xml:space="preserve">  工程项目组成一览表</w:t>
      </w:r>
    </w:p>
    <w:tbl>
      <w:tblPr>
        <w:tblStyle w:val="47"/>
        <w:tblW w:w="501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1329"/>
        <w:gridCol w:w="3467"/>
        <w:gridCol w:w="3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3098" w:type="pct"/>
            <w:gridSpan w:val="3"/>
            <w:shd w:val="clear" w:color="auto" w:fill="auto"/>
            <w:vAlign w:val="center"/>
          </w:tcPr>
          <w:p>
            <w:pPr>
              <w:pStyle w:val="117"/>
              <w:spacing w:line="240" w:lineRule="auto"/>
              <w:ind w:firstLine="0" w:firstLineChars="0"/>
              <w:rPr>
                <w:sz w:val="21"/>
                <w:szCs w:val="21"/>
              </w:rPr>
            </w:pPr>
            <w:r>
              <w:rPr>
                <w:rFonts w:hint="eastAsia"/>
                <w:sz w:val="21"/>
                <w:szCs w:val="21"/>
              </w:rPr>
              <w:t>主线起始桩号</w:t>
            </w:r>
          </w:p>
        </w:tc>
        <w:tc>
          <w:tcPr>
            <w:tcW w:w="1901" w:type="pct"/>
            <w:shd w:val="clear" w:color="auto" w:fill="auto"/>
            <w:vAlign w:val="center"/>
          </w:tcPr>
          <w:p>
            <w:pPr>
              <w:pStyle w:val="117"/>
              <w:spacing w:line="240" w:lineRule="auto"/>
              <w:ind w:firstLine="0" w:firstLineChars="0"/>
              <w:rPr>
                <w:b w:val="0"/>
                <w:bCs/>
                <w:sz w:val="21"/>
                <w:szCs w:val="21"/>
              </w:rPr>
            </w:pPr>
            <w:r>
              <w:rPr>
                <w:b w:val="0"/>
                <w:bCs/>
                <w:sz w:val="21"/>
                <w:szCs w:val="21"/>
              </w:rPr>
              <w:t>K0+000~K7+700.604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pct"/>
            <w:vMerge w:val="restart"/>
            <w:shd w:val="clear" w:color="auto" w:fill="auto"/>
            <w:vAlign w:val="center"/>
          </w:tcPr>
          <w:p>
            <w:pPr>
              <w:pStyle w:val="117"/>
              <w:spacing w:line="240" w:lineRule="auto"/>
              <w:ind w:firstLine="0" w:firstLineChars="0"/>
              <w:rPr>
                <w:sz w:val="21"/>
                <w:szCs w:val="21"/>
              </w:rPr>
            </w:pPr>
            <w:r>
              <w:rPr>
                <w:rFonts w:hint="eastAsia"/>
                <w:sz w:val="21"/>
                <w:szCs w:val="21"/>
              </w:rPr>
              <w:t>主要技术指标</w:t>
            </w:r>
          </w:p>
        </w:tc>
        <w:tc>
          <w:tcPr>
            <w:tcW w:w="2573" w:type="pct"/>
            <w:gridSpan w:val="2"/>
            <w:shd w:val="clear" w:color="auto" w:fill="auto"/>
            <w:vAlign w:val="center"/>
          </w:tcPr>
          <w:p>
            <w:pPr>
              <w:pStyle w:val="117"/>
              <w:spacing w:line="240" w:lineRule="auto"/>
              <w:ind w:firstLine="0" w:firstLineChars="0"/>
              <w:rPr>
                <w:b w:val="0"/>
                <w:bCs/>
                <w:sz w:val="21"/>
                <w:szCs w:val="21"/>
              </w:rPr>
            </w:pPr>
            <w:r>
              <w:rPr>
                <w:rFonts w:hint="eastAsia"/>
                <w:sz w:val="21"/>
                <w:szCs w:val="21"/>
              </w:rPr>
              <w:t>道路等级</w:t>
            </w:r>
          </w:p>
        </w:tc>
        <w:tc>
          <w:tcPr>
            <w:tcW w:w="1901" w:type="pct"/>
            <w:shd w:val="clear" w:color="auto" w:fill="auto"/>
            <w:vAlign w:val="center"/>
          </w:tcPr>
          <w:p>
            <w:pPr>
              <w:pStyle w:val="117"/>
              <w:spacing w:line="240" w:lineRule="auto"/>
              <w:ind w:firstLine="0" w:firstLineChars="0"/>
              <w:rPr>
                <w:b w:val="0"/>
                <w:bCs/>
                <w:sz w:val="21"/>
                <w:szCs w:val="21"/>
              </w:rPr>
            </w:pPr>
            <w:r>
              <w:rPr>
                <w:rFonts w:hint="eastAsia"/>
                <w:b w:val="0"/>
                <w:bCs/>
                <w:sz w:val="21"/>
                <w:szCs w:val="21"/>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pct"/>
            <w:vMerge w:val="continue"/>
            <w:shd w:val="clear" w:color="auto" w:fill="auto"/>
            <w:vAlign w:val="center"/>
          </w:tcPr>
          <w:p>
            <w:pPr>
              <w:pStyle w:val="117"/>
              <w:spacing w:line="240" w:lineRule="auto"/>
              <w:ind w:firstLine="0" w:firstLineChars="0"/>
              <w:rPr>
                <w:sz w:val="21"/>
                <w:szCs w:val="21"/>
              </w:rPr>
            </w:pPr>
          </w:p>
        </w:tc>
        <w:tc>
          <w:tcPr>
            <w:tcW w:w="2573" w:type="pct"/>
            <w:gridSpan w:val="2"/>
            <w:shd w:val="clear" w:color="auto" w:fill="auto"/>
            <w:vAlign w:val="center"/>
          </w:tcPr>
          <w:p>
            <w:pPr>
              <w:pStyle w:val="117"/>
              <w:spacing w:line="240" w:lineRule="auto"/>
              <w:ind w:firstLine="0" w:firstLineChars="0"/>
              <w:rPr>
                <w:b w:val="0"/>
                <w:bCs/>
                <w:sz w:val="21"/>
                <w:szCs w:val="21"/>
              </w:rPr>
            </w:pPr>
            <w:r>
              <w:rPr>
                <w:rFonts w:hint="eastAsia"/>
                <w:sz w:val="21"/>
                <w:szCs w:val="21"/>
              </w:rPr>
              <w:t>设计速度</w:t>
            </w:r>
          </w:p>
        </w:tc>
        <w:tc>
          <w:tcPr>
            <w:tcW w:w="1901" w:type="pct"/>
            <w:shd w:val="clear" w:color="auto" w:fill="auto"/>
            <w:vAlign w:val="center"/>
          </w:tcPr>
          <w:p>
            <w:pPr>
              <w:pStyle w:val="117"/>
              <w:spacing w:line="240" w:lineRule="auto"/>
              <w:ind w:firstLine="0" w:firstLineChars="0"/>
              <w:rPr>
                <w:b w:val="0"/>
                <w:bCs/>
                <w:sz w:val="21"/>
                <w:szCs w:val="21"/>
              </w:rPr>
            </w:pPr>
            <w:r>
              <w:rPr>
                <w:rFonts w:hint="eastAsia"/>
                <w:b w:val="0"/>
                <w:bCs/>
                <w:sz w:val="21"/>
                <w:szCs w:val="21"/>
              </w:rPr>
              <w:t>6</w:t>
            </w:r>
            <w:r>
              <w:rPr>
                <w:b w:val="0"/>
                <w:bCs/>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3" w:hRule="atLeast"/>
        </w:trPr>
        <w:tc>
          <w:tcPr>
            <w:tcW w:w="525" w:type="pct"/>
            <w:vMerge w:val="restart"/>
            <w:shd w:val="clear" w:color="auto" w:fill="auto"/>
            <w:vAlign w:val="center"/>
          </w:tcPr>
          <w:p>
            <w:pPr>
              <w:pStyle w:val="117"/>
              <w:spacing w:line="240" w:lineRule="auto"/>
              <w:ind w:firstLine="0" w:firstLineChars="0"/>
              <w:rPr>
                <w:rFonts w:hint="eastAsia" w:eastAsia="宋体"/>
                <w:sz w:val="21"/>
                <w:szCs w:val="21"/>
                <w:lang w:eastAsia="zh-CN"/>
              </w:rPr>
            </w:pPr>
            <w:r>
              <w:rPr>
                <w:rFonts w:hint="eastAsia"/>
                <w:b w:val="0"/>
                <w:bCs/>
                <w:sz w:val="21"/>
                <w:szCs w:val="21"/>
                <w:lang w:val="en-US" w:eastAsia="zh-CN"/>
              </w:rPr>
              <w:t>主体工程</w:t>
            </w:r>
          </w:p>
        </w:tc>
        <w:tc>
          <w:tcPr>
            <w:tcW w:w="713" w:type="pct"/>
            <w:shd w:val="clear" w:color="auto" w:fill="auto"/>
            <w:vAlign w:val="center"/>
          </w:tcPr>
          <w:p>
            <w:pPr>
              <w:pStyle w:val="117"/>
              <w:spacing w:line="240" w:lineRule="auto"/>
              <w:ind w:firstLine="0" w:firstLineChars="0"/>
              <w:rPr>
                <w:b w:val="0"/>
                <w:bCs/>
                <w:sz w:val="21"/>
                <w:szCs w:val="21"/>
              </w:rPr>
            </w:pPr>
            <w:r>
              <w:rPr>
                <w:rFonts w:hint="eastAsia"/>
                <w:b w:val="0"/>
                <w:bCs/>
                <w:sz w:val="21"/>
                <w:szCs w:val="21"/>
              </w:rPr>
              <w:t>路基工程</w:t>
            </w:r>
          </w:p>
        </w:tc>
        <w:tc>
          <w:tcPr>
            <w:tcW w:w="3761" w:type="pct"/>
            <w:gridSpan w:val="2"/>
            <w:shd w:val="clear" w:color="auto" w:fill="auto"/>
            <w:vAlign w:val="center"/>
          </w:tcPr>
          <w:p>
            <w:pPr>
              <w:pStyle w:val="117"/>
              <w:spacing w:line="240" w:lineRule="auto"/>
              <w:ind w:firstLine="0" w:firstLineChars="0"/>
              <w:jc w:val="both"/>
              <w:rPr>
                <w:b w:val="0"/>
                <w:bCs/>
                <w:sz w:val="21"/>
                <w:szCs w:val="21"/>
              </w:rPr>
            </w:pPr>
            <w:r>
              <w:rPr>
                <w:rFonts w:hint="eastAsia"/>
                <w:b w:val="0"/>
                <w:bCs/>
                <w:sz w:val="21"/>
                <w:szCs w:val="21"/>
              </w:rPr>
              <w:t>33.5m=0.75m土路肩+4m硬路肩+3x3.5m机动车道+0.5m路缘带+2m中分带+0.5m路缘带+3×3.5m机动车道+4m硬路肩+0.75m土路肩。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pct"/>
            <w:vMerge w:val="continue"/>
            <w:shd w:val="clear" w:color="auto" w:fill="auto"/>
            <w:vAlign w:val="center"/>
          </w:tcPr>
          <w:p>
            <w:pPr>
              <w:pStyle w:val="117"/>
              <w:spacing w:line="240" w:lineRule="auto"/>
              <w:ind w:firstLine="0" w:firstLineChars="0"/>
              <w:rPr>
                <w:b w:val="0"/>
                <w:bCs/>
                <w:color w:val="0070C0"/>
                <w:sz w:val="21"/>
                <w:szCs w:val="21"/>
              </w:rPr>
            </w:pPr>
          </w:p>
        </w:tc>
        <w:tc>
          <w:tcPr>
            <w:tcW w:w="713" w:type="pct"/>
            <w:shd w:val="clear" w:color="auto" w:fill="auto"/>
            <w:vAlign w:val="center"/>
          </w:tcPr>
          <w:p>
            <w:pPr>
              <w:pStyle w:val="117"/>
              <w:spacing w:line="240" w:lineRule="auto"/>
              <w:ind w:firstLine="0" w:firstLineChars="0"/>
              <w:rPr>
                <w:b w:val="0"/>
                <w:bCs/>
                <w:sz w:val="21"/>
                <w:szCs w:val="21"/>
              </w:rPr>
            </w:pPr>
            <w:r>
              <w:rPr>
                <w:rFonts w:hint="eastAsia"/>
                <w:b w:val="0"/>
                <w:bCs/>
                <w:sz w:val="21"/>
                <w:szCs w:val="21"/>
              </w:rPr>
              <w:t>路面工程</w:t>
            </w:r>
          </w:p>
        </w:tc>
        <w:tc>
          <w:tcPr>
            <w:tcW w:w="3761" w:type="pct"/>
            <w:gridSpan w:val="2"/>
            <w:shd w:val="clear" w:color="auto" w:fill="auto"/>
            <w:vAlign w:val="center"/>
          </w:tcPr>
          <w:p>
            <w:pPr>
              <w:pStyle w:val="117"/>
              <w:spacing w:line="240" w:lineRule="auto"/>
              <w:ind w:firstLine="420"/>
              <w:rPr>
                <w:b w:val="0"/>
                <w:bCs/>
                <w:sz w:val="21"/>
                <w:szCs w:val="21"/>
              </w:rPr>
            </w:pPr>
            <w:r>
              <w:rPr>
                <w:b w:val="0"/>
                <w:bCs/>
                <w:sz w:val="21"/>
                <w:szCs w:val="21"/>
              </w:rPr>
              <w:t>沥青混凝土路面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pct"/>
            <w:vMerge w:val="continue"/>
            <w:shd w:val="clear" w:color="auto" w:fill="auto"/>
            <w:vAlign w:val="center"/>
          </w:tcPr>
          <w:p>
            <w:pPr>
              <w:pStyle w:val="117"/>
              <w:spacing w:line="240" w:lineRule="auto"/>
              <w:ind w:firstLine="0" w:firstLineChars="0"/>
              <w:rPr>
                <w:b w:val="0"/>
                <w:bCs/>
                <w:color w:val="0070C0"/>
                <w:sz w:val="21"/>
                <w:szCs w:val="21"/>
              </w:rPr>
            </w:pPr>
          </w:p>
        </w:tc>
        <w:tc>
          <w:tcPr>
            <w:tcW w:w="713" w:type="pct"/>
            <w:shd w:val="clear" w:color="auto" w:fill="auto"/>
            <w:vAlign w:val="center"/>
          </w:tcPr>
          <w:p>
            <w:pPr>
              <w:pStyle w:val="117"/>
              <w:spacing w:line="240" w:lineRule="auto"/>
              <w:ind w:firstLine="0" w:firstLineChars="0"/>
              <w:rPr>
                <w:b w:val="0"/>
                <w:bCs/>
                <w:sz w:val="21"/>
                <w:szCs w:val="21"/>
              </w:rPr>
            </w:pPr>
            <w:r>
              <w:rPr>
                <w:rFonts w:hint="eastAsia"/>
                <w:b w:val="0"/>
                <w:bCs/>
                <w:sz w:val="21"/>
                <w:szCs w:val="21"/>
              </w:rPr>
              <w:t>桥涵工程</w:t>
            </w:r>
          </w:p>
        </w:tc>
        <w:tc>
          <w:tcPr>
            <w:tcW w:w="3761" w:type="pct"/>
            <w:gridSpan w:val="2"/>
            <w:shd w:val="clear" w:color="auto" w:fill="auto"/>
            <w:vAlign w:val="center"/>
          </w:tcPr>
          <w:p>
            <w:pPr>
              <w:pStyle w:val="117"/>
              <w:spacing w:line="240" w:lineRule="auto"/>
              <w:ind w:firstLine="0" w:firstLineChars="0"/>
              <w:rPr>
                <w:b w:val="0"/>
                <w:bCs/>
                <w:sz w:val="21"/>
                <w:szCs w:val="21"/>
              </w:rPr>
            </w:pPr>
            <w:r>
              <w:rPr>
                <w:rFonts w:hint="eastAsia"/>
                <w:b w:val="0"/>
                <w:bCs/>
                <w:sz w:val="21"/>
                <w:szCs w:val="21"/>
              </w:rPr>
              <w:t>本项目需新建中桥2座，设置涵洞2</w:t>
            </w:r>
            <w:r>
              <w:rPr>
                <w:rFonts w:hint="eastAsia"/>
                <w:b w:val="0"/>
                <w:bCs/>
                <w:sz w:val="21"/>
                <w:szCs w:val="21"/>
                <w:lang w:val="en-US" w:eastAsia="zh-CN"/>
              </w:rPr>
              <w:t>8</w:t>
            </w:r>
            <w:r>
              <w:rPr>
                <w:rFonts w:hint="eastAsia"/>
                <w:b w:val="0"/>
                <w:bCs/>
                <w:sz w:val="21"/>
                <w:szCs w:val="21"/>
              </w:rPr>
              <w:t>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 w:hRule="atLeast"/>
        </w:trPr>
        <w:tc>
          <w:tcPr>
            <w:tcW w:w="525" w:type="pct"/>
            <w:vMerge w:val="continue"/>
            <w:shd w:val="clear" w:color="auto" w:fill="auto"/>
            <w:vAlign w:val="center"/>
          </w:tcPr>
          <w:p>
            <w:pPr>
              <w:pStyle w:val="117"/>
              <w:spacing w:line="240" w:lineRule="auto"/>
              <w:ind w:firstLine="0" w:firstLineChars="0"/>
              <w:rPr>
                <w:b w:val="0"/>
                <w:bCs/>
                <w:color w:val="0070C0"/>
                <w:sz w:val="21"/>
                <w:szCs w:val="21"/>
              </w:rPr>
            </w:pPr>
          </w:p>
        </w:tc>
        <w:tc>
          <w:tcPr>
            <w:tcW w:w="713" w:type="pct"/>
            <w:shd w:val="clear" w:color="auto" w:fill="auto"/>
            <w:vAlign w:val="center"/>
          </w:tcPr>
          <w:p>
            <w:pPr>
              <w:pStyle w:val="117"/>
              <w:spacing w:line="240" w:lineRule="auto"/>
              <w:ind w:firstLine="0" w:firstLineChars="0"/>
              <w:rPr>
                <w:b w:val="0"/>
                <w:bCs/>
                <w:sz w:val="21"/>
                <w:szCs w:val="21"/>
              </w:rPr>
            </w:pPr>
            <w:r>
              <w:rPr>
                <w:rFonts w:hint="eastAsia"/>
                <w:b w:val="0"/>
                <w:bCs/>
                <w:sz w:val="21"/>
                <w:szCs w:val="21"/>
              </w:rPr>
              <w:t>绿化工程</w:t>
            </w:r>
          </w:p>
        </w:tc>
        <w:tc>
          <w:tcPr>
            <w:tcW w:w="3761" w:type="pct"/>
            <w:gridSpan w:val="2"/>
            <w:shd w:val="clear" w:color="auto" w:fill="auto"/>
            <w:vAlign w:val="center"/>
          </w:tcPr>
          <w:p>
            <w:pPr>
              <w:pStyle w:val="117"/>
              <w:spacing w:line="240" w:lineRule="auto"/>
              <w:ind w:firstLine="0" w:firstLineChars="0"/>
              <w:rPr>
                <w:b w:val="0"/>
                <w:bCs/>
                <w:sz w:val="21"/>
                <w:szCs w:val="21"/>
              </w:rPr>
            </w:pPr>
            <w:r>
              <w:rPr>
                <w:rFonts w:hint="eastAsia"/>
                <w:b w:val="0"/>
                <w:bCs/>
                <w:sz w:val="21"/>
                <w:szCs w:val="21"/>
              </w:rPr>
              <w:t>对于路两侧自然景观较好的路段，采用露景、透景的方式处理，对两侧自然风光不好，如地表附着物杂乱和地形破坏严重的乱掘地等路段，采用密植绿化林带进行遮蔽的方法处理。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96" w:hRule="atLeast"/>
        </w:trPr>
        <w:tc>
          <w:tcPr>
            <w:tcW w:w="525" w:type="pct"/>
            <w:vMerge w:val="restart"/>
            <w:shd w:val="clear" w:color="auto" w:fill="auto"/>
            <w:vAlign w:val="center"/>
          </w:tcPr>
          <w:p>
            <w:pPr>
              <w:pStyle w:val="117"/>
              <w:spacing w:line="240" w:lineRule="auto"/>
              <w:ind w:firstLine="0" w:firstLineChars="0"/>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临时工程</w:t>
            </w:r>
          </w:p>
        </w:tc>
        <w:tc>
          <w:tcPr>
            <w:tcW w:w="713" w:type="pct"/>
            <w:shd w:val="clear" w:color="auto" w:fill="auto"/>
            <w:vAlign w:val="center"/>
          </w:tcPr>
          <w:p>
            <w:pPr>
              <w:pStyle w:val="117"/>
              <w:spacing w:line="240" w:lineRule="auto"/>
              <w:ind w:firstLine="0" w:firstLineChars="0"/>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施工便道</w:t>
            </w:r>
          </w:p>
        </w:tc>
        <w:tc>
          <w:tcPr>
            <w:tcW w:w="3761" w:type="pct"/>
            <w:gridSpan w:val="2"/>
            <w:shd w:val="clear" w:color="auto" w:fill="auto"/>
            <w:vAlign w:val="center"/>
          </w:tcPr>
          <w:p>
            <w:pPr>
              <w:pStyle w:val="117"/>
              <w:spacing w:line="240" w:lineRule="auto"/>
              <w:ind w:firstLine="420"/>
              <w:rPr>
                <w:rFonts w:hint="default" w:eastAsia="宋体"/>
                <w:b w:val="0"/>
                <w:bCs/>
                <w:sz w:val="21"/>
                <w:szCs w:val="21"/>
                <w:lang w:val="en-US" w:eastAsia="zh-CN"/>
              </w:rPr>
            </w:pPr>
            <w:r>
              <w:rPr>
                <w:rFonts w:hint="eastAsia"/>
                <w:b w:val="0"/>
                <w:bCs/>
                <w:sz w:val="21"/>
                <w:szCs w:val="21"/>
              </w:rPr>
              <w:t>新修施工便道</w:t>
            </w:r>
            <w:r>
              <w:rPr>
                <w:b w:val="0"/>
                <w:bCs/>
                <w:sz w:val="21"/>
                <w:szCs w:val="21"/>
              </w:rPr>
              <w:t>K0+</w:t>
            </w:r>
            <w:r>
              <w:rPr>
                <w:rFonts w:hint="eastAsia"/>
                <w:b w:val="0"/>
                <w:bCs/>
                <w:sz w:val="21"/>
                <w:szCs w:val="21"/>
                <w:lang w:val="en-US" w:eastAsia="zh-CN"/>
              </w:rPr>
              <w:t>0</w:t>
            </w:r>
            <w:r>
              <w:rPr>
                <w:b w:val="0"/>
                <w:bCs/>
                <w:sz w:val="21"/>
                <w:szCs w:val="21"/>
              </w:rPr>
              <w:t>00</w:t>
            </w:r>
            <w:r>
              <w:rPr>
                <w:rFonts w:hint="eastAsia"/>
                <w:b w:val="0"/>
                <w:bCs/>
                <w:sz w:val="21"/>
                <w:szCs w:val="21"/>
              </w:rPr>
              <w:t>~</w:t>
            </w:r>
            <w:r>
              <w:rPr>
                <w:b w:val="0"/>
                <w:bCs/>
                <w:sz w:val="21"/>
                <w:szCs w:val="21"/>
              </w:rPr>
              <w:t>K7+700.6</w:t>
            </w:r>
            <w:r>
              <w:rPr>
                <w:rFonts w:hint="eastAsia"/>
                <w:b w:val="0"/>
                <w:bCs/>
                <w:sz w:val="21"/>
                <w:szCs w:val="21"/>
              </w:rPr>
              <w:t>，设置于坡脚外侧2m，长5</w:t>
            </w:r>
            <w:r>
              <w:rPr>
                <w:b w:val="0"/>
                <w:bCs/>
                <w:sz w:val="21"/>
                <w:szCs w:val="21"/>
              </w:rPr>
              <w:t>040</w:t>
            </w:r>
            <w:r>
              <w:rPr>
                <w:rFonts w:hint="eastAsia"/>
                <w:b w:val="0"/>
                <w:bCs/>
                <w:sz w:val="21"/>
                <w:szCs w:val="21"/>
              </w:rPr>
              <w:t>m，总占地</w:t>
            </w:r>
            <w:r>
              <w:rPr>
                <w:b w:val="0"/>
                <w:bCs/>
                <w:sz w:val="21"/>
                <w:szCs w:val="21"/>
              </w:rPr>
              <w:t>1</w:t>
            </w:r>
            <w:r>
              <w:rPr>
                <w:rFonts w:hint="eastAsia"/>
                <w:b w:val="0"/>
                <w:bCs/>
                <w:sz w:val="21"/>
                <w:szCs w:val="21"/>
                <w:lang w:val="en-US" w:eastAsia="zh-CN"/>
              </w:rPr>
              <w:t>10.61亩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525" w:type="pct"/>
            <w:vMerge w:val="continue"/>
            <w:shd w:val="clear" w:color="auto" w:fill="auto"/>
            <w:vAlign w:val="center"/>
          </w:tcPr>
          <w:p>
            <w:pPr>
              <w:pStyle w:val="117"/>
              <w:spacing w:line="240" w:lineRule="auto"/>
              <w:ind w:firstLine="0" w:firstLineChars="0"/>
              <w:rPr>
                <w:rFonts w:hint="eastAsia" w:ascii="Times New Roman" w:hAnsi="Times New Roman" w:eastAsia="宋体" w:cs="Times New Roman"/>
                <w:b w:val="0"/>
                <w:bCs/>
                <w:sz w:val="21"/>
                <w:szCs w:val="21"/>
                <w:lang w:val="en-US" w:eastAsia="zh-CN"/>
              </w:rPr>
            </w:pPr>
          </w:p>
        </w:tc>
        <w:tc>
          <w:tcPr>
            <w:tcW w:w="713" w:type="pct"/>
            <w:shd w:val="clear" w:color="auto" w:fill="auto"/>
            <w:vAlign w:val="center"/>
          </w:tcPr>
          <w:p>
            <w:pPr>
              <w:pStyle w:val="117"/>
              <w:spacing w:line="240" w:lineRule="auto"/>
              <w:ind w:firstLine="0" w:firstLineChars="0"/>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项目部</w:t>
            </w:r>
          </w:p>
        </w:tc>
        <w:tc>
          <w:tcPr>
            <w:tcW w:w="3761" w:type="pct"/>
            <w:gridSpan w:val="2"/>
            <w:shd w:val="clear" w:color="auto" w:fill="auto"/>
            <w:vAlign w:val="center"/>
          </w:tcPr>
          <w:p>
            <w:pPr>
              <w:pStyle w:val="117"/>
              <w:spacing w:line="240" w:lineRule="auto"/>
              <w:ind w:firstLine="420"/>
              <w:rPr>
                <w:rFonts w:hint="default" w:eastAsia="宋体"/>
                <w:b w:val="0"/>
                <w:bCs/>
                <w:sz w:val="21"/>
                <w:szCs w:val="21"/>
                <w:lang w:val="en-US" w:eastAsia="zh-CN"/>
              </w:rPr>
            </w:pPr>
            <w:r>
              <w:rPr>
                <w:rFonts w:hint="eastAsia"/>
                <w:b w:val="0"/>
                <w:bCs/>
                <w:sz w:val="21"/>
                <w:szCs w:val="21"/>
              </w:rPr>
              <w:t>项目部</w:t>
            </w:r>
            <w:r>
              <w:rPr>
                <w:rFonts w:hint="eastAsia"/>
                <w:b w:val="0"/>
                <w:bCs/>
                <w:sz w:val="21"/>
                <w:szCs w:val="21"/>
                <w:lang w:val="en-US" w:eastAsia="zh-CN"/>
              </w:rPr>
              <w:t>设置于K3+222，占地10.0亩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525" w:type="pct"/>
            <w:vMerge w:val="continue"/>
            <w:shd w:val="clear" w:color="auto" w:fill="auto"/>
            <w:vAlign w:val="center"/>
          </w:tcPr>
          <w:p>
            <w:pPr>
              <w:pStyle w:val="117"/>
              <w:spacing w:line="240" w:lineRule="auto"/>
              <w:ind w:firstLine="0" w:firstLineChars="0"/>
              <w:rPr>
                <w:rFonts w:hint="eastAsia" w:ascii="Times New Roman" w:hAnsi="Times New Roman" w:eastAsia="宋体" w:cs="Times New Roman"/>
                <w:b w:val="0"/>
                <w:bCs/>
                <w:sz w:val="21"/>
                <w:szCs w:val="21"/>
                <w:lang w:val="en-US" w:eastAsia="zh-CN"/>
              </w:rPr>
            </w:pPr>
          </w:p>
        </w:tc>
        <w:tc>
          <w:tcPr>
            <w:tcW w:w="713" w:type="pct"/>
            <w:shd w:val="clear" w:color="auto" w:fill="auto"/>
            <w:vAlign w:val="center"/>
          </w:tcPr>
          <w:p>
            <w:pPr>
              <w:pStyle w:val="117"/>
              <w:spacing w:line="240" w:lineRule="auto"/>
              <w:ind w:firstLine="0" w:firstLineChars="0"/>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制梁场、钢筋加工场</w:t>
            </w:r>
          </w:p>
        </w:tc>
        <w:tc>
          <w:tcPr>
            <w:tcW w:w="3761" w:type="pct"/>
            <w:gridSpan w:val="2"/>
            <w:shd w:val="clear" w:color="auto" w:fill="auto"/>
            <w:vAlign w:val="center"/>
          </w:tcPr>
          <w:p>
            <w:pPr>
              <w:pStyle w:val="117"/>
              <w:spacing w:line="240" w:lineRule="auto"/>
              <w:ind w:firstLine="0" w:firstLineChars="0"/>
              <w:rPr>
                <w:rFonts w:hint="default" w:eastAsia="宋体"/>
                <w:b w:val="0"/>
                <w:bCs/>
                <w:sz w:val="21"/>
                <w:szCs w:val="21"/>
                <w:lang w:val="en-US" w:eastAsia="zh-CN"/>
              </w:rPr>
            </w:pPr>
            <w:r>
              <w:rPr>
                <w:rFonts w:hint="eastAsia"/>
                <w:b w:val="0"/>
                <w:bCs/>
                <w:sz w:val="21"/>
                <w:szCs w:val="21"/>
              </w:rPr>
              <w:t>制梁场、钢筋加工场设置于</w:t>
            </w:r>
            <w:r>
              <w:rPr>
                <w:b w:val="0"/>
                <w:bCs/>
                <w:sz w:val="21"/>
                <w:szCs w:val="21"/>
              </w:rPr>
              <w:t>K</w:t>
            </w:r>
            <w:r>
              <w:rPr>
                <w:rFonts w:hint="eastAsia"/>
                <w:b w:val="0"/>
                <w:bCs/>
                <w:sz w:val="21"/>
                <w:szCs w:val="21"/>
                <w:lang w:val="en-US" w:eastAsia="zh-CN"/>
              </w:rPr>
              <w:t>4</w:t>
            </w:r>
            <w:r>
              <w:rPr>
                <w:b w:val="0"/>
                <w:bCs/>
                <w:sz w:val="21"/>
                <w:szCs w:val="21"/>
              </w:rPr>
              <w:t>+</w:t>
            </w:r>
            <w:r>
              <w:rPr>
                <w:rFonts w:hint="eastAsia"/>
                <w:b w:val="0"/>
                <w:bCs/>
                <w:sz w:val="21"/>
                <w:szCs w:val="21"/>
                <w:lang w:val="en-US" w:eastAsia="zh-CN"/>
              </w:rPr>
              <w:t>543</w:t>
            </w:r>
            <w:r>
              <w:rPr>
                <w:rFonts w:hint="eastAsia"/>
                <w:b w:val="0"/>
                <w:bCs/>
                <w:sz w:val="21"/>
                <w:szCs w:val="21"/>
              </w:rPr>
              <w:t>，共占地</w:t>
            </w:r>
            <w:r>
              <w:rPr>
                <w:rFonts w:hint="eastAsia"/>
                <w:b w:val="0"/>
                <w:bCs/>
                <w:sz w:val="21"/>
                <w:szCs w:val="21"/>
                <w:lang w:val="en-US" w:eastAsia="zh-CN"/>
              </w:rPr>
              <w:t>9.75亩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525" w:type="pct"/>
            <w:vMerge w:val="continue"/>
            <w:shd w:val="clear" w:color="auto" w:fill="auto"/>
            <w:vAlign w:val="center"/>
          </w:tcPr>
          <w:p>
            <w:pPr>
              <w:pStyle w:val="117"/>
              <w:spacing w:line="240" w:lineRule="auto"/>
              <w:ind w:firstLine="0" w:firstLineChars="0"/>
              <w:rPr>
                <w:rFonts w:hint="eastAsia" w:ascii="Times New Roman" w:hAnsi="Times New Roman" w:eastAsia="宋体" w:cs="Times New Roman"/>
                <w:b w:val="0"/>
                <w:bCs/>
                <w:sz w:val="21"/>
                <w:szCs w:val="21"/>
                <w:lang w:val="en-US" w:eastAsia="zh-CN"/>
              </w:rPr>
            </w:pPr>
          </w:p>
        </w:tc>
        <w:tc>
          <w:tcPr>
            <w:tcW w:w="713" w:type="pct"/>
            <w:shd w:val="clear" w:color="auto" w:fill="auto"/>
            <w:vAlign w:val="center"/>
          </w:tcPr>
          <w:p>
            <w:pPr>
              <w:pStyle w:val="117"/>
              <w:spacing w:line="240" w:lineRule="auto"/>
              <w:ind w:firstLine="0" w:firstLineChars="0"/>
              <w:rPr>
                <w:rFonts w:hint="default"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弃土场</w:t>
            </w:r>
          </w:p>
        </w:tc>
        <w:tc>
          <w:tcPr>
            <w:tcW w:w="3761" w:type="pct"/>
            <w:gridSpan w:val="2"/>
            <w:shd w:val="clear" w:color="auto" w:fill="auto"/>
            <w:vAlign w:val="center"/>
          </w:tcPr>
          <w:p>
            <w:pPr>
              <w:pStyle w:val="117"/>
              <w:spacing w:line="240" w:lineRule="auto"/>
              <w:ind w:firstLine="0" w:firstLineChars="0"/>
              <w:rPr>
                <w:rFonts w:hint="default" w:eastAsia="宋体"/>
                <w:b w:val="0"/>
                <w:bCs/>
                <w:sz w:val="21"/>
                <w:szCs w:val="21"/>
                <w:lang w:val="en-US" w:eastAsia="zh-CN"/>
              </w:rPr>
            </w:pPr>
            <w:r>
              <w:rPr>
                <w:rFonts w:hint="eastAsia"/>
                <w:b w:val="0"/>
                <w:bCs/>
                <w:sz w:val="21"/>
                <w:szCs w:val="21"/>
                <w:lang w:val="en-US" w:eastAsia="zh-CN"/>
              </w:rPr>
              <w:t>项目设置1处临时弃土场，位于K1+550，占地12.7亩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525" w:type="pct"/>
            <w:vMerge w:val="continue"/>
            <w:shd w:val="clear" w:color="auto" w:fill="auto"/>
            <w:vAlign w:val="center"/>
          </w:tcPr>
          <w:p>
            <w:pPr>
              <w:pStyle w:val="117"/>
              <w:spacing w:line="240" w:lineRule="auto"/>
              <w:ind w:firstLine="0" w:firstLineChars="0"/>
              <w:rPr>
                <w:rFonts w:hint="eastAsia" w:ascii="Times New Roman" w:hAnsi="Times New Roman" w:eastAsia="宋体" w:cs="Times New Roman"/>
                <w:b w:val="0"/>
                <w:bCs/>
                <w:sz w:val="21"/>
                <w:szCs w:val="21"/>
                <w:lang w:val="en-US" w:eastAsia="zh-CN"/>
              </w:rPr>
            </w:pPr>
          </w:p>
        </w:tc>
        <w:tc>
          <w:tcPr>
            <w:tcW w:w="713" w:type="pct"/>
            <w:shd w:val="clear" w:color="auto" w:fill="auto"/>
            <w:vAlign w:val="center"/>
          </w:tcPr>
          <w:p>
            <w:pPr>
              <w:pStyle w:val="117"/>
              <w:spacing w:line="240" w:lineRule="auto"/>
              <w:ind w:firstLine="0" w:firstLineChars="0"/>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施工场地</w:t>
            </w:r>
          </w:p>
        </w:tc>
        <w:tc>
          <w:tcPr>
            <w:tcW w:w="3761" w:type="pct"/>
            <w:gridSpan w:val="2"/>
            <w:shd w:val="clear" w:color="auto" w:fill="auto"/>
            <w:vAlign w:val="center"/>
          </w:tcPr>
          <w:p>
            <w:pPr>
              <w:pStyle w:val="117"/>
              <w:spacing w:line="240" w:lineRule="auto"/>
              <w:ind w:firstLine="0" w:firstLineChars="0"/>
              <w:rPr>
                <w:rFonts w:hint="default" w:eastAsia="宋体"/>
                <w:b w:val="0"/>
                <w:bCs/>
                <w:sz w:val="21"/>
                <w:szCs w:val="21"/>
                <w:lang w:val="en-US" w:eastAsia="zh-CN"/>
              </w:rPr>
            </w:pPr>
            <w:r>
              <w:rPr>
                <w:rFonts w:hint="default" w:ascii="Times New Roman" w:hAnsi="Times New Roman" w:cs="Times New Roman"/>
                <w:b w:val="0"/>
                <w:bCs/>
                <w:color w:val="000000" w:themeColor="text1"/>
                <w:sz w:val="21"/>
                <w:szCs w:val="21"/>
                <w:highlight w:val="none"/>
                <w14:textFill>
                  <w14:solidFill>
                    <w14:schemeClr w14:val="tx1"/>
                  </w14:solidFill>
                </w14:textFill>
              </w:rPr>
              <w:t>施工辅设如材料堆放场等</w:t>
            </w:r>
            <w:r>
              <w:rPr>
                <w:rFonts w:hint="default" w:ascii="Times New Roman" w:hAnsi="Times New Roman" w:cs="Times New Roman"/>
                <w:b w:val="0"/>
                <w:bCs/>
                <w:snapToGrid w:val="0"/>
                <w:color w:val="000000" w:themeColor="text1"/>
                <w:spacing w:val="6"/>
                <w:kern w:val="44"/>
                <w:sz w:val="21"/>
                <w:szCs w:val="21"/>
                <w:highlight w:val="none"/>
                <w14:textFill>
                  <w14:solidFill>
                    <w14:schemeClr w14:val="tx1"/>
                  </w14:solidFill>
                </w14:textFill>
              </w:rPr>
              <w:t>均位于施工场地内，</w:t>
            </w:r>
            <w:r>
              <w:rPr>
                <w:rFonts w:hint="eastAsia" w:ascii="Times New Roman" w:hAnsi="Times New Roman" w:cs="Times New Roman"/>
                <w:b w:val="0"/>
                <w:bCs/>
                <w:snapToGrid w:val="0"/>
                <w:color w:val="000000" w:themeColor="text1"/>
                <w:spacing w:val="6"/>
                <w:kern w:val="44"/>
                <w:sz w:val="21"/>
                <w:szCs w:val="21"/>
                <w:highlight w:val="none"/>
                <w:lang w:val="en-US" w:eastAsia="zh-CN"/>
                <w14:textFill>
                  <w14:solidFill>
                    <w14:schemeClr w14:val="tx1"/>
                  </w14:solidFill>
                </w14:textFill>
              </w:rPr>
              <w:t>项目设置水稳拌合站、水泥拌合站和沥青拌合站各1处，分别位于K1+920、K2+000、K5+200，占地面积分别为30.0亩、15.0亩和60.0亩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525" w:type="pct"/>
            <w:vMerge w:val="restart"/>
            <w:shd w:val="clear" w:color="auto" w:fill="auto"/>
            <w:vAlign w:val="center"/>
          </w:tcPr>
          <w:p>
            <w:pPr>
              <w:pStyle w:val="117"/>
              <w:spacing w:line="240" w:lineRule="auto"/>
              <w:ind w:firstLine="0" w:firstLineChars="0"/>
              <w:rPr>
                <w:rFonts w:hint="default"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环保工程</w:t>
            </w:r>
          </w:p>
        </w:tc>
        <w:tc>
          <w:tcPr>
            <w:tcW w:w="1329" w:type="dxa"/>
            <w:shd w:val="clear" w:color="auto" w:fill="auto"/>
            <w:vAlign w:val="center"/>
          </w:tcPr>
          <w:p>
            <w:pPr>
              <w:pStyle w:val="117"/>
              <w:spacing w:line="240" w:lineRule="auto"/>
              <w:ind w:firstLine="0" w:firstLineChars="0"/>
              <w:rPr>
                <w:rFonts w:hint="default"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噪声治理</w:t>
            </w:r>
          </w:p>
        </w:tc>
        <w:tc>
          <w:tcPr>
            <w:tcW w:w="7010" w:type="dxa"/>
            <w:gridSpan w:val="2"/>
            <w:shd w:val="clear" w:color="auto" w:fill="auto"/>
            <w:vAlign w:val="center"/>
          </w:tcPr>
          <w:p>
            <w:pPr>
              <w:pStyle w:val="117"/>
              <w:spacing w:line="240" w:lineRule="auto"/>
              <w:ind w:firstLine="0" w:firstLineChars="0"/>
              <w:jc w:val="left"/>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auto"/>
                <w:sz w:val="21"/>
                <w:szCs w:val="21"/>
              </w:rPr>
              <w:t>①</w:t>
            </w:r>
            <w:r>
              <w:rPr>
                <w:rFonts w:hint="default" w:ascii="Times New Roman" w:hAnsi="Times New Roman" w:cs="Times New Roman"/>
                <w:b w:val="0"/>
                <w:bCs/>
                <w:color w:val="auto"/>
                <w:sz w:val="21"/>
                <w:szCs w:val="21"/>
                <w:lang w:val="en-US" w:eastAsia="zh-CN"/>
              </w:rPr>
              <w:t>施工期尽量采用低噪声机械设备；</w:t>
            </w:r>
            <w:r>
              <w:rPr>
                <w:rFonts w:hint="default" w:ascii="Times New Roman" w:hAnsi="Times New Roman" w:cs="Times New Roman"/>
                <w:b w:val="0"/>
                <w:bCs/>
                <w:color w:val="auto"/>
                <w:sz w:val="21"/>
                <w:szCs w:val="21"/>
              </w:rPr>
              <w:t>②高噪声施工机械夜间（22：00至次日6：00）严禁在沿线的声环境敏感点附近施工</w:t>
            </w:r>
            <w:r>
              <w:rPr>
                <w:rFonts w:hint="default" w:ascii="Times New Roman" w:hAnsi="Times New Roman" w:cs="Times New Roman"/>
                <w:b w:val="0"/>
                <w:bCs/>
                <w:color w:val="auto"/>
                <w:sz w:val="21"/>
                <w:szCs w:val="21"/>
                <w:lang w:eastAsia="zh-CN"/>
              </w:rPr>
              <w:t>；</w:t>
            </w:r>
            <w:r>
              <w:rPr>
                <w:rFonts w:hint="default" w:ascii="Times New Roman" w:hAnsi="Times New Roman" w:cs="Times New Roman"/>
                <w:b w:val="0"/>
                <w:bCs/>
                <w:color w:val="auto"/>
                <w:sz w:val="21"/>
                <w:szCs w:val="21"/>
              </w:rPr>
              <w:t>③</w:t>
            </w:r>
            <w:r>
              <w:rPr>
                <w:rFonts w:hint="default" w:ascii="Times New Roman" w:hAnsi="Times New Roman" w:cs="Times New Roman"/>
                <w:b w:val="0"/>
                <w:bCs/>
                <w:color w:val="auto"/>
                <w:sz w:val="21"/>
                <w:szCs w:val="21"/>
                <w:lang w:val="en-US" w:eastAsia="zh-CN"/>
              </w:rPr>
              <w:t>设置</w:t>
            </w:r>
            <w:r>
              <w:rPr>
                <w:rFonts w:hint="default" w:ascii="Times New Roman" w:hAnsi="Times New Roman" w:cs="Times New Roman"/>
                <w:b w:val="0"/>
                <w:bCs/>
                <w:color w:val="auto"/>
                <w:sz w:val="21"/>
                <w:szCs w:val="21"/>
              </w:rPr>
              <w:t>公路警示标志，设立禁鸣等标志，以提醒过往车辆禁止鸣笛；②噪声超标的敏感点</w:t>
            </w:r>
            <w:r>
              <w:rPr>
                <w:rFonts w:hint="eastAsia" w:ascii="Times New Roman" w:hAnsi="Times New Roman" w:cs="Times New Roman"/>
                <w:b w:val="0"/>
                <w:bCs/>
                <w:color w:val="auto"/>
                <w:sz w:val="21"/>
                <w:szCs w:val="21"/>
                <w:lang w:val="en-US" w:eastAsia="zh-CN"/>
              </w:rPr>
              <w:t>设置绿化隔声降噪</w:t>
            </w:r>
            <w:r>
              <w:rPr>
                <w:rFonts w:hint="default" w:ascii="Times New Roman" w:hAnsi="Times New Roman" w:cs="Times New Roman"/>
                <w:b w:val="0"/>
                <w:bCs/>
                <w:color w:val="auto"/>
                <w:sz w:val="21"/>
                <w:szCs w:val="21"/>
              </w:rPr>
              <w:t>；</w:t>
            </w:r>
            <w:r>
              <w:rPr>
                <w:rFonts w:hint="default" w:ascii="Times New Roman" w:hAnsi="Times New Roman" w:cs="Times New Roman"/>
                <w:b w:val="0"/>
                <w:bCs/>
                <w:color w:val="auto"/>
                <w:sz w:val="21"/>
                <w:szCs w:val="21"/>
              </w:rPr>
              <w:fldChar w:fldCharType="begin"/>
            </w:r>
            <w:r>
              <w:rPr>
                <w:rFonts w:hint="default" w:ascii="Times New Roman" w:hAnsi="Times New Roman" w:cs="Times New Roman"/>
                <w:b w:val="0"/>
                <w:bCs/>
                <w:color w:val="auto"/>
                <w:sz w:val="21"/>
                <w:szCs w:val="21"/>
              </w:rPr>
              <w:instrText xml:space="preserve"> = 4 \* GB3 \* MERGEFORMAT </w:instrText>
            </w:r>
            <w:r>
              <w:rPr>
                <w:rFonts w:hint="default" w:ascii="Times New Roman" w:hAnsi="Times New Roman" w:cs="Times New Roman"/>
                <w:b w:val="0"/>
                <w:bCs/>
                <w:color w:val="auto"/>
                <w:sz w:val="21"/>
                <w:szCs w:val="21"/>
              </w:rPr>
              <w:fldChar w:fldCharType="separate"/>
            </w:r>
            <w:r>
              <w:rPr>
                <w:rFonts w:hint="default" w:ascii="Times New Roman" w:hAnsi="Times New Roman" w:cs="Times New Roman"/>
                <w:b w:val="0"/>
                <w:bCs/>
                <w:sz w:val="21"/>
                <w:szCs w:val="21"/>
              </w:rPr>
              <w:t>④</w:t>
            </w:r>
            <w:r>
              <w:rPr>
                <w:rFonts w:hint="default" w:ascii="Times New Roman" w:hAnsi="Times New Roman" w:cs="Times New Roman"/>
                <w:b w:val="0"/>
                <w:bCs/>
                <w:color w:val="auto"/>
                <w:sz w:val="21"/>
                <w:szCs w:val="21"/>
              </w:rPr>
              <w:fldChar w:fldCharType="end"/>
            </w:r>
            <w:r>
              <w:rPr>
                <w:rFonts w:hint="default" w:ascii="Times New Roman" w:hAnsi="Times New Roman" w:cs="Times New Roman"/>
                <w:b w:val="0"/>
                <w:bCs/>
                <w:color w:val="auto"/>
                <w:sz w:val="21"/>
                <w:szCs w:val="21"/>
              </w:rPr>
              <w:t>加强道路的维修保养，保持路面平整，</w:t>
            </w:r>
            <w:r>
              <w:rPr>
                <w:rFonts w:hint="eastAsia" w:ascii="宋体" w:hAnsi="宋体" w:eastAsia="宋体" w:cs="宋体"/>
                <w:b w:val="0"/>
                <w:bCs/>
                <w:color w:val="auto"/>
                <w:sz w:val="21"/>
                <w:szCs w:val="21"/>
              </w:rPr>
              <w:t>⑤</w:t>
            </w:r>
            <w:r>
              <w:rPr>
                <w:rFonts w:hint="default" w:ascii="Times New Roman" w:hAnsi="Times New Roman" w:cs="Times New Roman"/>
                <w:b w:val="0"/>
                <w:bCs/>
                <w:color w:val="auto"/>
                <w:sz w:val="21"/>
                <w:szCs w:val="21"/>
              </w:rPr>
              <w:t>加强施工期噪声监测，发现噪声污染，及时采取有效的噪声污染防治措施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525" w:type="pct"/>
            <w:vMerge w:val="continue"/>
            <w:shd w:val="clear" w:color="auto" w:fill="auto"/>
            <w:vAlign w:val="center"/>
          </w:tcPr>
          <w:p>
            <w:pPr>
              <w:pStyle w:val="117"/>
              <w:spacing w:line="240" w:lineRule="auto"/>
              <w:ind w:firstLine="0" w:firstLineChars="0"/>
              <w:rPr>
                <w:rFonts w:hint="eastAsia" w:cs="Times New Roman"/>
                <w:b w:val="0"/>
                <w:bCs/>
                <w:sz w:val="21"/>
                <w:szCs w:val="21"/>
                <w:lang w:val="en-US" w:eastAsia="zh-CN"/>
              </w:rPr>
            </w:pPr>
          </w:p>
        </w:tc>
        <w:tc>
          <w:tcPr>
            <w:tcW w:w="1329" w:type="dxa"/>
            <w:shd w:val="clear" w:color="auto" w:fill="auto"/>
            <w:vAlign w:val="center"/>
          </w:tcPr>
          <w:p>
            <w:pPr>
              <w:pStyle w:val="117"/>
              <w:spacing w:line="240" w:lineRule="auto"/>
              <w:ind w:firstLine="0" w:firstLineChars="0"/>
              <w:rPr>
                <w:rFonts w:hint="eastAsia" w:cs="Times New Roman"/>
                <w:b w:val="0"/>
                <w:bCs/>
                <w:sz w:val="21"/>
                <w:szCs w:val="21"/>
                <w:lang w:val="en-US" w:eastAsia="zh-CN"/>
              </w:rPr>
            </w:pPr>
            <w:r>
              <w:rPr>
                <w:rFonts w:hint="eastAsia" w:cs="Times New Roman"/>
                <w:b w:val="0"/>
                <w:bCs/>
                <w:sz w:val="21"/>
                <w:szCs w:val="21"/>
                <w:lang w:val="en-US" w:eastAsia="zh-CN"/>
              </w:rPr>
              <w:t>废水治理</w:t>
            </w:r>
          </w:p>
        </w:tc>
        <w:tc>
          <w:tcPr>
            <w:tcW w:w="7010" w:type="dxa"/>
            <w:gridSpan w:val="2"/>
            <w:shd w:val="clear" w:color="auto" w:fill="auto"/>
            <w:vAlign w:val="center"/>
          </w:tcPr>
          <w:p>
            <w:pPr>
              <w:pStyle w:val="117"/>
              <w:spacing w:line="240" w:lineRule="auto"/>
              <w:ind w:firstLine="0" w:firstLineChars="0"/>
              <w:jc w:val="left"/>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施工场地设置临时隔油沉淀池，施工场地生产废水经隔油沉淀池处理后回用</w:t>
            </w:r>
            <w:r>
              <w:rPr>
                <w:rFonts w:hint="eastAsia" w:ascii="Times New Roman" w:hAnsi="Times New Roman" w:cs="Times New Roman"/>
                <w:b w:val="0"/>
                <w:bCs/>
                <w:color w:val="000000" w:themeColor="text1"/>
                <w:sz w:val="21"/>
                <w:szCs w:val="21"/>
                <w:highlight w:val="none"/>
                <w:lang w:eastAsia="zh-CN"/>
                <w14:textFill>
                  <w14:solidFill>
                    <w14:schemeClr w14:val="tx1"/>
                  </w14:solidFill>
                </w14:textFill>
              </w:rPr>
              <w:t>，施工场地生活污水经化粪池或旱厕处理后用于农肥灌溉</w:t>
            </w:r>
            <w:r>
              <w:rPr>
                <w:rFonts w:hint="eastAsia" w:ascii="Times New Roman" w:hAnsi="Times New Roman" w:cs="Times New Roman"/>
                <w:b w:val="0"/>
                <w:bCs/>
                <w:color w:val="000000" w:themeColor="text1"/>
                <w:sz w:val="21"/>
                <w:szCs w:val="21"/>
                <w:highlight w:val="none"/>
                <w:lang w:val="en-US" w:eastAsia="zh-CN"/>
                <w14:textFill>
                  <w14:solidFill>
                    <w14:schemeClr w14:val="tx1"/>
                  </w14:solidFill>
                </w14:textFill>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525" w:type="pct"/>
            <w:vMerge w:val="continue"/>
            <w:shd w:val="clear" w:color="auto" w:fill="auto"/>
            <w:vAlign w:val="center"/>
          </w:tcPr>
          <w:p>
            <w:pPr>
              <w:pStyle w:val="117"/>
              <w:spacing w:line="240" w:lineRule="auto"/>
              <w:ind w:firstLine="0" w:firstLineChars="0"/>
              <w:rPr>
                <w:rFonts w:hint="eastAsia" w:cs="Times New Roman"/>
                <w:b w:val="0"/>
                <w:bCs/>
                <w:sz w:val="21"/>
                <w:szCs w:val="21"/>
                <w:lang w:val="en-US" w:eastAsia="zh-CN"/>
              </w:rPr>
            </w:pPr>
          </w:p>
        </w:tc>
        <w:tc>
          <w:tcPr>
            <w:tcW w:w="1329" w:type="dxa"/>
            <w:shd w:val="clear" w:color="auto" w:fill="auto"/>
            <w:vAlign w:val="center"/>
          </w:tcPr>
          <w:p>
            <w:pPr>
              <w:pStyle w:val="117"/>
              <w:spacing w:line="240" w:lineRule="auto"/>
              <w:ind w:firstLine="0" w:firstLineChars="0"/>
              <w:rPr>
                <w:rFonts w:hint="eastAsia" w:cs="Times New Roman"/>
                <w:b w:val="0"/>
                <w:bCs/>
                <w:sz w:val="21"/>
                <w:szCs w:val="21"/>
                <w:lang w:val="en-US" w:eastAsia="zh-CN"/>
              </w:rPr>
            </w:pPr>
            <w:r>
              <w:rPr>
                <w:rFonts w:hint="eastAsia" w:cs="Times New Roman"/>
                <w:b w:val="0"/>
                <w:bCs/>
                <w:sz w:val="21"/>
                <w:szCs w:val="21"/>
                <w:lang w:val="en-US" w:eastAsia="zh-CN"/>
              </w:rPr>
              <w:t>废气治理</w:t>
            </w:r>
          </w:p>
        </w:tc>
        <w:tc>
          <w:tcPr>
            <w:tcW w:w="7010" w:type="dxa"/>
            <w:gridSpan w:val="2"/>
            <w:shd w:val="clear" w:color="auto" w:fill="auto"/>
            <w:vAlign w:val="center"/>
          </w:tcPr>
          <w:p>
            <w:pPr>
              <w:pStyle w:val="117"/>
              <w:spacing w:line="240" w:lineRule="auto"/>
              <w:ind w:firstLine="0" w:firstLineChars="0"/>
              <w:jc w:val="left"/>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施工期：采取设置围挡、施工现场洒水、拌合站安装除尘设备、沥青拌合采用全封闭作业等措施可以有效降低施工期施工扬尘对沿线大气环境的影响。</w:t>
            </w:r>
          </w:p>
          <w:p>
            <w:pPr>
              <w:pStyle w:val="117"/>
              <w:spacing w:line="240" w:lineRule="auto"/>
              <w:ind w:firstLine="0" w:firstLineChars="0"/>
              <w:jc w:val="left"/>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运营期</w:t>
            </w:r>
            <w:r>
              <w:rPr>
                <w:rFonts w:hint="eastAsia"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 w:val="0"/>
                <w:bCs/>
                <w:color w:val="000000" w:themeColor="text1"/>
                <w:sz w:val="21"/>
                <w:szCs w:val="21"/>
                <w:highlight w:val="none"/>
                <w14:textFill>
                  <w14:solidFill>
                    <w14:schemeClr w14:val="tx1"/>
                  </w14:solidFill>
                </w14:textFill>
              </w:rPr>
              <w:t>加强道路路面、交通设施的养护管理，保障道路畅通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525" w:type="pct"/>
            <w:vMerge w:val="continue"/>
            <w:shd w:val="clear" w:color="auto" w:fill="auto"/>
            <w:vAlign w:val="center"/>
          </w:tcPr>
          <w:p>
            <w:pPr>
              <w:pStyle w:val="117"/>
              <w:spacing w:line="240" w:lineRule="auto"/>
              <w:ind w:firstLine="0" w:firstLineChars="0"/>
              <w:rPr>
                <w:rFonts w:hint="eastAsia" w:ascii="Times New Roman" w:hAnsi="Times New Roman" w:eastAsia="宋体" w:cs="Times New Roman"/>
                <w:b w:val="0"/>
                <w:bCs/>
                <w:sz w:val="21"/>
                <w:szCs w:val="21"/>
                <w:lang w:val="en-US" w:eastAsia="zh-CN"/>
              </w:rPr>
            </w:pPr>
          </w:p>
        </w:tc>
        <w:tc>
          <w:tcPr>
            <w:tcW w:w="1329" w:type="dxa"/>
            <w:shd w:val="clear" w:color="auto" w:fill="auto"/>
            <w:vAlign w:val="center"/>
          </w:tcPr>
          <w:p>
            <w:pPr>
              <w:pStyle w:val="117"/>
              <w:spacing w:line="240" w:lineRule="auto"/>
              <w:ind w:firstLine="0" w:firstLineChars="0"/>
              <w:rPr>
                <w:rFonts w:hint="default" w:cs="Times New Roman"/>
                <w:b w:val="0"/>
                <w:bCs/>
                <w:sz w:val="21"/>
                <w:szCs w:val="21"/>
                <w:lang w:val="en-US" w:eastAsia="zh-CN"/>
              </w:rPr>
            </w:pPr>
            <w:r>
              <w:rPr>
                <w:rFonts w:hint="eastAsia" w:cs="Times New Roman"/>
                <w:b w:val="0"/>
                <w:bCs/>
                <w:sz w:val="21"/>
                <w:szCs w:val="21"/>
                <w:lang w:val="en-US" w:eastAsia="zh-CN"/>
              </w:rPr>
              <w:t>固体废物</w:t>
            </w:r>
          </w:p>
        </w:tc>
        <w:tc>
          <w:tcPr>
            <w:tcW w:w="7010" w:type="dxa"/>
            <w:gridSpan w:val="2"/>
            <w:shd w:val="clear" w:color="auto" w:fill="auto"/>
            <w:vAlign w:val="center"/>
          </w:tcPr>
          <w:p>
            <w:pPr>
              <w:pStyle w:val="117"/>
              <w:spacing w:line="240" w:lineRule="auto"/>
              <w:ind w:firstLine="0" w:firstLineChars="0"/>
              <w:jc w:val="left"/>
              <w:rPr>
                <w:rFonts w:hint="eastAsia" w:ascii="Times New Roman" w:hAnsi="Times New Roman"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施工期：施工营地生活垃圾由环卫部门统一收集后处理</w:t>
            </w:r>
            <w:r>
              <w:rPr>
                <w:rFonts w:hint="eastAsia" w:ascii="Times New Roman" w:hAnsi="Times New Roman" w:cs="Times New Roman"/>
                <w:b w:val="0"/>
                <w:bCs/>
                <w:color w:val="000000" w:themeColor="text1"/>
                <w:sz w:val="21"/>
                <w:szCs w:val="21"/>
                <w:highlight w:val="none"/>
                <w:lang w:eastAsia="zh-CN"/>
                <w14:textFill>
                  <w14:solidFill>
                    <w14:schemeClr w14:val="tx1"/>
                  </w14:solidFill>
                </w14:textFill>
              </w:rPr>
              <w:t>；建筑垃圾委托有资质的资源回收单位，尽可能回用；</w:t>
            </w:r>
            <w:r>
              <w:rPr>
                <w:rFonts w:hint="eastAsia" w:ascii="Times New Roman" w:hAnsi="Times New Roman" w:cs="Times New Roman"/>
                <w:b w:val="0"/>
                <w:bCs/>
                <w:color w:val="000000" w:themeColor="text1"/>
                <w:sz w:val="21"/>
                <w:szCs w:val="21"/>
                <w:highlight w:val="none"/>
                <w:lang w:val="en-US" w:eastAsia="zh-CN"/>
                <w14:textFill>
                  <w14:solidFill>
                    <w14:schemeClr w14:val="tx1"/>
                  </w14:solidFill>
                </w14:textFill>
              </w:rPr>
              <w:t>油泥等危险废物</w:t>
            </w:r>
            <w:r>
              <w:rPr>
                <w:rFonts w:hint="eastAsia" w:ascii="Times New Roman" w:hAnsi="Times New Roman" w:cs="Times New Roman"/>
                <w:b w:val="0"/>
                <w:bCs/>
                <w:color w:val="000000" w:themeColor="text1"/>
                <w:sz w:val="21"/>
                <w:szCs w:val="21"/>
                <w:highlight w:val="none"/>
                <w:lang w:eastAsia="zh-CN"/>
                <w14:textFill>
                  <w14:solidFill>
                    <w14:schemeClr w14:val="tx1"/>
                  </w14:solidFill>
                </w14:textFill>
              </w:rPr>
              <w:t>集中收集后委托有资质单位统一处置</w:t>
            </w:r>
          </w:p>
          <w:p>
            <w:pPr>
              <w:pStyle w:val="117"/>
              <w:spacing w:line="240" w:lineRule="auto"/>
              <w:ind w:firstLine="0" w:firstLineChars="0"/>
              <w:jc w:val="left"/>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eastAsia" w:ascii="Times New Roman" w:hAnsi="Times New Roman" w:cs="Times New Roman"/>
                <w:b w:val="0"/>
                <w:bCs/>
                <w:color w:val="000000" w:themeColor="text1"/>
                <w:sz w:val="21"/>
                <w:szCs w:val="21"/>
                <w:highlight w:val="none"/>
                <w:lang w:val="en-US" w:eastAsia="zh-CN"/>
                <w14:textFill>
                  <w14:solidFill>
                    <w14:schemeClr w14:val="tx1"/>
                  </w14:solidFill>
                </w14:textFill>
              </w:rPr>
              <w:t>运营期：养护垃圾清扫收集后由环卫部门统一清运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525" w:type="pct"/>
            <w:vMerge w:val="continue"/>
            <w:shd w:val="clear" w:color="auto" w:fill="auto"/>
            <w:vAlign w:val="center"/>
          </w:tcPr>
          <w:p>
            <w:pPr>
              <w:pStyle w:val="117"/>
              <w:spacing w:line="240" w:lineRule="auto"/>
              <w:ind w:firstLine="0" w:firstLineChars="0"/>
              <w:rPr>
                <w:rFonts w:hint="eastAsia" w:ascii="Times New Roman" w:hAnsi="Times New Roman" w:eastAsia="宋体" w:cs="Times New Roman"/>
                <w:b w:val="0"/>
                <w:bCs/>
                <w:sz w:val="21"/>
                <w:szCs w:val="21"/>
                <w:lang w:val="en-US" w:eastAsia="zh-CN"/>
              </w:rPr>
            </w:pPr>
          </w:p>
        </w:tc>
        <w:tc>
          <w:tcPr>
            <w:tcW w:w="1329" w:type="dxa"/>
            <w:shd w:val="clear" w:color="auto" w:fill="auto"/>
            <w:vAlign w:val="center"/>
          </w:tcPr>
          <w:p>
            <w:pPr>
              <w:pStyle w:val="117"/>
              <w:spacing w:line="240" w:lineRule="auto"/>
              <w:ind w:firstLine="0" w:firstLineChars="0"/>
              <w:rPr>
                <w:rFonts w:hint="default" w:cs="Times New Roman"/>
                <w:b w:val="0"/>
                <w:bCs/>
                <w:sz w:val="21"/>
                <w:szCs w:val="21"/>
                <w:lang w:val="en-US" w:eastAsia="zh-CN"/>
              </w:rPr>
            </w:pPr>
            <w:r>
              <w:rPr>
                <w:rFonts w:hint="eastAsia" w:cs="Times New Roman"/>
                <w:b w:val="0"/>
                <w:bCs/>
                <w:sz w:val="21"/>
                <w:szCs w:val="21"/>
                <w:lang w:val="en-US" w:eastAsia="zh-CN"/>
              </w:rPr>
              <w:t>生态环境</w:t>
            </w:r>
          </w:p>
        </w:tc>
        <w:tc>
          <w:tcPr>
            <w:tcW w:w="7010" w:type="dxa"/>
            <w:gridSpan w:val="2"/>
            <w:shd w:val="clear" w:color="auto" w:fill="auto"/>
            <w:vAlign w:val="center"/>
          </w:tcPr>
          <w:p>
            <w:pPr>
              <w:pStyle w:val="117"/>
              <w:spacing w:line="240" w:lineRule="auto"/>
              <w:ind w:firstLine="0" w:firstLineChars="0"/>
              <w:jc w:val="left"/>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施工生产生活区、取土场、临时堆土场等用地结束后，及时进行生态恢复，按照原地类进行恢复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525" w:type="pct"/>
            <w:vMerge w:val="continue"/>
            <w:shd w:val="clear" w:color="auto" w:fill="auto"/>
            <w:vAlign w:val="center"/>
          </w:tcPr>
          <w:p>
            <w:pPr>
              <w:pStyle w:val="117"/>
              <w:spacing w:line="240" w:lineRule="auto"/>
              <w:ind w:firstLine="0" w:firstLineChars="0"/>
              <w:rPr>
                <w:rFonts w:hint="eastAsia" w:ascii="Times New Roman" w:hAnsi="Times New Roman" w:eastAsia="宋体" w:cs="Times New Roman"/>
                <w:b w:val="0"/>
                <w:bCs/>
                <w:sz w:val="21"/>
                <w:szCs w:val="21"/>
                <w:lang w:val="en-US" w:eastAsia="zh-CN"/>
              </w:rPr>
            </w:pPr>
          </w:p>
        </w:tc>
        <w:tc>
          <w:tcPr>
            <w:tcW w:w="1329" w:type="dxa"/>
            <w:shd w:val="clear" w:color="auto" w:fill="auto"/>
            <w:vAlign w:val="center"/>
          </w:tcPr>
          <w:p>
            <w:pPr>
              <w:pStyle w:val="117"/>
              <w:spacing w:line="240" w:lineRule="auto"/>
              <w:ind w:firstLine="0" w:firstLineChars="0"/>
              <w:rPr>
                <w:rFonts w:hint="default" w:cs="Times New Roman"/>
                <w:b w:val="0"/>
                <w:bCs/>
                <w:sz w:val="21"/>
                <w:szCs w:val="21"/>
                <w:lang w:val="en-US" w:eastAsia="zh-CN"/>
              </w:rPr>
            </w:pPr>
            <w:r>
              <w:rPr>
                <w:rFonts w:hint="eastAsia" w:cs="Times New Roman"/>
                <w:b w:val="0"/>
                <w:bCs/>
                <w:sz w:val="21"/>
                <w:szCs w:val="21"/>
                <w:lang w:val="en-US" w:eastAsia="zh-CN"/>
              </w:rPr>
              <w:t>环境风险</w:t>
            </w:r>
          </w:p>
        </w:tc>
        <w:tc>
          <w:tcPr>
            <w:tcW w:w="7010" w:type="dxa"/>
            <w:gridSpan w:val="2"/>
            <w:shd w:val="clear" w:color="auto" w:fill="auto"/>
            <w:vAlign w:val="center"/>
          </w:tcPr>
          <w:p>
            <w:pPr>
              <w:pStyle w:val="117"/>
              <w:spacing w:line="240" w:lineRule="auto"/>
              <w:ind w:firstLine="0" w:firstLineChars="0"/>
              <w:jc w:val="left"/>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合理规范工程活动</w:t>
            </w:r>
            <w:r>
              <w:rPr>
                <w:rFonts w:hint="eastAsia" w:ascii="Times New Roman" w:hAnsi="Times New Roman" w:cs="Times New Roman"/>
                <w:b w:val="0"/>
                <w:bCs/>
                <w:color w:val="000000" w:themeColor="text1"/>
                <w:sz w:val="21"/>
                <w:szCs w:val="21"/>
                <w:highlight w:val="none"/>
                <w:lang w:eastAsia="zh-CN"/>
                <w14:textFill>
                  <w14:solidFill>
                    <w14:schemeClr w14:val="tx1"/>
                  </w14:solidFill>
                </w14:textFill>
              </w:rPr>
              <w:t>，设置完善的桥面（路面）径流收集系统，加强配套管理等措施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1238" w:type="pct"/>
            <w:gridSpan w:val="2"/>
            <w:shd w:val="clear" w:color="auto" w:fill="auto"/>
            <w:vAlign w:val="center"/>
          </w:tcPr>
          <w:p>
            <w:pPr>
              <w:pStyle w:val="117"/>
              <w:spacing w:line="240" w:lineRule="auto"/>
              <w:ind w:firstLine="0" w:firstLineChars="0"/>
              <w:rPr>
                <w:rFonts w:hint="eastAsia" w:ascii="Times New Roman" w:hAnsi="Times New Roman" w:eastAsia="宋体" w:cs="Times New Roman"/>
                <w:b w:val="0"/>
                <w:bCs w:val="0"/>
                <w:sz w:val="21"/>
                <w:szCs w:val="21"/>
                <w:lang w:val="en-US" w:eastAsia="zh-CN"/>
              </w:rPr>
            </w:pPr>
            <w:r>
              <w:rPr>
                <w:rFonts w:hint="default" w:ascii="Times New Roman" w:hAnsi="Times New Roman" w:cs="Times New Roman"/>
                <w:b w:val="0"/>
                <w:bCs w:val="0"/>
                <w:snapToGrid w:val="0"/>
                <w:color w:val="auto"/>
                <w:spacing w:val="6"/>
                <w:kern w:val="44"/>
                <w:sz w:val="21"/>
                <w:szCs w:val="21"/>
                <w:highlight w:val="none"/>
                <w:lang w:val="en-US" w:eastAsia="zh-CN"/>
              </w:rPr>
              <w:t>工程占地、拆迁</w:t>
            </w:r>
          </w:p>
        </w:tc>
        <w:tc>
          <w:tcPr>
            <w:tcW w:w="3761" w:type="pct"/>
            <w:gridSpan w:val="2"/>
            <w:shd w:val="clear" w:color="auto" w:fill="auto"/>
            <w:vAlign w:val="center"/>
          </w:tcPr>
          <w:p>
            <w:pPr>
              <w:pStyle w:val="117"/>
              <w:spacing w:line="240" w:lineRule="auto"/>
              <w:ind w:firstLine="0" w:firstLineChars="0"/>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永久占地592.09亩，临时占地248.06亩；拆迁建筑物共计38680m</w:t>
            </w:r>
            <w:r>
              <w:rPr>
                <w:rFonts w:hint="eastAsia" w:cs="Times New Roman"/>
                <w:b w:val="0"/>
                <w:bCs w:val="0"/>
                <w:color w:val="000000" w:themeColor="text1"/>
                <w:sz w:val="21"/>
                <w:szCs w:val="21"/>
                <w:highlight w:val="none"/>
                <w:vertAlign w:val="superscript"/>
                <w:lang w:val="en-US" w:eastAsia="zh-CN"/>
                <w14:textFill>
                  <w14:solidFill>
                    <w14:schemeClr w14:val="tx1"/>
                  </w14:solidFill>
                </w14:textFill>
              </w:rPr>
              <w:t>2</w:t>
            </w:r>
            <w:r>
              <w:rPr>
                <w:rFonts w:hint="eastAsia" w:cs="Times New Roman"/>
                <w:b w:val="0"/>
                <w:bCs w:val="0"/>
                <w:color w:val="000000" w:themeColor="text1"/>
                <w:sz w:val="21"/>
                <w:szCs w:val="21"/>
                <w:highlight w:val="none"/>
                <w:lang w:val="en-US" w:eastAsia="zh-CN"/>
                <w14:textFill>
                  <w14:solidFill>
                    <w14:schemeClr w14:val="tx1"/>
                  </w14:solidFill>
                </w14:textFill>
              </w:rPr>
              <w:t>，楼房33710m</w:t>
            </w:r>
            <w:r>
              <w:rPr>
                <w:rFonts w:hint="eastAsia" w:cs="Times New Roman"/>
                <w:b w:val="0"/>
                <w:bCs w:val="0"/>
                <w:color w:val="000000" w:themeColor="text1"/>
                <w:sz w:val="21"/>
                <w:szCs w:val="21"/>
                <w:highlight w:val="none"/>
                <w:vertAlign w:val="superscript"/>
                <w:lang w:val="en-US" w:eastAsia="zh-CN"/>
                <w14:textFill>
                  <w14:solidFill>
                    <w14:schemeClr w14:val="tx1"/>
                  </w14:solidFill>
                </w14:textFill>
              </w:rPr>
              <w:t>2</w:t>
            </w:r>
            <w:r>
              <w:rPr>
                <w:rFonts w:hint="eastAsia" w:cs="Times New Roman"/>
                <w:b w:val="0"/>
                <w:bCs w:val="0"/>
                <w:color w:val="000000" w:themeColor="text1"/>
                <w:sz w:val="21"/>
                <w:szCs w:val="21"/>
                <w:highlight w:val="none"/>
                <w:lang w:val="en-US" w:eastAsia="zh-CN"/>
                <w14:textFill>
                  <w14:solidFill>
                    <w14:schemeClr w14:val="tx1"/>
                  </w14:solidFill>
                </w14:textFill>
              </w:rPr>
              <w:t>，砖瓦房3180m</w:t>
            </w:r>
            <w:r>
              <w:rPr>
                <w:rFonts w:hint="eastAsia" w:cs="Times New Roman"/>
                <w:b w:val="0"/>
                <w:bCs w:val="0"/>
                <w:color w:val="000000" w:themeColor="text1"/>
                <w:sz w:val="21"/>
                <w:szCs w:val="21"/>
                <w:highlight w:val="none"/>
                <w:vertAlign w:val="superscript"/>
                <w:lang w:val="en-US" w:eastAsia="zh-CN"/>
                <w14:textFill>
                  <w14:solidFill>
                    <w14:schemeClr w14:val="tx1"/>
                  </w14:solidFill>
                </w14:textFill>
              </w:rPr>
              <w:t>2</w:t>
            </w:r>
            <w:r>
              <w:rPr>
                <w:rFonts w:hint="eastAsia" w:cs="Times New Roman"/>
                <w:b w:val="0"/>
                <w:bCs w:val="0"/>
                <w:color w:val="000000" w:themeColor="text1"/>
                <w:sz w:val="21"/>
                <w:szCs w:val="21"/>
                <w:highlight w:val="none"/>
                <w:lang w:val="en-US" w:eastAsia="zh-CN"/>
                <w14:textFill>
                  <w14:solidFill>
                    <w14:schemeClr w14:val="tx1"/>
                  </w14:solidFill>
                </w14:textFill>
              </w:rPr>
              <w:t>，简易房1790m</w:t>
            </w:r>
            <w:r>
              <w:rPr>
                <w:rFonts w:hint="eastAsia" w:cs="Times New Roman"/>
                <w:b w:val="0"/>
                <w:bCs w:val="0"/>
                <w:color w:val="000000" w:themeColor="text1"/>
                <w:sz w:val="21"/>
                <w:szCs w:val="21"/>
                <w:highlight w:val="none"/>
                <w:vertAlign w:val="superscript"/>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trPr>
        <w:tc>
          <w:tcPr>
            <w:tcW w:w="1238" w:type="pct"/>
            <w:gridSpan w:val="2"/>
            <w:shd w:val="clear" w:color="auto" w:fill="auto"/>
            <w:vAlign w:val="center"/>
          </w:tcPr>
          <w:p>
            <w:pPr>
              <w:pStyle w:val="117"/>
              <w:spacing w:line="240" w:lineRule="auto"/>
              <w:ind w:firstLine="0" w:firstLineChars="0"/>
              <w:rPr>
                <w:rFonts w:hint="eastAsia" w:ascii="Times New Roman" w:hAnsi="Times New Roman" w:eastAsia="宋体" w:cs="Times New Roman"/>
                <w:b w:val="0"/>
                <w:bCs w:val="0"/>
                <w:sz w:val="21"/>
                <w:szCs w:val="21"/>
                <w:lang w:val="en-US" w:eastAsia="zh-CN"/>
              </w:rPr>
            </w:pPr>
            <w:r>
              <w:rPr>
                <w:rFonts w:hint="default" w:ascii="Times New Roman" w:hAnsi="Times New Roman" w:cs="Times New Roman"/>
                <w:b w:val="0"/>
                <w:bCs w:val="0"/>
                <w:snapToGrid w:val="0"/>
                <w:color w:val="auto"/>
                <w:spacing w:val="6"/>
                <w:kern w:val="44"/>
                <w:sz w:val="21"/>
                <w:szCs w:val="21"/>
                <w:highlight w:val="none"/>
                <w:lang w:val="en-US" w:eastAsia="zh-CN"/>
              </w:rPr>
              <w:t>土石方平衡</w:t>
            </w:r>
          </w:p>
        </w:tc>
        <w:tc>
          <w:tcPr>
            <w:tcW w:w="3761" w:type="pct"/>
            <w:gridSpan w:val="2"/>
            <w:shd w:val="clear" w:color="auto" w:fill="auto"/>
            <w:vAlign w:val="center"/>
          </w:tcPr>
          <w:p>
            <w:pPr>
              <w:pStyle w:val="117"/>
              <w:spacing w:line="240" w:lineRule="auto"/>
              <w:ind w:firstLine="0" w:firstLineChars="0"/>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本项目</w:t>
            </w:r>
            <w:r>
              <w:rPr>
                <w:rFonts w:hint="default" w:ascii="Times New Roman" w:hAnsi="Times New Roman" w:cs="Times New Roman"/>
                <w:b w:val="0"/>
                <w:bCs w:val="0"/>
                <w:color w:val="000000" w:themeColor="text1"/>
                <w:sz w:val="21"/>
                <w:szCs w:val="21"/>
                <w:highlight w:val="none"/>
                <w14:textFill>
                  <w14:solidFill>
                    <w14:schemeClr w14:val="tx1"/>
                  </w14:solidFill>
                </w14:textFill>
              </w:rPr>
              <w:t>挖方约473584方</w:t>
            </w:r>
            <w:r>
              <w:rPr>
                <w:rFonts w:hint="eastAsia"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 w:val="0"/>
                <w:bCs w:val="0"/>
                <w:color w:val="000000" w:themeColor="text1"/>
                <w:sz w:val="21"/>
                <w:szCs w:val="21"/>
                <w:highlight w:val="none"/>
                <w14:textFill>
                  <w14:solidFill>
                    <w14:schemeClr w14:val="tx1"/>
                  </w14:solidFill>
                </w14:textFill>
              </w:rPr>
              <w:t>填方446419方，</w:t>
            </w:r>
            <w:r>
              <w:rPr>
                <w:rFonts w:hint="eastAsia" w:cs="Times New Roman"/>
                <w:b w:val="0"/>
                <w:bCs w:val="0"/>
                <w:color w:val="000000" w:themeColor="text1"/>
                <w:sz w:val="21"/>
                <w:szCs w:val="21"/>
                <w:highlight w:val="none"/>
                <w:lang w:val="en-US" w:eastAsia="zh-CN"/>
                <w14:textFill>
                  <w14:solidFill>
                    <w14:schemeClr w14:val="tx1"/>
                  </w14:solidFill>
                </w14:textFill>
              </w:rPr>
              <w:t>弃方</w:t>
            </w:r>
            <w:r>
              <w:rPr>
                <w:rFonts w:hint="default" w:ascii="Times New Roman" w:hAnsi="Times New Roman" w:cs="Times New Roman"/>
                <w:b w:val="0"/>
                <w:bCs w:val="0"/>
                <w:color w:val="000000" w:themeColor="text1"/>
                <w:sz w:val="21"/>
                <w:szCs w:val="21"/>
                <w:highlight w:val="none"/>
                <w14:textFill>
                  <w14:solidFill>
                    <w14:schemeClr w14:val="tx1"/>
                  </w14:solidFill>
                </w14:textFill>
              </w:rPr>
              <w:t>27165方</w:t>
            </w:r>
          </w:p>
        </w:tc>
      </w:tr>
    </w:tbl>
    <w:p>
      <w:pPr>
        <w:pStyle w:val="7"/>
        <w:rPr>
          <w:b/>
          <w:bCs/>
          <w:sz w:val="28"/>
          <w:szCs w:val="28"/>
        </w:rPr>
      </w:pPr>
      <w:bookmarkStart w:id="140" w:name="_Toc17197"/>
      <w:bookmarkStart w:id="141" w:name="_Toc26321"/>
      <w:r>
        <w:rPr>
          <w:b/>
          <w:bCs/>
          <w:sz w:val="28"/>
          <w:szCs w:val="28"/>
        </w:rPr>
        <w:t>方案比选</w:t>
      </w:r>
      <w:bookmarkEnd w:id="140"/>
      <w:bookmarkEnd w:id="141"/>
    </w:p>
    <w:p>
      <w:pPr>
        <w:pStyle w:val="10"/>
        <w:ind w:firstLine="480"/>
      </w:pPr>
      <w:r>
        <w:rPr>
          <w:rFonts w:hint="eastAsia"/>
        </w:rPr>
        <w:t>结合民用机场布局、既有S311走向、基本农田与村庄分布，本次研究拟定了3个路线方案。</w:t>
      </w:r>
    </w:p>
    <w:p>
      <w:pPr>
        <w:jc w:val="center"/>
        <w:rPr>
          <w:color w:val="0070C0"/>
        </w:rPr>
      </w:pPr>
      <w:r>
        <w:drawing>
          <wp:inline distT="0" distB="0" distL="114300" distR="114300">
            <wp:extent cx="5391785" cy="3703955"/>
            <wp:effectExtent l="0" t="0" r="18415" b="10795"/>
            <wp:docPr id="30" name="图片 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descr="地图&#10;&#10;描述已自动生成"/>
                    <pic:cNvPicPr>
                      <a:picLocks noChangeAspect="1"/>
                    </pic:cNvPicPr>
                  </pic:nvPicPr>
                  <pic:blipFill>
                    <a:blip r:embed="rId47"/>
                    <a:stretch>
                      <a:fillRect/>
                    </a:stretch>
                  </pic:blipFill>
                  <pic:spPr>
                    <a:xfrm>
                      <a:off x="0" y="0"/>
                      <a:ext cx="5391785" cy="3703955"/>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t xml:space="preserve">  </w:t>
      </w:r>
      <w:r>
        <w:rPr>
          <w:rFonts w:hint="eastAsia"/>
        </w:rPr>
        <w:t>路线方案示意图</w:t>
      </w:r>
    </w:p>
    <w:p>
      <w:r>
        <w:rPr>
          <w:rFonts w:hint="eastAsia"/>
        </w:rPr>
        <w:t>具体方案编号及里程长度如下：</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rPr>
        <w:t>路线方案分段</w:t>
      </w:r>
      <w:r>
        <w:t>表</w:t>
      </w:r>
    </w:p>
    <w:tbl>
      <w:tblPr>
        <w:tblStyle w:val="47"/>
        <w:tblW w:w="47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5"/>
        <w:gridCol w:w="2769"/>
        <w:gridCol w:w="2735"/>
        <w:gridCol w:w="1227"/>
        <w:gridCol w:w="1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515" w:type="pct"/>
            <w:vAlign w:val="center"/>
          </w:tcPr>
          <w:p>
            <w:pPr>
              <w:pStyle w:val="1132"/>
              <w:rPr>
                <w:b/>
                <w:bCs w:val="0"/>
              </w:rPr>
            </w:pPr>
            <w:r>
              <w:rPr>
                <w:rFonts w:hint="eastAsia"/>
                <w:b/>
                <w:bCs w:val="0"/>
              </w:rPr>
              <w:t>序号</w:t>
            </w:r>
          </w:p>
        </w:tc>
        <w:tc>
          <w:tcPr>
            <w:tcW w:w="1559" w:type="pct"/>
            <w:vAlign w:val="center"/>
          </w:tcPr>
          <w:p>
            <w:pPr>
              <w:pStyle w:val="1132"/>
              <w:rPr>
                <w:b/>
                <w:bCs w:val="0"/>
              </w:rPr>
            </w:pPr>
            <w:r>
              <w:rPr>
                <w:rFonts w:hint="eastAsia"/>
                <w:b/>
                <w:bCs w:val="0"/>
              </w:rPr>
              <w:t>线位编号</w:t>
            </w:r>
          </w:p>
        </w:tc>
        <w:tc>
          <w:tcPr>
            <w:tcW w:w="1540" w:type="pct"/>
            <w:vAlign w:val="center"/>
          </w:tcPr>
          <w:p>
            <w:pPr>
              <w:pStyle w:val="1132"/>
              <w:rPr>
                <w:b/>
                <w:bCs w:val="0"/>
              </w:rPr>
            </w:pPr>
            <w:r>
              <w:rPr>
                <w:rFonts w:hint="eastAsia"/>
                <w:b/>
                <w:bCs w:val="0"/>
              </w:rPr>
              <w:t>起终点桩号</w:t>
            </w:r>
          </w:p>
        </w:tc>
        <w:tc>
          <w:tcPr>
            <w:tcW w:w="691" w:type="pct"/>
            <w:vAlign w:val="center"/>
          </w:tcPr>
          <w:p>
            <w:pPr>
              <w:pStyle w:val="1132"/>
              <w:rPr>
                <w:b/>
                <w:bCs w:val="0"/>
              </w:rPr>
            </w:pPr>
            <w:r>
              <w:rPr>
                <w:rFonts w:hint="eastAsia"/>
                <w:b/>
                <w:bCs w:val="0"/>
              </w:rPr>
              <w:t>里程（km）</w:t>
            </w:r>
          </w:p>
        </w:tc>
        <w:tc>
          <w:tcPr>
            <w:tcW w:w="693" w:type="pct"/>
            <w:vAlign w:val="center"/>
          </w:tcPr>
          <w:p>
            <w:pPr>
              <w:pStyle w:val="1132"/>
              <w:rPr>
                <w:b/>
                <w:bCs w:val="0"/>
              </w:rPr>
            </w:pPr>
            <w:r>
              <w:rPr>
                <w:rFonts w:hint="eastAsia"/>
                <w:b/>
                <w:bCs w:val="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515" w:type="pct"/>
            <w:vAlign w:val="center"/>
          </w:tcPr>
          <w:p>
            <w:pPr>
              <w:pStyle w:val="1132"/>
            </w:pPr>
            <w:r>
              <w:rPr>
                <w:rFonts w:hint="eastAsia"/>
              </w:rPr>
              <w:t>1</w:t>
            </w:r>
          </w:p>
        </w:tc>
        <w:tc>
          <w:tcPr>
            <w:tcW w:w="1559" w:type="pct"/>
            <w:vAlign w:val="center"/>
          </w:tcPr>
          <w:p>
            <w:pPr>
              <w:pStyle w:val="1132"/>
            </w:pPr>
            <w:r>
              <w:rPr>
                <w:rFonts w:hint="eastAsia"/>
              </w:rPr>
              <w:t>K</w:t>
            </w:r>
          </w:p>
        </w:tc>
        <w:tc>
          <w:tcPr>
            <w:tcW w:w="1540" w:type="pct"/>
            <w:vAlign w:val="center"/>
          </w:tcPr>
          <w:p>
            <w:pPr>
              <w:pStyle w:val="1132"/>
            </w:pPr>
            <w:r>
              <w:rPr>
                <w:rFonts w:hint="eastAsia"/>
              </w:rPr>
              <w:t>K0+000~K7+700.604</w:t>
            </w:r>
          </w:p>
        </w:tc>
        <w:tc>
          <w:tcPr>
            <w:tcW w:w="691" w:type="pct"/>
            <w:vAlign w:val="center"/>
          </w:tcPr>
          <w:p>
            <w:pPr>
              <w:pStyle w:val="1132"/>
            </w:pPr>
            <w:r>
              <w:rPr>
                <w:rFonts w:hint="eastAsia"/>
              </w:rPr>
              <w:t>7.70</w:t>
            </w:r>
          </w:p>
        </w:tc>
        <w:tc>
          <w:tcPr>
            <w:tcW w:w="693" w:type="pct"/>
            <w:vAlign w:val="center"/>
          </w:tcPr>
          <w:p>
            <w:pPr>
              <w:pStyle w:val="1132"/>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515" w:type="pct"/>
            <w:vAlign w:val="center"/>
          </w:tcPr>
          <w:p>
            <w:pPr>
              <w:pStyle w:val="1132"/>
            </w:pPr>
            <w:r>
              <w:rPr>
                <w:rFonts w:hint="eastAsia"/>
              </w:rPr>
              <w:t>2</w:t>
            </w:r>
          </w:p>
        </w:tc>
        <w:tc>
          <w:tcPr>
            <w:tcW w:w="1559" w:type="pct"/>
            <w:vAlign w:val="center"/>
          </w:tcPr>
          <w:p>
            <w:pPr>
              <w:pStyle w:val="1132"/>
            </w:pPr>
            <w:r>
              <w:rPr>
                <w:rFonts w:hint="eastAsia"/>
              </w:rPr>
              <w:t>A</w:t>
            </w:r>
          </w:p>
        </w:tc>
        <w:tc>
          <w:tcPr>
            <w:tcW w:w="1540" w:type="pct"/>
            <w:vAlign w:val="center"/>
          </w:tcPr>
          <w:p>
            <w:pPr>
              <w:pStyle w:val="1132"/>
            </w:pPr>
            <w:r>
              <w:rPr>
                <w:rFonts w:hint="eastAsia"/>
              </w:rPr>
              <w:t>AK0+000～AK5+990.906</w:t>
            </w:r>
          </w:p>
        </w:tc>
        <w:tc>
          <w:tcPr>
            <w:tcW w:w="691" w:type="pct"/>
            <w:vAlign w:val="center"/>
          </w:tcPr>
          <w:p>
            <w:pPr>
              <w:pStyle w:val="1132"/>
            </w:pPr>
            <w:r>
              <w:rPr>
                <w:rFonts w:hint="eastAsia"/>
              </w:rPr>
              <w:t>7.42</w:t>
            </w:r>
          </w:p>
        </w:tc>
        <w:tc>
          <w:tcPr>
            <w:tcW w:w="693" w:type="pct"/>
            <w:vAlign w:val="center"/>
          </w:tcPr>
          <w:p>
            <w:pPr>
              <w:pStyle w:val="1132"/>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515" w:type="pct"/>
            <w:vAlign w:val="center"/>
          </w:tcPr>
          <w:p>
            <w:pPr>
              <w:pStyle w:val="1132"/>
            </w:pPr>
            <w:r>
              <w:rPr>
                <w:rFonts w:hint="eastAsia"/>
              </w:rPr>
              <w:t>3</w:t>
            </w:r>
          </w:p>
        </w:tc>
        <w:tc>
          <w:tcPr>
            <w:tcW w:w="1559" w:type="pct"/>
            <w:vAlign w:val="center"/>
          </w:tcPr>
          <w:p>
            <w:pPr>
              <w:pStyle w:val="1132"/>
            </w:pPr>
            <w:r>
              <w:rPr>
                <w:rFonts w:hint="eastAsia"/>
              </w:rPr>
              <w:t>B</w:t>
            </w:r>
          </w:p>
        </w:tc>
        <w:tc>
          <w:tcPr>
            <w:tcW w:w="1540" w:type="pct"/>
            <w:vAlign w:val="center"/>
          </w:tcPr>
          <w:p>
            <w:pPr>
              <w:pStyle w:val="1132"/>
            </w:pPr>
            <w:r>
              <w:rPr>
                <w:rFonts w:hint="eastAsia"/>
              </w:rPr>
              <w:t>BK0+000～BK6+499.833</w:t>
            </w:r>
          </w:p>
        </w:tc>
        <w:tc>
          <w:tcPr>
            <w:tcW w:w="691" w:type="pct"/>
            <w:vAlign w:val="center"/>
          </w:tcPr>
          <w:p>
            <w:pPr>
              <w:pStyle w:val="1132"/>
            </w:pPr>
            <w:r>
              <w:rPr>
                <w:rFonts w:hint="eastAsia"/>
              </w:rPr>
              <w:t>7.92</w:t>
            </w:r>
          </w:p>
        </w:tc>
        <w:tc>
          <w:tcPr>
            <w:tcW w:w="693" w:type="pct"/>
            <w:vAlign w:val="center"/>
          </w:tcPr>
          <w:p>
            <w:pPr>
              <w:pStyle w:val="1132"/>
            </w:pPr>
            <w:r>
              <w:rPr>
                <w:rFonts w:hint="eastAsia"/>
              </w:rPr>
              <w:t>/</w:t>
            </w:r>
          </w:p>
        </w:tc>
      </w:tr>
    </w:tbl>
    <w:p>
      <w:r>
        <w:rPr>
          <w:rFonts w:hint="eastAsia"/>
        </w:rPr>
        <w:t>（1）K线方案</w:t>
      </w:r>
    </w:p>
    <w:p>
      <w:pPr>
        <w:pStyle w:val="10"/>
        <w:ind w:firstLine="480"/>
      </w:pPr>
      <w:r>
        <w:rPr>
          <w:rFonts w:hint="eastAsia"/>
        </w:rPr>
        <w:t>路线起点位于包集互通出入口，与G206十字交叉，线位沿原S311下穿京台高速、与在建新G206交叉后，向西北偏转，避让该片基本农田后转向西南，经仁和村、邵楼村，与机场出入道路衔接后向西延伸至小沟沿北侧，接刘褚路（S419），全长约7.70km。</w:t>
      </w:r>
    </w:p>
    <w:p>
      <w:pPr>
        <w:jc w:val="center"/>
      </w:pPr>
      <w:r>
        <w:drawing>
          <wp:inline distT="0" distB="0" distL="114300" distR="114300">
            <wp:extent cx="5393055" cy="3656965"/>
            <wp:effectExtent l="0" t="0" r="17145" b="635"/>
            <wp:docPr id="726" name="图片 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3" descr="地图&#10;&#10;描述已自动生成"/>
                    <pic:cNvPicPr>
                      <a:picLocks noChangeAspect="1"/>
                    </pic:cNvPicPr>
                  </pic:nvPicPr>
                  <pic:blipFill>
                    <a:blip r:embed="rId48"/>
                    <a:stretch>
                      <a:fillRect/>
                    </a:stretch>
                  </pic:blipFill>
                  <pic:spPr>
                    <a:xfrm>
                      <a:off x="0" y="0"/>
                      <a:ext cx="5393055" cy="3656965"/>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t xml:space="preserve">  </w:t>
      </w:r>
      <w:r>
        <w:rPr>
          <w:rFonts w:hint="eastAsia"/>
        </w:rPr>
        <w:t>K线方案示意图</w:t>
      </w:r>
    </w:p>
    <w:p>
      <w:r>
        <w:rPr>
          <w:rFonts w:hint="eastAsia"/>
        </w:rPr>
        <w:t>（2）A线方案</w:t>
      </w:r>
    </w:p>
    <w:p>
      <w:pPr>
        <w:snapToGrid w:val="0"/>
        <w:ind w:firstLine="480" w:firstLineChars="200"/>
      </w:pPr>
      <w:r>
        <w:rPr>
          <w:rFonts w:hint="eastAsia"/>
        </w:rPr>
        <w:t>起点同K线，路线下穿京台高速、与在建新G206交叉后，沿既有S311布线，经仁和村、邵楼村，与机场出入道路衔接后向西延伸至小沟沿北侧，接刘褚路（S419）全长约7.42km。</w:t>
      </w:r>
    </w:p>
    <w:p>
      <w:pPr>
        <w:jc w:val="center"/>
      </w:pPr>
      <w:r>
        <w:drawing>
          <wp:inline distT="0" distB="0" distL="114300" distR="114300">
            <wp:extent cx="5394325" cy="3768090"/>
            <wp:effectExtent l="0" t="0" r="15875" b="3810"/>
            <wp:docPr id="32" name="图片 4"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descr="地图&#10;&#10;描述已自动生成"/>
                    <pic:cNvPicPr>
                      <a:picLocks noChangeAspect="1"/>
                    </pic:cNvPicPr>
                  </pic:nvPicPr>
                  <pic:blipFill>
                    <a:blip r:embed="rId49"/>
                    <a:stretch>
                      <a:fillRect/>
                    </a:stretch>
                  </pic:blipFill>
                  <pic:spPr>
                    <a:xfrm>
                      <a:off x="0" y="0"/>
                      <a:ext cx="5394325" cy="3768090"/>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t xml:space="preserve">  </w:t>
      </w:r>
      <w:r>
        <w:rPr>
          <w:rFonts w:hint="eastAsia"/>
        </w:rPr>
        <w:t>A线方案示意图</w:t>
      </w:r>
    </w:p>
    <w:p>
      <w:r>
        <w:rPr>
          <w:rFonts w:hint="eastAsia"/>
        </w:rPr>
        <w:t>（3）B线方案</w:t>
      </w:r>
    </w:p>
    <w:p>
      <w:pPr>
        <w:snapToGrid w:val="0"/>
        <w:ind w:firstLine="480" w:firstLineChars="200"/>
      </w:pPr>
      <w:r>
        <w:rPr>
          <w:rFonts w:hint="eastAsia"/>
        </w:rPr>
        <w:t>起点同K线，路线下穿京台高速、与在建新G206交叉后，向西北偏转，避让该片基本农田、仁和村、邵楼村后转向西南，与机场出入道路衔接后向西延伸至小沟沿北侧，接刘褚路（S419），路线全长约7.92km。</w:t>
      </w:r>
    </w:p>
    <w:p>
      <w:r>
        <w:drawing>
          <wp:inline distT="0" distB="0" distL="114300" distR="114300">
            <wp:extent cx="5394325" cy="3754755"/>
            <wp:effectExtent l="0" t="0" r="15875" b="17145"/>
            <wp:docPr id="33" name="图片 5"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descr="地图&#10;&#10;描述已自动生成"/>
                    <pic:cNvPicPr>
                      <a:picLocks noChangeAspect="1"/>
                    </pic:cNvPicPr>
                  </pic:nvPicPr>
                  <pic:blipFill>
                    <a:blip r:embed="rId50"/>
                    <a:stretch>
                      <a:fillRect/>
                    </a:stretch>
                  </pic:blipFill>
                  <pic:spPr>
                    <a:xfrm>
                      <a:off x="0" y="0"/>
                      <a:ext cx="5394325" cy="3754755"/>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r>
        <w:t xml:space="preserve">  </w:t>
      </w:r>
      <w:r>
        <w:rPr>
          <w:rFonts w:hint="eastAsia"/>
        </w:rPr>
        <w:t>B线方案示意图</w:t>
      </w:r>
    </w:p>
    <w:p>
      <w:pPr>
        <w:pStyle w:val="112"/>
        <w:ind w:firstLine="0" w:firstLineChars="0"/>
      </w:pPr>
      <w:r>
        <w:rPr>
          <w:rFonts w:hint="eastAsia"/>
        </w:rPr>
        <w:t>（四）方案综合比选</w:t>
      </w:r>
    </w:p>
    <w:p>
      <w:pPr>
        <w:pStyle w:val="19"/>
        <w:ind w:firstLine="482"/>
        <w:rPr>
          <w:bCs/>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rPr>
          <w:bCs/>
        </w:rPr>
        <w:t xml:space="preserve">  </w:t>
      </w:r>
      <w:r>
        <w:rPr>
          <w:rFonts w:hint="eastAsia"/>
          <w:bCs/>
        </w:rPr>
        <w:t>方案比选表</w:t>
      </w:r>
    </w:p>
    <w:tbl>
      <w:tblPr>
        <w:tblStyle w:val="4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901"/>
        <w:gridCol w:w="2231"/>
        <w:gridCol w:w="2034"/>
        <w:gridCol w:w="2034"/>
        <w:gridCol w:w="2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jc w:val="center"/>
        </w:trPr>
        <w:tc>
          <w:tcPr>
            <w:tcW w:w="1696"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比较要素</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K线</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A</w:t>
            </w:r>
            <w:r>
              <w:rPr>
                <w:color w:val="000000" w:themeColor="text1"/>
                <w:sz w:val="21"/>
                <w:szCs w:val="21"/>
                <w14:textFill>
                  <w14:solidFill>
                    <w14:schemeClr w14:val="tx1"/>
                  </w14:solidFill>
                </w14:textFill>
              </w:rPr>
              <w:t>线</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B线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13" w:hRule="atLeast"/>
          <w:jc w:val="center"/>
        </w:trPr>
        <w:tc>
          <w:tcPr>
            <w:tcW w:w="1696"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线路长度（km）</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7.70</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7.42</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13" w:hRule="atLeast"/>
          <w:jc w:val="center"/>
        </w:trPr>
        <w:tc>
          <w:tcPr>
            <w:tcW w:w="1696"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路线指标</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较好</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好</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较差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13" w:hRule="atLeast"/>
          <w:jc w:val="center"/>
        </w:trPr>
        <w:tc>
          <w:tcPr>
            <w:tcW w:w="1696"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r>
              <w:rPr>
                <w:rFonts w:hint="eastAsia" w:ascii="Times New Roman" w:hAnsi="Times New Roman" w:eastAsia="宋体" w:cs="宋体"/>
                <w:sz w:val="21"/>
                <w:szCs w:val="21"/>
                <w:highlight w:val="none"/>
                <w:lang w:eastAsia="zh-CN"/>
              </w:rPr>
              <w:t>占用基本农田（亩）</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54.2</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13" w:hRule="atLeast"/>
          <w:jc w:val="center"/>
        </w:trPr>
        <w:tc>
          <w:tcPr>
            <w:tcW w:w="1696"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宋体"/>
                <w:sz w:val="21"/>
                <w:szCs w:val="21"/>
                <w:highlight w:val="none"/>
                <w:lang w:val="en-US" w:eastAsia="zh-CN"/>
              </w:rPr>
            </w:pPr>
            <w:r>
              <w:rPr>
                <w:rFonts w:hint="eastAsia" w:ascii="Times New Roman" w:hAnsi="Times New Roman" w:eastAsia="宋体" w:cs="宋体"/>
                <w:sz w:val="21"/>
                <w:szCs w:val="21"/>
                <w:highlight w:val="none"/>
                <w:lang w:val="en-US" w:eastAsia="zh-CN"/>
              </w:rPr>
              <w:t>老路利用（km）</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0.5</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13" w:hRule="atLeast"/>
          <w:jc w:val="center"/>
        </w:trPr>
        <w:tc>
          <w:tcPr>
            <w:tcW w:w="1696"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宋体"/>
                <w:sz w:val="21"/>
                <w:szCs w:val="21"/>
                <w:highlight w:val="none"/>
                <w:lang w:val="en-US" w:eastAsia="zh-CN"/>
              </w:rPr>
            </w:pPr>
            <w:r>
              <w:rPr>
                <w:rFonts w:hint="eastAsia" w:ascii="Times New Roman" w:hAnsi="Times New Roman" w:eastAsia="宋体" w:cs="宋体"/>
                <w:sz w:val="21"/>
                <w:szCs w:val="21"/>
                <w:highlight w:val="none"/>
                <w:lang w:val="en-US" w:eastAsia="zh-CN"/>
              </w:rPr>
              <w:t>建筑拆迁（m</w:t>
            </w:r>
            <w:r>
              <w:rPr>
                <w:rFonts w:hint="eastAsia" w:ascii="Times New Roman" w:hAnsi="Times New Roman" w:eastAsia="宋体" w:cs="宋体"/>
                <w:sz w:val="21"/>
                <w:szCs w:val="21"/>
                <w:highlight w:val="none"/>
                <w:vertAlign w:val="superscript"/>
                <w:lang w:val="en-US" w:eastAsia="zh-CN"/>
              </w:rPr>
              <w:t>2</w:t>
            </w:r>
            <w:r>
              <w:rPr>
                <w:rFonts w:hint="eastAsia" w:ascii="Times New Roman" w:hAnsi="Times New Roman" w:eastAsia="宋体" w:cs="宋体"/>
                <w:sz w:val="21"/>
                <w:szCs w:val="21"/>
                <w:highlight w:val="none"/>
                <w:lang w:val="en-US" w:eastAsia="zh-CN"/>
              </w:rPr>
              <w:t>）</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r>
              <w:rPr>
                <w:rFonts w:hint="eastAsia" w:cs="宋体"/>
                <w:sz w:val="21"/>
                <w:szCs w:val="21"/>
                <w:highlight w:val="none"/>
                <w:lang w:val="en-US" w:eastAsia="zh-CN"/>
              </w:rPr>
              <w:t>38680</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r>
              <w:rPr>
                <w:rFonts w:hint="eastAsia" w:cs="宋体"/>
                <w:sz w:val="21"/>
                <w:szCs w:val="21"/>
                <w:highlight w:val="none"/>
                <w:lang w:val="en-US" w:eastAsia="zh-CN"/>
              </w:rPr>
              <w:t>41260</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r>
              <w:rPr>
                <w:rFonts w:hint="eastAsia" w:cs="宋体"/>
                <w:sz w:val="21"/>
                <w:szCs w:val="21"/>
                <w:highlight w:val="none"/>
                <w:lang w:val="en-US" w:eastAsia="zh-CN"/>
              </w:rPr>
              <w:t>6330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13" w:hRule="atLeast"/>
          <w:jc w:val="center"/>
        </w:trPr>
        <w:tc>
          <w:tcPr>
            <w:tcW w:w="488"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水环境</w:t>
            </w:r>
          </w:p>
        </w:tc>
        <w:tc>
          <w:tcPr>
            <w:tcW w:w="1208"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水源保护区</w:t>
            </w:r>
          </w:p>
        </w:tc>
        <w:tc>
          <w:tcPr>
            <w:tcW w:w="3303" w:type="pct"/>
            <w:gridSpan w:val="3"/>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均不涉及水源保护区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13" w:hRule="atLeast"/>
          <w:jc w:val="center"/>
        </w:trPr>
        <w:tc>
          <w:tcPr>
            <w:tcW w:w="488" w:type="pct"/>
            <w:vMerge w:val="restar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声环境、大气环境</w:t>
            </w:r>
          </w:p>
        </w:tc>
        <w:tc>
          <w:tcPr>
            <w:tcW w:w="1208"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敏感点数量（个）</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13" w:hRule="atLeast"/>
          <w:jc w:val="center"/>
        </w:trPr>
        <w:tc>
          <w:tcPr>
            <w:tcW w:w="488" w:type="pct"/>
            <w:vMerge w:val="continue"/>
            <w:tcBorders>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p>
        </w:tc>
        <w:tc>
          <w:tcPr>
            <w:tcW w:w="1208"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受影响人群</w:t>
            </w:r>
          </w:p>
        </w:tc>
        <w:tc>
          <w:tcPr>
            <w:tcW w:w="3303" w:type="pct"/>
            <w:gridSpan w:val="3"/>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K线与B线相近；A线方案从仁和村、邵楼村中间穿越，受影响人群数量较多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13" w:hRule="atLeast"/>
          <w:jc w:val="center"/>
        </w:trPr>
        <w:tc>
          <w:tcPr>
            <w:tcW w:w="488"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固废</w:t>
            </w:r>
          </w:p>
        </w:tc>
        <w:tc>
          <w:tcPr>
            <w:tcW w:w="1208" w:type="pct"/>
            <w:tcBorders>
              <w:top w:val="single" w:color="auto" w:sz="4" w:space="0"/>
              <w:left w:val="single" w:color="auto" w:sz="4" w:space="0"/>
              <w:bottom w:val="single" w:color="auto" w:sz="4" w:space="0"/>
              <w:right w:val="single" w:color="auto" w:sz="4" w:space="0"/>
            </w:tcBorders>
            <w:noWrap w:val="0"/>
            <w:vAlign w:val="center"/>
          </w:tcPr>
          <w:p>
            <w:pPr>
              <w:pStyle w:val="1132"/>
              <w:jc w:val="center"/>
              <w:rPr>
                <w:color w:val="000000" w:themeColor="text1"/>
                <w:sz w:val="21"/>
                <w:szCs w:val="21"/>
                <w14:textFill>
                  <w14:solidFill>
                    <w14:schemeClr w14:val="tx1"/>
                  </w14:solidFill>
                </w14:textFill>
              </w:rPr>
            </w:pPr>
            <w:r>
              <w:t>拆迁</w:t>
            </w:r>
            <w:r>
              <w:rPr>
                <w:rFonts w:hint="eastAsia"/>
              </w:rPr>
              <w:t>面积（m</w:t>
            </w:r>
            <w:r>
              <w:rPr>
                <w:vertAlign w:val="superscript"/>
              </w:rPr>
              <w:t>3</w:t>
            </w:r>
            <w:r>
              <w:rPr>
                <w:rFonts w:hint="eastAsia"/>
              </w:rPr>
              <w:t>）</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pStyle w:val="1132"/>
              <w:rPr>
                <w:color w:val="000000" w:themeColor="text1"/>
                <w:sz w:val="21"/>
                <w:szCs w:val="21"/>
                <w14:textFill>
                  <w14:solidFill>
                    <w14:schemeClr w14:val="tx1"/>
                  </w14:solidFill>
                </w14:textFill>
              </w:rPr>
            </w:pPr>
            <w:r>
              <w:rPr>
                <w:rFonts w:hint="eastAsia"/>
              </w:rPr>
              <w:t>3</w:t>
            </w:r>
            <w:r>
              <w:t>8680</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pStyle w:val="1132"/>
              <w:rPr>
                <w:color w:val="000000" w:themeColor="text1"/>
                <w:sz w:val="21"/>
                <w:szCs w:val="21"/>
                <w14:textFill>
                  <w14:solidFill>
                    <w14:schemeClr w14:val="tx1"/>
                  </w14:solidFill>
                </w14:textFill>
              </w:rPr>
            </w:pPr>
            <w:r>
              <w:rPr>
                <w:rFonts w:hint="eastAsia"/>
              </w:rPr>
              <w:t>4</w:t>
            </w:r>
            <w:r>
              <w:t>2390</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pStyle w:val="1132"/>
              <w:rPr>
                <w:color w:val="000000" w:themeColor="text1"/>
                <w:sz w:val="21"/>
                <w:szCs w:val="21"/>
                <w14:textFill>
                  <w14:solidFill>
                    <w14:schemeClr w14:val="tx1"/>
                  </w14:solidFill>
                </w14:textFill>
              </w:rPr>
            </w:pPr>
            <w:r>
              <w:rPr>
                <w:rFonts w:hint="eastAsia"/>
              </w:rPr>
              <w:t>4</w:t>
            </w:r>
            <w:r>
              <w:t>1250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jc w:val="center"/>
        </w:trPr>
        <w:tc>
          <w:tcPr>
            <w:tcW w:w="1696"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推荐</w:t>
            </w:r>
          </w:p>
        </w:tc>
        <w:tc>
          <w:tcPr>
            <w:tcW w:w="3303" w:type="pct"/>
            <w:gridSpan w:val="3"/>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eastAsia="宋体"/>
                <w:color w:val="000000" w:themeColor="text1"/>
                <w:spacing w:val="-4"/>
                <w:sz w:val="21"/>
                <w:szCs w:val="21"/>
                <w:lang w:val="en-US" w:eastAsia="zh-CN"/>
                <w14:textFill>
                  <w14:solidFill>
                    <w14:schemeClr w14:val="tx1"/>
                  </w14:solidFill>
                </w14:textFill>
              </w:rPr>
            </w:pPr>
            <w:r>
              <w:rPr>
                <w:color w:val="000000" w:themeColor="text1"/>
                <w:spacing w:val="-4"/>
                <w:sz w:val="21"/>
                <w:szCs w:val="21"/>
                <w14:textFill>
                  <w14:solidFill>
                    <w14:schemeClr w14:val="tx1"/>
                  </w14:solidFill>
                </w14:textFill>
              </w:rPr>
              <w:t>K</w:t>
            </w:r>
            <w:r>
              <w:rPr>
                <w:rFonts w:hint="eastAsia"/>
                <w:color w:val="000000" w:themeColor="text1"/>
                <w:spacing w:val="-4"/>
                <w:sz w:val="21"/>
                <w:szCs w:val="21"/>
                <w:lang w:val="en-US" w:eastAsia="zh-CN"/>
                <w14:textFill>
                  <w14:solidFill>
                    <w14:schemeClr w14:val="tx1"/>
                  </w14:solidFill>
                </w14:textFill>
              </w:rPr>
              <w:t>线</w:t>
            </w:r>
          </w:p>
        </w:tc>
      </w:tr>
    </w:tbl>
    <w:p>
      <w:pPr>
        <w:pStyle w:val="112"/>
        <w:ind w:firstLine="480"/>
        <w:rPr>
          <w:color w:val="0070C0"/>
        </w:rPr>
      </w:pPr>
    </w:p>
    <w:p>
      <w:pPr>
        <w:pStyle w:val="117"/>
        <w:ind w:firstLine="0" w:firstLineChars="0"/>
        <w:rPr>
          <w:color w:val="0070C0"/>
          <w:sz w:val="21"/>
          <w:szCs w:val="21"/>
        </w:rPr>
        <w:sectPr>
          <w:pgSz w:w="11906" w:h="16838"/>
          <w:pgMar w:top="1418" w:right="1418" w:bottom="1418" w:left="1418" w:header="851" w:footer="992" w:gutter="0"/>
          <w:cols w:space="720" w:num="1"/>
          <w:docGrid w:linePitch="312" w:charSpace="0"/>
        </w:sectPr>
      </w:pPr>
    </w:p>
    <w:p>
      <w:pPr>
        <w:pStyle w:val="7"/>
        <w:rPr>
          <w:b/>
          <w:bCs/>
          <w:sz w:val="28"/>
          <w:szCs w:val="28"/>
        </w:rPr>
      </w:pPr>
      <w:bookmarkStart w:id="142" w:name="_Toc11884"/>
      <w:bookmarkStart w:id="143" w:name="_Toc23970"/>
      <w:r>
        <w:rPr>
          <w:b/>
          <w:bCs/>
          <w:sz w:val="28"/>
          <w:szCs w:val="28"/>
        </w:rPr>
        <w:t>交通量预测</w:t>
      </w:r>
      <w:bookmarkEnd w:id="142"/>
      <w:bookmarkEnd w:id="143"/>
    </w:p>
    <w:p>
      <w:pPr>
        <w:pStyle w:val="112"/>
        <w:ind w:firstLine="480"/>
      </w:pPr>
      <w:r>
        <w:t>本项目拟于2023年</w:t>
      </w:r>
      <w:r>
        <w:rPr>
          <w:rFonts w:hint="eastAsia"/>
        </w:rPr>
        <w:t>1月</w:t>
      </w:r>
      <w:r>
        <w:t>开工，2023年</w:t>
      </w:r>
      <w:r>
        <w:rPr>
          <w:rFonts w:hint="eastAsia"/>
        </w:rPr>
        <w:t>1</w:t>
      </w:r>
      <w:r>
        <w:t>2</w:t>
      </w:r>
      <w:r>
        <w:rPr>
          <w:rFonts w:hint="eastAsia"/>
        </w:rPr>
        <w:t>月</w:t>
      </w:r>
      <w:r>
        <w:t>建成</w:t>
      </w:r>
      <w:r>
        <w:rPr>
          <w:rStyle w:val="113"/>
        </w:rPr>
        <w:t>通车</w:t>
      </w:r>
      <w:r>
        <w:rPr>
          <w:rStyle w:val="113"/>
          <w:rFonts w:hint="eastAsia"/>
        </w:rPr>
        <w:t>，根据项目工程可行性研究分析，</w:t>
      </w:r>
      <w:r>
        <w:t>拟建工程未来年路段交通量预测结果见</w:t>
      </w:r>
      <w:r>
        <w:rPr>
          <w:rFonts w:hint="eastAsia"/>
        </w:rPr>
        <w:t>下</w:t>
      </w:r>
      <w:r>
        <w:t>表。</w:t>
      </w:r>
    </w:p>
    <w:p>
      <w:pPr>
        <w:pStyle w:val="19"/>
        <w:ind w:firstLine="482"/>
        <w:rPr>
          <w:bCs/>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rPr>
          <w:bCs/>
        </w:rPr>
        <w:t xml:space="preserve">  </w:t>
      </w:r>
      <w:r>
        <w:rPr>
          <w:rFonts w:hint="eastAsia"/>
          <w:bCs/>
        </w:rPr>
        <w:t>本项目工可中特征年日交通量预测结果表（单位：辆/日）</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00"/>
        <w:gridCol w:w="2200"/>
        <w:gridCol w:w="2350"/>
        <w:gridCol w:w="23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09" w:type="pct"/>
            <w:tcMar>
              <w:top w:w="15" w:type="dxa"/>
              <w:left w:w="15" w:type="dxa"/>
              <w:right w:w="15" w:type="dxa"/>
            </w:tcMar>
            <w:vAlign w:val="center"/>
          </w:tcPr>
          <w:p>
            <w:pPr>
              <w:pStyle w:val="1132"/>
              <w:rPr>
                <w:b/>
                <w:bCs w:val="0"/>
              </w:rPr>
            </w:pPr>
            <w:r>
              <w:rPr>
                <w:rFonts w:hint="eastAsia"/>
                <w:b/>
                <w:bCs w:val="0"/>
              </w:rPr>
              <w:t>特征年</w:t>
            </w:r>
          </w:p>
        </w:tc>
        <w:tc>
          <w:tcPr>
            <w:tcW w:w="1209" w:type="pct"/>
            <w:noWrap/>
            <w:tcMar>
              <w:top w:w="15" w:type="dxa"/>
              <w:left w:w="15" w:type="dxa"/>
              <w:right w:w="15" w:type="dxa"/>
            </w:tcMar>
            <w:vAlign w:val="center"/>
          </w:tcPr>
          <w:p>
            <w:pPr>
              <w:pStyle w:val="1132"/>
              <w:rPr>
                <w:b/>
                <w:bCs w:val="0"/>
              </w:rPr>
            </w:pPr>
            <w:r>
              <w:rPr>
                <w:rFonts w:hint="eastAsia"/>
                <w:b/>
                <w:bCs w:val="0"/>
              </w:rPr>
              <w:t>客车</w:t>
            </w:r>
          </w:p>
        </w:tc>
        <w:tc>
          <w:tcPr>
            <w:tcW w:w="1291" w:type="pct"/>
            <w:noWrap/>
            <w:tcMar>
              <w:top w:w="15" w:type="dxa"/>
              <w:left w:w="15" w:type="dxa"/>
              <w:right w:w="15" w:type="dxa"/>
            </w:tcMar>
            <w:vAlign w:val="center"/>
          </w:tcPr>
          <w:p>
            <w:pPr>
              <w:pStyle w:val="1132"/>
              <w:rPr>
                <w:b/>
                <w:bCs w:val="0"/>
              </w:rPr>
            </w:pPr>
            <w:r>
              <w:rPr>
                <w:rFonts w:hint="eastAsia"/>
                <w:b/>
                <w:bCs w:val="0"/>
              </w:rPr>
              <w:t>货车</w:t>
            </w:r>
          </w:p>
        </w:tc>
        <w:tc>
          <w:tcPr>
            <w:tcW w:w="1291" w:type="pct"/>
            <w:noWrap/>
            <w:tcMar>
              <w:top w:w="15" w:type="dxa"/>
              <w:left w:w="15" w:type="dxa"/>
              <w:right w:w="15" w:type="dxa"/>
            </w:tcMar>
            <w:vAlign w:val="center"/>
          </w:tcPr>
          <w:p>
            <w:pPr>
              <w:pStyle w:val="1132"/>
              <w:rPr>
                <w:b/>
                <w:bCs w:val="0"/>
              </w:rPr>
            </w:pPr>
            <w:r>
              <w:rPr>
                <w:rFonts w:hint="eastAsia"/>
                <w:b/>
                <w:bCs w:val="0"/>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09" w:type="pct"/>
            <w:tcMar>
              <w:top w:w="15" w:type="dxa"/>
              <w:left w:w="15" w:type="dxa"/>
              <w:right w:w="15" w:type="dxa"/>
            </w:tcMar>
            <w:vAlign w:val="center"/>
          </w:tcPr>
          <w:p>
            <w:pPr>
              <w:pStyle w:val="1132"/>
            </w:pPr>
            <w:r>
              <w:rPr>
                <w:rFonts w:hint="eastAsia"/>
              </w:rPr>
              <w:t>202</w:t>
            </w:r>
            <w:r>
              <w:t>4</w:t>
            </w:r>
            <w:r>
              <w:rPr>
                <w:rFonts w:hint="eastAsia"/>
              </w:rPr>
              <w:t>年</w:t>
            </w:r>
          </w:p>
        </w:tc>
        <w:tc>
          <w:tcPr>
            <w:tcW w:w="1209" w:type="pct"/>
            <w:noWrap/>
            <w:tcMar>
              <w:top w:w="15" w:type="dxa"/>
              <w:left w:w="15" w:type="dxa"/>
              <w:right w:w="15" w:type="dxa"/>
            </w:tcMar>
            <w:vAlign w:val="center"/>
          </w:tcPr>
          <w:p>
            <w:pPr>
              <w:pStyle w:val="1132"/>
            </w:pPr>
            <w:r>
              <w:t>7422</w:t>
            </w:r>
          </w:p>
        </w:tc>
        <w:tc>
          <w:tcPr>
            <w:tcW w:w="1291" w:type="pct"/>
            <w:noWrap/>
            <w:tcMar>
              <w:top w:w="15" w:type="dxa"/>
              <w:left w:w="15" w:type="dxa"/>
              <w:right w:w="15" w:type="dxa"/>
            </w:tcMar>
            <w:vAlign w:val="center"/>
          </w:tcPr>
          <w:p>
            <w:pPr>
              <w:pStyle w:val="1132"/>
            </w:pPr>
            <w:r>
              <w:t>3060</w:t>
            </w:r>
          </w:p>
        </w:tc>
        <w:tc>
          <w:tcPr>
            <w:tcW w:w="1291" w:type="pct"/>
            <w:noWrap/>
            <w:tcMar>
              <w:top w:w="15" w:type="dxa"/>
              <w:left w:w="15" w:type="dxa"/>
              <w:right w:w="15" w:type="dxa"/>
            </w:tcMar>
            <w:vAlign w:val="center"/>
          </w:tcPr>
          <w:p>
            <w:pPr>
              <w:pStyle w:val="1132"/>
            </w:pPr>
            <w:r>
              <w:t>10482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09" w:type="pct"/>
            <w:tcMar>
              <w:top w:w="15" w:type="dxa"/>
              <w:left w:w="15" w:type="dxa"/>
              <w:right w:w="15" w:type="dxa"/>
            </w:tcMar>
            <w:vAlign w:val="center"/>
          </w:tcPr>
          <w:p>
            <w:pPr>
              <w:pStyle w:val="1132"/>
            </w:pPr>
            <w:r>
              <w:rPr>
                <w:rFonts w:hint="eastAsia"/>
              </w:rPr>
              <w:t>2030年</w:t>
            </w:r>
          </w:p>
        </w:tc>
        <w:tc>
          <w:tcPr>
            <w:tcW w:w="1209" w:type="pct"/>
            <w:noWrap/>
            <w:tcMar>
              <w:top w:w="15" w:type="dxa"/>
              <w:left w:w="15" w:type="dxa"/>
              <w:right w:w="15" w:type="dxa"/>
            </w:tcMar>
            <w:vAlign w:val="center"/>
          </w:tcPr>
          <w:p>
            <w:pPr>
              <w:pStyle w:val="1132"/>
            </w:pPr>
            <w:r>
              <w:t>11066</w:t>
            </w:r>
          </w:p>
        </w:tc>
        <w:tc>
          <w:tcPr>
            <w:tcW w:w="1291" w:type="pct"/>
            <w:noWrap/>
            <w:tcMar>
              <w:top w:w="15" w:type="dxa"/>
              <w:left w:w="15" w:type="dxa"/>
              <w:right w:w="15" w:type="dxa"/>
            </w:tcMar>
            <w:vAlign w:val="center"/>
          </w:tcPr>
          <w:p>
            <w:pPr>
              <w:pStyle w:val="1132"/>
            </w:pPr>
            <w:r>
              <w:t>4584</w:t>
            </w:r>
          </w:p>
        </w:tc>
        <w:tc>
          <w:tcPr>
            <w:tcW w:w="1291" w:type="pct"/>
            <w:noWrap/>
            <w:tcMar>
              <w:top w:w="15" w:type="dxa"/>
              <w:left w:w="15" w:type="dxa"/>
              <w:right w:w="15" w:type="dxa"/>
            </w:tcMar>
            <w:vAlign w:val="center"/>
          </w:tcPr>
          <w:p>
            <w:pPr>
              <w:pStyle w:val="1132"/>
            </w:pPr>
            <w:r>
              <w:t>15650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09" w:type="pct"/>
            <w:tcMar>
              <w:top w:w="15" w:type="dxa"/>
              <w:left w:w="15" w:type="dxa"/>
              <w:right w:w="15" w:type="dxa"/>
            </w:tcMar>
            <w:vAlign w:val="center"/>
          </w:tcPr>
          <w:p>
            <w:pPr>
              <w:pStyle w:val="1132"/>
            </w:pPr>
            <w:r>
              <w:rPr>
                <w:rFonts w:hint="eastAsia"/>
              </w:rPr>
              <w:t>2035年</w:t>
            </w:r>
          </w:p>
        </w:tc>
        <w:tc>
          <w:tcPr>
            <w:tcW w:w="1209" w:type="pct"/>
            <w:noWrap/>
            <w:tcMar>
              <w:top w:w="15" w:type="dxa"/>
              <w:left w:w="15" w:type="dxa"/>
              <w:right w:w="15" w:type="dxa"/>
            </w:tcMar>
            <w:vAlign w:val="center"/>
          </w:tcPr>
          <w:p>
            <w:pPr>
              <w:pStyle w:val="1132"/>
            </w:pPr>
            <w:r>
              <w:t>14463</w:t>
            </w:r>
          </w:p>
        </w:tc>
        <w:tc>
          <w:tcPr>
            <w:tcW w:w="1291" w:type="pct"/>
            <w:noWrap/>
            <w:tcMar>
              <w:top w:w="15" w:type="dxa"/>
              <w:left w:w="15" w:type="dxa"/>
              <w:right w:w="15" w:type="dxa"/>
            </w:tcMar>
            <w:vAlign w:val="center"/>
          </w:tcPr>
          <w:p>
            <w:pPr>
              <w:pStyle w:val="1132"/>
            </w:pPr>
            <w:r>
              <w:t>6097</w:t>
            </w:r>
          </w:p>
        </w:tc>
        <w:tc>
          <w:tcPr>
            <w:tcW w:w="1291" w:type="pct"/>
            <w:noWrap/>
            <w:tcMar>
              <w:top w:w="15" w:type="dxa"/>
              <w:left w:w="15" w:type="dxa"/>
              <w:right w:w="15" w:type="dxa"/>
            </w:tcMar>
            <w:vAlign w:val="center"/>
          </w:tcPr>
          <w:p>
            <w:pPr>
              <w:pStyle w:val="1132"/>
            </w:pPr>
            <w:r>
              <w:t>20559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09" w:type="pct"/>
            <w:tcMar>
              <w:top w:w="15" w:type="dxa"/>
              <w:left w:w="15" w:type="dxa"/>
              <w:right w:w="15" w:type="dxa"/>
            </w:tcMar>
            <w:vAlign w:val="center"/>
          </w:tcPr>
          <w:p>
            <w:pPr>
              <w:pStyle w:val="1132"/>
            </w:pPr>
            <w:r>
              <w:rPr>
                <w:rFonts w:hint="eastAsia"/>
              </w:rPr>
              <w:t>2040年</w:t>
            </w:r>
          </w:p>
        </w:tc>
        <w:tc>
          <w:tcPr>
            <w:tcW w:w="1209" w:type="pct"/>
            <w:noWrap/>
            <w:tcMar>
              <w:top w:w="15" w:type="dxa"/>
              <w:left w:w="15" w:type="dxa"/>
              <w:right w:w="15" w:type="dxa"/>
            </w:tcMar>
            <w:vAlign w:val="center"/>
          </w:tcPr>
          <w:p>
            <w:pPr>
              <w:pStyle w:val="1132"/>
            </w:pPr>
            <w:r>
              <w:t>18200</w:t>
            </w:r>
          </w:p>
        </w:tc>
        <w:tc>
          <w:tcPr>
            <w:tcW w:w="1291" w:type="pct"/>
            <w:noWrap/>
            <w:tcMar>
              <w:top w:w="15" w:type="dxa"/>
              <w:left w:w="15" w:type="dxa"/>
              <w:right w:w="15" w:type="dxa"/>
            </w:tcMar>
            <w:vAlign w:val="center"/>
          </w:tcPr>
          <w:p>
            <w:pPr>
              <w:pStyle w:val="1132"/>
            </w:pPr>
            <w:r>
              <w:t>7711</w:t>
            </w:r>
          </w:p>
        </w:tc>
        <w:tc>
          <w:tcPr>
            <w:tcW w:w="1291" w:type="pct"/>
            <w:noWrap/>
            <w:tcMar>
              <w:top w:w="15" w:type="dxa"/>
              <w:left w:w="15" w:type="dxa"/>
              <w:right w:w="15" w:type="dxa"/>
            </w:tcMar>
            <w:vAlign w:val="center"/>
          </w:tcPr>
          <w:p>
            <w:pPr>
              <w:pStyle w:val="1132"/>
            </w:pPr>
            <w:r>
              <w:t>25911</w:t>
            </w:r>
          </w:p>
        </w:tc>
      </w:tr>
    </w:tbl>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rPr>
          <w:bCs/>
        </w:rPr>
        <w:t xml:space="preserve">  本项目</w:t>
      </w:r>
      <w:r>
        <w:rPr>
          <w:rFonts w:hint="eastAsia"/>
          <w:bCs/>
        </w:rPr>
        <w:t>工可中特征年</w:t>
      </w:r>
      <w:r>
        <w:rPr>
          <w:bCs/>
        </w:rPr>
        <w:t>车型比例</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1260"/>
        <w:gridCol w:w="1123"/>
        <w:gridCol w:w="1123"/>
        <w:gridCol w:w="1125"/>
        <w:gridCol w:w="1123"/>
        <w:gridCol w:w="1126"/>
        <w:gridCol w:w="1124"/>
        <w:gridCol w:w="1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42" w:hRule="atLeast"/>
          <w:jc w:val="center"/>
        </w:trPr>
        <w:tc>
          <w:tcPr>
            <w:tcW w:w="690" w:type="pct"/>
            <w:vAlign w:val="center"/>
          </w:tcPr>
          <w:p>
            <w:pPr>
              <w:pStyle w:val="1132"/>
              <w:rPr>
                <w:b/>
                <w:bCs w:val="0"/>
              </w:rPr>
            </w:pPr>
            <w:r>
              <w:rPr>
                <w:rFonts w:hint="eastAsia"/>
                <w:b/>
                <w:bCs w:val="0"/>
              </w:rPr>
              <w:t>年份</w:t>
            </w:r>
          </w:p>
        </w:tc>
        <w:tc>
          <w:tcPr>
            <w:tcW w:w="615" w:type="pct"/>
            <w:vAlign w:val="center"/>
          </w:tcPr>
          <w:p>
            <w:pPr>
              <w:pStyle w:val="1132"/>
              <w:rPr>
                <w:b/>
                <w:bCs w:val="0"/>
              </w:rPr>
            </w:pPr>
            <w:r>
              <w:rPr>
                <w:rFonts w:hint="eastAsia"/>
                <w:b/>
                <w:bCs w:val="0"/>
              </w:rPr>
              <w:t>小客</w:t>
            </w:r>
          </w:p>
        </w:tc>
        <w:tc>
          <w:tcPr>
            <w:tcW w:w="615" w:type="pct"/>
            <w:vAlign w:val="center"/>
          </w:tcPr>
          <w:p>
            <w:pPr>
              <w:pStyle w:val="1132"/>
              <w:rPr>
                <w:b/>
                <w:bCs w:val="0"/>
              </w:rPr>
            </w:pPr>
            <w:r>
              <w:rPr>
                <w:rFonts w:hint="eastAsia"/>
                <w:b/>
                <w:bCs w:val="0"/>
              </w:rPr>
              <w:t>大客</w:t>
            </w:r>
          </w:p>
        </w:tc>
        <w:tc>
          <w:tcPr>
            <w:tcW w:w="616" w:type="pct"/>
            <w:vAlign w:val="center"/>
          </w:tcPr>
          <w:p>
            <w:pPr>
              <w:pStyle w:val="1132"/>
              <w:rPr>
                <w:b/>
                <w:bCs w:val="0"/>
              </w:rPr>
            </w:pPr>
            <w:r>
              <w:rPr>
                <w:rFonts w:hint="eastAsia"/>
                <w:b/>
                <w:bCs w:val="0"/>
              </w:rPr>
              <w:t>小货</w:t>
            </w:r>
          </w:p>
        </w:tc>
        <w:tc>
          <w:tcPr>
            <w:tcW w:w="615" w:type="pct"/>
            <w:vAlign w:val="center"/>
          </w:tcPr>
          <w:p>
            <w:pPr>
              <w:pStyle w:val="1132"/>
              <w:rPr>
                <w:b/>
                <w:bCs w:val="0"/>
              </w:rPr>
            </w:pPr>
            <w:r>
              <w:rPr>
                <w:rFonts w:hint="eastAsia"/>
                <w:b/>
                <w:bCs w:val="0"/>
              </w:rPr>
              <w:t>中货</w:t>
            </w:r>
          </w:p>
        </w:tc>
        <w:tc>
          <w:tcPr>
            <w:tcW w:w="616" w:type="pct"/>
            <w:vAlign w:val="center"/>
          </w:tcPr>
          <w:p>
            <w:pPr>
              <w:pStyle w:val="1132"/>
              <w:rPr>
                <w:b/>
                <w:bCs w:val="0"/>
              </w:rPr>
            </w:pPr>
            <w:r>
              <w:rPr>
                <w:rFonts w:hint="eastAsia"/>
                <w:b/>
                <w:bCs w:val="0"/>
              </w:rPr>
              <w:t>大货</w:t>
            </w:r>
          </w:p>
        </w:tc>
        <w:tc>
          <w:tcPr>
            <w:tcW w:w="615" w:type="pct"/>
            <w:vAlign w:val="center"/>
          </w:tcPr>
          <w:p>
            <w:pPr>
              <w:pStyle w:val="1132"/>
              <w:rPr>
                <w:b/>
                <w:bCs w:val="0"/>
              </w:rPr>
            </w:pPr>
            <w:r>
              <w:rPr>
                <w:rFonts w:hint="eastAsia"/>
                <w:b/>
                <w:bCs w:val="0"/>
              </w:rPr>
              <w:t>拖挂车</w:t>
            </w:r>
          </w:p>
        </w:tc>
        <w:tc>
          <w:tcPr>
            <w:tcW w:w="616" w:type="pct"/>
            <w:vAlign w:val="center"/>
          </w:tcPr>
          <w:p>
            <w:pPr>
              <w:pStyle w:val="1132"/>
              <w:rPr>
                <w:b/>
                <w:bCs w:val="0"/>
              </w:rPr>
            </w:pPr>
            <w:r>
              <w:rPr>
                <w:rFonts w:hint="eastAsia"/>
                <w:b/>
                <w:bCs w:val="0"/>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42" w:hRule="atLeast"/>
          <w:jc w:val="center"/>
        </w:trPr>
        <w:tc>
          <w:tcPr>
            <w:tcW w:w="690" w:type="pct"/>
            <w:vAlign w:val="center"/>
          </w:tcPr>
          <w:p>
            <w:pPr>
              <w:pStyle w:val="1132"/>
            </w:pPr>
            <w:r>
              <w:rPr>
                <w:rFonts w:hint="eastAsia"/>
              </w:rPr>
              <w:t>2025</w:t>
            </w:r>
          </w:p>
        </w:tc>
        <w:tc>
          <w:tcPr>
            <w:tcW w:w="615" w:type="pct"/>
            <w:vAlign w:val="center"/>
          </w:tcPr>
          <w:p>
            <w:pPr>
              <w:pStyle w:val="1132"/>
            </w:pPr>
            <w:r>
              <w:t>58.2%</w:t>
            </w:r>
          </w:p>
        </w:tc>
        <w:tc>
          <w:tcPr>
            <w:tcW w:w="615" w:type="pct"/>
            <w:vAlign w:val="center"/>
          </w:tcPr>
          <w:p>
            <w:pPr>
              <w:pStyle w:val="1132"/>
            </w:pPr>
            <w:r>
              <w:t>18.9%</w:t>
            </w:r>
          </w:p>
        </w:tc>
        <w:tc>
          <w:tcPr>
            <w:tcW w:w="616" w:type="pct"/>
            <w:vAlign w:val="center"/>
          </w:tcPr>
          <w:p>
            <w:pPr>
              <w:pStyle w:val="1132"/>
            </w:pPr>
            <w:r>
              <w:t>15.4%</w:t>
            </w:r>
          </w:p>
        </w:tc>
        <w:tc>
          <w:tcPr>
            <w:tcW w:w="615" w:type="pct"/>
            <w:vAlign w:val="center"/>
          </w:tcPr>
          <w:p>
            <w:pPr>
              <w:pStyle w:val="1132"/>
            </w:pPr>
            <w:r>
              <w:t>1.6%</w:t>
            </w:r>
          </w:p>
        </w:tc>
        <w:tc>
          <w:tcPr>
            <w:tcW w:w="616" w:type="pct"/>
            <w:vAlign w:val="center"/>
          </w:tcPr>
          <w:p>
            <w:pPr>
              <w:pStyle w:val="1132"/>
            </w:pPr>
            <w:r>
              <w:t>3.4%</w:t>
            </w:r>
          </w:p>
        </w:tc>
        <w:tc>
          <w:tcPr>
            <w:tcW w:w="615" w:type="pct"/>
            <w:vAlign w:val="center"/>
          </w:tcPr>
          <w:p>
            <w:pPr>
              <w:pStyle w:val="1132"/>
            </w:pPr>
            <w:r>
              <w:t>2.4%</w:t>
            </w:r>
          </w:p>
        </w:tc>
        <w:tc>
          <w:tcPr>
            <w:tcW w:w="616" w:type="pct"/>
            <w:vAlign w:val="center"/>
          </w:tcPr>
          <w:p>
            <w:pPr>
              <w:pStyle w:val="1132"/>
            </w:pPr>
            <w:r>
              <w:rPr>
                <w:rFonts w:hint="eastAsia"/>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42" w:hRule="atLeast"/>
          <w:jc w:val="center"/>
        </w:trPr>
        <w:tc>
          <w:tcPr>
            <w:tcW w:w="690" w:type="pct"/>
            <w:vAlign w:val="center"/>
          </w:tcPr>
          <w:p>
            <w:pPr>
              <w:pStyle w:val="1132"/>
            </w:pPr>
            <w:r>
              <w:rPr>
                <w:rFonts w:hint="eastAsia"/>
              </w:rPr>
              <w:t>2030</w:t>
            </w:r>
          </w:p>
        </w:tc>
        <w:tc>
          <w:tcPr>
            <w:tcW w:w="615" w:type="pct"/>
            <w:vAlign w:val="center"/>
          </w:tcPr>
          <w:p>
            <w:pPr>
              <w:pStyle w:val="1132"/>
            </w:pPr>
            <w:r>
              <w:t>58.5%</w:t>
            </w:r>
          </w:p>
        </w:tc>
        <w:tc>
          <w:tcPr>
            <w:tcW w:w="615" w:type="pct"/>
            <w:vAlign w:val="center"/>
          </w:tcPr>
          <w:p>
            <w:pPr>
              <w:pStyle w:val="1132"/>
            </w:pPr>
            <w:r>
              <w:t>19.1%</w:t>
            </w:r>
          </w:p>
        </w:tc>
        <w:tc>
          <w:tcPr>
            <w:tcW w:w="616" w:type="pct"/>
            <w:vAlign w:val="center"/>
          </w:tcPr>
          <w:p>
            <w:pPr>
              <w:pStyle w:val="1132"/>
            </w:pPr>
            <w:r>
              <w:t>15.3%</w:t>
            </w:r>
          </w:p>
        </w:tc>
        <w:tc>
          <w:tcPr>
            <w:tcW w:w="615" w:type="pct"/>
            <w:vAlign w:val="center"/>
          </w:tcPr>
          <w:p>
            <w:pPr>
              <w:pStyle w:val="1132"/>
            </w:pPr>
            <w:r>
              <w:t>1.5%</w:t>
            </w:r>
          </w:p>
        </w:tc>
        <w:tc>
          <w:tcPr>
            <w:tcW w:w="616" w:type="pct"/>
            <w:vAlign w:val="center"/>
          </w:tcPr>
          <w:p>
            <w:pPr>
              <w:pStyle w:val="1132"/>
            </w:pPr>
            <w:r>
              <w:t>3.2%</w:t>
            </w:r>
          </w:p>
        </w:tc>
        <w:tc>
          <w:tcPr>
            <w:tcW w:w="615" w:type="pct"/>
            <w:vAlign w:val="center"/>
          </w:tcPr>
          <w:p>
            <w:pPr>
              <w:pStyle w:val="1132"/>
            </w:pPr>
            <w:r>
              <w:t>2.3%</w:t>
            </w:r>
          </w:p>
        </w:tc>
        <w:tc>
          <w:tcPr>
            <w:tcW w:w="616" w:type="pct"/>
            <w:vAlign w:val="center"/>
          </w:tcPr>
          <w:p>
            <w:pPr>
              <w:pStyle w:val="1132"/>
            </w:pPr>
            <w:r>
              <w:rPr>
                <w:rFonts w:hint="eastAsia"/>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42" w:hRule="atLeast"/>
          <w:jc w:val="center"/>
        </w:trPr>
        <w:tc>
          <w:tcPr>
            <w:tcW w:w="690" w:type="pct"/>
            <w:vAlign w:val="center"/>
          </w:tcPr>
          <w:p>
            <w:pPr>
              <w:pStyle w:val="1132"/>
            </w:pPr>
            <w:r>
              <w:rPr>
                <w:rFonts w:hint="eastAsia"/>
              </w:rPr>
              <w:t>2035</w:t>
            </w:r>
          </w:p>
        </w:tc>
        <w:tc>
          <w:tcPr>
            <w:tcW w:w="615" w:type="pct"/>
            <w:vAlign w:val="center"/>
          </w:tcPr>
          <w:p>
            <w:pPr>
              <w:pStyle w:val="1132"/>
            </w:pPr>
            <w:r>
              <w:t>58.2%</w:t>
            </w:r>
          </w:p>
        </w:tc>
        <w:tc>
          <w:tcPr>
            <w:tcW w:w="615" w:type="pct"/>
            <w:vAlign w:val="center"/>
          </w:tcPr>
          <w:p>
            <w:pPr>
              <w:pStyle w:val="1132"/>
            </w:pPr>
            <w:r>
              <w:t>19.0%</w:t>
            </w:r>
          </w:p>
        </w:tc>
        <w:tc>
          <w:tcPr>
            <w:tcW w:w="616" w:type="pct"/>
            <w:vAlign w:val="center"/>
          </w:tcPr>
          <w:p>
            <w:pPr>
              <w:pStyle w:val="1132"/>
            </w:pPr>
            <w:r>
              <w:t>16.1%</w:t>
            </w:r>
          </w:p>
        </w:tc>
        <w:tc>
          <w:tcPr>
            <w:tcW w:w="615" w:type="pct"/>
            <w:vAlign w:val="center"/>
          </w:tcPr>
          <w:p>
            <w:pPr>
              <w:pStyle w:val="1132"/>
            </w:pPr>
            <w:r>
              <w:t>1.5%</w:t>
            </w:r>
          </w:p>
        </w:tc>
        <w:tc>
          <w:tcPr>
            <w:tcW w:w="616" w:type="pct"/>
            <w:vAlign w:val="center"/>
          </w:tcPr>
          <w:p>
            <w:pPr>
              <w:pStyle w:val="1132"/>
            </w:pPr>
            <w:r>
              <w:t>3.1%</w:t>
            </w:r>
          </w:p>
        </w:tc>
        <w:tc>
          <w:tcPr>
            <w:tcW w:w="615" w:type="pct"/>
            <w:vAlign w:val="center"/>
          </w:tcPr>
          <w:p>
            <w:pPr>
              <w:pStyle w:val="1132"/>
            </w:pPr>
            <w:r>
              <w:t>2.0%</w:t>
            </w:r>
          </w:p>
        </w:tc>
        <w:tc>
          <w:tcPr>
            <w:tcW w:w="616" w:type="pct"/>
            <w:vAlign w:val="center"/>
          </w:tcPr>
          <w:p>
            <w:pPr>
              <w:pStyle w:val="1132"/>
            </w:pPr>
            <w:r>
              <w:rPr>
                <w:rFonts w:hint="eastAsia"/>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42" w:hRule="atLeast"/>
          <w:jc w:val="center"/>
        </w:trPr>
        <w:tc>
          <w:tcPr>
            <w:tcW w:w="690" w:type="pct"/>
            <w:vAlign w:val="center"/>
          </w:tcPr>
          <w:p>
            <w:pPr>
              <w:pStyle w:val="1132"/>
            </w:pPr>
            <w:r>
              <w:rPr>
                <w:rFonts w:hint="eastAsia"/>
              </w:rPr>
              <w:t>2040</w:t>
            </w:r>
          </w:p>
        </w:tc>
        <w:tc>
          <w:tcPr>
            <w:tcW w:w="615" w:type="pct"/>
            <w:vAlign w:val="center"/>
          </w:tcPr>
          <w:p>
            <w:pPr>
              <w:pStyle w:val="1132"/>
            </w:pPr>
            <w:r>
              <w:t>58.7%</w:t>
            </w:r>
          </w:p>
        </w:tc>
        <w:tc>
          <w:tcPr>
            <w:tcW w:w="615" w:type="pct"/>
            <w:vAlign w:val="center"/>
          </w:tcPr>
          <w:p>
            <w:pPr>
              <w:pStyle w:val="1132"/>
            </w:pPr>
            <w:r>
              <w:t>19.3%</w:t>
            </w:r>
          </w:p>
        </w:tc>
        <w:tc>
          <w:tcPr>
            <w:tcW w:w="616" w:type="pct"/>
            <w:vAlign w:val="center"/>
          </w:tcPr>
          <w:p>
            <w:pPr>
              <w:pStyle w:val="1132"/>
            </w:pPr>
            <w:r>
              <w:t>16.0%</w:t>
            </w:r>
          </w:p>
        </w:tc>
        <w:tc>
          <w:tcPr>
            <w:tcW w:w="615" w:type="pct"/>
            <w:vAlign w:val="center"/>
          </w:tcPr>
          <w:p>
            <w:pPr>
              <w:pStyle w:val="1132"/>
            </w:pPr>
            <w:r>
              <w:t>1.3%</w:t>
            </w:r>
          </w:p>
        </w:tc>
        <w:tc>
          <w:tcPr>
            <w:tcW w:w="616" w:type="pct"/>
            <w:vAlign w:val="center"/>
          </w:tcPr>
          <w:p>
            <w:pPr>
              <w:pStyle w:val="1132"/>
            </w:pPr>
            <w:r>
              <w:t>2.8%</w:t>
            </w:r>
          </w:p>
        </w:tc>
        <w:tc>
          <w:tcPr>
            <w:tcW w:w="615" w:type="pct"/>
            <w:vAlign w:val="center"/>
          </w:tcPr>
          <w:p>
            <w:pPr>
              <w:pStyle w:val="1132"/>
            </w:pPr>
            <w:r>
              <w:t>1.9%</w:t>
            </w:r>
          </w:p>
        </w:tc>
        <w:tc>
          <w:tcPr>
            <w:tcW w:w="616" w:type="pct"/>
            <w:vAlign w:val="center"/>
          </w:tcPr>
          <w:p>
            <w:pPr>
              <w:pStyle w:val="1132"/>
            </w:pPr>
            <w:r>
              <w:rPr>
                <w:rFonts w:hint="eastAsia"/>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42" w:hRule="atLeast"/>
          <w:jc w:val="center"/>
        </w:trPr>
        <w:tc>
          <w:tcPr>
            <w:tcW w:w="690" w:type="pct"/>
            <w:vAlign w:val="center"/>
          </w:tcPr>
          <w:p>
            <w:pPr>
              <w:pStyle w:val="1132"/>
            </w:pPr>
            <w:r>
              <w:rPr>
                <w:rFonts w:hint="eastAsia"/>
              </w:rPr>
              <w:t>2</w:t>
            </w:r>
            <w:r>
              <w:t>04</w:t>
            </w:r>
            <w:r>
              <w:rPr>
                <w:rFonts w:hint="eastAsia"/>
              </w:rPr>
              <w:t>4</w:t>
            </w:r>
          </w:p>
        </w:tc>
        <w:tc>
          <w:tcPr>
            <w:tcW w:w="615" w:type="pct"/>
            <w:vAlign w:val="center"/>
          </w:tcPr>
          <w:p>
            <w:pPr>
              <w:pStyle w:val="1132"/>
            </w:pPr>
            <w:r>
              <w:t>59.1%</w:t>
            </w:r>
          </w:p>
        </w:tc>
        <w:tc>
          <w:tcPr>
            <w:tcW w:w="615" w:type="pct"/>
            <w:vAlign w:val="center"/>
          </w:tcPr>
          <w:p>
            <w:pPr>
              <w:pStyle w:val="1132"/>
            </w:pPr>
            <w:r>
              <w:t>19.6%</w:t>
            </w:r>
          </w:p>
        </w:tc>
        <w:tc>
          <w:tcPr>
            <w:tcW w:w="616" w:type="pct"/>
            <w:vAlign w:val="center"/>
          </w:tcPr>
          <w:p>
            <w:pPr>
              <w:pStyle w:val="1132"/>
            </w:pPr>
            <w:r>
              <w:t>16.0%</w:t>
            </w:r>
          </w:p>
        </w:tc>
        <w:tc>
          <w:tcPr>
            <w:tcW w:w="615" w:type="pct"/>
            <w:vAlign w:val="center"/>
          </w:tcPr>
          <w:p>
            <w:pPr>
              <w:pStyle w:val="1132"/>
            </w:pPr>
            <w:r>
              <w:t>1.2%</w:t>
            </w:r>
          </w:p>
        </w:tc>
        <w:tc>
          <w:tcPr>
            <w:tcW w:w="616" w:type="pct"/>
            <w:vAlign w:val="center"/>
          </w:tcPr>
          <w:p>
            <w:pPr>
              <w:pStyle w:val="1132"/>
            </w:pPr>
            <w:r>
              <w:t>2.4%</w:t>
            </w:r>
          </w:p>
        </w:tc>
        <w:tc>
          <w:tcPr>
            <w:tcW w:w="615" w:type="pct"/>
            <w:vAlign w:val="center"/>
          </w:tcPr>
          <w:p>
            <w:pPr>
              <w:pStyle w:val="1132"/>
            </w:pPr>
            <w:r>
              <w:t>1.7%</w:t>
            </w:r>
          </w:p>
        </w:tc>
        <w:tc>
          <w:tcPr>
            <w:tcW w:w="616" w:type="pct"/>
            <w:vAlign w:val="center"/>
          </w:tcPr>
          <w:p>
            <w:pPr>
              <w:pStyle w:val="1132"/>
            </w:pPr>
            <w:r>
              <w:rPr>
                <w:rFonts w:hint="eastAsia"/>
              </w:rPr>
              <w:t>100.00%</w:t>
            </w:r>
          </w:p>
        </w:tc>
      </w:tr>
    </w:tbl>
    <w:p>
      <w:pPr>
        <w:pStyle w:val="112"/>
        <w:ind w:firstLine="480"/>
      </w:pPr>
      <w:r>
        <w:t>交通噪声预测年取公路竣工投入运营后第1年、第7年和第15年分别代表运营近期、中期、远期进行评价。本项目</w:t>
      </w:r>
      <w:r>
        <w:rPr>
          <w:rFonts w:hint="eastAsia"/>
        </w:rPr>
        <w:t>拟</w:t>
      </w:r>
      <w:r>
        <w:t>20</w:t>
      </w:r>
      <w:r>
        <w:rPr>
          <w:rFonts w:hint="eastAsia"/>
        </w:rPr>
        <w:t>2</w:t>
      </w:r>
      <w:r>
        <w:t>3年</w:t>
      </w:r>
      <w:r>
        <w:rPr>
          <w:rFonts w:hint="eastAsia"/>
        </w:rPr>
        <w:t>1</w:t>
      </w:r>
      <w:r>
        <w:t>2</w:t>
      </w:r>
      <w:r>
        <w:rPr>
          <w:rFonts w:hint="eastAsia"/>
        </w:rPr>
        <w:t>月</w:t>
      </w:r>
      <w:r>
        <w:t>建成通车，即预测年</w:t>
      </w:r>
      <w:r>
        <w:rPr>
          <w:rFonts w:hint="eastAsia"/>
        </w:rPr>
        <w:t>为2</w:t>
      </w:r>
      <w:r>
        <w:t>024</w:t>
      </w:r>
      <w:r>
        <w:rPr>
          <w:rFonts w:hint="eastAsia"/>
        </w:rPr>
        <w:t>年、2</w:t>
      </w:r>
      <w:r>
        <w:t>030</w:t>
      </w:r>
      <w:r>
        <w:rPr>
          <w:rFonts w:hint="eastAsia"/>
        </w:rPr>
        <w:t>年、2</w:t>
      </w:r>
      <w:r>
        <w:t>038</w:t>
      </w:r>
      <w:r>
        <w:rPr>
          <w:rFonts w:hint="eastAsia"/>
        </w:rPr>
        <w:t>年。</w:t>
      </w:r>
    </w:p>
    <w:p>
      <w:pPr>
        <w:pStyle w:val="10"/>
        <w:ind w:firstLine="480"/>
        <w:rPr>
          <w:b/>
          <w:bCs/>
        </w:rPr>
      </w:pPr>
      <w:r>
        <w:t>项目工程可行性研究报告中给出的特征年与环境影响评价的预测年不吻合，需进行换算。可假设预测年内交通量的年增长率</w:t>
      </w:r>
      <w:r>
        <w:rPr>
          <w:rFonts w:hint="eastAsia"/>
        </w:rPr>
        <w:t>保持不变，</w:t>
      </w:r>
      <w:r>
        <w:t>由此计算</w:t>
      </w:r>
      <w:r>
        <w:rPr>
          <w:rFonts w:hint="eastAsia"/>
        </w:rPr>
        <w:t>2</w:t>
      </w:r>
      <w:r>
        <w:t>024年</w:t>
      </w:r>
      <w:r>
        <w:rPr>
          <w:rFonts w:hint="eastAsia"/>
        </w:rPr>
        <w:t>、2</w:t>
      </w:r>
      <w:r>
        <w:t>030年、</w:t>
      </w:r>
      <w:r>
        <w:rPr>
          <w:rFonts w:hint="eastAsia"/>
        </w:rPr>
        <w:t>2</w:t>
      </w:r>
      <w:r>
        <w:t>038年的交通量。各预测年的换算交通量详见</w:t>
      </w:r>
      <w:r>
        <w:rPr>
          <w:rFonts w:hint="eastAsia"/>
        </w:rPr>
        <w:t>下</w:t>
      </w:r>
      <w:r>
        <w:t>表</w:t>
      </w:r>
      <w:r>
        <w:rPr>
          <w:rFonts w:hint="eastAsia"/>
        </w:rPr>
        <w:t>。</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r>
        <w:t xml:space="preserve">  拟建工程各预测年交通量  单位：</w:t>
      </w:r>
      <w:r>
        <w:rPr>
          <w:rFonts w:hint="eastAsia"/>
        </w:rPr>
        <w:t>辆/日</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00"/>
        <w:gridCol w:w="2200"/>
        <w:gridCol w:w="2350"/>
        <w:gridCol w:w="23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09" w:type="pct"/>
            <w:tcMar>
              <w:top w:w="15" w:type="dxa"/>
              <w:left w:w="15" w:type="dxa"/>
              <w:right w:w="15" w:type="dxa"/>
            </w:tcMar>
            <w:vAlign w:val="center"/>
          </w:tcPr>
          <w:p>
            <w:pPr>
              <w:pStyle w:val="1132"/>
              <w:rPr>
                <w:rFonts w:hint="eastAsia"/>
                <w:b/>
                <w:bCs w:val="0"/>
              </w:rPr>
            </w:pPr>
            <w:r>
              <w:rPr>
                <w:rFonts w:hint="eastAsia"/>
                <w:b/>
                <w:bCs w:val="0"/>
              </w:rPr>
              <w:t>特征年</w:t>
            </w:r>
          </w:p>
        </w:tc>
        <w:tc>
          <w:tcPr>
            <w:tcW w:w="1209" w:type="pct"/>
            <w:noWrap/>
            <w:tcMar>
              <w:top w:w="15" w:type="dxa"/>
              <w:left w:w="15" w:type="dxa"/>
              <w:right w:w="15" w:type="dxa"/>
            </w:tcMar>
            <w:vAlign w:val="center"/>
          </w:tcPr>
          <w:p>
            <w:pPr>
              <w:pStyle w:val="1132"/>
              <w:rPr>
                <w:rFonts w:hint="eastAsia"/>
                <w:b/>
                <w:bCs w:val="0"/>
              </w:rPr>
            </w:pPr>
            <w:r>
              <w:rPr>
                <w:rFonts w:hint="eastAsia"/>
                <w:b/>
                <w:bCs w:val="0"/>
              </w:rPr>
              <w:t>客车</w:t>
            </w:r>
          </w:p>
        </w:tc>
        <w:tc>
          <w:tcPr>
            <w:tcW w:w="1291" w:type="pct"/>
            <w:noWrap/>
            <w:tcMar>
              <w:top w:w="15" w:type="dxa"/>
              <w:left w:w="15" w:type="dxa"/>
              <w:right w:w="15" w:type="dxa"/>
            </w:tcMar>
            <w:vAlign w:val="center"/>
          </w:tcPr>
          <w:p>
            <w:pPr>
              <w:pStyle w:val="1132"/>
              <w:rPr>
                <w:rFonts w:hint="eastAsia"/>
                <w:b/>
                <w:bCs w:val="0"/>
              </w:rPr>
            </w:pPr>
            <w:r>
              <w:rPr>
                <w:rFonts w:hint="eastAsia"/>
                <w:b/>
                <w:bCs w:val="0"/>
              </w:rPr>
              <w:t>货车</w:t>
            </w:r>
          </w:p>
        </w:tc>
        <w:tc>
          <w:tcPr>
            <w:tcW w:w="1291" w:type="pct"/>
            <w:noWrap/>
            <w:tcMar>
              <w:top w:w="15" w:type="dxa"/>
              <w:left w:w="15" w:type="dxa"/>
              <w:right w:w="15" w:type="dxa"/>
            </w:tcMar>
            <w:vAlign w:val="center"/>
          </w:tcPr>
          <w:p>
            <w:pPr>
              <w:pStyle w:val="1132"/>
              <w:rPr>
                <w:rFonts w:hint="eastAsia"/>
                <w:b/>
                <w:bCs w:val="0"/>
              </w:rPr>
            </w:pPr>
            <w:r>
              <w:rPr>
                <w:rFonts w:hint="eastAsia"/>
                <w:b/>
                <w:bCs w:val="0"/>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09" w:type="pct"/>
            <w:tcMar>
              <w:top w:w="15" w:type="dxa"/>
              <w:left w:w="15" w:type="dxa"/>
              <w:right w:w="15" w:type="dxa"/>
            </w:tcMar>
            <w:vAlign w:val="center"/>
          </w:tcPr>
          <w:p>
            <w:pPr>
              <w:pStyle w:val="1132"/>
              <w:rPr>
                <w:rFonts w:hint="eastAsia"/>
              </w:rPr>
            </w:pPr>
            <w:r>
              <w:rPr>
                <w:rFonts w:hint="eastAsia"/>
              </w:rPr>
              <w:t>2024年</w:t>
            </w:r>
          </w:p>
        </w:tc>
        <w:tc>
          <w:tcPr>
            <w:tcW w:w="1209" w:type="pct"/>
            <w:noWrap/>
            <w:tcMar>
              <w:top w:w="15" w:type="dxa"/>
              <w:left w:w="15" w:type="dxa"/>
              <w:right w:w="15" w:type="dxa"/>
            </w:tcMar>
            <w:vAlign w:val="center"/>
          </w:tcPr>
          <w:p>
            <w:pPr>
              <w:pStyle w:val="1132"/>
              <w:rPr>
                <w:rFonts w:hint="eastAsia"/>
              </w:rPr>
            </w:pPr>
            <w:r>
              <w:rPr>
                <w:rFonts w:hint="eastAsia"/>
              </w:rPr>
              <w:t>7422</w:t>
            </w:r>
          </w:p>
        </w:tc>
        <w:tc>
          <w:tcPr>
            <w:tcW w:w="1291" w:type="pct"/>
            <w:noWrap/>
            <w:tcMar>
              <w:top w:w="15" w:type="dxa"/>
              <w:left w:w="15" w:type="dxa"/>
              <w:right w:w="15" w:type="dxa"/>
            </w:tcMar>
            <w:vAlign w:val="center"/>
          </w:tcPr>
          <w:p>
            <w:pPr>
              <w:pStyle w:val="1132"/>
              <w:rPr>
                <w:rFonts w:hint="eastAsia"/>
              </w:rPr>
            </w:pPr>
            <w:r>
              <w:rPr>
                <w:rFonts w:hint="eastAsia"/>
              </w:rPr>
              <w:t>3060</w:t>
            </w:r>
          </w:p>
        </w:tc>
        <w:tc>
          <w:tcPr>
            <w:tcW w:w="1291" w:type="pct"/>
            <w:noWrap/>
            <w:tcMar>
              <w:top w:w="15" w:type="dxa"/>
              <w:left w:w="15" w:type="dxa"/>
              <w:right w:w="15" w:type="dxa"/>
            </w:tcMar>
            <w:vAlign w:val="center"/>
          </w:tcPr>
          <w:p>
            <w:pPr>
              <w:pStyle w:val="1132"/>
              <w:rPr>
                <w:rFonts w:hint="eastAsia"/>
              </w:rPr>
            </w:pPr>
            <w:r>
              <w:rPr>
                <w:rFonts w:hint="eastAsia"/>
              </w:rPr>
              <w:t>10482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09" w:type="pct"/>
            <w:tcMar>
              <w:top w:w="15" w:type="dxa"/>
              <w:left w:w="15" w:type="dxa"/>
              <w:right w:w="15" w:type="dxa"/>
            </w:tcMar>
            <w:vAlign w:val="center"/>
          </w:tcPr>
          <w:p>
            <w:pPr>
              <w:pStyle w:val="1132"/>
              <w:rPr>
                <w:rFonts w:hint="eastAsia"/>
              </w:rPr>
            </w:pPr>
            <w:r>
              <w:rPr>
                <w:rFonts w:hint="eastAsia"/>
              </w:rPr>
              <w:t>2030年</w:t>
            </w:r>
          </w:p>
        </w:tc>
        <w:tc>
          <w:tcPr>
            <w:tcW w:w="1209" w:type="pct"/>
            <w:noWrap/>
            <w:tcMar>
              <w:top w:w="15" w:type="dxa"/>
              <w:left w:w="15" w:type="dxa"/>
              <w:right w:w="15" w:type="dxa"/>
            </w:tcMar>
            <w:vAlign w:val="center"/>
          </w:tcPr>
          <w:p>
            <w:pPr>
              <w:pStyle w:val="1132"/>
              <w:rPr>
                <w:rFonts w:hint="eastAsia"/>
              </w:rPr>
            </w:pPr>
            <w:r>
              <w:rPr>
                <w:rFonts w:hint="eastAsia"/>
              </w:rPr>
              <w:t>11066</w:t>
            </w:r>
          </w:p>
        </w:tc>
        <w:tc>
          <w:tcPr>
            <w:tcW w:w="1291" w:type="pct"/>
            <w:noWrap/>
            <w:tcMar>
              <w:top w:w="15" w:type="dxa"/>
              <w:left w:w="15" w:type="dxa"/>
              <w:right w:w="15" w:type="dxa"/>
            </w:tcMar>
            <w:vAlign w:val="center"/>
          </w:tcPr>
          <w:p>
            <w:pPr>
              <w:pStyle w:val="1132"/>
              <w:rPr>
                <w:rFonts w:hint="eastAsia"/>
              </w:rPr>
            </w:pPr>
            <w:r>
              <w:rPr>
                <w:rFonts w:hint="eastAsia"/>
              </w:rPr>
              <w:t>4584</w:t>
            </w:r>
          </w:p>
        </w:tc>
        <w:tc>
          <w:tcPr>
            <w:tcW w:w="1291" w:type="pct"/>
            <w:noWrap/>
            <w:tcMar>
              <w:top w:w="15" w:type="dxa"/>
              <w:left w:w="15" w:type="dxa"/>
              <w:right w:w="15" w:type="dxa"/>
            </w:tcMar>
            <w:vAlign w:val="center"/>
          </w:tcPr>
          <w:p>
            <w:pPr>
              <w:pStyle w:val="1132"/>
              <w:rPr>
                <w:rFonts w:hint="eastAsia"/>
              </w:rPr>
            </w:pPr>
            <w:r>
              <w:rPr>
                <w:rFonts w:hint="eastAsia"/>
              </w:rPr>
              <w:t>15650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09" w:type="pct"/>
            <w:tcMar>
              <w:top w:w="15" w:type="dxa"/>
              <w:left w:w="15" w:type="dxa"/>
              <w:right w:w="15" w:type="dxa"/>
            </w:tcMar>
            <w:vAlign w:val="center"/>
          </w:tcPr>
          <w:p>
            <w:pPr>
              <w:pStyle w:val="1132"/>
              <w:rPr>
                <w:rFonts w:hint="eastAsia"/>
              </w:rPr>
            </w:pPr>
            <w:r>
              <w:rPr>
                <w:rFonts w:hint="eastAsia"/>
              </w:rPr>
              <w:t>2038年</w:t>
            </w:r>
          </w:p>
        </w:tc>
        <w:tc>
          <w:tcPr>
            <w:tcW w:w="1209" w:type="pct"/>
            <w:noWrap/>
            <w:tcMar>
              <w:top w:w="15" w:type="dxa"/>
              <w:left w:w="15" w:type="dxa"/>
              <w:right w:w="15" w:type="dxa"/>
            </w:tcMar>
            <w:vAlign w:val="center"/>
          </w:tcPr>
          <w:p>
            <w:pPr>
              <w:pStyle w:val="1132"/>
              <w:rPr>
                <w:rFonts w:hint="eastAsia"/>
              </w:rPr>
            </w:pPr>
            <w:r>
              <w:rPr>
                <w:rFonts w:hint="eastAsia"/>
              </w:rPr>
              <w:t>16601</w:t>
            </w:r>
          </w:p>
        </w:tc>
        <w:tc>
          <w:tcPr>
            <w:tcW w:w="1291" w:type="pct"/>
            <w:noWrap/>
            <w:tcMar>
              <w:top w:w="15" w:type="dxa"/>
              <w:left w:w="15" w:type="dxa"/>
              <w:right w:w="15" w:type="dxa"/>
            </w:tcMar>
            <w:vAlign w:val="center"/>
          </w:tcPr>
          <w:p>
            <w:pPr>
              <w:pStyle w:val="1132"/>
              <w:rPr>
                <w:rFonts w:hint="eastAsia"/>
              </w:rPr>
            </w:pPr>
            <w:r>
              <w:rPr>
                <w:rFonts w:hint="eastAsia"/>
              </w:rPr>
              <w:t>7020</w:t>
            </w:r>
          </w:p>
        </w:tc>
        <w:tc>
          <w:tcPr>
            <w:tcW w:w="1291" w:type="pct"/>
            <w:noWrap/>
            <w:tcMar>
              <w:top w:w="15" w:type="dxa"/>
              <w:left w:w="15" w:type="dxa"/>
              <w:right w:w="15" w:type="dxa"/>
            </w:tcMar>
            <w:vAlign w:val="center"/>
          </w:tcPr>
          <w:p>
            <w:pPr>
              <w:pStyle w:val="1132"/>
              <w:rPr>
                <w:rFonts w:hint="eastAsia"/>
              </w:rPr>
            </w:pPr>
            <w:r>
              <w:rPr>
                <w:rFonts w:hint="eastAsia"/>
              </w:rPr>
              <w:t>23621</w:t>
            </w:r>
          </w:p>
        </w:tc>
      </w:tr>
    </w:tbl>
    <w:p>
      <w:pPr>
        <w:pStyle w:val="10"/>
        <w:ind w:firstLine="480"/>
      </w:pPr>
      <w:r>
        <w:t>项目工程可行性研究报告中给出的特征年与环境影响评价的预测年不吻合，</w:t>
      </w:r>
      <w:r>
        <w:rPr>
          <w:rFonts w:hint="eastAsia"/>
        </w:rPr>
        <w:t>取202</w:t>
      </w:r>
      <w:r>
        <w:t>4</w:t>
      </w:r>
      <w:r>
        <w:rPr>
          <w:rFonts w:hint="eastAsia"/>
        </w:rPr>
        <w:t>年、20</w:t>
      </w:r>
      <w:r>
        <w:t>30</w:t>
      </w:r>
      <w:r>
        <w:rPr>
          <w:rFonts w:hint="eastAsia"/>
        </w:rPr>
        <w:t>年、203</w:t>
      </w:r>
      <w:r>
        <w:t>8</w:t>
      </w:r>
      <w:r>
        <w:rPr>
          <w:rFonts w:hint="eastAsia"/>
        </w:rPr>
        <w:t>年的车型比作为预测年份的车型比，</w:t>
      </w:r>
      <w:r>
        <w:t>拟建工程预测年车型构成比例具体见</w:t>
      </w:r>
      <w:r>
        <w:rPr>
          <w:rFonts w:hint="eastAsia"/>
        </w:rPr>
        <w:t>下</w:t>
      </w:r>
      <w:r>
        <w:t>表。</w:t>
      </w:r>
    </w:p>
    <w:p>
      <w:pPr>
        <w:pStyle w:val="19"/>
        <w:rPr>
          <w:rFonts w:hint="eastAsia"/>
        </w:rPr>
      </w:pPr>
    </w:p>
    <w:p>
      <w:pPr>
        <w:pStyle w:val="19"/>
        <w:rPr>
          <w:rFonts w:hint="eastAsia"/>
        </w:rPr>
      </w:pPr>
    </w:p>
    <w:p>
      <w:pPr>
        <w:pStyle w:val="19"/>
        <w:rPr>
          <w:bCs/>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rPr>
          <w:bCs/>
        </w:rPr>
        <w:t xml:space="preserve">  本项目</w:t>
      </w:r>
      <w:r>
        <w:rPr>
          <w:rFonts w:hint="eastAsia"/>
          <w:bCs/>
        </w:rPr>
        <w:t>车型比例</w:t>
      </w:r>
      <w:r>
        <w:rPr>
          <w:bCs/>
        </w:rPr>
        <w:t>预测结果</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1260"/>
        <w:gridCol w:w="1125"/>
        <w:gridCol w:w="1125"/>
        <w:gridCol w:w="1125"/>
        <w:gridCol w:w="1123"/>
        <w:gridCol w:w="1125"/>
        <w:gridCol w:w="1123"/>
        <w:gridCol w:w="1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42" w:hRule="atLeast"/>
          <w:jc w:val="center"/>
        </w:trPr>
        <w:tc>
          <w:tcPr>
            <w:tcW w:w="690" w:type="pct"/>
            <w:vAlign w:val="center"/>
          </w:tcPr>
          <w:p>
            <w:pPr>
              <w:pStyle w:val="1132"/>
              <w:rPr>
                <w:b/>
                <w:bCs w:val="0"/>
              </w:rPr>
            </w:pPr>
            <w:r>
              <w:rPr>
                <w:rFonts w:hint="eastAsia"/>
                <w:b/>
                <w:bCs w:val="0"/>
              </w:rPr>
              <w:t>年份</w:t>
            </w:r>
          </w:p>
        </w:tc>
        <w:tc>
          <w:tcPr>
            <w:tcW w:w="616" w:type="pct"/>
            <w:vAlign w:val="center"/>
          </w:tcPr>
          <w:p>
            <w:pPr>
              <w:pStyle w:val="1132"/>
              <w:rPr>
                <w:b/>
                <w:bCs w:val="0"/>
              </w:rPr>
            </w:pPr>
            <w:r>
              <w:rPr>
                <w:rFonts w:hint="eastAsia"/>
                <w:b/>
                <w:bCs w:val="0"/>
              </w:rPr>
              <w:t>小客</w:t>
            </w:r>
          </w:p>
        </w:tc>
        <w:tc>
          <w:tcPr>
            <w:tcW w:w="616" w:type="pct"/>
            <w:vAlign w:val="center"/>
          </w:tcPr>
          <w:p>
            <w:pPr>
              <w:pStyle w:val="1132"/>
              <w:rPr>
                <w:b/>
                <w:bCs w:val="0"/>
              </w:rPr>
            </w:pPr>
            <w:r>
              <w:rPr>
                <w:rFonts w:hint="eastAsia"/>
                <w:b/>
                <w:bCs w:val="0"/>
              </w:rPr>
              <w:t>大客</w:t>
            </w:r>
          </w:p>
        </w:tc>
        <w:tc>
          <w:tcPr>
            <w:tcW w:w="616" w:type="pct"/>
            <w:vAlign w:val="center"/>
          </w:tcPr>
          <w:p>
            <w:pPr>
              <w:pStyle w:val="1132"/>
              <w:rPr>
                <w:b/>
                <w:bCs w:val="0"/>
              </w:rPr>
            </w:pPr>
            <w:r>
              <w:rPr>
                <w:rFonts w:hint="eastAsia"/>
                <w:b/>
                <w:bCs w:val="0"/>
              </w:rPr>
              <w:t>小货</w:t>
            </w:r>
          </w:p>
        </w:tc>
        <w:tc>
          <w:tcPr>
            <w:tcW w:w="615" w:type="pct"/>
            <w:vAlign w:val="center"/>
          </w:tcPr>
          <w:p>
            <w:pPr>
              <w:pStyle w:val="1132"/>
              <w:rPr>
                <w:b/>
                <w:bCs w:val="0"/>
              </w:rPr>
            </w:pPr>
            <w:r>
              <w:rPr>
                <w:rFonts w:hint="eastAsia"/>
                <w:b/>
                <w:bCs w:val="0"/>
              </w:rPr>
              <w:t>中货</w:t>
            </w:r>
          </w:p>
        </w:tc>
        <w:tc>
          <w:tcPr>
            <w:tcW w:w="616" w:type="pct"/>
            <w:vAlign w:val="center"/>
          </w:tcPr>
          <w:p>
            <w:pPr>
              <w:pStyle w:val="1132"/>
              <w:rPr>
                <w:b/>
                <w:bCs w:val="0"/>
              </w:rPr>
            </w:pPr>
            <w:r>
              <w:rPr>
                <w:rFonts w:hint="eastAsia"/>
                <w:b/>
                <w:bCs w:val="0"/>
              </w:rPr>
              <w:t>大货</w:t>
            </w:r>
          </w:p>
        </w:tc>
        <w:tc>
          <w:tcPr>
            <w:tcW w:w="615" w:type="pct"/>
            <w:vAlign w:val="center"/>
          </w:tcPr>
          <w:p>
            <w:pPr>
              <w:pStyle w:val="1132"/>
              <w:rPr>
                <w:b/>
                <w:bCs w:val="0"/>
              </w:rPr>
            </w:pPr>
            <w:r>
              <w:rPr>
                <w:rFonts w:hint="eastAsia"/>
                <w:b/>
                <w:bCs w:val="0"/>
              </w:rPr>
              <w:t>拖挂车</w:t>
            </w:r>
          </w:p>
        </w:tc>
        <w:tc>
          <w:tcPr>
            <w:tcW w:w="615" w:type="pct"/>
            <w:vAlign w:val="center"/>
          </w:tcPr>
          <w:p>
            <w:pPr>
              <w:pStyle w:val="1132"/>
              <w:rPr>
                <w:b/>
                <w:bCs w:val="0"/>
              </w:rPr>
            </w:pPr>
            <w:r>
              <w:rPr>
                <w:rFonts w:hint="eastAsia"/>
                <w:b/>
                <w:bCs w:val="0"/>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42" w:hRule="atLeast"/>
          <w:jc w:val="center"/>
        </w:trPr>
        <w:tc>
          <w:tcPr>
            <w:tcW w:w="690" w:type="pct"/>
            <w:vAlign w:val="center"/>
          </w:tcPr>
          <w:p>
            <w:pPr>
              <w:pStyle w:val="1132"/>
            </w:pPr>
            <w:r>
              <w:rPr>
                <w:rFonts w:hint="eastAsia"/>
              </w:rPr>
              <w:t>2</w:t>
            </w:r>
            <w:r>
              <w:t>024</w:t>
            </w:r>
          </w:p>
        </w:tc>
        <w:tc>
          <w:tcPr>
            <w:tcW w:w="616" w:type="pct"/>
            <w:vAlign w:val="center"/>
          </w:tcPr>
          <w:p>
            <w:pPr>
              <w:pStyle w:val="1132"/>
            </w:pPr>
            <w:r>
              <w:rPr>
                <w:rFonts w:eastAsia="等线"/>
                <w:color w:val="000000"/>
                <w:szCs w:val="21"/>
              </w:rPr>
              <w:t>58.14%</w:t>
            </w:r>
          </w:p>
        </w:tc>
        <w:tc>
          <w:tcPr>
            <w:tcW w:w="616" w:type="pct"/>
            <w:vAlign w:val="center"/>
          </w:tcPr>
          <w:p>
            <w:pPr>
              <w:pStyle w:val="1132"/>
            </w:pPr>
            <w:r>
              <w:rPr>
                <w:rFonts w:eastAsia="等线"/>
                <w:color w:val="000000"/>
                <w:szCs w:val="21"/>
              </w:rPr>
              <w:t>18.86%</w:t>
            </w:r>
          </w:p>
        </w:tc>
        <w:tc>
          <w:tcPr>
            <w:tcW w:w="616" w:type="pct"/>
            <w:vAlign w:val="center"/>
          </w:tcPr>
          <w:p>
            <w:pPr>
              <w:pStyle w:val="1132"/>
            </w:pPr>
            <w:r>
              <w:rPr>
                <w:rFonts w:eastAsia="等线"/>
                <w:color w:val="000000"/>
                <w:szCs w:val="21"/>
              </w:rPr>
              <w:t>15.42%</w:t>
            </w:r>
          </w:p>
        </w:tc>
        <w:tc>
          <w:tcPr>
            <w:tcW w:w="615" w:type="pct"/>
            <w:vAlign w:val="center"/>
          </w:tcPr>
          <w:p>
            <w:pPr>
              <w:pStyle w:val="1132"/>
            </w:pPr>
            <w:r>
              <w:rPr>
                <w:rFonts w:eastAsia="等线"/>
                <w:color w:val="000000"/>
                <w:szCs w:val="21"/>
              </w:rPr>
              <w:t>1.62%</w:t>
            </w:r>
          </w:p>
        </w:tc>
        <w:tc>
          <w:tcPr>
            <w:tcW w:w="616" w:type="pct"/>
            <w:vAlign w:val="center"/>
          </w:tcPr>
          <w:p>
            <w:pPr>
              <w:pStyle w:val="1132"/>
            </w:pPr>
            <w:r>
              <w:rPr>
                <w:rFonts w:eastAsia="等线"/>
                <w:color w:val="000000"/>
                <w:szCs w:val="21"/>
              </w:rPr>
              <w:t>3.44%</w:t>
            </w:r>
          </w:p>
        </w:tc>
        <w:tc>
          <w:tcPr>
            <w:tcW w:w="615" w:type="pct"/>
            <w:vAlign w:val="center"/>
          </w:tcPr>
          <w:p>
            <w:pPr>
              <w:pStyle w:val="1132"/>
            </w:pPr>
            <w:r>
              <w:rPr>
                <w:rFonts w:eastAsia="等线"/>
                <w:color w:val="000000"/>
                <w:szCs w:val="21"/>
              </w:rPr>
              <w:t>2.42%</w:t>
            </w:r>
          </w:p>
        </w:tc>
        <w:tc>
          <w:tcPr>
            <w:tcW w:w="615" w:type="pct"/>
            <w:vAlign w:val="center"/>
          </w:tcPr>
          <w:p>
            <w:pPr>
              <w:pStyle w:val="1132"/>
            </w:pPr>
            <w:r>
              <w:rPr>
                <w:rFonts w:eastAsia="等线"/>
                <w:color w:val="000000"/>
                <w:szCs w:val="21"/>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42" w:hRule="atLeast"/>
          <w:jc w:val="center"/>
        </w:trPr>
        <w:tc>
          <w:tcPr>
            <w:tcW w:w="690" w:type="pct"/>
            <w:vAlign w:val="center"/>
          </w:tcPr>
          <w:p>
            <w:pPr>
              <w:pStyle w:val="1132"/>
            </w:pPr>
            <w:r>
              <w:rPr>
                <w:rFonts w:hint="eastAsia"/>
              </w:rPr>
              <w:t>2030</w:t>
            </w:r>
          </w:p>
        </w:tc>
        <w:tc>
          <w:tcPr>
            <w:tcW w:w="616" w:type="pct"/>
            <w:vAlign w:val="center"/>
          </w:tcPr>
          <w:p>
            <w:pPr>
              <w:pStyle w:val="1132"/>
            </w:pPr>
            <w:r>
              <w:t>58.5%</w:t>
            </w:r>
          </w:p>
        </w:tc>
        <w:tc>
          <w:tcPr>
            <w:tcW w:w="616" w:type="pct"/>
            <w:vAlign w:val="center"/>
          </w:tcPr>
          <w:p>
            <w:pPr>
              <w:pStyle w:val="1132"/>
            </w:pPr>
            <w:r>
              <w:t>19.1%</w:t>
            </w:r>
          </w:p>
        </w:tc>
        <w:tc>
          <w:tcPr>
            <w:tcW w:w="616" w:type="pct"/>
            <w:vAlign w:val="center"/>
          </w:tcPr>
          <w:p>
            <w:pPr>
              <w:pStyle w:val="1132"/>
            </w:pPr>
            <w:r>
              <w:t>15.3%</w:t>
            </w:r>
          </w:p>
        </w:tc>
        <w:tc>
          <w:tcPr>
            <w:tcW w:w="615" w:type="pct"/>
            <w:vAlign w:val="center"/>
          </w:tcPr>
          <w:p>
            <w:pPr>
              <w:pStyle w:val="1132"/>
            </w:pPr>
            <w:r>
              <w:t>1.5%</w:t>
            </w:r>
          </w:p>
        </w:tc>
        <w:tc>
          <w:tcPr>
            <w:tcW w:w="616" w:type="pct"/>
            <w:vAlign w:val="center"/>
          </w:tcPr>
          <w:p>
            <w:pPr>
              <w:pStyle w:val="1132"/>
            </w:pPr>
            <w:r>
              <w:t>3.2%</w:t>
            </w:r>
          </w:p>
        </w:tc>
        <w:tc>
          <w:tcPr>
            <w:tcW w:w="615" w:type="pct"/>
            <w:vAlign w:val="center"/>
          </w:tcPr>
          <w:p>
            <w:pPr>
              <w:pStyle w:val="1132"/>
            </w:pPr>
            <w:r>
              <w:t>2.3%</w:t>
            </w:r>
          </w:p>
        </w:tc>
        <w:tc>
          <w:tcPr>
            <w:tcW w:w="615" w:type="pct"/>
            <w:vAlign w:val="center"/>
          </w:tcPr>
          <w:p>
            <w:pPr>
              <w:pStyle w:val="1132"/>
            </w:pPr>
            <w:r>
              <w:rPr>
                <w:rFonts w:hint="eastAsia"/>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42" w:hRule="atLeast"/>
          <w:jc w:val="center"/>
        </w:trPr>
        <w:tc>
          <w:tcPr>
            <w:tcW w:w="690" w:type="pct"/>
            <w:vAlign w:val="center"/>
          </w:tcPr>
          <w:p>
            <w:pPr>
              <w:pStyle w:val="1132"/>
            </w:pPr>
            <w:r>
              <w:rPr>
                <w:rFonts w:hint="eastAsia"/>
              </w:rPr>
              <w:t>2</w:t>
            </w:r>
            <w:r>
              <w:t>038</w:t>
            </w:r>
          </w:p>
        </w:tc>
        <w:tc>
          <w:tcPr>
            <w:tcW w:w="616" w:type="pct"/>
            <w:vAlign w:val="center"/>
          </w:tcPr>
          <w:p>
            <w:pPr>
              <w:pStyle w:val="1132"/>
            </w:pPr>
            <w:r>
              <w:rPr>
                <w:rFonts w:eastAsia="等线"/>
                <w:color w:val="000000"/>
                <w:szCs w:val="21"/>
              </w:rPr>
              <w:t>58.50%</w:t>
            </w:r>
          </w:p>
        </w:tc>
        <w:tc>
          <w:tcPr>
            <w:tcW w:w="616" w:type="pct"/>
            <w:vAlign w:val="center"/>
          </w:tcPr>
          <w:p>
            <w:pPr>
              <w:pStyle w:val="1132"/>
            </w:pPr>
            <w:r>
              <w:rPr>
                <w:rFonts w:eastAsia="等线"/>
                <w:color w:val="000000"/>
                <w:szCs w:val="21"/>
              </w:rPr>
              <w:t>19.18%</w:t>
            </w:r>
          </w:p>
        </w:tc>
        <w:tc>
          <w:tcPr>
            <w:tcW w:w="616" w:type="pct"/>
            <w:vAlign w:val="center"/>
          </w:tcPr>
          <w:p>
            <w:pPr>
              <w:pStyle w:val="1132"/>
            </w:pPr>
            <w:r>
              <w:rPr>
                <w:rFonts w:eastAsia="等线"/>
                <w:color w:val="000000"/>
                <w:szCs w:val="21"/>
              </w:rPr>
              <w:t>16.04%</w:t>
            </w:r>
          </w:p>
        </w:tc>
        <w:tc>
          <w:tcPr>
            <w:tcW w:w="615" w:type="pct"/>
            <w:vAlign w:val="center"/>
          </w:tcPr>
          <w:p>
            <w:pPr>
              <w:pStyle w:val="1132"/>
            </w:pPr>
            <w:r>
              <w:rPr>
                <w:rFonts w:eastAsia="等线"/>
                <w:color w:val="000000"/>
                <w:szCs w:val="21"/>
              </w:rPr>
              <w:t>1.38%</w:t>
            </w:r>
          </w:p>
        </w:tc>
        <w:tc>
          <w:tcPr>
            <w:tcW w:w="616" w:type="pct"/>
            <w:vAlign w:val="center"/>
          </w:tcPr>
          <w:p>
            <w:pPr>
              <w:pStyle w:val="1132"/>
            </w:pPr>
            <w:r>
              <w:rPr>
                <w:rFonts w:eastAsia="等线"/>
                <w:color w:val="000000"/>
                <w:szCs w:val="21"/>
              </w:rPr>
              <w:t>2.92%</w:t>
            </w:r>
          </w:p>
        </w:tc>
        <w:tc>
          <w:tcPr>
            <w:tcW w:w="615" w:type="pct"/>
            <w:vAlign w:val="center"/>
          </w:tcPr>
          <w:p>
            <w:pPr>
              <w:pStyle w:val="1132"/>
            </w:pPr>
            <w:r>
              <w:rPr>
                <w:rFonts w:eastAsia="等线"/>
                <w:color w:val="000000"/>
                <w:szCs w:val="21"/>
              </w:rPr>
              <w:t>1.94%</w:t>
            </w:r>
          </w:p>
        </w:tc>
        <w:tc>
          <w:tcPr>
            <w:tcW w:w="615" w:type="pct"/>
            <w:vAlign w:val="center"/>
          </w:tcPr>
          <w:p>
            <w:pPr>
              <w:pStyle w:val="1132"/>
            </w:pPr>
            <w:r>
              <w:rPr>
                <w:rFonts w:eastAsia="等线"/>
                <w:color w:val="000000"/>
                <w:szCs w:val="21"/>
              </w:rPr>
              <w:t>100.00%</w:t>
            </w:r>
          </w:p>
        </w:tc>
      </w:tr>
    </w:tbl>
    <w:p>
      <w:pPr>
        <w:pStyle w:val="10"/>
        <w:ind w:firstLine="480"/>
      </w:pPr>
      <w:r>
        <w:t>根据《公路建设项目环境影响评价规范》（JTGB03-2006）</w:t>
      </w:r>
      <w:r>
        <w:rPr>
          <w:rFonts w:hint="eastAsia"/>
        </w:rPr>
        <w:t>中</w:t>
      </w:r>
      <w:r>
        <w:t>车型分类标准，小型车包括小客车、小货车，中型车包括</w:t>
      </w:r>
      <w:r>
        <w:rPr>
          <w:rFonts w:hint="eastAsia"/>
        </w:rPr>
        <w:t>中</w:t>
      </w:r>
      <w:r>
        <w:t>客车、中货车</w:t>
      </w:r>
      <w:r>
        <w:rPr>
          <w:rFonts w:hint="eastAsia"/>
        </w:rPr>
        <w:t>、大客车</w:t>
      </w:r>
      <w:r>
        <w:t>，大型车包括大货车</w:t>
      </w:r>
      <w:r>
        <w:rPr>
          <w:rFonts w:hint="eastAsia"/>
        </w:rPr>
        <w:t>、</w:t>
      </w:r>
      <w:r>
        <w:t>拖挂车。昼间和夜间</w:t>
      </w:r>
      <w:r>
        <w:rPr>
          <w:rFonts w:hint="eastAsia"/>
          <w:lang w:val="en-US" w:eastAsia="zh-CN"/>
        </w:rPr>
        <w:t>小时</w:t>
      </w:r>
      <w:r>
        <w:t>车流量按照</w:t>
      </w:r>
      <w:r>
        <w:rPr>
          <w:rFonts w:hint="eastAsia"/>
          <w:lang w:val="en-US" w:eastAsia="zh-CN"/>
        </w:rPr>
        <w:t>4</w:t>
      </w:r>
      <w:r>
        <w:t>:</w:t>
      </w:r>
      <w:r>
        <w:rPr>
          <w:rFonts w:hint="eastAsia"/>
          <w:lang w:val="en-US" w:eastAsia="zh-CN"/>
        </w:rPr>
        <w:t>1</w:t>
      </w:r>
      <w:r>
        <w:t>计，各预测年昼、夜小时小、中、大型车流量见</w:t>
      </w:r>
      <w:r>
        <w:rPr>
          <w:rFonts w:hint="eastAsia"/>
        </w:rPr>
        <w:t>下</w:t>
      </w:r>
      <w:r>
        <w:t>表</w:t>
      </w:r>
      <w:r>
        <w:rPr>
          <w:rFonts w:hint="eastAsia"/>
        </w:rPr>
        <w:t>。</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3.4</w:t>
      </w:r>
      <w:r>
        <w:fldChar w:fldCharType="end"/>
      </w:r>
      <w:r>
        <w:noBreakHyphen/>
      </w:r>
      <w:r>
        <w:rPr>
          <w:rFonts w:hint="eastAsia"/>
          <w:lang w:val="en-US" w:eastAsia="zh-CN"/>
        </w:rPr>
        <w:t>5</w:t>
      </w:r>
      <w:r>
        <w:t xml:space="preserve">  拟建</w:t>
      </w:r>
      <w:r>
        <w:rPr>
          <w:rFonts w:hint="eastAsia"/>
          <w:lang w:val="en-US" w:eastAsia="zh-CN"/>
        </w:rPr>
        <w:t>道路</w:t>
      </w:r>
      <w:r>
        <w:t>各预测年车流量分布表   单位：</w:t>
      </w:r>
      <w:r>
        <w:rPr>
          <w:rFonts w:hint="eastAsia"/>
          <w:lang w:val="en-US" w:eastAsia="zh-CN"/>
        </w:rPr>
        <w:t>辆</w:t>
      </w:r>
      <w:r>
        <w:t>/</w:t>
      </w:r>
      <w:r>
        <w:rPr>
          <w:rFonts w:hint="eastAsia"/>
        </w:rPr>
        <w:t>h</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216"/>
        <w:gridCol w:w="1216"/>
        <w:gridCol w:w="1216"/>
        <w:gridCol w:w="1380"/>
        <w:gridCol w:w="1521"/>
        <w:gridCol w:w="1521"/>
        <w:gridCol w:w="1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9" w:hRule="atLeast"/>
        </w:trPr>
        <w:tc>
          <w:tcPr>
            <w:tcW w:w="655" w:type="pct"/>
            <w:vMerge w:val="restart"/>
            <w:shd w:val="clear" w:color="auto" w:fill="auto"/>
            <w:vAlign w:val="center"/>
          </w:tcPr>
          <w:p>
            <w:pPr>
              <w:pStyle w:val="1132"/>
              <w:rPr>
                <w:b/>
                <w:bCs w:val="0"/>
                <w:highlight w:val="none"/>
              </w:rPr>
            </w:pPr>
            <w:r>
              <w:rPr>
                <w:b/>
                <w:bCs w:val="0"/>
                <w:highlight w:val="none"/>
              </w:rPr>
              <w:t>车型</w:t>
            </w:r>
          </w:p>
        </w:tc>
        <w:tc>
          <w:tcPr>
            <w:tcW w:w="1309" w:type="pct"/>
            <w:gridSpan w:val="2"/>
            <w:shd w:val="clear" w:color="auto" w:fill="auto"/>
            <w:vAlign w:val="center"/>
          </w:tcPr>
          <w:p>
            <w:pPr>
              <w:pStyle w:val="1132"/>
              <w:rPr>
                <w:rFonts w:eastAsia="等线"/>
                <w:b/>
                <w:bCs w:val="0"/>
                <w:highlight w:val="none"/>
              </w:rPr>
            </w:pPr>
            <w:r>
              <w:rPr>
                <w:rFonts w:eastAsia="等线"/>
                <w:b/>
                <w:bCs w:val="0"/>
                <w:highlight w:val="none"/>
              </w:rPr>
              <w:t>2024</w:t>
            </w:r>
            <w:r>
              <w:rPr>
                <w:b/>
                <w:bCs w:val="0"/>
                <w:highlight w:val="none"/>
              </w:rPr>
              <w:t>年</w:t>
            </w:r>
          </w:p>
        </w:tc>
        <w:tc>
          <w:tcPr>
            <w:tcW w:w="1562" w:type="pct"/>
            <w:gridSpan w:val="2"/>
            <w:shd w:val="clear" w:color="auto" w:fill="auto"/>
            <w:vAlign w:val="center"/>
          </w:tcPr>
          <w:p>
            <w:pPr>
              <w:pStyle w:val="1132"/>
              <w:rPr>
                <w:rFonts w:eastAsia="等线"/>
                <w:b/>
                <w:bCs w:val="0"/>
                <w:highlight w:val="none"/>
              </w:rPr>
            </w:pPr>
            <w:r>
              <w:rPr>
                <w:rFonts w:eastAsia="等线"/>
                <w:b/>
                <w:bCs w:val="0"/>
                <w:highlight w:val="none"/>
              </w:rPr>
              <w:t>2030</w:t>
            </w:r>
            <w:r>
              <w:rPr>
                <w:b/>
                <w:bCs w:val="0"/>
                <w:highlight w:val="none"/>
              </w:rPr>
              <w:t>年</w:t>
            </w:r>
          </w:p>
        </w:tc>
        <w:tc>
          <w:tcPr>
            <w:tcW w:w="1473" w:type="pct"/>
            <w:gridSpan w:val="2"/>
            <w:shd w:val="clear" w:color="auto" w:fill="auto"/>
            <w:vAlign w:val="center"/>
          </w:tcPr>
          <w:p>
            <w:pPr>
              <w:pStyle w:val="1132"/>
              <w:rPr>
                <w:rFonts w:eastAsia="等线"/>
                <w:b/>
                <w:bCs w:val="0"/>
                <w:highlight w:val="none"/>
              </w:rPr>
            </w:pPr>
            <w:r>
              <w:rPr>
                <w:rFonts w:eastAsia="等线"/>
                <w:b/>
                <w:bCs w:val="0"/>
                <w:highlight w:val="none"/>
              </w:rPr>
              <w:t>2038</w:t>
            </w:r>
            <w:r>
              <w:rPr>
                <w:b/>
                <w:bCs w:val="0"/>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9" w:hRule="atLeast"/>
        </w:trPr>
        <w:tc>
          <w:tcPr>
            <w:tcW w:w="655" w:type="pct"/>
            <w:vMerge w:val="continue"/>
            <w:shd w:val="clear" w:color="auto" w:fill="auto"/>
            <w:vAlign w:val="center"/>
          </w:tcPr>
          <w:p>
            <w:pPr>
              <w:pStyle w:val="1132"/>
              <w:rPr>
                <w:highlight w:val="none"/>
              </w:rPr>
            </w:pPr>
          </w:p>
        </w:tc>
        <w:tc>
          <w:tcPr>
            <w:tcW w:w="655" w:type="pct"/>
            <w:shd w:val="clear" w:color="auto" w:fill="auto"/>
            <w:vAlign w:val="center"/>
          </w:tcPr>
          <w:p>
            <w:pPr>
              <w:pStyle w:val="1132"/>
              <w:rPr>
                <w:highlight w:val="none"/>
              </w:rPr>
            </w:pPr>
            <w:r>
              <w:rPr>
                <w:highlight w:val="none"/>
              </w:rPr>
              <w:t>昼</w:t>
            </w:r>
          </w:p>
        </w:tc>
        <w:tc>
          <w:tcPr>
            <w:tcW w:w="655" w:type="pct"/>
            <w:shd w:val="clear" w:color="auto" w:fill="auto"/>
            <w:vAlign w:val="center"/>
          </w:tcPr>
          <w:p>
            <w:pPr>
              <w:pStyle w:val="1132"/>
              <w:rPr>
                <w:highlight w:val="none"/>
              </w:rPr>
            </w:pPr>
            <w:r>
              <w:rPr>
                <w:highlight w:val="none"/>
              </w:rPr>
              <w:t>夜</w:t>
            </w:r>
          </w:p>
        </w:tc>
        <w:tc>
          <w:tcPr>
            <w:tcW w:w="743" w:type="pct"/>
            <w:shd w:val="clear" w:color="auto" w:fill="auto"/>
            <w:vAlign w:val="center"/>
          </w:tcPr>
          <w:p>
            <w:pPr>
              <w:pStyle w:val="1132"/>
              <w:rPr>
                <w:highlight w:val="none"/>
              </w:rPr>
            </w:pPr>
            <w:r>
              <w:rPr>
                <w:highlight w:val="none"/>
              </w:rPr>
              <w:t>昼</w:t>
            </w:r>
          </w:p>
        </w:tc>
        <w:tc>
          <w:tcPr>
            <w:tcW w:w="819" w:type="pct"/>
            <w:shd w:val="clear" w:color="auto" w:fill="auto"/>
            <w:vAlign w:val="center"/>
          </w:tcPr>
          <w:p>
            <w:pPr>
              <w:pStyle w:val="1132"/>
              <w:rPr>
                <w:highlight w:val="none"/>
              </w:rPr>
            </w:pPr>
            <w:r>
              <w:rPr>
                <w:highlight w:val="none"/>
              </w:rPr>
              <w:t>夜</w:t>
            </w:r>
          </w:p>
        </w:tc>
        <w:tc>
          <w:tcPr>
            <w:tcW w:w="819" w:type="pct"/>
            <w:shd w:val="clear" w:color="auto" w:fill="auto"/>
            <w:vAlign w:val="center"/>
          </w:tcPr>
          <w:p>
            <w:pPr>
              <w:pStyle w:val="1132"/>
              <w:rPr>
                <w:highlight w:val="none"/>
              </w:rPr>
            </w:pPr>
            <w:r>
              <w:rPr>
                <w:highlight w:val="none"/>
              </w:rPr>
              <w:t>昼</w:t>
            </w:r>
          </w:p>
        </w:tc>
        <w:tc>
          <w:tcPr>
            <w:tcW w:w="654" w:type="pct"/>
            <w:shd w:val="clear" w:color="auto" w:fill="auto"/>
            <w:vAlign w:val="center"/>
          </w:tcPr>
          <w:p>
            <w:pPr>
              <w:pStyle w:val="1132"/>
              <w:rPr>
                <w:highlight w:val="none"/>
              </w:rPr>
            </w:pPr>
            <w:r>
              <w:rPr>
                <w:highlight w:val="none"/>
              </w:rPr>
              <w:t>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9" w:hRule="atLeast"/>
        </w:trPr>
        <w:tc>
          <w:tcPr>
            <w:tcW w:w="655" w:type="pct"/>
            <w:shd w:val="clear" w:color="auto" w:fill="auto"/>
            <w:vAlign w:val="center"/>
          </w:tcPr>
          <w:p>
            <w:pPr>
              <w:pStyle w:val="1132"/>
              <w:rPr>
                <w:highlight w:val="none"/>
              </w:rPr>
            </w:pPr>
            <w:r>
              <w:rPr>
                <w:highlight w:val="none"/>
              </w:rPr>
              <w:t>小型车</w:t>
            </w:r>
          </w:p>
        </w:tc>
        <w:tc>
          <w:tcPr>
            <w:tcW w:w="1216" w:type="dxa"/>
            <w:shd w:val="clear" w:color="auto" w:fill="auto"/>
            <w:vAlign w:val="center"/>
          </w:tcPr>
          <w:p>
            <w:pPr>
              <w:pStyle w:val="1132"/>
              <w:rPr>
                <w:rFonts w:hint="default" w:eastAsia="等线"/>
                <w:color w:val="000000"/>
                <w:szCs w:val="21"/>
                <w:highlight w:val="none"/>
                <w:lang w:val="en-US"/>
              </w:rPr>
            </w:pPr>
            <w:r>
              <w:rPr>
                <w:rFonts w:hint="eastAsia" w:eastAsia="等线"/>
                <w:color w:val="000000"/>
                <w:szCs w:val="21"/>
                <w:highlight w:val="none"/>
                <w:lang w:val="en-US" w:eastAsia="zh-CN"/>
              </w:rPr>
              <w:t>428</w:t>
            </w:r>
          </w:p>
        </w:tc>
        <w:tc>
          <w:tcPr>
            <w:tcW w:w="1216" w:type="dxa"/>
            <w:shd w:val="clear" w:color="auto" w:fill="auto"/>
            <w:vAlign w:val="center"/>
          </w:tcPr>
          <w:p>
            <w:pPr>
              <w:pStyle w:val="1132"/>
              <w:rPr>
                <w:rFonts w:hint="default" w:eastAsia="等线"/>
                <w:color w:val="000000"/>
                <w:szCs w:val="21"/>
                <w:highlight w:val="none"/>
                <w:lang w:val="en-US"/>
              </w:rPr>
            </w:pPr>
            <w:r>
              <w:rPr>
                <w:rFonts w:hint="eastAsia" w:eastAsia="等线"/>
                <w:color w:val="000000"/>
                <w:szCs w:val="21"/>
                <w:highlight w:val="none"/>
                <w:lang w:val="en-US" w:eastAsia="zh-CN"/>
              </w:rPr>
              <w:t>107</w:t>
            </w:r>
          </w:p>
        </w:tc>
        <w:tc>
          <w:tcPr>
            <w:tcW w:w="1380"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642</w:t>
            </w:r>
          </w:p>
        </w:tc>
        <w:tc>
          <w:tcPr>
            <w:tcW w:w="1521"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160</w:t>
            </w:r>
          </w:p>
        </w:tc>
        <w:tc>
          <w:tcPr>
            <w:tcW w:w="1521"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978</w:t>
            </w:r>
          </w:p>
        </w:tc>
        <w:tc>
          <w:tcPr>
            <w:tcW w:w="1216"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9" w:hRule="atLeast"/>
        </w:trPr>
        <w:tc>
          <w:tcPr>
            <w:tcW w:w="655" w:type="pct"/>
            <w:shd w:val="clear" w:color="auto" w:fill="auto"/>
            <w:vAlign w:val="center"/>
          </w:tcPr>
          <w:p>
            <w:pPr>
              <w:pStyle w:val="1132"/>
              <w:rPr>
                <w:highlight w:val="none"/>
              </w:rPr>
            </w:pPr>
            <w:r>
              <w:rPr>
                <w:highlight w:val="none"/>
              </w:rPr>
              <w:t>中型车</w:t>
            </w:r>
          </w:p>
        </w:tc>
        <w:tc>
          <w:tcPr>
            <w:tcW w:w="1216"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119</w:t>
            </w:r>
          </w:p>
        </w:tc>
        <w:tc>
          <w:tcPr>
            <w:tcW w:w="1216"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30</w:t>
            </w:r>
          </w:p>
        </w:tc>
        <w:tc>
          <w:tcPr>
            <w:tcW w:w="1380"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179</w:t>
            </w:r>
          </w:p>
        </w:tc>
        <w:tc>
          <w:tcPr>
            <w:tcW w:w="1521"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45</w:t>
            </w:r>
          </w:p>
        </w:tc>
        <w:tc>
          <w:tcPr>
            <w:tcW w:w="1521"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270</w:t>
            </w:r>
          </w:p>
        </w:tc>
        <w:tc>
          <w:tcPr>
            <w:tcW w:w="1216"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9" w:hRule="atLeast"/>
        </w:trPr>
        <w:tc>
          <w:tcPr>
            <w:tcW w:w="655" w:type="pct"/>
            <w:shd w:val="clear" w:color="auto" w:fill="auto"/>
            <w:vAlign w:val="center"/>
          </w:tcPr>
          <w:p>
            <w:pPr>
              <w:pStyle w:val="1132"/>
              <w:rPr>
                <w:highlight w:val="none"/>
              </w:rPr>
            </w:pPr>
            <w:r>
              <w:rPr>
                <w:highlight w:val="none"/>
              </w:rPr>
              <w:t>大型车</w:t>
            </w:r>
          </w:p>
        </w:tc>
        <w:tc>
          <w:tcPr>
            <w:tcW w:w="1216"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34</w:t>
            </w:r>
          </w:p>
        </w:tc>
        <w:tc>
          <w:tcPr>
            <w:tcW w:w="1216" w:type="dxa"/>
            <w:shd w:val="clear" w:color="auto" w:fill="auto"/>
            <w:vAlign w:val="center"/>
          </w:tcPr>
          <w:p>
            <w:pPr>
              <w:pStyle w:val="1132"/>
              <w:rPr>
                <w:rFonts w:hint="eastAsia" w:eastAsia="等线"/>
                <w:color w:val="000000"/>
                <w:szCs w:val="21"/>
                <w:highlight w:val="none"/>
                <w:lang w:val="en-US" w:eastAsia="zh-CN"/>
              </w:rPr>
            </w:pPr>
            <w:r>
              <w:rPr>
                <w:rFonts w:hint="eastAsia" w:eastAsia="等线"/>
                <w:color w:val="000000"/>
                <w:szCs w:val="21"/>
                <w:highlight w:val="none"/>
                <w:lang w:val="en-US" w:eastAsia="zh-CN"/>
              </w:rPr>
              <w:t>9</w:t>
            </w:r>
          </w:p>
        </w:tc>
        <w:tc>
          <w:tcPr>
            <w:tcW w:w="1380"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48</w:t>
            </w:r>
          </w:p>
        </w:tc>
        <w:tc>
          <w:tcPr>
            <w:tcW w:w="1521"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12</w:t>
            </w:r>
          </w:p>
        </w:tc>
        <w:tc>
          <w:tcPr>
            <w:tcW w:w="1521"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64</w:t>
            </w:r>
          </w:p>
        </w:tc>
        <w:tc>
          <w:tcPr>
            <w:tcW w:w="1216"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9" w:hRule="atLeast"/>
        </w:trPr>
        <w:tc>
          <w:tcPr>
            <w:tcW w:w="655" w:type="pct"/>
            <w:shd w:val="clear" w:color="auto" w:fill="auto"/>
            <w:vAlign w:val="center"/>
          </w:tcPr>
          <w:p>
            <w:pPr>
              <w:pStyle w:val="1132"/>
              <w:rPr>
                <w:highlight w:val="none"/>
              </w:rPr>
            </w:pPr>
            <w:r>
              <w:rPr>
                <w:highlight w:val="none"/>
              </w:rPr>
              <w:t>合计</w:t>
            </w:r>
          </w:p>
        </w:tc>
        <w:tc>
          <w:tcPr>
            <w:tcW w:w="1216"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581</w:t>
            </w:r>
          </w:p>
        </w:tc>
        <w:tc>
          <w:tcPr>
            <w:tcW w:w="1216"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146</w:t>
            </w:r>
          </w:p>
        </w:tc>
        <w:tc>
          <w:tcPr>
            <w:tcW w:w="1380"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869</w:t>
            </w:r>
          </w:p>
        </w:tc>
        <w:tc>
          <w:tcPr>
            <w:tcW w:w="1521"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217</w:t>
            </w:r>
          </w:p>
        </w:tc>
        <w:tc>
          <w:tcPr>
            <w:tcW w:w="1521"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1312</w:t>
            </w:r>
          </w:p>
        </w:tc>
        <w:tc>
          <w:tcPr>
            <w:tcW w:w="1216" w:type="dxa"/>
            <w:shd w:val="clear" w:color="auto" w:fill="auto"/>
            <w:vAlign w:val="center"/>
          </w:tcPr>
          <w:p>
            <w:pPr>
              <w:pStyle w:val="1132"/>
              <w:rPr>
                <w:rFonts w:hint="default" w:eastAsia="等线"/>
                <w:color w:val="000000"/>
                <w:szCs w:val="21"/>
                <w:highlight w:val="none"/>
                <w:lang w:val="en-US" w:eastAsia="zh-CN"/>
              </w:rPr>
            </w:pPr>
            <w:r>
              <w:rPr>
                <w:rFonts w:hint="eastAsia" w:eastAsia="等线"/>
                <w:color w:val="000000"/>
                <w:szCs w:val="21"/>
                <w:highlight w:val="none"/>
                <w:lang w:val="en-US" w:eastAsia="zh-CN"/>
              </w:rPr>
              <w:t>328</w:t>
            </w:r>
          </w:p>
        </w:tc>
      </w:tr>
    </w:tbl>
    <w:p>
      <w:pPr>
        <w:pStyle w:val="10"/>
        <w:snapToGrid w:val="0"/>
        <w:ind w:firstLine="0" w:firstLineChars="0"/>
        <w:rPr>
          <w:bCs/>
          <w:sz w:val="21"/>
        </w:rPr>
      </w:pPr>
      <w:r>
        <w:rPr>
          <w:bCs/>
          <w:sz w:val="21"/>
        </w:rPr>
        <w:t>注：昼间指6﹕00～22﹕00，夜间指22﹕00～6﹕00</w:t>
      </w:r>
    </w:p>
    <w:bookmarkEnd w:id="138"/>
    <w:bookmarkEnd w:id="139"/>
    <w:p>
      <w:pPr>
        <w:pStyle w:val="7"/>
        <w:rPr>
          <w:b/>
          <w:bCs/>
          <w:sz w:val="28"/>
          <w:szCs w:val="28"/>
        </w:rPr>
      </w:pPr>
      <w:bookmarkStart w:id="144" w:name="_Toc455016461"/>
      <w:bookmarkStart w:id="145" w:name="_Toc16891"/>
      <w:bookmarkStart w:id="146" w:name="_Toc13428"/>
      <w:r>
        <w:rPr>
          <w:b/>
          <w:bCs/>
          <w:sz w:val="28"/>
          <w:szCs w:val="28"/>
        </w:rPr>
        <w:t>工程内容</w:t>
      </w:r>
      <w:bookmarkEnd w:id="144"/>
      <w:bookmarkEnd w:id="145"/>
      <w:bookmarkEnd w:id="146"/>
    </w:p>
    <w:p>
      <w:pPr>
        <w:pStyle w:val="8"/>
        <w:rPr>
          <w:b/>
          <w:bCs/>
        </w:rPr>
      </w:pPr>
      <w:bookmarkStart w:id="147" w:name="_Toc22876"/>
      <w:r>
        <w:rPr>
          <w:b/>
          <w:bCs/>
        </w:rPr>
        <w:t>路基工程</w:t>
      </w:r>
      <w:bookmarkEnd w:id="147"/>
    </w:p>
    <w:p>
      <w:pPr>
        <w:pStyle w:val="112"/>
        <w:ind w:firstLine="480"/>
        <w:rPr>
          <w:bCs/>
        </w:rPr>
      </w:pPr>
      <w:r>
        <w:rPr>
          <w:rFonts w:hint="eastAsia"/>
          <w:bCs/>
        </w:rPr>
        <w:t>（1）路基标准横断面</w:t>
      </w:r>
    </w:p>
    <w:p>
      <w:pPr>
        <w:snapToGrid w:val="0"/>
        <w:ind w:firstLine="480" w:firstLineChars="200"/>
      </w:pPr>
      <w:r>
        <w:rPr>
          <w:rFonts w:hint="eastAsia"/>
        </w:rPr>
        <w:t>1）一般段</w:t>
      </w:r>
    </w:p>
    <w:p>
      <w:pPr>
        <w:snapToGrid w:val="0"/>
        <w:ind w:firstLine="480" w:firstLineChars="200"/>
      </w:pPr>
      <w:r>
        <w:rPr>
          <w:rFonts w:hint="eastAsia"/>
        </w:rPr>
        <w:t>本项目按一级公路标准建设，根据功能定位、建设条件和机场布局等因素影响，本次一般段路基断面设置情况如下：</w:t>
      </w:r>
    </w:p>
    <w:p>
      <w:pPr>
        <w:pStyle w:val="19"/>
        <w:rPr>
          <w:color w:val="0070C0"/>
        </w:rPr>
      </w:pPr>
      <w:r>
        <w:drawing>
          <wp:inline distT="0" distB="0" distL="114300" distR="114300">
            <wp:extent cx="4698365" cy="2378710"/>
            <wp:effectExtent l="0" t="0" r="10795" b="13970"/>
            <wp:docPr id="78" name="图片 8"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 descr="图示&#10;&#10;中度可信度描述已自动生成"/>
                    <pic:cNvPicPr>
                      <a:picLocks noChangeAspect="1"/>
                    </pic:cNvPicPr>
                  </pic:nvPicPr>
                  <pic:blipFill>
                    <a:blip r:embed="rId51"/>
                    <a:srcRect t="4787" r="1995" b="2122"/>
                    <a:stretch>
                      <a:fillRect/>
                    </a:stretch>
                  </pic:blipFill>
                  <pic:spPr>
                    <a:xfrm>
                      <a:off x="0" y="0"/>
                      <a:ext cx="4698365" cy="2378710"/>
                    </a:xfrm>
                    <a:prstGeom prst="rect">
                      <a:avLst/>
                    </a:prstGeom>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t xml:space="preserve">  </w:t>
      </w:r>
      <w:r>
        <w:rPr>
          <w:rFonts w:hint="eastAsia"/>
        </w:rPr>
        <w:t>一般段标准横断面</w:t>
      </w:r>
    </w:p>
    <w:p>
      <w:pPr>
        <w:pStyle w:val="112"/>
        <w:ind w:firstLine="480"/>
        <w:rPr>
          <w:bCs/>
          <w:color w:val="0070C0"/>
        </w:rPr>
      </w:pPr>
      <w:r>
        <w:rPr>
          <w:rFonts w:hint="eastAsia"/>
        </w:rPr>
        <w:t>采用标准一级公路断面，断面设置较宽4m硬路肩增强慢行交通能力，具体断面分配为：33.5米=0.75米（土路肩）+4米（硬路肩）+3×3.5米（机动车道）+0.5米（路缘带）+2米（中央分隔带）+0.5米（路缘带）+3×3.5米（机动车道）+4米（硬路肩）+0.75米（土路肩）。</w:t>
      </w:r>
    </w:p>
    <w:p>
      <w:pPr>
        <w:pStyle w:val="112"/>
        <w:ind w:firstLine="480"/>
      </w:pPr>
      <w:r>
        <w:rPr>
          <w:rFonts w:hint="eastAsia"/>
          <w:bCs/>
        </w:rPr>
        <w:t>2）</w:t>
      </w:r>
      <w:r>
        <w:rPr>
          <w:rFonts w:hint="eastAsia"/>
        </w:rPr>
        <w:t>下穿G3京台高速段</w:t>
      </w:r>
    </w:p>
    <w:p>
      <w:pPr>
        <w:snapToGrid w:val="0"/>
        <w:ind w:firstLine="480" w:firstLineChars="200"/>
        <w:rPr>
          <w:rFonts w:eastAsia="仿宋_GB2312"/>
          <w:color w:val="000000"/>
        </w:rPr>
      </w:pPr>
      <w:r>
        <w:rPr>
          <w:rFonts w:hint="eastAsia"/>
        </w:rPr>
        <w:t>下穿G3京台高速段路基宽度32.7m，横断面几何尺寸布置为：32.7m=1.3m绿化带+0.25m路缘带+2x3.5m机动车道+0.25m路缘带+3.8m分隔带+0.25m路缘带+2x3.5m机动车道+0.25m路缘带+3.8m分隔带+0.25m路缘带+2x3.5m机动车道+0.25m路缘带+1.3m绿化带。</w:t>
      </w:r>
    </w:p>
    <w:p>
      <w:pPr>
        <w:jc w:val="center"/>
      </w:pPr>
      <w:r>
        <w:drawing>
          <wp:inline distT="0" distB="0" distL="114300" distR="114300">
            <wp:extent cx="5501005" cy="2365375"/>
            <wp:effectExtent l="0" t="0" r="4445" b="15875"/>
            <wp:docPr id="729" name="图片 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 descr="图示&#10;&#10;描述已自动生成"/>
                    <pic:cNvPicPr>
                      <a:picLocks noChangeAspect="1"/>
                    </pic:cNvPicPr>
                  </pic:nvPicPr>
                  <pic:blipFill>
                    <a:blip r:embed="rId52"/>
                    <a:srcRect l="6646" t="4444" r="7411"/>
                    <a:stretch>
                      <a:fillRect/>
                    </a:stretch>
                  </pic:blipFill>
                  <pic:spPr>
                    <a:xfrm>
                      <a:off x="0" y="0"/>
                      <a:ext cx="5501005" cy="2365375"/>
                    </a:xfrm>
                    <a:prstGeom prst="rect">
                      <a:avLst/>
                    </a:prstGeom>
                    <a:noFill/>
                    <a:ln>
                      <a:noFill/>
                    </a:ln>
                  </pic:spPr>
                </pic:pic>
              </a:graphicData>
            </a:graphic>
          </wp:inline>
        </w:drawing>
      </w:r>
    </w:p>
    <w:p>
      <w:pPr>
        <w:snapToGrid w:val="0"/>
        <w:ind w:firstLine="480" w:firstLineChars="200"/>
      </w:pPr>
      <w:r>
        <w:rPr>
          <w:rFonts w:hint="eastAsia"/>
        </w:rPr>
        <w:t>路拱横坡：正常路拱横坡为2</w:t>
      </w:r>
      <w:r>
        <w:t>%</w:t>
      </w:r>
      <w:r>
        <w:rPr>
          <w:rFonts w:hint="eastAsia"/>
        </w:rPr>
        <w:t>；土路肩4</w:t>
      </w:r>
      <w:r>
        <w:t>%</w:t>
      </w:r>
      <w:r>
        <w:rPr>
          <w:rFonts w:hint="eastAsia"/>
        </w:rPr>
        <w:t>横坡。</w:t>
      </w:r>
    </w:p>
    <w:p>
      <w:pPr>
        <w:pStyle w:val="10"/>
        <w:ind w:firstLine="480"/>
      </w:pPr>
      <w:r>
        <w:t>（</w:t>
      </w:r>
      <w:r>
        <w:rPr>
          <w:rFonts w:hint="eastAsia"/>
        </w:rPr>
        <w:t>2</w:t>
      </w:r>
      <w:r>
        <w:t>）</w:t>
      </w:r>
      <w:r>
        <w:rPr>
          <w:rFonts w:hint="eastAsia"/>
        </w:rPr>
        <w:t>一般路基设计</w:t>
      </w:r>
    </w:p>
    <w:p>
      <w:pPr>
        <w:snapToGrid w:val="0"/>
        <w:ind w:firstLine="480" w:firstLineChars="200"/>
      </w:pPr>
      <w:r>
        <w:rPr>
          <w:rFonts w:cs="Calibri"/>
        </w:rPr>
        <w:t>1</w:t>
      </w:r>
      <w:r>
        <w:rPr>
          <w:rFonts w:hint="eastAsia" w:cs="Calibri"/>
        </w:rPr>
        <w:t>）</w:t>
      </w:r>
      <w:r>
        <w:rPr>
          <w:rFonts w:hint="eastAsia"/>
        </w:rPr>
        <w:t>路基填土高度</w:t>
      </w:r>
    </w:p>
    <w:p>
      <w:pPr>
        <w:snapToGrid w:val="0"/>
        <w:ind w:firstLine="480" w:firstLineChars="200"/>
      </w:pPr>
      <w:r>
        <w:rPr>
          <w:rFonts w:hint="eastAsia"/>
        </w:rPr>
        <w:t>路基填土高度控制以满足水位要求、被交叉道路净高要求、路基稳定性、填挖尽量平衡为原则，根据不同的地形、工程地质、水文条件与路线平纵组合设计综合确定。受地表水影响较大的地势低洼路段尽可能加大填土高度，以保证路床顶面处于干燥、中湿状态；沿线地貌类型较为简单，地质条件良好，尽量压低填土高度以利于衔接，减少工程数量。</w:t>
      </w:r>
    </w:p>
    <w:p>
      <w:pPr>
        <w:snapToGrid w:val="0"/>
        <w:ind w:firstLine="480" w:firstLineChars="200"/>
      </w:pPr>
      <w:r>
        <w:rPr>
          <w:rFonts w:hint="eastAsia"/>
        </w:rPr>
        <w:t>本项目</w:t>
      </w:r>
      <w:r>
        <w:t>填方路堤高度</w:t>
      </w:r>
      <w:r>
        <w:rPr>
          <w:rFonts w:hint="eastAsia"/>
        </w:rPr>
        <w:t>不小于中湿</w:t>
      </w:r>
      <w:r>
        <w:t>状态的路基临界高度，设计最大填土高度</w:t>
      </w:r>
      <w:r>
        <w:rPr>
          <w:rFonts w:hint="eastAsia"/>
        </w:rPr>
        <w:t>4m，</w:t>
      </w:r>
      <w:r>
        <w:t>位于桥头段，主要受桥下净空控制。</w:t>
      </w:r>
    </w:p>
    <w:p>
      <w:pPr>
        <w:snapToGrid w:val="0"/>
        <w:ind w:firstLine="480" w:firstLineChars="200"/>
      </w:pPr>
      <w:r>
        <w:rPr>
          <w:rFonts w:cs="Calibri"/>
        </w:rPr>
        <w:t>2</w:t>
      </w:r>
      <w:r>
        <w:rPr>
          <w:rFonts w:hint="eastAsia" w:cs="Calibri"/>
        </w:rPr>
        <w:t>）</w:t>
      </w:r>
      <w:r>
        <w:rPr>
          <w:rFonts w:hint="eastAsia"/>
        </w:rPr>
        <w:t>路基挖方深度</w:t>
      </w:r>
    </w:p>
    <w:p>
      <w:pPr>
        <w:pStyle w:val="112"/>
        <w:ind w:firstLine="480"/>
      </w:pPr>
      <w:r>
        <w:rPr>
          <w:rFonts w:hint="eastAsia"/>
        </w:rPr>
        <w:t>路基挖方深度根据不同的地形、工程地质与水文地质条件与路线平纵组合设计综合确定，包括道路纵面指标、基本农田占用情况、地形起伏状况、边坡稳定性等因素控制。本项目</w:t>
      </w:r>
      <w:r>
        <w:t>挖方多为浅挖，最大挖深处</w:t>
      </w:r>
      <w:r>
        <w:rPr>
          <w:rFonts w:hint="eastAsia"/>
        </w:rPr>
        <w:t>位于下穿G3京台高速路段，受</w:t>
      </w:r>
      <w:r>
        <w:t>梁底净空控制</w:t>
      </w:r>
      <w:r>
        <w:rPr>
          <w:rFonts w:hint="eastAsia"/>
        </w:rPr>
        <w:t>，最大挖深2m。</w:t>
      </w:r>
    </w:p>
    <w:p>
      <w:pPr>
        <w:snapToGrid w:val="0"/>
        <w:ind w:firstLine="480" w:firstLineChars="200"/>
      </w:pPr>
      <w:r>
        <w:rPr>
          <w:rFonts w:hint="eastAsia"/>
        </w:rPr>
        <w:t>3）路基边坡设计</w:t>
      </w:r>
    </w:p>
    <w:p>
      <w:pPr>
        <w:snapToGrid w:val="0"/>
        <w:ind w:firstLine="480" w:firstLineChars="200"/>
      </w:pPr>
      <w:r>
        <w:rPr>
          <w:rFonts w:hint="eastAsia" w:ascii="宋体" w:hAnsi="宋体" w:cs="宋体"/>
        </w:rPr>
        <w:t>①</w:t>
      </w:r>
      <w:r>
        <w:rPr>
          <w:rFonts w:hint="eastAsia"/>
        </w:rPr>
        <w:t>路堤边坡</w:t>
      </w:r>
    </w:p>
    <w:p>
      <w:pPr>
        <w:snapToGrid w:val="0"/>
        <w:ind w:firstLine="480" w:firstLineChars="200"/>
      </w:pPr>
      <w:r>
        <w:rPr>
          <w:rFonts w:hint="eastAsia"/>
        </w:rPr>
        <w:t>本项目</w:t>
      </w:r>
      <w:r>
        <w:t>填方均小于</w:t>
      </w:r>
      <w:r>
        <w:rPr>
          <w:rFonts w:hint="eastAsia"/>
        </w:rPr>
        <w:t>4m，坡率为1:1.5，坡脚设置宽度1m的护坡道，放坡受限路段采用支挡构造物收缩坡脚，节约占地。</w:t>
      </w:r>
    </w:p>
    <w:p>
      <w:pPr>
        <w:snapToGrid w:val="0"/>
        <w:ind w:firstLine="480" w:firstLineChars="200"/>
      </w:pPr>
      <w:r>
        <w:rPr>
          <w:rFonts w:hint="eastAsia" w:ascii="宋体" w:hAnsi="宋体" w:cs="宋体"/>
        </w:rPr>
        <w:t>②</w:t>
      </w:r>
      <w:r>
        <w:rPr>
          <w:rFonts w:hint="eastAsia"/>
        </w:rPr>
        <w:t>路堑边坡</w:t>
      </w:r>
    </w:p>
    <w:p>
      <w:pPr>
        <w:snapToGrid w:val="0"/>
        <w:ind w:firstLine="480" w:firstLineChars="200"/>
      </w:pPr>
      <w:r>
        <w:rPr>
          <w:rFonts w:hint="eastAsia"/>
        </w:rPr>
        <w:t>挖方路堑坡率应根据边坡高度、地面横坡、岩土性质及结构面、施工方法、地下水发育程度及环保绿化等综合考虑确定：本项目挖方段为土质边坡，根据项目地区工程经验，边坡坡率采用1:1</w:t>
      </w:r>
      <w:r>
        <w:t>.5</w:t>
      </w:r>
      <w:r>
        <w:rPr>
          <w:rFonts w:hint="eastAsia"/>
        </w:rPr>
        <w:t>。</w:t>
      </w:r>
    </w:p>
    <w:p>
      <w:pPr>
        <w:pStyle w:val="112"/>
        <w:ind w:firstLine="480"/>
      </w:pPr>
      <w:r>
        <w:rPr>
          <w:rFonts w:hint="eastAsia"/>
        </w:rPr>
        <w:t>在保证路基使用安全稳定的基础上，路堑开挖设计以生态恢复和节约占地为核心，做到不破坏就是最大的保护。</w:t>
      </w:r>
    </w:p>
    <w:p>
      <w:pPr>
        <w:pStyle w:val="112"/>
        <w:ind w:firstLine="480"/>
      </w:pPr>
      <w:r>
        <w:rPr>
          <w:rFonts w:hint="eastAsia"/>
        </w:rPr>
        <w:t>（</w:t>
      </w:r>
      <w:r>
        <w:rPr>
          <w:rFonts w:hint="eastAsia"/>
          <w:lang w:val="en-US" w:eastAsia="zh-CN"/>
        </w:rPr>
        <w:t>3</w:t>
      </w:r>
      <w:r>
        <w:rPr>
          <w:rFonts w:hint="eastAsia"/>
        </w:rPr>
        <w:t>）路基防护工程设计</w:t>
      </w:r>
    </w:p>
    <w:p>
      <w:pPr>
        <w:snapToGrid w:val="0"/>
        <w:ind w:firstLine="480" w:firstLineChars="200"/>
        <w:jc w:val="left"/>
      </w:pPr>
      <w:r>
        <w:rPr>
          <w:rFonts w:hint="eastAsia"/>
        </w:rPr>
        <w:t>1）路基防护设计原则</w:t>
      </w:r>
    </w:p>
    <w:p>
      <w:pPr>
        <w:snapToGrid w:val="0"/>
        <w:ind w:firstLine="480" w:firstLineChars="200"/>
        <w:jc w:val="left"/>
      </w:pPr>
      <w:r>
        <w:rPr>
          <w:rFonts w:hint="eastAsia"/>
        </w:rPr>
        <w:t>路基防护设计以保证工程安全为前提，同时与水土保持、环境保护设计相结合，遵循“因地制宜、就地取材、以防为主、防治结合”原则，实现人与自然的和谐，合理利用资源，让人类活动与生态环境协调起来。</w:t>
      </w:r>
    </w:p>
    <w:p>
      <w:pPr>
        <w:pStyle w:val="112"/>
        <w:ind w:firstLine="480"/>
      </w:pPr>
      <w:r>
        <w:rPr>
          <w:rFonts w:hint="eastAsia"/>
        </w:rPr>
        <w:t>在分析本项目地形、地质、地貌特点基础上，参照周边道路工程防护经验，选择在技术、经济、工艺、经验和效果各方面具有综合优势的防护方案，总体上以生态恢复为措施、以环境保护、视觉效果为目标，刚性结构与柔性结构相结合，多层防护与生态植被防护相结合。</w:t>
      </w:r>
    </w:p>
    <w:p>
      <w:pPr>
        <w:pStyle w:val="112"/>
        <w:ind w:firstLine="480"/>
      </w:pPr>
      <w:r>
        <w:rPr>
          <w:rFonts w:hint="eastAsia"/>
        </w:rPr>
        <w:t>2）路基防护设计方案</w:t>
      </w:r>
    </w:p>
    <w:p>
      <w:pPr>
        <w:pStyle w:val="10"/>
        <w:ind w:firstLine="480"/>
      </w:pPr>
      <w:r>
        <w:rPr>
          <w:rFonts w:hint="eastAsia"/>
        </w:rPr>
        <w:t>①路堤、路堑边坡采用草灌混植防护。</w:t>
      </w:r>
    </w:p>
    <w:p>
      <w:pPr>
        <w:pStyle w:val="10"/>
        <w:ind w:firstLine="480"/>
      </w:pPr>
      <w:r>
        <w:rPr>
          <w:rFonts w:hint="eastAsia"/>
        </w:rPr>
        <w:t>②穿越水塘段路基边坡下部设浸水护坡，上部采用草灌混植防护。桥头两侧路基采取满铺进行防护，同时为了便于检修，边部设置人行踏步。</w:t>
      </w:r>
    </w:p>
    <w:p>
      <w:pPr>
        <w:pStyle w:val="10"/>
        <w:ind w:firstLine="480"/>
      </w:pPr>
      <w:r>
        <w:rPr>
          <w:rFonts w:hint="eastAsia"/>
        </w:rPr>
        <w:t>③路基边坡绿化采用乔灌草藤立体结构的生态建设方案，采用多物种生态恢复措施，以形成自然、和谐并具有较强生态能力的植被结构为目标，考虑道路绿化景观的线性布局，采用统一和变化相结合的物种配置原则，丰富边坡景观。</w:t>
      </w:r>
    </w:p>
    <w:p>
      <w:pPr>
        <w:pStyle w:val="10"/>
        <w:ind w:firstLine="480"/>
        <w:rPr>
          <w:rFonts w:cs="宋体"/>
          <w:b/>
          <w:kern w:val="0"/>
          <w:szCs w:val="32"/>
        </w:rPr>
      </w:pPr>
      <w:r>
        <w:rPr>
          <w:rFonts w:eastAsia="仿宋_GB2312"/>
        </w:rPr>
        <w:drawing>
          <wp:inline distT="0" distB="0" distL="0" distR="0">
            <wp:extent cx="2576830" cy="1783080"/>
            <wp:effectExtent l="0" t="0" r="13970" b="7620"/>
            <wp:docPr id="31" name="图片 31" descr="绿色的草地和树&#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绿色的草地和树&#10;&#10;描述已自动生成"/>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578511" cy="1784437"/>
                    </a:xfrm>
                    <a:prstGeom prst="rect">
                      <a:avLst/>
                    </a:prstGeom>
                    <a:noFill/>
                    <a:ln>
                      <a:noFill/>
                    </a:ln>
                  </pic:spPr>
                </pic:pic>
              </a:graphicData>
            </a:graphic>
          </wp:inline>
        </w:drawing>
      </w:r>
      <w:r>
        <w:rPr>
          <w:rFonts w:hint="eastAsia" w:cs="宋体"/>
          <w:b/>
          <w:kern w:val="0"/>
          <w:szCs w:val="32"/>
        </w:rPr>
        <w:t xml:space="preserve"> </w:t>
      </w:r>
      <w:r>
        <w:drawing>
          <wp:inline distT="0" distB="0" distL="0" distR="0">
            <wp:extent cx="2671445" cy="1792605"/>
            <wp:effectExtent l="0" t="0" r="14605" b="17145"/>
            <wp:docPr id="34" name="图片 34" descr="http://www.lcsuye.com/wp-content/uploads/2016/12/qthpzmj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http://www.lcsuye.com/wp-content/uploads/2016/12/qthpzmj2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673507" cy="1794297"/>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rPr>
          <w:rFonts w:hint="eastAsia"/>
          <w:lang w:val="en-US" w:eastAsia="zh-CN"/>
        </w:rPr>
        <w:t>2</w:t>
      </w:r>
      <w:r>
        <w:t xml:space="preserve">  </w:t>
      </w:r>
      <w:r>
        <w:rPr>
          <w:rFonts w:hint="eastAsia"/>
        </w:rPr>
        <w:t>边坡防护</w:t>
      </w:r>
    </w:p>
    <w:p>
      <w:pPr>
        <w:pStyle w:val="10"/>
        <w:ind w:firstLine="480"/>
      </w:pPr>
      <w:r>
        <w:rPr>
          <w:rFonts w:hint="eastAsia"/>
        </w:rPr>
        <w:t>3）</w:t>
      </w:r>
      <w:r>
        <w:t>路基</w:t>
      </w:r>
      <w:r>
        <w:rPr>
          <w:rFonts w:hint="eastAsia"/>
        </w:rPr>
        <w:t>支挡设计</w:t>
      </w:r>
      <w:r>
        <w:t>方案</w:t>
      </w:r>
    </w:p>
    <w:p>
      <w:pPr>
        <w:snapToGrid w:val="0"/>
        <w:ind w:firstLine="480" w:firstLineChars="200"/>
      </w:pPr>
      <w:r>
        <w:rPr>
          <w:rFonts w:hint="eastAsia"/>
        </w:rPr>
        <w:t>在放坡受限路段设置路堤墙、护肩墙、</w:t>
      </w:r>
      <w:r>
        <w:t>护脚墙</w:t>
      </w:r>
      <w:r>
        <w:rPr>
          <w:rFonts w:hint="eastAsia"/>
        </w:rPr>
        <w:t>，收缩坡脚，减少放坡占地。一般支挡防护采用C25现浇砼。</w:t>
      </w:r>
    </w:p>
    <w:p>
      <w:pPr>
        <w:pStyle w:val="10"/>
        <w:ind w:firstLine="480"/>
      </w:pPr>
      <w:r>
        <w:rPr>
          <w:rFonts w:hint="eastAsia"/>
        </w:rPr>
        <w:t>（</w:t>
      </w:r>
      <w:r>
        <w:rPr>
          <w:rFonts w:hint="eastAsia"/>
          <w:lang w:val="en-US" w:eastAsia="zh-CN"/>
        </w:rPr>
        <w:t>4</w:t>
      </w:r>
      <w:r>
        <w:rPr>
          <w:rFonts w:hint="eastAsia"/>
        </w:rPr>
        <w:t>）路基排水工程设计</w:t>
      </w:r>
    </w:p>
    <w:p>
      <w:pPr>
        <w:pStyle w:val="10"/>
        <w:ind w:firstLine="480"/>
      </w:pPr>
      <w:r>
        <w:rPr>
          <w:rFonts w:hint="eastAsia"/>
        </w:rPr>
        <w:t>1）排水设计方案</w:t>
      </w:r>
    </w:p>
    <w:p>
      <w:pPr>
        <w:snapToGrid w:val="0"/>
        <w:ind w:firstLine="480" w:firstLineChars="200"/>
      </w:pPr>
      <w:r>
        <w:rPr>
          <w:rFonts w:hint="eastAsia"/>
        </w:rPr>
        <w:t>①路堤边沟采用预制混凝土梯形排水沟，排水沟截面尺寸上口宽0.9m，下口宽0.6m，排水沟高度为0.6m。大型水塘段结合平台设置平台截水沟防止路面水直接流入水塘。</w:t>
      </w:r>
    </w:p>
    <w:p>
      <w:pPr>
        <w:snapToGrid w:val="0"/>
        <w:ind w:firstLine="480" w:firstLineChars="200"/>
      </w:pPr>
      <w:r>
        <w:rPr>
          <w:rFonts w:hint="eastAsia"/>
        </w:rPr>
        <w:t>②路堑边沟采用</w:t>
      </w:r>
      <w:r>
        <w:t>60cmx60cm</w:t>
      </w:r>
      <w:r>
        <w:rPr>
          <w:rFonts w:hint="eastAsia"/>
        </w:rPr>
        <w:t>矩形盖板边沟，路堑边坡平台设置截水沟，路堑坡口外如存在可引发冲刷的水流，则结合地形设置堑顶截水沟，截水沟施工前应做生态和视觉景观效果调查。</w:t>
      </w:r>
    </w:p>
    <w:p>
      <w:pPr>
        <w:pStyle w:val="10"/>
        <w:ind w:firstLine="480"/>
      </w:pPr>
      <w:r>
        <w:drawing>
          <wp:inline distT="0" distB="0" distL="0" distR="0">
            <wp:extent cx="2588895" cy="1757680"/>
            <wp:effectExtent l="0" t="0" r="1905" b="13970"/>
            <wp:docPr id="42" name="图片 42" descr="在路上&#10;&#10;描述已自动生成"/>
            <wp:cNvGraphicFramePr/>
            <a:graphic xmlns:a="http://schemas.openxmlformats.org/drawingml/2006/main">
              <a:graphicData uri="http://schemas.openxmlformats.org/drawingml/2006/picture">
                <pic:pic xmlns:pic="http://schemas.openxmlformats.org/drawingml/2006/picture">
                  <pic:nvPicPr>
                    <pic:cNvPr id="42" name="图片 42" descr="在路上&#10;&#10;描述已自动生成"/>
                    <pic:cNvPicPr>
                      <a:picLocks noChangeArrowheads="1"/>
                    </pic:cNvPicPr>
                  </pic:nvPicPr>
                  <pic:blipFill>
                    <a:blip r:embed="rId55">
                      <a:extLst>
                        <a:ext uri="{28A0092B-C50C-407E-A947-70E740481C1C}">
                          <a14:useLocalDpi xmlns:a14="http://schemas.microsoft.com/office/drawing/2010/main" val="0"/>
                        </a:ext>
                      </a:extLst>
                    </a:blip>
                    <a:srcRect t="17851" r="5391" b="33737"/>
                    <a:stretch>
                      <a:fillRect/>
                    </a:stretch>
                  </pic:blipFill>
                  <pic:spPr>
                    <a:xfrm>
                      <a:off x="0" y="0"/>
                      <a:ext cx="2588895" cy="1757680"/>
                    </a:xfrm>
                    <a:prstGeom prst="rect">
                      <a:avLst/>
                    </a:prstGeom>
                    <a:noFill/>
                    <a:ln>
                      <a:noFill/>
                    </a:ln>
                  </pic:spPr>
                </pic:pic>
              </a:graphicData>
            </a:graphic>
          </wp:inline>
        </w:drawing>
      </w:r>
      <w:r>
        <w:rPr>
          <w:rFonts w:hint="eastAsia"/>
        </w:rPr>
        <w:t xml:space="preserve"> </w:t>
      </w:r>
      <w:r>
        <w:drawing>
          <wp:inline distT="0" distB="0" distL="0" distR="0">
            <wp:extent cx="2576830" cy="1757680"/>
            <wp:effectExtent l="0" t="0" r="13970" b="13970"/>
            <wp:docPr id="43" name="图片 43" descr="轨道上行驶&#10;&#10;中度可信度描述已自动生成"/>
            <wp:cNvGraphicFramePr/>
            <a:graphic xmlns:a="http://schemas.openxmlformats.org/drawingml/2006/main">
              <a:graphicData uri="http://schemas.openxmlformats.org/drawingml/2006/picture">
                <pic:pic xmlns:pic="http://schemas.openxmlformats.org/drawingml/2006/picture">
                  <pic:nvPicPr>
                    <pic:cNvPr id="43" name="图片 43" descr="轨道上行驶&#10;&#10;中度可信度描述已自动生成"/>
                    <pic:cNvPicPr>
                      <a:picLocks noChangeArrowheads="1"/>
                    </pic:cNvPicPr>
                  </pic:nvPicPr>
                  <pic:blipFill>
                    <a:blip r:embed="rId56">
                      <a:extLst>
                        <a:ext uri="{28A0092B-C50C-407E-A947-70E740481C1C}">
                          <a14:useLocalDpi xmlns:a14="http://schemas.microsoft.com/office/drawing/2010/main" val="0"/>
                        </a:ext>
                      </a:extLst>
                    </a:blip>
                    <a:srcRect l="7236" t="5734" r="5930" b="6487"/>
                    <a:stretch>
                      <a:fillRect/>
                    </a:stretch>
                  </pic:blipFill>
                  <pic:spPr>
                    <a:xfrm>
                      <a:off x="0" y="0"/>
                      <a:ext cx="2576830" cy="1757680"/>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rPr>
          <w:rFonts w:hint="eastAsia"/>
          <w:lang w:val="en-US" w:eastAsia="zh-CN"/>
        </w:rPr>
        <w:t>3</w:t>
      </w:r>
      <w:r>
        <w:t xml:space="preserve">  </w:t>
      </w:r>
      <w:r>
        <w:rPr>
          <w:rFonts w:hint="eastAsia"/>
        </w:rPr>
        <w:t>路堤</w:t>
      </w:r>
      <w:r>
        <w:t>排水沟与</w:t>
      </w:r>
      <w:r>
        <w:rPr>
          <w:rFonts w:hint="eastAsia"/>
        </w:rPr>
        <w:t>路堑</w:t>
      </w:r>
      <w:r>
        <w:t>边沟</w:t>
      </w:r>
    </w:p>
    <w:p>
      <w:pPr>
        <w:snapToGrid w:val="0"/>
        <w:ind w:firstLine="480" w:firstLineChars="200"/>
      </w:pPr>
      <w:r>
        <w:rPr>
          <w:rFonts w:hint="eastAsia"/>
        </w:rPr>
        <w:t>③陡坡路段或排水设施进入沟渠水塘，流量≥0.10m</w:t>
      </w:r>
      <w:r>
        <w:rPr>
          <w:rFonts w:hint="eastAsia"/>
          <w:vertAlign w:val="superscript"/>
        </w:rPr>
        <w:t>3</w:t>
      </w:r>
      <w:r>
        <w:rPr>
          <w:rFonts w:hint="eastAsia"/>
        </w:rPr>
        <w:t>/s时设置急流槽，并配套设置消力池，边坡平台截水沟与下方排水设施连接时设置急流槽。</w:t>
      </w:r>
    </w:p>
    <w:p>
      <w:pPr>
        <w:snapToGrid w:val="0"/>
        <w:ind w:firstLine="480" w:firstLineChars="200"/>
      </w:pPr>
      <w:r>
        <w:rPr>
          <w:rFonts w:hint="eastAsia"/>
        </w:rPr>
        <w:t>④路堑边坡和</w:t>
      </w:r>
      <w:r>
        <w:t>低填路段</w:t>
      </w:r>
      <w:r>
        <w:rPr>
          <w:rFonts w:hint="eastAsia"/>
        </w:rPr>
        <w:t>根据需要采用渗沟排出地下水。</w:t>
      </w:r>
    </w:p>
    <w:p>
      <w:pPr>
        <w:snapToGrid w:val="0"/>
        <w:ind w:firstLine="480" w:firstLineChars="200"/>
      </w:pPr>
      <w:r>
        <w:rPr>
          <w:rFonts w:hint="eastAsia"/>
        </w:rPr>
        <w:t>⑤取土场根据场地的汇水状况设置排水设施，结合蓄水灌溉功能的排水设施可根据水塘的调节功能适当减小排水设施尺寸。</w:t>
      </w:r>
    </w:p>
    <w:p>
      <w:pPr>
        <w:snapToGrid w:val="0"/>
        <w:ind w:firstLine="480" w:firstLineChars="200"/>
      </w:pPr>
      <w:r>
        <w:rPr>
          <w:rFonts w:hint="eastAsia"/>
        </w:rPr>
        <w:t>⑥环境敏感路段路堤边沟如承接路面汇水，通过路基排水系统集中路面径流，经净化池过滤后再与自然水系连通，有条件时将路面径流导出敏感区。净化池一般采用开挖集水式，有条件路段尽量布置在桥下以减少占地。</w:t>
      </w:r>
    </w:p>
    <w:p>
      <w:pPr>
        <w:snapToGrid w:val="0"/>
        <w:ind w:firstLine="480" w:firstLineChars="200"/>
        <w:jc w:val="left"/>
      </w:pPr>
      <w:r>
        <w:t>2</w:t>
      </w:r>
      <w:r>
        <w:rPr>
          <w:rFonts w:hint="eastAsia"/>
        </w:rPr>
        <w:t>）纵向涵和倒虹吸</w:t>
      </w:r>
    </w:p>
    <w:p>
      <w:pPr>
        <w:snapToGrid w:val="0"/>
        <w:ind w:firstLine="480" w:firstLineChars="200"/>
      </w:pPr>
      <w:r>
        <w:rPr>
          <w:rFonts w:hint="eastAsia"/>
        </w:rPr>
        <w:t>路堤边沟与道路相交且不能利用线外道路边沟排水时，设置纵向涵导水，涵管埋置深度较大时设置倒虹吸。</w:t>
      </w:r>
    </w:p>
    <w:p>
      <w:pPr>
        <w:pStyle w:val="8"/>
        <w:rPr>
          <w:b/>
          <w:bCs/>
        </w:rPr>
      </w:pPr>
      <w:bookmarkStart w:id="148" w:name="_Toc26435"/>
      <w:r>
        <w:rPr>
          <w:b/>
          <w:bCs/>
        </w:rPr>
        <w:t>路面工程</w:t>
      </w:r>
      <w:bookmarkEnd w:id="148"/>
    </w:p>
    <w:p>
      <w:pPr>
        <w:pStyle w:val="9"/>
      </w:pPr>
      <w:bookmarkStart w:id="149" w:name="_Toc8929"/>
      <w:r>
        <w:rPr>
          <w:rFonts w:hint="eastAsia"/>
        </w:rPr>
        <w:t>路面结构方案、类型</w:t>
      </w:r>
      <w:bookmarkEnd w:id="149"/>
    </w:p>
    <w:p>
      <w:pPr>
        <w:pStyle w:val="10"/>
        <w:ind w:firstLine="480"/>
      </w:pPr>
      <w:r>
        <w:rPr>
          <w:rFonts w:hint="eastAsia"/>
        </w:rPr>
        <w:t>（1）上面层材料方案</w:t>
      </w:r>
    </w:p>
    <w:p>
      <w:pPr>
        <w:pStyle w:val="10"/>
        <w:ind w:firstLine="480"/>
      </w:pPr>
      <w:r>
        <w:rPr>
          <w:rFonts w:hint="eastAsia"/>
        </w:rPr>
        <w:t>本项目是民用机场的重要进出道路，交通</w:t>
      </w:r>
      <w:r>
        <w:t>荷载车辆</w:t>
      </w:r>
      <w:r>
        <w:rPr>
          <w:rFonts w:hint="eastAsia"/>
        </w:rPr>
        <w:t>以</w:t>
      </w:r>
      <w:r>
        <w:t>小客车为主，从</w:t>
      </w:r>
      <w:r>
        <w:rPr>
          <w:rFonts w:hint="eastAsia"/>
        </w:rPr>
        <w:t>经济</w:t>
      </w:r>
      <w:r>
        <w:t>实用性方面考虑，采用AC沥青混合料作为上面层。</w:t>
      </w:r>
    </w:p>
    <w:p>
      <w:pPr>
        <w:snapToGrid w:val="0"/>
        <w:ind w:firstLine="480" w:firstLineChars="200"/>
        <w:jc w:val="left"/>
      </w:pPr>
      <w:r>
        <w:rPr>
          <w:rFonts w:hint="eastAsia"/>
        </w:rPr>
        <w:t>（2）</w:t>
      </w:r>
      <w:r>
        <w:t>中、下面层材料方案</w:t>
      </w:r>
    </w:p>
    <w:p>
      <w:pPr>
        <w:snapToGrid w:val="0"/>
        <w:ind w:firstLine="480" w:firstLineChars="200"/>
        <w:jc w:val="left"/>
      </w:pPr>
      <w:r>
        <w:t>根据国内及</w:t>
      </w:r>
      <w:r>
        <w:rPr>
          <w:rFonts w:hint="eastAsia"/>
        </w:rPr>
        <w:t>安徽</w:t>
      </w:r>
      <w:r>
        <w:t>省内中下面层的应用效果，本项目中下面层推荐采用AC类沥青混合料，中面层拟采用AC-20（SBS改性），下面层拟采用AC-25。</w:t>
      </w:r>
    </w:p>
    <w:p>
      <w:pPr>
        <w:snapToGrid w:val="0"/>
        <w:ind w:firstLine="480" w:firstLineChars="200"/>
        <w:jc w:val="left"/>
      </w:pPr>
      <w:r>
        <w:rPr>
          <w:rFonts w:hint="eastAsia"/>
        </w:rPr>
        <w:t>（3）</w:t>
      </w:r>
      <w:r>
        <w:t>基层材料方案</w:t>
      </w:r>
    </w:p>
    <w:p>
      <w:pPr>
        <w:pStyle w:val="10"/>
        <w:ind w:firstLine="480"/>
      </w:pPr>
      <w:r>
        <w:t>设计推荐采用水泥稳定碎石作为基层结构方案。考虑到水稳基层抗裂性略有不足，采取骨架密实型，并在保证基层强度前提下，适当减少水泥剂量。</w:t>
      </w:r>
    </w:p>
    <w:p>
      <w:pPr>
        <w:pStyle w:val="10"/>
        <w:ind w:firstLine="480"/>
      </w:pPr>
      <w:r>
        <w:rPr>
          <w:rFonts w:hint="eastAsia"/>
        </w:rPr>
        <w:t>（4）</w:t>
      </w:r>
      <w:r>
        <w:t>底基层材料方案</w:t>
      </w:r>
    </w:p>
    <w:p>
      <w:pPr>
        <w:snapToGrid w:val="0"/>
        <w:ind w:firstLine="480" w:firstLineChars="200"/>
        <w:jc w:val="left"/>
      </w:pPr>
      <w:r>
        <w:t>底基层位于基层之下，与基层一起承受荷载反复作用，起次要承重作用，应具有一定的强度和刚度。根据我省公路建设经验，综合考虑工程的技术性和经济性，底基层采用低剂量水泥稳定碎石。</w:t>
      </w:r>
    </w:p>
    <w:p>
      <w:pPr>
        <w:pStyle w:val="9"/>
      </w:pPr>
      <w:bookmarkStart w:id="150" w:name="_Toc23485"/>
      <w:r>
        <w:rPr>
          <w:rFonts w:hint="eastAsia"/>
        </w:rPr>
        <w:t>路面结构方案</w:t>
      </w:r>
      <w:bookmarkEnd w:id="150"/>
    </w:p>
    <w:p>
      <w:pPr>
        <w:pStyle w:val="10"/>
        <w:ind w:firstLine="480"/>
      </w:pPr>
      <w:r>
        <w:rPr>
          <w:rFonts w:hint="eastAsia"/>
        </w:rPr>
        <w:t>主车道、硬路肩路面结构型式为：4cm AC-13C（SBS改性）+6cm AC-20C（SBS改性）+8cm AC-25C+36cm水泥稳定碎石+20cm 低剂量水泥稳定碎石。</w:t>
      </w:r>
    </w:p>
    <w:p>
      <w:pPr>
        <w:pStyle w:val="10"/>
        <w:ind w:firstLine="480"/>
      </w:pPr>
      <w:r>
        <w:rPr>
          <w:rFonts w:hint="eastAsia"/>
        </w:rPr>
        <w:t>桥面铺装路面结构型式为：4cm AC-13C（SBS改性）+6cm AC-20C（SBS改性）+防水粘结层+搭板或梁板。</w:t>
      </w:r>
    </w:p>
    <w:p>
      <w:pPr>
        <w:pStyle w:val="10"/>
        <w:ind w:firstLine="480"/>
      </w:pPr>
      <w:r>
        <w:rPr>
          <w:rFonts w:hint="eastAsia"/>
        </w:rPr>
        <w:t>二次过街安全岛路面结构型式为：6cm仿石砖+3cm 水泥砂浆+15cm C20混凝土+15cm级配碎石。</w:t>
      </w:r>
    </w:p>
    <w:p>
      <w:pPr>
        <w:pStyle w:val="9"/>
      </w:pPr>
      <w:bookmarkStart w:id="151" w:name="_Toc23285"/>
      <w:r>
        <w:rPr>
          <w:rFonts w:hint="eastAsia"/>
        </w:rPr>
        <w:t>路面排水</w:t>
      </w:r>
      <w:bookmarkEnd w:id="151"/>
    </w:p>
    <w:p>
      <w:pPr>
        <w:snapToGrid w:val="0"/>
        <w:ind w:firstLine="480" w:firstLineChars="200"/>
        <w:jc w:val="left"/>
      </w:pPr>
      <w:r>
        <w:rPr>
          <w:rFonts w:hint="eastAsia"/>
        </w:rPr>
        <w:t>（1）路面表面排水采用漫流方式，挖方段通过降低土路肩，使漫流路面水直接流入边沟；填方段通过土路肩漫流排出。</w:t>
      </w:r>
    </w:p>
    <w:p>
      <w:pPr>
        <w:snapToGrid w:val="0"/>
        <w:ind w:firstLine="480" w:firstLineChars="200"/>
        <w:jc w:val="left"/>
      </w:pPr>
      <w:r>
        <w:rPr>
          <w:rFonts w:hint="eastAsia"/>
        </w:rPr>
        <w:t>（2）在路面基层顶面设下封层拦截路面下渗水。填方路段，下渗水通过路拱横坡排至土路肩边缘预留的纵向碎石垫层内，通过碎石垫层排出。</w:t>
      </w:r>
    </w:p>
    <w:p>
      <w:pPr>
        <w:snapToGrid w:val="0"/>
        <w:ind w:firstLine="480" w:firstLineChars="200"/>
        <w:jc w:val="left"/>
      </w:pPr>
      <w:r>
        <w:rPr>
          <w:rFonts w:hint="eastAsia"/>
        </w:rPr>
        <w:t>（3）路面水流经水质环境敏感区（如河流、居民点、水源等）路段设置净化池及事故应急池。净化池用于净化一般路面、桥面径流，事故应急池用于应对突发性泄漏事故。</w:t>
      </w:r>
    </w:p>
    <w:p>
      <w:pPr>
        <w:pStyle w:val="8"/>
        <w:rPr>
          <w:b/>
          <w:bCs/>
        </w:rPr>
      </w:pPr>
      <w:bookmarkStart w:id="152" w:name="_Toc22806"/>
      <w:r>
        <w:rPr>
          <w:b/>
          <w:bCs/>
        </w:rPr>
        <w:t>桥涵工程</w:t>
      </w:r>
      <w:bookmarkEnd w:id="152"/>
    </w:p>
    <w:p>
      <w:pPr>
        <w:pStyle w:val="9"/>
      </w:pPr>
      <w:bookmarkStart w:id="153" w:name="_Toc16323"/>
      <w:r>
        <w:rPr>
          <w:rFonts w:hint="eastAsia"/>
        </w:rPr>
        <w:t>桥梁设置情况</w:t>
      </w:r>
      <w:bookmarkEnd w:id="153"/>
    </w:p>
    <w:p>
      <w:pPr>
        <w:pStyle w:val="112"/>
        <w:ind w:firstLine="480"/>
      </w:pPr>
      <w:r>
        <w:rPr>
          <w:rFonts w:hint="eastAsia"/>
        </w:rPr>
        <w:t>本项目共设置2座桥梁，具体形式如下：</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w:t>
      </w:r>
      <w:r>
        <w:rPr>
          <w:rFonts w:hint="eastAsia"/>
        </w:rPr>
        <w:t>桥梁布置一览表</w:t>
      </w:r>
    </w:p>
    <w:tbl>
      <w:tblPr>
        <w:tblStyle w:val="47"/>
        <w:tblW w:w="48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pct20" w:color="auto" w:fill="auto"/>
        <w:tblLayout w:type="autofit"/>
        <w:tblCellMar>
          <w:top w:w="0" w:type="dxa"/>
          <w:left w:w="108" w:type="dxa"/>
          <w:bottom w:w="0" w:type="dxa"/>
          <w:right w:w="108" w:type="dxa"/>
        </w:tblCellMar>
      </w:tblPr>
      <w:tblGrid>
        <w:gridCol w:w="629"/>
        <w:gridCol w:w="1582"/>
        <w:gridCol w:w="1307"/>
        <w:gridCol w:w="1545"/>
        <w:gridCol w:w="1205"/>
        <w:gridCol w:w="2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pct20" w:color="auto" w:fill="auto"/>
          <w:tblCellMar>
            <w:top w:w="0" w:type="dxa"/>
            <w:left w:w="108" w:type="dxa"/>
            <w:bottom w:w="0" w:type="dxa"/>
            <w:right w:w="108" w:type="dxa"/>
          </w:tblCellMar>
        </w:tblPrEx>
        <w:trPr>
          <w:trHeight w:val="503" w:hRule="atLeast"/>
          <w:jc w:val="center"/>
        </w:trPr>
        <w:tc>
          <w:tcPr>
            <w:tcW w:w="348" w:type="pct"/>
            <w:shd w:val="clear" w:color="auto" w:fill="auto"/>
            <w:vAlign w:val="center"/>
          </w:tcPr>
          <w:p>
            <w:pPr>
              <w:pStyle w:val="1132"/>
              <w:rPr>
                <w:b/>
                <w:bCs w:val="0"/>
              </w:rPr>
            </w:pPr>
            <w:r>
              <w:rPr>
                <w:rFonts w:hint="eastAsia"/>
                <w:b/>
                <w:bCs w:val="0"/>
              </w:rPr>
              <w:t>序号</w:t>
            </w:r>
          </w:p>
        </w:tc>
        <w:tc>
          <w:tcPr>
            <w:tcW w:w="874" w:type="pct"/>
            <w:shd w:val="clear" w:color="auto" w:fill="auto"/>
            <w:vAlign w:val="center"/>
          </w:tcPr>
          <w:p>
            <w:pPr>
              <w:pStyle w:val="1132"/>
              <w:rPr>
                <w:b/>
                <w:bCs w:val="0"/>
              </w:rPr>
            </w:pPr>
            <w:r>
              <w:rPr>
                <w:rFonts w:hint="eastAsia"/>
                <w:b/>
                <w:bCs w:val="0"/>
              </w:rPr>
              <w:t>中心桩号</w:t>
            </w:r>
          </w:p>
        </w:tc>
        <w:tc>
          <w:tcPr>
            <w:tcW w:w="722" w:type="pct"/>
            <w:shd w:val="clear" w:color="auto" w:fill="auto"/>
            <w:vAlign w:val="center"/>
          </w:tcPr>
          <w:p>
            <w:pPr>
              <w:pStyle w:val="1132"/>
              <w:rPr>
                <w:b/>
                <w:bCs w:val="0"/>
              </w:rPr>
            </w:pPr>
            <w:r>
              <w:rPr>
                <w:rFonts w:hint="eastAsia"/>
                <w:b/>
                <w:bCs w:val="0"/>
              </w:rPr>
              <w:t>桥梁名称</w:t>
            </w:r>
          </w:p>
        </w:tc>
        <w:tc>
          <w:tcPr>
            <w:tcW w:w="854" w:type="pct"/>
            <w:shd w:val="clear" w:color="auto" w:fill="auto"/>
            <w:vAlign w:val="center"/>
          </w:tcPr>
          <w:p>
            <w:pPr>
              <w:pStyle w:val="1132"/>
              <w:rPr>
                <w:b/>
                <w:bCs w:val="0"/>
              </w:rPr>
            </w:pPr>
            <w:r>
              <w:rPr>
                <w:rFonts w:hint="eastAsia"/>
                <w:b/>
                <w:bCs w:val="0"/>
              </w:rPr>
              <w:t>孔数及孔径</w:t>
            </w:r>
          </w:p>
          <w:p>
            <w:pPr>
              <w:pStyle w:val="1132"/>
              <w:rPr>
                <w:b/>
                <w:bCs w:val="0"/>
              </w:rPr>
            </w:pPr>
            <w:r>
              <w:rPr>
                <w:rFonts w:hint="eastAsia"/>
                <w:b/>
                <w:bCs w:val="0"/>
              </w:rPr>
              <w:t>（孔-m）</w:t>
            </w:r>
          </w:p>
        </w:tc>
        <w:tc>
          <w:tcPr>
            <w:tcW w:w="666" w:type="pct"/>
            <w:shd w:val="clear" w:color="auto" w:fill="auto"/>
            <w:vAlign w:val="center"/>
          </w:tcPr>
          <w:p>
            <w:pPr>
              <w:pStyle w:val="1132"/>
              <w:rPr>
                <w:b/>
                <w:bCs w:val="0"/>
              </w:rPr>
            </w:pPr>
            <w:r>
              <w:rPr>
                <w:rFonts w:hint="eastAsia"/>
                <w:b/>
                <w:bCs w:val="0"/>
              </w:rPr>
              <w:t>桥梁长度（m）</w:t>
            </w:r>
          </w:p>
        </w:tc>
        <w:tc>
          <w:tcPr>
            <w:tcW w:w="1537" w:type="pct"/>
            <w:shd w:val="clear" w:color="auto" w:fill="auto"/>
            <w:vAlign w:val="center"/>
          </w:tcPr>
          <w:p>
            <w:pPr>
              <w:pStyle w:val="1132"/>
              <w:rPr>
                <w:b/>
                <w:bCs w:val="0"/>
              </w:rPr>
            </w:pPr>
            <w:r>
              <w:rPr>
                <w:rFonts w:hint="eastAsia"/>
                <w:b/>
                <w:bCs w:val="0"/>
              </w:rPr>
              <w:t>结构形式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pct20" w:color="auto" w:fill="auto"/>
          <w:tblCellMar>
            <w:top w:w="0" w:type="dxa"/>
            <w:left w:w="108" w:type="dxa"/>
            <w:bottom w:w="0" w:type="dxa"/>
            <w:right w:w="108" w:type="dxa"/>
          </w:tblCellMar>
        </w:tblPrEx>
        <w:trPr>
          <w:trHeight w:val="511" w:hRule="atLeast"/>
          <w:jc w:val="center"/>
        </w:trPr>
        <w:tc>
          <w:tcPr>
            <w:tcW w:w="348" w:type="pct"/>
            <w:shd w:val="clear" w:color="auto" w:fill="auto"/>
            <w:vAlign w:val="center"/>
          </w:tcPr>
          <w:p>
            <w:pPr>
              <w:pStyle w:val="1132"/>
            </w:pPr>
            <w:r>
              <w:t>1</w:t>
            </w:r>
          </w:p>
        </w:tc>
        <w:tc>
          <w:tcPr>
            <w:tcW w:w="874" w:type="pct"/>
            <w:shd w:val="clear" w:color="auto" w:fill="auto"/>
            <w:vAlign w:val="center"/>
          </w:tcPr>
          <w:p>
            <w:pPr>
              <w:pStyle w:val="1132"/>
            </w:pPr>
            <w:r>
              <w:t>K3+378</w:t>
            </w:r>
          </w:p>
        </w:tc>
        <w:tc>
          <w:tcPr>
            <w:tcW w:w="722" w:type="pct"/>
            <w:shd w:val="clear" w:color="auto" w:fill="auto"/>
            <w:vAlign w:val="center"/>
          </w:tcPr>
          <w:p>
            <w:pPr>
              <w:pStyle w:val="1132"/>
            </w:pPr>
            <w:r>
              <w:rPr>
                <w:rFonts w:hint="eastAsia"/>
              </w:rPr>
              <w:t>大沟中桥</w:t>
            </w:r>
          </w:p>
        </w:tc>
        <w:tc>
          <w:tcPr>
            <w:tcW w:w="854" w:type="pct"/>
            <w:shd w:val="clear" w:color="auto" w:fill="auto"/>
            <w:vAlign w:val="center"/>
          </w:tcPr>
          <w:p>
            <w:pPr>
              <w:pStyle w:val="1132"/>
            </w:pPr>
            <w:r>
              <w:t>3×16</w:t>
            </w:r>
          </w:p>
        </w:tc>
        <w:tc>
          <w:tcPr>
            <w:tcW w:w="666" w:type="pct"/>
            <w:shd w:val="clear" w:color="auto" w:fill="auto"/>
            <w:vAlign w:val="center"/>
          </w:tcPr>
          <w:p>
            <w:pPr>
              <w:pStyle w:val="1132"/>
            </w:pPr>
            <w:r>
              <w:t>54</w:t>
            </w:r>
          </w:p>
        </w:tc>
        <w:tc>
          <w:tcPr>
            <w:tcW w:w="1537" w:type="pct"/>
            <w:shd w:val="clear" w:color="auto" w:fill="auto"/>
            <w:vAlign w:val="center"/>
          </w:tcPr>
          <w:p>
            <w:pPr>
              <w:pStyle w:val="1132"/>
            </w:pPr>
            <w:r>
              <w:rPr>
                <w:rFonts w:hint="eastAsia"/>
              </w:rPr>
              <w:t>低高度密肋式T梁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pct20" w:color="auto" w:fill="auto"/>
          <w:tblCellMar>
            <w:top w:w="0" w:type="dxa"/>
            <w:left w:w="108" w:type="dxa"/>
            <w:bottom w:w="0" w:type="dxa"/>
            <w:right w:w="108" w:type="dxa"/>
          </w:tblCellMar>
        </w:tblPrEx>
        <w:trPr>
          <w:trHeight w:val="578" w:hRule="atLeast"/>
          <w:jc w:val="center"/>
        </w:trPr>
        <w:tc>
          <w:tcPr>
            <w:tcW w:w="348" w:type="pct"/>
            <w:shd w:val="clear" w:color="auto" w:fill="auto"/>
            <w:vAlign w:val="center"/>
          </w:tcPr>
          <w:p>
            <w:pPr>
              <w:pStyle w:val="1132"/>
            </w:pPr>
            <w:r>
              <w:t>2</w:t>
            </w:r>
          </w:p>
        </w:tc>
        <w:tc>
          <w:tcPr>
            <w:tcW w:w="874" w:type="pct"/>
            <w:shd w:val="clear" w:color="auto" w:fill="auto"/>
            <w:vAlign w:val="center"/>
          </w:tcPr>
          <w:p>
            <w:pPr>
              <w:pStyle w:val="1132"/>
            </w:pPr>
            <w:r>
              <w:t>K6+186</w:t>
            </w:r>
          </w:p>
        </w:tc>
        <w:tc>
          <w:tcPr>
            <w:tcW w:w="722" w:type="pct"/>
            <w:shd w:val="clear" w:color="auto" w:fill="auto"/>
            <w:vAlign w:val="center"/>
          </w:tcPr>
          <w:p>
            <w:pPr>
              <w:pStyle w:val="1132"/>
            </w:pPr>
            <w:r>
              <w:rPr>
                <w:rFonts w:hint="eastAsia"/>
              </w:rPr>
              <w:t>北一支渠中桥</w:t>
            </w:r>
          </w:p>
        </w:tc>
        <w:tc>
          <w:tcPr>
            <w:tcW w:w="854" w:type="pct"/>
            <w:shd w:val="clear" w:color="auto" w:fill="auto"/>
            <w:vAlign w:val="center"/>
          </w:tcPr>
          <w:p>
            <w:pPr>
              <w:pStyle w:val="1132"/>
            </w:pPr>
            <w:r>
              <w:t>3×</w:t>
            </w:r>
            <w:r>
              <w:rPr>
                <w:rFonts w:hint="eastAsia"/>
              </w:rPr>
              <w:t>16</w:t>
            </w:r>
          </w:p>
        </w:tc>
        <w:tc>
          <w:tcPr>
            <w:tcW w:w="666" w:type="pct"/>
            <w:shd w:val="clear" w:color="auto" w:fill="auto"/>
            <w:vAlign w:val="center"/>
          </w:tcPr>
          <w:p>
            <w:pPr>
              <w:pStyle w:val="1132"/>
            </w:pPr>
            <w:r>
              <w:t>54</w:t>
            </w:r>
          </w:p>
        </w:tc>
        <w:tc>
          <w:tcPr>
            <w:tcW w:w="1537" w:type="pct"/>
            <w:shd w:val="clear" w:color="auto" w:fill="auto"/>
            <w:vAlign w:val="center"/>
          </w:tcPr>
          <w:p>
            <w:pPr>
              <w:pStyle w:val="1132"/>
            </w:pPr>
            <w:r>
              <w:rPr>
                <w:rFonts w:hint="eastAsia"/>
              </w:rPr>
              <w:t>低高度密肋式T梁</w:t>
            </w:r>
          </w:p>
        </w:tc>
      </w:tr>
    </w:tbl>
    <w:p>
      <w:pPr>
        <w:snapToGrid w:val="0"/>
        <w:ind w:firstLine="480" w:firstLineChars="200"/>
      </w:pPr>
      <w:r>
        <w:rPr>
          <w:rFonts w:hint="eastAsia"/>
        </w:rPr>
        <w:t>1）K</w:t>
      </w:r>
      <w:r>
        <w:t>3+</w:t>
      </w:r>
      <w:r>
        <w:rPr>
          <w:rFonts w:hint="eastAsia"/>
        </w:rPr>
        <w:t>378大沟中桥：设置跨大沟桥</w:t>
      </w:r>
      <w:r>
        <w:t>1</w:t>
      </w:r>
      <w:r>
        <w:rPr>
          <w:rFonts w:hint="eastAsia"/>
        </w:rPr>
        <w:t>座，长54米，全宽33</w:t>
      </w:r>
      <w:r>
        <w:t>m</w:t>
      </w:r>
      <w:r>
        <w:rPr>
          <w:rFonts w:hint="eastAsia"/>
        </w:rPr>
        <w:t>。桥梁上部结构采用低高度密肋式T梁；下部结构桥墩采用柱式墩，桥台采用柱式台，墩台采用桩基础。</w:t>
      </w:r>
    </w:p>
    <w:p>
      <w:pPr>
        <w:snapToGrid w:val="0"/>
        <w:ind w:firstLine="480" w:firstLineChars="200"/>
        <w:rPr>
          <w:rFonts w:hint="eastAsia"/>
        </w:rPr>
      </w:pPr>
      <w:r>
        <w:rPr>
          <w:rFonts w:hint="eastAsia"/>
        </w:rPr>
        <w:t>2）K6</w:t>
      </w:r>
      <w:r>
        <w:t>+</w:t>
      </w:r>
      <w:r>
        <w:rPr>
          <w:rFonts w:hint="eastAsia"/>
        </w:rPr>
        <w:t>186北一支渠中桥：设置跨北一支渠桥</w:t>
      </w:r>
      <w:r>
        <w:t>1</w:t>
      </w:r>
      <w:r>
        <w:rPr>
          <w:rFonts w:hint="eastAsia"/>
        </w:rPr>
        <w:t>座，长54米，全宽33</w:t>
      </w:r>
      <w:r>
        <w:t>m</w:t>
      </w:r>
      <w:r>
        <w:rPr>
          <w:rFonts w:hint="eastAsia"/>
        </w:rPr>
        <w:t>。桥梁上部结构采用低高度密肋式T梁；下部结构桥墩采用柱式墩，桥台采用柱式台，墩台采用桩基础。</w:t>
      </w:r>
    </w:p>
    <w:p>
      <w:pPr>
        <w:snapToGrid w:val="0"/>
        <w:ind w:firstLine="480" w:firstLineChars="200"/>
        <w:rPr>
          <w:rFonts w:hint="default" w:eastAsia="宋体"/>
          <w:lang w:val="en-US" w:eastAsia="zh-CN"/>
        </w:rPr>
      </w:pPr>
      <w:r>
        <w:rPr>
          <w:rFonts w:hint="eastAsia"/>
          <w:lang w:val="en-US" w:eastAsia="zh-CN"/>
        </w:rPr>
        <w:t>根据实际踏勘现场情况，拟建中桥跨越大沟与北一支渠的位置植被生长茂盛，沟渠均为植被覆盖，沟渠内几乎无水，沟渠宽度约为15m。</w:t>
      </w:r>
    </w:p>
    <w:p>
      <w:pPr>
        <w:pStyle w:val="9"/>
      </w:pPr>
      <w:bookmarkStart w:id="154" w:name="_Toc11066"/>
      <w:r>
        <w:rPr>
          <w:rFonts w:hint="eastAsia"/>
        </w:rPr>
        <w:t>涵洞设置情况</w:t>
      </w:r>
      <w:bookmarkEnd w:id="154"/>
    </w:p>
    <w:p>
      <w:pPr>
        <w:ind w:firstLine="480"/>
      </w:pPr>
      <w:r>
        <w:rPr>
          <w:rFonts w:hint="eastAsia"/>
        </w:rPr>
        <w:t>全线共设置2</w:t>
      </w:r>
      <w:r>
        <w:rPr>
          <w:rFonts w:hint="eastAsia"/>
          <w:lang w:val="en-US" w:eastAsia="zh-CN"/>
        </w:rPr>
        <w:t>8</w:t>
      </w:r>
      <w:r>
        <w:rPr>
          <w:rFonts w:hint="eastAsia"/>
        </w:rPr>
        <w:t>道涵洞，其中φ1.5m圆管涵共</w:t>
      </w:r>
      <w:r>
        <w:rPr>
          <w:rFonts w:hint="eastAsia"/>
          <w:lang w:val="en-US" w:eastAsia="zh-CN"/>
        </w:rPr>
        <w:t>17</w:t>
      </w:r>
      <w:r>
        <w:rPr>
          <w:rFonts w:hint="eastAsia"/>
        </w:rPr>
        <w:t>道；跨径4m箱涵共3道；跨径6m箱涵共8道。</w:t>
      </w:r>
    </w:p>
    <w:p>
      <w:pPr>
        <w:pStyle w:val="8"/>
        <w:rPr>
          <w:b/>
          <w:bCs/>
        </w:rPr>
      </w:pPr>
      <w:bookmarkStart w:id="155" w:name="_Toc591"/>
      <w:r>
        <w:rPr>
          <w:rFonts w:hint="eastAsia"/>
          <w:b/>
          <w:bCs/>
        </w:rPr>
        <w:t>交叉工程</w:t>
      </w:r>
      <w:bookmarkEnd w:id="155"/>
    </w:p>
    <w:p>
      <w:pPr>
        <w:ind w:firstLine="480"/>
      </w:pPr>
      <w:r>
        <w:rPr>
          <w:rFonts w:hint="eastAsia"/>
        </w:rPr>
        <w:t>据沿线现场调查成果以及区域性路网规划，交通量预测、地方经济发展等诸多因素的综合考虑，本项目包含平面交叉7处，立体交叉1处。具体交叉情况如下：</w:t>
      </w:r>
    </w:p>
    <w:p>
      <w:pPr>
        <w:pStyle w:val="19"/>
        <w:rPr>
          <w:rFonts w:hint="eastAsia"/>
        </w:rPr>
      </w:pPr>
    </w:p>
    <w:p>
      <w:pPr>
        <w:pStyle w:val="19"/>
        <w:rPr>
          <w:rFonts w:hint="eastAsia"/>
        </w:rPr>
      </w:pPr>
    </w:p>
    <w:p>
      <w:pPr>
        <w:pStyle w:val="19"/>
        <w:rPr>
          <w:rFonts w:hint="eastAsia"/>
        </w:rPr>
      </w:pPr>
    </w:p>
    <w:p>
      <w:pPr>
        <w:pStyle w:val="19"/>
        <w:rPr>
          <w:lang w:bidi="he-IL"/>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r>
        <w:t xml:space="preserve">  </w:t>
      </w:r>
      <w:r>
        <w:rPr>
          <w:rFonts w:hint="eastAsia"/>
          <w:lang w:bidi="he-IL"/>
        </w:rPr>
        <w:t>交叉</w:t>
      </w:r>
      <w:r>
        <w:rPr>
          <w:rFonts w:hint="eastAsia"/>
        </w:rPr>
        <w:t>工程</w:t>
      </w:r>
      <w:r>
        <w:rPr>
          <w:rFonts w:hint="eastAsia"/>
          <w:lang w:bidi="he-IL"/>
        </w:rPr>
        <w:t>一览表</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8"/>
        <w:gridCol w:w="1477"/>
        <w:gridCol w:w="1437"/>
        <w:gridCol w:w="1242"/>
        <w:gridCol w:w="995"/>
        <w:gridCol w:w="995"/>
        <w:gridCol w:w="2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332" w:type="pct"/>
            <w:shd w:val="clear" w:color="auto" w:fill="auto"/>
            <w:noWrap/>
            <w:vAlign w:val="center"/>
          </w:tcPr>
          <w:p>
            <w:pPr>
              <w:pStyle w:val="1132"/>
              <w:rPr>
                <w:b/>
                <w:bCs w:val="0"/>
              </w:rPr>
            </w:pPr>
            <w:r>
              <w:rPr>
                <w:rFonts w:hint="eastAsia"/>
                <w:b/>
                <w:bCs w:val="0"/>
              </w:rPr>
              <w:t>序号</w:t>
            </w:r>
          </w:p>
        </w:tc>
        <w:tc>
          <w:tcPr>
            <w:tcW w:w="795" w:type="pct"/>
            <w:shd w:val="clear" w:color="auto" w:fill="auto"/>
            <w:noWrap/>
            <w:vAlign w:val="center"/>
          </w:tcPr>
          <w:p>
            <w:pPr>
              <w:pStyle w:val="1132"/>
              <w:rPr>
                <w:b/>
                <w:bCs w:val="0"/>
              </w:rPr>
            </w:pPr>
            <w:r>
              <w:rPr>
                <w:rFonts w:hint="eastAsia"/>
                <w:b/>
                <w:bCs w:val="0"/>
              </w:rPr>
              <w:t>交叉桩号</w:t>
            </w:r>
          </w:p>
        </w:tc>
        <w:tc>
          <w:tcPr>
            <w:tcW w:w="774" w:type="pct"/>
            <w:shd w:val="clear" w:color="auto" w:fill="auto"/>
            <w:noWrap/>
            <w:vAlign w:val="center"/>
          </w:tcPr>
          <w:p>
            <w:pPr>
              <w:pStyle w:val="1132"/>
              <w:rPr>
                <w:b/>
                <w:bCs w:val="0"/>
              </w:rPr>
            </w:pPr>
            <w:r>
              <w:rPr>
                <w:rFonts w:hint="eastAsia"/>
                <w:b/>
                <w:bCs w:val="0"/>
              </w:rPr>
              <w:t>道路名称</w:t>
            </w:r>
          </w:p>
        </w:tc>
        <w:tc>
          <w:tcPr>
            <w:tcW w:w="669" w:type="pct"/>
            <w:shd w:val="clear" w:color="auto" w:fill="auto"/>
            <w:noWrap/>
            <w:vAlign w:val="center"/>
          </w:tcPr>
          <w:p>
            <w:pPr>
              <w:pStyle w:val="1132"/>
              <w:rPr>
                <w:b/>
                <w:bCs w:val="0"/>
              </w:rPr>
            </w:pPr>
            <w:r>
              <w:rPr>
                <w:rFonts w:hint="eastAsia"/>
                <w:b/>
                <w:bCs w:val="0"/>
              </w:rPr>
              <w:t>被交道路等级</w:t>
            </w:r>
          </w:p>
        </w:tc>
        <w:tc>
          <w:tcPr>
            <w:tcW w:w="536" w:type="pct"/>
            <w:shd w:val="clear" w:color="auto" w:fill="auto"/>
            <w:noWrap/>
            <w:vAlign w:val="center"/>
          </w:tcPr>
          <w:p>
            <w:pPr>
              <w:pStyle w:val="1132"/>
              <w:rPr>
                <w:b/>
                <w:bCs w:val="0"/>
              </w:rPr>
            </w:pPr>
            <w:r>
              <w:rPr>
                <w:rFonts w:hint="eastAsia"/>
                <w:b/>
                <w:bCs w:val="0"/>
              </w:rPr>
              <w:t>交叉类型</w:t>
            </w:r>
          </w:p>
        </w:tc>
        <w:tc>
          <w:tcPr>
            <w:tcW w:w="536" w:type="pct"/>
            <w:shd w:val="clear" w:color="auto" w:fill="auto"/>
            <w:noWrap/>
            <w:vAlign w:val="center"/>
          </w:tcPr>
          <w:p>
            <w:pPr>
              <w:pStyle w:val="1132"/>
              <w:rPr>
                <w:b/>
                <w:bCs w:val="0"/>
              </w:rPr>
            </w:pPr>
            <w:r>
              <w:rPr>
                <w:rFonts w:hint="eastAsia"/>
                <w:b/>
                <w:bCs w:val="0"/>
              </w:rPr>
              <w:t>交叉型式</w:t>
            </w:r>
          </w:p>
        </w:tc>
        <w:tc>
          <w:tcPr>
            <w:tcW w:w="1359" w:type="pct"/>
            <w:shd w:val="clear" w:color="auto" w:fill="auto"/>
            <w:noWrap/>
            <w:vAlign w:val="center"/>
          </w:tcPr>
          <w:p>
            <w:pPr>
              <w:pStyle w:val="1132"/>
              <w:rPr>
                <w:b/>
                <w:bCs w:val="0"/>
              </w:rPr>
            </w:pPr>
            <w:r>
              <w:rPr>
                <w:rFonts w:hint="eastAsia"/>
                <w:b/>
                <w:bCs w:val="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332" w:type="pct"/>
            <w:shd w:val="clear" w:color="auto" w:fill="auto"/>
            <w:noWrap/>
            <w:vAlign w:val="center"/>
          </w:tcPr>
          <w:p>
            <w:pPr>
              <w:pStyle w:val="1132"/>
            </w:pPr>
            <w:r>
              <w:rPr>
                <w:rFonts w:hint="eastAsia"/>
              </w:rPr>
              <w:t>1</w:t>
            </w:r>
          </w:p>
        </w:tc>
        <w:tc>
          <w:tcPr>
            <w:tcW w:w="795" w:type="pct"/>
            <w:shd w:val="clear" w:color="auto" w:fill="auto"/>
            <w:noWrap/>
            <w:vAlign w:val="center"/>
          </w:tcPr>
          <w:p>
            <w:pPr>
              <w:pStyle w:val="1132"/>
            </w:pPr>
            <w:r>
              <w:rPr>
                <w:rFonts w:hint="eastAsia"/>
              </w:rPr>
              <w:t>K0+000</w:t>
            </w:r>
          </w:p>
        </w:tc>
        <w:tc>
          <w:tcPr>
            <w:tcW w:w="774" w:type="pct"/>
            <w:shd w:val="clear" w:color="auto" w:fill="auto"/>
            <w:noWrap/>
            <w:vAlign w:val="center"/>
          </w:tcPr>
          <w:p>
            <w:pPr>
              <w:pStyle w:val="1132"/>
            </w:pPr>
            <w:r>
              <w:rPr>
                <w:rFonts w:hint="eastAsia"/>
              </w:rPr>
              <w:t>原G206</w:t>
            </w:r>
          </w:p>
        </w:tc>
        <w:tc>
          <w:tcPr>
            <w:tcW w:w="669" w:type="pct"/>
            <w:shd w:val="clear" w:color="auto" w:fill="auto"/>
            <w:noWrap/>
            <w:vAlign w:val="center"/>
          </w:tcPr>
          <w:p>
            <w:pPr>
              <w:pStyle w:val="1132"/>
            </w:pPr>
            <w:r>
              <w:rPr>
                <w:rFonts w:hint="eastAsia"/>
              </w:rPr>
              <w:t>二级公路</w:t>
            </w:r>
          </w:p>
        </w:tc>
        <w:tc>
          <w:tcPr>
            <w:tcW w:w="536" w:type="pct"/>
            <w:shd w:val="clear" w:color="auto" w:fill="auto"/>
            <w:noWrap/>
            <w:vAlign w:val="center"/>
          </w:tcPr>
          <w:p>
            <w:pPr>
              <w:pStyle w:val="1132"/>
            </w:pPr>
            <w:r>
              <w:rPr>
                <w:rFonts w:hint="eastAsia"/>
              </w:rPr>
              <w:t>平面交叉</w:t>
            </w:r>
          </w:p>
        </w:tc>
        <w:tc>
          <w:tcPr>
            <w:tcW w:w="536" w:type="pct"/>
            <w:shd w:val="clear" w:color="auto" w:fill="auto"/>
            <w:noWrap/>
            <w:vAlign w:val="center"/>
          </w:tcPr>
          <w:p>
            <w:pPr>
              <w:pStyle w:val="1132"/>
            </w:pPr>
            <w:r>
              <w:rPr>
                <w:rFonts w:hint="eastAsia"/>
              </w:rPr>
              <w:t>十字型</w:t>
            </w:r>
          </w:p>
        </w:tc>
        <w:tc>
          <w:tcPr>
            <w:tcW w:w="1359" w:type="pct"/>
            <w:shd w:val="clear" w:color="auto" w:fill="auto"/>
            <w:noWrap/>
            <w:vAlign w:val="center"/>
          </w:tcPr>
          <w:p>
            <w:pPr>
              <w:pStyle w:val="1132"/>
            </w:pPr>
            <w:r>
              <w:rPr>
                <w:rFonts w:hint="eastAsia"/>
              </w:rPr>
              <w:t>渠化+信号控制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332" w:type="pct"/>
            <w:shd w:val="clear" w:color="auto" w:fill="auto"/>
            <w:noWrap/>
            <w:vAlign w:val="center"/>
          </w:tcPr>
          <w:p>
            <w:pPr>
              <w:pStyle w:val="1132"/>
            </w:pPr>
            <w:r>
              <w:rPr>
                <w:rFonts w:hint="eastAsia"/>
              </w:rPr>
              <w:t>2</w:t>
            </w:r>
          </w:p>
        </w:tc>
        <w:tc>
          <w:tcPr>
            <w:tcW w:w="795" w:type="pct"/>
            <w:shd w:val="clear" w:color="auto" w:fill="auto"/>
            <w:noWrap/>
            <w:vAlign w:val="center"/>
          </w:tcPr>
          <w:p>
            <w:pPr>
              <w:pStyle w:val="1132"/>
            </w:pPr>
            <w:r>
              <w:rPr>
                <w:rFonts w:hint="eastAsia"/>
              </w:rPr>
              <w:t>K0+311.876</w:t>
            </w:r>
          </w:p>
        </w:tc>
        <w:tc>
          <w:tcPr>
            <w:tcW w:w="774" w:type="pct"/>
            <w:shd w:val="clear" w:color="auto" w:fill="auto"/>
            <w:noWrap/>
            <w:vAlign w:val="center"/>
          </w:tcPr>
          <w:p>
            <w:pPr>
              <w:pStyle w:val="1132"/>
            </w:pPr>
            <w:r>
              <w:rPr>
                <w:rFonts w:hint="eastAsia"/>
              </w:rPr>
              <w:t>京台高速</w:t>
            </w:r>
          </w:p>
        </w:tc>
        <w:tc>
          <w:tcPr>
            <w:tcW w:w="669" w:type="pct"/>
            <w:shd w:val="clear" w:color="auto" w:fill="auto"/>
            <w:noWrap/>
            <w:vAlign w:val="center"/>
          </w:tcPr>
          <w:p>
            <w:pPr>
              <w:pStyle w:val="1132"/>
            </w:pPr>
            <w:r>
              <w:rPr>
                <w:rFonts w:hint="eastAsia"/>
              </w:rPr>
              <w:t>高速公路</w:t>
            </w:r>
          </w:p>
        </w:tc>
        <w:tc>
          <w:tcPr>
            <w:tcW w:w="536" w:type="pct"/>
            <w:shd w:val="clear" w:color="auto" w:fill="auto"/>
            <w:noWrap/>
            <w:vAlign w:val="center"/>
          </w:tcPr>
          <w:p>
            <w:pPr>
              <w:pStyle w:val="1132"/>
            </w:pPr>
            <w:r>
              <w:rPr>
                <w:rFonts w:hint="eastAsia"/>
              </w:rPr>
              <w:t>立体交叉</w:t>
            </w:r>
          </w:p>
        </w:tc>
        <w:tc>
          <w:tcPr>
            <w:tcW w:w="536" w:type="pct"/>
            <w:shd w:val="clear" w:color="auto" w:fill="auto"/>
            <w:noWrap/>
            <w:vAlign w:val="center"/>
          </w:tcPr>
          <w:p>
            <w:pPr>
              <w:pStyle w:val="1132"/>
            </w:pPr>
            <w:r>
              <w:rPr>
                <w:rFonts w:hint="eastAsia"/>
              </w:rPr>
              <w:t>分离式</w:t>
            </w:r>
          </w:p>
        </w:tc>
        <w:tc>
          <w:tcPr>
            <w:tcW w:w="1359" w:type="pct"/>
            <w:shd w:val="clear" w:color="auto" w:fill="auto"/>
            <w:noWrap/>
            <w:vAlign w:val="center"/>
          </w:tcPr>
          <w:p>
            <w:pPr>
              <w:pStyle w:val="1132"/>
            </w:pPr>
            <w:r>
              <w:rPr>
                <w:rFonts w:hint="eastAsia"/>
              </w:rPr>
              <w:t>主线下穿京台高速</w:t>
            </w:r>
          </w:p>
          <w:p>
            <w:pPr>
              <w:pStyle w:val="1132"/>
            </w:pPr>
            <w:r>
              <w:rPr>
                <w:rFonts w:hint="eastAsia"/>
              </w:rPr>
              <w:t>完全利用现状分离式立交桥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332" w:type="pct"/>
            <w:shd w:val="clear" w:color="auto" w:fill="auto"/>
            <w:noWrap/>
            <w:vAlign w:val="center"/>
          </w:tcPr>
          <w:p>
            <w:pPr>
              <w:pStyle w:val="1132"/>
            </w:pPr>
            <w:r>
              <w:rPr>
                <w:rFonts w:hint="eastAsia"/>
              </w:rPr>
              <w:t>3</w:t>
            </w:r>
          </w:p>
        </w:tc>
        <w:tc>
          <w:tcPr>
            <w:tcW w:w="795" w:type="pct"/>
            <w:shd w:val="clear" w:color="auto" w:fill="auto"/>
            <w:noWrap/>
            <w:vAlign w:val="center"/>
          </w:tcPr>
          <w:p>
            <w:pPr>
              <w:pStyle w:val="1132"/>
            </w:pPr>
            <w:r>
              <w:rPr>
                <w:rFonts w:hint="eastAsia"/>
              </w:rPr>
              <w:t>K0+511.767</w:t>
            </w:r>
          </w:p>
        </w:tc>
        <w:tc>
          <w:tcPr>
            <w:tcW w:w="774" w:type="pct"/>
            <w:shd w:val="clear" w:color="auto" w:fill="auto"/>
            <w:noWrap/>
            <w:vAlign w:val="center"/>
          </w:tcPr>
          <w:p>
            <w:pPr>
              <w:pStyle w:val="1132"/>
            </w:pPr>
            <w:r>
              <w:rPr>
                <w:rFonts w:hint="eastAsia"/>
              </w:rPr>
              <w:t>新G206</w:t>
            </w:r>
          </w:p>
        </w:tc>
        <w:tc>
          <w:tcPr>
            <w:tcW w:w="669" w:type="pct"/>
            <w:shd w:val="clear" w:color="auto" w:fill="auto"/>
            <w:noWrap/>
            <w:vAlign w:val="center"/>
          </w:tcPr>
          <w:p>
            <w:pPr>
              <w:pStyle w:val="1132"/>
            </w:pPr>
            <w:r>
              <w:rPr>
                <w:rFonts w:hint="eastAsia"/>
              </w:rPr>
              <w:t>一级公路</w:t>
            </w:r>
          </w:p>
        </w:tc>
        <w:tc>
          <w:tcPr>
            <w:tcW w:w="536" w:type="pct"/>
            <w:shd w:val="clear" w:color="auto" w:fill="auto"/>
            <w:noWrap/>
            <w:vAlign w:val="center"/>
          </w:tcPr>
          <w:p>
            <w:pPr>
              <w:pStyle w:val="1132"/>
            </w:pPr>
            <w:r>
              <w:rPr>
                <w:rFonts w:hint="eastAsia"/>
              </w:rPr>
              <w:t>平面交叉</w:t>
            </w:r>
          </w:p>
        </w:tc>
        <w:tc>
          <w:tcPr>
            <w:tcW w:w="536" w:type="pct"/>
            <w:shd w:val="clear" w:color="auto" w:fill="auto"/>
            <w:noWrap/>
            <w:vAlign w:val="center"/>
          </w:tcPr>
          <w:p>
            <w:pPr>
              <w:pStyle w:val="1132"/>
            </w:pPr>
            <w:r>
              <w:rPr>
                <w:rFonts w:hint="eastAsia"/>
              </w:rPr>
              <w:t>十字型</w:t>
            </w:r>
          </w:p>
        </w:tc>
        <w:tc>
          <w:tcPr>
            <w:tcW w:w="1359" w:type="pct"/>
            <w:shd w:val="clear" w:color="auto" w:fill="auto"/>
            <w:noWrap/>
            <w:vAlign w:val="center"/>
          </w:tcPr>
          <w:p>
            <w:pPr>
              <w:pStyle w:val="1132"/>
            </w:pPr>
            <w:r>
              <w:rPr>
                <w:rFonts w:hint="eastAsia"/>
              </w:rPr>
              <w:t>渠化+信号控制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332" w:type="pct"/>
            <w:shd w:val="clear" w:color="auto" w:fill="auto"/>
            <w:noWrap/>
            <w:vAlign w:val="center"/>
          </w:tcPr>
          <w:p>
            <w:pPr>
              <w:pStyle w:val="1132"/>
            </w:pPr>
            <w:r>
              <w:rPr>
                <w:rFonts w:hint="eastAsia"/>
              </w:rPr>
              <w:t>4</w:t>
            </w:r>
          </w:p>
        </w:tc>
        <w:tc>
          <w:tcPr>
            <w:tcW w:w="795" w:type="pct"/>
            <w:shd w:val="clear" w:color="auto" w:fill="auto"/>
            <w:noWrap/>
            <w:vAlign w:val="center"/>
          </w:tcPr>
          <w:p>
            <w:pPr>
              <w:pStyle w:val="1132"/>
            </w:pPr>
            <w:r>
              <w:rPr>
                <w:rFonts w:hint="eastAsia"/>
              </w:rPr>
              <w:t>K1+703</w:t>
            </w:r>
          </w:p>
        </w:tc>
        <w:tc>
          <w:tcPr>
            <w:tcW w:w="774" w:type="pct"/>
            <w:shd w:val="clear" w:color="auto" w:fill="auto"/>
            <w:noWrap/>
            <w:vAlign w:val="center"/>
          </w:tcPr>
          <w:p>
            <w:pPr>
              <w:pStyle w:val="1132"/>
            </w:pPr>
            <w:r>
              <w:rPr>
                <w:rFonts w:hint="eastAsia"/>
              </w:rPr>
              <w:t>乡道</w:t>
            </w:r>
          </w:p>
        </w:tc>
        <w:tc>
          <w:tcPr>
            <w:tcW w:w="669" w:type="pct"/>
            <w:shd w:val="clear" w:color="auto" w:fill="auto"/>
            <w:noWrap/>
            <w:vAlign w:val="center"/>
          </w:tcPr>
          <w:p>
            <w:pPr>
              <w:pStyle w:val="1132"/>
            </w:pPr>
            <w:r>
              <w:rPr>
                <w:rFonts w:hint="eastAsia"/>
              </w:rPr>
              <w:t>等外公路</w:t>
            </w:r>
          </w:p>
        </w:tc>
        <w:tc>
          <w:tcPr>
            <w:tcW w:w="536" w:type="pct"/>
            <w:shd w:val="clear" w:color="auto" w:fill="auto"/>
            <w:noWrap/>
            <w:vAlign w:val="center"/>
          </w:tcPr>
          <w:p>
            <w:pPr>
              <w:pStyle w:val="1132"/>
            </w:pPr>
            <w:r>
              <w:rPr>
                <w:rFonts w:hint="eastAsia"/>
              </w:rPr>
              <w:t>平面交叉</w:t>
            </w:r>
          </w:p>
        </w:tc>
        <w:tc>
          <w:tcPr>
            <w:tcW w:w="536" w:type="pct"/>
            <w:shd w:val="clear" w:color="auto" w:fill="auto"/>
            <w:noWrap/>
            <w:vAlign w:val="center"/>
          </w:tcPr>
          <w:p>
            <w:pPr>
              <w:pStyle w:val="1132"/>
            </w:pPr>
            <w:r>
              <w:rPr>
                <w:rFonts w:hint="eastAsia"/>
              </w:rPr>
              <w:t>十字型</w:t>
            </w:r>
          </w:p>
        </w:tc>
        <w:tc>
          <w:tcPr>
            <w:tcW w:w="1359" w:type="pct"/>
            <w:shd w:val="clear" w:color="auto" w:fill="auto"/>
            <w:noWrap/>
            <w:vAlign w:val="center"/>
          </w:tcPr>
          <w:p>
            <w:pPr>
              <w:pStyle w:val="1132"/>
            </w:pPr>
            <w:r>
              <w:rPr>
                <w:rFonts w:hint="eastAsia"/>
              </w:rPr>
              <w:t>渠化+信号控制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332" w:type="pct"/>
            <w:shd w:val="clear" w:color="auto" w:fill="auto"/>
            <w:noWrap/>
            <w:vAlign w:val="center"/>
          </w:tcPr>
          <w:p>
            <w:pPr>
              <w:pStyle w:val="1132"/>
            </w:pPr>
            <w:r>
              <w:rPr>
                <w:rFonts w:hint="eastAsia"/>
              </w:rPr>
              <w:t>5</w:t>
            </w:r>
          </w:p>
        </w:tc>
        <w:tc>
          <w:tcPr>
            <w:tcW w:w="795" w:type="pct"/>
            <w:shd w:val="clear" w:color="auto" w:fill="auto"/>
            <w:noWrap/>
            <w:vAlign w:val="center"/>
          </w:tcPr>
          <w:p>
            <w:pPr>
              <w:pStyle w:val="1132"/>
            </w:pPr>
            <w:r>
              <w:rPr>
                <w:rFonts w:hint="eastAsia"/>
              </w:rPr>
              <w:t>K3+292</w:t>
            </w:r>
          </w:p>
        </w:tc>
        <w:tc>
          <w:tcPr>
            <w:tcW w:w="774" w:type="pct"/>
            <w:shd w:val="clear" w:color="auto" w:fill="auto"/>
            <w:noWrap/>
            <w:vAlign w:val="center"/>
          </w:tcPr>
          <w:p>
            <w:pPr>
              <w:pStyle w:val="1132"/>
            </w:pPr>
            <w:r>
              <w:rPr>
                <w:rFonts w:hint="eastAsia"/>
              </w:rPr>
              <w:t>乡道</w:t>
            </w:r>
          </w:p>
        </w:tc>
        <w:tc>
          <w:tcPr>
            <w:tcW w:w="669" w:type="pct"/>
            <w:shd w:val="clear" w:color="auto" w:fill="auto"/>
            <w:noWrap/>
            <w:vAlign w:val="center"/>
          </w:tcPr>
          <w:p>
            <w:pPr>
              <w:pStyle w:val="1132"/>
            </w:pPr>
            <w:r>
              <w:rPr>
                <w:rFonts w:hint="eastAsia"/>
              </w:rPr>
              <w:t>等外公路</w:t>
            </w:r>
          </w:p>
        </w:tc>
        <w:tc>
          <w:tcPr>
            <w:tcW w:w="536" w:type="pct"/>
            <w:shd w:val="clear" w:color="auto" w:fill="auto"/>
            <w:noWrap/>
            <w:vAlign w:val="center"/>
          </w:tcPr>
          <w:p>
            <w:pPr>
              <w:pStyle w:val="1132"/>
            </w:pPr>
            <w:r>
              <w:rPr>
                <w:rFonts w:hint="eastAsia"/>
              </w:rPr>
              <w:t>平面交叉</w:t>
            </w:r>
          </w:p>
        </w:tc>
        <w:tc>
          <w:tcPr>
            <w:tcW w:w="536" w:type="pct"/>
            <w:shd w:val="clear" w:color="auto" w:fill="auto"/>
            <w:noWrap/>
            <w:vAlign w:val="center"/>
          </w:tcPr>
          <w:p>
            <w:pPr>
              <w:pStyle w:val="1132"/>
            </w:pPr>
            <w:r>
              <w:rPr>
                <w:rFonts w:hint="eastAsia"/>
              </w:rPr>
              <w:t>十字型</w:t>
            </w:r>
          </w:p>
        </w:tc>
        <w:tc>
          <w:tcPr>
            <w:tcW w:w="1359" w:type="pct"/>
            <w:shd w:val="clear" w:color="auto" w:fill="auto"/>
            <w:noWrap/>
            <w:vAlign w:val="center"/>
          </w:tcPr>
          <w:p>
            <w:pPr>
              <w:pStyle w:val="1132"/>
            </w:pPr>
            <w:r>
              <w:rPr>
                <w:rFonts w:hint="eastAsia"/>
              </w:rPr>
              <w:t>渠化+信号控制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332" w:type="pct"/>
            <w:shd w:val="clear" w:color="auto" w:fill="auto"/>
            <w:noWrap/>
            <w:vAlign w:val="center"/>
          </w:tcPr>
          <w:p>
            <w:pPr>
              <w:pStyle w:val="1132"/>
            </w:pPr>
            <w:r>
              <w:rPr>
                <w:rFonts w:hint="eastAsia"/>
              </w:rPr>
              <w:t>6</w:t>
            </w:r>
          </w:p>
        </w:tc>
        <w:tc>
          <w:tcPr>
            <w:tcW w:w="795" w:type="pct"/>
            <w:shd w:val="clear" w:color="auto" w:fill="auto"/>
            <w:noWrap/>
            <w:vAlign w:val="center"/>
          </w:tcPr>
          <w:p>
            <w:pPr>
              <w:pStyle w:val="1132"/>
            </w:pPr>
            <w:r>
              <w:rPr>
                <w:rFonts w:hint="eastAsia"/>
              </w:rPr>
              <w:t>K4+625</w:t>
            </w:r>
          </w:p>
        </w:tc>
        <w:tc>
          <w:tcPr>
            <w:tcW w:w="774" w:type="pct"/>
            <w:shd w:val="clear" w:color="auto" w:fill="auto"/>
            <w:noWrap/>
            <w:vAlign w:val="center"/>
          </w:tcPr>
          <w:p>
            <w:pPr>
              <w:pStyle w:val="1132"/>
            </w:pPr>
            <w:r>
              <w:rPr>
                <w:rFonts w:hint="eastAsia"/>
              </w:rPr>
              <w:t>乡道</w:t>
            </w:r>
          </w:p>
        </w:tc>
        <w:tc>
          <w:tcPr>
            <w:tcW w:w="669" w:type="pct"/>
            <w:shd w:val="clear" w:color="auto" w:fill="auto"/>
            <w:noWrap/>
            <w:vAlign w:val="center"/>
          </w:tcPr>
          <w:p>
            <w:pPr>
              <w:pStyle w:val="1132"/>
            </w:pPr>
            <w:r>
              <w:rPr>
                <w:rFonts w:hint="eastAsia"/>
              </w:rPr>
              <w:t>等外公路</w:t>
            </w:r>
          </w:p>
        </w:tc>
        <w:tc>
          <w:tcPr>
            <w:tcW w:w="536" w:type="pct"/>
            <w:shd w:val="clear" w:color="auto" w:fill="auto"/>
            <w:noWrap/>
            <w:vAlign w:val="center"/>
          </w:tcPr>
          <w:p>
            <w:pPr>
              <w:pStyle w:val="1132"/>
            </w:pPr>
            <w:r>
              <w:rPr>
                <w:rFonts w:hint="eastAsia"/>
              </w:rPr>
              <w:t>平面交叉</w:t>
            </w:r>
          </w:p>
        </w:tc>
        <w:tc>
          <w:tcPr>
            <w:tcW w:w="536" w:type="pct"/>
            <w:shd w:val="clear" w:color="auto" w:fill="auto"/>
            <w:noWrap/>
            <w:vAlign w:val="center"/>
          </w:tcPr>
          <w:p>
            <w:pPr>
              <w:pStyle w:val="1132"/>
            </w:pPr>
            <w:r>
              <w:rPr>
                <w:rFonts w:hint="eastAsia"/>
              </w:rPr>
              <w:t>十字型</w:t>
            </w:r>
          </w:p>
        </w:tc>
        <w:tc>
          <w:tcPr>
            <w:tcW w:w="1359" w:type="pct"/>
            <w:shd w:val="clear" w:color="auto" w:fill="auto"/>
            <w:noWrap/>
            <w:vAlign w:val="center"/>
          </w:tcPr>
          <w:p>
            <w:pPr>
              <w:pStyle w:val="1132"/>
            </w:pPr>
            <w:r>
              <w:rPr>
                <w:rFonts w:hint="eastAsia"/>
              </w:rPr>
              <w:t>渠化+信号控制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332" w:type="pct"/>
            <w:shd w:val="clear" w:color="auto" w:fill="auto"/>
            <w:noWrap/>
            <w:vAlign w:val="center"/>
          </w:tcPr>
          <w:p>
            <w:pPr>
              <w:pStyle w:val="1132"/>
            </w:pPr>
            <w:r>
              <w:rPr>
                <w:rFonts w:hint="eastAsia"/>
              </w:rPr>
              <w:t>7</w:t>
            </w:r>
          </w:p>
        </w:tc>
        <w:tc>
          <w:tcPr>
            <w:tcW w:w="795" w:type="pct"/>
            <w:shd w:val="clear" w:color="auto" w:fill="auto"/>
            <w:noWrap/>
            <w:vAlign w:val="center"/>
          </w:tcPr>
          <w:p>
            <w:pPr>
              <w:pStyle w:val="1132"/>
            </w:pPr>
            <w:r>
              <w:rPr>
                <w:rFonts w:hint="eastAsia"/>
              </w:rPr>
              <w:t>K5+296</w:t>
            </w:r>
          </w:p>
        </w:tc>
        <w:tc>
          <w:tcPr>
            <w:tcW w:w="774" w:type="pct"/>
            <w:shd w:val="clear" w:color="auto" w:fill="auto"/>
            <w:noWrap/>
            <w:vAlign w:val="center"/>
          </w:tcPr>
          <w:p>
            <w:pPr>
              <w:pStyle w:val="1132"/>
            </w:pPr>
            <w:r>
              <w:rPr>
                <w:rFonts w:hint="eastAsia"/>
              </w:rPr>
              <w:t>民用机场</w:t>
            </w:r>
          </w:p>
          <w:p>
            <w:pPr>
              <w:pStyle w:val="1132"/>
            </w:pPr>
            <w:r>
              <w:rPr>
                <w:rFonts w:hint="eastAsia"/>
              </w:rPr>
              <w:t>出入口</w:t>
            </w:r>
          </w:p>
        </w:tc>
        <w:tc>
          <w:tcPr>
            <w:tcW w:w="669" w:type="pct"/>
            <w:shd w:val="clear" w:color="auto" w:fill="auto"/>
            <w:noWrap/>
            <w:vAlign w:val="center"/>
          </w:tcPr>
          <w:p>
            <w:pPr>
              <w:pStyle w:val="1132"/>
            </w:pPr>
            <w:r>
              <w:rPr>
                <w:rFonts w:hint="eastAsia"/>
              </w:rPr>
              <w:t>城市支路</w:t>
            </w:r>
          </w:p>
        </w:tc>
        <w:tc>
          <w:tcPr>
            <w:tcW w:w="536" w:type="pct"/>
            <w:shd w:val="clear" w:color="auto" w:fill="auto"/>
            <w:noWrap/>
            <w:vAlign w:val="center"/>
          </w:tcPr>
          <w:p>
            <w:pPr>
              <w:pStyle w:val="1132"/>
            </w:pPr>
            <w:r>
              <w:rPr>
                <w:rFonts w:hint="eastAsia"/>
              </w:rPr>
              <w:t>平面交叉</w:t>
            </w:r>
          </w:p>
        </w:tc>
        <w:tc>
          <w:tcPr>
            <w:tcW w:w="536" w:type="pct"/>
            <w:shd w:val="clear" w:color="auto" w:fill="auto"/>
            <w:noWrap/>
            <w:vAlign w:val="center"/>
          </w:tcPr>
          <w:p>
            <w:pPr>
              <w:pStyle w:val="1132"/>
            </w:pPr>
            <w:r>
              <w:rPr>
                <w:rFonts w:hint="eastAsia"/>
              </w:rPr>
              <w:t>十字型</w:t>
            </w:r>
          </w:p>
        </w:tc>
        <w:tc>
          <w:tcPr>
            <w:tcW w:w="1359" w:type="pct"/>
            <w:shd w:val="clear" w:color="auto" w:fill="auto"/>
            <w:noWrap/>
            <w:vAlign w:val="center"/>
          </w:tcPr>
          <w:p>
            <w:pPr>
              <w:pStyle w:val="1132"/>
            </w:pPr>
            <w:r>
              <w:rPr>
                <w:rFonts w:hint="eastAsia"/>
              </w:rPr>
              <w:t>渠化+信号控制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332" w:type="pct"/>
            <w:shd w:val="clear" w:color="auto" w:fill="auto"/>
            <w:noWrap/>
            <w:vAlign w:val="center"/>
          </w:tcPr>
          <w:p>
            <w:pPr>
              <w:pStyle w:val="1132"/>
            </w:pPr>
            <w:r>
              <w:rPr>
                <w:rFonts w:hint="eastAsia"/>
              </w:rPr>
              <w:t>8</w:t>
            </w:r>
          </w:p>
        </w:tc>
        <w:tc>
          <w:tcPr>
            <w:tcW w:w="795" w:type="pct"/>
            <w:shd w:val="clear" w:color="auto" w:fill="auto"/>
            <w:noWrap/>
            <w:vAlign w:val="center"/>
          </w:tcPr>
          <w:p>
            <w:pPr>
              <w:pStyle w:val="1132"/>
            </w:pPr>
            <w:r>
              <w:rPr>
                <w:rFonts w:hint="eastAsia"/>
              </w:rPr>
              <w:t>K7+700.604</w:t>
            </w:r>
          </w:p>
        </w:tc>
        <w:tc>
          <w:tcPr>
            <w:tcW w:w="774" w:type="pct"/>
            <w:shd w:val="clear" w:color="auto" w:fill="auto"/>
            <w:noWrap/>
            <w:vAlign w:val="center"/>
          </w:tcPr>
          <w:p>
            <w:pPr>
              <w:pStyle w:val="1132"/>
            </w:pPr>
            <w:r>
              <w:rPr>
                <w:rFonts w:hint="eastAsia"/>
              </w:rPr>
              <w:t>刘褚路（S419）</w:t>
            </w:r>
          </w:p>
        </w:tc>
        <w:tc>
          <w:tcPr>
            <w:tcW w:w="669" w:type="pct"/>
            <w:shd w:val="clear" w:color="auto" w:fill="auto"/>
            <w:noWrap/>
            <w:vAlign w:val="center"/>
          </w:tcPr>
          <w:p>
            <w:pPr>
              <w:pStyle w:val="1132"/>
            </w:pPr>
            <w:r>
              <w:rPr>
                <w:rFonts w:hint="eastAsia"/>
              </w:rPr>
              <w:t>三级公路</w:t>
            </w:r>
          </w:p>
        </w:tc>
        <w:tc>
          <w:tcPr>
            <w:tcW w:w="536" w:type="pct"/>
            <w:shd w:val="clear" w:color="auto" w:fill="auto"/>
            <w:noWrap/>
            <w:vAlign w:val="center"/>
          </w:tcPr>
          <w:p>
            <w:pPr>
              <w:pStyle w:val="1132"/>
            </w:pPr>
            <w:r>
              <w:rPr>
                <w:rFonts w:hint="eastAsia"/>
              </w:rPr>
              <w:t>平面交叉</w:t>
            </w:r>
          </w:p>
        </w:tc>
        <w:tc>
          <w:tcPr>
            <w:tcW w:w="536" w:type="pct"/>
            <w:shd w:val="clear" w:color="auto" w:fill="auto"/>
            <w:noWrap/>
            <w:vAlign w:val="center"/>
          </w:tcPr>
          <w:p>
            <w:pPr>
              <w:pStyle w:val="1132"/>
            </w:pPr>
            <w:r>
              <w:rPr>
                <w:rFonts w:hint="eastAsia"/>
              </w:rPr>
              <w:t>T字型</w:t>
            </w:r>
          </w:p>
        </w:tc>
        <w:tc>
          <w:tcPr>
            <w:tcW w:w="1359" w:type="pct"/>
            <w:shd w:val="clear" w:color="auto" w:fill="auto"/>
            <w:noWrap/>
            <w:vAlign w:val="center"/>
          </w:tcPr>
          <w:p>
            <w:pPr>
              <w:pStyle w:val="1132"/>
            </w:pPr>
            <w:r>
              <w:rPr>
                <w:rFonts w:hint="eastAsia"/>
              </w:rPr>
              <w:t>渠化+信号控制</w:t>
            </w:r>
          </w:p>
        </w:tc>
      </w:tr>
    </w:tbl>
    <w:p>
      <w:pPr>
        <w:pStyle w:val="10"/>
        <w:ind w:firstLine="480"/>
      </w:pPr>
      <w:r>
        <w:rPr>
          <w:rFonts w:hint="eastAsia"/>
        </w:rPr>
        <w:t>（1）典型平面交叉</w:t>
      </w:r>
    </w:p>
    <w:p>
      <w:pPr>
        <w:pStyle w:val="10"/>
        <w:ind w:firstLine="480"/>
      </w:pPr>
      <w:r>
        <w:rPr>
          <w:rFonts w:hint="eastAsia"/>
        </w:rPr>
        <w:t>1）项目路与新G206交叉</w:t>
      </w:r>
    </w:p>
    <w:p>
      <w:pPr>
        <w:jc w:val="center"/>
      </w:pPr>
      <w:r>
        <w:drawing>
          <wp:inline distT="0" distB="0" distL="114300" distR="114300">
            <wp:extent cx="4184650" cy="3276600"/>
            <wp:effectExtent l="0" t="0" r="6350" b="0"/>
            <wp:docPr id="18" name="图片 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descr="图示&#10;&#10;描述已自动生成"/>
                    <pic:cNvPicPr>
                      <a:picLocks noChangeAspect="1"/>
                    </pic:cNvPicPr>
                  </pic:nvPicPr>
                  <pic:blipFill>
                    <a:blip r:embed="rId57"/>
                    <a:stretch>
                      <a:fillRect/>
                    </a:stretch>
                  </pic:blipFill>
                  <pic:spPr>
                    <a:xfrm>
                      <a:off x="0" y="0"/>
                      <a:ext cx="4184650" cy="3276600"/>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r>
        <w:t xml:space="preserve">  </w:t>
      </w:r>
      <w:r>
        <w:rPr>
          <w:rFonts w:hint="eastAsia"/>
        </w:rPr>
        <w:t>S311与新G206平面交叉</w:t>
      </w:r>
    </w:p>
    <w:p>
      <w:pPr>
        <w:pStyle w:val="10"/>
        <w:ind w:firstLine="480"/>
      </w:pPr>
      <w:r>
        <w:rPr>
          <w:rFonts w:hint="eastAsia"/>
        </w:rPr>
        <w:t>S311与新G206交叉，交叉形式为十字形交叉，采用信号灯控制。交叉处S311进口道拓宽1个车道，设置专用左转、右转，新G206进口道拓宽1个车道，增设绿化实体岛，设置专用左转、右转；出口道渠化为四车道。</w:t>
      </w:r>
    </w:p>
    <w:p>
      <w:pPr>
        <w:pStyle w:val="10"/>
        <w:ind w:firstLine="480"/>
      </w:pPr>
      <w:r>
        <w:rPr>
          <w:rFonts w:hint="eastAsia"/>
        </w:rPr>
        <w:t>2）项目路与沿线乡道交叉</w:t>
      </w:r>
    </w:p>
    <w:p>
      <w:pPr>
        <w:jc w:val="center"/>
      </w:pPr>
      <w:r>
        <w:drawing>
          <wp:inline distT="0" distB="0" distL="114300" distR="114300">
            <wp:extent cx="4747895" cy="3314700"/>
            <wp:effectExtent l="0" t="0" r="14605" b="0"/>
            <wp:docPr id="708" name="图片 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5" descr="图示&#10;&#10;描述已自动生成"/>
                    <pic:cNvPicPr>
                      <a:picLocks noChangeAspect="1"/>
                    </pic:cNvPicPr>
                  </pic:nvPicPr>
                  <pic:blipFill>
                    <a:blip r:embed="rId58"/>
                    <a:stretch>
                      <a:fillRect/>
                    </a:stretch>
                  </pic:blipFill>
                  <pic:spPr>
                    <a:xfrm>
                      <a:off x="0" y="0"/>
                      <a:ext cx="4747895" cy="3314700"/>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6</w:t>
      </w:r>
      <w:r>
        <w:fldChar w:fldCharType="end"/>
      </w:r>
      <w:r>
        <w:t xml:space="preserve">  </w:t>
      </w:r>
      <w:r>
        <w:rPr>
          <w:rFonts w:hint="eastAsia"/>
        </w:rPr>
        <w:t>S311与沿线乡道平面交叉</w:t>
      </w:r>
    </w:p>
    <w:p>
      <w:pPr>
        <w:snapToGrid w:val="0"/>
        <w:ind w:firstLine="480" w:firstLineChars="200"/>
      </w:pPr>
      <w:r>
        <w:rPr>
          <w:rFonts w:hint="eastAsia"/>
        </w:rPr>
        <w:t>S311与沿线乡道交叉，交叉形式为十字形交叉，采用信号灯控制。交叉处S311进口道拓宽1个车道，设置专用左转、右转，等外公路进口道拓宽1个车道，设置左直右车道。</w:t>
      </w:r>
    </w:p>
    <w:p>
      <w:pPr>
        <w:pStyle w:val="10"/>
        <w:ind w:firstLine="480"/>
        <w:rPr>
          <w:rFonts w:eastAsia="黑体"/>
          <w:sz w:val="21"/>
          <w:szCs w:val="21"/>
        </w:rPr>
      </w:pPr>
      <w:r>
        <w:rPr>
          <w:rFonts w:hint="eastAsia"/>
        </w:rPr>
        <w:t>（2）立体交叉</w:t>
      </w:r>
    </w:p>
    <w:p>
      <w:pPr>
        <w:pStyle w:val="10"/>
        <w:ind w:firstLine="480"/>
        <w:rPr>
          <w:rFonts w:eastAsia="黑体"/>
          <w:sz w:val="21"/>
          <w:szCs w:val="21"/>
        </w:rPr>
      </w:pPr>
      <w:r>
        <w:rPr>
          <w:rFonts w:hint="eastAsia"/>
        </w:rPr>
        <w:t>根据现状调查及原京台高速设计文件，该段既有S311于包集镇西侧下穿京台高速，现状高速分离式立交为空心板结构，跨径为3*16m，交叉角度45°，桥下可提供下穿总宽度为32.7m，无法满足33.5m全断面下穿。</w:t>
      </w:r>
    </w:p>
    <w:p>
      <w:pPr>
        <w:jc w:val="center"/>
        <w:rPr>
          <w:rFonts w:eastAsia="黑体"/>
          <w:sz w:val="21"/>
          <w:szCs w:val="21"/>
        </w:rPr>
      </w:pPr>
      <w:r>
        <w:drawing>
          <wp:inline distT="0" distB="0" distL="114300" distR="114300">
            <wp:extent cx="4644390" cy="2535555"/>
            <wp:effectExtent l="0" t="0" r="3810" b="17145"/>
            <wp:docPr id="41" name="图片 12" descr="街道边的公路&#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descr="街道边的公路&#10;&#10;描述已自动生成"/>
                    <pic:cNvPicPr>
                      <a:picLocks noChangeAspect="1"/>
                    </pic:cNvPicPr>
                  </pic:nvPicPr>
                  <pic:blipFill>
                    <a:blip r:embed="rId59"/>
                    <a:srcRect l="1130" t="8262" r="-810" b="1130"/>
                    <a:stretch>
                      <a:fillRect/>
                    </a:stretch>
                  </pic:blipFill>
                  <pic:spPr>
                    <a:xfrm>
                      <a:off x="0" y="0"/>
                      <a:ext cx="4644653" cy="2536178"/>
                    </a:xfrm>
                    <a:prstGeom prst="rect">
                      <a:avLst/>
                    </a:prstGeom>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7</w:t>
      </w:r>
      <w:r>
        <w:fldChar w:fldCharType="end"/>
      </w:r>
      <w:r>
        <w:t xml:space="preserve">  交叉路段</w:t>
      </w:r>
      <w:r>
        <w:rPr>
          <w:rFonts w:hint="eastAsia"/>
        </w:rPr>
        <w:t>现状</w:t>
      </w:r>
    </w:p>
    <w:p>
      <w:pPr>
        <w:snapToGrid w:val="0"/>
        <w:ind w:firstLine="480" w:firstLineChars="200"/>
      </w:pPr>
      <w:r>
        <w:rPr>
          <w:rFonts w:hint="eastAsia"/>
        </w:rPr>
        <w:t>考虑拆除重建高速分离立交存在工程规模大、造价高、保通难度大的不足，拟对下穿京台高速前后路段采用分期实施方案：</w:t>
      </w:r>
    </w:p>
    <w:p>
      <w:pPr>
        <w:snapToGrid w:val="0"/>
        <w:ind w:firstLine="480" w:firstLineChars="200"/>
      </w:pPr>
      <w:r>
        <w:rPr>
          <w:rFonts w:hint="eastAsia"/>
        </w:rPr>
        <w:t>近期（本次实施）利用既有分离立交，实施行车道部分（双向六车道）。</w:t>
      </w:r>
    </w:p>
    <w:p>
      <w:pPr>
        <w:snapToGrid w:val="0"/>
        <w:ind w:firstLine="480" w:firstLineChars="200"/>
      </w:pPr>
      <w:r>
        <w:rPr>
          <w:rFonts w:hint="eastAsia"/>
        </w:rPr>
        <w:t>远期结合京台高速改扩建对分离立交进行改造，进而实施该段S311，保证全断面下穿。</w:t>
      </w:r>
    </w:p>
    <w:p>
      <w:pPr>
        <w:jc w:val="center"/>
        <w:rPr>
          <w:rFonts w:eastAsia="黑体"/>
          <w:sz w:val="21"/>
          <w:szCs w:val="21"/>
        </w:rPr>
      </w:pPr>
      <w:r>
        <w:drawing>
          <wp:inline distT="0" distB="0" distL="114300" distR="114300">
            <wp:extent cx="5049520" cy="3344545"/>
            <wp:effectExtent l="0" t="0" r="17780" b="8255"/>
            <wp:docPr id="50" name="图片 7" descr="火车开在公路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descr="火车开在公路上&#10;&#10;描述已自动生成"/>
                    <pic:cNvPicPr>
                      <a:picLocks noChangeAspect="1"/>
                    </pic:cNvPicPr>
                  </pic:nvPicPr>
                  <pic:blipFill>
                    <a:blip r:embed="rId60"/>
                    <a:stretch>
                      <a:fillRect/>
                    </a:stretch>
                  </pic:blipFill>
                  <pic:spPr>
                    <a:xfrm>
                      <a:off x="0" y="0"/>
                      <a:ext cx="5049520" cy="3344545"/>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8</w:t>
      </w:r>
      <w:r>
        <w:fldChar w:fldCharType="end"/>
      </w:r>
      <w:r>
        <w:t xml:space="preserve">  </w:t>
      </w:r>
      <w:r>
        <w:rPr>
          <w:rFonts w:hint="eastAsia"/>
        </w:rPr>
        <w:t>京台高速分离式交叉</w:t>
      </w:r>
    </w:p>
    <w:p>
      <w:pPr>
        <w:pStyle w:val="8"/>
        <w:rPr>
          <w:b/>
          <w:bCs/>
        </w:rPr>
      </w:pPr>
      <w:bookmarkStart w:id="156" w:name="_Toc2264"/>
      <w:r>
        <w:rPr>
          <w:b/>
          <w:bCs/>
        </w:rPr>
        <w:t>交通工程及沿线设施</w:t>
      </w:r>
      <w:bookmarkEnd w:id="156"/>
    </w:p>
    <w:p>
      <w:pPr>
        <w:pStyle w:val="9"/>
      </w:pPr>
      <w:bookmarkStart w:id="157" w:name="_Toc2391"/>
      <w:r>
        <w:rPr>
          <w:rFonts w:hint="eastAsia"/>
        </w:rPr>
        <w:t>交通安全设施</w:t>
      </w:r>
      <w:bookmarkEnd w:id="157"/>
    </w:p>
    <w:p>
      <w:pPr>
        <w:pStyle w:val="112"/>
        <w:ind w:firstLine="480"/>
      </w:pPr>
      <w:r>
        <w:rPr>
          <w:rFonts w:hint="eastAsia"/>
        </w:rPr>
        <w:t>本项目交通安全设施由交通标志、标线、安全护栏、防眩设施、视线诱导设施、隔离栅、防落物网、缓冲设施等组成</w:t>
      </w:r>
      <w:r>
        <w:t>。</w:t>
      </w:r>
    </w:p>
    <w:p>
      <w:pPr>
        <w:pStyle w:val="112"/>
        <w:ind w:firstLine="480"/>
      </w:pPr>
      <w:r>
        <w:rPr>
          <w:rFonts w:hint="eastAsia"/>
        </w:rPr>
        <w:t>本路段交通安全设施设计包含的内容有：</w:t>
      </w:r>
    </w:p>
    <w:p>
      <w:pPr>
        <w:pStyle w:val="10"/>
        <w:ind w:firstLine="480"/>
      </w:pPr>
      <w:r>
        <w:rPr>
          <w:rFonts w:hint="eastAsia"/>
        </w:rPr>
        <w:t>（1）交通标志主要分为警告标志、禁令标志、指示标志、指路标志。</w:t>
      </w:r>
    </w:p>
    <w:p>
      <w:pPr>
        <w:pStyle w:val="10"/>
        <w:ind w:firstLine="480"/>
      </w:pPr>
      <w:r>
        <w:rPr>
          <w:rFonts w:hint="eastAsia"/>
        </w:rPr>
        <w:t>（2）本项目涉及到的标线种类主要由：车行道分界线、车行道边缘线、路口导向线、道路出入口标线、导向箭头、人行横道线、停止线等。</w:t>
      </w:r>
    </w:p>
    <w:p>
      <w:pPr>
        <w:pStyle w:val="10"/>
        <w:ind w:firstLine="480"/>
      </w:pPr>
      <w:r>
        <w:rPr>
          <w:rFonts w:hint="eastAsia"/>
        </w:rPr>
        <w:t>（3）</w:t>
      </w:r>
      <w:r>
        <w:t>路</w:t>
      </w:r>
      <w:r>
        <w:rPr>
          <w:rFonts w:hint="eastAsia"/>
        </w:rPr>
        <w:t>线</w:t>
      </w:r>
      <w:r>
        <w:t>中央分隔带内设置波形梁护栏。</w:t>
      </w:r>
    </w:p>
    <w:p>
      <w:pPr>
        <w:pStyle w:val="10"/>
        <w:ind w:firstLine="480"/>
      </w:pPr>
      <w:r>
        <w:rPr>
          <w:rFonts w:hint="eastAsia"/>
        </w:rPr>
        <w:t>（4）其他交通安全设施</w:t>
      </w:r>
    </w:p>
    <w:p>
      <w:pPr>
        <w:pStyle w:val="10"/>
        <w:numPr>
          <w:ilvl w:val="0"/>
          <w:numId w:val="10"/>
        </w:numPr>
        <w:ind w:left="0" w:firstLine="480"/>
      </w:pPr>
      <w:r>
        <w:rPr>
          <w:rFonts w:hint="eastAsia"/>
        </w:rPr>
        <w:t>防眩设施：本项目全线设置中分带。</w:t>
      </w:r>
    </w:p>
    <w:p>
      <w:pPr>
        <w:pStyle w:val="10"/>
        <w:numPr>
          <w:ilvl w:val="0"/>
          <w:numId w:val="10"/>
        </w:numPr>
        <w:ind w:left="0" w:firstLine="480"/>
      </w:pPr>
      <w:r>
        <w:rPr>
          <w:rFonts w:hint="eastAsia"/>
        </w:rPr>
        <w:t>轮廓标：</w:t>
      </w:r>
      <w:r>
        <w:t>本项目轮廓标采用柱式和附着式两种型式，全线应连续设置，轮廓标在公路前进方向左、右对称设置。</w:t>
      </w:r>
    </w:p>
    <w:p>
      <w:pPr>
        <w:pStyle w:val="10"/>
        <w:numPr>
          <w:ilvl w:val="0"/>
          <w:numId w:val="10"/>
        </w:numPr>
        <w:ind w:left="0" w:firstLine="480"/>
      </w:pPr>
      <w:r>
        <w:rPr>
          <w:rFonts w:hint="eastAsia"/>
        </w:rPr>
        <w:t>道口标柱：</w:t>
      </w:r>
      <w:r>
        <w:t>道口标柱设在公路沿线较小交叉路口与单位出入口两侧</w:t>
      </w:r>
      <w:r>
        <w:rPr>
          <w:rFonts w:hint="eastAsia"/>
        </w:rPr>
        <w:t>。</w:t>
      </w:r>
    </w:p>
    <w:p>
      <w:pPr>
        <w:pStyle w:val="10"/>
        <w:numPr>
          <w:ilvl w:val="0"/>
          <w:numId w:val="10"/>
        </w:numPr>
        <w:ind w:left="0" w:firstLine="480"/>
      </w:pPr>
      <w:r>
        <w:rPr>
          <w:rFonts w:hint="eastAsia"/>
        </w:rPr>
        <w:t>防撞筒、防撞垫</w:t>
      </w:r>
      <w:r>
        <w:tab/>
      </w:r>
      <w:r>
        <w:rPr>
          <w:rFonts w:hint="eastAsia"/>
        </w:rPr>
        <w:t>：在中分带、侧分带或导流岛等迎车端头处设置防撞筒或防撞垫</w:t>
      </w:r>
    </w:p>
    <w:p>
      <w:pPr>
        <w:pStyle w:val="10"/>
        <w:numPr>
          <w:ilvl w:val="0"/>
          <w:numId w:val="10"/>
        </w:numPr>
        <w:ind w:left="0" w:firstLine="480"/>
      </w:pPr>
      <w:r>
        <w:rPr>
          <w:rFonts w:hint="eastAsia"/>
        </w:rPr>
        <w:t>立面标记：“立面标记”设置于靠近道路净空范围（公路安全净区之内）跨线桥、渡槽、桥梁（涵洞）墩柱、信号灯基础等障碍物车流方向的迎面。“实体标记”设置于净空范围内上跨桥梁的桥墩、中分带水泥混凝土护栏、中分带开口路缘石端面等实体构造物表面。</w:t>
      </w:r>
    </w:p>
    <w:p>
      <w:pPr>
        <w:pStyle w:val="112"/>
        <w:ind w:left="480" w:firstLine="0" w:firstLineChars="0"/>
      </w:pPr>
      <w:r>
        <w:rPr>
          <w:rFonts w:hint="eastAsia"/>
        </w:rPr>
        <w:t>（5）其他安全设施</w:t>
      </w:r>
    </w:p>
    <w:p>
      <w:pPr>
        <w:snapToGrid w:val="0"/>
        <w:ind w:firstLine="360" w:firstLineChars="150"/>
      </w:pPr>
      <w:r>
        <w:rPr>
          <w:rFonts w:hint="eastAsia"/>
        </w:rPr>
        <w:t>其他设施包括视线诱导设施、减速带、凸面镜、防抛网</w:t>
      </w:r>
      <w:r>
        <w:t>、</w:t>
      </w:r>
      <w:r>
        <w:rPr>
          <w:rFonts w:hint="eastAsia"/>
        </w:rPr>
        <w:t>里程碑、</w:t>
      </w:r>
      <w:r>
        <w:t>百米牌</w:t>
      </w:r>
      <w:r>
        <w:rPr>
          <w:rFonts w:hint="eastAsia"/>
        </w:rPr>
        <w:t>、公路界碑</w:t>
      </w:r>
      <w:r>
        <w:t>等附属设施</w:t>
      </w:r>
      <w:r>
        <w:rPr>
          <w:rFonts w:hint="eastAsia"/>
        </w:rPr>
        <w:t>等设施，具体的设置原则和设置方案参照规范执行。</w:t>
      </w:r>
    </w:p>
    <w:p>
      <w:pPr>
        <w:pStyle w:val="10"/>
        <w:ind w:firstLine="480"/>
      </w:pPr>
      <w:r>
        <w:rPr>
          <w:rFonts w:hint="eastAsia"/>
        </w:rPr>
        <w:t>（6）线外工程</w:t>
      </w:r>
    </w:p>
    <w:p>
      <w:pPr>
        <w:snapToGrid w:val="0"/>
        <w:ind w:firstLine="480" w:firstLineChars="200"/>
        <w:rPr>
          <w:lang w:val="zh-CN"/>
        </w:rPr>
      </w:pPr>
      <w:r>
        <w:rPr>
          <w:lang w:val="zh-CN"/>
        </w:rPr>
        <w:t>本项目为新建道路，为保证道路和排灌水系的贯通，必须采取一定量的线外改移道路和沟渠工程，线外工程包括：</w:t>
      </w:r>
    </w:p>
    <w:p>
      <w:pPr>
        <w:snapToGrid w:val="0"/>
        <w:ind w:firstLine="480" w:firstLineChars="200"/>
        <w:rPr>
          <w:lang w:val="zh-CN"/>
        </w:rPr>
      </w:pPr>
      <w:r>
        <w:rPr>
          <w:rFonts w:hint="eastAsia"/>
        </w:rPr>
        <w:t>1</w:t>
      </w:r>
      <w:r>
        <w:rPr>
          <w:rFonts w:hint="eastAsia"/>
          <w:lang w:val="zh-CN"/>
        </w:rPr>
        <w:t>）</w:t>
      </w:r>
      <w:r>
        <w:rPr>
          <w:lang w:val="zh-CN"/>
        </w:rPr>
        <w:t>改移道路：由于新建道路为改善主线行车的快速舒适性，必须合并一些平交路口，需将部分道路改移、归并，以完善功能。</w:t>
      </w:r>
    </w:p>
    <w:p>
      <w:pPr>
        <w:snapToGrid w:val="0"/>
        <w:ind w:firstLine="480" w:firstLineChars="200"/>
        <w:rPr>
          <w:lang w:val="zh-CN"/>
        </w:rPr>
      </w:pPr>
      <w:r>
        <w:rPr>
          <w:rFonts w:hint="eastAsia"/>
        </w:rPr>
        <w:t>2</w:t>
      </w:r>
      <w:r>
        <w:rPr>
          <w:rFonts w:hint="eastAsia"/>
          <w:lang w:val="zh-CN"/>
        </w:rPr>
        <w:t>）</w:t>
      </w:r>
      <w:r>
        <w:rPr>
          <w:lang w:val="zh-CN"/>
        </w:rPr>
        <w:t>改移河流、沟渠：对于较大的河流，主线一般采取桥孔跨越，充分保证水利要求，对较小的河流或沟渠，在保证原有排灌体系的基础上，进行适当归并改移并顺接，减少主线构造物的设置数量，控制投资规模。</w:t>
      </w:r>
    </w:p>
    <w:p>
      <w:pPr>
        <w:pStyle w:val="8"/>
        <w:rPr>
          <w:b/>
          <w:bCs/>
        </w:rPr>
      </w:pPr>
      <w:bookmarkStart w:id="158" w:name="_Toc25913"/>
      <w:r>
        <w:rPr>
          <w:b/>
          <w:bCs/>
        </w:rPr>
        <w:t>工程占地</w:t>
      </w:r>
      <w:r>
        <w:rPr>
          <w:rFonts w:hint="eastAsia"/>
          <w:b/>
          <w:bCs/>
        </w:rPr>
        <w:t>、</w:t>
      </w:r>
      <w:r>
        <w:rPr>
          <w:b/>
          <w:bCs/>
        </w:rPr>
        <w:t>拆迁</w:t>
      </w:r>
      <w:r>
        <w:rPr>
          <w:rFonts w:hint="eastAsia"/>
          <w:b/>
          <w:bCs/>
        </w:rPr>
        <w:t>及大临工程</w:t>
      </w:r>
      <w:bookmarkEnd w:id="158"/>
    </w:p>
    <w:p>
      <w:pPr>
        <w:pStyle w:val="9"/>
      </w:pPr>
      <w:bookmarkStart w:id="159" w:name="_Toc11364"/>
      <w:r>
        <w:t>工程占地情况</w:t>
      </w:r>
      <w:bookmarkEnd w:id="159"/>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t>拟建工程占地情况一览表（单位：</w:t>
      </w:r>
      <w:r>
        <w:rPr>
          <w:rFonts w:hint="eastAsia"/>
        </w:rPr>
        <w:t>亩</w:t>
      </w:r>
      <w:r>
        <w:t>）</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1229"/>
        <w:gridCol w:w="2474"/>
        <w:gridCol w:w="3050"/>
        <w:gridCol w:w="11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5" w:type="pct"/>
            <w:shd w:val="clear" w:color="auto" w:fill="auto"/>
            <w:vAlign w:val="center"/>
          </w:tcPr>
          <w:p>
            <w:pPr>
              <w:pStyle w:val="1132"/>
              <w:spacing w:line="240" w:lineRule="auto"/>
              <w:rPr>
                <w:sz w:val="21"/>
                <w:szCs w:val="21"/>
              </w:rPr>
            </w:pPr>
            <w:r>
              <w:rPr>
                <w:rFonts w:hint="eastAsia"/>
                <w:sz w:val="21"/>
                <w:szCs w:val="21"/>
              </w:rPr>
              <w:t>起讫桩号</w:t>
            </w:r>
          </w:p>
        </w:tc>
        <w:tc>
          <w:tcPr>
            <w:tcW w:w="4255" w:type="pct"/>
            <w:gridSpan w:val="4"/>
            <w:shd w:val="clear" w:color="auto" w:fill="auto"/>
            <w:vAlign w:val="center"/>
          </w:tcPr>
          <w:p>
            <w:pPr>
              <w:pStyle w:val="1132"/>
              <w:spacing w:line="240" w:lineRule="auto"/>
              <w:rPr>
                <w:sz w:val="21"/>
                <w:szCs w:val="21"/>
              </w:rPr>
            </w:pPr>
            <w:r>
              <w:rPr>
                <w:sz w:val="21"/>
                <w:szCs w:val="21"/>
              </w:rPr>
              <w:t>K0+000</w:t>
            </w:r>
            <w:r>
              <w:rPr>
                <w:rFonts w:hint="eastAsia" w:ascii="黑体" w:hAnsi="黑体" w:cs="黑体"/>
                <w:sz w:val="21"/>
                <w:szCs w:val="21"/>
              </w:rPr>
              <w:t>～</w:t>
            </w:r>
            <w:r>
              <w:rPr>
                <w:sz w:val="21"/>
                <w:szCs w:val="21"/>
              </w:rPr>
              <w:t>K</w:t>
            </w:r>
            <w:r>
              <w:rPr>
                <w:rFonts w:hint="eastAsia"/>
                <w:sz w:val="21"/>
                <w:szCs w:val="21"/>
              </w:rPr>
              <w:t>7</w:t>
            </w:r>
            <w:r>
              <w:rPr>
                <w:sz w:val="21"/>
                <w:szCs w:val="21"/>
              </w:rPr>
              <w:t>+</w:t>
            </w:r>
            <w:r>
              <w:rPr>
                <w:rFonts w:hint="eastAsia"/>
                <w:sz w:val="21"/>
                <w:szCs w:val="21"/>
              </w:rPr>
              <w:t>700.604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shd w:val="clear" w:color="auto" w:fill="auto"/>
            <w:vAlign w:val="center"/>
          </w:tcPr>
          <w:p>
            <w:pPr>
              <w:pStyle w:val="1132"/>
              <w:spacing w:line="240" w:lineRule="auto"/>
              <w:rPr>
                <w:sz w:val="21"/>
                <w:szCs w:val="21"/>
              </w:rPr>
            </w:pPr>
            <w:r>
              <w:rPr>
                <w:rFonts w:hint="eastAsia"/>
                <w:sz w:val="21"/>
                <w:szCs w:val="21"/>
              </w:rPr>
              <w:t>长度</w:t>
            </w:r>
          </w:p>
        </w:tc>
        <w:tc>
          <w:tcPr>
            <w:tcW w:w="4255" w:type="pct"/>
            <w:gridSpan w:val="4"/>
            <w:shd w:val="clear" w:color="auto" w:fill="auto"/>
            <w:vAlign w:val="center"/>
          </w:tcPr>
          <w:p>
            <w:pPr>
              <w:pStyle w:val="1132"/>
              <w:spacing w:line="240" w:lineRule="auto"/>
              <w:rPr>
                <w:sz w:val="21"/>
                <w:szCs w:val="21"/>
              </w:rPr>
            </w:pPr>
            <w:r>
              <w:rPr>
                <w:rFonts w:hint="eastAsia"/>
                <w:sz w:val="21"/>
                <w:szCs w:val="21"/>
              </w:rPr>
              <w:t>7</w:t>
            </w:r>
            <w:r>
              <w:rPr>
                <w:sz w:val="21"/>
                <w:szCs w:val="21"/>
              </w:rPr>
              <w:t>.7</w:t>
            </w:r>
            <w:r>
              <w:rPr>
                <w:rFonts w:hint="eastAsia"/>
                <w:sz w:val="21"/>
                <w:szCs w:val="21"/>
              </w:rPr>
              <w:t>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restart"/>
            <w:shd w:val="clear" w:color="auto" w:fill="auto"/>
            <w:vAlign w:val="center"/>
          </w:tcPr>
          <w:p>
            <w:pPr>
              <w:pStyle w:val="1132"/>
              <w:spacing w:line="240" w:lineRule="auto"/>
              <w:rPr>
                <w:sz w:val="21"/>
                <w:szCs w:val="21"/>
              </w:rPr>
            </w:pPr>
            <w:r>
              <w:rPr>
                <w:rFonts w:hint="eastAsia"/>
                <w:sz w:val="21"/>
                <w:szCs w:val="21"/>
              </w:rPr>
              <w:t>土地类别及数量</w:t>
            </w:r>
          </w:p>
        </w:tc>
        <w:tc>
          <w:tcPr>
            <w:tcW w:w="662" w:type="pct"/>
            <w:vMerge w:val="restart"/>
            <w:shd w:val="clear" w:color="auto" w:fill="auto"/>
            <w:vAlign w:val="center"/>
          </w:tcPr>
          <w:p>
            <w:pPr>
              <w:pStyle w:val="1132"/>
              <w:spacing w:line="240" w:lineRule="auto"/>
              <w:rPr>
                <w:sz w:val="21"/>
                <w:szCs w:val="21"/>
              </w:rPr>
            </w:pPr>
            <w:r>
              <w:rPr>
                <w:rFonts w:hint="eastAsia"/>
                <w:sz w:val="21"/>
                <w:szCs w:val="21"/>
              </w:rPr>
              <w:t>永久占地</w:t>
            </w:r>
          </w:p>
        </w:tc>
        <w:tc>
          <w:tcPr>
            <w:tcW w:w="1332" w:type="pct"/>
            <w:shd w:val="clear" w:color="auto" w:fill="auto"/>
            <w:vAlign w:val="center"/>
          </w:tcPr>
          <w:p>
            <w:pPr>
              <w:pStyle w:val="1132"/>
              <w:spacing w:line="240" w:lineRule="auto"/>
              <w:rPr>
                <w:sz w:val="21"/>
                <w:szCs w:val="21"/>
              </w:rPr>
            </w:pPr>
            <w:r>
              <w:rPr>
                <w:rFonts w:hint="eastAsia"/>
                <w:sz w:val="21"/>
                <w:szCs w:val="21"/>
              </w:rPr>
              <w:t>农用地</w:t>
            </w:r>
          </w:p>
        </w:tc>
        <w:tc>
          <w:tcPr>
            <w:tcW w:w="1642" w:type="pct"/>
            <w:shd w:val="clear" w:color="auto" w:fill="auto"/>
            <w:vAlign w:val="center"/>
          </w:tcPr>
          <w:p>
            <w:pPr>
              <w:pStyle w:val="1132"/>
              <w:spacing w:line="240" w:lineRule="auto"/>
              <w:rPr>
                <w:sz w:val="21"/>
                <w:szCs w:val="21"/>
              </w:rPr>
            </w:pPr>
            <w:r>
              <w:rPr>
                <w:rFonts w:hint="eastAsia"/>
                <w:sz w:val="21"/>
                <w:szCs w:val="21"/>
              </w:rPr>
              <w:t>412.51</w:t>
            </w:r>
          </w:p>
        </w:tc>
        <w:tc>
          <w:tcPr>
            <w:tcW w:w="619" w:type="pct"/>
            <w:vMerge w:val="restart"/>
            <w:vAlign w:val="center"/>
          </w:tcPr>
          <w:p>
            <w:pPr>
              <w:pStyle w:val="1132"/>
              <w:spacing w:line="240" w:lineRule="auto"/>
              <w:rPr>
                <w:sz w:val="21"/>
                <w:szCs w:val="21"/>
              </w:rPr>
            </w:pPr>
            <w:r>
              <w:rPr>
                <w:rFonts w:hint="eastAsia"/>
                <w:sz w:val="21"/>
                <w:szCs w:val="21"/>
              </w:rPr>
              <w:t>592.09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sz w:val="21"/>
                <w:szCs w:val="21"/>
              </w:rPr>
            </w:pPr>
            <w:r>
              <w:rPr>
                <w:rFonts w:hint="eastAsia"/>
                <w:sz w:val="21"/>
                <w:szCs w:val="21"/>
              </w:rPr>
              <w:t>耕地</w:t>
            </w:r>
          </w:p>
        </w:tc>
        <w:tc>
          <w:tcPr>
            <w:tcW w:w="1642" w:type="pct"/>
            <w:shd w:val="clear" w:color="auto" w:fill="auto"/>
            <w:vAlign w:val="center"/>
          </w:tcPr>
          <w:p>
            <w:pPr>
              <w:pStyle w:val="1132"/>
              <w:spacing w:line="240" w:lineRule="auto"/>
              <w:rPr>
                <w:sz w:val="21"/>
                <w:szCs w:val="21"/>
              </w:rPr>
            </w:pPr>
            <w:r>
              <w:rPr>
                <w:rFonts w:hint="eastAsia"/>
                <w:sz w:val="21"/>
                <w:szCs w:val="21"/>
              </w:rPr>
              <w:t>340.01</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sz w:val="21"/>
                <w:szCs w:val="21"/>
              </w:rPr>
            </w:pPr>
            <w:r>
              <w:rPr>
                <w:spacing w:val="-6"/>
                <w:sz w:val="21"/>
                <w:szCs w:val="21"/>
              </w:rPr>
              <w:t>建设用地</w:t>
            </w:r>
            <w:r>
              <w:rPr>
                <w:rFonts w:hint="eastAsia"/>
                <w:spacing w:val="-6"/>
                <w:sz w:val="21"/>
                <w:szCs w:val="21"/>
              </w:rPr>
              <w:t>及未利用地</w:t>
            </w:r>
          </w:p>
        </w:tc>
        <w:tc>
          <w:tcPr>
            <w:tcW w:w="1642" w:type="pct"/>
            <w:shd w:val="clear" w:color="auto" w:fill="auto"/>
            <w:vAlign w:val="center"/>
          </w:tcPr>
          <w:p>
            <w:pPr>
              <w:pStyle w:val="1132"/>
              <w:spacing w:line="240" w:lineRule="auto"/>
              <w:rPr>
                <w:sz w:val="21"/>
                <w:szCs w:val="21"/>
              </w:rPr>
            </w:pPr>
            <w:r>
              <w:rPr>
                <w:rFonts w:hint="eastAsia"/>
                <w:sz w:val="21"/>
                <w:szCs w:val="21"/>
              </w:rPr>
              <w:t>179.58</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spacing w:val="-6"/>
                <w:sz w:val="21"/>
                <w:szCs w:val="21"/>
              </w:rPr>
            </w:pPr>
            <w:r>
              <w:rPr>
                <w:rFonts w:hint="eastAsia"/>
                <w:spacing w:val="-6"/>
                <w:sz w:val="21"/>
                <w:szCs w:val="21"/>
              </w:rPr>
              <w:t>老路占地</w:t>
            </w:r>
          </w:p>
        </w:tc>
        <w:tc>
          <w:tcPr>
            <w:tcW w:w="1642" w:type="pct"/>
            <w:shd w:val="clear" w:color="auto" w:fill="auto"/>
            <w:vAlign w:val="center"/>
          </w:tcPr>
          <w:p>
            <w:pPr>
              <w:pStyle w:val="1132"/>
              <w:spacing w:line="240" w:lineRule="auto"/>
              <w:rPr>
                <w:sz w:val="21"/>
                <w:szCs w:val="21"/>
              </w:rPr>
            </w:pPr>
            <w:r>
              <w:rPr>
                <w:rFonts w:hint="eastAsia"/>
                <w:sz w:val="21"/>
                <w:szCs w:val="21"/>
              </w:rPr>
              <w:t>11.02</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vAlign w:val="center"/>
          </w:tcPr>
          <w:p>
            <w:pPr>
              <w:pStyle w:val="1132"/>
              <w:spacing w:line="240" w:lineRule="auto"/>
              <w:rPr>
                <w:sz w:val="21"/>
                <w:szCs w:val="21"/>
              </w:rPr>
            </w:pPr>
          </w:p>
        </w:tc>
        <w:tc>
          <w:tcPr>
            <w:tcW w:w="662" w:type="pct"/>
            <w:vMerge w:val="restart"/>
            <w:shd w:val="clear" w:color="auto" w:fill="auto"/>
            <w:vAlign w:val="center"/>
          </w:tcPr>
          <w:p>
            <w:pPr>
              <w:pStyle w:val="1132"/>
              <w:spacing w:line="240" w:lineRule="auto"/>
              <w:rPr>
                <w:sz w:val="21"/>
                <w:szCs w:val="21"/>
              </w:rPr>
            </w:pPr>
            <w:r>
              <w:rPr>
                <w:rFonts w:hint="eastAsia"/>
                <w:sz w:val="21"/>
                <w:szCs w:val="21"/>
              </w:rPr>
              <w:t>临时占地</w:t>
            </w:r>
          </w:p>
        </w:tc>
        <w:tc>
          <w:tcPr>
            <w:tcW w:w="1332" w:type="pct"/>
            <w:shd w:val="clear" w:color="auto" w:fill="auto"/>
            <w:vAlign w:val="center"/>
          </w:tcPr>
          <w:p>
            <w:pPr>
              <w:pStyle w:val="1132"/>
              <w:spacing w:line="240" w:lineRule="auto"/>
              <w:rPr>
                <w:spacing w:val="-6"/>
                <w:sz w:val="21"/>
                <w:szCs w:val="21"/>
              </w:rPr>
            </w:pPr>
            <w:r>
              <w:rPr>
                <w:rFonts w:hint="eastAsia"/>
                <w:spacing w:val="-6"/>
                <w:sz w:val="21"/>
                <w:szCs w:val="21"/>
              </w:rPr>
              <w:t>弃土场</w:t>
            </w:r>
          </w:p>
        </w:tc>
        <w:tc>
          <w:tcPr>
            <w:tcW w:w="1642" w:type="pct"/>
            <w:shd w:val="clear" w:color="auto" w:fill="auto"/>
            <w:vAlign w:val="center"/>
          </w:tcPr>
          <w:p>
            <w:pPr>
              <w:pStyle w:val="1132"/>
              <w:spacing w:line="240" w:lineRule="auto"/>
              <w:rPr>
                <w:rFonts w:hint="default"/>
                <w:spacing w:val="-6"/>
                <w:sz w:val="21"/>
                <w:szCs w:val="21"/>
                <w:lang w:val="en-US" w:eastAsia="zh-CN"/>
              </w:rPr>
            </w:pPr>
            <w:r>
              <w:rPr>
                <w:rFonts w:hint="eastAsia"/>
                <w:spacing w:val="-6"/>
                <w:sz w:val="21"/>
                <w:szCs w:val="21"/>
              </w:rPr>
              <w:t>1</w:t>
            </w:r>
            <w:r>
              <w:rPr>
                <w:rFonts w:hint="eastAsia"/>
                <w:spacing w:val="-6"/>
                <w:sz w:val="21"/>
                <w:szCs w:val="21"/>
                <w:lang w:val="en-US" w:eastAsia="zh-CN"/>
              </w:rPr>
              <w:t>2.7</w:t>
            </w:r>
          </w:p>
        </w:tc>
        <w:tc>
          <w:tcPr>
            <w:tcW w:w="619" w:type="pct"/>
            <w:vMerge w:val="restart"/>
            <w:vAlign w:val="center"/>
          </w:tcPr>
          <w:p>
            <w:pPr>
              <w:pStyle w:val="1132"/>
              <w:spacing w:line="240" w:lineRule="auto"/>
              <w:rPr>
                <w:rFonts w:hint="default" w:eastAsia="宋体"/>
                <w:sz w:val="21"/>
                <w:szCs w:val="21"/>
                <w:lang w:val="en-US" w:eastAsia="zh-CN"/>
              </w:rPr>
            </w:pPr>
            <w:r>
              <w:rPr>
                <w:rFonts w:hint="eastAsia"/>
                <w:sz w:val="21"/>
                <w:szCs w:val="21"/>
                <w:lang w:val="en-US" w:eastAsia="zh-CN"/>
              </w:rPr>
              <w:t>248.06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spacing w:val="-6"/>
                <w:sz w:val="21"/>
                <w:szCs w:val="21"/>
              </w:rPr>
            </w:pPr>
            <w:r>
              <w:rPr>
                <w:rFonts w:hint="eastAsia"/>
                <w:spacing w:val="-6"/>
                <w:sz w:val="21"/>
                <w:szCs w:val="21"/>
              </w:rPr>
              <w:t>施工便道</w:t>
            </w:r>
          </w:p>
        </w:tc>
        <w:tc>
          <w:tcPr>
            <w:tcW w:w="1642" w:type="pct"/>
            <w:shd w:val="clear" w:color="auto" w:fill="auto"/>
            <w:vAlign w:val="center"/>
          </w:tcPr>
          <w:p>
            <w:pPr>
              <w:pStyle w:val="1132"/>
              <w:spacing w:line="240" w:lineRule="auto"/>
              <w:rPr>
                <w:rFonts w:hint="default"/>
                <w:spacing w:val="-6"/>
                <w:sz w:val="21"/>
                <w:szCs w:val="21"/>
                <w:lang w:val="en-US" w:eastAsia="zh-CN"/>
              </w:rPr>
            </w:pPr>
            <w:r>
              <w:rPr>
                <w:rFonts w:hint="eastAsia"/>
                <w:spacing w:val="-6"/>
                <w:sz w:val="21"/>
                <w:szCs w:val="21"/>
                <w:lang w:val="en-US" w:eastAsia="zh-CN"/>
              </w:rPr>
              <w:t>110.61</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rFonts w:hint="default" w:eastAsia="宋体"/>
                <w:spacing w:val="-6"/>
                <w:sz w:val="21"/>
                <w:szCs w:val="21"/>
                <w:lang w:val="en-US" w:eastAsia="zh-CN"/>
              </w:rPr>
            </w:pPr>
            <w:r>
              <w:rPr>
                <w:rFonts w:hint="eastAsia"/>
                <w:spacing w:val="-6"/>
                <w:sz w:val="21"/>
                <w:szCs w:val="21"/>
                <w:lang w:val="en-US" w:eastAsia="zh-CN"/>
              </w:rPr>
              <w:t>项目部</w:t>
            </w:r>
          </w:p>
        </w:tc>
        <w:tc>
          <w:tcPr>
            <w:tcW w:w="1642" w:type="pct"/>
            <w:shd w:val="clear" w:color="auto" w:fill="auto"/>
            <w:vAlign w:val="center"/>
          </w:tcPr>
          <w:p>
            <w:pPr>
              <w:pStyle w:val="1132"/>
              <w:spacing w:line="240" w:lineRule="auto"/>
              <w:rPr>
                <w:rFonts w:hint="default"/>
                <w:spacing w:val="-6"/>
                <w:sz w:val="21"/>
                <w:szCs w:val="21"/>
                <w:lang w:val="en-US" w:eastAsia="zh-CN"/>
              </w:rPr>
            </w:pPr>
            <w:r>
              <w:rPr>
                <w:rFonts w:hint="eastAsia"/>
                <w:spacing w:val="-6"/>
                <w:sz w:val="21"/>
                <w:szCs w:val="21"/>
                <w:lang w:val="en-US" w:eastAsia="zh-CN"/>
              </w:rPr>
              <w:t>10.0</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2474" w:type="dxa"/>
            <w:shd w:val="clear" w:color="auto" w:fill="auto"/>
            <w:vAlign w:val="center"/>
          </w:tcPr>
          <w:p>
            <w:pPr>
              <w:pStyle w:val="1132"/>
              <w:spacing w:line="240" w:lineRule="auto"/>
              <w:rPr>
                <w:rFonts w:hint="eastAsia"/>
                <w:spacing w:val="-6"/>
                <w:sz w:val="21"/>
                <w:szCs w:val="21"/>
              </w:rPr>
            </w:pPr>
            <w:r>
              <w:rPr>
                <w:rFonts w:hint="eastAsia"/>
                <w:sz w:val="21"/>
                <w:szCs w:val="21"/>
                <w:lang w:val="en-US" w:eastAsia="zh-CN"/>
              </w:rPr>
              <w:t>水稳砼拌合站</w:t>
            </w:r>
          </w:p>
        </w:tc>
        <w:tc>
          <w:tcPr>
            <w:tcW w:w="3050" w:type="dxa"/>
            <w:shd w:val="clear" w:color="auto" w:fill="auto"/>
            <w:vAlign w:val="center"/>
          </w:tcPr>
          <w:p>
            <w:pPr>
              <w:pStyle w:val="1132"/>
              <w:spacing w:line="240" w:lineRule="auto"/>
              <w:rPr>
                <w:rFonts w:hint="eastAsia"/>
                <w:spacing w:val="-6"/>
                <w:sz w:val="21"/>
                <w:szCs w:val="21"/>
                <w:lang w:val="en-US" w:eastAsia="zh-CN"/>
              </w:rPr>
            </w:pPr>
            <w:r>
              <w:rPr>
                <w:rFonts w:hint="eastAsia"/>
                <w:sz w:val="21"/>
                <w:szCs w:val="21"/>
                <w:lang w:val="en-US" w:eastAsia="zh-CN"/>
              </w:rPr>
              <w:t>30.0</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2474" w:type="dxa"/>
            <w:shd w:val="clear" w:color="auto" w:fill="auto"/>
            <w:vAlign w:val="center"/>
          </w:tcPr>
          <w:p>
            <w:pPr>
              <w:pStyle w:val="1132"/>
              <w:spacing w:line="240" w:lineRule="auto"/>
              <w:rPr>
                <w:rFonts w:hint="eastAsia"/>
                <w:spacing w:val="-6"/>
                <w:sz w:val="21"/>
                <w:szCs w:val="21"/>
              </w:rPr>
            </w:pPr>
            <w:r>
              <w:rPr>
                <w:rFonts w:hint="eastAsia"/>
                <w:sz w:val="21"/>
                <w:szCs w:val="21"/>
                <w:lang w:val="en-US" w:eastAsia="zh-CN"/>
              </w:rPr>
              <w:t>水泥砼拌合站</w:t>
            </w:r>
          </w:p>
        </w:tc>
        <w:tc>
          <w:tcPr>
            <w:tcW w:w="3050" w:type="dxa"/>
            <w:shd w:val="clear" w:color="auto" w:fill="auto"/>
            <w:vAlign w:val="center"/>
          </w:tcPr>
          <w:p>
            <w:pPr>
              <w:pStyle w:val="1132"/>
              <w:spacing w:line="240" w:lineRule="auto"/>
              <w:rPr>
                <w:rFonts w:hint="eastAsia"/>
                <w:spacing w:val="-6"/>
                <w:sz w:val="21"/>
                <w:szCs w:val="21"/>
                <w:lang w:val="en-US" w:eastAsia="zh-CN"/>
              </w:rPr>
            </w:pPr>
            <w:r>
              <w:rPr>
                <w:rFonts w:hint="eastAsia"/>
                <w:sz w:val="21"/>
                <w:szCs w:val="21"/>
                <w:lang w:val="en-US" w:eastAsia="zh-CN"/>
              </w:rPr>
              <w:t>15.0</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2474" w:type="dxa"/>
            <w:shd w:val="clear" w:color="auto" w:fill="auto"/>
            <w:vAlign w:val="center"/>
          </w:tcPr>
          <w:p>
            <w:pPr>
              <w:pStyle w:val="1132"/>
              <w:spacing w:line="240" w:lineRule="auto"/>
              <w:rPr>
                <w:rFonts w:hint="eastAsia"/>
                <w:spacing w:val="-6"/>
                <w:sz w:val="21"/>
                <w:szCs w:val="21"/>
              </w:rPr>
            </w:pPr>
            <w:r>
              <w:rPr>
                <w:rFonts w:hint="eastAsia"/>
                <w:sz w:val="21"/>
                <w:szCs w:val="21"/>
                <w:lang w:val="en-US" w:eastAsia="zh-CN"/>
              </w:rPr>
              <w:t>沥青砼拌合站</w:t>
            </w:r>
          </w:p>
        </w:tc>
        <w:tc>
          <w:tcPr>
            <w:tcW w:w="3050" w:type="dxa"/>
            <w:shd w:val="clear" w:color="auto" w:fill="auto"/>
            <w:vAlign w:val="center"/>
          </w:tcPr>
          <w:p>
            <w:pPr>
              <w:pStyle w:val="1132"/>
              <w:spacing w:line="240" w:lineRule="auto"/>
              <w:rPr>
                <w:rFonts w:hint="eastAsia"/>
                <w:spacing w:val="-6"/>
                <w:sz w:val="21"/>
                <w:szCs w:val="21"/>
                <w:lang w:val="en-US" w:eastAsia="zh-CN"/>
              </w:rPr>
            </w:pPr>
            <w:r>
              <w:rPr>
                <w:rFonts w:hint="eastAsia"/>
                <w:sz w:val="21"/>
                <w:szCs w:val="21"/>
                <w:lang w:val="en-US" w:eastAsia="zh-CN"/>
              </w:rPr>
              <w:t>60.0</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rFonts w:hint="default"/>
                <w:spacing w:val="-6"/>
                <w:sz w:val="21"/>
                <w:szCs w:val="21"/>
                <w:lang w:val="en-US" w:eastAsia="zh-CN"/>
              </w:rPr>
            </w:pPr>
            <w:r>
              <w:rPr>
                <w:rFonts w:hint="eastAsia"/>
                <w:spacing w:val="-6"/>
                <w:sz w:val="21"/>
                <w:szCs w:val="21"/>
                <w:lang w:val="en-US" w:eastAsia="zh-CN"/>
              </w:rPr>
              <w:t>制梁场、钢筋加工场</w:t>
            </w:r>
          </w:p>
        </w:tc>
        <w:tc>
          <w:tcPr>
            <w:tcW w:w="1642" w:type="pct"/>
            <w:shd w:val="clear" w:color="auto" w:fill="auto"/>
            <w:vAlign w:val="center"/>
          </w:tcPr>
          <w:p>
            <w:pPr>
              <w:pStyle w:val="1132"/>
              <w:spacing w:line="240" w:lineRule="auto"/>
              <w:rPr>
                <w:rFonts w:hint="default"/>
                <w:spacing w:val="-6"/>
                <w:sz w:val="21"/>
                <w:szCs w:val="21"/>
                <w:lang w:val="en-US" w:eastAsia="zh-CN"/>
              </w:rPr>
            </w:pPr>
            <w:r>
              <w:rPr>
                <w:rFonts w:hint="eastAsia"/>
                <w:spacing w:val="-6"/>
                <w:sz w:val="21"/>
                <w:szCs w:val="21"/>
                <w:lang w:val="en-US" w:eastAsia="zh-CN"/>
              </w:rPr>
              <w:t>9.75</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shd w:val="clear" w:color="auto" w:fill="auto"/>
            <w:vAlign w:val="center"/>
          </w:tcPr>
          <w:p>
            <w:pPr>
              <w:pStyle w:val="1132"/>
              <w:spacing w:line="240" w:lineRule="auto"/>
              <w:rPr>
                <w:sz w:val="21"/>
                <w:szCs w:val="21"/>
              </w:rPr>
            </w:pPr>
            <w:r>
              <w:rPr>
                <w:rFonts w:hint="eastAsia"/>
                <w:sz w:val="21"/>
                <w:szCs w:val="21"/>
              </w:rPr>
              <w:t>总计</w:t>
            </w:r>
          </w:p>
        </w:tc>
        <w:tc>
          <w:tcPr>
            <w:tcW w:w="3636" w:type="pct"/>
            <w:gridSpan w:val="3"/>
            <w:shd w:val="clear" w:color="auto" w:fill="auto"/>
            <w:vAlign w:val="center"/>
          </w:tcPr>
          <w:p>
            <w:pPr>
              <w:pStyle w:val="1132"/>
              <w:spacing w:line="240" w:lineRule="auto"/>
              <w:rPr>
                <w:sz w:val="21"/>
                <w:szCs w:val="21"/>
              </w:rPr>
            </w:pPr>
            <w:r>
              <w:rPr>
                <w:rFonts w:hint="eastAsia"/>
                <w:sz w:val="21"/>
                <w:szCs w:val="21"/>
              </w:rPr>
              <w:t>/</w:t>
            </w:r>
          </w:p>
        </w:tc>
        <w:tc>
          <w:tcPr>
            <w:tcW w:w="619" w:type="pct"/>
            <w:vAlign w:val="center"/>
          </w:tcPr>
          <w:p>
            <w:pPr>
              <w:pStyle w:val="1132"/>
              <w:spacing w:line="240" w:lineRule="auto"/>
              <w:rPr>
                <w:rFonts w:hint="default" w:eastAsia="宋体"/>
                <w:sz w:val="21"/>
                <w:szCs w:val="21"/>
                <w:lang w:val="en-US" w:eastAsia="zh-CN"/>
              </w:rPr>
            </w:pPr>
            <w:r>
              <w:rPr>
                <w:rFonts w:hint="eastAsia"/>
                <w:sz w:val="21"/>
                <w:szCs w:val="21"/>
                <w:lang w:val="en-US" w:eastAsia="zh-CN"/>
              </w:rPr>
              <w:t>840.15</w:t>
            </w:r>
          </w:p>
        </w:tc>
      </w:tr>
    </w:tbl>
    <w:p>
      <w:pPr>
        <w:pStyle w:val="9"/>
      </w:pPr>
      <w:bookmarkStart w:id="160" w:name="_Toc11681"/>
      <w:r>
        <w:rPr>
          <w:rFonts w:hint="eastAsia"/>
        </w:rPr>
        <w:t>大临工程</w:t>
      </w:r>
      <w:bookmarkEnd w:id="160"/>
    </w:p>
    <w:p>
      <w:pPr>
        <w:pStyle w:val="10"/>
        <w:ind w:firstLine="480"/>
      </w:pPr>
      <w:r>
        <w:rPr>
          <w:rFonts w:hint="eastAsia"/>
        </w:rPr>
        <w:t>（1）</w:t>
      </w:r>
      <w:r>
        <w:t>施工</w:t>
      </w:r>
      <w:r>
        <w:rPr>
          <w:rFonts w:hint="eastAsia"/>
        </w:rPr>
        <w:t>场地布置</w:t>
      </w:r>
    </w:p>
    <w:p>
      <w:pPr>
        <w:pStyle w:val="10"/>
        <w:ind w:firstLine="480"/>
      </w:pPr>
      <w:r>
        <w:rPr>
          <w:rFonts w:hint="eastAsia"/>
        </w:rPr>
        <w:t>本项目路基段施工便道原则上设置于坡脚外侧2米，施工便道的设置还充分考虑到今后土地的还原和便道利用情况，与改路工程结合起来综合考虑。对利用老路作为施工便道，应及时养护和维修，保证沿线群众生产生活。</w:t>
      </w:r>
    </w:p>
    <w:p>
      <w:pPr>
        <w:pStyle w:val="10"/>
        <w:ind w:firstLine="480"/>
      </w:pPr>
      <w:r>
        <w:rPr>
          <w:rFonts w:hint="eastAsia"/>
        </w:rPr>
        <w:t>项目部、弃土场和</w:t>
      </w:r>
      <w:r>
        <w:rPr>
          <w:rFonts w:hint="eastAsia"/>
          <w:lang w:val="en-US" w:eastAsia="zh-CN"/>
        </w:rPr>
        <w:t>拌合站</w:t>
      </w:r>
      <w:r>
        <w:rPr>
          <w:rFonts w:hint="eastAsia"/>
        </w:rPr>
        <w:t>等的选址均根据实际调查情况，综合考虑了沿线道路分布、用电用水、地形、构造物等因素后确定的。临时用地施工结束后，应进行复耕处理。</w:t>
      </w:r>
      <w:r>
        <w:t>具体情况见</w:t>
      </w:r>
      <w:r>
        <w:rPr>
          <w:rFonts w:hint="eastAsia"/>
        </w:rPr>
        <w:t>下</w:t>
      </w:r>
      <w:r>
        <w:t>表。</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5</w:t>
      </w:r>
      <w:r>
        <w:fldChar w:fldCharType="end"/>
      </w:r>
      <w:r>
        <w:t xml:space="preserve">  </w:t>
      </w:r>
      <w:r>
        <w:rPr>
          <w:rFonts w:hint="eastAsia"/>
        </w:rPr>
        <w:t>公路临时用地</w:t>
      </w:r>
      <w:r>
        <w:t>表</w:t>
      </w:r>
    </w:p>
    <w:tbl>
      <w:tblPr>
        <w:tblStyle w:val="47"/>
        <w:tblW w:w="5000" w:type="pct"/>
        <w:jc w:val="center"/>
        <w:tblLayout w:type="autofit"/>
        <w:tblCellMar>
          <w:top w:w="0" w:type="dxa"/>
          <w:left w:w="108" w:type="dxa"/>
          <w:bottom w:w="0" w:type="dxa"/>
          <w:right w:w="108" w:type="dxa"/>
        </w:tblCellMar>
      </w:tblPr>
      <w:tblGrid>
        <w:gridCol w:w="825"/>
        <w:gridCol w:w="2726"/>
        <w:gridCol w:w="2255"/>
        <w:gridCol w:w="1497"/>
        <w:gridCol w:w="1983"/>
      </w:tblGrid>
      <w:tr>
        <w:tblPrEx>
          <w:tblCellMar>
            <w:top w:w="0" w:type="dxa"/>
            <w:left w:w="108" w:type="dxa"/>
            <w:bottom w:w="0" w:type="dxa"/>
            <w:right w:w="108" w:type="dxa"/>
          </w:tblCellMar>
        </w:tblPrEx>
        <w:trPr>
          <w:trHeight w:val="270" w:hRule="atLeast"/>
          <w:jc w:val="center"/>
        </w:trPr>
        <w:tc>
          <w:tcPr>
            <w:tcW w:w="444"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132"/>
              <w:spacing w:line="240" w:lineRule="auto"/>
              <w:rPr>
                <w:b/>
                <w:bCs w:val="0"/>
                <w:sz w:val="21"/>
                <w:szCs w:val="21"/>
              </w:rPr>
            </w:pPr>
            <w:r>
              <w:rPr>
                <w:b/>
                <w:bCs w:val="0"/>
                <w:sz w:val="21"/>
                <w:szCs w:val="21"/>
              </w:rPr>
              <w:t>序号</w:t>
            </w:r>
          </w:p>
        </w:tc>
        <w:tc>
          <w:tcPr>
            <w:tcW w:w="1468" w:type="pct"/>
            <w:tcBorders>
              <w:top w:val="single" w:color="auto" w:sz="4" w:space="0"/>
              <w:left w:val="nil"/>
              <w:bottom w:val="single" w:color="auto" w:sz="4" w:space="0"/>
              <w:right w:val="single" w:color="auto" w:sz="4" w:space="0"/>
            </w:tcBorders>
            <w:shd w:val="clear" w:color="auto" w:fill="auto"/>
            <w:noWrap/>
            <w:vAlign w:val="center"/>
          </w:tcPr>
          <w:p>
            <w:pPr>
              <w:pStyle w:val="1132"/>
              <w:spacing w:line="240" w:lineRule="auto"/>
              <w:rPr>
                <w:b/>
                <w:bCs w:val="0"/>
                <w:sz w:val="21"/>
                <w:szCs w:val="21"/>
              </w:rPr>
            </w:pPr>
            <w:r>
              <w:rPr>
                <w:b/>
                <w:bCs w:val="0"/>
                <w:sz w:val="21"/>
                <w:szCs w:val="21"/>
              </w:rPr>
              <w:t>工程名称</w:t>
            </w:r>
          </w:p>
        </w:tc>
        <w:tc>
          <w:tcPr>
            <w:tcW w:w="1214" w:type="pct"/>
            <w:tcBorders>
              <w:top w:val="single" w:color="auto" w:sz="4" w:space="0"/>
              <w:left w:val="nil"/>
              <w:bottom w:val="single" w:color="auto" w:sz="4" w:space="0"/>
              <w:right w:val="single" w:color="auto" w:sz="4" w:space="0"/>
            </w:tcBorders>
            <w:shd w:val="clear" w:color="auto" w:fill="auto"/>
            <w:noWrap/>
            <w:vAlign w:val="center"/>
          </w:tcPr>
          <w:p>
            <w:pPr>
              <w:pStyle w:val="1132"/>
              <w:spacing w:line="240" w:lineRule="auto"/>
              <w:rPr>
                <w:b/>
                <w:bCs w:val="0"/>
                <w:sz w:val="21"/>
                <w:szCs w:val="21"/>
              </w:rPr>
            </w:pPr>
            <w:r>
              <w:rPr>
                <w:b/>
                <w:bCs w:val="0"/>
                <w:sz w:val="21"/>
                <w:szCs w:val="21"/>
              </w:rPr>
              <w:t>位置地点或桩号</w:t>
            </w:r>
          </w:p>
        </w:tc>
        <w:tc>
          <w:tcPr>
            <w:tcW w:w="806" w:type="pct"/>
            <w:tcBorders>
              <w:top w:val="single" w:color="auto" w:sz="4" w:space="0"/>
              <w:left w:val="nil"/>
              <w:bottom w:val="single" w:color="auto" w:sz="4" w:space="0"/>
              <w:right w:val="single" w:color="auto" w:sz="4" w:space="0"/>
            </w:tcBorders>
            <w:shd w:val="clear" w:color="auto" w:fill="auto"/>
            <w:noWrap/>
            <w:vAlign w:val="center"/>
          </w:tcPr>
          <w:p>
            <w:pPr>
              <w:pStyle w:val="1132"/>
              <w:spacing w:line="240" w:lineRule="auto"/>
              <w:rPr>
                <w:b/>
                <w:bCs w:val="0"/>
                <w:sz w:val="21"/>
                <w:szCs w:val="21"/>
              </w:rPr>
            </w:pPr>
            <w:r>
              <w:rPr>
                <w:b/>
                <w:bCs w:val="0"/>
                <w:sz w:val="21"/>
                <w:szCs w:val="21"/>
              </w:rPr>
              <w:t>占地（</w:t>
            </w:r>
            <w:r>
              <w:rPr>
                <w:rFonts w:hint="eastAsia"/>
                <w:b/>
                <w:bCs w:val="0"/>
                <w:sz w:val="21"/>
                <w:szCs w:val="21"/>
              </w:rPr>
              <w:t>亩</w:t>
            </w:r>
            <w:r>
              <w:rPr>
                <w:b/>
                <w:bCs w:val="0"/>
                <w:sz w:val="21"/>
                <w:szCs w:val="21"/>
              </w:rPr>
              <w:t>）</w:t>
            </w:r>
          </w:p>
        </w:tc>
        <w:tc>
          <w:tcPr>
            <w:tcW w:w="1068" w:type="pct"/>
            <w:tcBorders>
              <w:top w:val="single" w:color="auto" w:sz="4" w:space="0"/>
              <w:left w:val="nil"/>
              <w:bottom w:val="single" w:color="auto" w:sz="4" w:space="0"/>
              <w:right w:val="single" w:color="auto" w:sz="4" w:space="0"/>
            </w:tcBorders>
            <w:shd w:val="clear" w:color="auto" w:fill="auto"/>
            <w:noWrap/>
            <w:vAlign w:val="center"/>
          </w:tcPr>
          <w:p>
            <w:pPr>
              <w:pStyle w:val="1132"/>
              <w:spacing w:line="240" w:lineRule="auto"/>
              <w:rPr>
                <w:b/>
                <w:bCs w:val="0"/>
                <w:sz w:val="21"/>
                <w:szCs w:val="21"/>
              </w:rPr>
            </w:pPr>
            <w:r>
              <w:rPr>
                <w:b/>
                <w:bCs w:val="0"/>
                <w:sz w:val="21"/>
                <w:szCs w:val="21"/>
              </w:rPr>
              <w:t>占地类型</w:t>
            </w:r>
          </w:p>
        </w:tc>
      </w:tr>
      <w:tr>
        <w:tblPrEx>
          <w:tblCellMar>
            <w:top w:w="0" w:type="dxa"/>
            <w:left w:w="108" w:type="dxa"/>
            <w:bottom w:w="0" w:type="dxa"/>
            <w:right w:w="108" w:type="dxa"/>
          </w:tblCellMar>
        </w:tblPrEx>
        <w:trPr>
          <w:trHeight w:val="270" w:hRule="atLeast"/>
          <w:jc w:val="center"/>
        </w:trPr>
        <w:tc>
          <w:tcPr>
            <w:tcW w:w="444" w:type="pct"/>
            <w:tcBorders>
              <w:top w:val="nil"/>
              <w:left w:val="single" w:color="auto" w:sz="4" w:space="0"/>
              <w:bottom w:val="single" w:color="auto" w:sz="4" w:space="0"/>
              <w:right w:val="single" w:color="auto" w:sz="4" w:space="0"/>
            </w:tcBorders>
            <w:shd w:val="clear" w:color="auto" w:fill="auto"/>
            <w:vAlign w:val="center"/>
          </w:tcPr>
          <w:p>
            <w:pPr>
              <w:pStyle w:val="1132"/>
              <w:spacing w:line="240" w:lineRule="auto"/>
              <w:rPr>
                <w:sz w:val="21"/>
                <w:szCs w:val="21"/>
              </w:rPr>
            </w:pPr>
            <w:r>
              <w:rPr>
                <w:sz w:val="21"/>
                <w:szCs w:val="21"/>
              </w:rPr>
              <w:t>1</w:t>
            </w:r>
          </w:p>
        </w:tc>
        <w:tc>
          <w:tcPr>
            <w:tcW w:w="1468" w:type="pct"/>
            <w:tcBorders>
              <w:top w:val="nil"/>
              <w:left w:val="nil"/>
              <w:bottom w:val="single" w:color="auto" w:sz="4" w:space="0"/>
              <w:right w:val="single" w:color="auto" w:sz="4" w:space="0"/>
            </w:tcBorders>
            <w:shd w:val="clear" w:color="auto" w:fill="auto"/>
            <w:vAlign w:val="center"/>
          </w:tcPr>
          <w:p>
            <w:pPr>
              <w:pStyle w:val="1132"/>
              <w:spacing w:line="240" w:lineRule="auto"/>
              <w:rPr>
                <w:sz w:val="21"/>
                <w:szCs w:val="21"/>
              </w:rPr>
            </w:pPr>
            <w:r>
              <w:rPr>
                <w:rFonts w:hint="eastAsia"/>
                <w:sz w:val="21"/>
                <w:szCs w:val="21"/>
              </w:rPr>
              <w:t>施工便道</w:t>
            </w:r>
          </w:p>
        </w:tc>
        <w:tc>
          <w:tcPr>
            <w:tcW w:w="1214" w:type="pct"/>
            <w:tcBorders>
              <w:top w:val="nil"/>
              <w:left w:val="nil"/>
              <w:bottom w:val="single" w:color="auto" w:sz="4" w:space="0"/>
              <w:right w:val="single" w:color="auto" w:sz="4" w:space="0"/>
            </w:tcBorders>
            <w:shd w:val="clear" w:color="auto" w:fill="auto"/>
            <w:vAlign w:val="center"/>
          </w:tcPr>
          <w:p>
            <w:pPr>
              <w:pStyle w:val="1132"/>
              <w:spacing w:line="240" w:lineRule="auto"/>
              <w:rPr>
                <w:sz w:val="21"/>
                <w:szCs w:val="21"/>
              </w:rPr>
            </w:pPr>
            <w:r>
              <w:rPr>
                <w:sz w:val="21"/>
                <w:szCs w:val="21"/>
              </w:rPr>
              <w:t>K0+900</w:t>
            </w:r>
            <w:r>
              <w:rPr>
                <w:rFonts w:hint="eastAsia"/>
                <w:sz w:val="21"/>
                <w:szCs w:val="21"/>
              </w:rPr>
              <w:t>~</w:t>
            </w:r>
            <w:r>
              <w:rPr>
                <w:sz w:val="21"/>
                <w:szCs w:val="21"/>
              </w:rPr>
              <w:t>K7+700.6</w:t>
            </w:r>
          </w:p>
        </w:tc>
        <w:tc>
          <w:tcPr>
            <w:tcW w:w="806"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default" w:eastAsia="宋体"/>
                <w:sz w:val="21"/>
                <w:szCs w:val="21"/>
                <w:lang w:val="en-US" w:eastAsia="zh-CN"/>
              </w:rPr>
            </w:pPr>
            <w:r>
              <w:rPr>
                <w:rFonts w:hint="eastAsia"/>
                <w:sz w:val="21"/>
                <w:szCs w:val="21"/>
                <w:lang w:val="en-US" w:eastAsia="zh-CN"/>
              </w:rPr>
              <w:t>110.61</w:t>
            </w:r>
          </w:p>
        </w:tc>
        <w:tc>
          <w:tcPr>
            <w:tcW w:w="1068"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default" w:eastAsia="宋体"/>
                <w:sz w:val="21"/>
                <w:szCs w:val="21"/>
                <w:lang w:val="en-US" w:eastAsia="zh-CN"/>
              </w:rPr>
            </w:pPr>
            <w:r>
              <w:rPr>
                <w:rFonts w:hint="eastAsia"/>
                <w:sz w:val="21"/>
                <w:szCs w:val="21"/>
                <w:lang w:val="en-US" w:eastAsia="zh-CN"/>
              </w:rPr>
              <w:t>荒地、林地、水塘</w:t>
            </w:r>
          </w:p>
        </w:tc>
      </w:tr>
      <w:tr>
        <w:tblPrEx>
          <w:tblCellMar>
            <w:top w:w="0" w:type="dxa"/>
            <w:left w:w="108" w:type="dxa"/>
            <w:bottom w:w="0" w:type="dxa"/>
            <w:right w:w="108" w:type="dxa"/>
          </w:tblCellMar>
        </w:tblPrEx>
        <w:trPr>
          <w:trHeight w:val="270" w:hRule="atLeast"/>
          <w:jc w:val="center"/>
        </w:trPr>
        <w:tc>
          <w:tcPr>
            <w:tcW w:w="444" w:type="pct"/>
            <w:tcBorders>
              <w:top w:val="nil"/>
              <w:left w:val="single" w:color="auto" w:sz="4" w:space="0"/>
              <w:bottom w:val="single" w:color="auto" w:sz="4" w:space="0"/>
              <w:right w:val="single" w:color="auto" w:sz="4" w:space="0"/>
            </w:tcBorders>
            <w:shd w:val="clear" w:color="auto" w:fill="auto"/>
            <w:vAlign w:val="center"/>
          </w:tcPr>
          <w:p>
            <w:pPr>
              <w:pStyle w:val="1132"/>
              <w:spacing w:line="240" w:lineRule="auto"/>
              <w:rPr>
                <w:sz w:val="21"/>
                <w:szCs w:val="21"/>
                <w:highlight w:val="none"/>
              </w:rPr>
            </w:pPr>
            <w:r>
              <w:rPr>
                <w:sz w:val="21"/>
                <w:szCs w:val="21"/>
                <w:highlight w:val="none"/>
              </w:rPr>
              <w:t>2</w:t>
            </w:r>
          </w:p>
        </w:tc>
        <w:tc>
          <w:tcPr>
            <w:tcW w:w="1468" w:type="pct"/>
            <w:tcBorders>
              <w:top w:val="nil"/>
              <w:left w:val="nil"/>
              <w:bottom w:val="single" w:color="auto" w:sz="4" w:space="0"/>
              <w:right w:val="single" w:color="auto" w:sz="4" w:space="0"/>
            </w:tcBorders>
            <w:shd w:val="clear" w:color="auto" w:fill="auto"/>
            <w:vAlign w:val="center"/>
          </w:tcPr>
          <w:p>
            <w:pPr>
              <w:pStyle w:val="1132"/>
              <w:spacing w:line="240" w:lineRule="auto"/>
              <w:rPr>
                <w:sz w:val="21"/>
                <w:szCs w:val="21"/>
                <w:highlight w:val="none"/>
              </w:rPr>
            </w:pPr>
            <w:r>
              <w:rPr>
                <w:rFonts w:hint="eastAsia"/>
                <w:sz w:val="21"/>
                <w:szCs w:val="21"/>
                <w:highlight w:val="none"/>
              </w:rPr>
              <w:t>制梁场、钢筋加工场</w:t>
            </w:r>
          </w:p>
        </w:tc>
        <w:tc>
          <w:tcPr>
            <w:tcW w:w="1214" w:type="pct"/>
            <w:tcBorders>
              <w:top w:val="nil"/>
              <w:left w:val="nil"/>
              <w:bottom w:val="single" w:color="auto" w:sz="4" w:space="0"/>
              <w:right w:val="single" w:color="auto" w:sz="4" w:space="0"/>
            </w:tcBorders>
            <w:shd w:val="clear" w:color="auto" w:fill="auto"/>
            <w:vAlign w:val="center"/>
          </w:tcPr>
          <w:p>
            <w:pPr>
              <w:pStyle w:val="1132"/>
              <w:spacing w:line="240" w:lineRule="auto"/>
              <w:rPr>
                <w:sz w:val="21"/>
                <w:szCs w:val="21"/>
                <w:highlight w:val="none"/>
              </w:rPr>
            </w:pPr>
            <w:r>
              <w:rPr>
                <w:sz w:val="21"/>
                <w:szCs w:val="21"/>
                <w:highlight w:val="none"/>
              </w:rPr>
              <w:t>K</w:t>
            </w:r>
            <w:r>
              <w:rPr>
                <w:rFonts w:hint="eastAsia"/>
                <w:sz w:val="21"/>
                <w:szCs w:val="21"/>
                <w:highlight w:val="none"/>
                <w:lang w:val="en-US" w:eastAsia="zh-CN"/>
              </w:rPr>
              <w:t>4</w:t>
            </w:r>
            <w:r>
              <w:rPr>
                <w:sz w:val="21"/>
                <w:szCs w:val="21"/>
                <w:highlight w:val="none"/>
              </w:rPr>
              <w:t>+</w:t>
            </w:r>
            <w:r>
              <w:rPr>
                <w:rFonts w:hint="eastAsia"/>
                <w:sz w:val="21"/>
                <w:szCs w:val="21"/>
                <w:highlight w:val="none"/>
                <w:lang w:val="en-US" w:eastAsia="zh-CN"/>
              </w:rPr>
              <w:t>543</w:t>
            </w:r>
          </w:p>
        </w:tc>
        <w:tc>
          <w:tcPr>
            <w:tcW w:w="806"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default" w:eastAsia="宋体"/>
                <w:sz w:val="21"/>
                <w:szCs w:val="21"/>
                <w:highlight w:val="none"/>
                <w:lang w:val="en-US" w:eastAsia="zh-CN"/>
              </w:rPr>
            </w:pPr>
            <w:r>
              <w:rPr>
                <w:rFonts w:hint="eastAsia"/>
                <w:sz w:val="21"/>
                <w:szCs w:val="21"/>
                <w:highlight w:val="none"/>
                <w:lang w:val="en-US" w:eastAsia="zh-CN"/>
              </w:rPr>
              <w:t>9.75</w:t>
            </w:r>
          </w:p>
        </w:tc>
        <w:tc>
          <w:tcPr>
            <w:tcW w:w="1068" w:type="pct"/>
            <w:tcBorders>
              <w:top w:val="nil"/>
              <w:left w:val="nil"/>
              <w:bottom w:val="single" w:color="auto" w:sz="4" w:space="0"/>
              <w:right w:val="single" w:color="auto" w:sz="4" w:space="0"/>
            </w:tcBorders>
            <w:shd w:val="clear" w:color="auto" w:fill="auto"/>
            <w:noWrap/>
            <w:vAlign w:val="center"/>
          </w:tcPr>
          <w:p>
            <w:pPr>
              <w:pStyle w:val="1132"/>
              <w:spacing w:line="240" w:lineRule="auto"/>
              <w:rPr>
                <w:sz w:val="21"/>
                <w:szCs w:val="21"/>
                <w:highlight w:val="none"/>
              </w:rPr>
            </w:pPr>
            <w:r>
              <w:rPr>
                <w:rFonts w:hint="eastAsia"/>
                <w:sz w:val="21"/>
                <w:szCs w:val="21"/>
                <w:highlight w:val="none"/>
              </w:rPr>
              <w:t>农用地</w:t>
            </w:r>
          </w:p>
        </w:tc>
      </w:tr>
      <w:tr>
        <w:tblPrEx>
          <w:tblCellMar>
            <w:top w:w="0" w:type="dxa"/>
            <w:left w:w="108" w:type="dxa"/>
            <w:bottom w:w="0" w:type="dxa"/>
            <w:right w:w="108" w:type="dxa"/>
          </w:tblCellMar>
        </w:tblPrEx>
        <w:trPr>
          <w:trHeight w:val="450" w:hRule="atLeast"/>
          <w:jc w:val="center"/>
        </w:trPr>
        <w:tc>
          <w:tcPr>
            <w:tcW w:w="444" w:type="pct"/>
            <w:tcBorders>
              <w:top w:val="nil"/>
              <w:left w:val="single" w:color="auto" w:sz="4" w:space="0"/>
              <w:bottom w:val="single" w:color="auto" w:sz="4" w:space="0"/>
              <w:right w:val="single" w:color="auto" w:sz="4" w:space="0"/>
            </w:tcBorders>
            <w:shd w:val="clear" w:color="auto" w:fill="auto"/>
            <w:vAlign w:val="center"/>
          </w:tcPr>
          <w:p>
            <w:pPr>
              <w:pStyle w:val="1132"/>
              <w:spacing w:line="240" w:lineRule="auto"/>
              <w:rPr>
                <w:sz w:val="21"/>
                <w:szCs w:val="21"/>
              </w:rPr>
            </w:pPr>
            <w:r>
              <w:rPr>
                <w:sz w:val="21"/>
                <w:szCs w:val="21"/>
              </w:rPr>
              <w:t>3</w:t>
            </w:r>
          </w:p>
        </w:tc>
        <w:tc>
          <w:tcPr>
            <w:tcW w:w="1468" w:type="pct"/>
            <w:tcBorders>
              <w:top w:val="nil"/>
              <w:left w:val="nil"/>
              <w:bottom w:val="single" w:color="auto" w:sz="4" w:space="0"/>
              <w:right w:val="single" w:color="auto" w:sz="4" w:space="0"/>
            </w:tcBorders>
            <w:shd w:val="clear" w:color="auto" w:fill="auto"/>
            <w:vAlign w:val="center"/>
          </w:tcPr>
          <w:p>
            <w:pPr>
              <w:pStyle w:val="1132"/>
              <w:spacing w:line="240" w:lineRule="auto"/>
              <w:rPr>
                <w:sz w:val="21"/>
                <w:szCs w:val="21"/>
              </w:rPr>
            </w:pPr>
            <w:r>
              <w:rPr>
                <w:rFonts w:hint="eastAsia"/>
                <w:sz w:val="21"/>
                <w:szCs w:val="21"/>
              </w:rPr>
              <w:t>项目部</w:t>
            </w:r>
          </w:p>
        </w:tc>
        <w:tc>
          <w:tcPr>
            <w:tcW w:w="1214" w:type="pct"/>
            <w:tcBorders>
              <w:top w:val="nil"/>
              <w:left w:val="nil"/>
              <w:bottom w:val="single" w:color="auto" w:sz="4" w:space="0"/>
              <w:right w:val="single" w:color="auto" w:sz="4" w:space="0"/>
            </w:tcBorders>
            <w:shd w:val="clear" w:color="auto" w:fill="auto"/>
            <w:vAlign w:val="center"/>
          </w:tcPr>
          <w:p>
            <w:pPr>
              <w:pStyle w:val="1132"/>
              <w:spacing w:line="240" w:lineRule="auto"/>
              <w:rPr>
                <w:rFonts w:hint="default" w:eastAsia="宋体"/>
                <w:sz w:val="21"/>
                <w:szCs w:val="21"/>
                <w:lang w:val="en-US" w:eastAsia="zh-CN"/>
              </w:rPr>
            </w:pPr>
            <w:r>
              <w:rPr>
                <w:rFonts w:hint="eastAsia"/>
                <w:sz w:val="21"/>
                <w:szCs w:val="21"/>
                <w:lang w:val="en-US" w:eastAsia="zh-CN"/>
              </w:rPr>
              <w:t>K3+222</w:t>
            </w:r>
          </w:p>
        </w:tc>
        <w:tc>
          <w:tcPr>
            <w:tcW w:w="806"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default" w:eastAsia="宋体"/>
                <w:sz w:val="21"/>
                <w:szCs w:val="21"/>
                <w:lang w:val="en-US" w:eastAsia="zh-CN"/>
              </w:rPr>
            </w:pPr>
            <w:r>
              <w:rPr>
                <w:rFonts w:hint="eastAsia"/>
                <w:sz w:val="21"/>
                <w:szCs w:val="21"/>
                <w:lang w:val="en-US" w:eastAsia="zh-CN"/>
              </w:rPr>
              <w:t>10.0</w:t>
            </w:r>
          </w:p>
        </w:tc>
        <w:tc>
          <w:tcPr>
            <w:tcW w:w="1068"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eastAsia" w:eastAsia="宋体"/>
                <w:sz w:val="21"/>
                <w:szCs w:val="21"/>
                <w:lang w:eastAsia="zh-CN"/>
              </w:rPr>
            </w:pPr>
            <w:r>
              <w:rPr>
                <w:rFonts w:hint="eastAsia"/>
                <w:sz w:val="21"/>
                <w:szCs w:val="21"/>
                <w:lang w:val="en-US" w:eastAsia="zh-CN"/>
              </w:rPr>
              <w:t>荒地</w:t>
            </w:r>
          </w:p>
        </w:tc>
      </w:tr>
      <w:tr>
        <w:tblPrEx>
          <w:tblCellMar>
            <w:top w:w="0" w:type="dxa"/>
            <w:left w:w="108" w:type="dxa"/>
            <w:bottom w:w="0" w:type="dxa"/>
            <w:right w:w="108" w:type="dxa"/>
          </w:tblCellMar>
        </w:tblPrEx>
        <w:trPr>
          <w:trHeight w:val="450" w:hRule="atLeast"/>
          <w:jc w:val="center"/>
        </w:trPr>
        <w:tc>
          <w:tcPr>
            <w:tcW w:w="444" w:type="pct"/>
            <w:tcBorders>
              <w:top w:val="nil"/>
              <w:left w:val="single" w:color="auto" w:sz="4" w:space="0"/>
              <w:bottom w:val="single" w:color="auto" w:sz="4" w:space="0"/>
              <w:right w:val="single" w:color="auto" w:sz="4" w:space="0"/>
            </w:tcBorders>
            <w:shd w:val="clear" w:color="auto" w:fill="auto"/>
            <w:vAlign w:val="center"/>
          </w:tcPr>
          <w:p>
            <w:pPr>
              <w:pStyle w:val="1132"/>
              <w:spacing w:line="240" w:lineRule="auto"/>
              <w:rPr>
                <w:rFonts w:hint="eastAsia" w:eastAsia="宋体"/>
                <w:sz w:val="21"/>
                <w:szCs w:val="21"/>
                <w:lang w:val="en-US" w:eastAsia="zh-CN"/>
              </w:rPr>
            </w:pPr>
            <w:r>
              <w:rPr>
                <w:rFonts w:hint="eastAsia"/>
                <w:sz w:val="21"/>
                <w:szCs w:val="21"/>
                <w:lang w:val="en-US" w:eastAsia="zh-CN"/>
              </w:rPr>
              <w:t>4</w:t>
            </w:r>
          </w:p>
        </w:tc>
        <w:tc>
          <w:tcPr>
            <w:tcW w:w="1468" w:type="pct"/>
            <w:tcBorders>
              <w:top w:val="nil"/>
              <w:left w:val="nil"/>
              <w:bottom w:val="single" w:color="auto" w:sz="4" w:space="0"/>
              <w:right w:val="single" w:color="auto" w:sz="4" w:space="0"/>
            </w:tcBorders>
            <w:shd w:val="clear" w:color="auto" w:fill="auto"/>
            <w:vAlign w:val="center"/>
          </w:tcPr>
          <w:p>
            <w:pPr>
              <w:pStyle w:val="1132"/>
              <w:spacing w:line="240" w:lineRule="auto"/>
              <w:rPr>
                <w:rFonts w:hint="eastAsia" w:eastAsia="宋体"/>
                <w:sz w:val="21"/>
                <w:szCs w:val="21"/>
                <w:lang w:val="en-US" w:eastAsia="zh-CN"/>
              </w:rPr>
            </w:pPr>
            <w:r>
              <w:rPr>
                <w:rFonts w:hint="eastAsia"/>
                <w:sz w:val="21"/>
                <w:szCs w:val="21"/>
                <w:lang w:val="en-US" w:eastAsia="zh-CN"/>
              </w:rPr>
              <w:t>水稳砼拌合站</w:t>
            </w:r>
          </w:p>
        </w:tc>
        <w:tc>
          <w:tcPr>
            <w:tcW w:w="1214" w:type="pct"/>
            <w:tcBorders>
              <w:top w:val="nil"/>
              <w:left w:val="nil"/>
              <w:bottom w:val="single" w:color="auto" w:sz="4" w:space="0"/>
              <w:right w:val="single" w:color="auto" w:sz="4" w:space="0"/>
            </w:tcBorders>
            <w:shd w:val="clear" w:color="auto" w:fill="auto"/>
            <w:vAlign w:val="center"/>
          </w:tcPr>
          <w:p>
            <w:pPr>
              <w:pStyle w:val="1132"/>
              <w:spacing w:line="240" w:lineRule="auto"/>
              <w:rPr>
                <w:rFonts w:hint="eastAsia"/>
                <w:sz w:val="21"/>
                <w:szCs w:val="21"/>
              </w:rPr>
            </w:pPr>
            <w:r>
              <w:rPr>
                <w:rFonts w:hint="eastAsia"/>
                <w:sz w:val="21"/>
                <w:szCs w:val="21"/>
              </w:rPr>
              <w:t>K1+920</w:t>
            </w:r>
            <w:r>
              <w:rPr>
                <w:rFonts w:hint="eastAsia"/>
                <w:sz w:val="21"/>
                <w:szCs w:val="21"/>
              </w:rPr>
              <w:tab/>
            </w:r>
            <w:r>
              <w:rPr>
                <w:rFonts w:hint="eastAsia"/>
                <w:sz w:val="21"/>
                <w:szCs w:val="21"/>
              </w:rPr>
              <w:tab/>
            </w:r>
          </w:p>
        </w:tc>
        <w:tc>
          <w:tcPr>
            <w:tcW w:w="806"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default" w:eastAsia="宋体"/>
                <w:sz w:val="21"/>
                <w:szCs w:val="21"/>
                <w:lang w:val="en-US" w:eastAsia="zh-CN"/>
              </w:rPr>
            </w:pPr>
            <w:r>
              <w:rPr>
                <w:rFonts w:hint="eastAsia"/>
                <w:sz w:val="21"/>
                <w:szCs w:val="21"/>
                <w:lang w:val="en-US" w:eastAsia="zh-CN"/>
              </w:rPr>
              <w:t>30.0</w:t>
            </w:r>
          </w:p>
        </w:tc>
        <w:tc>
          <w:tcPr>
            <w:tcW w:w="1068"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eastAsia" w:eastAsia="宋体"/>
                <w:sz w:val="21"/>
                <w:szCs w:val="21"/>
                <w:lang w:val="en-US" w:eastAsia="zh-CN"/>
              </w:rPr>
            </w:pPr>
            <w:r>
              <w:rPr>
                <w:rFonts w:hint="eastAsia"/>
                <w:sz w:val="21"/>
                <w:szCs w:val="21"/>
                <w:lang w:val="en-US" w:eastAsia="zh-CN"/>
              </w:rPr>
              <w:t>荒地</w:t>
            </w:r>
          </w:p>
        </w:tc>
      </w:tr>
      <w:tr>
        <w:tblPrEx>
          <w:tblCellMar>
            <w:top w:w="0" w:type="dxa"/>
            <w:left w:w="108" w:type="dxa"/>
            <w:bottom w:w="0" w:type="dxa"/>
            <w:right w:w="108" w:type="dxa"/>
          </w:tblCellMar>
        </w:tblPrEx>
        <w:trPr>
          <w:trHeight w:val="450" w:hRule="atLeast"/>
          <w:jc w:val="center"/>
        </w:trPr>
        <w:tc>
          <w:tcPr>
            <w:tcW w:w="444" w:type="pct"/>
            <w:tcBorders>
              <w:top w:val="nil"/>
              <w:left w:val="single" w:color="auto" w:sz="4" w:space="0"/>
              <w:bottom w:val="single" w:color="auto" w:sz="4" w:space="0"/>
              <w:right w:val="single" w:color="auto" w:sz="4" w:space="0"/>
            </w:tcBorders>
            <w:shd w:val="clear" w:color="auto" w:fill="auto"/>
            <w:vAlign w:val="center"/>
          </w:tcPr>
          <w:p>
            <w:pPr>
              <w:pStyle w:val="1132"/>
              <w:spacing w:line="240" w:lineRule="auto"/>
              <w:rPr>
                <w:rFonts w:hint="default"/>
                <w:sz w:val="21"/>
                <w:szCs w:val="21"/>
                <w:lang w:val="en-US" w:eastAsia="zh-CN"/>
              </w:rPr>
            </w:pPr>
            <w:r>
              <w:rPr>
                <w:rFonts w:hint="eastAsia"/>
                <w:sz w:val="21"/>
                <w:szCs w:val="21"/>
                <w:lang w:val="en-US" w:eastAsia="zh-CN"/>
              </w:rPr>
              <w:t>5</w:t>
            </w:r>
          </w:p>
        </w:tc>
        <w:tc>
          <w:tcPr>
            <w:tcW w:w="1468" w:type="pct"/>
            <w:tcBorders>
              <w:top w:val="nil"/>
              <w:left w:val="nil"/>
              <w:bottom w:val="single" w:color="auto" w:sz="4" w:space="0"/>
              <w:right w:val="single" w:color="auto" w:sz="4" w:space="0"/>
            </w:tcBorders>
            <w:shd w:val="clear" w:color="auto" w:fill="auto"/>
            <w:vAlign w:val="center"/>
          </w:tcPr>
          <w:p>
            <w:pPr>
              <w:pStyle w:val="1132"/>
              <w:spacing w:line="240" w:lineRule="auto"/>
              <w:rPr>
                <w:rFonts w:hint="default"/>
                <w:sz w:val="21"/>
                <w:szCs w:val="21"/>
                <w:lang w:val="en-US" w:eastAsia="zh-CN"/>
              </w:rPr>
            </w:pPr>
            <w:r>
              <w:rPr>
                <w:rFonts w:hint="eastAsia"/>
                <w:sz w:val="21"/>
                <w:szCs w:val="21"/>
                <w:lang w:val="en-US" w:eastAsia="zh-CN"/>
              </w:rPr>
              <w:t>水泥砼拌合站</w:t>
            </w:r>
          </w:p>
        </w:tc>
        <w:tc>
          <w:tcPr>
            <w:tcW w:w="1214" w:type="pct"/>
            <w:tcBorders>
              <w:top w:val="nil"/>
              <w:left w:val="nil"/>
              <w:bottom w:val="single" w:color="auto" w:sz="4" w:space="0"/>
              <w:right w:val="single" w:color="auto" w:sz="4" w:space="0"/>
            </w:tcBorders>
            <w:shd w:val="clear" w:color="auto" w:fill="auto"/>
            <w:vAlign w:val="center"/>
          </w:tcPr>
          <w:p>
            <w:pPr>
              <w:pStyle w:val="1132"/>
              <w:spacing w:line="240" w:lineRule="auto"/>
              <w:rPr>
                <w:rFonts w:hint="eastAsia"/>
                <w:sz w:val="21"/>
                <w:szCs w:val="21"/>
              </w:rPr>
            </w:pPr>
            <w:r>
              <w:rPr>
                <w:rFonts w:hint="eastAsia"/>
                <w:sz w:val="21"/>
                <w:szCs w:val="21"/>
              </w:rPr>
              <w:t>K2+000</w:t>
            </w:r>
            <w:r>
              <w:rPr>
                <w:rFonts w:hint="eastAsia"/>
                <w:sz w:val="21"/>
                <w:szCs w:val="21"/>
              </w:rPr>
              <w:tab/>
            </w:r>
            <w:r>
              <w:rPr>
                <w:rFonts w:hint="eastAsia"/>
                <w:sz w:val="21"/>
                <w:szCs w:val="21"/>
              </w:rPr>
              <w:tab/>
            </w:r>
          </w:p>
        </w:tc>
        <w:tc>
          <w:tcPr>
            <w:tcW w:w="806"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default" w:eastAsia="宋体"/>
                <w:sz w:val="21"/>
                <w:szCs w:val="21"/>
                <w:lang w:val="en-US" w:eastAsia="zh-CN"/>
              </w:rPr>
            </w:pPr>
            <w:r>
              <w:rPr>
                <w:rFonts w:hint="eastAsia"/>
                <w:sz w:val="21"/>
                <w:szCs w:val="21"/>
                <w:lang w:val="en-US" w:eastAsia="zh-CN"/>
              </w:rPr>
              <w:t>15.0</w:t>
            </w:r>
          </w:p>
        </w:tc>
        <w:tc>
          <w:tcPr>
            <w:tcW w:w="1068"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eastAsia" w:eastAsia="宋体"/>
                <w:sz w:val="21"/>
                <w:szCs w:val="21"/>
                <w:lang w:val="en-US" w:eastAsia="zh-CN"/>
              </w:rPr>
            </w:pPr>
            <w:r>
              <w:rPr>
                <w:rFonts w:hint="eastAsia"/>
                <w:sz w:val="21"/>
                <w:szCs w:val="21"/>
                <w:lang w:val="en-US" w:eastAsia="zh-CN"/>
              </w:rPr>
              <w:t>荒地</w:t>
            </w:r>
          </w:p>
        </w:tc>
      </w:tr>
      <w:tr>
        <w:tblPrEx>
          <w:tblCellMar>
            <w:top w:w="0" w:type="dxa"/>
            <w:left w:w="108" w:type="dxa"/>
            <w:bottom w:w="0" w:type="dxa"/>
            <w:right w:w="108" w:type="dxa"/>
          </w:tblCellMar>
        </w:tblPrEx>
        <w:trPr>
          <w:trHeight w:val="450" w:hRule="atLeast"/>
          <w:jc w:val="center"/>
        </w:trPr>
        <w:tc>
          <w:tcPr>
            <w:tcW w:w="444" w:type="pct"/>
            <w:tcBorders>
              <w:top w:val="nil"/>
              <w:left w:val="single" w:color="auto" w:sz="4" w:space="0"/>
              <w:bottom w:val="single" w:color="auto" w:sz="4" w:space="0"/>
              <w:right w:val="single" w:color="auto" w:sz="4" w:space="0"/>
            </w:tcBorders>
            <w:shd w:val="clear" w:color="auto" w:fill="auto"/>
            <w:vAlign w:val="center"/>
          </w:tcPr>
          <w:p>
            <w:pPr>
              <w:pStyle w:val="1132"/>
              <w:spacing w:line="240" w:lineRule="auto"/>
              <w:rPr>
                <w:rFonts w:hint="default"/>
                <w:sz w:val="21"/>
                <w:szCs w:val="21"/>
                <w:lang w:val="en-US" w:eastAsia="zh-CN"/>
              </w:rPr>
            </w:pPr>
            <w:r>
              <w:rPr>
                <w:rFonts w:hint="eastAsia"/>
                <w:sz w:val="21"/>
                <w:szCs w:val="21"/>
                <w:lang w:val="en-US" w:eastAsia="zh-CN"/>
              </w:rPr>
              <w:t>6</w:t>
            </w:r>
          </w:p>
        </w:tc>
        <w:tc>
          <w:tcPr>
            <w:tcW w:w="1468" w:type="pct"/>
            <w:tcBorders>
              <w:top w:val="nil"/>
              <w:left w:val="nil"/>
              <w:bottom w:val="single" w:color="auto" w:sz="4" w:space="0"/>
              <w:right w:val="single" w:color="auto" w:sz="4" w:space="0"/>
            </w:tcBorders>
            <w:shd w:val="clear" w:color="auto" w:fill="auto"/>
            <w:vAlign w:val="center"/>
          </w:tcPr>
          <w:p>
            <w:pPr>
              <w:pStyle w:val="1132"/>
              <w:spacing w:line="240" w:lineRule="auto"/>
              <w:rPr>
                <w:rFonts w:hint="default"/>
                <w:sz w:val="21"/>
                <w:szCs w:val="21"/>
                <w:lang w:val="en-US" w:eastAsia="zh-CN"/>
              </w:rPr>
            </w:pPr>
            <w:r>
              <w:rPr>
                <w:rFonts w:hint="eastAsia"/>
                <w:sz w:val="21"/>
                <w:szCs w:val="21"/>
                <w:lang w:val="en-US" w:eastAsia="zh-CN"/>
              </w:rPr>
              <w:t>沥青砼拌合站</w:t>
            </w:r>
          </w:p>
        </w:tc>
        <w:tc>
          <w:tcPr>
            <w:tcW w:w="1214" w:type="pct"/>
            <w:tcBorders>
              <w:top w:val="nil"/>
              <w:left w:val="nil"/>
              <w:bottom w:val="single" w:color="auto" w:sz="4" w:space="0"/>
              <w:right w:val="single" w:color="auto" w:sz="4" w:space="0"/>
            </w:tcBorders>
            <w:shd w:val="clear" w:color="auto" w:fill="auto"/>
            <w:vAlign w:val="center"/>
          </w:tcPr>
          <w:p>
            <w:pPr>
              <w:pStyle w:val="1132"/>
              <w:spacing w:line="240" w:lineRule="auto"/>
              <w:rPr>
                <w:rFonts w:hint="eastAsia"/>
                <w:sz w:val="21"/>
                <w:szCs w:val="21"/>
              </w:rPr>
            </w:pPr>
            <w:r>
              <w:rPr>
                <w:rFonts w:hint="eastAsia"/>
                <w:sz w:val="21"/>
                <w:szCs w:val="21"/>
              </w:rPr>
              <w:t>K5+200</w:t>
            </w:r>
            <w:r>
              <w:rPr>
                <w:rFonts w:hint="eastAsia"/>
                <w:sz w:val="21"/>
                <w:szCs w:val="21"/>
              </w:rPr>
              <w:tab/>
            </w:r>
            <w:r>
              <w:rPr>
                <w:rFonts w:hint="eastAsia"/>
                <w:sz w:val="21"/>
                <w:szCs w:val="21"/>
              </w:rPr>
              <w:tab/>
            </w:r>
          </w:p>
        </w:tc>
        <w:tc>
          <w:tcPr>
            <w:tcW w:w="806"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default" w:eastAsia="宋体"/>
                <w:sz w:val="21"/>
                <w:szCs w:val="21"/>
                <w:lang w:val="en-US" w:eastAsia="zh-CN"/>
              </w:rPr>
            </w:pPr>
            <w:r>
              <w:rPr>
                <w:rFonts w:hint="eastAsia"/>
                <w:sz w:val="21"/>
                <w:szCs w:val="21"/>
                <w:lang w:val="en-US" w:eastAsia="zh-CN"/>
              </w:rPr>
              <w:t>60.0</w:t>
            </w:r>
          </w:p>
        </w:tc>
        <w:tc>
          <w:tcPr>
            <w:tcW w:w="1068"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default" w:eastAsia="宋体"/>
                <w:sz w:val="21"/>
                <w:szCs w:val="21"/>
                <w:lang w:val="en-US" w:eastAsia="zh-CN"/>
              </w:rPr>
            </w:pPr>
            <w:r>
              <w:rPr>
                <w:rFonts w:hint="eastAsia"/>
                <w:sz w:val="21"/>
                <w:szCs w:val="21"/>
                <w:lang w:val="en-US" w:eastAsia="zh-CN"/>
              </w:rPr>
              <w:t>荒地、水塘</w:t>
            </w:r>
          </w:p>
        </w:tc>
      </w:tr>
      <w:tr>
        <w:tblPrEx>
          <w:tblCellMar>
            <w:top w:w="0" w:type="dxa"/>
            <w:left w:w="108" w:type="dxa"/>
            <w:bottom w:w="0" w:type="dxa"/>
            <w:right w:w="108" w:type="dxa"/>
          </w:tblCellMar>
        </w:tblPrEx>
        <w:trPr>
          <w:trHeight w:val="450" w:hRule="atLeast"/>
          <w:jc w:val="center"/>
        </w:trPr>
        <w:tc>
          <w:tcPr>
            <w:tcW w:w="444" w:type="pct"/>
            <w:tcBorders>
              <w:top w:val="nil"/>
              <w:left w:val="single" w:color="auto" w:sz="4" w:space="0"/>
              <w:bottom w:val="single" w:color="auto" w:sz="4" w:space="0"/>
              <w:right w:val="single" w:color="auto" w:sz="4" w:space="0"/>
            </w:tcBorders>
            <w:shd w:val="clear" w:color="auto" w:fill="auto"/>
            <w:vAlign w:val="center"/>
          </w:tcPr>
          <w:p>
            <w:pPr>
              <w:pStyle w:val="1132"/>
              <w:spacing w:line="240" w:lineRule="auto"/>
              <w:rPr>
                <w:rFonts w:hint="eastAsia" w:eastAsia="宋体"/>
                <w:sz w:val="21"/>
                <w:szCs w:val="21"/>
                <w:lang w:eastAsia="zh-CN"/>
              </w:rPr>
            </w:pPr>
            <w:r>
              <w:rPr>
                <w:rFonts w:hint="eastAsia"/>
                <w:sz w:val="21"/>
                <w:szCs w:val="21"/>
                <w:lang w:val="en-US" w:eastAsia="zh-CN"/>
              </w:rPr>
              <w:t>7</w:t>
            </w:r>
          </w:p>
        </w:tc>
        <w:tc>
          <w:tcPr>
            <w:tcW w:w="1468" w:type="pct"/>
            <w:tcBorders>
              <w:top w:val="nil"/>
              <w:left w:val="nil"/>
              <w:bottom w:val="single" w:color="auto" w:sz="4" w:space="0"/>
              <w:right w:val="single" w:color="auto" w:sz="4" w:space="0"/>
            </w:tcBorders>
            <w:shd w:val="clear" w:color="auto" w:fill="auto"/>
            <w:vAlign w:val="center"/>
          </w:tcPr>
          <w:p>
            <w:pPr>
              <w:pStyle w:val="1132"/>
              <w:spacing w:line="240" w:lineRule="auto"/>
              <w:rPr>
                <w:sz w:val="21"/>
                <w:szCs w:val="21"/>
              </w:rPr>
            </w:pPr>
            <w:r>
              <w:rPr>
                <w:rFonts w:hint="eastAsia"/>
                <w:sz w:val="21"/>
                <w:szCs w:val="21"/>
              </w:rPr>
              <w:t>弃土场</w:t>
            </w:r>
          </w:p>
        </w:tc>
        <w:tc>
          <w:tcPr>
            <w:tcW w:w="1214" w:type="pct"/>
            <w:tcBorders>
              <w:top w:val="nil"/>
              <w:left w:val="nil"/>
              <w:bottom w:val="single" w:color="auto" w:sz="4" w:space="0"/>
              <w:right w:val="single" w:color="auto" w:sz="4" w:space="0"/>
            </w:tcBorders>
            <w:shd w:val="clear" w:color="auto" w:fill="auto"/>
            <w:vAlign w:val="center"/>
          </w:tcPr>
          <w:p>
            <w:pPr>
              <w:pStyle w:val="1132"/>
              <w:spacing w:line="240" w:lineRule="auto"/>
              <w:rPr>
                <w:rFonts w:hint="default" w:eastAsia="宋体"/>
                <w:sz w:val="21"/>
                <w:szCs w:val="21"/>
                <w:lang w:val="en-US" w:eastAsia="zh-CN"/>
              </w:rPr>
            </w:pPr>
            <w:r>
              <w:rPr>
                <w:rFonts w:hint="eastAsia"/>
                <w:sz w:val="21"/>
                <w:szCs w:val="21"/>
              </w:rPr>
              <w:t>K</w:t>
            </w:r>
            <w:r>
              <w:rPr>
                <w:sz w:val="21"/>
                <w:szCs w:val="21"/>
              </w:rPr>
              <w:t>1</w:t>
            </w:r>
            <w:r>
              <w:rPr>
                <w:rFonts w:hint="eastAsia"/>
                <w:sz w:val="21"/>
                <w:szCs w:val="21"/>
              </w:rPr>
              <w:t>+</w:t>
            </w:r>
            <w:r>
              <w:rPr>
                <w:rFonts w:hint="eastAsia"/>
                <w:sz w:val="21"/>
                <w:szCs w:val="21"/>
                <w:lang w:val="en-US" w:eastAsia="zh-CN"/>
              </w:rPr>
              <w:t>550</w:t>
            </w:r>
          </w:p>
        </w:tc>
        <w:tc>
          <w:tcPr>
            <w:tcW w:w="806"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default" w:eastAsia="宋体"/>
                <w:sz w:val="21"/>
                <w:szCs w:val="21"/>
                <w:lang w:val="en-US" w:eastAsia="zh-CN"/>
              </w:rPr>
            </w:pPr>
            <w:r>
              <w:rPr>
                <w:sz w:val="21"/>
                <w:szCs w:val="21"/>
              </w:rPr>
              <w:t>1</w:t>
            </w:r>
            <w:r>
              <w:rPr>
                <w:rFonts w:hint="eastAsia"/>
                <w:sz w:val="21"/>
                <w:szCs w:val="21"/>
                <w:lang w:val="en-US" w:eastAsia="zh-CN"/>
              </w:rPr>
              <w:t>2.7</w:t>
            </w:r>
          </w:p>
        </w:tc>
        <w:tc>
          <w:tcPr>
            <w:tcW w:w="1068" w:type="pct"/>
            <w:tcBorders>
              <w:top w:val="nil"/>
              <w:left w:val="nil"/>
              <w:bottom w:val="single" w:color="auto" w:sz="4" w:space="0"/>
              <w:right w:val="single" w:color="auto" w:sz="4" w:space="0"/>
            </w:tcBorders>
            <w:shd w:val="clear" w:color="auto" w:fill="auto"/>
            <w:noWrap/>
            <w:vAlign w:val="center"/>
          </w:tcPr>
          <w:p>
            <w:pPr>
              <w:pStyle w:val="1132"/>
              <w:spacing w:line="240" w:lineRule="auto"/>
              <w:rPr>
                <w:sz w:val="21"/>
                <w:szCs w:val="21"/>
              </w:rPr>
            </w:pPr>
            <w:r>
              <w:rPr>
                <w:rFonts w:hint="eastAsia"/>
                <w:sz w:val="21"/>
                <w:szCs w:val="21"/>
              </w:rPr>
              <w:t>农用地</w:t>
            </w:r>
          </w:p>
        </w:tc>
      </w:tr>
      <w:tr>
        <w:tblPrEx>
          <w:tblCellMar>
            <w:top w:w="0" w:type="dxa"/>
            <w:left w:w="108" w:type="dxa"/>
            <w:bottom w:w="0" w:type="dxa"/>
            <w:right w:w="108" w:type="dxa"/>
          </w:tblCellMar>
        </w:tblPrEx>
        <w:trPr>
          <w:trHeight w:val="270" w:hRule="atLeast"/>
          <w:jc w:val="center"/>
        </w:trPr>
        <w:tc>
          <w:tcPr>
            <w:tcW w:w="3126" w:type="pct"/>
            <w:gridSpan w:val="3"/>
            <w:tcBorders>
              <w:top w:val="nil"/>
              <w:left w:val="single" w:color="auto" w:sz="4" w:space="0"/>
              <w:bottom w:val="single" w:color="auto" w:sz="4" w:space="0"/>
              <w:right w:val="single" w:color="auto" w:sz="4" w:space="0"/>
            </w:tcBorders>
            <w:shd w:val="clear" w:color="auto" w:fill="auto"/>
            <w:noWrap/>
            <w:vAlign w:val="center"/>
          </w:tcPr>
          <w:p>
            <w:pPr>
              <w:pStyle w:val="1132"/>
              <w:spacing w:line="240" w:lineRule="auto"/>
              <w:rPr>
                <w:sz w:val="21"/>
                <w:szCs w:val="21"/>
              </w:rPr>
            </w:pPr>
            <w:r>
              <w:rPr>
                <w:sz w:val="21"/>
                <w:szCs w:val="21"/>
              </w:rPr>
              <w:t>合计</w:t>
            </w:r>
          </w:p>
        </w:tc>
        <w:tc>
          <w:tcPr>
            <w:tcW w:w="806" w:type="pct"/>
            <w:tcBorders>
              <w:top w:val="nil"/>
              <w:left w:val="nil"/>
              <w:bottom w:val="single" w:color="auto" w:sz="4" w:space="0"/>
              <w:right w:val="single" w:color="auto" w:sz="4" w:space="0"/>
            </w:tcBorders>
            <w:shd w:val="clear" w:color="auto" w:fill="auto"/>
            <w:noWrap/>
            <w:vAlign w:val="center"/>
          </w:tcPr>
          <w:p>
            <w:pPr>
              <w:pStyle w:val="1132"/>
              <w:spacing w:line="240" w:lineRule="auto"/>
              <w:rPr>
                <w:rFonts w:hint="default" w:eastAsia="宋体"/>
                <w:sz w:val="21"/>
                <w:szCs w:val="21"/>
                <w:lang w:val="en-US" w:eastAsia="zh-CN"/>
              </w:rPr>
            </w:pPr>
            <w:r>
              <w:rPr>
                <w:rFonts w:hint="eastAsia"/>
                <w:sz w:val="21"/>
                <w:szCs w:val="21"/>
                <w:lang w:val="en-US" w:eastAsia="zh-CN"/>
              </w:rPr>
              <w:t>248.06</w:t>
            </w:r>
          </w:p>
        </w:tc>
        <w:tc>
          <w:tcPr>
            <w:tcW w:w="1068" w:type="pct"/>
            <w:tcBorders>
              <w:top w:val="nil"/>
              <w:left w:val="nil"/>
              <w:bottom w:val="single" w:color="auto" w:sz="4" w:space="0"/>
              <w:right w:val="single" w:color="auto" w:sz="4" w:space="0"/>
            </w:tcBorders>
            <w:shd w:val="clear" w:color="auto" w:fill="auto"/>
            <w:noWrap/>
            <w:vAlign w:val="center"/>
          </w:tcPr>
          <w:p>
            <w:pPr>
              <w:pStyle w:val="1132"/>
              <w:spacing w:line="240" w:lineRule="auto"/>
              <w:rPr>
                <w:sz w:val="21"/>
                <w:szCs w:val="21"/>
              </w:rPr>
            </w:pPr>
            <w:r>
              <w:rPr>
                <w:rFonts w:hint="eastAsia"/>
                <w:sz w:val="21"/>
                <w:szCs w:val="21"/>
              </w:rPr>
              <w:t>/</w:t>
            </w:r>
          </w:p>
        </w:tc>
      </w:tr>
    </w:tbl>
    <w:p>
      <w:pPr>
        <w:pStyle w:val="10"/>
        <w:ind w:firstLine="480"/>
        <w:rPr>
          <w:rFonts w:hint="eastAsia"/>
        </w:rPr>
      </w:pPr>
      <w:r>
        <w:rPr>
          <w:rFonts w:hint="eastAsia"/>
        </w:rPr>
        <w:t>预制梁堆场占地属临时占地，结合“还地于民”目标，场地使用后，清理整平场地，通过对场地原地表耕植土的保存和利用，将原场地清表的耕植土及时回填覆盖至场地上，厚度0.5m并适当拍实，不足部分由路基清表土补足。</w:t>
      </w:r>
    </w:p>
    <w:p>
      <w:pPr>
        <w:pStyle w:val="10"/>
        <w:ind w:firstLine="480"/>
      </w:pPr>
      <w:r>
        <w:rPr>
          <w:rFonts w:hint="eastAsia"/>
        </w:rPr>
        <w:t>（2）</w:t>
      </w:r>
      <w:r>
        <w:t>弃土场</w:t>
      </w:r>
    </w:p>
    <w:p>
      <w:pPr>
        <w:pStyle w:val="10"/>
        <w:ind w:firstLine="480"/>
      </w:pPr>
      <w:r>
        <w:rPr>
          <w:rFonts w:hint="eastAsia"/>
        </w:rPr>
        <w:t>由于本项目挖方量较大，路基填筑可以利用部分挖余方，故不设置取土场。</w:t>
      </w:r>
    </w:p>
    <w:p>
      <w:pPr>
        <w:pStyle w:val="10"/>
        <w:ind w:firstLine="480"/>
        <w:rPr>
          <w:rFonts w:hint="eastAsia"/>
        </w:rPr>
      </w:pPr>
      <w:r>
        <w:t>本项目土石方经过纵向调配后，弃</w:t>
      </w:r>
      <w:r>
        <w:rPr>
          <w:rFonts w:hint="eastAsia"/>
        </w:rPr>
        <w:t>土</w:t>
      </w:r>
      <w:r>
        <w:t>27165m</w:t>
      </w:r>
      <w:r>
        <w:rPr>
          <w:vertAlign w:val="superscript"/>
        </w:rPr>
        <w:t>3</w:t>
      </w:r>
      <w:r>
        <w:t>。</w:t>
      </w:r>
      <w:r>
        <w:rPr>
          <w:rFonts w:hint="eastAsia"/>
        </w:rPr>
        <w:t>弃土场位于K</w:t>
      </w:r>
      <w:r>
        <w:t>1</w:t>
      </w:r>
      <w:r>
        <w:rPr>
          <w:rFonts w:hint="eastAsia"/>
        </w:rPr>
        <w:t>+</w:t>
      </w:r>
      <w:r>
        <w:rPr>
          <w:rFonts w:hint="eastAsia"/>
          <w:lang w:val="en-US" w:eastAsia="zh-CN"/>
        </w:rPr>
        <w:t>550</w:t>
      </w:r>
      <w:r>
        <w:rPr>
          <w:rFonts w:hint="eastAsia"/>
        </w:rPr>
        <w:t>，挖余土石方进行集中堆放。弃土场不涉及自然保护区、饮用水水源保护区等环境敏感区，远离学校，距离最近村庄路圩村距离约</w:t>
      </w:r>
      <w:r>
        <w:rPr>
          <w:rFonts w:hint="eastAsia"/>
          <w:lang w:val="en-US" w:eastAsia="zh-CN"/>
        </w:rPr>
        <w:t>156</w:t>
      </w:r>
      <w:r>
        <w:rPr>
          <w:rFonts w:hint="eastAsia"/>
        </w:rPr>
        <w:t>m，不占用基本农田，选址基本合理。弃土场占地约</w:t>
      </w:r>
      <w:r>
        <w:rPr>
          <w:rFonts w:hint="eastAsia"/>
          <w:lang w:val="en-US" w:eastAsia="zh-CN"/>
        </w:rPr>
        <w:t>12.7</w:t>
      </w:r>
      <w:r>
        <w:rPr>
          <w:rFonts w:hint="eastAsia"/>
        </w:rPr>
        <w:t>亩，平均堆高3m，建设单位应在项目建设完成后将弃土场作还田处理。</w:t>
      </w:r>
    </w:p>
    <w:p>
      <w:pPr>
        <w:pStyle w:val="10"/>
        <w:numPr>
          <w:ilvl w:val="0"/>
          <w:numId w:val="11"/>
        </w:numPr>
        <w:ind w:firstLine="480"/>
        <w:rPr>
          <w:rFonts w:hint="eastAsia"/>
          <w:lang w:val="en-US" w:eastAsia="zh-CN"/>
        </w:rPr>
        <w:sectPr>
          <w:pgSz w:w="11906" w:h="16838"/>
          <w:pgMar w:top="1418" w:right="1418" w:bottom="1418" w:left="1418" w:header="850" w:footer="992" w:gutter="0"/>
          <w:cols w:space="720" w:num="1"/>
          <w:docGrid w:linePitch="312" w:charSpace="0"/>
        </w:sectPr>
      </w:pPr>
      <w:r>
        <w:rPr>
          <w:rFonts w:hint="eastAsia"/>
          <w:lang w:val="en-US" w:eastAsia="zh-CN"/>
        </w:rPr>
        <w:t>临时工程设置情况及合理性分析</w:t>
      </w:r>
    </w:p>
    <w:p>
      <w:pPr>
        <w:pStyle w:val="63"/>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cs="Times New Roman"/>
          <w:b/>
          <w:bCs/>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val="en-US" w:eastAsia="zh-CN"/>
          <w14:textFill>
            <w14:solidFill>
              <w14:schemeClr w14:val="tx1"/>
            </w14:solidFill>
          </w14:textFill>
        </w:rPr>
        <w:t>表</w:t>
      </w:r>
      <w:r>
        <w:rPr>
          <w:rFonts w:hint="eastAsia" w:ascii="Times New Roman" w:cs="Times New Roman"/>
          <w:b/>
          <w:bCs/>
          <w:color w:val="000000" w:themeColor="text1"/>
          <w:lang w:val="en-US" w:eastAsia="zh-CN"/>
          <w14:textFill>
            <w14:solidFill>
              <w14:schemeClr w14:val="tx1"/>
            </w14:solidFill>
          </w14:textFill>
        </w:rPr>
        <w:t xml:space="preserve">3.5-6 </w:t>
      </w:r>
      <w:r>
        <w:rPr>
          <w:rFonts w:hint="eastAsia" w:ascii="Times New Roman" w:hAnsi="Times New Roman" w:cs="Times New Roman"/>
          <w:b/>
          <w:bCs/>
          <w:color w:val="000000" w:themeColor="text1"/>
          <w:lang w:val="en-US" w:eastAsia="zh-CN"/>
          <w14:textFill>
            <w14:solidFill>
              <w14:schemeClr w14:val="tx1"/>
            </w14:solidFill>
          </w14:textFill>
        </w:rPr>
        <w:t xml:space="preserve"> 本工程临时工程设置情况及合理性分析一览表</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089"/>
        <w:gridCol w:w="1883"/>
        <w:gridCol w:w="1619"/>
        <w:gridCol w:w="1493"/>
        <w:gridCol w:w="1490"/>
        <w:gridCol w:w="5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257"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序号</w:t>
            </w:r>
          </w:p>
        </w:tc>
        <w:tc>
          <w:tcPr>
            <w:tcW w:w="382"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工程名称</w:t>
            </w:r>
          </w:p>
        </w:tc>
        <w:tc>
          <w:tcPr>
            <w:tcW w:w="662"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位置地点或桩号</w:t>
            </w:r>
          </w:p>
        </w:tc>
        <w:tc>
          <w:tcPr>
            <w:tcW w:w="569"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bCs/>
                <w:color w:val="000000" w:themeColor="text1"/>
                <w:kern w:val="0"/>
                <w:sz w:val="21"/>
                <w:szCs w:val="21"/>
                <w:lang w:val="en-US" w:eastAsia="zh-CN"/>
                <w14:textFill>
                  <w14:solidFill>
                    <w14:schemeClr w14:val="tx1"/>
                  </w14:solidFill>
                </w14:textFill>
              </w:rPr>
            </w:pPr>
            <w:r>
              <w:rPr>
                <w:rFonts w:hint="eastAsia"/>
                <w:b/>
                <w:bCs/>
                <w:color w:val="000000" w:themeColor="text1"/>
                <w:kern w:val="0"/>
                <w:sz w:val="21"/>
                <w:szCs w:val="21"/>
                <w:lang w:val="en-US" w:eastAsia="zh-CN"/>
                <w14:textFill>
                  <w14:solidFill>
                    <w14:schemeClr w14:val="tx1"/>
                  </w14:solidFill>
                </w14:textFill>
              </w:rPr>
              <w:t>至中线距离(m)</w:t>
            </w:r>
          </w:p>
        </w:tc>
        <w:tc>
          <w:tcPr>
            <w:tcW w:w="525"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bCs/>
                <w:color w:val="000000" w:themeColor="text1"/>
                <w:kern w:val="0"/>
                <w:sz w:val="21"/>
                <w:szCs w:val="21"/>
                <w:lang w:val="en-US" w:eastAsia="zh-CN"/>
                <w14:textFill>
                  <w14:solidFill>
                    <w14:schemeClr w14:val="tx1"/>
                  </w14:solidFill>
                </w14:textFill>
              </w:rPr>
            </w:pPr>
            <w:r>
              <w:rPr>
                <w:rFonts w:hint="eastAsia"/>
                <w:b/>
                <w:bCs/>
                <w:color w:val="000000" w:themeColor="text1"/>
                <w:kern w:val="0"/>
                <w:sz w:val="21"/>
                <w:szCs w:val="21"/>
                <w:lang w:val="en-US" w:eastAsia="zh-CN"/>
                <w14:textFill>
                  <w14:solidFill>
                    <w14:schemeClr w14:val="tx1"/>
                  </w14:solidFill>
                </w14:textFill>
              </w:rPr>
              <w:t>占地面积(亩)</w:t>
            </w:r>
          </w:p>
        </w:tc>
        <w:tc>
          <w:tcPr>
            <w:tcW w:w="523"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bCs/>
                <w:color w:val="000000" w:themeColor="text1"/>
                <w:kern w:val="0"/>
                <w:sz w:val="21"/>
                <w:szCs w:val="21"/>
                <w:lang w:val="en-US" w:eastAsia="zh-CN"/>
                <w14:textFill>
                  <w14:solidFill>
                    <w14:schemeClr w14:val="tx1"/>
                  </w14:solidFill>
                </w14:textFill>
              </w:rPr>
            </w:pPr>
            <w:r>
              <w:rPr>
                <w:rFonts w:hint="eastAsia"/>
                <w:b/>
                <w:bCs/>
                <w:color w:val="000000" w:themeColor="text1"/>
                <w:kern w:val="0"/>
                <w:sz w:val="21"/>
                <w:szCs w:val="21"/>
                <w:lang w:val="en-US" w:eastAsia="zh-CN"/>
                <w14:textFill>
                  <w14:solidFill>
                    <w14:schemeClr w14:val="tx1"/>
                  </w14:solidFill>
                </w14:textFill>
              </w:rPr>
              <w:t>备注</w:t>
            </w:r>
          </w:p>
        </w:tc>
        <w:tc>
          <w:tcPr>
            <w:tcW w:w="2079"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环境合理性分析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257"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38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66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569"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525"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52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c>
          <w:tcPr>
            <w:tcW w:w="2079"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kern w:val="0"/>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7"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000000" w:themeColor="text1"/>
                <w:kern w:val="0"/>
                <w:sz w:val="21"/>
                <w:szCs w:val="21"/>
                <w:lang w:val="en-US" w:eastAsia="zh-CN"/>
                <w14:textFill>
                  <w14:solidFill>
                    <w14:schemeClr w14:val="tx1"/>
                  </w14:solidFill>
                </w14:textFill>
              </w:rPr>
            </w:pPr>
            <w:r>
              <w:rPr>
                <w:color w:val="000000" w:themeColor="text1"/>
                <w:kern w:val="0"/>
                <w:sz w:val="21"/>
                <w:szCs w:val="21"/>
                <w14:textFill>
                  <w14:solidFill>
                    <w14:schemeClr w14:val="tx1"/>
                  </w14:solidFill>
                </w14:textFill>
              </w:rPr>
              <w:t>1</w:t>
            </w:r>
          </w:p>
        </w:tc>
        <w:tc>
          <w:tcPr>
            <w:tcW w:w="3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color w:val="000000" w:themeColor="text1"/>
                <w:kern w:val="0"/>
                <w:sz w:val="21"/>
                <w:szCs w:val="21"/>
                <w:lang w:val="en-US" w:eastAsia="zh-CN"/>
                <w14:textFill>
                  <w14:solidFill>
                    <w14:schemeClr w14:val="tx1"/>
                  </w14:solidFill>
                </w14:textFill>
              </w:rPr>
              <w:t>弃土场</w:t>
            </w:r>
          </w:p>
        </w:tc>
        <w:tc>
          <w:tcPr>
            <w:tcW w:w="66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rPr>
            </w:pPr>
            <w:r>
              <w:rPr>
                <w:rFonts w:hint="eastAsia" w:eastAsia="宋体"/>
                <w:b w:val="0"/>
                <w:bCs w:val="0"/>
                <w:color w:val="000000" w:themeColor="text1"/>
                <w:kern w:val="0"/>
                <w:sz w:val="21"/>
                <w:szCs w:val="21"/>
                <w:lang w:eastAsia="zh-CN"/>
                <w14:textFill>
                  <w14:solidFill>
                    <w14:schemeClr w14:val="tx1"/>
                  </w14:solidFill>
                </w14:textFill>
              </w:rPr>
              <w:t>K</w:t>
            </w:r>
            <w:r>
              <w:rPr>
                <w:rFonts w:hint="eastAsia"/>
                <w:b w:val="0"/>
                <w:bCs w:val="0"/>
                <w:color w:val="000000" w:themeColor="text1"/>
                <w:kern w:val="0"/>
                <w:sz w:val="21"/>
                <w:szCs w:val="21"/>
                <w:lang w:val="en-US" w:eastAsia="zh-CN"/>
                <w14:textFill>
                  <w14:solidFill>
                    <w14:schemeClr w14:val="tx1"/>
                  </w14:solidFill>
                </w14:textFill>
              </w:rPr>
              <w:t>1</w:t>
            </w:r>
            <w:r>
              <w:rPr>
                <w:rFonts w:hint="eastAsia" w:eastAsia="宋体"/>
                <w:b w:val="0"/>
                <w:bCs w:val="0"/>
                <w:color w:val="000000" w:themeColor="text1"/>
                <w:kern w:val="0"/>
                <w:sz w:val="21"/>
                <w:szCs w:val="21"/>
                <w:lang w:eastAsia="zh-CN"/>
                <w14:textFill>
                  <w14:solidFill>
                    <w14:schemeClr w14:val="tx1"/>
                  </w14:solidFill>
                </w14:textFill>
              </w:rPr>
              <w:t>+</w:t>
            </w:r>
            <w:r>
              <w:rPr>
                <w:rFonts w:hint="eastAsia"/>
                <w:b w:val="0"/>
                <w:bCs w:val="0"/>
                <w:color w:val="000000" w:themeColor="text1"/>
                <w:kern w:val="0"/>
                <w:sz w:val="21"/>
                <w:szCs w:val="21"/>
                <w:lang w:val="en-US" w:eastAsia="zh-CN"/>
                <w14:textFill>
                  <w14:solidFill>
                    <w14:schemeClr w14:val="tx1"/>
                  </w14:solidFill>
                </w14:textFill>
              </w:rPr>
              <w:t>550</w:t>
            </w:r>
            <w:r>
              <w:rPr>
                <w:rFonts w:hint="eastAsia"/>
                <w:b w:val="0"/>
                <w:bCs w:val="0"/>
                <w:color w:val="000000" w:themeColor="text1"/>
                <w:kern w:val="0"/>
                <w:sz w:val="21"/>
                <w:szCs w:val="21"/>
                <w:lang w:eastAsia="zh-CN"/>
                <w14:textFill>
                  <w14:solidFill>
                    <w14:schemeClr w14:val="tx1"/>
                  </w14:solidFill>
                </w14:textFill>
              </w:rPr>
              <w:t>（</w:t>
            </w:r>
            <w:r>
              <w:rPr>
                <w:rFonts w:hint="eastAsia"/>
                <w:b w:val="0"/>
                <w:bCs w:val="0"/>
                <w:color w:val="000000" w:themeColor="text1"/>
                <w:kern w:val="0"/>
                <w:sz w:val="21"/>
                <w:szCs w:val="21"/>
                <w:lang w:val="en-US" w:eastAsia="zh-CN"/>
                <w14:textFill>
                  <w14:solidFill>
                    <w14:schemeClr w14:val="tx1"/>
                  </w14:solidFill>
                </w14:textFill>
              </w:rPr>
              <w:t>路左</w:t>
            </w:r>
            <w:r>
              <w:rPr>
                <w:rFonts w:hint="eastAsia"/>
                <w:b w:val="0"/>
                <w:bCs w:val="0"/>
                <w:color w:val="000000" w:themeColor="text1"/>
                <w:kern w:val="0"/>
                <w:sz w:val="21"/>
                <w:szCs w:val="21"/>
                <w:lang w:eastAsia="zh-CN"/>
                <w14:textFill>
                  <w14:solidFill>
                    <w14:schemeClr w14:val="tx1"/>
                  </w14:solidFill>
                </w14:textFill>
              </w:rPr>
              <w:t>）</w:t>
            </w:r>
          </w:p>
        </w:tc>
        <w:tc>
          <w:tcPr>
            <w:tcW w:w="569"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50</w:t>
            </w:r>
          </w:p>
        </w:tc>
        <w:tc>
          <w:tcPr>
            <w:tcW w:w="52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12.7</w:t>
            </w:r>
          </w:p>
        </w:tc>
        <w:tc>
          <w:tcPr>
            <w:tcW w:w="52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包集镇路圩村南侧</w:t>
            </w:r>
          </w:p>
        </w:tc>
        <w:tc>
          <w:tcPr>
            <w:tcW w:w="2079"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距</w:t>
            </w:r>
            <w:r>
              <w:rPr>
                <w:rFonts w:hint="eastAsia"/>
                <w:color w:val="000000" w:themeColor="text1"/>
                <w:sz w:val="21"/>
                <w:szCs w:val="21"/>
                <w:lang w:val="en-US" w:eastAsia="zh-CN"/>
                <w14:textFill>
                  <w14:solidFill>
                    <w14:schemeClr w14:val="tx1"/>
                  </w14:solidFill>
                </w14:textFill>
              </w:rPr>
              <w:t>弃土场</w:t>
            </w:r>
            <w:r>
              <w:rPr>
                <w:rFonts w:hint="eastAsia"/>
                <w:color w:val="000000" w:themeColor="text1"/>
                <w:sz w:val="21"/>
                <w:szCs w:val="21"/>
                <w14:textFill>
                  <w14:solidFill>
                    <w14:schemeClr w14:val="tx1"/>
                  </w14:solidFill>
                </w14:textFill>
              </w:rPr>
              <w:t>最近的敏感目标为</w:t>
            </w:r>
            <w:r>
              <w:rPr>
                <w:rFonts w:hint="eastAsia"/>
                <w:b w:val="0"/>
                <w:bCs w:val="0"/>
                <w:color w:val="000000" w:themeColor="text1"/>
                <w:kern w:val="0"/>
                <w:sz w:val="21"/>
                <w:szCs w:val="21"/>
                <w:lang w:val="en-US" w:eastAsia="zh-CN"/>
                <w14:textFill>
                  <w14:solidFill>
                    <w14:schemeClr w14:val="tx1"/>
                  </w14:solidFill>
                </w14:textFill>
              </w:rPr>
              <w:t>路圩村</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N</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156</w:t>
            </w:r>
            <w:r>
              <w:rPr>
                <w:rFonts w:hint="eastAsia"/>
                <w:color w:val="000000" w:themeColor="text1"/>
                <w:sz w:val="21"/>
                <w:szCs w:val="21"/>
                <w14:textFill>
                  <w14:solidFill>
                    <w14:schemeClr w14:val="tx1"/>
                  </w14:solidFill>
                </w14:textFill>
              </w:rPr>
              <w:t>m），位于</w:t>
            </w:r>
            <w:r>
              <w:rPr>
                <w:rFonts w:hint="eastAsia"/>
                <w:color w:val="000000" w:themeColor="text1"/>
                <w:sz w:val="21"/>
                <w:szCs w:val="21"/>
                <w:lang w:val="en-US" w:eastAsia="zh-CN"/>
                <w14:textFill>
                  <w14:solidFill>
                    <w14:schemeClr w14:val="tx1"/>
                  </w14:solidFill>
                </w14:textFill>
              </w:rPr>
              <w:t>弃土场</w:t>
            </w:r>
            <w:r>
              <w:rPr>
                <w:rFonts w:hint="eastAsia"/>
                <w:color w:val="000000" w:themeColor="text1"/>
                <w:sz w:val="21"/>
                <w:szCs w:val="21"/>
                <w14:textFill>
                  <w14:solidFill>
                    <w14:schemeClr w14:val="tx1"/>
                  </w14:solidFill>
                </w14:textFill>
              </w:rPr>
              <w:t>的</w:t>
            </w:r>
            <w:r>
              <w:rPr>
                <w:rFonts w:hint="eastAsia"/>
                <w:color w:val="000000" w:themeColor="text1"/>
                <w:sz w:val="21"/>
                <w:szCs w:val="21"/>
                <w:lang w:val="en-US" w:eastAsia="zh-CN"/>
                <w14:textFill>
                  <w14:solidFill>
                    <w14:schemeClr w14:val="tx1"/>
                  </w14:solidFill>
                </w14:textFill>
              </w:rPr>
              <w:t>上</w:t>
            </w:r>
            <w:r>
              <w:rPr>
                <w:rFonts w:hint="eastAsia"/>
                <w:color w:val="000000" w:themeColor="text1"/>
                <w:sz w:val="21"/>
                <w:szCs w:val="21"/>
                <w14:textFill>
                  <w14:solidFill>
                    <w14:schemeClr w14:val="tx1"/>
                  </w14:solidFill>
                </w14:textFill>
              </w:rPr>
              <w:t>风向。在做好</w:t>
            </w:r>
            <w:r>
              <w:rPr>
                <w:rFonts w:hint="eastAsia"/>
                <w:color w:val="000000" w:themeColor="text1"/>
                <w:sz w:val="21"/>
                <w:szCs w:val="21"/>
                <w:lang w:val="en-US" w:eastAsia="zh-CN"/>
                <w14:textFill>
                  <w14:solidFill>
                    <w14:schemeClr w14:val="tx1"/>
                  </w14:solidFill>
                </w14:textFill>
              </w:rPr>
              <w:t>施工</w:t>
            </w:r>
            <w:r>
              <w:rPr>
                <w:rFonts w:hint="eastAsia"/>
                <w:color w:val="000000" w:themeColor="text1"/>
                <w:sz w:val="21"/>
                <w:szCs w:val="21"/>
                <w14:textFill>
                  <w14:solidFill>
                    <w14:schemeClr w14:val="tx1"/>
                  </w14:solidFill>
                </w14:textFill>
              </w:rPr>
              <w:t>过程噪声、扬尘污染防治措施及水土保持措施后，选址合理。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7"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2</w:t>
            </w:r>
          </w:p>
        </w:tc>
        <w:tc>
          <w:tcPr>
            <w:tcW w:w="3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sz w:val="21"/>
                <w:szCs w:val="21"/>
                <w:lang w:val="en-US" w:eastAsia="zh-CN"/>
              </w:rPr>
              <w:t>水稳砼拌合站</w:t>
            </w:r>
          </w:p>
        </w:tc>
        <w:tc>
          <w:tcPr>
            <w:tcW w:w="66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sz w:val="21"/>
                <w:szCs w:val="21"/>
              </w:rPr>
              <w:t>K1+920</w:t>
            </w:r>
            <w:r>
              <w:rPr>
                <w:rFonts w:hint="eastAsia"/>
                <w:b w:val="0"/>
                <w:bCs w:val="0"/>
                <w:color w:val="000000" w:themeColor="text1"/>
                <w:kern w:val="0"/>
                <w:sz w:val="21"/>
                <w:szCs w:val="21"/>
                <w:lang w:eastAsia="zh-CN"/>
                <w14:textFill>
                  <w14:solidFill>
                    <w14:schemeClr w14:val="tx1"/>
                  </w14:solidFill>
                </w14:textFill>
              </w:rPr>
              <w:t>（</w:t>
            </w:r>
            <w:r>
              <w:rPr>
                <w:rFonts w:hint="eastAsia"/>
                <w:b w:val="0"/>
                <w:bCs w:val="0"/>
                <w:color w:val="000000" w:themeColor="text1"/>
                <w:kern w:val="0"/>
                <w:sz w:val="21"/>
                <w:szCs w:val="21"/>
                <w:lang w:val="en-US" w:eastAsia="zh-CN"/>
                <w14:textFill>
                  <w14:solidFill>
                    <w14:schemeClr w14:val="tx1"/>
                  </w14:solidFill>
                </w14:textFill>
              </w:rPr>
              <w:t>路左）</w:t>
            </w:r>
          </w:p>
        </w:tc>
        <w:tc>
          <w:tcPr>
            <w:tcW w:w="569"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150</w:t>
            </w:r>
          </w:p>
        </w:tc>
        <w:tc>
          <w:tcPr>
            <w:tcW w:w="52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30.0</w:t>
            </w:r>
          </w:p>
        </w:tc>
        <w:tc>
          <w:tcPr>
            <w:tcW w:w="52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包集镇路圩村西南侧</w:t>
            </w:r>
          </w:p>
        </w:tc>
        <w:tc>
          <w:tcPr>
            <w:tcW w:w="2079"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距</w:t>
            </w:r>
            <w:r>
              <w:rPr>
                <w:rFonts w:hint="eastAsia"/>
                <w:color w:val="000000" w:themeColor="text1"/>
                <w:sz w:val="21"/>
                <w:szCs w:val="21"/>
                <w:lang w:val="en-US" w:eastAsia="zh-CN"/>
                <w14:textFill>
                  <w14:solidFill>
                    <w14:schemeClr w14:val="tx1"/>
                  </w14:solidFill>
                </w14:textFill>
              </w:rPr>
              <w:t>水稳砼拌合站</w:t>
            </w:r>
            <w:r>
              <w:rPr>
                <w:rFonts w:hint="eastAsia"/>
                <w:color w:val="000000" w:themeColor="text1"/>
                <w:sz w:val="21"/>
                <w:szCs w:val="21"/>
                <w14:textFill>
                  <w14:solidFill>
                    <w14:schemeClr w14:val="tx1"/>
                  </w14:solidFill>
                </w14:textFill>
              </w:rPr>
              <w:t>最近的敏感目标为</w:t>
            </w:r>
            <w:r>
              <w:rPr>
                <w:rFonts w:hint="eastAsia"/>
                <w:b w:val="0"/>
                <w:bCs w:val="0"/>
                <w:color w:val="000000" w:themeColor="text1"/>
                <w:kern w:val="0"/>
                <w:sz w:val="21"/>
                <w:szCs w:val="21"/>
                <w:lang w:val="en-US" w:eastAsia="zh-CN"/>
                <w14:textFill>
                  <w14:solidFill>
                    <w14:schemeClr w14:val="tx1"/>
                  </w14:solidFill>
                </w14:textFill>
              </w:rPr>
              <w:t>路圩村</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NE</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328</w:t>
            </w:r>
            <w:r>
              <w:rPr>
                <w:rFonts w:hint="eastAsia"/>
                <w:color w:val="000000" w:themeColor="text1"/>
                <w:sz w:val="21"/>
                <w:szCs w:val="21"/>
                <w14:textFill>
                  <w14:solidFill>
                    <w14:schemeClr w14:val="tx1"/>
                  </w14:solidFill>
                </w14:textFill>
              </w:rPr>
              <w:t>m），位于</w:t>
            </w:r>
            <w:r>
              <w:rPr>
                <w:rFonts w:hint="eastAsia"/>
                <w:color w:val="000000" w:themeColor="text1"/>
                <w:sz w:val="21"/>
                <w:szCs w:val="21"/>
                <w:lang w:val="en-US" w:eastAsia="zh-CN"/>
                <w14:textFill>
                  <w14:solidFill>
                    <w14:schemeClr w14:val="tx1"/>
                  </w14:solidFill>
                </w14:textFill>
              </w:rPr>
              <w:t>水稳砼拌合站</w:t>
            </w:r>
            <w:r>
              <w:rPr>
                <w:rFonts w:hint="eastAsia"/>
                <w:color w:val="000000" w:themeColor="text1"/>
                <w:sz w:val="21"/>
                <w:szCs w:val="21"/>
                <w14:textFill>
                  <w14:solidFill>
                    <w14:schemeClr w14:val="tx1"/>
                  </w14:solidFill>
                </w14:textFill>
              </w:rPr>
              <w:t>的</w:t>
            </w:r>
            <w:r>
              <w:rPr>
                <w:rFonts w:hint="eastAsia"/>
                <w:color w:val="000000" w:themeColor="text1"/>
                <w:sz w:val="21"/>
                <w:szCs w:val="21"/>
                <w:lang w:val="en-US" w:eastAsia="zh-CN"/>
                <w14:textFill>
                  <w14:solidFill>
                    <w14:schemeClr w14:val="tx1"/>
                  </w14:solidFill>
                </w14:textFill>
              </w:rPr>
              <w:t>上</w:t>
            </w:r>
            <w:r>
              <w:rPr>
                <w:rFonts w:hint="eastAsia"/>
                <w:color w:val="000000" w:themeColor="text1"/>
                <w:sz w:val="21"/>
                <w:szCs w:val="21"/>
                <w14:textFill>
                  <w14:solidFill>
                    <w14:schemeClr w14:val="tx1"/>
                  </w14:solidFill>
                </w14:textFill>
              </w:rPr>
              <w:t>风向</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距离满足《公路环境保护设计规范》(JTG B04-2010)的要求</w:t>
            </w:r>
            <w:r>
              <w:rPr>
                <w:rFonts w:hint="eastAsia"/>
                <w:color w:val="000000" w:themeColor="text1"/>
                <w:sz w:val="21"/>
                <w:szCs w:val="21"/>
                <w14:textFill>
                  <w14:solidFill>
                    <w14:schemeClr w14:val="tx1"/>
                  </w14:solidFill>
                </w14:textFill>
              </w:rPr>
              <w:t>。在做好</w:t>
            </w:r>
            <w:r>
              <w:rPr>
                <w:rFonts w:hint="eastAsia"/>
                <w:color w:val="000000" w:themeColor="text1"/>
                <w:sz w:val="21"/>
                <w:szCs w:val="21"/>
                <w:lang w:val="en-US" w:eastAsia="zh-CN"/>
                <w14:textFill>
                  <w14:solidFill>
                    <w14:schemeClr w14:val="tx1"/>
                  </w14:solidFill>
                </w14:textFill>
              </w:rPr>
              <w:t>施工</w:t>
            </w:r>
            <w:r>
              <w:rPr>
                <w:rFonts w:hint="eastAsia"/>
                <w:color w:val="000000" w:themeColor="text1"/>
                <w:sz w:val="21"/>
                <w:szCs w:val="21"/>
                <w14:textFill>
                  <w14:solidFill>
                    <w14:schemeClr w14:val="tx1"/>
                  </w14:solidFill>
                </w14:textFill>
              </w:rPr>
              <w:t>过程噪声、扬尘污染防治措施及水土保持措施后，选址合理。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7"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3</w:t>
            </w:r>
          </w:p>
        </w:tc>
        <w:tc>
          <w:tcPr>
            <w:tcW w:w="382" w:type="pct"/>
            <w:shd w:val="clear" w:color="auto" w:fill="auto"/>
            <w:noWrap/>
            <w:vAlign w:val="center"/>
          </w:tcPr>
          <w:p>
            <w:pPr>
              <w:pStyle w:val="1132"/>
              <w:spacing w:line="240" w:lineRule="auto"/>
              <w:rPr>
                <w:rFonts w:hint="eastAsia"/>
                <w:sz w:val="21"/>
                <w:szCs w:val="21"/>
                <w:lang w:val="en-US" w:eastAsia="zh-CN"/>
              </w:rPr>
            </w:pPr>
            <w:r>
              <w:rPr>
                <w:rFonts w:hint="eastAsia"/>
                <w:sz w:val="21"/>
                <w:szCs w:val="21"/>
                <w:lang w:val="en-US" w:eastAsia="zh-CN"/>
              </w:rPr>
              <w:t>水泥砼拌合站</w:t>
            </w:r>
          </w:p>
        </w:tc>
        <w:tc>
          <w:tcPr>
            <w:tcW w:w="66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rPr>
            </w:pPr>
            <w:r>
              <w:rPr>
                <w:rFonts w:hint="eastAsia"/>
                <w:sz w:val="21"/>
                <w:szCs w:val="21"/>
              </w:rPr>
              <w:t>K2+000</w:t>
            </w:r>
            <w:r>
              <w:rPr>
                <w:rFonts w:hint="eastAsia"/>
                <w:sz w:val="21"/>
                <w:szCs w:val="21"/>
                <w:lang w:eastAsia="zh-CN"/>
              </w:rPr>
              <w:t>（</w:t>
            </w:r>
            <w:r>
              <w:rPr>
                <w:rFonts w:hint="eastAsia"/>
                <w:sz w:val="21"/>
                <w:szCs w:val="21"/>
                <w:lang w:val="en-US" w:eastAsia="zh-CN"/>
              </w:rPr>
              <w:t>路右</w:t>
            </w:r>
            <w:r>
              <w:rPr>
                <w:rFonts w:hint="eastAsia"/>
                <w:sz w:val="21"/>
                <w:szCs w:val="21"/>
                <w:lang w:eastAsia="zh-CN"/>
              </w:rPr>
              <w:t>）</w:t>
            </w:r>
          </w:p>
        </w:tc>
        <w:tc>
          <w:tcPr>
            <w:tcW w:w="569"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185</w:t>
            </w:r>
          </w:p>
        </w:tc>
        <w:tc>
          <w:tcPr>
            <w:tcW w:w="52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15.0</w:t>
            </w:r>
          </w:p>
        </w:tc>
        <w:tc>
          <w:tcPr>
            <w:tcW w:w="52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包集镇路圩村西北侧</w:t>
            </w:r>
          </w:p>
        </w:tc>
        <w:tc>
          <w:tcPr>
            <w:tcW w:w="2079"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距</w:t>
            </w:r>
            <w:r>
              <w:rPr>
                <w:rFonts w:hint="eastAsia"/>
                <w:color w:val="000000" w:themeColor="text1"/>
                <w:sz w:val="21"/>
                <w:szCs w:val="21"/>
                <w:lang w:val="en-US" w:eastAsia="zh-CN"/>
                <w14:textFill>
                  <w14:solidFill>
                    <w14:schemeClr w14:val="tx1"/>
                  </w14:solidFill>
                </w14:textFill>
              </w:rPr>
              <w:t>水泥砼拌合站</w:t>
            </w:r>
            <w:r>
              <w:rPr>
                <w:rFonts w:hint="eastAsia"/>
                <w:color w:val="000000" w:themeColor="text1"/>
                <w:sz w:val="21"/>
                <w:szCs w:val="21"/>
                <w14:textFill>
                  <w14:solidFill>
                    <w14:schemeClr w14:val="tx1"/>
                  </w14:solidFill>
                </w14:textFill>
              </w:rPr>
              <w:t>最近的敏感目标为</w:t>
            </w:r>
            <w:r>
              <w:rPr>
                <w:rFonts w:hint="eastAsia"/>
                <w:b w:val="0"/>
                <w:bCs w:val="0"/>
                <w:color w:val="000000" w:themeColor="text1"/>
                <w:kern w:val="0"/>
                <w:sz w:val="21"/>
                <w:szCs w:val="21"/>
                <w:lang w:val="en-US" w:eastAsia="zh-CN"/>
                <w14:textFill>
                  <w14:solidFill>
                    <w14:schemeClr w14:val="tx1"/>
                  </w14:solidFill>
                </w14:textFill>
              </w:rPr>
              <w:t>路圩村</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SE</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232</w:t>
            </w:r>
            <w:r>
              <w:rPr>
                <w:rFonts w:hint="eastAsia"/>
                <w:color w:val="000000" w:themeColor="text1"/>
                <w:sz w:val="21"/>
                <w:szCs w:val="21"/>
                <w14:textFill>
                  <w14:solidFill>
                    <w14:schemeClr w14:val="tx1"/>
                  </w14:solidFill>
                </w14:textFill>
              </w:rPr>
              <w:t>m），位于</w:t>
            </w:r>
            <w:r>
              <w:rPr>
                <w:rFonts w:hint="eastAsia"/>
                <w:color w:val="000000" w:themeColor="text1"/>
                <w:sz w:val="21"/>
                <w:szCs w:val="21"/>
                <w:lang w:val="en-US" w:eastAsia="zh-CN"/>
                <w14:textFill>
                  <w14:solidFill>
                    <w14:schemeClr w14:val="tx1"/>
                  </w14:solidFill>
                </w14:textFill>
              </w:rPr>
              <w:t>水稳砼拌合站</w:t>
            </w:r>
            <w:r>
              <w:rPr>
                <w:rFonts w:hint="eastAsia"/>
                <w:color w:val="000000" w:themeColor="text1"/>
                <w:sz w:val="21"/>
                <w:szCs w:val="21"/>
                <w14:textFill>
                  <w14:solidFill>
                    <w14:schemeClr w14:val="tx1"/>
                  </w14:solidFill>
                </w14:textFill>
              </w:rPr>
              <w:t>的</w:t>
            </w:r>
            <w:r>
              <w:rPr>
                <w:rFonts w:hint="eastAsia"/>
                <w:color w:val="000000" w:themeColor="text1"/>
                <w:sz w:val="21"/>
                <w:szCs w:val="21"/>
                <w:lang w:val="en-US" w:eastAsia="zh-CN"/>
                <w14:textFill>
                  <w14:solidFill>
                    <w14:schemeClr w14:val="tx1"/>
                  </w14:solidFill>
                </w14:textFill>
              </w:rPr>
              <w:t>侧</w:t>
            </w:r>
            <w:r>
              <w:rPr>
                <w:rFonts w:hint="eastAsia"/>
                <w:color w:val="000000" w:themeColor="text1"/>
                <w:sz w:val="21"/>
                <w:szCs w:val="21"/>
                <w14:textFill>
                  <w14:solidFill>
                    <w14:schemeClr w14:val="tx1"/>
                  </w14:solidFill>
                </w14:textFill>
              </w:rPr>
              <w:t>风向</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距离满足《公路环境保护设计规范》(JTG B04-2010)的要求</w:t>
            </w:r>
            <w:r>
              <w:rPr>
                <w:rFonts w:hint="eastAsia"/>
                <w:color w:val="000000" w:themeColor="text1"/>
                <w:sz w:val="21"/>
                <w:szCs w:val="21"/>
                <w14:textFill>
                  <w14:solidFill>
                    <w14:schemeClr w14:val="tx1"/>
                  </w14:solidFill>
                </w14:textFill>
              </w:rPr>
              <w:t>。在做好</w:t>
            </w:r>
            <w:r>
              <w:rPr>
                <w:rFonts w:hint="eastAsia"/>
                <w:color w:val="000000" w:themeColor="text1"/>
                <w:sz w:val="21"/>
                <w:szCs w:val="21"/>
                <w:lang w:val="en-US" w:eastAsia="zh-CN"/>
                <w14:textFill>
                  <w14:solidFill>
                    <w14:schemeClr w14:val="tx1"/>
                  </w14:solidFill>
                </w14:textFill>
              </w:rPr>
              <w:t>施工</w:t>
            </w:r>
            <w:r>
              <w:rPr>
                <w:rFonts w:hint="eastAsia"/>
                <w:color w:val="000000" w:themeColor="text1"/>
                <w:sz w:val="21"/>
                <w:szCs w:val="21"/>
                <w14:textFill>
                  <w14:solidFill>
                    <w14:schemeClr w14:val="tx1"/>
                  </w14:solidFill>
                </w14:textFill>
              </w:rPr>
              <w:t>过程噪声、扬尘污染防治措施及水土保持措施后，选址合理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7"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4</w:t>
            </w:r>
          </w:p>
        </w:tc>
        <w:tc>
          <w:tcPr>
            <w:tcW w:w="382" w:type="pct"/>
            <w:shd w:val="clear" w:color="auto" w:fill="auto"/>
            <w:noWrap/>
            <w:vAlign w:val="center"/>
          </w:tcPr>
          <w:p>
            <w:pPr>
              <w:pStyle w:val="1132"/>
              <w:spacing w:line="240" w:lineRule="auto"/>
              <w:rPr>
                <w:rFonts w:hint="eastAsia"/>
                <w:sz w:val="21"/>
                <w:szCs w:val="21"/>
                <w:lang w:val="en-US" w:eastAsia="zh-CN"/>
              </w:rPr>
            </w:pPr>
            <w:r>
              <w:rPr>
                <w:rFonts w:hint="eastAsia"/>
                <w:sz w:val="21"/>
                <w:szCs w:val="21"/>
                <w:lang w:val="en-US" w:eastAsia="zh-CN"/>
              </w:rPr>
              <w:t>沥青砼拌合站</w:t>
            </w:r>
          </w:p>
        </w:tc>
        <w:tc>
          <w:tcPr>
            <w:tcW w:w="66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rPr>
            </w:pPr>
            <w:r>
              <w:rPr>
                <w:rFonts w:hint="eastAsia"/>
                <w:sz w:val="21"/>
                <w:szCs w:val="21"/>
              </w:rPr>
              <w:t>K</w:t>
            </w:r>
            <w:r>
              <w:rPr>
                <w:rFonts w:hint="eastAsia"/>
                <w:sz w:val="21"/>
                <w:szCs w:val="21"/>
                <w:lang w:val="en-US" w:eastAsia="zh-CN"/>
              </w:rPr>
              <w:t>2</w:t>
            </w:r>
            <w:r>
              <w:rPr>
                <w:rFonts w:hint="eastAsia"/>
                <w:sz w:val="21"/>
                <w:szCs w:val="21"/>
              </w:rPr>
              <w:t>+</w:t>
            </w:r>
            <w:r>
              <w:rPr>
                <w:rFonts w:hint="eastAsia"/>
                <w:sz w:val="21"/>
                <w:szCs w:val="21"/>
                <w:lang w:val="en-US" w:eastAsia="zh-CN"/>
              </w:rPr>
              <w:t>165</w:t>
            </w:r>
            <w:r>
              <w:rPr>
                <w:rFonts w:hint="eastAsia"/>
                <w:sz w:val="21"/>
                <w:szCs w:val="21"/>
                <w:lang w:eastAsia="zh-CN"/>
              </w:rPr>
              <w:t>（</w:t>
            </w:r>
            <w:r>
              <w:rPr>
                <w:rFonts w:hint="eastAsia"/>
                <w:sz w:val="21"/>
                <w:szCs w:val="21"/>
                <w:lang w:val="en-US" w:eastAsia="zh-CN"/>
              </w:rPr>
              <w:t>路右</w:t>
            </w:r>
            <w:r>
              <w:rPr>
                <w:rFonts w:hint="eastAsia"/>
                <w:sz w:val="21"/>
                <w:szCs w:val="21"/>
                <w:lang w:eastAsia="zh-CN"/>
              </w:rPr>
              <w:t>）</w:t>
            </w:r>
          </w:p>
        </w:tc>
        <w:tc>
          <w:tcPr>
            <w:tcW w:w="569"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145</w:t>
            </w:r>
          </w:p>
        </w:tc>
        <w:tc>
          <w:tcPr>
            <w:tcW w:w="52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60.0</w:t>
            </w:r>
          </w:p>
        </w:tc>
        <w:tc>
          <w:tcPr>
            <w:tcW w:w="52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包集镇路圩村西北侧</w:t>
            </w:r>
          </w:p>
        </w:tc>
        <w:tc>
          <w:tcPr>
            <w:tcW w:w="2079"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距</w:t>
            </w:r>
            <w:r>
              <w:rPr>
                <w:rFonts w:hint="eastAsia"/>
                <w:color w:val="000000" w:themeColor="text1"/>
                <w:sz w:val="21"/>
                <w:szCs w:val="21"/>
                <w:lang w:val="en-US" w:eastAsia="zh-CN"/>
                <w14:textFill>
                  <w14:solidFill>
                    <w14:schemeClr w14:val="tx1"/>
                  </w14:solidFill>
                </w14:textFill>
              </w:rPr>
              <w:t>沥青砼拌合站</w:t>
            </w:r>
            <w:r>
              <w:rPr>
                <w:rFonts w:hint="eastAsia"/>
                <w:color w:val="000000" w:themeColor="text1"/>
                <w:sz w:val="21"/>
                <w:szCs w:val="21"/>
                <w14:textFill>
                  <w14:solidFill>
                    <w14:schemeClr w14:val="tx1"/>
                  </w14:solidFill>
                </w14:textFill>
              </w:rPr>
              <w:t>最近的敏感目标为</w:t>
            </w:r>
            <w:r>
              <w:rPr>
                <w:rFonts w:hint="eastAsia"/>
                <w:b w:val="0"/>
                <w:bCs w:val="0"/>
                <w:color w:val="000000" w:themeColor="text1"/>
                <w:kern w:val="0"/>
                <w:sz w:val="21"/>
                <w:szCs w:val="21"/>
                <w:lang w:val="en-US" w:eastAsia="zh-CN"/>
                <w14:textFill>
                  <w14:solidFill>
                    <w14:schemeClr w14:val="tx1"/>
                  </w14:solidFill>
                </w14:textFill>
              </w:rPr>
              <w:t>路圩村</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SE</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408</w:t>
            </w:r>
            <w:r>
              <w:rPr>
                <w:rFonts w:hint="eastAsia"/>
                <w:color w:val="000000" w:themeColor="text1"/>
                <w:sz w:val="21"/>
                <w:szCs w:val="21"/>
                <w14:textFill>
                  <w14:solidFill>
                    <w14:schemeClr w14:val="tx1"/>
                  </w14:solidFill>
                </w14:textFill>
              </w:rPr>
              <w:t>m），位于</w:t>
            </w:r>
            <w:r>
              <w:rPr>
                <w:rFonts w:hint="eastAsia"/>
                <w:color w:val="000000" w:themeColor="text1"/>
                <w:sz w:val="21"/>
                <w:szCs w:val="21"/>
                <w:lang w:val="en-US" w:eastAsia="zh-CN"/>
                <w14:textFill>
                  <w14:solidFill>
                    <w14:schemeClr w14:val="tx1"/>
                  </w14:solidFill>
                </w14:textFill>
              </w:rPr>
              <w:t>沥青砼拌合站</w:t>
            </w:r>
            <w:r>
              <w:rPr>
                <w:rFonts w:hint="eastAsia"/>
                <w:color w:val="000000" w:themeColor="text1"/>
                <w:sz w:val="21"/>
                <w:szCs w:val="21"/>
                <w14:textFill>
                  <w14:solidFill>
                    <w14:schemeClr w14:val="tx1"/>
                  </w14:solidFill>
                </w14:textFill>
              </w:rPr>
              <w:t>的</w:t>
            </w:r>
            <w:r>
              <w:rPr>
                <w:rFonts w:hint="eastAsia"/>
                <w:color w:val="000000" w:themeColor="text1"/>
                <w:sz w:val="21"/>
                <w:szCs w:val="21"/>
                <w:lang w:val="en-US" w:eastAsia="zh-CN"/>
                <w14:textFill>
                  <w14:solidFill>
                    <w14:schemeClr w14:val="tx1"/>
                  </w14:solidFill>
                </w14:textFill>
              </w:rPr>
              <w:t>侧</w:t>
            </w:r>
            <w:r>
              <w:rPr>
                <w:rFonts w:hint="eastAsia"/>
                <w:color w:val="000000" w:themeColor="text1"/>
                <w:sz w:val="21"/>
                <w:szCs w:val="21"/>
                <w14:textFill>
                  <w14:solidFill>
                    <w14:schemeClr w14:val="tx1"/>
                  </w14:solidFill>
                </w14:textFill>
              </w:rPr>
              <w:t>风向</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距离满足《公路环境保护设计规范》(JTG B04-2010)的要求</w:t>
            </w:r>
            <w:r>
              <w:rPr>
                <w:rFonts w:hint="eastAsia"/>
                <w:color w:val="000000" w:themeColor="text1"/>
                <w:sz w:val="21"/>
                <w:szCs w:val="21"/>
                <w14:textFill>
                  <w14:solidFill>
                    <w14:schemeClr w14:val="tx1"/>
                  </w14:solidFill>
                </w14:textFill>
              </w:rPr>
              <w:t>。在做好</w:t>
            </w:r>
            <w:r>
              <w:rPr>
                <w:rFonts w:hint="eastAsia"/>
                <w:color w:val="000000" w:themeColor="text1"/>
                <w:sz w:val="21"/>
                <w:szCs w:val="21"/>
                <w:lang w:val="en-US" w:eastAsia="zh-CN"/>
                <w14:textFill>
                  <w14:solidFill>
                    <w14:schemeClr w14:val="tx1"/>
                  </w14:solidFill>
                </w14:textFill>
              </w:rPr>
              <w:t>施工</w:t>
            </w:r>
            <w:r>
              <w:rPr>
                <w:rFonts w:hint="eastAsia"/>
                <w:color w:val="000000" w:themeColor="text1"/>
                <w:sz w:val="21"/>
                <w:szCs w:val="21"/>
                <w14:textFill>
                  <w14:solidFill>
                    <w14:schemeClr w14:val="tx1"/>
                  </w14:solidFill>
                </w14:textFill>
              </w:rPr>
              <w:t>过程噪声、扬尘污染防治措施及水土保持措施后，选址合理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7"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5</w:t>
            </w:r>
          </w:p>
        </w:tc>
        <w:tc>
          <w:tcPr>
            <w:tcW w:w="382" w:type="pct"/>
            <w:shd w:val="clear" w:color="auto" w:fill="auto"/>
            <w:noWrap/>
            <w:vAlign w:val="center"/>
          </w:tcPr>
          <w:p>
            <w:pPr>
              <w:pStyle w:val="1132"/>
              <w:spacing w:line="240" w:lineRule="auto"/>
              <w:rPr>
                <w:rFonts w:hint="default"/>
                <w:sz w:val="21"/>
                <w:szCs w:val="21"/>
                <w:lang w:val="en-US" w:eastAsia="zh-CN"/>
              </w:rPr>
            </w:pPr>
            <w:r>
              <w:rPr>
                <w:rFonts w:hint="eastAsia"/>
                <w:sz w:val="21"/>
                <w:szCs w:val="21"/>
                <w:lang w:val="en-US" w:eastAsia="zh-CN"/>
              </w:rPr>
              <w:t>项目部</w:t>
            </w:r>
          </w:p>
        </w:tc>
        <w:tc>
          <w:tcPr>
            <w:tcW w:w="66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K3+222（路右）</w:t>
            </w:r>
          </w:p>
        </w:tc>
        <w:tc>
          <w:tcPr>
            <w:tcW w:w="569"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58</w:t>
            </w:r>
          </w:p>
        </w:tc>
        <w:tc>
          <w:tcPr>
            <w:tcW w:w="52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10.0</w:t>
            </w:r>
          </w:p>
        </w:tc>
        <w:tc>
          <w:tcPr>
            <w:tcW w:w="523"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包集镇汤庄东侧，淝河乡仁和村东北侧</w:t>
            </w:r>
          </w:p>
        </w:tc>
        <w:tc>
          <w:tcPr>
            <w:tcW w:w="2079"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距项目部最近的敏感目标为汤庄（W，25m），位于项目部的下风向，项目部是作为工程人员办公休息的位置，产生的生活垃圾和废水在采取相应环保措施后对周边居民影响较小，选址合理。</w:t>
            </w:r>
          </w:p>
        </w:tc>
      </w:tr>
    </w:tbl>
    <w:p>
      <w:pPr>
        <w:pStyle w:val="10"/>
        <w:numPr>
          <w:ilvl w:val="0"/>
          <w:numId w:val="11"/>
        </w:numPr>
        <w:ind w:firstLine="480"/>
        <w:rPr>
          <w:rFonts w:hint="eastAsia"/>
          <w:lang w:val="en-US" w:eastAsia="zh-CN"/>
        </w:rPr>
        <w:sectPr>
          <w:pgSz w:w="16838" w:h="11906" w:orient="landscape"/>
          <w:pgMar w:top="1418" w:right="1418" w:bottom="1418" w:left="1418" w:header="850" w:footer="992" w:gutter="0"/>
          <w:cols w:space="720" w:num="1"/>
          <w:docGrid w:linePitch="312" w:charSpace="0"/>
        </w:sectPr>
      </w:pPr>
    </w:p>
    <w:p>
      <w:pPr>
        <w:pStyle w:val="9"/>
      </w:pPr>
      <w:bookmarkStart w:id="161" w:name="_Toc12314"/>
      <w:r>
        <w:t>拆迁</w:t>
      </w:r>
      <w:bookmarkEnd w:id="161"/>
    </w:p>
    <w:p>
      <w:pPr>
        <w:pStyle w:val="10"/>
        <w:ind w:firstLine="480"/>
      </w:pPr>
      <w:r>
        <w:t>根据项目</w:t>
      </w:r>
      <w:r>
        <w:rPr>
          <w:rFonts w:hint="eastAsia"/>
        </w:rPr>
        <w:t>设计方案</w:t>
      </w:r>
      <w:r>
        <w:t>，本项目拆迁建筑物的种类和数量见</w:t>
      </w:r>
      <w:r>
        <w:rPr>
          <w:rFonts w:hint="eastAsia"/>
        </w:rPr>
        <w:t>下</w:t>
      </w:r>
      <w:r>
        <w:t>表。</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rPr>
          <w:rFonts w:hint="eastAsia"/>
          <w:lang w:val="en-US" w:eastAsia="zh-CN"/>
        </w:rPr>
        <w:t>7</w:t>
      </w:r>
      <w:r>
        <w:t xml:space="preserve">  本项目主要拆迁建筑物的种类和数量</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8"/>
        <w:gridCol w:w="2083"/>
        <w:gridCol w:w="805"/>
        <w:gridCol w:w="670"/>
        <w:gridCol w:w="752"/>
        <w:gridCol w:w="752"/>
        <w:gridCol w:w="697"/>
        <w:gridCol w:w="715"/>
        <w:gridCol w:w="823"/>
        <w:gridCol w:w="823"/>
        <w:gridCol w:w="5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263" w:type="pct"/>
            <w:vMerge w:val="restart"/>
            <w:tcMar>
              <w:top w:w="15" w:type="dxa"/>
              <w:left w:w="15" w:type="dxa"/>
              <w:right w:w="15" w:type="dxa"/>
            </w:tcMar>
            <w:vAlign w:val="center"/>
          </w:tcPr>
          <w:p>
            <w:pPr>
              <w:pStyle w:val="1132"/>
              <w:rPr>
                <w:b/>
                <w:bCs w:val="0"/>
              </w:rPr>
            </w:pPr>
            <w:r>
              <w:rPr>
                <w:rFonts w:hint="eastAsia"/>
                <w:b/>
                <w:bCs w:val="0"/>
              </w:rPr>
              <w:t>序号</w:t>
            </w:r>
          </w:p>
        </w:tc>
        <w:tc>
          <w:tcPr>
            <w:tcW w:w="1144" w:type="pct"/>
            <w:vMerge w:val="restart"/>
            <w:tcMar>
              <w:top w:w="15" w:type="dxa"/>
              <w:left w:w="15" w:type="dxa"/>
              <w:right w:w="15" w:type="dxa"/>
            </w:tcMar>
            <w:vAlign w:val="center"/>
          </w:tcPr>
          <w:p>
            <w:pPr>
              <w:pStyle w:val="1132"/>
              <w:rPr>
                <w:b/>
                <w:bCs w:val="0"/>
              </w:rPr>
            </w:pPr>
            <w:r>
              <w:rPr>
                <w:rFonts w:hint="eastAsia"/>
                <w:b/>
                <w:bCs w:val="0"/>
              </w:rPr>
              <w:t>起讫桩号</w:t>
            </w:r>
          </w:p>
        </w:tc>
        <w:tc>
          <w:tcPr>
            <w:tcW w:w="442" w:type="pct"/>
            <w:tcMar>
              <w:top w:w="15" w:type="dxa"/>
              <w:left w:w="15" w:type="dxa"/>
              <w:right w:w="15" w:type="dxa"/>
            </w:tcMar>
            <w:vAlign w:val="center"/>
          </w:tcPr>
          <w:p>
            <w:pPr>
              <w:pStyle w:val="1132"/>
              <w:rPr>
                <w:b/>
                <w:bCs w:val="0"/>
              </w:rPr>
            </w:pPr>
            <w:r>
              <w:rPr>
                <w:rFonts w:hint="eastAsia"/>
                <w:b/>
                <w:bCs w:val="0"/>
              </w:rPr>
              <w:t>长度</w:t>
            </w:r>
          </w:p>
        </w:tc>
        <w:tc>
          <w:tcPr>
            <w:tcW w:w="1577" w:type="pct"/>
            <w:gridSpan w:val="4"/>
            <w:tcMar>
              <w:top w:w="15" w:type="dxa"/>
              <w:left w:w="15" w:type="dxa"/>
              <w:right w:w="15" w:type="dxa"/>
            </w:tcMar>
            <w:vAlign w:val="center"/>
          </w:tcPr>
          <w:p>
            <w:pPr>
              <w:pStyle w:val="1132"/>
              <w:rPr>
                <w:b/>
                <w:bCs w:val="0"/>
              </w:rPr>
            </w:pPr>
            <w:r>
              <w:rPr>
                <w:rFonts w:hint="eastAsia"/>
                <w:b/>
                <w:bCs w:val="0"/>
              </w:rPr>
              <w:t>建筑物（平方米）</w:t>
            </w:r>
          </w:p>
        </w:tc>
        <w:tc>
          <w:tcPr>
            <w:tcW w:w="1573" w:type="pct"/>
            <w:gridSpan w:val="4"/>
            <w:tcMar>
              <w:top w:w="15" w:type="dxa"/>
              <w:left w:w="15" w:type="dxa"/>
              <w:right w:w="15" w:type="dxa"/>
            </w:tcMar>
            <w:vAlign w:val="center"/>
          </w:tcPr>
          <w:p>
            <w:pPr>
              <w:pStyle w:val="1132"/>
              <w:rPr>
                <w:b/>
                <w:bCs w:val="0"/>
              </w:rPr>
            </w:pPr>
            <w:r>
              <w:rPr>
                <w:rFonts w:hint="eastAsia"/>
                <w:b/>
                <w:bCs w:val="0"/>
              </w:rPr>
              <w:t>电力、电讯线（根）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263" w:type="pct"/>
            <w:vMerge w:val="continue"/>
            <w:tcMar>
              <w:top w:w="15" w:type="dxa"/>
              <w:left w:w="15" w:type="dxa"/>
              <w:right w:w="15" w:type="dxa"/>
            </w:tcMar>
            <w:vAlign w:val="center"/>
          </w:tcPr>
          <w:p>
            <w:pPr>
              <w:pStyle w:val="1132"/>
            </w:pPr>
          </w:p>
        </w:tc>
        <w:tc>
          <w:tcPr>
            <w:tcW w:w="1144" w:type="pct"/>
            <w:vMerge w:val="continue"/>
            <w:tcMar>
              <w:top w:w="15" w:type="dxa"/>
              <w:left w:w="15" w:type="dxa"/>
              <w:right w:w="15" w:type="dxa"/>
            </w:tcMar>
            <w:vAlign w:val="center"/>
          </w:tcPr>
          <w:p>
            <w:pPr>
              <w:pStyle w:val="1132"/>
            </w:pPr>
          </w:p>
        </w:tc>
        <w:tc>
          <w:tcPr>
            <w:tcW w:w="442" w:type="pct"/>
            <w:tcMar>
              <w:top w:w="15" w:type="dxa"/>
              <w:left w:w="15" w:type="dxa"/>
              <w:right w:w="15" w:type="dxa"/>
            </w:tcMar>
            <w:vAlign w:val="center"/>
          </w:tcPr>
          <w:p>
            <w:pPr>
              <w:pStyle w:val="1132"/>
            </w:pPr>
            <w:r>
              <w:rPr>
                <w:rFonts w:hint="eastAsia"/>
              </w:rPr>
              <w:t>(公里)</w:t>
            </w:r>
          </w:p>
        </w:tc>
        <w:tc>
          <w:tcPr>
            <w:tcW w:w="368" w:type="pct"/>
            <w:tcMar>
              <w:top w:w="15" w:type="dxa"/>
              <w:left w:w="15" w:type="dxa"/>
              <w:right w:w="15" w:type="dxa"/>
            </w:tcMar>
            <w:vAlign w:val="center"/>
          </w:tcPr>
          <w:p>
            <w:pPr>
              <w:pStyle w:val="1132"/>
            </w:pPr>
            <w:r>
              <w:rPr>
                <w:rFonts w:hint="eastAsia"/>
              </w:rPr>
              <w:t>楼房</w:t>
            </w:r>
          </w:p>
        </w:tc>
        <w:tc>
          <w:tcPr>
            <w:tcW w:w="413" w:type="pct"/>
            <w:tcMar>
              <w:top w:w="15" w:type="dxa"/>
              <w:left w:w="15" w:type="dxa"/>
              <w:right w:w="15" w:type="dxa"/>
            </w:tcMar>
            <w:vAlign w:val="center"/>
          </w:tcPr>
          <w:p>
            <w:pPr>
              <w:pStyle w:val="1132"/>
            </w:pPr>
            <w:r>
              <w:rPr>
                <w:rFonts w:hint="eastAsia"/>
              </w:rPr>
              <w:t>砖瓦房</w:t>
            </w:r>
          </w:p>
        </w:tc>
        <w:tc>
          <w:tcPr>
            <w:tcW w:w="413" w:type="pct"/>
            <w:tcMar>
              <w:top w:w="15" w:type="dxa"/>
              <w:left w:w="15" w:type="dxa"/>
              <w:right w:w="15" w:type="dxa"/>
            </w:tcMar>
            <w:vAlign w:val="center"/>
          </w:tcPr>
          <w:p>
            <w:pPr>
              <w:pStyle w:val="1132"/>
            </w:pPr>
            <w:r>
              <w:rPr>
                <w:rFonts w:hint="eastAsia"/>
              </w:rPr>
              <w:t>简易房</w:t>
            </w:r>
          </w:p>
        </w:tc>
        <w:tc>
          <w:tcPr>
            <w:tcW w:w="383" w:type="pct"/>
            <w:tcMar>
              <w:top w:w="15" w:type="dxa"/>
              <w:left w:w="15" w:type="dxa"/>
              <w:right w:w="15" w:type="dxa"/>
            </w:tcMar>
            <w:vAlign w:val="center"/>
          </w:tcPr>
          <w:p>
            <w:pPr>
              <w:pStyle w:val="1132"/>
            </w:pPr>
            <w:r>
              <w:rPr>
                <w:rFonts w:hint="eastAsia"/>
              </w:rPr>
              <w:t>总数</w:t>
            </w:r>
          </w:p>
        </w:tc>
        <w:tc>
          <w:tcPr>
            <w:tcW w:w="393" w:type="pct"/>
            <w:tcMar>
              <w:top w:w="15" w:type="dxa"/>
              <w:left w:w="15" w:type="dxa"/>
              <w:right w:w="15" w:type="dxa"/>
            </w:tcMar>
            <w:vAlign w:val="center"/>
          </w:tcPr>
          <w:p>
            <w:pPr>
              <w:pStyle w:val="1132"/>
            </w:pPr>
            <w:r>
              <w:rPr>
                <w:rFonts w:hint="eastAsia"/>
              </w:rPr>
              <w:t>电力线</w:t>
            </w:r>
          </w:p>
        </w:tc>
        <w:tc>
          <w:tcPr>
            <w:tcW w:w="452" w:type="pct"/>
            <w:tcMar>
              <w:top w:w="15" w:type="dxa"/>
              <w:left w:w="15" w:type="dxa"/>
              <w:right w:w="15" w:type="dxa"/>
            </w:tcMar>
            <w:vAlign w:val="center"/>
          </w:tcPr>
          <w:p>
            <w:pPr>
              <w:pStyle w:val="1132"/>
            </w:pPr>
            <w:r>
              <w:rPr>
                <w:rFonts w:hint="eastAsia"/>
              </w:rPr>
              <w:t>电讯线</w:t>
            </w:r>
          </w:p>
        </w:tc>
        <w:tc>
          <w:tcPr>
            <w:tcW w:w="452" w:type="pct"/>
            <w:tcMar>
              <w:top w:w="15" w:type="dxa"/>
              <w:left w:w="15" w:type="dxa"/>
              <w:right w:w="15" w:type="dxa"/>
            </w:tcMar>
            <w:vAlign w:val="center"/>
          </w:tcPr>
          <w:p>
            <w:pPr>
              <w:pStyle w:val="1132"/>
            </w:pPr>
            <w:r>
              <w:rPr>
                <w:rFonts w:hint="eastAsia"/>
              </w:rPr>
              <w:t>35KV</w:t>
            </w:r>
          </w:p>
          <w:p>
            <w:pPr>
              <w:pStyle w:val="1132"/>
            </w:pPr>
            <w:r>
              <w:rPr>
                <w:rFonts w:hint="eastAsia"/>
              </w:rPr>
              <w:t>高压塔</w:t>
            </w:r>
          </w:p>
        </w:tc>
        <w:tc>
          <w:tcPr>
            <w:tcW w:w="275" w:type="pct"/>
            <w:tcMar>
              <w:top w:w="15" w:type="dxa"/>
              <w:left w:w="15" w:type="dxa"/>
              <w:right w:w="15" w:type="dxa"/>
            </w:tcMar>
            <w:vAlign w:val="center"/>
          </w:tcPr>
          <w:p>
            <w:pPr>
              <w:pStyle w:val="1132"/>
            </w:pPr>
            <w:r>
              <w:rPr>
                <w:rFonts w:hint="eastAsia"/>
              </w:rPr>
              <w:t>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263" w:type="pct"/>
            <w:tcMar>
              <w:top w:w="15" w:type="dxa"/>
              <w:left w:w="15" w:type="dxa"/>
              <w:right w:w="15" w:type="dxa"/>
            </w:tcMar>
            <w:vAlign w:val="center"/>
          </w:tcPr>
          <w:p>
            <w:pPr>
              <w:pStyle w:val="1132"/>
            </w:pPr>
            <w:r>
              <w:rPr>
                <w:rFonts w:hint="eastAsia"/>
              </w:rPr>
              <w:t>1</w:t>
            </w:r>
          </w:p>
        </w:tc>
        <w:tc>
          <w:tcPr>
            <w:tcW w:w="1144" w:type="pct"/>
            <w:tcMar>
              <w:top w:w="15" w:type="dxa"/>
              <w:left w:w="15" w:type="dxa"/>
              <w:right w:w="15" w:type="dxa"/>
            </w:tcMar>
            <w:vAlign w:val="center"/>
          </w:tcPr>
          <w:p>
            <w:pPr>
              <w:pStyle w:val="1132"/>
            </w:pPr>
            <w:r>
              <w:t>K0+000</w:t>
            </w:r>
            <w:r>
              <w:rPr>
                <w:rFonts w:hint="eastAsia"/>
              </w:rPr>
              <w:t>～</w:t>
            </w:r>
            <w:r>
              <w:t>K</w:t>
            </w:r>
            <w:r>
              <w:rPr>
                <w:rFonts w:hint="eastAsia"/>
              </w:rPr>
              <w:t>7</w:t>
            </w:r>
            <w:r>
              <w:t>+</w:t>
            </w:r>
            <w:r>
              <w:rPr>
                <w:rFonts w:hint="eastAsia"/>
              </w:rPr>
              <w:t>700.604</w:t>
            </w:r>
          </w:p>
        </w:tc>
        <w:tc>
          <w:tcPr>
            <w:tcW w:w="442" w:type="pct"/>
            <w:tcMar>
              <w:top w:w="15" w:type="dxa"/>
              <w:left w:w="15" w:type="dxa"/>
              <w:right w:w="15" w:type="dxa"/>
            </w:tcMar>
            <w:vAlign w:val="center"/>
          </w:tcPr>
          <w:p>
            <w:pPr>
              <w:pStyle w:val="1132"/>
            </w:pPr>
            <w:r>
              <w:rPr>
                <w:rFonts w:hint="eastAsia"/>
              </w:rPr>
              <w:t>7.70</w:t>
            </w:r>
          </w:p>
        </w:tc>
        <w:tc>
          <w:tcPr>
            <w:tcW w:w="368" w:type="pct"/>
            <w:tcMar>
              <w:top w:w="15" w:type="dxa"/>
              <w:left w:w="15" w:type="dxa"/>
              <w:right w:w="15" w:type="dxa"/>
            </w:tcMar>
            <w:vAlign w:val="center"/>
          </w:tcPr>
          <w:p>
            <w:pPr>
              <w:pStyle w:val="1132"/>
            </w:pPr>
            <w:r>
              <w:rPr>
                <w:rFonts w:hint="eastAsia"/>
              </w:rPr>
              <w:t>33710</w:t>
            </w:r>
          </w:p>
        </w:tc>
        <w:tc>
          <w:tcPr>
            <w:tcW w:w="413" w:type="pct"/>
            <w:tcMar>
              <w:top w:w="15" w:type="dxa"/>
              <w:left w:w="15" w:type="dxa"/>
              <w:right w:w="15" w:type="dxa"/>
            </w:tcMar>
            <w:vAlign w:val="center"/>
          </w:tcPr>
          <w:p>
            <w:pPr>
              <w:pStyle w:val="1132"/>
            </w:pPr>
            <w:r>
              <w:rPr>
                <w:rFonts w:hint="eastAsia"/>
              </w:rPr>
              <w:t>3180</w:t>
            </w:r>
          </w:p>
        </w:tc>
        <w:tc>
          <w:tcPr>
            <w:tcW w:w="413" w:type="pct"/>
            <w:tcMar>
              <w:top w:w="15" w:type="dxa"/>
              <w:left w:w="15" w:type="dxa"/>
              <w:right w:w="15" w:type="dxa"/>
            </w:tcMar>
            <w:vAlign w:val="center"/>
          </w:tcPr>
          <w:p>
            <w:pPr>
              <w:pStyle w:val="1132"/>
            </w:pPr>
            <w:r>
              <w:rPr>
                <w:rFonts w:hint="eastAsia"/>
              </w:rPr>
              <w:t>1790</w:t>
            </w:r>
          </w:p>
        </w:tc>
        <w:tc>
          <w:tcPr>
            <w:tcW w:w="383" w:type="pct"/>
            <w:tcMar>
              <w:top w:w="15" w:type="dxa"/>
              <w:left w:w="15" w:type="dxa"/>
              <w:right w:w="15" w:type="dxa"/>
            </w:tcMar>
            <w:vAlign w:val="center"/>
          </w:tcPr>
          <w:p>
            <w:pPr>
              <w:pStyle w:val="1132"/>
            </w:pPr>
            <w:r>
              <w:rPr>
                <w:rFonts w:hint="eastAsia"/>
              </w:rPr>
              <w:t>38680</w:t>
            </w:r>
          </w:p>
        </w:tc>
        <w:tc>
          <w:tcPr>
            <w:tcW w:w="393" w:type="pct"/>
            <w:tcMar>
              <w:top w:w="15" w:type="dxa"/>
              <w:left w:w="15" w:type="dxa"/>
              <w:right w:w="15" w:type="dxa"/>
            </w:tcMar>
            <w:vAlign w:val="center"/>
          </w:tcPr>
          <w:p>
            <w:pPr>
              <w:pStyle w:val="1132"/>
            </w:pPr>
            <w:r>
              <w:rPr>
                <w:rFonts w:hint="eastAsia"/>
              </w:rPr>
              <w:t>313</w:t>
            </w:r>
          </w:p>
        </w:tc>
        <w:tc>
          <w:tcPr>
            <w:tcW w:w="452" w:type="pct"/>
            <w:tcMar>
              <w:top w:w="15" w:type="dxa"/>
              <w:left w:w="15" w:type="dxa"/>
              <w:right w:w="15" w:type="dxa"/>
            </w:tcMar>
            <w:vAlign w:val="center"/>
          </w:tcPr>
          <w:p>
            <w:pPr>
              <w:pStyle w:val="1132"/>
            </w:pPr>
            <w:r>
              <w:rPr>
                <w:rFonts w:hint="eastAsia"/>
              </w:rPr>
              <w:t>51</w:t>
            </w:r>
          </w:p>
        </w:tc>
        <w:tc>
          <w:tcPr>
            <w:tcW w:w="452" w:type="pct"/>
            <w:tcMar>
              <w:top w:w="15" w:type="dxa"/>
              <w:left w:w="15" w:type="dxa"/>
              <w:right w:w="15" w:type="dxa"/>
            </w:tcMar>
            <w:vAlign w:val="center"/>
          </w:tcPr>
          <w:p>
            <w:pPr>
              <w:pStyle w:val="1132"/>
            </w:pPr>
            <w:r>
              <w:rPr>
                <w:rFonts w:hint="eastAsia"/>
              </w:rPr>
              <w:t>0</w:t>
            </w:r>
          </w:p>
        </w:tc>
        <w:tc>
          <w:tcPr>
            <w:tcW w:w="275" w:type="pct"/>
            <w:tcMar>
              <w:top w:w="15" w:type="dxa"/>
              <w:left w:w="15" w:type="dxa"/>
              <w:right w:w="15" w:type="dxa"/>
            </w:tcMar>
            <w:vAlign w:val="center"/>
          </w:tcPr>
          <w:p>
            <w:pPr>
              <w:pStyle w:val="1132"/>
            </w:pPr>
            <w:r>
              <w:rPr>
                <w:rFonts w:hint="eastAsia"/>
              </w:rPr>
              <w:t>364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4" w:hRule="atLeast"/>
        </w:trPr>
        <w:tc>
          <w:tcPr>
            <w:tcW w:w="263" w:type="pct"/>
            <w:tcMar>
              <w:top w:w="15" w:type="dxa"/>
              <w:left w:w="15" w:type="dxa"/>
              <w:right w:w="15" w:type="dxa"/>
            </w:tcMar>
            <w:vAlign w:val="center"/>
          </w:tcPr>
          <w:p>
            <w:pPr>
              <w:pStyle w:val="1132"/>
            </w:pPr>
            <w:r>
              <w:rPr>
                <w:rFonts w:hint="eastAsia"/>
              </w:rPr>
              <w:t>2</w:t>
            </w:r>
          </w:p>
        </w:tc>
        <w:tc>
          <w:tcPr>
            <w:tcW w:w="1144" w:type="pct"/>
            <w:tcMar>
              <w:top w:w="15" w:type="dxa"/>
              <w:left w:w="15" w:type="dxa"/>
              <w:right w:w="15" w:type="dxa"/>
            </w:tcMar>
            <w:vAlign w:val="center"/>
          </w:tcPr>
          <w:p>
            <w:pPr>
              <w:pStyle w:val="1132"/>
            </w:pPr>
            <w:r>
              <w:rPr>
                <w:rFonts w:hint="eastAsia"/>
              </w:rPr>
              <w:t>合计</w:t>
            </w:r>
          </w:p>
        </w:tc>
        <w:tc>
          <w:tcPr>
            <w:tcW w:w="442" w:type="pct"/>
            <w:tcMar>
              <w:top w:w="15" w:type="dxa"/>
              <w:left w:w="15" w:type="dxa"/>
              <w:right w:w="15" w:type="dxa"/>
            </w:tcMar>
            <w:vAlign w:val="center"/>
          </w:tcPr>
          <w:p>
            <w:pPr>
              <w:pStyle w:val="1132"/>
            </w:pPr>
            <w:r>
              <w:rPr>
                <w:rFonts w:hint="eastAsia"/>
              </w:rPr>
              <w:t>7.70</w:t>
            </w:r>
          </w:p>
        </w:tc>
        <w:tc>
          <w:tcPr>
            <w:tcW w:w="368" w:type="pct"/>
            <w:tcMar>
              <w:top w:w="15" w:type="dxa"/>
              <w:left w:w="15" w:type="dxa"/>
              <w:right w:w="15" w:type="dxa"/>
            </w:tcMar>
            <w:vAlign w:val="center"/>
          </w:tcPr>
          <w:p>
            <w:pPr>
              <w:pStyle w:val="1132"/>
            </w:pPr>
            <w:r>
              <w:rPr>
                <w:rFonts w:hint="eastAsia"/>
              </w:rPr>
              <w:t>33710</w:t>
            </w:r>
          </w:p>
        </w:tc>
        <w:tc>
          <w:tcPr>
            <w:tcW w:w="413" w:type="pct"/>
            <w:tcMar>
              <w:top w:w="15" w:type="dxa"/>
              <w:left w:w="15" w:type="dxa"/>
              <w:right w:w="15" w:type="dxa"/>
            </w:tcMar>
            <w:vAlign w:val="center"/>
          </w:tcPr>
          <w:p>
            <w:pPr>
              <w:pStyle w:val="1132"/>
            </w:pPr>
            <w:r>
              <w:rPr>
                <w:rFonts w:hint="eastAsia"/>
              </w:rPr>
              <w:t>3180</w:t>
            </w:r>
          </w:p>
        </w:tc>
        <w:tc>
          <w:tcPr>
            <w:tcW w:w="413" w:type="pct"/>
            <w:tcMar>
              <w:top w:w="15" w:type="dxa"/>
              <w:left w:w="15" w:type="dxa"/>
              <w:right w:w="15" w:type="dxa"/>
            </w:tcMar>
            <w:vAlign w:val="center"/>
          </w:tcPr>
          <w:p>
            <w:pPr>
              <w:pStyle w:val="1132"/>
            </w:pPr>
            <w:r>
              <w:rPr>
                <w:rFonts w:hint="eastAsia"/>
              </w:rPr>
              <w:t>1790</w:t>
            </w:r>
          </w:p>
        </w:tc>
        <w:tc>
          <w:tcPr>
            <w:tcW w:w="383" w:type="pct"/>
            <w:tcMar>
              <w:top w:w="15" w:type="dxa"/>
              <w:left w:w="15" w:type="dxa"/>
              <w:right w:w="15" w:type="dxa"/>
            </w:tcMar>
            <w:vAlign w:val="center"/>
          </w:tcPr>
          <w:p>
            <w:pPr>
              <w:pStyle w:val="1132"/>
            </w:pPr>
            <w:r>
              <w:rPr>
                <w:rFonts w:hint="eastAsia"/>
              </w:rPr>
              <w:t>38680</w:t>
            </w:r>
          </w:p>
        </w:tc>
        <w:tc>
          <w:tcPr>
            <w:tcW w:w="393" w:type="pct"/>
            <w:tcMar>
              <w:top w:w="15" w:type="dxa"/>
              <w:left w:w="15" w:type="dxa"/>
              <w:right w:w="15" w:type="dxa"/>
            </w:tcMar>
            <w:vAlign w:val="center"/>
          </w:tcPr>
          <w:p>
            <w:pPr>
              <w:pStyle w:val="1132"/>
            </w:pPr>
            <w:r>
              <w:rPr>
                <w:rFonts w:hint="eastAsia"/>
              </w:rPr>
              <w:t>313</w:t>
            </w:r>
          </w:p>
        </w:tc>
        <w:tc>
          <w:tcPr>
            <w:tcW w:w="452" w:type="pct"/>
            <w:tcMar>
              <w:top w:w="15" w:type="dxa"/>
              <w:left w:w="15" w:type="dxa"/>
              <w:right w:w="15" w:type="dxa"/>
            </w:tcMar>
            <w:vAlign w:val="center"/>
          </w:tcPr>
          <w:p>
            <w:pPr>
              <w:pStyle w:val="1132"/>
            </w:pPr>
            <w:r>
              <w:rPr>
                <w:rFonts w:hint="eastAsia"/>
              </w:rPr>
              <w:t>51</w:t>
            </w:r>
          </w:p>
        </w:tc>
        <w:tc>
          <w:tcPr>
            <w:tcW w:w="452" w:type="pct"/>
            <w:tcMar>
              <w:top w:w="15" w:type="dxa"/>
              <w:left w:w="15" w:type="dxa"/>
              <w:right w:w="15" w:type="dxa"/>
            </w:tcMar>
            <w:vAlign w:val="center"/>
          </w:tcPr>
          <w:p>
            <w:pPr>
              <w:pStyle w:val="1132"/>
            </w:pPr>
            <w:r>
              <w:rPr>
                <w:rFonts w:hint="eastAsia"/>
              </w:rPr>
              <w:t>0</w:t>
            </w:r>
          </w:p>
        </w:tc>
        <w:tc>
          <w:tcPr>
            <w:tcW w:w="275" w:type="pct"/>
            <w:tcMar>
              <w:top w:w="15" w:type="dxa"/>
              <w:left w:w="15" w:type="dxa"/>
              <w:right w:w="15" w:type="dxa"/>
            </w:tcMar>
            <w:vAlign w:val="center"/>
          </w:tcPr>
          <w:p>
            <w:pPr>
              <w:pStyle w:val="1132"/>
            </w:pPr>
            <w:r>
              <w:rPr>
                <w:rFonts w:hint="eastAsia"/>
              </w:rPr>
              <w:t>364</w:t>
            </w:r>
          </w:p>
        </w:tc>
      </w:tr>
    </w:tbl>
    <w:p>
      <w:pPr>
        <w:pStyle w:val="117"/>
        <w:ind w:firstLine="141"/>
        <w:rPr>
          <w:rFonts w:eastAsia="Times New Roman"/>
          <w:color w:val="0070C0"/>
          <w:sz w:val="7"/>
          <w:szCs w:val="7"/>
        </w:rPr>
      </w:pPr>
    </w:p>
    <w:p>
      <w:pPr>
        <w:pStyle w:val="8"/>
        <w:rPr>
          <w:b/>
          <w:bCs/>
        </w:rPr>
      </w:pPr>
      <w:bookmarkStart w:id="162" w:name="_Toc5146"/>
      <w:bookmarkStart w:id="163" w:name="_Toc14030"/>
      <w:r>
        <w:rPr>
          <w:b/>
          <w:bCs/>
        </w:rPr>
        <w:t>土石方</w:t>
      </w:r>
      <w:bookmarkEnd w:id="162"/>
      <w:r>
        <w:rPr>
          <w:b/>
          <w:bCs/>
        </w:rPr>
        <w:t>平衡</w:t>
      </w:r>
      <w:bookmarkEnd w:id="163"/>
    </w:p>
    <w:p>
      <w:pPr>
        <w:pStyle w:val="10"/>
        <w:ind w:firstLine="480"/>
      </w:pPr>
      <w:r>
        <w:rPr>
          <w:rFonts w:hint="eastAsia"/>
        </w:rPr>
        <w:t>根据工可及初步设计的说明，</w:t>
      </w:r>
      <w:bookmarkStart w:id="164" w:name="_Hlk97296249"/>
      <w:r>
        <w:rPr>
          <w:rFonts w:hint="eastAsia"/>
        </w:rPr>
        <w:t>本项目填方约</w:t>
      </w:r>
      <w:r>
        <w:t>446419</w:t>
      </w:r>
      <w:r>
        <w:rPr>
          <w:rFonts w:hint="eastAsia"/>
        </w:rPr>
        <w:t>方，挖方约</w:t>
      </w:r>
      <w:r>
        <w:t>473584</w:t>
      </w:r>
      <w:r>
        <w:rPr>
          <w:rFonts w:hint="eastAsia"/>
        </w:rPr>
        <w:t>方，考虑清淤回填、清表回填、夯实沉降、超宽碾压等情况，本段土石方总体挖余</w:t>
      </w:r>
      <w:r>
        <w:t>27165</w:t>
      </w:r>
      <w:r>
        <w:rPr>
          <w:rFonts w:hint="eastAsia"/>
        </w:rPr>
        <w:t>方</w:t>
      </w:r>
      <w:bookmarkEnd w:id="164"/>
      <w:r>
        <w:rPr>
          <w:rFonts w:hint="eastAsia"/>
        </w:rPr>
        <w:t>。</w:t>
      </w:r>
      <w:bookmarkStart w:id="165" w:name="_Hlk97296266"/>
      <w:r>
        <w:rPr>
          <w:rFonts w:hint="eastAsia"/>
        </w:rPr>
        <w:t>挖余土石方采用集中堆放，施工结束后作还田处理。</w:t>
      </w:r>
      <w:bookmarkEnd w:id="165"/>
      <w:bookmarkStart w:id="166" w:name="_Toc5593"/>
      <w:bookmarkStart w:id="167" w:name="_Toc455016463"/>
    </w:p>
    <w:bookmarkEnd w:id="166"/>
    <w:bookmarkEnd w:id="167"/>
    <w:p>
      <w:pPr>
        <w:pStyle w:val="8"/>
        <w:rPr>
          <w:b/>
          <w:bCs/>
        </w:rPr>
      </w:pPr>
      <w:bookmarkStart w:id="168" w:name="_Toc22087"/>
      <w:bookmarkStart w:id="169" w:name="_Toc303618018"/>
      <w:bookmarkStart w:id="170" w:name="_Toc324777794"/>
      <w:r>
        <w:rPr>
          <w:b/>
          <w:bCs/>
        </w:rPr>
        <w:t>筑路材料及运输条件</w:t>
      </w:r>
      <w:bookmarkEnd w:id="168"/>
    </w:p>
    <w:p>
      <w:pPr>
        <w:pStyle w:val="112"/>
        <w:ind w:firstLine="480"/>
        <w:rPr>
          <w:color w:val="0070C0"/>
        </w:rPr>
      </w:pPr>
      <w:bookmarkStart w:id="171" w:name="_Toc80637070"/>
      <w:bookmarkStart w:id="172" w:name="_Toc228810020"/>
      <w:bookmarkStart w:id="173" w:name="_Toc303618017"/>
      <w:bookmarkStart w:id="174" w:name="_Toc324777793"/>
      <w:bookmarkStart w:id="175" w:name="_Toc202955346"/>
      <w:bookmarkStart w:id="176" w:name="_Toc39460240"/>
      <w:bookmarkStart w:id="177" w:name="_Toc202954982"/>
      <w:bookmarkStart w:id="178" w:name="_Toc244923611"/>
      <w:r>
        <w:rPr>
          <w:rFonts w:hint="eastAsia"/>
        </w:rPr>
        <w:t>（1）筑路材料</w:t>
      </w:r>
    </w:p>
    <w:p>
      <w:pPr>
        <w:widowControl/>
        <w:snapToGrid w:val="0"/>
        <w:ind w:firstLine="480" w:firstLineChars="200"/>
      </w:pPr>
      <w:r>
        <w:rPr>
          <w:rFonts w:hint="eastAsia"/>
        </w:rPr>
        <w:t>1）土石方</w:t>
      </w:r>
    </w:p>
    <w:p>
      <w:pPr>
        <w:snapToGrid w:val="0"/>
        <w:ind w:firstLine="480" w:firstLineChars="200"/>
      </w:pPr>
      <w:r>
        <w:rPr>
          <w:rFonts w:hint="eastAsia"/>
        </w:rPr>
        <w:t>以项目挖方段弃土纵向调运和取土场集中</w:t>
      </w:r>
      <w:r>
        <w:t>取土</w:t>
      </w:r>
      <w:r>
        <w:rPr>
          <w:rFonts w:hint="eastAsia"/>
        </w:rPr>
        <w:t>为主。</w:t>
      </w:r>
    </w:p>
    <w:p>
      <w:pPr>
        <w:widowControl/>
        <w:snapToGrid w:val="0"/>
        <w:ind w:firstLine="480" w:firstLineChars="200"/>
      </w:pPr>
      <w:r>
        <w:rPr>
          <w:rFonts w:hint="eastAsia"/>
        </w:rPr>
        <w:t>2）石料</w:t>
      </w:r>
    </w:p>
    <w:p>
      <w:pPr>
        <w:snapToGrid w:val="0"/>
        <w:ind w:firstLine="480" w:firstLineChars="200"/>
      </w:pPr>
      <w:r>
        <w:rPr>
          <w:rFonts w:hint="eastAsia"/>
        </w:rPr>
        <w:t>本项目域内石料厂分布，储量相对较为丰富，但分布相对不均衡。沿线的小型料厂多因环保考虑停产，仅保留少数规模较大的石料企业，产量可保证工程使用。本项目上面层</w:t>
      </w:r>
      <w:r>
        <w:t>玄武岩可从</w:t>
      </w:r>
      <w:r>
        <w:rPr>
          <w:rFonts w:hint="eastAsia"/>
        </w:rPr>
        <w:t>安徽省来安县独山中正玄武岩有限公司采购，中下</w:t>
      </w:r>
      <w:r>
        <w:t>面层、高标混凝土石料</w:t>
      </w:r>
      <w:r>
        <w:rPr>
          <w:rFonts w:hint="eastAsia"/>
        </w:rPr>
        <w:t>怀远县兴伟石料有限公司、蚌埠市天鑫石料有限公司采购。</w:t>
      </w:r>
    </w:p>
    <w:p>
      <w:pPr>
        <w:widowControl/>
        <w:snapToGrid w:val="0"/>
        <w:ind w:firstLine="480" w:firstLineChars="200"/>
      </w:pPr>
      <w:r>
        <w:rPr>
          <w:rFonts w:hint="eastAsia"/>
        </w:rPr>
        <w:t>3）砂石</w:t>
      </w:r>
    </w:p>
    <w:p>
      <w:pPr>
        <w:snapToGrid w:val="0"/>
        <w:ind w:left="480" w:leftChars="200"/>
      </w:pPr>
      <w:r>
        <w:rPr>
          <w:rFonts w:hint="eastAsia"/>
        </w:rPr>
        <w:t>可在明光市池河西徐码头砂石集散场砂场购买</w:t>
      </w:r>
      <w:r>
        <w:t>，</w:t>
      </w:r>
      <w:r>
        <w:rPr>
          <w:rFonts w:hint="eastAsia"/>
        </w:rPr>
        <w:t>砂砾贮量丰富，运输方便。</w:t>
      </w:r>
    </w:p>
    <w:p>
      <w:pPr>
        <w:snapToGrid w:val="0"/>
        <w:ind w:left="480" w:leftChars="200"/>
      </w:pPr>
      <w:r>
        <w:rPr>
          <w:rFonts w:hint="eastAsia"/>
        </w:rPr>
        <w:t>4）其它筑路材料</w:t>
      </w:r>
    </w:p>
    <w:p>
      <w:pPr>
        <w:snapToGrid w:val="0"/>
        <w:ind w:firstLine="480" w:firstLineChars="200"/>
      </w:pPr>
      <w:r>
        <w:rPr>
          <w:rFonts w:hint="eastAsia"/>
        </w:rPr>
        <w:t>①水泥</w:t>
      </w:r>
    </w:p>
    <w:p>
      <w:pPr>
        <w:snapToGrid w:val="0"/>
        <w:ind w:firstLine="480" w:firstLineChars="200"/>
      </w:pPr>
      <w:r>
        <w:rPr>
          <w:rFonts w:hint="eastAsia"/>
        </w:rPr>
        <w:t>水泥可从安徽省蚌埠市海螺水泥有限公司水泥厂采购。</w:t>
      </w:r>
    </w:p>
    <w:p>
      <w:pPr>
        <w:snapToGrid w:val="0"/>
        <w:ind w:firstLine="480" w:firstLineChars="200"/>
      </w:pPr>
      <w:r>
        <w:rPr>
          <w:rFonts w:hint="eastAsia"/>
        </w:rPr>
        <w:t>②沥青</w:t>
      </w:r>
    </w:p>
    <w:p>
      <w:pPr>
        <w:snapToGrid w:val="0"/>
        <w:ind w:firstLine="480" w:firstLineChars="200"/>
      </w:pPr>
      <w:r>
        <w:rPr>
          <w:rFonts w:hint="eastAsia"/>
        </w:rPr>
        <w:t>可在安徽省蚌埠市国路达道路新材料公司购买。</w:t>
      </w:r>
    </w:p>
    <w:p>
      <w:pPr>
        <w:snapToGrid w:val="0"/>
        <w:ind w:firstLine="480" w:firstLineChars="200"/>
      </w:pPr>
      <w:r>
        <w:rPr>
          <w:rFonts w:hint="eastAsia"/>
        </w:rPr>
        <w:t>③钢材</w:t>
      </w:r>
    </w:p>
    <w:p>
      <w:pPr>
        <w:snapToGrid w:val="0"/>
        <w:ind w:firstLine="480" w:firstLineChars="200"/>
      </w:pPr>
      <w:r>
        <w:rPr>
          <w:rFonts w:hint="eastAsia"/>
        </w:rPr>
        <w:t>钢材可从安徽省马鞍山钢铁公司采购。</w:t>
      </w:r>
    </w:p>
    <w:p>
      <w:pPr>
        <w:snapToGrid w:val="0"/>
        <w:ind w:firstLine="480" w:firstLineChars="200"/>
      </w:pPr>
      <w:r>
        <w:rPr>
          <w:rFonts w:hint="eastAsia"/>
        </w:rPr>
        <w:t>④石灰</w:t>
      </w:r>
    </w:p>
    <w:p>
      <w:pPr>
        <w:snapToGrid w:val="0"/>
        <w:ind w:firstLine="480" w:firstLineChars="200"/>
      </w:pPr>
      <w:r>
        <w:rPr>
          <w:rFonts w:hint="eastAsia"/>
        </w:rPr>
        <w:t>石灰可从当地采购。</w:t>
      </w:r>
    </w:p>
    <w:p>
      <w:pPr>
        <w:snapToGrid w:val="0"/>
        <w:ind w:firstLine="480" w:firstLineChars="200"/>
      </w:pPr>
      <w:r>
        <w:rPr>
          <w:rFonts w:hint="eastAsia"/>
        </w:rPr>
        <w:t>⑤木材</w:t>
      </w:r>
    </w:p>
    <w:p>
      <w:pPr>
        <w:snapToGrid w:val="0"/>
        <w:ind w:firstLine="480" w:firstLineChars="200"/>
      </w:pPr>
      <w:r>
        <w:rPr>
          <w:rFonts w:hint="eastAsia"/>
        </w:rPr>
        <w:t>可从当地木材市场购买。</w:t>
      </w:r>
    </w:p>
    <w:p>
      <w:pPr>
        <w:snapToGrid w:val="0"/>
        <w:ind w:firstLine="480" w:firstLineChars="200"/>
      </w:pPr>
      <w:r>
        <w:rPr>
          <w:rFonts w:hint="eastAsia"/>
        </w:rPr>
        <w:t>⑤工程用水、电</w:t>
      </w:r>
    </w:p>
    <w:p>
      <w:pPr>
        <w:pStyle w:val="112"/>
        <w:ind w:firstLine="480"/>
      </w:pPr>
      <w:r>
        <w:rPr>
          <w:rFonts w:hint="eastAsia"/>
        </w:rPr>
        <w:t>沿线水系发达，工程用水取自沿线的河流、及沟、塘，地下水源也很丰富，所以项目沿线工程用水</w:t>
      </w:r>
      <w:r>
        <w:t>很</w:t>
      </w:r>
      <w:r>
        <w:rPr>
          <w:rFonts w:hint="eastAsia"/>
        </w:rPr>
        <w:t>便。工程用电可与沿线地方电力部门协商，就近解决，并应考虑自配发电机，以备急用。</w:t>
      </w:r>
    </w:p>
    <w:p>
      <w:pPr>
        <w:pStyle w:val="112"/>
        <w:ind w:firstLine="480"/>
      </w:pPr>
      <w:r>
        <w:rPr>
          <w:rFonts w:hint="eastAsia"/>
        </w:rPr>
        <w:t>（2）运输条件</w:t>
      </w:r>
    </w:p>
    <w:p>
      <w:pPr>
        <w:snapToGrid w:val="0"/>
        <w:ind w:firstLine="480" w:firstLineChars="200"/>
      </w:pPr>
      <w:r>
        <w:rPr>
          <w:rFonts w:hint="eastAsia"/>
        </w:rPr>
        <w:t>项目位于怀远县，周边</w:t>
      </w:r>
      <w:r>
        <w:t>路网发达，</w:t>
      </w:r>
      <w:r>
        <w:rPr>
          <w:rFonts w:hint="eastAsia"/>
        </w:rPr>
        <w:t>沿线</w:t>
      </w:r>
      <w:r>
        <w:t>高速、国省干线主要有</w:t>
      </w:r>
      <w:r>
        <w:rPr>
          <w:rFonts w:hint="eastAsia"/>
        </w:rPr>
        <w:t>京台</w:t>
      </w:r>
      <w:r>
        <w:t>高速、G206、S419</w:t>
      </w:r>
      <w:r>
        <w:rPr>
          <w:rFonts w:hint="eastAsia"/>
        </w:rPr>
        <w:t>等，必要时结合农村路网改造修建施工便道、便桥进行筑路材料运输，筑路材料可采用汽输，运输条件便利。</w:t>
      </w:r>
    </w:p>
    <w:bookmarkEnd w:id="171"/>
    <w:bookmarkEnd w:id="172"/>
    <w:bookmarkEnd w:id="173"/>
    <w:bookmarkEnd w:id="174"/>
    <w:bookmarkEnd w:id="175"/>
    <w:bookmarkEnd w:id="176"/>
    <w:bookmarkEnd w:id="177"/>
    <w:bookmarkEnd w:id="178"/>
    <w:p>
      <w:pPr>
        <w:pStyle w:val="8"/>
        <w:rPr>
          <w:b/>
          <w:bCs/>
        </w:rPr>
      </w:pPr>
      <w:bookmarkStart w:id="179" w:name="_Toc847"/>
      <w:r>
        <w:rPr>
          <w:b/>
          <w:bCs/>
        </w:rPr>
        <w:t>实施方案</w:t>
      </w:r>
      <w:bookmarkEnd w:id="179"/>
    </w:p>
    <w:p>
      <w:pPr>
        <w:pStyle w:val="9"/>
      </w:pPr>
      <w:bookmarkStart w:id="180" w:name="_Toc10059"/>
      <w:r>
        <w:t>前期准备工作</w:t>
      </w:r>
      <w:bookmarkEnd w:id="180"/>
    </w:p>
    <w:p>
      <w:pPr>
        <w:pStyle w:val="10"/>
        <w:ind w:firstLine="480"/>
      </w:pPr>
      <w:r>
        <w:t>包括恢复中线、临时工程、平整清理场地、材料的采购和运输等。除材料的采购和运输基本贯穿整个工程外，其他的工作要在202</w:t>
      </w:r>
      <w:r>
        <w:rPr>
          <w:rFonts w:hint="eastAsia"/>
        </w:rPr>
        <w:t>3</w:t>
      </w:r>
      <w:r>
        <w:t>年</w:t>
      </w:r>
      <w:r>
        <w:rPr>
          <w:rFonts w:hint="eastAsia"/>
        </w:rPr>
        <w:t>上半年</w:t>
      </w:r>
      <w:r>
        <w:t>完成。</w:t>
      </w:r>
    </w:p>
    <w:p>
      <w:pPr>
        <w:pStyle w:val="112"/>
        <w:ind w:firstLine="480"/>
      </w:pPr>
      <w:r>
        <w:rPr>
          <w:rFonts w:hint="eastAsia"/>
        </w:rPr>
        <w:t>（</w:t>
      </w:r>
      <w:r>
        <w:t>1</w:t>
      </w:r>
      <w:r>
        <w:rPr>
          <w:rFonts w:hint="eastAsia"/>
        </w:rPr>
        <w:t>）临时工程</w:t>
      </w:r>
    </w:p>
    <w:p>
      <w:pPr>
        <w:pStyle w:val="112"/>
        <w:ind w:firstLine="480"/>
        <w:rPr>
          <w:rFonts w:ascii="宋体" w:hAnsi="宋体"/>
          <w:kern w:val="44"/>
          <w:szCs w:val="20"/>
        </w:rPr>
      </w:pPr>
      <w:r>
        <w:rPr>
          <w:rFonts w:ascii="宋体" w:hAnsi="宋体"/>
          <w:kern w:val="44"/>
          <w:szCs w:val="20"/>
        </w:rPr>
        <w:t>主要完成便道、临时房屋和工棚、临时电力、电讯线路以及生产、生活用水池、水管、划定取弃土场等工作。</w:t>
      </w:r>
    </w:p>
    <w:p>
      <w:pPr>
        <w:pStyle w:val="112"/>
        <w:ind w:firstLine="480"/>
      </w:pPr>
      <w:r>
        <w:rPr>
          <w:rFonts w:hint="eastAsia"/>
        </w:rPr>
        <w:t>（</w:t>
      </w:r>
      <w:r>
        <w:t>2</w:t>
      </w:r>
      <w:r>
        <w:rPr>
          <w:rFonts w:hint="eastAsia"/>
        </w:rPr>
        <w:t>）平整、清理场地</w:t>
      </w:r>
    </w:p>
    <w:p>
      <w:pPr>
        <w:pStyle w:val="112"/>
        <w:ind w:firstLine="480"/>
        <w:rPr>
          <w:color w:val="0070C0"/>
        </w:rPr>
      </w:pPr>
      <w:r>
        <w:rPr>
          <w:rFonts w:ascii="宋体" w:hAnsi="宋体"/>
          <w:kern w:val="44"/>
          <w:szCs w:val="20"/>
        </w:rPr>
        <w:t>主要进行平整场地、砍树挖根、锄草、挖除表土、排除积水、挖除淤泥、回填、碾压等。场地平整中尤其应注意抓紧预制场地的平整准备工作，保证与后续材料、机械设备进出场合理衔接；应及时开挖临时排水沟，以免在雨季来临时引起水土流失或影响施工进度</w:t>
      </w:r>
      <w:r>
        <w:rPr>
          <w:rFonts w:hint="eastAsia"/>
          <w:color w:val="0070C0"/>
        </w:rPr>
        <w:t>。</w:t>
      </w:r>
    </w:p>
    <w:p>
      <w:pPr>
        <w:pStyle w:val="112"/>
        <w:ind w:firstLine="480"/>
      </w:pPr>
      <w:r>
        <w:rPr>
          <w:rFonts w:hint="eastAsia"/>
        </w:rPr>
        <w:t>（</w:t>
      </w:r>
      <w:r>
        <w:t>3</w:t>
      </w:r>
      <w:r>
        <w:rPr>
          <w:rFonts w:hint="eastAsia"/>
        </w:rPr>
        <w:t>）材料采购及运输</w:t>
      </w:r>
    </w:p>
    <w:p>
      <w:pPr>
        <w:adjustRightInd w:val="0"/>
        <w:ind w:firstLine="480"/>
        <w:textAlignment w:val="baseline"/>
        <w:rPr>
          <w:rFonts w:ascii="宋体" w:hAnsi="宋体"/>
          <w:kern w:val="44"/>
          <w:szCs w:val="20"/>
        </w:rPr>
      </w:pPr>
      <w:r>
        <w:rPr>
          <w:rFonts w:hint="eastAsia" w:ascii="宋体" w:hAnsi="宋体"/>
          <w:kern w:val="44"/>
          <w:szCs w:val="20"/>
        </w:rPr>
        <w:t>本项目筑路材料基本均需外购。各种筑路材料的品种、规格、质量，应符合设计要求。一般就近移挖作填，施工单位对设计提出的弃土场，在实施时，应详加核实，与地方取得一致意见，并制定具体的弃土计划，并经济合理地调运工程用土。</w:t>
      </w:r>
    </w:p>
    <w:p>
      <w:pPr>
        <w:pStyle w:val="112"/>
        <w:ind w:firstLine="480"/>
        <w:rPr>
          <w:color w:val="0070C0"/>
        </w:rPr>
      </w:pPr>
      <w:r>
        <w:rPr>
          <w:rFonts w:hint="eastAsia" w:ascii="宋体" w:hAnsi="宋体"/>
          <w:kern w:val="44"/>
          <w:szCs w:val="20"/>
        </w:rPr>
        <w:t>材料一般以汽车运输为主，也可部分利用地方运输方式，施工单位对各种材料的规格、用量、临时堆放场地等，均需作出合理的安排调运计划，注意工程项目的先后衔接，保证筑路材料及时满足工程所需</w:t>
      </w:r>
      <w:r>
        <w:rPr>
          <w:rFonts w:hint="eastAsia"/>
        </w:rPr>
        <w:t>。</w:t>
      </w:r>
    </w:p>
    <w:p>
      <w:pPr>
        <w:pStyle w:val="9"/>
      </w:pPr>
      <w:bookmarkStart w:id="181" w:name="_Toc4560"/>
      <w:r>
        <w:t>路基工程</w:t>
      </w:r>
      <w:bookmarkEnd w:id="181"/>
    </w:p>
    <w:p>
      <w:pPr>
        <w:pStyle w:val="112"/>
        <w:ind w:firstLine="480"/>
        <w:rPr>
          <w:color w:val="0070C0"/>
        </w:rPr>
      </w:pPr>
      <w:r>
        <w:rPr>
          <w:rFonts w:ascii="宋体" w:hAnsi="宋体"/>
          <w:kern w:val="44"/>
          <w:szCs w:val="20"/>
        </w:rPr>
        <w:t>包括路基土方的填筑、开挖、调运、路基的排水、防护等</w:t>
      </w:r>
      <w:r>
        <w:rPr>
          <w:rFonts w:hint="eastAsia"/>
          <w:color w:val="0070C0"/>
        </w:rPr>
        <w:t>。</w:t>
      </w:r>
    </w:p>
    <w:p>
      <w:pPr>
        <w:pStyle w:val="10"/>
        <w:ind w:firstLine="480"/>
      </w:pPr>
      <w:r>
        <w:rPr>
          <w:rFonts w:hint="eastAsia"/>
        </w:rPr>
        <w:t>（1）土石方工程</w:t>
      </w:r>
    </w:p>
    <w:p>
      <w:pPr>
        <w:adjustRightInd w:val="0"/>
        <w:ind w:firstLine="480" w:firstLineChars="200"/>
        <w:textAlignment w:val="baseline"/>
        <w:rPr>
          <w:rFonts w:ascii="宋体" w:hAnsi="宋体"/>
          <w:kern w:val="44"/>
          <w:szCs w:val="20"/>
          <w:lang w:val="en-GB"/>
        </w:rPr>
      </w:pPr>
      <w:r>
        <w:rPr>
          <w:rFonts w:ascii="宋体" w:hAnsi="宋体"/>
          <w:kern w:val="44"/>
          <w:szCs w:val="20"/>
        </w:rPr>
        <w:t>本段路基土</w:t>
      </w:r>
      <w:r>
        <w:rPr>
          <w:rFonts w:hint="eastAsia" w:ascii="宋体" w:hAnsi="宋体"/>
          <w:kern w:val="44"/>
          <w:szCs w:val="20"/>
        </w:rPr>
        <w:t>石</w:t>
      </w:r>
      <w:r>
        <w:rPr>
          <w:rFonts w:ascii="宋体" w:hAnsi="宋体"/>
          <w:kern w:val="44"/>
          <w:szCs w:val="20"/>
        </w:rPr>
        <w:t>方采用机械施工，路基施工应严格按照《公路路基施工技术规范》及设计要求进行，尤其要加强分层检验，确保填土压实，采用重型碾压，机械化施工。</w:t>
      </w:r>
    </w:p>
    <w:p>
      <w:pPr>
        <w:pStyle w:val="10"/>
        <w:ind w:firstLine="480"/>
      </w:pPr>
      <w:r>
        <w:rPr>
          <w:rFonts w:hint="eastAsia"/>
        </w:rPr>
        <w:t>（2）防护、排水工程</w:t>
      </w:r>
    </w:p>
    <w:p>
      <w:pPr>
        <w:pStyle w:val="112"/>
        <w:ind w:firstLine="480"/>
        <w:rPr>
          <w:color w:val="0070C0"/>
        </w:rPr>
      </w:pPr>
      <w:r>
        <w:rPr>
          <w:rFonts w:hint="eastAsia" w:ascii="宋体" w:hAnsi="宋体"/>
          <w:kern w:val="44"/>
          <w:szCs w:val="20"/>
        </w:rPr>
        <w:t>排水工程</w:t>
      </w:r>
      <w:r>
        <w:rPr>
          <w:rFonts w:ascii="宋体" w:hAnsi="宋体"/>
          <w:kern w:val="44"/>
          <w:szCs w:val="20"/>
        </w:rPr>
        <w:t>应在路基工程同时进行，路基防护工程主要是石料等材料准备及浆砌工程，可在土方工程实施后同时进行，并将延续至工程最后阶段。防护、排水工程施工应注意与桥涵工程、绿化工程的配合，尽量抢在雨季前基本完成绿化和排水系统。</w:t>
      </w:r>
    </w:p>
    <w:p>
      <w:pPr>
        <w:pStyle w:val="9"/>
      </w:pPr>
      <w:bookmarkStart w:id="182" w:name="_Toc1987"/>
      <w:r>
        <w:rPr>
          <w:rFonts w:hint="eastAsia"/>
        </w:rPr>
        <w:t>路面工程</w:t>
      </w:r>
      <w:bookmarkEnd w:id="182"/>
    </w:p>
    <w:p>
      <w:pPr>
        <w:adjustRightInd w:val="0"/>
        <w:ind w:firstLine="480"/>
        <w:textAlignment w:val="baseline"/>
        <w:rPr>
          <w:rFonts w:ascii="宋体" w:hAnsi="宋体"/>
          <w:kern w:val="44"/>
          <w:szCs w:val="20"/>
        </w:rPr>
      </w:pPr>
      <w:r>
        <w:rPr>
          <w:rFonts w:ascii="宋体" w:hAnsi="宋体"/>
          <w:kern w:val="44"/>
          <w:szCs w:val="20"/>
        </w:rPr>
        <w:t>路面工程开工前，首先要验收路基修筑质量（包括标高、路拱度、压实度等），确认合格后，方可进行该项目施工。</w:t>
      </w:r>
    </w:p>
    <w:p>
      <w:pPr>
        <w:pStyle w:val="112"/>
        <w:ind w:firstLine="480"/>
        <w:rPr>
          <w:color w:val="0070C0"/>
        </w:rPr>
      </w:pPr>
      <w:r>
        <w:rPr>
          <w:rFonts w:ascii="宋体" w:hAnsi="宋体"/>
          <w:kern w:val="44"/>
          <w:szCs w:val="20"/>
        </w:rPr>
        <w:t>当大部分路基峻工后，可开始底基层施工。本</w:t>
      </w:r>
      <w:r>
        <w:rPr>
          <w:rFonts w:hint="eastAsia" w:ascii="宋体" w:hAnsi="宋体"/>
          <w:kern w:val="44"/>
          <w:szCs w:val="20"/>
        </w:rPr>
        <w:t>项目</w:t>
      </w:r>
      <w:r>
        <w:rPr>
          <w:rFonts w:ascii="宋体" w:hAnsi="宋体"/>
          <w:kern w:val="44"/>
          <w:szCs w:val="20"/>
        </w:rPr>
        <w:t>采用沥青混凝土路面，施工中应严格按照《沥青混凝土路面施工及验收标准》设计要求进行。路面各结构层的材料满足设计要求，施工单位要进行相应的试验，并及时为施工现场提供数据，并随时检查工程质量，为保证路面基底层质量，要求对水泥稳定类基层采用机械集中拌和的方法，然后用机械配合人工摊铺碾压，面层采用大型机械摊铺成型设备，集中拌和，确保工程质量</w:t>
      </w:r>
    </w:p>
    <w:p>
      <w:pPr>
        <w:pStyle w:val="9"/>
      </w:pPr>
      <w:bookmarkStart w:id="183" w:name="_Toc6800"/>
      <w:r>
        <w:t>桥涵工程</w:t>
      </w:r>
      <w:bookmarkEnd w:id="183"/>
    </w:p>
    <w:p>
      <w:pPr>
        <w:pStyle w:val="10"/>
        <w:ind w:firstLine="480"/>
      </w:pPr>
      <w:r>
        <w:rPr>
          <w:rFonts w:hint="eastAsia"/>
        </w:rPr>
        <w:t>（1）桥梁</w:t>
      </w:r>
    </w:p>
    <w:p>
      <w:pPr>
        <w:adjustRightInd w:val="0"/>
        <w:snapToGrid w:val="0"/>
        <w:ind w:firstLine="422" w:firstLineChars="176"/>
        <w:textAlignment w:val="baseline"/>
        <w:rPr>
          <w:kern w:val="44"/>
          <w:szCs w:val="20"/>
        </w:rPr>
      </w:pPr>
      <w:r>
        <w:rPr>
          <w:rFonts w:hint="eastAsia"/>
          <w:kern w:val="44"/>
          <w:szCs w:val="20"/>
        </w:rPr>
        <w:t>1）本项目桥梁尽量采用标准跨径，施工方法以预制装配为主，为保证工程质量和工程进度，建议工程施工选用专有相应施工经验，并自备大型设备的专业队伍。</w:t>
      </w:r>
    </w:p>
    <w:p>
      <w:pPr>
        <w:adjustRightInd w:val="0"/>
        <w:snapToGrid w:val="0"/>
        <w:ind w:firstLine="422" w:firstLineChars="176"/>
        <w:textAlignment w:val="baseline"/>
        <w:rPr>
          <w:kern w:val="44"/>
          <w:szCs w:val="20"/>
        </w:rPr>
      </w:pPr>
      <w:r>
        <w:rPr>
          <w:rFonts w:hint="eastAsia"/>
          <w:kern w:val="44"/>
          <w:szCs w:val="20"/>
        </w:rPr>
        <w:t>2）桥涵工程应安排在枯水季节，桥梁施工围堰、便桥等应结合当地施工水位设置。桥梁施工应对当地水系及灌溉系统进行保护，或者临时保通措施，避免影响当地农田水利灌溉。桥梁施工应结合周边地势、地形及可能发生的地质灾害做好应急预案，或者进行临时支挡工程，给桥梁施工创造一个安全、环保的良好环境。</w:t>
      </w:r>
    </w:p>
    <w:p>
      <w:pPr>
        <w:adjustRightInd w:val="0"/>
        <w:snapToGrid w:val="0"/>
        <w:ind w:firstLine="422" w:firstLineChars="176"/>
        <w:textAlignment w:val="baseline"/>
        <w:rPr>
          <w:kern w:val="44"/>
          <w:szCs w:val="20"/>
        </w:rPr>
      </w:pPr>
      <w:r>
        <w:rPr>
          <w:rFonts w:hint="eastAsia"/>
          <w:kern w:val="44"/>
          <w:szCs w:val="20"/>
        </w:rPr>
        <w:t>3）桥涵上部构造，结构型式一致的，为加快工程进度，确保工程质量，必须集中预制。</w:t>
      </w:r>
    </w:p>
    <w:p>
      <w:pPr>
        <w:adjustRightInd w:val="0"/>
        <w:snapToGrid w:val="0"/>
        <w:ind w:firstLine="422" w:firstLineChars="176"/>
        <w:textAlignment w:val="baseline"/>
        <w:rPr>
          <w:kern w:val="44"/>
          <w:szCs w:val="20"/>
        </w:rPr>
      </w:pPr>
      <w:r>
        <w:rPr>
          <w:rFonts w:hint="eastAsia"/>
          <w:kern w:val="44"/>
          <w:szCs w:val="20"/>
        </w:rPr>
        <w:t>4）桥梁下部结构，结合地形、地势进行设置，施工时尽量避免大面积的开挖改变原有坡体稳定，造成不良地质灾害、给桥涵安全及地方生产生活安全造成不安全因素。</w:t>
      </w:r>
    </w:p>
    <w:p>
      <w:pPr>
        <w:pStyle w:val="10"/>
        <w:ind w:firstLine="480"/>
      </w:pPr>
      <w:r>
        <w:rPr>
          <w:rFonts w:hint="eastAsia"/>
        </w:rPr>
        <w:t>（2）涵洞</w:t>
      </w:r>
    </w:p>
    <w:p>
      <w:pPr>
        <w:pStyle w:val="10"/>
        <w:ind w:firstLine="480"/>
      </w:pPr>
      <w:r>
        <w:rPr>
          <w:rFonts w:hint="eastAsia" w:hAnsi="宋体"/>
          <w:kern w:val="44"/>
          <w:szCs w:val="20"/>
        </w:rPr>
        <w:t>结合现场勘探，老涵结构良好，全线可完全利用。对破损的洞口进行拆除修复，局部冲刷严重增加铺砌，涵洞淤塞进行清淤。</w:t>
      </w:r>
      <w:r>
        <w:rPr>
          <w:rFonts w:hint="eastAsia" w:ascii="宋体" w:hAnsi="宋体"/>
          <w:kern w:val="44"/>
          <w:szCs w:val="20"/>
        </w:rPr>
        <w:t>涵洞修复应结合现场情况施工，对地方水系进行保护或者临时保通，避免因工程建设给地方生产、生活造成不利影响，影响工程顺利进</w:t>
      </w:r>
      <w:r>
        <w:rPr>
          <w:rFonts w:hint="eastAsia" w:hAnsi="宋体"/>
          <w:kern w:val="44"/>
          <w:szCs w:val="20"/>
        </w:rPr>
        <w:t>行。圆管涵及盖板涵的盖板可集中预制</w:t>
      </w:r>
      <w:r>
        <w:rPr>
          <w:rFonts w:hint="eastAsia"/>
        </w:rPr>
        <w:t>。</w:t>
      </w:r>
    </w:p>
    <w:p>
      <w:pPr>
        <w:pStyle w:val="9"/>
      </w:pPr>
      <w:bookmarkStart w:id="184" w:name="_Toc1193"/>
      <w:r>
        <w:rPr>
          <w:rFonts w:hint="eastAsia"/>
        </w:rPr>
        <w:t>交叉工程</w:t>
      </w:r>
      <w:bookmarkEnd w:id="184"/>
    </w:p>
    <w:p>
      <w:pPr>
        <w:pStyle w:val="10"/>
        <w:ind w:firstLine="480"/>
      </w:pPr>
      <w:r>
        <w:rPr>
          <w:rFonts w:hint="eastAsia"/>
        </w:rPr>
        <w:t>本项目于桩号K0+312.52处下穿京台高速，交叉处G3京台高速桩号为K153+247，交叉角度为135°，交叉处设置一座分离立交，桥跨布置为3×16m，上部结构为预制空心板梁，桥梁总宽28m，桥墩为柱式墩，桥台为扶壁桥台。</w:t>
      </w:r>
    </w:p>
    <w:p>
      <w:pPr>
        <w:pStyle w:val="10"/>
        <w:ind w:firstLine="480"/>
      </w:pPr>
      <w:r>
        <w:rPr>
          <w:rFonts w:hint="eastAsia"/>
        </w:rPr>
        <w:t>下穿设计方案：</w:t>
      </w:r>
    </w:p>
    <w:p>
      <w:pPr>
        <w:pStyle w:val="10"/>
        <w:ind w:firstLine="480"/>
      </w:pPr>
      <w:r>
        <w:rPr>
          <w:rFonts w:hint="eastAsia"/>
        </w:rPr>
        <w:t>（1）既有老路保持两车道通行，从桥梁第2孔穿越，仅对老路路面进行升级改造；</w:t>
      </w:r>
    </w:p>
    <w:p>
      <w:pPr>
        <w:pStyle w:val="10"/>
        <w:ind w:firstLine="480"/>
      </w:pPr>
      <w:r>
        <w:rPr>
          <w:rFonts w:hint="eastAsia"/>
        </w:rPr>
        <w:t>（2）分别从桥梁第1孔、第3孔新建两车道，保证双向六车道通行；</w:t>
      </w:r>
    </w:p>
    <w:p>
      <w:pPr>
        <w:pStyle w:val="10"/>
        <w:ind w:firstLine="480"/>
      </w:pPr>
      <w:r>
        <w:rPr>
          <w:rFonts w:hint="eastAsia"/>
        </w:rPr>
        <w:t>（3）为了保证1、2号桥墩及0、3号桥台的安全性，分别在桥墩两侧设置SA级防撞护栏，桥台前设置波形梁防撞护栏，护栏距离桥墩净距1.307m，距离桥台台身净距为1.226m</w:t>
      </w:r>
    </w:p>
    <w:p>
      <w:r>
        <w:rPr>
          <w:rFonts w:hint="eastAsia"/>
          <w:kern w:val="44"/>
          <w:szCs w:val="20"/>
        </w:rPr>
        <w:drawing>
          <wp:inline distT="0" distB="0" distL="0" distR="0">
            <wp:extent cx="5753735" cy="2618740"/>
            <wp:effectExtent l="0" t="0" r="18415" b="10160"/>
            <wp:docPr id="713" name="图片 713"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713" descr="图示, 示意图&#10;&#10;描述已自动生成"/>
                    <pic:cNvPicPr>
                      <a:picLocks noChangeAspect="1"/>
                    </pic:cNvPicPr>
                  </pic:nvPicPr>
                  <pic:blipFill>
                    <a:blip r:embed="rId61" cstate="print">
                      <a:extLst>
                        <a:ext uri="{BEBA8EAE-BF5A-486C-A8C5-ECC9F3942E4B}">
                          <a14:imgProps xmlns:a14="http://schemas.microsoft.com/office/drawing/2010/main">
                            <a14:imgLayer r:embed="rId62">
                              <a14:imgEffect>
                                <a14:sharpenSoften amount="100000"/>
                              </a14:imgEffect>
                            </a14:imgLayer>
                          </a14:imgProps>
                        </a:ext>
                        <a:ext uri="{28A0092B-C50C-407E-A947-70E740481C1C}">
                          <a14:useLocalDpi xmlns:a14="http://schemas.microsoft.com/office/drawing/2010/main" val="0"/>
                        </a:ext>
                      </a:extLst>
                    </a:blip>
                    <a:srcRect l="1475" t="1845"/>
                    <a:stretch>
                      <a:fillRect/>
                    </a:stretch>
                  </pic:blipFill>
                  <pic:spPr>
                    <a:xfrm>
                      <a:off x="0" y="0"/>
                      <a:ext cx="5753735" cy="2618740"/>
                    </a:xfrm>
                    <a:prstGeom prst="rect">
                      <a:avLst/>
                    </a:prstGeom>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10</w:t>
      </w:r>
      <w:r>
        <w:fldChar w:fldCharType="end"/>
      </w:r>
      <w:r>
        <w:t xml:space="preserve">  </w:t>
      </w:r>
      <w:r>
        <w:rPr>
          <w:rFonts w:hint="eastAsia"/>
        </w:rPr>
        <w:t>施工方案图</w:t>
      </w:r>
    </w:p>
    <w:p>
      <w:pPr>
        <w:pStyle w:val="112"/>
        <w:ind w:firstLine="480"/>
      </w:pPr>
      <w:r>
        <w:rPr>
          <w:rFonts w:hint="eastAsia"/>
        </w:rPr>
        <w:t>为减少对被交叉道路通行的影响，应周密安排施工计划，尽量缩短工期。</w:t>
      </w:r>
    </w:p>
    <w:p>
      <w:pPr>
        <w:pStyle w:val="9"/>
      </w:pPr>
      <w:bookmarkStart w:id="185" w:name="_Toc7566"/>
      <w:r>
        <w:rPr>
          <w:rFonts w:hint="eastAsia"/>
        </w:rPr>
        <w:t>沿线设施及其他工程</w:t>
      </w:r>
      <w:bookmarkEnd w:id="185"/>
    </w:p>
    <w:p>
      <w:pPr>
        <w:pStyle w:val="112"/>
        <w:ind w:firstLine="480"/>
      </w:pPr>
      <w:r>
        <w:rPr>
          <w:rFonts w:hint="eastAsia"/>
        </w:rPr>
        <w:t>（1）沿线设施</w:t>
      </w:r>
    </w:p>
    <w:p>
      <w:pPr>
        <w:pStyle w:val="112"/>
        <w:ind w:firstLine="480"/>
        <w:rPr>
          <w:rFonts w:hint="default" w:ascii="Times New Roman" w:hAnsi="Times New Roman" w:eastAsia="宋体" w:cs="Times New Roman"/>
          <w:kern w:val="44"/>
          <w:szCs w:val="20"/>
          <w:lang w:val="en-US" w:eastAsia="zh-CN"/>
        </w:rPr>
      </w:pPr>
      <w:r>
        <w:rPr>
          <w:rFonts w:hint="default" w:ascii="Times New Roman" w:hAnsi="Times New Roman" w:cs="Times New Roman"/>
          <w:kern w:val="44"/>
          <w:szCs w:val="20"/>
          <w:lang w:val="en-US" w:eastAsia="zh-CN"/>
        </w:rPr>
        <w:t>1）交通标志</w:t>
      </w:r>
    </w:p>
    <w:p>
      <w:pPr>
        <w:pStyle w:val="112"/>
        <w:ind w:firstLine="480"/>
      </w:pPr>
      <w:r>
        <w:rPr>
          <w:rFonts w:hint="default" w:ascii="Times New Roman" w:hAnsi="Times New Roman" w:cs="Times New Roman"/>
          <w:kern w:val="44"/>
          <w:szCs w:val="20"/>
        </w:rPr>
        <w:t>标志立柱、横梁均采用普通碳素结构钢，标志立柱柱帽和横梁帽采用普通碳素结构钢板，板厚一般采5mm。所有钢构件的钻孔、冲孔、焊接均应在防腐处理之前完成</w:t>
      </w:r>
      <w:r>
        <w:rPr>
          <w:rFonts w:hint="eastAsia" w:ascii="Times New Roman" w:hAnsi="Times New Roman" w:cs="Times New Roman"/>
          <w:kern w:val="44"/>
          <w:szCs w:val="20"/>
          <w:lang w:eastAsia="zh-CN"/>
        </w:rPr>
        <w:t>；</w:t>
      </w:r>
      <w:r>
        <w:rPr>
          <w:rFonts w:hint="default" w:ascii="Times New Roman" w:hAnsi="Times New Roman" w:cs="Times New Roman"/>
          <w:kern w:val="44"/>
          <w:szCs w:val="20"/>
        </w:rPr>
        <w:t>标志底板采用铝合金板，为了保证标志版面的平整度，对于版面尺寸小于6</w:t>
      </w:r>
      <w:r>
        <w:rPr>
          <w:rFonts w:hint="eastAsia" w:ascii="Times New Roman" w:hAnsi="Times New Roman" w:cs="Times New Roman"/>
          <w:kern w:val="44"/>
          <w:szCs w:val="20"/>
          <w:lang w:val="en-US" w:eastAsia="zh-CN"/>
        </w:rPr>
        <w:t>m</w:t>
      </w:r>
      <w:r>
        <w:rPr>
          <w:rFonts w:hint="eastAsia" w:ascii="Times New Roman" w:hAnsi="Times New Roman" w:cs="Times New Roman"/>
          <w:kern w:val="44"/>
          <w:szCs w:val="20"/>
          <w:vertAlign w:val="superscript"/>
          <w:lang w:val="en-US" w:eastAsia="zh-CN"/>
        </w:rPr>
        <w:t>2</w:t>
      </w:r>
      <w:r>
        <w:rPr>
          <w:rFonts w:hint="default" w:ascii="Times New Roman" w:hAnsi="Times New Roman" w:cs="Times New Roman"/>
          <w:kern w:val="44"/>
          <w:szCs w:val="20"/>
        </w:rPr>
        <w:t>的标志板厚度采用2mm，版面尺寸大于或等于6m</w:t>
      </w:r>
      <w:r>
        <w:rPr>
          <w:rFonts w:hint="default" w:ascii="Times New Roman" w:hAnsi="Times New Roman" w:cs="Times New Roman"/>
          <w:kern w:val="44"/>
          <w:szCs w:val="20"/>
          <w:vertAlign w:val="superscript"/>
        </w:rPr>
        <w:t>2</w:t>
      </w:r>
      <w:r>
        <w:rPr>
          <w:rFonts w:hint="default" w:ascii="Times New Roman" w:hAnsi="Times New Roman" w:cs="Times New Roman"/>
          <w:kern w:val="44"/>
          <w:szCs w:val="20"/>
        </w:rPr>
        <w:t>的标志板厚度采用3mm，并均采用铝合金龙骨加固。所有钢材均采用Q235，焊条全采用E43。所有钢材均采用热浸镀锌防腐处理，施工时应严格按照规范要求进行。标志</w:t>
      </w:r>
      <w:r>
        <w:rPr>
          <w:rFonts w:hint="eastAsia" w:ascii="宋体" w:hAnsi="宋体"/>
          <w:kern w:val="44"/>
          <w:szCs w:val="20"/>
        </w:rPr>
        <w:t>基础采用钢筋混凝土基础，根据板面的大小及地基承载力决定其尺寸及埋置深度</w:t>
      </w:r>
      <w:r>
        <w:rPr>
          <w:rFonts w:hint="eastAsia"/>
        </w:rPr>
        <w:t>。</w:t>
      </w:r>
    </w:p>
    <w:p>
      <w:pPr>
        <w:pStyle w:val="112"/>
        <w:ind w:firstLine="480"/>
        <w:rPr>
          <w:rFonts w:hint="default" w:eastAsia="宋体"/>
          <w:lang w:val="en-US" w:eastAsia="zh-CN"/>
        </w:rPr>
      </w:pPr>
      <w:r>
        <w:rPr>
          <w:rFonts w:hint="eastAsia"/>
          <w:lang w:val="en-US" w:eastAsia="zh-CN"/>
        </w:rPr>
        <w:t>2）交通标线</w:t>
      </w:r>
    </w:p>
    <w:p>
      <w:pPr>
        <w:pStyle w:val="112"/>
        <w:ind w:firstLine="480"/>
        <w:rPr>
          <w:rFonts w:hint="eastAsia" w:eastAsia="宋体"/>
          <w:lang w:eastAsia="zh-CN"/>
        </w:rPr>
      </w:pPr>
      <w:r>
        <w:rPr>
          <w:rFonts w:hint="eastAsia"/>
        </w:rPr>
        <w:t>道路标线的布设应确保车流分道行驶，起导流作用，保证昼夜的视线诱导良好，车道分界清晰，线型清楚、轮廓分明</w:t>
      </w:r>
      <w:r>
        <w:rPr>
          <w:rFonts w:hint="eastAsia"/>
          <w:lang w:eastAsia="zh-CN"/>
        </w:rPr>
        <w:t>。标线涂料应符合《道路交通标志和标线》（GB5768-2009）及《路面标线涂料》（JT/T280）的有关规定，各类标线依据材料类型，依据GB/T 16311《道路交通标线质量要求和检测方法》进行合理选取。</w:t>
      </w:r>
    </w:p>
    <w:p>
      <w:pPr>
        <w:pStyle w:val="112"/>
        <w:ind w:firstLine="480"/>
        <w:rPr>
          <w:rFonts w:hint="default" w:eastAsia="宋体"/>
          <w:lang w:val="en-US" w:eastAsia="zh-CN"/>
        </w:rPr>
      </w:pPr>
      <w:r>
        <w:rPr>
          <w:rFonts w:hint="eastAsia"/>
          <w:lang w:val="en-US" w:eastAsia="zh-CN"/>
        </w:rPr>
        <w:t>3）护栏及栏杆</w:t>
      </w:r>
    </w:p>
    <w:p>
      <w:pPr>
        <w:pStyle w:val="112"/>
        <w:ind w:firstLine="480"/>
        <w:rPr>
          <w:rFonts w:hint="eastAsia"/>
          <w:lang w:eastAsia="zh-CN"/>
        </w:rPr>
      </w:pPr>
      <w:r>
        <w:rPr>
          <w:rFonts w:hint="eastAsia"/>
        </w:rPr>
        <w:t>路线中央分隔带内设置波形梁护栏</w:t>
      </w:r>
      <w:r>
        <w:rPr>
          <w:rFonts w:hint="eastAsia"/>
          <w:lang w:eastAsia="zh-CN"/>
        </w:rPr>
        <w:t>。</w:t>
      </w:r>
    </w:p>
    <w:p>
      <w:pPr>
        <w:pStyle w:val="112"/>
        <w:ind w:firstLine="480"/>
        <w:rPr>
          <w:rFonts w:hint="eastAsia" w:eastAsia="宋体"/>
          <w:lang w:eastAsia="zh-CN"/>
        </w:rPr>
      </w:pPr>
      <w:r>
        <w:rPr>
          <w:rFonts w:hint="eastAsia"/>
          <w:lang w:eastAsia="zh-CN"/>
        </w:rPr>
        <w:t>对于路侧护栏计算净区宽度内路堤高度≥3m以及有沟塘的路段设置路侧波形梁护栏；路侧填土高度大于等于3.5m的路段，路侧临塘、临深沟路段，以及路侧有照明灯杆、摄像机、交通标志等车辆不能安全穿越的路段，护栏应使用加强级。</w:t>
      </w:r>
    </w:p>
    <w:p>
      <w:pPr>
        <w:pStyle w:val="112"/>
        <w:ind w:firstLine="480"/>
        <w:rPr>
          <w:rFonts w:hint="eastAsia" w:eastAsia="宋体"/>
          <w:lang w:eastAsia="zh-CN"/>
        </w:rPr>
      </w:pPr>
      <w:r>
        <w:rPr>
          <w:rFonts w:hint="eastAsia"/>
        </w:rPr>
        <w:t>中央分隔带波形梁护栏开口处的起、讫点都应进行端头处理。中央分隔带波形梁护栏开口处的圆形端头及过渡段线形应与中央分隔带相一致</w:t>
      </w:r>
      <w:r>
        <w:rPr>
          <w:rFonts w:hint="eastAsia"/>
          <w:lang w:eastAsia="zh-CN"/>
        </w:rPr>
        <w:t>。</w:t>
      </w:r>
    </w:p>
    <w:p>
      <w:pPr>
        <w:pStyle w:val="112"/>
        <w:ind w:firstLine="480"/>
      </w:pPr>
      <w:r>
        <w:rPr>
          <w:rFonts w:hint="eastAsia"/>
        </w:rPr>
        <w:t>（2）临时用地的处理</w:t>
      </w:r>
    </w:p>
    <w:p>
      <w:pPr>
        <w:pStyle w:val="112"/>
        <w:ind w:firstLine="480"/>
      </w:pPr>
      <w:r>
        <w:rPr>
          <w:rFonts w:hint="eastAsia"/>
        </w:rPr>
        <w:t>本项目临时用地可采用租借方式临时租用，在项目完成后应做好还耕工作，尽量降低耕地的占用量，具体工作可参照有关规定进行。</w:t>
      </w:r>
    </w:p>
    <w:p>
      <w:pPr>
        <w:pStyle w:val="8"/>
        <w:rPr>
          <w:b/>
          <w:bCs/>
        </w:rPr>
      </w:pPr>
      <w:bookmarkStart w:id="186" w:name="_Toc20799"/>
      <w:r>
        <w:rPr>
          <w:rFonts w:hint="eastAsia"/>
          <w:b/>
          <w:bCs/>
        </w:rPr>
        <w:t>施工工艺</w:t>
      </w:r>
      <w:bookmarkEnd w:id="186"/>
    </w:p>
    <w:p>
      <w:pPr>
        <w:pStyle w:val="9"/>
      </w:pPr>
      <w:bookmarkStart w:id="187" w:name="_Toc28477"/>
      <w:r>
        <w:rPr>
          <w:rFonts w:hint="eastAsia"/>
        </w:rPr>
        <w:t>清基工程</w:t>
      </w:r>
      <w:bookmarkEnd w:id="187"/>
    </w:p>
    <w:p>
      <w:pPr>
        <w:pStyle w:val="10"/>
        <w:ind w:firstLine="480"/>
      </w:pPr>
      <w:r>
        <w:t>在路基填筑或开挖前均需对表层耕植土等原有表土层进行剥离，其厚度一般在30cm以内，采用推土机等施工机械进行表土剥离，并由自卸卡车运输至</w:t>
      </w:r>
      <w:r>
        <w:rPr>
          <w:rFonts w:hint="eastAsia"/>
          <w:lang w:val="en-US" w:eastAsia="zh-CN"/>
        </w:rPr>
        <w:t>弃土</w:t>
      </w:r>
      <w:r>
        <w:t>场堆放，以便用于工程后期绿化或复垦</w:t>
      </w:r>
      <w:r>
        <w:rPr>
          <w:rFonts w:hint="eastAsia"/>
        </w:rPr>
        <w:t>。剥离的清表土用于边坡防护，有利于植被的生长，既起到护坡防冲的作用，更具有美化和保护环境的效果。</w:t>
      </w:r>
    </w:p>
    <w:p>
      <w:pPr>
        <w:pStyle w:val="9"/>
      </w:pPr>
      <w:bookmarkStart w:id="188" w:name="_Toc3454"/>
      <w:r>
        <w:rPr>
          <w:rFonts w:hint="eastAsia"/>
        </w:rPr>
        <w:t>桥涵工程实施方案</w:t>
      </w:r>
      <w:bookmarkEnd w:id="188"/>
    </w:p>
    <w:p>
      <w:pPr>
        <w:keepNext/>
        <w:keepLines/>
        <w:pageBreakBefore w:val="0"/>
        <w:widowControl w:val="0"/>
        <w:numPr>
          <w:ilvl w:val="0"/>
          <w:numId w:val="0"/>
        </w:numPr>
        <w:tabs>
          <w:tab w:val="left" w:pos="360"/>
        </w:tabs>
        <w:kinsoku/>
        <w:wordWrap/>
        <w:overflowPunct/>
        <w:topLinePunct w:val="0"/>
        <w:autoSpaceDE/>
        <w:autoSpaceDN/>
        <w:bidi w:val="0"/>
        <w:adjustRightInd w:val="0"/>
        <w:snapToGrid w:val="0"/>
        <w:spacing w:before="0" w:beforeLines="0" w:line="360" w:lineRule="auto"/>
        <w:ind w:firstLine="528" w:firstLineChars="200"/>
        <w:textAlignment w:val="baseline"/>
        <w:outlineLvl w:val="9"/>
        <w:rPr>
          <w:rFonts w:hint="eastAsia" w:ascii="Times New Roman" w:hAnsi="Times New Roman"/>
          <w:b w:val="0"/>
          <w:bCs/>
          <w:spacing w:val="12"/>
          <w:kern w:val="24"/>
          <w:szCs w:val="20"/>
          <w:lang w:eastAsia="zh-CN"/>
        </w:rPr>
      </w:pPr>
      <w:r>
        <w:rPr>
          <w:rFonts w:hint="eastAsia" w:ascii="Times New Roman" w:hAnsi="Times New Roman"/>
          <w:b w:val="0"/>
          <w:bCs/>
          <w:spacing w:val="12"/>
          <w:kern w:val="24"/>
          <w:szCs w:val="20"/>
          <w:lang w:eastAsia="zh-CN"/>
        </w:rPr>
        <w:t>（</w:t>
      </w:r>
      <w:r>
        <w:rPr>
          <w:rFonts w:hint="eastAsia" w:ascii="Times New Roman" w:hAnsi="Times New Roman"/>
          <w:b w:val="0"/>
          <w:bCs/>
          <w:spacing w:val="12"/>
          <w:kern w:val="24"/>
          <w:szCs w:val="20"/>
          <w:lang w:val="en-US" w:eastAsia="zh-CN"/>
        </w:rPr>
        <w:t>1</w:t>
      </w:r>
      <w:r>
        <w:rPr>
          <w:rFonts w:hint="eastAsia" w:ascii="Times New Roman" w:hAnsi="Times New Roman"/>
          <w:b w:val="0"/>
          <w:bCs/>
          <w:spacing w:val="12"/>
          <w:kern w:val="24"/>
          <w:szCs w:val="20"/>
          <w:lang w:eastAsia="zh-CN"/>
        </w:rPr>
        <w:t>）桥梁</w:t>
      </w:r>
    </w:p>
    <w:p>
      <w:pPr>
        <w:adjustRightInd w:val="0"/>
        <w:snapToGrid w:val="0"/>
        <w:ind w:firstLine="480" w:firstLineChars="200"/>
        <w:textAlignment w:val="baseline"/>
        <w:rPr>
          <w:rFonts w:eastAsia="宋体"/>
          <w:kern w:val="44"/>
          <w:szCs w:val="20"/>
        </w:rPr>
      </w:pPr>
      <w:r>
        <w:rPr>
          <w:rFonts w:hint="eastAsia" w:eastAsia="宋体"/>
          <w:kern w:val="44"/>
          <w:szCs w:val="20"/>
        </w:rPr>
        <w:t>1）本项目桥梁尽量采用标准跨径，施工方法以预制装配为主，为保证工程质量和工程进度，建议工程施工选用专有相应施工经验，并自备大型设备的专业队伍。</w:t>
      </w:r>
    </w:p>
    <w:p>
      <w:pPr>
        <w:adjustRightInd w:val="0"/>
        <w:snapToGrid w:val="0"/>
        <w:ind w:firstLine="422" w:firstLineChars="176"/>
        <w:textAlignment w:val="baseline"/>
        <w:rPr>
          <w:rFonts w:eastAsia="宋体"/>
          <w:kern w:val="44"/>
          <w:szCs w:val="20"/>
        </w:rPr>
      </w:pPr>
      <w:r>
        <w:rPr>
          <w:rFonts w:hint="eastAsia" w:eastAsia="宋体"/>
          <w:kern w:val="44"/>
          <w:szCs w:val="20"/>
        </w:rPr>
        <w:t>2）桥涵工程应安排在枯水季节，桥梁施工围堰、便桥等应结合当地施工水位设置。桥梁施工应对当地水系及灌溉系统进行保护，或者临时保通措施，避免影响当地农田水利灌溉。桥梁施工应结合周边地势、地形及可能发生的地质灾害做好应急预案，或者进行临时支挡工程，给桥梁施工创造一个安全、环保的良好环境。</w:t>
      </w:r>
    </w:p>
    <w:p>
      <w:pPr>
        <w:adjustRightInd w:val="0"/>
        <w:snapToGrid w:val="0"/>
        <w:ind w:firstLine="422" w:firstLineChars="176"/>
        <w:textAlignment w:val="baseline"/>
        <w:rPr>
          <w:rFonts w:eastAsia="宋体"/>
          <w:kern w:val="44"/>
          <w:szCs w:val="20"/>
        </w:rPr>
      </w:pPr>
      <w:r>
        <w:rPr>
          <w:rFonts w:hint="eastAsia" w:eastAsia="宋体"/>
          <w:kern w:val="44"/>
          <w:szCs w:val="20"/>
        </w:rPr>
        <w:t>3）桥涵上部构造，结构型式一致的，为加快工程进度，确保工程质量，必须集中预制。</w:t>
      </w:r>
    </w:p>
    <w:p>
      <w:pPr>
        <w:adjustRightInd w:val="0"/>
        <w:snapToGrid w:val="0"/>
        <w:ind w:firstLine="422" w:firstLineChars="176"/>
        <w:textAlignment w:val="baseline"/>
        <w:rPr>
          <w:rFonts w:hint="eastAsia" w:eastAsia="宋体"/>
          <w:kern w:val="44"/>
          <w:szCs w:val="20"/>
        </w:rPr>
      </w:pPr>
      <w:r>
        <w:rPr>
          <w:rFonts w:hint="eastAsia" w:eastAsia="宋体"/>
          <w:kern w:val="44"/>
          <w:szCs w:val="20"/>
        </w:rPr>
        <w:t>4）桥梁下部结构，结合地形、地势进行设置，施工时尽量避免大面积的开挖改变原有坡体稳定，造成不良地质灾害、给桥涵安全及地方生产生活安全造成不安全因素。</w:t>
      </w:r>
    </w:p>
    <w:p>
      <w:pPr>
        <w:pStyle w:val="10"/>
        <w:ind w:firstLine="480"/>
        <w:rPr>
          <w:rFonts w:hint="default" w:hAnsi="宋体" w:eastAsia="宋体"/>
          <w:kern w:val="44"/>
          <w:szCs w:val="20"/>
          <w:lang w:val="en-US" w:eastAsia="zh-CN"/>
        </w:rPr>
      </w:pPr>
      <w:r>
        <w:rPr>
          <w:rFonts w:hint="eastAsia" w:hAnsi="宋体" w:eastAsia="宋体"/>
          <w:kern w:val="44"/>
          <w:szCs w:val="20"/>
          <w:lang w:eastAsia="zh-CN"/>
        </w:rPr>
        <w:t>（</w:t>
      </w:r>
      <w:r>
        <w:rPr>
          <w:rFonts w:hint="eastAsia" w:hAnsi="宋体" w:eastAsia="宋体"/>
          <w:kern w:val="44"/>
          <w:szCs w:val="20"/>
          <w:lang w:val="en-US" w:eastAsia="zh-CN"/>
        </w:rPr>
        <w:t>2</w:t>
      </w:r>
      <w:r>
        <w:rPr>
          <w:rFonts w:hint="eastAsia" w:hAnsi="宋体" w:eastAsia="宋体"/>
          <w:kern w:val="44"/>
          <w:szCs w:val="20"/>
          <w:lang w:eastAsia="zh-CN"/>
        </w:rPr>
        <w:t>）</w:t>
      </w:r>
      <w:r>
        <w:rPr>
          <w:rFonts w:hint="eastAsia" w:hAnsi="宋体" w:eastAsia="宋体"/>
          <w:kern w:val="44"/>
          <w:szCs w:val="20"/>
          <w:lang w:val="en-US" w:eastAsia="zh-CN"/>
        </w:rPr>
        <w:t>涵洞</w:t>
      </w:r>
    </w:p>
    <w:p>
      <w:pPr>
        <w:pStyle w:val="10"/>
        <w:ind w:firstLine="480"/>
      </w:pPr>
      <w:r>
        <w:rPr>
          <w:rFonts w:hint="eastAsia" w:hAnsi="宋体" w:eastAsia="宋体"/>
          <w:kern w:val="44"/>
          <w:szCs w:val="20"/>
        </w:rPr>
        <w:t>结合现场勘探，老涵结构良好，全线可完全利用。对破损的洞口进行拆除修复，局部冲刷严重增加铺砌，涵洞淤塞进行清淤。</w:t>
      </w:r>
      <w:r>
        <w:rPr>
          <w:rFonts w:hint="eastAsia" w:ascii="宋体" w:hAnsi="宋体" w:eastAsia="宋体"/>
          <w:kern w:val="44"/>
          <w:szCs w:val="20"/>
        </w:rPr>
        <w:t>涵洞修复应结合现场情况施工，对地方水系进行保护或者临时保通，避免因工程建设给地方生</w:t>
      </w:r>
      <w:r>
        <w:rPr>
          <w:rFonts w:hint="eastAsia" w:ascii="宋体" w:hAnsi="宋体" w:eastAsia="宋体"/>
          <w:kern w:val="44"/>
          <w:szCs w:val="20"/>
          <w:lang w:val="en-US" w:eastAsia="zh-CN"/>
        </w:rPr>
        <w:t>产</w:t>
      </w:r>
      <w:r>
        <w:rPr>
          <w:rFonts w:hint="eastAsia" w:ascii="宋体" w:hAnsi="宋体" w:eastAsia="宋体"/>
          <w:kern w:val="44"/>
          <w:szCs w:val="20"/>
        </w:rPr>
        <w:t>、生活造成不利影响，影响工程顺利进</w:t>
      </w:r>
      <w:r>
        <w:rPr>
          <w:rFonts w:hint="eastAsia" w:hAnsi="宋体" w:eastAsia="宋体"/>
          <w:kern w:val="44"/>
          <w:szCs w:val="20"/>
        </w:rPr>
        <w:t>行。圆管涵及盖板涵</w:t>
      </w:r>
      <w:r>
        <w:rPr>
          <w:rFonts w:hint="eastAsia" w:hAnsi="宋体" w:eastAsia="宋体"/>
          <w:kern w:val="44"/>
          <w:szCs w:val="20"/>
          <w:lang w:val="en-US" w:eastAsia="zh-CN"/>
        </w:rPr>
        <w:t>的盖板</w:t>
      </w:r>
      <w:r>
        <w:rPr>
          <w:rFonts w:hint="eastAsia" w:hAnsi="宋体" w:eastAsia="宋体"/>
          <w:kern w:val="44"/>
          <w:szCs w:val="20"/>
        </w:rPr>
        <w:t>可集中预制</w:t>
      </w:r>
      <w:r>
        <w:rPr>
          <w:rFonts w:hint="eastAsia"/>
        </w:rPr>
        <w:t>。</w:t>
      </w:r>
    </w:p>
    <w:p>
      <w:pPr>
        <w:pStyle w:val="9"/>
      </w:pPr>
      <w:bookmarkStart w:id="189" w:name="_Toc8126"/>
      <w:r>
        <w:rPr>
          <w:rFonts w:hint="eastAsia"/>
        </w:rPr>
        <w:t>临时交通工程</w:t>
      </w:r>
      <w:bookmarkEnd w:id="189"/>
    </w:p>
    <w:p>
      <w:pPr>
        <w:pStyle w:val="10"/>
        <w:ind w:firstLine="480"/>
      </w:pPr>
      <w:r>
        <w:rPr>
          <w:rFonts w:hint="eastAsia"/>
        </w:rPr>
        <w:t>根据《公路养护安全作业规程》，结合道路交通的实际需要设置施工标志、路栏、锥形交通路标等安全设施，夜间应有反光或施工警告灯号，必要时应使用信号或派旗手管制交通。</w:t>
      </w:r>
    </w:p>
    <w:p>
      <w:pPr>
        <w:pStyle w:val="8"/>
        <w:rPr>
          <w:b/>
          <w:bCs/>
        </w:rPr>
      </w:pPr>
      <w:bookmarkStart w:id="190" w:name="_Toc455016464"/>
      <w:bookmarkStart w:id="191" w:name="_Toc31402"/>
      <w:bookmarkStart w:id="192" w:name="_Toc24805"/>
      <w:r>
        <w:rPr>
          <w:b/>
          <w:bCs/>
        </w:rPr>
        <w:t>工程进度安排</w:t>
      </w:r>
      <w:bookmarkEnd w:id="169"/>
      <w:bookmarkEnd w:id="170"/>
      <w:bookmarkEnd w:id="190"/>
      <w:bookmarkEnd w:id="191"/>
      <w:bookmarkEnd w:id="192"/>
    </w:p>
    <w:p>
      <w:pPr>
        <w:pStyle w:val="10"/>
        <w:ind w:firstLine="480"/>
      </w:pPr>
      <w:r>
        <w:rPr>
          <w:rFonts w:hint="eastAsia"/>
        </w:rPr>
        <w:t>根据道路现状及沿线城镇社会经济发展状况，同时，为提高建设资金使用效率、效益，本项目工期安排如下：</w:t>
      </w:r>
    </w:p>
    <w:p>
      <w:pPr>
        <w:pStyle w:val="10"/>
        <w:ind w:firstLine="480"/>
      </w:pPr>
      <w:r>
        <w:rPr>
          <w:rFonts w:hint="eastAsia"/>
        </w:rPr>
        <w:t>（1）2022年12月底前完成项目各项前期工作；</w:t>
      </w:r>
    </w:p>
    <w:p>
      <w:pPr>
        <w:pStyle w:val="10"/>
        <w:ind w:firstLine="480"/>
      </w:pPr>
      <w:r>
        <w:rPr>
          <w:rFonts w:hint="eastAsia"/>
        </w:rPr>
        <w:t>（2）2023年1月开工建设；</w:t>
      </w:r>
    </w:p>
    <w:p>
      <w:pPr>
        <w:pStyle w:val="10"/>
        <w:ind w:firstLine="480"/>
      </w:pPr>
      <w:r>
        <w:rPr>
          <w:rFonts w:hint="eastAsia"/>
        </w:rPr>
        <w:t>（3）2023年12月竣工。</w:t>
      </w:r>
    </w:p>
    <w:p>
      <w:pPr>
        <w:pStyle w:val="10"/>
        <w:ind w:firstLine="480"/>
      </w:pPr>
      <w:r>
        <w:rPr>
          <w:rFonts w:hint="eastAsia"/>
        </w:rPr>
        <w:t>项目施工工期1年整。</w:t>
      </w:r>
    </w:p>
    <w:p>
      <w:pPr>
        <w:pStyle w:val="7"/>
        <w:rPr>
          <w:b/>
          <w:bCs/>
          <w:sz w:val="28"/>
          <w:szCs w:val="28"/>
        </w:rPr>
      </w:pPr>
      <w:bookmarkStart w:id="193" w:name="_Toc455016465"/>
      <w:bookmarkStart w:id="194" w:name="_Toc14570"/>
      <w:bookmarkStart w:id="195" w:name="_Toc5663"/>
      <w:r>
        <w:rPr>
          <w:b/>
          <w:bCs/>
          <w:sz w:val="28"/>
          <w:szCs w:val="28"/>
        </w:rPr>
        <w:t>工程分析</w:t>
      </w:r>
      <w:bookmarkEnd w:id="193"/>
      <w:bookmarkEnd w:id="194"/>
      <w:bookmarkEnd w:id="195"/>
    </w:p>
    <w:p>
      <w:pPr>
        <w:keepNext/>
        <w:keepLines/>
        <w:pageBreakBefore w:val="0"/>
        <w:widowControl w:val="0"/>
        <w:numPr>
          <w:ilvl w:val="0"/>
          <w:numId w:val="0"/>
        </w:numPr>
        <w:tabs>
          <w:tab w:val="left" w:pos="-1800"/>
          <w:tab w:val="left" w:pos="900"/>
        </w:tabs>
        <w:kinsoku/>
        <w:wordWrap/>
        <w:overflowPunct/>
        <w:topLinePunct w:val="0"/>
        <w:autoSpaceDE/>
        <w:autoSpaceDN/>
        <w:bidi w:val="0"/>
        <w:adjustRightInd/>
        <w:snapToGrid/>
        <w:ind w:leftChars="0" w:firstLine="480" w:firstLineChars="200"/>
        <w:textAlignment w:val="auto"/>
        <w:outlineLvl w:val="9"/>
        <w:rPr>
          <w:rFonts w:ascii="宋体" w:hAnsi="宋体" w:eastAsia="宋体" w:cs="宋体"/>
          <w:b w:val="0"/>
          <w:bCs/>
          <w:kern w:val="0"/>
          <w:sz w:val="24"/>
          <w:szCs w:val="20"/>
          <w:lang w:val="en-US" w:eastAsia="zh-CN" w:bidi="ar-SA"/>
        </w:rPr>
      </w:pPr>
      <w:bookmarkStart w:id="196" w:name="_Toc382252589"/>
      <w:bookmarkStart w:id="197" w:name="_Toc455016466"/>
      <w:bookmarkStart w:id="198" w:name="_Toc356851019"/>
      <w:bookmarkStart w:id="199" w:name="_Toc277858553"/>
      <w:r>
        <w:rPr>
          <w:rFonts w:hint="eastAsia" w:ascii="宋体" w:hAnsi="宋体" w:eastAsia="宋体" w:cs="宋体"/>
          <w:b w:val="0"/>
          <w:bCs/>
          <w:kern w:val="0"/>
          <w:sz w:val="24"/>
          <w:szCs w:val="20"/>
          <w:lang w:val="en-US" w:eastAsia="zh-CN" w:bidi="ar-SA"/>
        </w:rPr>
        <w:t>本项目为新建工程，工程行为主要分为施工期、运营期两个阶段，环境影响因素分析现识别分述如下</w:t>
      </w:r>
      <w:r>
        <w:rPr>
          <w:rFonts w:hint="eastAsia" w:ascii="宋体" w:hAnsi="宋体" w:cs="宋体"/>
          <w:b w:val="0"/>
          <w:bCs/>
          <w:kern w:val="0"/>
          <w:sz w:val="24"/>
          <w:szCs w:val="20"/>
          <w:lang w:val="en-US" w:eastAsia="zh-CN" w:bidi="ar-SA"/>
        </w:rPr>
        <w:t>：</w:t>
      </w:r>
    </w:p>
    <w:p>
      <w:pPr>
        <w:pStyle w:val="8"/>
        <w:rPr>
          <w:b/>
          <w:bCs/>
        </w:rPr>
      </w:pPr>
      <w:bookmarkStart w:id="200" w:name="_Toc5340"/>
      <w:r>
        <w:rPr>
          <w:rFonts w:hint="eastAsia"/>
          <w:b/>
          <w:bCs/>
        </w:rPr>
        <w:t>施工期污染源分析</w:t>
      </w:r>
      <w:bookmarkEnd w:id="196"/>
      <w:bookmarkEnd w:id="197"/>
      <w:bookmarkEnd w:id="200"/>
    </w:p>
    <w:p>
      <w:pPr>
        <w:pStyle w:val="986"/>
        <w:ind w:firstLine="480"/>
        <w:rPr>
          <w:rFonts w:ascii="Times New Roman" w:hAnsi="Times New Roman" w:cs="Times New Roman"/>
        </w:rPr>
      </w:pPr>
      <w:r>
        <w:t>本项目实施路基、桥梁建设</w:t>
      </w:r>
      <w:r>
        <w:rPr>
          <w:rFonts w:hint="eastAsia"/>
          <w:lang w:val="en-US" w:eastAsia="zh-CN"/>
        </w:rPr>
        <w:t>以及老路改造</w:t>
      </w:r>
      <w:r>
        <w:t>，沿线将设置施工便道、施工场地和施工营地等，需要一定数量的临时用地，加大水土流失强度，施工产生的噪声、废水、施工固废等将影响沿线环境保护目标。本项目施工过程及环境影响分析</w:t>
      </w:r>
      <w:r>
        <w:rPr>
          <w:rFonts w:ascii="Times New Roman" w:hAnsi="Times New Roman" w:cs="Times New Roman"/>
        </w:rPr>
        <w:t>见</w:t>
      </w:r>
      <w:r>
        <w:rPr>
          <w:rFonts w:hint="eastAsia" w:ascii="Times New Roman" w:hAnsi="Times New Roman" w:cs="Times New Roman"/>
        </w:rPr>
        <w:t>下</w:t>
      </w:r>
      <w:r>
        <w:rPr>
          <w:rFonts w:ascii="Times New Roman" w:hAnsi="Times New Roman" w:cs="Times New Roman"/>
        </w:rPr>
        <w:t>图</w:t>
      </w:r>
      <w:r>
        <w:rPr>
          <w:rFonts w:hint="eastAsia" w:ascii="Times New Roman" w:hAnsi="Times New Roman" w:cs="Times New Roman"/>
        </w:rPr>
        <w:t>。</w:t>
      </w:r>
    </w:p>
    <w:p>
      <w:pPr>
        <w:pStyle w:val="19"/>
        <w:jc w:val="center"/>
        <w:rPr>
          <w:color w:val="0070C0"/>
        </w:rPr>
      </w:pPr>
      <w:r>
        <w:rPr>
          <w:color w:val="0070C0"/>
        </w:rPr>
        <w:object>
          <v:shape id="_x0000_i1025" o:spt="75" type="#_x0000_t75" style="height:519.95pt;width:476.35pt;" o:ole="t" filled="f" o:preferrelative="t" stroked="f" coordsize="21600,21600">
            <v:path/>
            <v:fill on="f" focussize="0,0"/>
            <v:stroke on="f"/>
            <v:imagedata r:id="rId63" o:title=""/>
            <o:lock v:ext="edit" aspectratio="t"/>
            <w10:wrap type="none"/>
            <w10:anchorlock/>
          </v:shape>
          <o:OLEObject Type="Embed" ProgID="Visio.Drawing.11" ShapeID="_x0000_i1025" DrawAspect="Content" ObjectID="_1468075725">
            <o:LockedField>false</o:LockedField>
          </o:OLEObject>
        </w:object>
      </w:r>
      <w:r>
        <w:t xml:space="preserve">图 </w:t>
      </w:r>
      <w:r>
        <w:fldChar w:fldCharType="begin"/>
      </w:r>
      <w:r>
        <w:instrText xml:space="preserve"> STYLEREF 2 \s </w:instrText>
      </w:r>
      <w:r>
        <w:fldChar w:fldCharType="separate"/>
      </w:r>
      <w:r>
        <w:t>3.6</w:t>
      </w:r>
      <w:r>
        <w:fldChar w:fldCharType="end"/>
      </w:r>
      <w:r>
        <w:noBreakHyphen/>
      </w:r>
      <w:r>
        <w:fldChar w:fldCharType="begin"/>
      </w:r>
      <w:r>
        <w:instrText xml:space="preserve"> SEQ 图 \* ARABIC \s 2 </w:instrText>
      </w:r>
      <w:r>
        <w:fldChar w:fldCharType="separate"/>
      </w:r>
      <w:r>
        <w:t>1</w:t>
      </w:r>
      <w:r>
        <w:fldChar w:fldCharType="end"/>
      </w:r>
      <w:r>
        <w:t xml:space="preserve">  施工期环境的影响分析</w:t>
      </w:r>
    </w:p>
    <w:p>
      <w:pPr>
        <w:pStyle w:val="19"/>
        <w:ind w:firstLine="482"/>
        <w:rPr>
          <w:rStyle w:val="1156"/>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施工期环境影响因素一览表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1213"/>
        <w:gridCol w:w="6186"/>
        <w:gridCol w:w="1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89" w:type="pct"/>
            <w:tcBorders>
              <w:tl2br w:val="nil"/>
              <w:tr2bl w:val="nil"/>
            </w:tcBorders>
            <w:vAlign w:val="center"/>
          </w:tcPr>
          <w:p>
            <w:pPr>
              <w:pStyle w:val="1132"/>
              <w:rPr>
                <w:b/>
                <w:bCs w:val="0"/>
              </w:rPr>
            </w:pPr>
            <w:r>
              <w:rPr>
                <w:b/>
                <w:bCs w:val="0"/>
              </w:rPr>
              <w:t>环境要素</w:t>
            </w:r>
          </w:p>
        </w:tc>
        <w:tc>
          <w:tcPr>
            <w:tcW w:w="653" w:type="pct"/>
            <w:tcBorders>
              <w:tl2br w:val="nil"/>
              <w:tr2bl w:val="nil"/>
            </w:tcBorders>
            <w:vAlign w:val="center"/>
          </w:tcPr>
          <w:p>
            <w:pPr>
              <w:pStyle w:val="1132"/>
              <w:rPr>
                <w:b/>
                <w:bCs w:val="0"/>
              </w:rPr>
            </w:pPr>
            <w:r>
              <w:rPr>
                <w:b/>
                <w:bCs w:val="0"/>
              </w:rPr>
              <w:t>工程内容</w:t>
            </w:r>
          </w:p>
        </w:tc>
        <w:tc>
          <w:tcPr>
            <w:tcW w:w="3331" w:type="pct"/>
            <w:tcBorders>
              <w:tl2br w:val="nil"/>
              <w:tr2bl w:val="nil"/>
            </w:tcBorders>
            <w:vAlign w:val="center"/>
          </w:tcPr>
          <w:p>
            <w:pPr>
              <w:pStyle w:val="1132"/>
              <w:rPr>
                <w:b/>
                <w:bCs w:val="0"/>
              </w:rPr>
            </w:pPr>
            <w:r>
              <w:rPr>
                <w:b/>
                <w:bCs w:val="0"/>
              </w:rPr>
              <w:t>环境影响</w:t>
            </w:r>
          </w:p>
        </w:tc>
        <w:tc>
          <w:tcPr>
            <w:tcW w:w="627" w:type="pct"/>
            <w:tcBorders>
              <w:tl2br w:val="nil"/>
              <w:tr2bl w:val="nil"/>
            </w:tcBorders>
            <w:vAlign w:val="center"/>
          </w:tcPr>
          <w:p>
            <w:pPr>
              <w:pStyle w:val="1132"/>
              <w:rPr>
                <w:b/>
                <w:bCs w:val="0"/>
              </w:rPr>
            </w:pPr>
            <w:r>
              <w:rPr>
                <w:b/>
                <w:bCs w:val="0"/>
              </w:rPr>
              <w:t>影响性质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9" w:hRule="atLeast"/>
          <w:jc w:val="center"/>
        </w:trPr>
        <w:tc>
          <w:tcPr>
            <w:tcW w:w="389" w:type="pct"/>
            <w:tcBorders>
              <w:tl2br w:val="nil"/>
              <w:tr2bl w:val="nil"/>
            </w:tcBorders>
            <w:vAlign w:val="center"/>
          </w:tcPr>
          <w:p>
            <w:pPr>
              <w:pStyle w:val="1132"/>
            </w:pPr>
            <w:r>
              <w:t>生态环境</w:t>
            </w:r>
          </w:p>
        </w:tc>
        <w:tc>
          <w:tcPr>
            <w:tcW w:w="653" w:type="pct"/>
            <w:tcBorders>
              <w:tl2br w:val="nil"/>
              <w:tr2bl w:val="nil"/>
            </w:tcBorders>
            <w:vAlign w:val="center"/>
          </w:tcPr>
          <w:p>
            <w:pPr>
              <w:pStyle w:val="1132"/>
            </w:pPr>
            <w:r>
              <w:t>施工活动</w:t>
            </w:r>
          </w:p>
        </w:tc>
        <w:tc>
          <w:tcPr>
            <w:tcW w:w="3331" w:type="pct"/>
            <w:tcBorders>
              <w:tl2br w:val="nil"/>
              <w:tr2bl w:val="nil"/>
            </w:tcBorders>
            <w:vAlign w:val="center"/>
          </w:tcPr>
          <w:p>
            <w:pPr>
              <w:pStyle w:val="1132"/>
            </w:pPr>
            <w:r>
              <w:t>施工活动建材堆放和施工人员活动可能对植被和景观产生破坏，对动物生境措施干扰</w:t>
            </w:r>
          </w:p>
        </w:tc>
        <w:tc>
          <w:tcPr>
            <w:tcW w:w="627" w:type="pct"/>
            <w:tcBorders>
              <w:tl2br w:val="nil"/>
              <w:tr2bl w:val="nil"/>
            </w:tcBorders>
            <w:vAlign w:val="center"/>
          </w:tcPr>
          <w:p>
            <w:pPr>
              <w:pStyle w:val="1132"/>
            </w:pPr>
            <w:r>
              <w:t>短期</w:t>
            </w:r>
          </w:p>
          <w:p>
            <w:pPr>
              <w:pStyle w:val="1132"/>
            </w:pPr>
            <w:r>
              <w:t>可逆</w:t>
            </w:r>
          </w:p>
          <w:p>
            <w:pPr>
              <w:pStyle w:val="1132"/>
            </w:pPr>
            <w:r>
              <w:t>不利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89" w:type="pct"/>
            <w:vMerge w:val="restart"/>
            <w:tcBorders>
              <w:tl2br w:val="nil"/>
              <w:tr2bl w:val="nil"/>
            </w:tcBorders>
            <w:vAlign w:val="center"/>
          </w:tcPr>
          <w:p>
            <w:pPr>
              <w:pStyle w:val="1132"/>
            </w:pPr>
            <w:r>
              <w:t>声环境</w:t>
            </w:r>
          </w:p>
        </w:tc>
        <w:tc>
          <w:tcPr>
            <w:tcW w:w="653" w:type="pct"/>
            <w:tcBorders>
              <w:tl2br w:val="nil"/>
              <w:tr2bl w:val="nil"/>
            </w:tcBorders>
            <w:vAlign w:val="center"/>
          </w:tcPr>
          <w:p>
            <w:pPr>
              <w:pStyle w:val="1132"/>
            </w:pPr>
            <w:r>
              <w:t>施工机械</w:t>
            </w:r>
          </w:p>
        </w:tc>
        <w:tc>
          <w:tcPr>
            <w:tcW w:w="3331" w:type="pct"/>
            <w:tcBorders>
              <w:tl2br w:val="nil"/>
              <w:tr2bl w:val="nil"/>
            </w:tcBorders>
            <w:vAlign w:val="center"/>
          </w:tcPr>
          <w:p>
            <w:pPr>
              <w:pStyle w:val="1132"/>
            </w:pPr>
            <w:r>
              <w:t>不同施工阶段施工机械噪声对离路线较近的</w:t>
            </w:r>
          </w:p>
          <w:p>
            <w:pPr>
              <w:pStyle w:val="1132"/>
            </w:pPr>
            <w:r>
              <w:t>声环境敏感点的影响</w:t>
            </w:r>
          </w:p>
        </w:tc>
        <w:tc>
          <w:tcPr>
            <w:tcW w:w="627" w:type="pct"/>
            <w:vMerge w:val="restart"/>
            <w:tcBorders>
              <w:tl2br w:val="nil"/>
              <w:tr2bl w:val="nil"/>
            </w:tcBorders>
            <w:vAlign w:val="center"/>
          </w:tcPr>
          <w:p>
            <w:pPr>
              <w:pStyle w:val="1132"/>
            </w:pPr>
            <w:r>
              <w:t>短期</w:t>
            </w:r>
          </w:p>
          <w:p>
            <w:pPr>
              <w:pStyle w:val="1132"/>
            </w:pPr>
            <w:r>
              <w:t>可逆</w:t>
            </w:r>
          </w:p>
          <w:p>
            <w:pPr>
              <w:pStyle w:val="1132"/>
            </w:pPr>
            <w:r>
              <w:t>不利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89" w:type="pct"/>
            <w:vMerge w:val="continue"/>
            <w:tcBorders>
              <w:tl2br w:val="nil"/>
              <w:tr2bl w:val="nil"/>
            </w:tcBorders>
            <w:vAlign w:val="center"/>
          </w:tcPr>
          <w:p>
            <w:pPr>
              <w:pStyle w:val="1132"/>
            </w:pPr>
          </w:p>
        </w:tc>
        <w:tc>
          <w:tcPr>
            <w:tcW w:w="653" w:type="pct"/>
            <w:tcBorders>
              <w:tl2br w:val="nil"/>
              <w:tr2bl w:val="nil"/>
            </w:tcBorders>
            <w:vAlign w:val="center"/>
          </w:tcPr>
          <w:p>
            <w:pPr>
              <w:pStyle w:val="1132"/>
            </w:pPr>
            <w:r>
              <w:t>运输车辆</w:t>
            </w:r>
          </w:p>
        </w:tc>
        <w:tc>
          <w:tcPr>
            <w:tcW w:w="3331" w:type="pct"/>
            <w:tcBorders>
              <w:tl2br w:val="nil"/>
              <w:tr2bl w:val="nil"/>
            </w:tcBorders>
            <w:vAlign w:val="center"/>
          </w:tcPr>
          <w:p>
            <w:pPr>
              <w:pStyle w:val="1132"/>
            </w:pPr>
            <w:r>
              <w:t>运输车辆在行驶过程中对沿线敏感点的噪声影响</w:t>
            </w:r>
          </w:p>
        </w:tc>
        <w:tc>
          <w:tcPr>
            <w:tcW w:w="627" w:type="pct"/>
            <w:vMerge w:val="continue"/>
            <w:tcBorders>
              <w:tl2br w:val="nil"/>
              <w:tr2bl w:val="nil"/>
            </w:tcBorders>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89" w:type="pct"/>
            <w:tcBorders>
              <w:tl2br w:val="nil"/>
              <w:tr2bl w:val="nil"/>
            </w:tcBorders>
            <w:vAlign w:val="center"/>
          </w:tcPr>
          <w:p>
            <w:pPr>
              <w:pStyle w:val="1132"/>
            </w:pPr>
            <w:r>
              <w:t>地表水环境</w:t>
            </w:r>
          </w:p>
        </w:tc>
        <w:tc>
          <w:tcPr>
            <w:tcW w:w="653" w:type="pct"/>
            <w:tcBorders>
              <w:tl2br w:val="nil"/>
              <w:tr2bl w:val="nil"/>
            </w:tcBorders>
            <w:vAlign w:val="center"/>
          </w:tcPr>
          <w:p>
            <w:pPr>
              <w:pStyle w:val="1132"/>
            </w:pPr>
            <w:r>
              <w:t>桥涵施工</w:t>
            </w:r>
          </w:p>
        </w:tc>
        <w:tc>
          <w:tcPr>
            <w:tcW w:w="3331" w:type="pct"/>
            <w:tcBorders>
              <w:tl2br w:val="nil"/>
              <w:tr2bl w:val="nil"/>
            </w:tcBorders>
            <w:vAlign w:val="center"/>
          </w:tcPr>
          <w:p>
            <w:pPr>
              <w:pStyle w:val="1132"/>
            </w:pPr>
            <w:r>
              <w:t>桥涵建设施工工艺不当或施工管理不强，产生的施工弃渣、机械漏油、施工物料和化学品受雨水冲刷入河等情况将影响水质</w:t>
            </w:r>
          </w:p>
        </w:tc>
        <w:tc>
          <w:tcPr>
            <w:tcW w:w="627" w:type="pct"/>
            <w:tcBorders>
              <w:tl2br w:val="nil"/>
              <w:tr2bl w:val="nil"/>
            </w:tcBorders>
            <w:vAlign w:val="center"/>
          </w:tcPr>
          <w:p>
            <w:pPr>
              <w:pStyle w:val="1132"/>
            </w:pPr>
            <w:r>
              <w:t>短期</w:t>
            </w:r>
          </w:p>
          <w:p>
            <w:pPr>
              <w:pStyle w:val="1132"/>
            </w:pPr>
            <w:r>
              <w:t>可逆</w:t>
            </w:r>
          </w:p>
          <w:p>
            <w:pPr>
              <w:pStyle w:val="1132"/>
            </w:pPr>
            <w:r>
              <w:t>不利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89" w:type="pct"/>
            <w:vMerge w:val="restart"/>
            <w:tcBorders>
              <w:tl2br w:val="nil"/>
              <w:tr2bl w:val="nil"/>
            </w:tcBorders>
            <w:vAlign w:val="center"/>
          </w:tcPr>
          <w:p>
            <w:pPr>
              <w:pStyle w:val="1132"/>
            </w:pPr>
            <w:r>
              <w:t>环境空气</w:t>
            </w:r>
          </w:p>
        </w:tc>
        <w:tc>
          <w:tcPr>
            <w:tcW w:w="653" w:type="pct"/>
            <w:tcBorders>
              <w:tl2br w:val="nil"/>
              <w:tr2bl w:val="nil"/>
            </w:tcBorders>
            <w:vAlign w:val="center"/>
          </w:tcPr>
          <w:p>
            <w:pPr>
              <w:pStyle w:val="1132"/>
            </w:pPr>
            <w:r>
              <w:t>扬尘</w:t>
            </w:r>
          </w:p>
        </w:tc>
        <w:tc>
          <w:tcPr>
            <w:tcW w:w="3331" w:type="pct"/>
            <w:tcBorders>
              <w:tl2br w:val="nil"/>
              <w:tr2bl w:val="nil"/>
            </w:tcBorders>
            <w:vAlign w:val="center"/>
          </w:tcPr>
          <w:p>
            <w:pPr>
              <w:pStyle w:val="1132"/>
              <w:rPr>
                <w:rFonts w:hint="default" w:eastAsia="宋体"/>
                <w:lang w:val="en-US" w:eastAsia="zh-CN"/>
              </w:rPr>
            </w:pPr>
            <w:r>
              <w:t>粉状物料的装卸、运输、堆放过程中有大量粉尘散逸到周围大气中；施工运输车辆行驶导致的扬尘</w:t>
            </w:r>
            <w:r>
              <w:rPr>
                <w:rFonts w:hint="eastAsia"/>
                <w:lang w:eastAsia="zh-CN"/>
              </w:rPr>
              <w:t>；</w:t>
            </w:r>
            <w:r>
              <w:rPr>
                <w:rFonts w:hint="eastAsia"/>
                <w:lang w:val="en-US" w:eastAsia="zh-CN"/>
              </w:rPr>
              <w:t>拌合站扬尘</w:t>
            </w:r>
          </w:p>
        </w:tc>
        <w:tc>
          <w:tcPr>
            <w:tcW w:w="627" w:type="pct"/>
            <w:vMerge w:val="restart"/>
            <w:tcBorders>
              <w:tl2br w:val="nil"/>
              <w:tr2bl w:val="nil"/>
            </w:tcBorders>
            <w:vAlign w:val="center"/>
          </w:tcPr>
          <w:p>
            <w:pPr>
              <w:pStyle w:val="1132"/>
            </w:pPr>
            <w:r>
              <w:t>短期</w:t>
            </w:r>
          </w:p>
          <w:p>
            <w:pPr>
              <w:pStyle w:val="1132"/>
            </w:pPr>
            <w:r>
              <w:t>可逆</w:t>
            </w:r>
          </w:p>
          <w:p>
            <w:pPr>
              <w:pStyle w:val="1132"/>
            </w:pPr>
            <w:r>
              <w:t>不利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89" w:type="pct"/>
            <w:vMerge w:val="continue"/>
            <w:tcBorders>
              <w:tl2br w:val="nil"/>
              <w:tr2bl w:val="nil"/>
            </w:tcBorders>
            <w:vAlign w:val="center"/>
          </w:tcPr>
          <w:p>
            <w:pPr>
              <w:pStyle w:val="1132"/>
            </w:pPr>
          </w:p>
        </w:tc>
        <w:tc>
          <w:tcPr>
            <w:tcW w:w="653" w:type="pct"/>
            <w:tcBorders>
              <w:tl2br w:val="nil"/>
              <w:tr2bl w:val="nil"/>
            </w:tcBorders>
            <w:vAlign w:val="center"/>
          </w:tcPr>
          <w:p>
            <w:pPr>
              <w:pStyle w:val="1132"/>
            </w:pPr>
            <w:r>
              <w:t>沥青烟气</w:t>
            </w:r>
          </w:p>
        </w:tc>
        <w:tc>
          <w:tcPr>
            <w:tcW w:w="3331" w:type="pct"/>
            <w:tcBorders>
              <w:tl2br w:val="nil"/>
              <w:tr2bl w:val="nil"/>
            </w:tcBorders>
            <w:vAlign w:val="center"/>
          </w:tcPr>
          <w:p>
            <w:pPr>
              <w:pStyle w:val="1132"/>
            </w:pPr>
            <w:r>
              <w:t>沥青混凝土摊铺时，沥青烟气会对周围环境造成影响</w:t>
            </w:r>
          </w:p>
        </w:tc>
        <w:tc>
          <w:tcPr>
            <w:tcW w:w="627" w:type="pct"/>
            <w:vMerge w:val="continue"/>
            <w:tcBorders>
              <w:tl2br w:val="nil"/>
              <w:tr2bl w:val="nil"/>
            </w:tcBorders>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89" w:type="pct"/>
            <w:vMerge w:val="continue"/>
            <w:tcBorders>
              <w:tl2br w:val="nil"/>
              <w:tr2bl w:val="nil"/>
            </w:tcBorders>
            <w:vAlign w:val="center"/>
          </w:tcPr>
          <w:p>
            <w:pPr>
              <w:pStyle w:val="1132"/>
            </w:pPr>
          </w:p>
        </w:tc>
        <w:tc>
          <w:tcPr>
            <w:tcW w:w="653" w:type="pct"/>
            <w:tcBorders>
              <w:tl2br w:val="nil"/>
              <w:tr2bl w:val="nil"/>
            </w:tcBorders>
            <w:vAlign w:val="center"/>
          </w:tcPr>
          <w:p>
            <w:pPr>
              <w:pStyle w:val="1132"/>
            </w:pPr>
            <w:r>
              <w:t>作业机械废气</w:t>
            </w:r>
          </w:p>
        </w:tc>
        <w:tc>
          <w:tcPr>
            <w:tcW w:w="3331" w:type="pct"/>
            <w:tcBorders>
              <w:tl2br w:val="nil"/>
              <w:tr2bl w:val="nil"/>
            </w:tcBorders>
            <w:vAlign w:val="center"/>
          </w:tcPr>
          <w:p>
            <w:pPr>
              <w:pStyle w:val="1132"/>
            </w:pPr>
            <w:r>
              <w:t>大型施工燃油机械排放尾气</w:t>
            </w:r>
          </w:p>
        </w:tc>
        <w:tc>
          <w:tcPr>
            <w:tcW w:w="627" w:type="pct"/>
            <w:vMerge w:val="continue"/>
            <w:tcBorders>
              <w:tl2br w:val="nil"/>
              <w:tr2bl w:val="nil"/>
            </w:tcBorders>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89" w:type="pct"/>
            <w:tcBorders>
              <w:tl2br w:val="nil"/>
              <w:tr2bl w:val="nil"/>
            </w:tcBorders>
            <w:vAlign w:val="center"/>
          </w:tcPr>
          <w:p>
            <w:pPr>
              <w:pStyle w:val="1132"/>
            </w:pPr>
            <w:r>
              <w:t>固体废物</w:t>
            </w:r>
          </w:p>
        </w:tc>
        <w:tc>
          <w:tcPr>
            <w:tcW w:w="653" w:type="pct"/>
            <w:tcBorders>
              <w:tl2br w:val="nil"/>
              <w:tr2bl w:val="nil"/>
            </w:tcBorders>
            <w:vAlign w:val="center"/>
          </w:tcPr>
          <w:p>
            <w:pPr>
              <w:pStyle w:val="1132"/>
            </w:pPr>
            <w:r>
              <w:t>施工废渣</w:t>
            </w:r>
          </w:p>
        </w:tc>
        <w:tc>
          <w:tcPr>
            <w:tcW w:w="3331" w:type="pct"/>
            <w:tcBorders>
              <w:tl2br w:val="nil"/>
              <w:tr2bl w:val="nil"/>
            </w:tcBorders>
            <w:vAlign w:val="center"/>
          </w:tcPr>
          <w:p>
            <w:pPr>
              <w:pStyle w:val="1132"/>
              <w:rPr>
                <w:rFonts w:hint="default" w:eastAsia="宋体"/>
                <w:lang w:val="en-US" w:eastAsia="zh-CN"/>
              </w:rPr>
            </w:pPr>
            <w:r>
              <w:t>施工过程中产生建筑垃圾、</w:t>
            </w:r>
            <w:r>
              <w:rPr>
                <w:rFonts w:hint="eastAsia"/>
                <w:lang w:val="en-US" w:eastAsia="zh-CN"/>
              </w:rPr>
              <w:t>废弃土方</w:t>
            </w:r>
            <w:r>
              <w:t>、</w:t>
            </w:r>
            <w:r>
              <w:rPr>
                <w:rFonts w:hint="eastAsia"/>
                <w:lang w:val="en-US" w:eastAsia="zh-CN"/>
              </w:rPr>
              <w:t>施工人员生活垃圾以及隔油池产生的油泥等</w:t>
            </w:r>
          </w:p>
        </w:tc>
        <w:tc>
          <w:tcPr>
            <w:tcW w:w="627" w:type="pct"/>
            <w:tcBorders>
              <w:tl2br w:val="nil"/>
              <w:tr2bl w:val="nil"/>
            </w:tcBorders>
            <w:vAlign w:val="center"/>
          </w:tcPr>
          <w:p>
            <w:pPr>
              <w:pStyle w:val="1132"/>
            </w:pPr>
            <w:r>
              <w:t>短期</w:t>
            </w:r>
          </w:p>
          <w:p>
            <w:pPr>
              <w:pStyle w:val="1132"/>
            </w:pPr>
            <w:r>
              <w:t>可逆</w:t>
            </w:r>
          </w:p>
          <w:p>
            <w:pPr>
              <w:pStyle w:val="1132"/>
            </w:pPr>
            <w:r>
              <w:t>不利</w:t>
            </w:r>
          </w:p>
        </w:tc>
      </w:tr>
      <w:bookmarkEnd w:id="198"/>
      <w:bookmarkEnd w:id="199"/>
    </w:tbl>
    <w:p>
      <w:pPr>
        <w:pStyle w:val="9"/>
      </w:pPr>
      <w:bookmarkStart w:id="201" w:name="_Toc29110"/>
      <w:r>
        <w:rPr>
          <w:rFonts w:hint="eastAsia"/>
        </w:rPr>
        <w:t>噪声源分析</w:t>
      </w:r>
      <w:bookmarkEnd w:id="201"/>
    </w:p>
    <w:p>
      <w:pPr>
        <w:pStyle w:val="10"/>
        <w:ind w:firstLine="480"/>
      </w:pPr>
      <w:r>
        <w:t>公路建设施工阶段的主要噪声源来自于施工机械的施工噪声和运输车辆的辐射噪声，这部分噪声虽然是暂时的，但由于拟建项目施工工期长，施工机械较多，这些施工机械一般都具有高噪声、无规则等特点，如不加以控制，往往会对附近的村庄和学校等声环境敏感点产生较大的噪声污染。</w:t>
      </w:r>
    </w:p>
    <w:p>
      <w:pPr>
        <w:pStyle w:val="10"/>
        <w:ind w:firstLine="480"/>
        <w:rPr>
          <w:sz w:val="21"/>
        </w:rPr>
      </w:pPr>
      <w:r>
        <w:t>根据公路施工特点，可以把施工过程主要可以分为三个阶段，即基础施工、</w:t>
      </w:r>
      <w:r>
        <w:rPr>
          <w:rFonts w:hint="eastAsia"/>
        </w:rPr>
        <w:t>结构</w:t>
      </w:r>
      <w:r>
        <w:t>施工、</w:t>
      </w:r>
      <w:r>
        <w:rPr>
          <w:rFonts w:hint="eastAsia"/>
        </w:rPr>
        <w:t>路面</w:t>
      </w:r>
      <w:r>
        <w:t>施工。各施工阶段所采用的主要施工机械有装载机、推土机、挖掘机、打桩机、压路机、商砼搅拌车。</w:t>
      </w:r>
    </w:p>
    <w:p>
      <w:pPr>
        <w:pStyle w:val="10"/>
        <w:ind w:firstLine="480"/>
      </w:pPr>
      <w:r>
        <w:rPr>
          <w:bCs/>
        </w:rPr>
        <w:t>目前国内道路建设项目施工技术水平及施工设备大致相同，机械设备噪声源强参考《环境噪声与振动控制工程技术导则》（HJ2034</w:t>
      </w:r>
      <w:r>
        <w:rPr>
          <w:rFonts w:hint="eastAsia"/>
          <w:bCs/>
        </w:rPr>
        <w:t>-</w:t>
      </w:r>
      <w:r>
        <w:rPr>
          <w:bCs/>
        </w:rPr>
        <w:t>2013）、《公路建设项目环境影响评价规范》（JTGB03</w:t>
      </w:r>
      <w:r>
        <w:rPr>
          <w:rFonts w:hint="eastAsia"/>
          <w:bCs/>
        </w:rPr>
        <w:t>-</w:t>
      </w:r>
      <w:r>
        <w:rPr>
          <w:bCs/>
        </w:rPr>
        <w:t>2006）推荐的声级，根据预防的原则确定，详见</w:t>
      </w:r>
      <w:r>
        <w:rPr>
          <w:rFonts w:hint="eastAsia"/>
          <w:bCs/>
        </w:rPr>
        <w:t>下</w:t>
      </w:r>
      <w:r>
        <w:t>表。</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道路工程施工机械噪声测试值  单位:dB(A)</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7"/>
        <w:gridCol w:w="1235"/>
        <w:gridCol w:w="2249"/>
        <w:gridCol w:w="1506"/>
        <w:gridCol w:w="1515"/>
        <w:gridCol w:w="1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rPr>
                <w:b/>
                <w:bCs w:val="0"/>
              </w:rPr>
            </w:pPr>
            <w:r>
              <w:rPr>
                <w:b/>
                <w:bCs w:val="0"/>
              </w:rPr>
              <w:t>序号</w:t>
            </w:r>
          </w:p>
        </w:tc>
        <w:tc>
          <w:tcPr>
            <w:tcW w:w="665" w:type="pct"/>
            <w:vAlign w:val="center"/>
          </w:tcPr>
          <w:p>
            <w:pPr>
              <w:pStyle w:val="1132"/>
              <w:rPr>
                <w:b/>
                <w:bCs w:val="0"/>
              </w:rPr>
            </w:pPr>
            <w:r>
              <w:rPr>
                <w:b/>
                <w:bCs w:val="0"/>
              </w:rPr>
              <w:t>施工阶段</w:t>
            </w:r>
          </w:p>
        </w:tc>
        <w:tc>
          <w:tcPr>
            <w:tcW w:w="1211" w:type="pct"/>
            <w:vAlign w:val="center"/>
          </w:tcPr>
          <w:p>
            <w:pPr>
              <w:pStyle w:val="1132"/>
              <w:rPr>
                <w:b/>
                <w:bCs w:val="0"/>
              </w:rPr>
            </w:pPr>
            <w:r>
              <w:rPr>
                <w:b/>
                <w:bCs w:val="0"/>
              </w:rPr>
              <w:t>机械类型</w:t>
            </w:r>
          </w:p>
        </w:tc>
        <w:tc>
          <w:tcPr>
            <w:tcW w:w="811" w:type="pct"/>
            <w:vAlign w:val="center"/>
          </w:tcPr>
          <w:p>
            <w:pPr>
              <w:pStyle w:val="1132"/>
              <w:rPr>
                <w:b/>
                <w:bCs w:val="0"/>
              </w:rPr>
            </w:pPr>
            <w:r>
              <w:rPr>
                <w:b/>
                <w:bCs w:val="0"/>
              </w:rPr>
              <w:t>测点距机械距离(m)</w:t>
            </w:r>
          </w:p>
        </w:tc>
        <w:tc>
          <w:tcPr>
            <w:tcW w:w="816" w:type="pct"/>
            <w:vAlign w:val="center"/>
          </w:tcPr>
          <w:p>
            <w:pPr>
              <w:pStyle w:val="1132"/>
              <w:rPr>
                <w:b/>
                <w:bCs w:val="0"/>
              </w:rPr>
            </w:pPr>
            <w:r>
              <w:rPr>
                <w:b/>
                <w:bCs w:val="0"/>
              </w:rPr>
              <w:t>声压级</w:t>
            </w:r>
          </w:p>
        </w:tc>
        <w:tc>
          <w:tcPr>
            <w:tcW w:w="1004" w:type="pct"/>
            <w:vAlign w:val="center"/>
          </w:tcPr>
          <w:p>
            <w:pPr>
              <w:pStyle w:val="1132"/>
              <w:rPr>
                <w:b/>
                <w:bCs w:val="0"/>
              </w:rPr>
            </w:pPr>
            <w:r>
              <w:rPr>
                <w:b/>
                <w:bCs w:val="0"/>
              </w:rPr>
              <w:t>声源特点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pPr>
            <w:r>
              <w:t>1</w:t>
            </w:r>
          </w:p>
        </w:tc>
        <w:tc>
          <w:tcPr>
            <w:tcW w:w="665" w:type="pct"/>
            <w:vMerge w:val="restart"/>
            <w:vAlign w:val="center"/>
          </w:tcPr>
          <w:p>
            <w:pPr>
              <w:pStyle w:val="1132"/>
            </w:pPr>
            <w:r>
              <w:t>基础施工</w:t>
            </w:r>
          </w:p>
        </w:tc>
        <w:tc>
          <w:tcPr>
            <w:tcW w:w="1211" w:type="pct"/>
            <w:vAlign w:val="center"/>
          </w:tcPr>
          <w:p>
            <w:pPr>
              <w:pStyle w:val="1132"/>
            </w:pPr>
            <w:r>
              <w:t>平地机</w:t>
            </w:r>
          </w:p>
        </w:tc>
        <w:tc>
          <w:tcPr>
            <w:tcW w:w="811" w:type="pct"/>
            <w:vAlign w:val="center"/>
          </w:tcPr>
          <w:p>
            <w:pPr>
              <w:pStyle w:val="1132"/>
            </w:pPr>
            <w:r>
              <w:t>5</w:t>
            </w:r>
          </w:p>
        </w:tc>
        <w:tc>
          <w:tcPr>
            <w:tcW w:w="816" w:type="pct"/>
            <w:vAlign w:val="center"/>
          </w:tcPr>
          <w:p>
            <w:pPr>
              <w:pStyle w:val="1132"/>
            </w:pPr>
            <w:r>
              <w:t>90</w:t>
            </w:r>
            <w:r>
              <w:rPr>
                <w:rFonts w:ascii="Segoe UI Symbol" w:hAnsi="Segoe UI Symbol" w:cs="Segoe UI Symbol"/>
              </w:rPr>
              <w:t>★</w:t>
            </w:r>
          </w:p>
        </w:tc>
        <w:tc>
          <w:tcPr>
            <w:tcW w:w="1004" w:type="pct"/>
            <w:vAlign w:val="center"/>
          </w:tcPr>
          <w:p>
            <w:pPr>
              <w:pStyle w:val="1132"/>
            </w:pPr>
            <w:r>
              <w:t>流动不稳态源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pPr>
            <w:r>
              <w:t>2</w:t>
            </w:r>
          </w:p>
        </w:tc>
        <w:tc>
          <w:tcPr>
            <w:tcW w:w="665" w:type="pct"/>
            <w:vMerge w:val="continue"/>
            <w:vAlign w:val="center"/>
          </w:tcPr>
          <w:p>
            <w:pPr>
              <w:pStyle w:val="1132"/>
            </w:pPr>
          </w:p>
        </w:tc>
        <w:tc>
          <w:tcPr>
            <w:tcW w:w="1211" w:type="pct"/>
            <w:vAlign w:val="center"/>
          </w:tcPr>
          <w:p>
            <w:pPr>
              <w:pStyle w:val="1132"/>
            </w:pPr>
            <w:r>
              <w:t>推土机</w:t>
            </w:r>
          </w:p>
        </w:tc>
        <w:tc>
          <w:tcPr>
            <w:tcW w:w="811" w:type="pct"/>
            <w:vAlign w:val="center"/>
          </w:tcPr>
          <w:p>
            <w:pPr>
              <w:pStyle w:val="1132"/>
            </w:pPr>
            <w:r>
              <w:t>10</w:t>
            </w:r>
          </w:p>
        </w:tc>
        <w:tc>
          <w:tcPr>
            <w:tcW w:w="816" w:type="pct"/>
            <w:vAlign w:val="center"/>
          </w:tcPr>
          <w:p>
            <w:pPr>
              <w:pStyle w:val="1132"/>
            </w:pPr>
            <w:r>
              <w:t>85</w:t>
            </w:r>
          </w:p>
        </w:tc>
        <w:tc>
          <w:tcPr>
            <w:tcW w:w="1004" w:type="pct"/>
            <w:vAlign w:val="center"/>
          </w:tcPr>
          <w:p>
            <w:pPr>
              <w:pStyle w:val="1132"/>
            </w:pPr>
            <w:r>
              <w:t>流动不稳态源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pPr>
            <w:r>
              <w:t>3</w:t>
            </w:r>
          </w:p>
        </w:tc>
        <w:tc>
          <w:tcPr>
            <w:tcW w:w="665" w:type="pct"/>
            <w:vMerge w:val="continue"/>
            <w:vAlign w:val="center"/>
          </w:tcPr>
          <w:p>
            <w:pPr>
              <w:pStyle w:val="1132"/>
            </w:pPr>
          </w:p>
        </w:tc>
        <w:tc>
          <w:tcPr>
            <w:tcW w:w="1211" w:type="pct"/>
            <w:vAlign w:val="center"/>
          </w:tcPr>
          <w:p>
            <w:pPr>
              <w:pStyle w:val="1132"/>
            </w:pPr>
            <w:r>
              <w:t>液压挖掘机</w:t>
            </w:r>
          </w:p>
        </w:tc>
        <w:tc>
          <w:tcPr>
            <w:tcW w:w="811" w:type="pct"/>
            <w:vAlign w:val="center"/>
          </w:tcPr>
          <w:p>
            <w:pPr>
              <w:pStyle w:val="1132"/>
            </w:pPr>
            <w:r>
              <w:t>10</w:t>
            </w:r>
          </w:p>
        </w:tc>
        <w:tc>
          <w:tcPr>
            <w:tcW w:w="816" w:type="pct"/>
            <w:vAlign w:val="center"/>
          </w:tcPr>
          <w:p>
            <w:pPr>
              <w:pStyle w:val="1132"/>
            </w:pPr>
            <w:r>
              <w:t>86</w:t>
            </w:r>
          </w:p>
        </w:tc>
        <w:tc>
          <w:tcPr>
            <w:tcW w:w="1004" w:type="pct"/>
            <w:vAlign w:val="center"/>
          </w:tcPr>
          <w:p>
            <w:pPr>
              <w:pStyle w:val="1132"/>
            </w:pPr>
            <w:r>
              <w:t>不稳态源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pPr>
            <w:r>
              <w:t>4</w:t>
            </w:r>
          </w:p>
        </w:tc>
        <w:tc>
          <w:tcPr>
            <w:tcW w:w="665" w:type="pct"/>
            <w:vMerge w:val="continue"/>
            <w:vAlign w:val="center"/>
          </w:tcPr>
          <w:p>
            <w:pPr>
              <w:pStyle w:val="1132"/>
            </w:pPr>
          </w:p>
        </w:tc>
        <w:tc>
          <w:tcPr>
            <w:tcW w:w="1211" w:type="pct"/>
            <w:vAlign w:val="center"/>
          </w:tcPr>
          <w:p>
            <w:pPr>
              <w:pStyle w:val="1132"/>
            </w:pPr>
            <w:r>
              <w:t>重型运输车</w:t>
            </w:r>
          </w:p>
        </w:tc>
        <w:tc>
          <w:tcPr>
            <w:tcW w:w="811" w:type="pct"/>
            <w:vAlign w:val="center"/>
          </w:tcPr>
          <w:p>
            <w:pPr>
              <w:pStyle w:val="1132"/>
            </w:pPr>
            <w:r>
              <w:t>10</w:t>
            </w:r>
          </w:p>
        </w:tc>
        <w:tc>
          <w:tcPr>
            <w:tcW w:w="816" w:type="pct"/>
            <w:vAlign w:val="center"/>
          </w:tcPr>
          <w:p>
            <w:pPr>
              <w:pStyle w:val="1132"/>
            </w:pPr>
            <w:r>
              <w:t>86</w:t>
            </w:r>
          </w:p>
        </w:tc>
        <w:tc>
          <w:tcPr>
            <w:tcW w:w="1004" w:type="pct"/>
            <w:vAlign w:val="center"/>
          </w:tcPr>
          <w:p>
            <w:pPr>
              <w:pStyle w:val="1132"/>
            </w:pPr>
            <w:r>
              <w:t>流动不稳态源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pPr>
            <w:r>
              <w:t>5</w:t>
            </w:r>
          </w:p>
        </w:tc>
        <w:tc>
          <w:tcPr>
            <w:tcW w:w="665" w:type="pct"/>
            <w:vMerge w:val="restart"/>
            <w:vAlign w:val="center"/>
          </w:tcPr>
          <w:p>
            <w:pPr>
              <w:pStyle w:val="1132"/>
            </w:pPr>
            <w:r>
              <w:t>结构施工</w:t>
            </w:r>
          </w:p>
        </w:tc>
        <w:tc>
          <w:tcPr>
            <w:tcW w:w="1211" w:type="pct"/>
            <w:vAlign w:val="center"/>
          </w:tcPr>
          <w:p>
            <w:pPr>
              <w:pStyle w:val="1132"/>
            </w:pPr>
            <w:r>
              <w:t>轮式装载机</w:t>
            </w:r>
          </w:p>
        </w:tc>
        <w:tc>
          <w:tcPr>
            <w:tcW w:w="811" w:type="pct"/>
            <w:vAlign w:val="center"/>
          </w:tcPr>
          <w:p>
            <w:pPr>
              <w:pStyle w:val="1132"/>
            </w:pPr>
            <w:r>
              <w:t>10</w:t>
            </w:r>
          </w:p>
        </w:tc>
        <w:tc>
          <w:tcPr>
            <w:tcW w:w="816" w:type="pct"/>
            <w:vAlign w:val="center"/>
          </w:tcPr>
          <w:p>
            <w:pPr>
              <w:pStyle w:val="1132"/>
            </w:pPr>
            <w:r>
              <w:t>90</w:t>
            </w:r>
          </w:p>
        </w:tc>
        <w:tc>
          <w:tcPr>
            <w:tcW w:w="1004" w:type="pct"/>
            <w:vAlign w:val="center"/>
          </w:tcPr>
          <w:p>
            <w:pPr>
              <w:pStyle w:val="1132"/>
            </w:pPr>
            <w:r>
              <w:t>不稳态源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pPr>
            <w:r>
              <w:t>6</w:t>
            </w:r>
          </w:p>
        </w:tc>
        <w:tc>
          <w:tcPr>
            <w:tcW w:w="665" w:type="pct"/>
            <w:vMerge w:val="continue"/>
            <w:vAlign w:val="center"/>
          </w:tcPr>
          <w:p>
            <w:pPr>
              <w:pStyle w:val="1132"/>
            </w:pPr>
          </w:p>
        </w:tc>
        <w:tc>
          <w:tcPr>
            <w:tcW w:w="1211" w:type="pct"/>
            <w:vAlign w:val="center"/>
          </w:tcPr>
          <w:p>
            <w:pPr>
              <w:pStyle w:val="1132"/>
            </w:pPr>
            <w:r>
              <w:t>钻孔机</w:t>
            </w:r>
          </w:p>
        </w:tc>
        <w:tc>
          <w:tcPr>
            <w:tcW w:w="811" w:type="pct"/>
            <w:vAlign w:val="center"/>
          </w:tcPr>
          <w:p>
            <w:pPr>
              <w:pStyle w:val="1132"/>
            </w:pPr>
            <w:r>
              <w:t>1</w:t>
            </w:r>
          </w:p>
        </w:tc>
        <w:tc>
          <w:tcPr>
            <w:tcW w:w="816" w:type="pct"/>
            <w:vAlign w:val="center"/>
          </w:tcPr>
          <w:p>
            <w:pPr>
              <w:pStyle w:val="1132"/>
            </w:pPr>
            <w:r>
              <w:t>87</w:t>
            </w:r>
            <w:r>
              <w:rPr>
                <w:rFonts w:ascii="Segoe UI Symbol" w:hAnsi="Segoe UI Symbol" w:cs="Segoe UI Symbol"/>
              </w:rPr>
              <w:t>★</w:t>
            </w:r>
          </w:p>
        </w:tc>
        <w:tc>
          <w:tcPr>
            <w:tcW w:w="1004" w:type="pct"/>
            <w:vAlign w:val="center"/>
          </w:tcPr>
          <w:p>
            <w:pPr>
              <w:pStyle w:val="1132"/>
            </w:pPr>
            <w:r>
              <w:t>不稳态源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pPr>
            <w:r>
              <w:t>7</w:t>
            </w:r>
          </w:p>
        </w:tc>
        <w:tc>
          <w:tcPr>
            <w:tcW w:w="665" w:type="pct"/>
            <w:vMerge w:val="continue"/>
            <w:vAlign w:val="center"/>
          </w:tcPr>
          <w:p>
            <w:pPr>
              <w:pStyle w:val="1132"/>
            </w:pPr>
          </w:p>
        </w:tc>
        <w:tc>
          <w:tcPr>
            <w:tcW w:w="1211" w:type="pct"/>
            <w:vAlign w:val="center"/>
          </w:tcPr>
          <w:p>
            <w:pPr>
              <w:pStyle w:val="1132"/>
            </w:pPr>
            <w:r>
              <w:t>打桩机</w:t>
            </w:r>
          </w:p>
        </w:tc>
        <w:tc>
          <w:tcPr>
            <w:tcW w:w="811" w:type="pct"/>
            <w:vAlign w:val="center"/>
          </w:tcPr>
          <w:p>
            <w:pPr>
              <w:pStyle w:val="1132"/>
            </w:pPr>
            <w:r>
              <w:t>10</w:t>
            </w:r>
          </w:p>
        </w:tc>
        <w:tc>
          <w:tcPr>
            <w:tcW w:w="816" w:type="pct"/>
            <w:vAlign w:val="center"/>
          </w:tcPr>
          <w:p>
            <w:pPr>
              <w:pStyle w:val="1132"/>
            </w:pPr>
            <w:r>
              <w:t>105</w:t>
            </w:r>
          </w:p>
        </w:tc>
        <w:tc>
          <w:tcPr>
            <w:tcW w:w="1004" w:type="pct"/>
            <w:vAlign w:val="center"/>
          </w:tcPr>
          <w:p>
            <w:pPr>
              <w:pStyle w:val="1132"/>
            </w:pPr>
            <w:r>
              <w:t>不稳态源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pPr>
            <w:r>
              <w:t>8</w:t>
            </w:r>
          </w:p>
        </w:tc>
        <w:tc>
          <w:tcPr>
            <w:tcW w:w="665" w:type="pct"/>
            <w:vMerge w:val="continue"/>
            <w:vAlign w:val="center"/>
          </w:tcPr>
          <w:p>
            <w:pPr>
              <w:pStyle w:val="1132"/>
            </w:pPr>
          </w:p>
        </w:tc>
        <w:tc>
          <w:tcPr>
            <w:tcW w:w="1211" w:type="pct"/>
            <w:vAlign w:val="center"/>
          </w:tcPr>
          <w:p>
            <w:pPr>
              <w:pStyle w:val="1132"/>
            </w:pPr>
            <w:r>
              <w:t>混凝土搅拌机</w:t>
            </w:r>
          </w:p>
        </w:tc>
        <w:tc>
          <w:tcPr>
            <w:tcW w:w="811" w:type="pct"/>
            <w:vAlign w:val="center"/>
          </w:tcPr>
          <w:p>
            <w:pPr>
              <w:pStyle w:val="1132"/>
            </w:pPr>
            <w:r>
              <w:t>2</w:t>
            </w:r>
          </w:p>
        </w:tc>
        <w:tc>
          <w:tcPr>
            <w:tcW w:w="816" w:type="pct"/>
            <w:vAlign w:val="center"/>
          </w:tcPr>
          <w:p>
            <w:pPr>
              <w:pStyle w:val="1132"/>
            </w:pPr>
            <w:r>
              <w:t xml:space="preserve">88 </w:t>
            </w:r>
            <w:r>
              <w:rPr>
                <w:rFonts w:ascii="Segoe UI Symbol" w:hAnsi="Segoe UI Symbol" w:cs="Segoe UI Symbol"/>
              </w:rPr>
              <w:t>★</w:t>
            </w:r>
          </w:p>
        </w:tc>
        <w:tc>
          <w:tcPr>
            <w:tcW w:w="1004" w:type="pct"/>
            <w:vAlign w:val="center"/>
          </w:tcPr>
          <w:p>
            <w:pPr>
              <w:pStyle w:val="1132"/>
            </w:pPr>
            <w:r>
              <w:t>不稳态源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pPr>
            <w:r>
              <w:t>9</w:t>
            </w:r>
          </w:p>
        </w:tc>
        <w:tc>
          <w:tcPr>
            <w:tcW w:w="665" w:type="pct"/>
            <w:vMerge w:val="restart"/>
            <w:vAlign w:val="center"/>
          </w:tcPr>
          <w:p>
            <w:pPr>
              <w:pStyle w:val="1132"/>
            </w:pPr>
            <w:r>
              <w:t>路面施工</w:t>
            </w:r>
          </w:p>
        </w:tc>
        <w:tc>
          <w:tcPr>
            <w:tcW w:w="1211" w:type="pct"/>
            <w:vAlign w:val="center"/>
          </w:tcPr>
          <w:p>
            <w:pPr>
              <w:pStyle w:val="1132"/>
            </w:pPr>
            <w:r>
              <w:t>摊铺机</w:t>
            </w:r>
          </w:p>
        </w:tc>
        <w:tc>
          <w:tcPr>
            <w:tcW w:w="811" w:type="pct"/>
            <w:vAlign w:val="center"/>
          </w:tcPr>
          <w:p>
            <w:pPr>
              <w:pStyle w:val="1132"/>
            </w:pPr>
            <w:r>
              <w:t>5</w:t>
            </w:r>
          </w:p>
        </w:tc>
        <w:tc>
          <w:tcPr>
            <w:tcW w:w="816" w:type="pct"/>
            <w:vAlign w:val="center"/>
          </w:tcPr>
          <w:p>
            <w:pPr>
              <w:pStyle w:val="1132"/>
            </w:pPr>
            <w:r>
              <w:t>87</w:t>
            </w:r>
            <w:r>
              <w:rPr>
                <w:rFonts w:ascii="Segoe UI Symbol" w:hAnsi="Segoe UI Symbol" w:cs="Segoe UI Symbol"/>
              </w:rPr>
              <w:t>★</w:t>
            </w:r>
          </w:p>
        </w:tc>
        <w:tc>
          <w:tcPr>
            <w:tcW w:w="1004" w:type="pct"/>
            <w:vAlign w:val="center"/>
          </w:tcPr>
          <w:p>
            <w:pPr>
              <w:pStyle w:val="1132"/>
            </w:pPr>
            <w:r>
              <w:t>流动不稳态源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pPr>
            <w:r>
              <w:t>10</w:t>
            </w:r>
          </w:p>
        </w:tc>
        <w:tc>
          <w:tcPr>
            <w:tcW w:w="665" w:type="pct"/>
            <w:vMerge w:val="continue"/>
            <w:vAlign w:val="center"/>
          </w:tcPr>
          <w:p>
            <w:pPr>
              <w:pStyle w:val="1132"/>
            </w:pPr>
          </w:p>
        </w:tc>
        <w:tc>
          <w:tcPr>
            <w:tcW w:w="1211" w:type="pct"/>
            <w:vAlign w:val="center"/>
          </w:tcPr>
          <w:p>
            <w:pPr>
              <w:pStyle w:val="1132"/>
            </w:pPr>
            <w:r>
              <w:t>混凝土输送泵</w:t>
            </w:r>
          </w:p>
        </w:tc>
        <w:tc>
          <w:tcPr>
            <w:tcW w:w="811" w:type="pct"/>
            <w:vAlign w:val="center"/>
          </w:tcPr>
          <w:p>
            <w:pPr>
              <w:pStyle w:val="1132"/>
            </w:pPr>
            <w:r>
              <w:t>10</w:t>
            </w:r>
          </w:p>
        </w:tc>
        <w:tc>
          <w:tcPr>
            <w:tcW w:w="816" w:type="pct"/>
            <w:vAlign w:val="center"/>
          </w:tcPr>
          <w:p>
            <w:pPr>
              <w:pStyle w:val="1132"/>
              <w:rPr>
                <w:szCs w:val="21"/>
              </w:rPr>
            </w:pPr>
            <w:r>
              <w:rPr>
                <w:szCs w:val="21"/>
              </w:rPr>
              <w:t>90</w:t>
            </w:r>
          </w:p>
        </w:tc>
        <w:tc>
          <w:tcPr>
            <w:tcW w:w="1004" w:type="pct"/>
            <w:vAlign w:val="center"/>
          </w:tcPr>
          <w:p>
            <w:pPr>
              <w:pStyle w:val="1132"/>
            </w:pPr>
            <w:r>
              <w:t>不稳态源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132"/>
            </w:pPr>
            <w:r>
              <w:t>11</w:t>
            </w:r>
          </w:p>
        </w:tc>
        <w:tc>
          <w:tcPr>
            <w:tcW w:w="665" w:type="pct"/>
            <w:vMerge w:val="continue"/>
            <w:vAlign w:val="center"/>
          </w:tcPr>
          <w:p>
            <w:pPr>
              <w:pStyle w:val="1132"/>
            </w:pPr>
          </w:p>
        </w:tc>
        <w:tc>
          <w:tcPr>
            <w:tcW w:w="1211" w:type="pct"/>
            <w:vAlign w:val="center"/>
          </w:tcPr>
          <w:p>
            <w:pPr>
              <w:pStyle w:val="1132"/>
            </w:pPr>
            <w:r>
              <w:t>振动式压路机</w:t>
            </w:r>
          </w:p>
        </w:tc>
        <w:tc>
          <w:tcPr>
            <w:tcW w:w="811" w:type="pct"/>
            <w:vAlign w:val="center"/>
          </w:tcPr>
          <w:p>
            <w:pPr>
              <w:pStyle w:val="1132"/>
            </w:pPr>
            <w:r>
              <w:t>10</w:t>
            </w:r>
          </w:p>
        </w:tc>
        <w:tc>
          <w:tcPr>
            <w:tcW w:w="816" w:type="pct"/>
            <w:vAlign w:val="center"/>
          </w:tcPr>
          <w:p>
            <w:pPr>
              <w:pStyle w:val="1132"/>
            </w:pPr>
            <w:r>
              <w:t>86</w:t>
            </w:r>
          </w:p>
        </w:tc>
        <w:tc>
          <w:tcPr>
            <w:tcW w:w="1004" w:type="pct"/>
            <w:vAlign w:val="center"/>
          </w:tcPr>
          <w:p>
            <w:pPr>
              <w:pStyle w:val="1132"/>
            </w:pPr>
            <w:r>
              <w:t>流动不稳态源</w:t>
            </w:r>
          </w:p>
        </w:tc>
      </w:tr>
    </w:tbl>
    <w:p>
      <w:pPr>
        <w:pStyle w:val="112"/>
        <w:ind w:firstLine="0" w:firstLineChars="0"/>
        <w:rPr>
          <w:bCs/>
          <w:sz w:val="21"/>
          <w:szCs w:val="21"/>
        </w:rPr>
      </w:pPr>
      <w:r>
        <w:rPr>
          <w:bCs/>
          <w:sz w:val="21"/>
          <w:szCs w:val="21"/>
        </w:rPr>
        <w:t>注：</w:t>
      </w:r>
      <w:r>
        <w:rPr>
          <w:rFonts w:ascii="Segoe UI Symbol" w:hAnsi="Segoe UI Symbol" w:cs="Segoe UI Symbol"/>
          <w:bCs/>
          <w:sz w:val="21"/>
          <w:szCs w:val="21"/>
        </w:rPr>
        <w:t>★</w:t>
      </w:r>
      <w:r>
        <w:rPr>
          <w:bCs/>
          <w:sz w:val="21"/>
          <w:szCs w:val="21"/>
        </w:rPr>
        <w:t>号表示此参数来源于《公路建设项目环境影响评价规范》（JTGB03</w:t>
      </w:r>
      <w:r>
        <w:rPr>
          <w:rFonts w:hint="eastAsia"/>
          <w:bCs/>
          <w:sz w:val="21"/>
          <w:szCs w:val="21"/>
        </w:rPr>
        <w:t>-</w:t>
      </w:r>
      <w:r>
        <w:rPr>
          <w:bCs/>
          <w:sz w:val="21"/>
          <w:szCs w:val="21"/>
        </w:rPr>
        <w:t>2006）推荐的声级，其它来源于《环境噪声与振动控制工程技术导则》（HJ2034</w:t>
      </w:r>
      <w:r>
        <w:rPr>
          <w:rFonts w:hint="eastAsia"/>
          <w:bCs/>
          <w:sz w:val="21"/>
          <w:szCs w:val="21"/>
        </w:rPr>
        <w:t>-</w:t>
      </w:r>
      <w:r>
        <w:rPr>
          <w:bCs/>
          <w:sz w:val="21"/>
          <w:szCs w:val="21"/>
        </w:rPr>
        <w:t>2013）。</w:t>
      </w:r>
    </w:p>
    <w:p>
      <w:pPr>
        <w:pStyle w:val="9"/>
      </w:pPr>
      <w:bookmarkStart w:id="202" w:name="_Toc29444"/>
      <w:r>
        <w:rPr>
          <w:rFonts w:hint="eastAsia"/>
        </w:rPr>
        <w:t>大气污染源分析</w:t>
      </w:r>
      <w:bookmarkEnd w:id="202"/>
    </w:p>
    <w:p>
      <w:pPr>
        <w:pStyle w:val="10"/>
        <w:ind w:firstLine="480"/>
      </w:pPr>
      <w:r>
        <w:t>拟建项目施工期主要大气污染源为：</w:t>
      </w:r>
    </w:p>
    <w:p>
      <w:pPr>
        <w:pStyle w:val="10"/>
        <w:ind w:firstLine="480"/>
      </w:pPr>
      <w:r>
        <w:rPr>
          <w:rFonts w:hint="eastAsia"/>
        </w:rPr>
        <w:t>（1）</w:t>
      </w:r>
      <w:r>
        <w:t>破路、土方挖掘、土方回填期间作业的扬尘；</w:t>
      </w:r>
    </w:p>
    <w:p>
      <w:pPr>
        <w:pStyle w:val="10"/>
        <w:ind w:firstLine="480"/>
      </w:pPr>
      <w:r>
        <w:rPr>
          <w:rFonts w:hint="eastAsia"/>
        </w:rPr>
        <w:t>（2）</w:t>
      </w:r>
      <w:r>
        <w:t>道路施工期间断路、车辆行驶产生的扬尘；</w:t>
      </w:r>
    </w:p>
    <w:p>
      <w:pPr>
        <w:pStyle w:val="10"/>
        <w:ind w:firstLine="480"/>
        <w:rPr>
          <w:rFonts w:hint="default" w:eastAsia="宋体"/>
          <w:lang w:val="en-US" w:eastAsia="zh-CN"/>
        </w:rPr>
      </w:pPr>
      <w:r>
        <w:rPr>
          <w:rFonts w:hint="eastAsia"/>
          <w:lang w:eastAsia="zh-CN"/>
        </w:rPr>
        <w:t>（</w:t>
      </w:r>
      <w:r>
        <w:rPr>
          <w:rFonts w:hint="eastAsia"/>
          <w:lang w:val="en-US" w:eastAsia="zh-CN"/>
        </w:rPr>
        <w:t>3</w:t>
      </w:r>
      <w:r>
        <w:rPr>
          <w:rFonts w:hint="eastAsia"/>
          <w:lang w:eastAsia="zh-CN"/>
        </w:rPr>
        <w:t>）</w:t>
      </w:r>
      <w:r>
        <w:rPr>
          <w:rFonts w:hint="eastAsia"/>
          <w:lang w:val="en-US" w:eastAsia="zh-CN"/>
        </w:rPr>
        <w:t>拌合站扬尘</w:t>
      </w:r>
    </w:p>
    <w:p>
      <w:pPr>
        <w:pStyle w:val="10"/>
        <w:ind w:firstLine="480"/>
      </w:pPr>
      <w:r>
        <w:rPr>
          <w:rFonts w:hint="eastAsia"/>
        </w:rPr>
        <w:t>（</w:t>
      </w:r>
      <w:r>
        <w:rPr>
          <w:rFonts w:hint="eastAsia"/>
          <w:lang w:val="en-US" w:eastAsia="zh-CN"/>
        </w:rPr>
        <w:t>4</w:t>
      </w:r>
      <w:r>
        <w:rPr>
          <w:rFonts w:hint="eastAsia"/>
        </w:rPr>
        <w:t>）</w:t>
      </w:r>
      <w:r>
        <w:t>风力作用下产生的扬尘</w:t>
      </w:r>
      <w:r>
        <w:rPr>
          <w:rFonts w:hint="eastAsia"/>
        </w:rPr>
        <w:t>：</w:t>
      </w:r>
    </w:p>
    <w:p>
      <w:pPr>
        <w:pStyle w:val="10"/>
        <w:ind w:firstLine="480"/>
      </w:pPr>
      <w:r>
        <w:t>施工期在城市施工时挖出的泥土堆放在施工现场，在干燥无雨及大风天气条件下，裸露的地面和堆置的土石方极易产生风蚀扬尘，其风蚀扬尘的影响范围一般在200m内。</w:t>
      </w:r>
    </w:p>
    <w:p>
      <w:pPr>
        <w:pStyle w:val="10"/>
        <w:ind w:firstLine="480"/>
      </w:pPr>
      <w:r>
        <w:t>运送弃土和废弃物的车辆行驶时易产生道路扬尘，行车道两侧扬尘短期浓度可达到8</w:t>
      </w:r>
      <w:r>
        <w:rPr>
          <w:rFonts w:hint="eastAsia"/>
          <w:lang w:val="en-US" w:eastAsia="zh-CN"/>
        </w:rPr>
        <w:t>~</w:t>
      </w:r>
      <w:r>
        <w:t>10mg/m</w:t>
      </w:r>
      <w:r>
        <w:rPr>
          <w:vertAlign w:val="superscript"/>
        </w:rPr>
        <w:t>3</w:t>
      </w:r>
      <w:r>
        <w:t>，但道路扬尘浓度随着离扬尘点的距离的增加而迅速下降，影响范围一般在道路两侧200m内。</w:t>
      </w:r>
    </w:p>
    <w:p>
      <w:pPr>
        <w:pStyle w:val="10"/>
        <w:ind w:firstLine="480"/>
        <w:rPr>
          <w:sz w:val="28"/>
        </w:rPr>
      </w:pPr>
      <w:r>
        <w:t>在雨天气候条件下，车辆进出施工场地，会从便道上带出许多泥土，影响道路路面清洁，干燥后会产生扬尘污染。</w:t>
      </w:r>
    </w:p>
    <w:p>
      <w:pPr>
        <w:pStyle w:val="10"/>
        <w:ind w:firstLine="480"/>
      </w:pPr>
      <w:r>
        <w:t>扬尘产生量与风力、表土含水率等因素有关，难以定量表述。经类比表明施工期扬尘比背景值高3-5倍。</w:t>
      </w:r>
    </w:p>
    <w:p>
      <w:pPr>
        <w:pStyle w:val="10"/>
        <w:ind w:firstLine="480"/>
        <w:rPr>
          <w:bCs/>
        </w:rPr>
      </w:pPr>
      <w:r>
        <w:rPr>
          <w:rFonts w:hint="eastAsia"/>
        </w:rPr>
        <w:t>（</w:t>
      </w:r>
      <w:r>
        <w:rPr>
          <w:rFonts w:hint="eastAsia"/>
          <w:lang w:val="en-US" w:eastAsia="zh-CN"/>
        </w:rPr>
        <w:t>5</w:t>
      </w:r>
      <w:r>
        <w:rPr>
          <w:rFonts w:hint="eastAsia"/>
        </w:rPr>
        <w:t>）</w:t>
      </w:r>
      <w:r>
        <w:t>工程拆迁过程中产生扬尘</w:t>
      </w:r>
      <w:r>
        <w:rPr>
          <w:bCs/>
        </w:rPr>
        <w:t>；</w:t>
      </w:r>
    </w:p>
    <w:p>
      <w:pPr>
        <w:pStyle w:val="10"/>
        <w:ind w:firstLine="480"/>
      </w:pPr>
      <w:r>
        <w:rPr>
          <w:rFonts w:hint="eastAsia"/>
          <w:bCs/>
        </w:rPr>
        <w:t>（</w:t>
      </w:r>
      <w:r>
        <w:rPr>
          <w:rFonts w:hint="eastAsia"/>
          <w:bCs/>
          <w:lang w:val="en-US" w:eastAsia="zh-CN"/>
        </w:rPr>
        <w:t>6</w:t>
      </w:r>
      <w:r>
        <w:rPr>
          <w:rFonts w:hint="eastAsia"/>
          <w:bCs/>
        </w:rPr>
        <w:t>）</w:t>
      </w:r>
      <w:r>
        <w:t>施工过程中可能使用的具有挥发性恶臭的气味材料（如沥青等）。</w:t>
      </w:r>
    </w:p>
    <w:p>
      <w:pPr>
        <w:pStyle w:val="10"/>
        <w:ind w:firstLine="480"/>
      </w:pPr>
      <w:r>
        <w:t>本项目</w:t>
      </w:r>
      <w:r>
        <w:rPr>
          <w:rFonts w:hint="eastAsia"/>
        </w:rPr>
        <w:t>行车路面</w:t>
      </w:r>
      <w:r>
        <w:t>拟采用</w:t>
      </w:r>
      <w:r>
        <w:rPr>
          <w:rFonts w:hint="eastAsia"/>
        </w:rPr>
        <w:t>改性</w:t>
      </w:r>
      <w:r>
        <w:t>沥青路面，沥青铺设的时候将产生一定量的沥青烟。石油沥青是一种复杂的化学混合物，其成分随原油的来源及制造过程的不同有较大差别。就化合物而论，沥青中含有50多种有机化合物，而这些化合物或多或少都有毒性，其中有部分物质有致癌性。根据类比分析，在施工场地下风向50m外苯并[a]芘低于0.00001mg/m</w:t>
      </w:r>
      <w:r>
        <w:rPr>
          <w:vertAlign w:val="superscript"/>
        </w:rPr>
        <w:t>3</w:t>
      </w:r>
      <w:r>
        <w:t>，酚在下风向60m左右≤0.01mg/m</w:t>
      </w:r>
      <w:r>
        <w:rPr>
          <w:vertAlign w:val="superscript"/>
        </w:rPr>
        <w:t>3</w:t>
      </w:r>
      <w:r>
        <w:t>，THC在60m左右≤0.16mg/m</w:t>
      </w:r>
      <w:r>
        <w:rPr>
          <w:vertAlign w:val="superscript"/>
        </w:rPr>
        <w:t>3</w:t>
      </w:r>
      <w:r>
        <w:t>。</w:t>
      </w:r>
    </w:p>
    <w:p>
      <w:pPr>
        <w:pStyle w:val="9"/>
      </w:pPr>
      <w:bookmarkStart w:id="203" w:name="_Toc10683"/>
      <w:r>
        <w:rPr>
          <w:rFonts w:hint="eastAsia"/>
        </w:rPr>
        <w:t>废水污染源分析</w:t>
      </w:r>
      <w:bookmarkEnd w:id="203"/>
    </w:p>
    <w:p>
      <w:pPr>
        <w:bidi w:val="0"/>
        <w:ind w:firstLine="480" w:firstLineChars="200"/>
        <w:rPr>
          <w:rFonts w:hint="default" w:ascii="Times New Roman" w:hAnsi="Times New Roman" w:cs="Times New Roman"/>
        </w:rPr>
      </w:pPr>
      <w:r>
        <w:rPr>
          <w:rFonts w:hint="default" w:ascii="Times New Roman" w:hAnsi="Times New Roman" w:cs="Times New Roman"/>
        </w:rPr>
        <w:t>项目施工期间产生污水，主要包括砂石材料加工冲洗废水、</w:t>
      </w:r>
      <w:r>
        <w:t>施工作业开挖产生的泥浆水</w:t>
      </w:r>
      <w:r>
        <w:rPr>
          <w:rFonts w:hint="default" w:ascii="Times New Roman" w:hAnsi="Times New Roman" w:cs="Times New Roman"/>
        </w:rPr>
        <w:t>、</w:t>
      </w:r>
      <w:r>
        <w:t>施工机械及运输车辆的冲洗水</w:t>
      </w:r>
      <w:r>
        <w:rPr>
          <w:rFonts w:hint="eastAsia"/>
          <w:lang w:val="en-US" w:eastAsia="zh-CN"/>
        </w:rPr>
        <w:t>和</w:t>
      </w:r>
      <w:r>
        <w:rPr>
          <w:rFonts w:hint="default" w:ascii="Times New Roman" w:hAnsi="Times New Roman" w:cs="Times New Roman"/>
        </w:rPr>
        <w:t>生活污水等</w:t>
      </w:r>
      <w:r>
        <w:rPr>
          <w:rFonts w:hint="eastAsia" w:ascii="Times New Roman" w:hAnsi="Times New Roman" w:cs="Times New Roman"/>
          <w:lang w:eastAsia="zh-CN"/>
        </w:rPr>
        <w:t>。</w:t>
      </w:r>
      <w:r>
        <w:rPr>
          <w:rFonts w:hint="default" w:ascii="Times New Roman" w:hAnsi="Times New Roman" w:cs="Times New Roman"/>
        </w:rPr>
        <w:t>污染物以SS、pH、石油类为主，废水量以砂石料冲洗加工污水居多。</w:t>
      </w:r>
    </w:p>
    <w:p>
      <w:pPr>
        <w:pStyle w:val="10"/>
        <w:ind w:firstLine="480"/>
        <w:rPr>
          <w:rFonts w:hint="eastAsia" w:eastAsia="宋体"/>
          <w:lang w:eastAsia="zh-CN"/>
        </w:rPr>
      </w:pPr>
      <w:r>
        <w:rPr>
          <w:rFonts w:hint="default" w:ascii="Times New Roman" w:hAnsi="Times New Roman" w:cs="Times New Roman"/>
        </w:rPr>
        <w:t>施工废水：桥梁建设施工机械跑、冒、滴、漏的污油及露天机械受雨水冲刷后产生的油水污染；施工场地尤其是施工营地的生活污水和生活垃圾将对周围水域产生一定的污染。施工场地的砂石料冲洗废水，污水中成分较为简单，一般为SS，pH和少量的石油类</w:t>
      </w:r>
      <w:r>
        <w:rPr>
          <w:rFonts w:hint="eastAsia" w:ascii="Times New Roman" w:hAnsi="Times New Roman" w:cs="Times New Roman"/>
          <w:lang w:eastAsia="zh-CN"/>
        </w:rPr>
        <w:t>。</w:t>
      </w:r>
    </w:p>
    <w:p>
      <w:pPr>
        <w:bidi w:val="0"/>
        <w:ind w:firstLine="482" w:firstLineChars="200"/>
        <w:rPr>
          <w:rFonts w:hint="default" w:ascii="Times New Roman" w:hAnsi="Times New Roman" w:cs="Times New Roman"/>
          <w:b/>
          <w:bCs/>
        </w:rPr>
      </w:pPr>
      <w:r>
        <w:rPr>
          <w:rFonts w:hint="default" w:ascii="Times New Roman" w:hAnsi="Times New Roman" w:cs="Times New Roman"/>
          <w:b/>
          <w:bCs/>
        </w:rPr>
        <w:t>（1）施工场地施工废水</w:t>
      </w:r>
    </w:p>
    <w:p>
      <w:pPr>
        <w:bidi w:val="0"/>
        <w:ind w:firstLine="480" w:firstLineChars="200"/>
        <w:rPr>
          <w:rFonts w:hint="default" w:ascii="Times New Roman" w:hAnsi="Times New Roman" w:cs="Times New Roman"/>
        </w:rPr>
      </w:pPr>
      <w:r>
        <w:rPr>
          <w:rFonts w:hint="default" w:ascii="Times New Roman" w:hAnsi="Times New Roman" w:cs="Times New Roman"/>
        </w:rPr>
        <w:t>施工生产废水主要包括预制场、拌合站的生产废水、砂石材料冲洗废水、机械设备冲洗废水等，一般一处场地的生产废水量（冲洗废水）约</w:t>
      </w:r>
      <w:r>
        <w:rPr>
          <w:rFonts w:hint="eastAsia" w:ascii="Times New Roman" w:hAnsi="Times New Roman" w:cs="Times New Roman"/>
          <w:lang w:val="en-US" w:eastAsia="zh-CN"/>
        </w:rPr>
        <w:t>3</w:t>
      </w:r>
      <w:r>
        <w:rPr>
          <w:rFonts w:hint="default" w:ascii="Times New Roman" w:hAnsi="Times New Roman" w:cs="Times New Roman"/>
        </w:rPr>
        <w:t>t/d，主要污染物为SS和石油类，其浓度一般约SS300mg/L、石油类25mg/L。通过隔油池、沉淀池处理后可循环使用。施工生产废水应严格管理，严禁随意直接排放。</w:t>
      </w:r>
    </w:p>
    <w:p>
      <w:pPr>
        <w:bidi w:val="0"/>
        <w:ind w:firstLine="482" w:firstLineChars="200"/>
        <w:rPr>
          <w:rFonts w:hint="default" w:ascii="Times New Roman" w:hAnsi="Times New Roman" w:cs="Times New Roman"/>
          <w:b/>
          <w:bCs/>
        </w:rPr>
      </w:pPr>
      <w:r>
        <w:rPr>
          <w:rFonts w:hint="default" w:ascii="Times New Roman" w:hAnsi="Times New Roman" w:cs="Times New Roman"/>
          <w:b/>
          <w:bCs/>
        </w:rPr>
        <w:t>（2）生活污水</w:t>
      </w:r>
    </w:p>
    <w:p>
      <w:pPr>
        <w:pStyle w:val="10"/>
        <w:ind w:firstLine="480"/>
        <w:rPr>
          <w:rFonts w:hint="eastAsia" w:eastAsia="宋体"/>
          <w:lang w:eastAsia="zh-CN"/>
        </w:rPr>
      </w:pPr>
      <w:r>
        <w:rPr>
          <w:rFonts w:hint="eastAsia" w:ascii="Times New Roman" w:hAnsi="Times New Roman" w:cs="Times New Roman"/>
          <w:lang w:val="en-US" w:eastAsia="zh-CN"/>
        </w:rPr>
        <w:t>施工期生活污水</w:t>
      </w:r>
      <w:r>
        <w:rPr>
          <w:rFonts w:hint="default" w:ascii="Times New Roman" w:hAnsi="Times New Roman" w:cs="Times New Roman"/>
        </w:rPr>
        <w:t>采用单位人口排污系数计算，</w:t>
      </w:r>
      <w:r>
        <w:rPr>
          <w:rFonts w:hint="eastAsia" w:ascii="Times New Roman" w:hAnsi="Times New Roman" w:cs="Times New Roman"/>
          <w:lang w:val="en-US" w:eastAsia="zh-CN"/>
        </w:rPr>
        <w:t>施工</w:t>
      </w:r>
      <w:r>
        <w:rPr>
          <w:rFonts w:hint="default" w:ascii="Times New Roman" w:hAnsi="Times New Roman" w:cs="Times New Roman"/>
        </w:rPr>
        <w:t>人员</w:t>
      </w:r>
      <w:r>
        <w:rPr>
          <w:rFonts w:hint="eastAsia" w:ascii="Times New Roman" w:hAnsi="Times New Roman" w:cs="Times New Roman"/>
          <w:lang w:val="en-US" w:eastAsia="zh-CN"/>
        </w:rPr>
        <w:t>以</w:t>
      </w:r>
      <w:r>
        <w:rPr>
          <w:rFonts w:hint="default" w:ascii="Times New Roman" w:hAnsi="Times New Roman" w:cs="Times New Roman"/>
        </w:rPr>
        <w:t>50人计，人均生活用水量按0.10m</w:t>
      </w:r>
      <w:r>
        <w:rPr>
          <w:rFonts w:hint="default" w:ascii="Times New Roman" w:hAnsi="Times New Roman" w:cs="Times New Roman"/>
          <w:vertAlign w:val="superscript"/>
        </w:rPr>
        <w:t>3</w:t>
      </w:r>
      <w:r>
        <w:rPr>
          <w:rFonts w:hint="default" w:ascii="Times New Roman" w:hAnsi="Times New Roman" w:cs="Times New Roman"/>
        </w:rPr>
        <w:t>/d·人计，排水量按用水量的80%计算，则施工人员生活污水最大产生量为4t/d，污水中特征污染物浓度为：COD350mg/L，SS250mg/L，氨氮50mg/L，动植物油35mg/L</w:t>
      </w:r>
      <w:r>
        <w:rPr>
          <w:rFonts w:hint="eastAsia" w:ascii="Times New Roman" w:hAnsi="Times New Roman" w:cs="Times New Roman"/>
          <w:lang w:eastAsia="zh-CN"/>
        </w:rPr>
        <w:t>。</w:t>
      </w:r>
    </w:p>
    <w:p>
      <w:pPr>
        <w:bidi w:val="0"/>
        <w:ind w:firstLine="482" w:firstLineChars="200"/>
        <w:rPr>
          <w:rFonts w:hint="default" w:ascii="Times New Roman" w:hAnsi="Times New Roman" w:cs="Times New Roman"/>
          <w:b/>
          <w:bCs/>
          <w:i w:val="0"/>
          <w:iCs w:val="0"/>
        </w:rPr>
      </w:pPr>
      <w:r>
        <w:rPr>
          <w:rFonts w:hint="default" w:ascii="Times New Roman" w:hAnsi="Times New Roman" w:cs="Times New Roman"/>
          <w:b/>
          <w:bCs/>
          <w:i w:val="0"/>
          <w:iCs w:val="0"/>
        </w:rPr>
        <w:t>（3）桥梁施工产生废水</w:t>
      </w:r>
    </w:p>
    <w:p>
      <w:pPr>
        <w:bidi w:val="0"/>
        <w:ind w:firstLine="480" w:firstLineChars="200"/>
        <w:rPr>
          <w:rFonts w:hint="default" w:ascii="Times New Roman" w:hAnsi="Times New Roman" w:cs="Times New Roman"/>
        </w:rPr>
      </w:pPr>
      <w:r>
        <w:rPr>
          <w:rFonts w:hint="eastAsia" w:ascii="Times New Roman" w:hAnsi="Times New Roman" w:cs="Times New Roman"/>
          <w:lang w:val="en-US" w:eastAsia="zh-CN"/>
        </w:rPr>
        <w:t>虽然根据实际现场勘查，本项目桥梁跨越的沟渠多被植被覆盖，但在</w:t>
      </w:r>
      <w:r>
        <w:rPr>
          <w:rFonts w:hint="default" w:ascii="Times New Roman" w:hAnsi="Times New Roman" w:cs="Times New Roman"/>
        </w:rPr>
        <w:t>桥梁施工期间，施工生产废水、生活污水可能</w:t>
      </w:r>
      <w:r>
        <w:rPr>
          <w:rFonts w:hint="eastAsia" w:ascii="Times New Roman" w:hAnsi="Times New Roman" w:cs="Times New Roman"/>
          <w:lang w:val="en-US" w:eastAsia="zh-CN"/>
        </w:rPr>
        <w:t>通过径流、渗入等方式</w:t>
      </w:r>
      <w:r>
        <w:rPr>
          <w:rFonts w:hint="default" w:ascii="Times New Roman" w:hAnsi="Times New Roman" w:cs="Times New Roman"/>
        </w:rPr>
        <w:t>对</w:t>
      </w:r>
      <w:r>
        <w:rPr>
          <w:rFonts w:hint="eastAsia" w:ascii="Times New Roman" w:hAnsi="Times New Roman" w:cs="Times New Roman"/>
          <w:lang w:val="en-US" w:eastAsia="zh-CN"/>
        </w:rPr>
        <w:t>周边</w:t>
      </w:r>
      <w:r>
        <w:rPr>
          <w:rFonts w:hint="default" w:ascii="Times New Roman" w:hAnsi="Times New Roman" w:cs="Times New Roman"/>
        </w:rPr>
        <w:t>水域产生污染</w:t>
      </w:r>
      <w:r>
        <w:rPr>
          <w:rFonts w:hint="eastAsia" w:ascii="Times New Roman" w:hAnsi="Times New Roman" w:cs="Times New Roman"/>
          <w:lang w:eastAsia="zh-CN"/>
        </w:rPr>
        <w:t>。</w:t>
      </w:r>
      <w:r>
        <w:rPr>
          <w:rFonts w:hint="default" w:ascii="Times New Roman" w:hAnsi="Times New Roman" w:cs="Times New Roman"/>
        </w:rPr>
        <w:t>项目沿线桥墩上部构造主要采用低高度密肋式T梁，施工方法以预制安装为主，这种方法对水体扰动较小，而且扰动引起的悬浮物浓度可以控制在一定范围内。桥梁施工将产生暂时和局部的悬浮物浓度升高，这些行为可能对局部水体水质产生污染影响，但影响是暂时的，且影响范围十分有限。</w:t>
      </w:r>
    </w:p>
    <w:p>
      <w:pPr>
        <w:pStyle w:val="10"/>
        <w:ind w:firstLine="480"/>
      </w:pPr>
      <w:r>
        <w:rPr>
          <w:rFonts w:hint="default" w:ascii="Times New Roman" w:hAnsi="Times New Roman" w:cs="Times New Roman"/>
        </w:rPr>
        <w:t>桥墩施工对水环境的影响响主要表现在桩基泥浆水的泄漏，根据相关研究结论，桩基泥浆水比重：1.20～1.46，含泥量：32%～50%，pH值：6～7。桥梁桩基产生的废水较少，桥梁基础钻孔施工中泥浆护壁和钻孔出渣泥浆沉淀排水，其中污染物主要以SS为主，经沉淀池沉淀后可回用</w:t>
      </w:r>
      <w:r>
        <w:rPr>
          <w:rFonts w:hint="eastAsia"/>
        </w:rPr>
        <w:t>工程及生活污水应集中处理，不得直接排入沟、河污染地表水和农田。</w:t>
      </w:r>
    </w:p>
    <w:p>
      <w:pPr>
        <w:pStyle w:val="9"/>
      </w:pPr>
      <w:bookmarkStart w:id="204" w:name="_Toc3879"/>
      <w:r>
        <w:rPr>
          <w:rFonts w:hint="eastAsia"/>
        </w:rPr>
        <w:t>固体废物分析</w:t>
      </w:r>
      <w:bookmarkEnd w:id="204"/>
    </w:p>
    <w:p>
      <w:pPr>
        <w:pStyle w:val="10"/>
        <w:ind w:firstLine="480"/>
      </w:pPr>
      <w:r>
        <w:t>本项目施工期固体废物主要来自</w:t>
      </w:r>
      <w:r>
        <w:rPr>
          <w:rFonts w:hint="eastAsia"/>
          <w:lang w:val="en-US" w:eastAsia="zh-CN"/>
        </w:rPr>
        <w:t>路基土石方、</w:t>
      </w:r>
      <w:r>
        <w:t>建筑拆迁</w:t>
      </w:r>
      <w:r>
        <w:rPr>
          <w:rFonts w:hint="eastAsia"/>
          <w:lang w:val="en-US" w:eastAsia="zh-CN"/>
        </w:rPr>
        <w:t>及老路改造</w:t>
      </w:r>
      <w:r>
        <w:t>垃圾</w:t>
      </w:r>
      <w:r>
        <w:rPr>
          <w:rFonts w:hint="eastAsia"/>
          <w:lang w:eastAsia="zh-CN"/>
        </w:rPr>
        <w:t>、</w:t>
      </w:r>
      <w:r>
        <w:t>施工人员的生活垃圾</w:t>
      </w:r>
      <w:r>
        <w:rPr>
          <w:rFonts w:hint="eastAsia"/>
          <w:lang w:val="en-US" w:eastAsia="zh-CN"/>
        </w:rPr>
        <w:t>以及隔油池油泥</w:t>
      </w:r>
      <w:r>
        <w:t>等。</w:t>
      </w:r>
    </w:p>
    <w:p>
      <w:pPr>
        <w:pStyle w:val="10"/>
        <w:ind w:firstLine="480"/>
      </w:pPr>
      <w:r>
        <w:rPr>
          <w:rFonts w:hint="eastAsia"/>
        </w:rPr>
        <w:t>（1）</w:t>
      </w:r>
      <w:r>
        <w:t>路基土石方</w:t>
      </w:r>
    </w:p>
    <w:p>
      <w:pPr>
        <w:pStyle w:val="10"/>
        <w:ind w:firstLine="480"/>
      </w:pPr>
      <w:r>
        <w:rPr>
          <w:rFonts w:hint="eastAsia"/>
        </w:rPr>
        <w:t>本项目填方</w:t>
      </w:r>
      <w:r>
        <w:t>446419</w:t>
      </w:r>
      <w:r>
        <w:rPr>
          <w:rFonts w:hint="eastAsia"/>
        </w:rPr>
        <w:t>方，挖方约</w:t>
      </w:r>
      <w:r>
        <w:t>473584</w:t>
      </w:r>
      <w:r>
        <w:rPr>
          <w:rFonts w:hint="eastAsia"/>
        </w:rPr>
        <w:t>方，考虑清淤回填、清表回填、夯实沉降、超宽碾压等情况，本段土石方总体挖余</w:t>
      </w:r>
      <w:r>
        <w:t>27</w:t>
      </w:r>
      <w:r>
        <w:rPr>
          <w:rFonts w:hint="eastAsia"/>
        </w:rPr>
        <w:t>1</w:t>
      </w:r>
      <w:r>
        <w:t>65</w:t>
      </w:r>
      <w:r>
        <w:rPr>
          <w:rFonts w:hint="eastAsia"/>
        </w:rPr>
        <w:t>方。挖余土石方采用集中堆放，弃土场位于K</w:t>
      </w:r>
      <w:r>
        <w:t>2</w:t>
      </w:r>
      <w:r>
        <w:rPr>
          <w:rFonts w:hint="eastAsia"/>
        </w:rPr>
        <w:t>+</w:t>
      </w:r>
      <w:r>
        <w:t>150</w:t>
      </w:r>
      <w:r>
        <w:rPr>
          <w:rFonts w:hint="eastAsia"/>
        </w:rPr>
        <w:t>左侧6</w:t>
      </w:r>
      <w:r>
        <w:t>0</w:t>
      </w:r>
      <w:r>
        <w:rPr>
          <w:rFonts w:hint="eastAsia"/>
        </w:rPr>
        <w:t>m处。路基清淤、清表获得的耕植土进行生态恢复，保证场地生态恢复后能够有效还田。</w:t>
      </w:r>
    </w:p>
    <w:p>
      <w:pPr>
        <w:pStyle w:val="112"/>
        <w:ind w:firstLine="480"/>
      </w:pPr>
      <w:r>
        <w:rPr>
          <w:rFonts w:hint="eastAsia"/>
        </w:rPr>
        <w:t>（2）建筑拆迁</w:t>
      </w:r>
      <w:r>
        <w:rPr>
          <w:rFonts w:hint="eastAsia"/>
          <w:lang w:val="en-US" w:eastAsia="zh-CN"/>
        </w:rPr>
        <w:t>及老路改造</w:t>
      </w:r>
      <w:r>
        <w:rPr>
          <w:rFonts w:hint="eastAsia"/>
        </w:rPr>
        <w:t>垃圾</w:t>
      </w:r>
    </w:p>
    <w:p>
      <w:pPr>
        <w:pStyle w:val="112"/>
        <w:ind w:firstLine="480"/>
        <w:rPr>
          <w:rFonts w:hint="default" w:eastAsia="宋体"/>
          <w:lang w:val="en-US" w:eastAsia="zh-CN"/>
        </w:rPr>
      </w:pPr>
      <w:r>
        <w:rPr>
          <w:rFonts w:hint="eastAsia"/>
        </w:rPr>
        <w:t>根据项目设计方案，项目拟拆迁建筑物类型为楼房、砖瓦房、简易房、水泥地坪、蔬菜大棚等，以及拆迁各类建筑物面积共</w:t>
      </w:r>
      <w:r>
        <w:t>38680</w:t>
      </w:r>
      <w:r>
        <w:rPr>
          <w:rFonts w:hint="eastAsia"/>
        </w:rPr>
        <w:t>m</w:t>
      </w:r>
      <w:r>
        <w:rPr>
          <w:vertAlign w:val="superscript"/>
        </w:rPr>
        <w:t>2</w:t>
      </w:r>
      <w:r>
        <w:rPr>
          <w:rFonts w:hint="eastAsia"/>
        </w:rPr>
        <w:t>，</w:t>
      </w:r>
      <w:r>
        <w:t>电力、电讯线路364根</w:t>
      </w:r>
      <w:r>
        <w:rPr>
          <w:rFonts w:hint="eastAsia"/>
        </w:rPr>
        <w:t>，楼房以及电力电讯杆底部一并拆除。</w:t>
      </w:r>
      <w:r>
        <w:t>根据住房和城乡建设部发布的《地震灾区建筑垃圾处理技术导则》</w:t>
      </w:r>
      <w:r>
        <w:rPr>
          <w:rFonts w:hint="eastAsia"/>
        </w:rPr>
        <w:t>（</w:t>
      </w:r>
      <w:r>
        <w:t>建科[2008]99号</w:t>
      </w:r>
      <w:r>
        <w:rPr>
          <w:rFonts w:hint="eastAsia"/>
        </w:rPr>
        <w:t>）</w:t>
      </w:r>
      <w:r>
        <w:t>中的技术参数，建筑拆迁垃圾产生量约为1 t/m</w:t>
      </w:r>
      <w:r>
        <w:rPr>
          <w:vertAlign w:val="superscript"/>
        </w:rPr>
        <w:t>2</w:t>
      </w:r>
      <w:r>
        <w:t>，估算本工程拆迁垃圾量为38680</w:t>
      </w:r>
      <w:r>
        <w:rPr>
          <w:rFonts w:hint="eastAsia"/>
        </w:rPr>
        <w:t>t（</w:t>
      </w:r>
      <w:r>
        <w:t>折合约为</w:t>
      </w:r>
      <w:r>
        <w:rPr>
          <w:rFonts w:hint="eastAsia"/>
        </w:rPr>
        <w:t>1</w:t>
      </w:r>
      <w:r>
        <w:t>5154</w:t>
      </w:r>
      <w:r>
        <w:rPr>
          <w:rFonts w:hint="eastAsia"/>
        </w:rPr>
        <w:t>m</w:t>
      </w:r>
      <w:r>
        <w:rPr>
          <w:vertAlign w:val="superscript"/>
        </w:rPr>
        <w:t>3</w:t>
      </w:r>
      <w:r>
        <w:rPr>
          <w:rFonts w:hint="eastAsia"/>
        </w:rPr>
        <w:t>）</w:t>
      </w:r>
      <w:r>
        <w:t>。</w:t>
      </w:r>
      <w:r>
        <w:rPr>
          <w:rFonts w:hint="eastAsia"/>
          <w:lang w:val="en-US" w:eastAsia="zh-CN"/>
        </w:rPr>
        <w:t>本项目路线占用老路0.5km，具体位置位于包集镇西侧下穿京台高速，本次实施利用既有分离立交，实施行车道部分路面改造，会产生部分路面破除垃圾。</w:t>
      </w:r>
    </w:p>
    <w:p>
      <w:pPr>
        <w:pStyle w:val="10"/>
        <w:ind w:firstLine="480"/>
      </w:pPr>
      <w:r>
        <w:rPr>
          <w:rFonts w:hint="eastAsia"/>
        </w:rPr>
        <w:t>建筑垃圾成分</w:t>
      </w:r>
      <w:r>
        <w:t>主要为砖、钢筋、木材等，具有回收利用的价值，应</w:t>
      </w:r>
      <w:r>
        <w:rPr>
          <w:rFonts w:hint="eastAsia"/>
        </w:rPr>
        <w:t>委托有资质的资源回收单位，</w:t>
      </w:r>
      <w:r>
        <w:t>尽可能回用；对于不能回收利用的垃圾有害</w:t>
      </w:r>
      <w:r>
        <w:rPr>
          <w:rFonts w:hint="eastAsia"/>
        </w:rPr>
        <w:t>部分</w:t>
      </w:r>
      <w:r>
        <w:t>运至垃圾填埋场处理。严禁乱丢乱弃，对外环境影响较小。</w:t>
      </w:r>
    </w:p>
    <w:p>
      <w:pPr>
        <w:pStyle w:val="10"/>
        <w:ind w:firstLine="480"/>
      </w:pPr>
      <w:r>
        <w:rPr>
          <w:rFonts w:hint="eastAsia"/>
        </w:rPr>
        <w:t>（3）生活垃圾</w:t>
      </w:r>
    </w:p>
    <w:p>
      <w:pPr>
        <w:pStyle w:val="10"/>
        <w:ind w:firstLine="480"/>
      </w:pPr>
      <w:r>
        <w:rPr>
          <w:rFonts w:hint="eastAsia" w:ascii="Times New Roman" w:hAnsi="Times New Roman" w:cs="Times New Roman"/>
          <w:lang w:val="en-US" w:eastAsia="zh-CN"/>
        </w:rPr>
        <w:t>施工期施工人员以50人计，</w:t>
      </w:r>
      <w:r>
        <w:rPr>
          <w:rFonts w:hint="default" w:ascii="Times New Roman" w:hAnsi="Times New Roman" w:cs="Times New Roman"/>
        </w:rPr>
        <w:t>生活垃圾产生量按0.5kg/人·d计，则施工人员每天产生的生活垃圾为25kg</w:t>
      </w:r>
      <w:r>
        <w:rPr>
          <w:rFonts w:hint="eastAsia" w:ascii="Times New Roman" w:hAnsi="Times New Roman" w:cs="Times New Roman"/>
          <w:lang w:eastAsia="zh-CN"/>
        </w:rPr>
        <w:t>。</w:t>
      </w:r>
      <w:r>
        <w:rPr>
          <w:rFonts w:hint="eastAsia"/>
        </w:rPr>
        <w:t>本项目施工期由施工人员产生的</w:t>
      </w:r>
      <w:r>
        <w:t>生活垃圾会产生如下的负面影响：臭气污染环境空气；腐烂的垃圾渗滤液的成分十分复杂，有机含量很高，污染周边水、土壤环境；腐烂的垃圾很容易滋生细菌和蚊蝇；随意扔置的垃圾将对区域环境卫生及景观产生不良的影响。施工人员生活垃圾应定点堆放，定期由环卫部门清运至生活垃圾处理场，严禁乱丢乱弃，对周围环境影响较小。</w:t>
      </w:r>
    </w:p>
    <w:p>
      <w:pPr>
        <w:pStyle w:val="10"/>
        <w:numPr>
          <w:ilvl w:val="0"/>
          <w:numId w:val="11"/>
        </w:numPr>
        <w:ind w:left="0" w:leftChars="0" w:firstLine="480" w:firstLineChars="200"/>
        <w:rPr>
          <w:rFonts w:hint="eastAsia"/>
          <w:lang w:val="en-US" w:eastAsia="zh-CN"/>
        </w:rPr>
      </w:pPr>
      <w:r>
        <w:rPr>
          <w:rFonts w:hint="eastAsia"/>
          <w:lang w:val="en-US" w:eastAsia="zh-CN"/>
        </w:rPr>
        <w:t>施工场地危险废物</w:t>
      </w:r>
    </w:p>
    <w:p>
      <w:pPr>
        <w:pStyle w:val="10"/>
        <w:numPr>
          <w:ilvl w:val="0"/>
          <w:numId w:val="0"/>
        </w:numPr>
        <w:ind w:firstLine="480" w:firstLineChars="200"/>
        <w:rPr>
          <w:rFonts w:hint="default" w:eastAsia="宋体"/>
          <w:lang w:val="en-US" w:eastAsia="zh-CN"/>
        </w:rPr>
      </w:pPr>
      <w:r>
        <w:rPr>
          <w:rFonts w:hint="eastAsia"/>
          <w:lang w:val="en-US" w:eastAsia="zh-CN"/>
        </w:rPr>
        <w:t>施工场地设置有隔油池，隔油池产生的油泥属于危险废物，油泥、浮油属于（HW08废矿物油与含矿物油废物 900-210-08）。本次评价不对其进行定量分析，重点提出处理或处置措施。</w:t>
      </w:r>
    </w:p>
    <w:p>
      <w:pPr>
        <w:pStyle w:val="9"/>
      </w:pPr>
      <w:bookmarkStart w:id="205" w:name="_Toc21983"/>
      <w:r>
        <w:rPr>
          <w:rFonts w:hint="eastAsia"/>
        </w:rPr>
        <w:t>生态环境影响分析</w:t>
      </w:r>
      <w:bookmarkEnd w:id="205"/>
    </w:p>
    <w:p>
      <w:pPr>
        <w:pStyle w:val="10"/>
        <w:ind w:firstLine="480"/>
      </w:pPr>
      <w:r>
        <w:t>在工程建设过程中，由于路基开挖、钻孔、取土、弃土使得原有的土地结构受到破坏和改变，进而还造成原土移位、松散，原植被遭到破坏，地表裸露，改变土壤的可蚀性及植被状态，其土壤的抗蚀性、抗雨水冲刷性降低，会导致水土流失。另外，弃土石在运输过程中，不加遮盖或过高装载，造成弃土在运输中造成遗散。</w:t>
      </w:r>
    </w:p>
    <w:p>
      <w:pPr>
        <w:pStyle w:val="10"/>
        <w:ind w:firstLine="480"/>
      </w:pPr>
      <w:r>
        <w:t>（1）植被影响</w:t>
      </w:r>
    </w:p>
    <w:p>
      <w:pPr>
        <w:pStyle w:val="10"/>
        <w:ind w:firstLine="480"/>
      </w:pPr>
      <w:r>
        <w:t>道路建设、桥梁建设、管线改造等工程将有临时性的施工占地，会占用一定量的绿地，地表植被将受到损失。建筑材料运输作业中，地表植被将受到损失，施工现场还将产生噪声、扬尘，破坏景观。</w:t>
      </w:r>
    </w:p>
    <w:p>
      <w:pPr>
        <w:pStyle w:val="10"/>
        <w:ind w:firstLine="480"/>
      </w:pPr>
      <w:r>
        <w:t>（2）水土流失</w:t>
      </w:r>
    </w:p>
    <w:p>
      <w:pPr>
        <w:pStyle w:val="10"/>
        <w:ind w:firstLine="480"/>
      </w:pPr>
      <w:r>
        <w:t>根据工程的特点及运行情况，本工程水土流失预测选择在</w:t>
      </w:r>
      <w:r>
        <w:rPr>
          <w:rFonts w:hint="eastAsia"/>
        </w:rPr>
        <w:t>施工</w:t>
      </w:r>
      <w:r>
        <w:t>期。本工程施工期主要是工程占地、开挖、回填、弃渣堆放等原因，破坏了项目区域植被，破坏了表土结构，致使土体抗蚀能力降低，土壤侵蚀加剧，导致水土流失增加。</w:t>
      </w:r>
    </w:p>
    <w:p>
      <w:pPr>
        <w:pStyle w:val="8"/>
        <w:rPr>
          <w:b/>
          <w:bCs/>
        </w:rPr>
      </w:pPr>
      <w:bookmarkStart w:id="206" w:name="_Toc8626"/>
      <w:r>
        <w:rPr>
          <w:rFonts w:hint="eastAsia"/>
          <w:b/>
          <w:bCs/>
        </w:rPr>
        <w:t>运营期污染源分析</w:t>
      </w:r>
      <w:bookmarkEnd w:id="206"/>
    </w:p>
    <w:p>
      <w:pPr>
        <w:pStyle w:val="10"/>
        <w:ind w:firstLine="480"/>
      </w:pPr>
      <w:r>
        <w:t>营运期建成通车后，噪声是最主要的环境影响因素，此外，装载有毒、有害物质的车辆运输、桥面径流对水体的影响、废气污染物等也不容忽视。项目运营期主要环境影响见</w:t>
      </w:r>
      <w:r>
        <w:rPr>
          <w:rFonts w:hint="eastAsia"/>
        </w:rPr>
        <w:t>下</w:t>
      </w:r>
      <w:r>
        <w:t>表。</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r>
        <w:t xml:space="preserve">  运营期环境影响因素一览表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3"/>
        <w:gridCol w:w="1268"/>
        <w:gridCol w:w="5549"/>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tcBorders>
              <w:tl2br w:val="nil"/>
              <w:tr2bl w:val="nil"/>
            </w:tcBorders>
            <w:vAlign w:val="center"/>
          </w:tcPr>
          <w:p>
            <w:pPr>
              <w:pStyle w:val="1132"/>
              <w:rPr>
                <w:b/>
                <w:bCs w:val="0"/>
              </w:rPr>
            </w:pPr>
            <w:r>
              <w:rPr>
                <w:b/>
                <w:bCs w:val="0"/>
              </w:rPr>
              <w:t>环境要素</w:t>
            </w:r>
          </w:p>
        </w:tc>
        <w:tc>
          <w:tcPr>
            <w:tcW w:w="683" w:type="pct"/>
            <w:tcBorders>
              <w:tl2br w:val="nil"/>
              <w:tr2bl w:val="nil"/>
            </w:tcBorders>
            <w:vAlign w:val="center"/>
          </w:tcPr>
          <w:p>
            <w:pPr>
              <w:pStyle w:val="1132"/>
              <w:rPr>
                <w:b/>
                <w:bCs w:val="0"/>
              </w:rPr>
            </w:pPr>
            <w:r>
              <w:rPr>
                <w:b/>
                <w:bCs w:val="0"/>
              </w:rPr>
              <w:t>工程内容</w:t>
            </w:r>
          </w:p>
        </w:tc>
        <w:tc>
          <w:tcPr>
            <w:tcW w:w="2988" w:type="pct"/>
            <w:tcBorders>
              <w:tl2br w:val="nil"/>
              <w:tr2bl w:val="nil"/>
            </w:tcBorders>
            <w:vAlign w:val="center"/>
          </w:tcPr>
          <w:p>
            <w:pPr>
              <w:pStyle w:val="1132"/>
              <w:rPr>
                <w:b/>
                <w:bCs w:val="0"/>
              </w:rPr>
            </w:pPr>
            <w:r>
              <w:rPr>
                <w:b/>
                <w:bCs w:val="0"/>
              </w:rPr>
              <w:t>环境影响</w:t>
            </w:r>
          </w:p>
        </w:tc>
        <w:tc>
          <w:tcPr>
            <w:tcW w:w="649" w:type="pct"/>
            <w:tcBorders>
              <w:tl2br w:val="nil"/>
              <w:tr2bl w:val="nil"/>
            </w:tcBorders>
            <w:vAlign w:val="center"/>
          </w:tcPr>
          <w:p>
            <w:pPr>
              <w:pStyle w:val="1132"/>
              <w:rPr>
                <w:b/>
                <w:bCs w:val="0"/>
              </w:rPr>
            </w:pPr>
            <w:r>
              <w:rPr>
                <w:b/>
                <w:bCs w:val="0"/>
              </w:rPr>
              <w:t>影响性质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tcBorders>
              <w:tl2br w:val="nil"/>
              <w:tr2bl w:val="nil"/>
            </w:tcBorders>
            <w:vAlign w:val="center"/>
          </w:tcPr>
          <w:p>
            <w:pPr>
              <w:pStyle w:val="1132"/>
            </w:pPr>
            <w:r>
              <w:t>声环境</w:t>
            </w:r>
          </w:p>
        </w:tc>
        <w:tc>
          <w:tcPr>
            <w:tcW w:w="683" w:type="pct"/>
            <w:tcBorders>
              <w:tl2br w:val="nil"/>
              <w:tr2bl w:val="nil"/>
            </w:tcBorders>
            <w:vAlign w:val="center"/>
          </w:tcPr>
          <w:p>
            <w:pPr>
              <w:pStyle w:val="1132"/>
            </w:pPr>
            <w:r>
              <w:t>交通噪声</w:t>
            </w:r>
          </w:p>
        </w:tc>
        <w:tc>
          <w:tcPr>
            <w:tcW w:w="2988" w:type="pct"/>
            <w:tcBorders>
              <w:tl2br w:val="nil"/>
              <w:tr2bl w:val="nil"/>
            </w:tcBorders>
            <w:vAlign w:val="center"/>
          </w:tcPr>
          <w:p>
            <w:pPr>
              <w:pStyle w:val="1132"/>
            </w:pPr>
            <w:r>
              <w:t>交通噪声影响沿线声环境保护目标，干扰居民正常的生产和生活、学习</w:t>
            </w:r>
          </w:p>
        </w:tc>
        <w:tc>
          <w:tcPr>
            <w:tcW w:w="649" w:type="pct"/>
            <w:tcBorders>
              <w:tl2br w:val="nil"/>
              <w:tr2bl w:val="nil"/>
            </w:tcBorders>
            <w:vAlign w:val="center"/>
          </w:tcPr>
          <w:p>
            <w:pPr>
              <w:pStyle w:val="1132"/>
            </w:pPr>
            <w:r>
              <w:t>长期</w:t>
            </w:r>
          </w:p>
          <w:p>
            <w:pPr>
              <w:pStyle w:val="1132"/>
            </w:pPr>
            <w:r>
              <w:t>不可逆</w:t>
            </w:r>
          </w:p>
          <w:p>
            <w:pPr>
              <w:pStyle w:val="1132"/>
            </w:pPr>
            <w:r>
              <w:t>不利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restart"/>
            <w:tcBorders>
              <w:tl2br w:val="nil"/>
              <w:tr2bl w:val="nil"/>
            </w:tcBorders>
            <w:vAlign w:val="center"/>
          </w:tcPr>
          <w:p>
            <w:pPr>
              <w:pStyle w:val="1132"/>
            </w:pPr>
            <w:r>
              <w:t>地表水环境</w:t>
            </w:r>
          </w:p>
        </w:tc>
        <w:tc>
          <w:tcPr>
            <w:tcW w:w="683" w:type="pct"/>
            <w:tcBorders>
              <w:tl2br w:val="nil"/>
              <w:tr2bl w:val="nil"/>
            </w:tcBorders>
            <w:vAlign w:val="center"/>
          </w:tcPr>
          <w:p>
            <w:pPr>
              <w:pStyle w:val="1132"/>
            </w:pPr>
            <w:r>
              <w:t>桥面、路面径流</w:t>
            </w:r>
          </w:p>
        </w:tc>
        <w:tc>
          <w:tcPr>
            <w:tcW w:w="2988" w:type="pct"/>
            <w:tcBorders>
              <w:tl2br w:val="nil"/>
              <w:tr2bl w:val="nil"/>
            </w:tcBorders>
            <w:vAlign w:val="center"/>
          </w:tcPr>
          <w:p>
            <w:pPr>
              <w:pStyle w:val="1132"/>
            </w:pPr>
            <w:r>
              <w:t>降雨冲刷路面产生的道路/桥面径流污水排入河流造成水体污染</w:t>
            </w:r>
          </w:p>
        </w:tc>
        <w:tc>
          <w:tcPr>
            <w:tcW w:w="649" w:type="pct"/>
            <w:vMerge w:val="restart"/>
            <w:tcBorders>
              <w:tl2br w:val="nil"/>
              <w:tr2bl w:val="nil"/>
            </w:tcBorders>
            <w:vAlign w:val="center"/>
          </w:tcPr>
          <w:p>
            <w:pPr>
              <w:pStyle w:val="1132"/>
            </w:pPr>
            <w:r>
              <w:t>长期</w:t>
            </w:r>
          </w:p>
          <w:p>
            <w:pPr>
              <w:pStyle w:val="1132"/>
            </w:pPr>
            <w:r>
              <w:t>不可逆</w:t>
            </w:r>
          </w:p>
          <w:p>
            <w:pPr>
              <w:pStyle w:val="1132"/>
            </w:pPr>
            <w:r>
              <w:t>不利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continue"/>
            <w:tcBorders>
              <w:tl2br w:val="nil"/>
              <w:tr2bl w:val="nil"/>
            </w:tcBorders>
            <w:vAlign w:val="center"/>
          </w:tcPr>
          <w:p>
            <w:pPr>
              <w:pStyle w:val="1132"/>
            </w:pPr>
          </w:p>
        </w:tc>
        <w:tc>
          <w:tcPr>
            <w:tcW w:w="683" w:type="pct"/>
            <w:tcBorders>
              <w:tl2br w:val="nil"/>
              <w:tr2bl w:val="nil"/>
            </w:tcBorders>
            <w:vAlign w:val="center"/>
          </w:tcPr>
          <w:p>
            <w:pPr>
              <w:pStyle w:val="1132"/>
            </w:pPr>
            <w:r>
              <w:t>危险品运输事故</w:t>
            </w:r>
          </w:p>
        </w:tc>
        <w:tc>
          <w:tcPr>
            <w:tcW w:w="2988" w:type="pct"/>
            <w:tcBorders>
              <w:tl2br w:val="nil"/>
              <w:tr2bl w:val="nil"/>
            </w:tcBorders>
            <w:vAlign w:val="center"/>
          </w:tcPr>
          <w:p>
            <w:pPr>
              <w:pStyle w:val="1132"/>
            </w:pPr>
            <w:r>
              <w:t>装载危险品的车辆因交通事故泄漏，对河流的风险较大，事故概率很低，危害大</w:t>
            </w:r>
          </w:p>
        </w:tc>
        <w:tc>
          <w:tcPr>
            <w:tcW w:w="649" w:type="pct"/>
            <w:vMerge w:val="continue"/>
            <w:tcBorders>
              <w:tl2br w:val="nil"/>
              <w:tr2bl w:val="nil"/>
            </w:tcBorders>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jc w:val="center"/>
        </w:trPr>
        <w:tc>
          <w:tcPr>
            <w:tcW w:w="680" w:type="pct"/>
            <w:tcBorders>
              <w:tl2br w:val="nil"/>
              <w:tr2bl w:val="nil"/>
            </w:tcBorders>
            <w:vAlign w:val="center"/>
          </w:tcPr>
          <w:p>
            <w:pPr>
              <w:pStyle w:val="1132"/>
            </w:pPr>
            <w:r>
              <w:t>环境空气</w:t>
            </w:r>
          </w:p>
        </w:tc>
        <w:tc>
          <w:tcPr>
            <w:tcW w:w="683" w:type="pct"/>
            <w:tcBorders>
              <w:tl2br w:val="nil"/>
              <w:tr2bl w:val="nil"/>
            </w:tcBorders>
            <w:vAlign w:val="center"/>
          </w:tcPr>
          <w:p>
            <w:pPr>
              <w:pStyle w:val="1132"/>
            </w:pPr>
            <w:r>
              <w:t>汽车尾气</w:t>
            </w:r>
          </w:p>
        </w:tc>
        <w:tc>
          <w:tcPr>
            <w:tcW w:w="2988" w:type="pct"/>
            <w:tcBorders>
              <w:tl2br w:val="nil"/>
              <w:tr2bl w:val="nil"/>
            </w:tcBorders>
            <w:vAlign w:val="center"/>
          </w:tcPr>
          <w:p>
            <w:pPr>
              <w:pStyle w:val="1132"/>
            </w:pPr>
            <w:r>
              <w:t>对沿线环境空气质量造成影响</w:t>
            </w:r>
          </w:p>
        </w:tc>
        <w:tc>
          <w:tcPr>
            <w:tcW w:w="649" w:type="pct"/>
            <w:tcBorders>
              <w:tl2br w:val="nil"/>
              <w:tr2bl w:val="nil"/>
            </w:tcBorders>
            <w:vAlign w:val="center"/>
          </w:tcPr>
          <w:p>
            <w:pPr>
              <w:pStyle w:val="1132"/>
            </w:pPr>
            <w:r>
              <w:t>长期</w:t>
            </w:r>
          </w:p>
          <w:p>
            <w:pPr>
              <w:pStyle w:val="1132"/>
            </w:pPr>
            <w:r>
              <w:t>不可逆</w:t>
            </w:r>
          </w:p>
          <w:p>
            <w:pPr>
              <w:pStyle w:val="1132"/>
            </w:pPr>
            <w:r>
              <w:t>不利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jc w:val="center"/>
        </w:trPr>
        <w:tc>
          <w:tcPr>
            <w:tcW w:w="680" w:type="pct"/>
            <w:tcBorders>
              <w:tl2br w:val="nil"/>
              <w:tr2bl w:val="nil"/>
            </w:tcBorders>
            <w:vAlign w:val="center"/>
          </w:tcPr>
          <w:p>
            <w:pPr>
              <w:pStyle w:val="1132"/>
            </w:pPr>
            <w:r>
              <w:rPr>
                <w:rFonts w:hint="eastAsia"/>
              </w:rPr>
              <w:t>环境风险</w:t>
            </w:r>
          </w:p>
        </w:tc>
        <w:tc>
          <w:tcPr>
            <w:tcW w:w="683" w:type="pct"/>
            <w:tcBorders>
              <w:tl2br w:val="nil"/>
              <w:tr2bl w:val="nil"/>
            </w:tcBorders>
            <w:vAlign w:val="center"/>
          </w:tcPr>
          <w:p>
            <w:pPr>
              <w:pStyle w:val="1132"/>
            </w:pPr>
            <w:r>
              <w:t>危险品运输事故</w:t>
            </w:r>
          </w:p>
        </w:tc>
        <w:tc>
          <w:tcPr>
            <w:tcW w:w="2988" w:type="pct"/>
            <w:tcBorders>
              <w:tl2br w:val="nil"/>
              <w:tr2bl w:val="nil"/>
            </w:tcBorders>
            <w:vAlign w:val="center"/>
          </w:tcPr>
          <w:p>
            <w:pPr>
              <w:pStyle w:val="1132"/>
            </w:pPr>
            <w:r>
              <w:rPr>
                <w:rFonts w:hint="eastAsia"/>
              </w:rPr>
              <w:t>装载危险品的车辆因交通事故泄漏，对河流的风险较大，事故概率很低，危害大</w:t>
            </w:r>
          </w:p>
        </w:tc>
        <w:tc>
          <w:tcPr>
            <w:tcW w:w="649" w:type="pct"/>
            <w:tcBorders>
              <w:tl2br w:val="nil"/>
              <w:tr2bl w:val="nil"/>
            </w:tcBorders>
            <w:vAlign w:val="center"/>
          </w:tcPr>
          <w:p>
            <w:pPr>
              <w:pStyle w:val="1132"/>
            </w:pPr>
            <w:r>
              <w:t>长期</w:t>
            </w:r>
          </w:p>
          <w:p>
            <w:pPr>
              <w:pStyle w:val="1132"/>
            </w:pPr>
            <w:r>
              <w:t>不可逆</w:t>
            </w:r>
          </w:p>
          <w:p>
            <w:pPr>
              <w:pStyle w:val="1132"/>
            </w:pPr>
            <w:r>
              <w:t>不利</w:t>
            </w:r>
          </w:p>
        </w:tc>
      </w:tr>
    </w:tbl>
    <w:p>
      <w:pPr>
        <w:pStyle w:val="9"/>
      </w:pPr>
      <w:bookmarkStart w:id="207" w:name="_Toc3961"/>
      <w:r>
        <w:rPr>
          <w:rFonts w:hint="eastAsia"/>
        </w:rPr>
        <w:t>噪声源分析</w:t>
      </w:r>
      <w:bookmarkEnd w:id="207"/>
    </w:p>
    <w:p>
      <w:pPr>
        <w:pStyle w:val="10"/>
        <w:ind w:firstLine="480"/>
      </w:pPr>
      <w:r>
        <w:t>营运期噪声污染源主要为公路行驶汽车交通噪声。</w:t>
      </w:r>
    </w:p>
    <w:p>
      <w:pPr>
        <w:pStyle w:val="10"/>
        <w:ind w:firstLine="480"/>
      </w:pPr>
      <w:r>
        <w:rPr>
          <w:rFonts w:hint="eastAsia"/>
        </w:rPr>
        <w:t>为</w:t>
      </w:r>
      <w:r>
        <w:t>确定各类车辆在不同车速下的平均辐射声级，</w:t>
      </w:r>
      <w:r>
        <w:rPr>
          <w:rFonts w:hint="eastAsia"/>
        </w:rPr>
        <w:t>本项目中</w:t>
      </w:r>
      <w:bookmarkStart w:id="208" w:name="_Hlk109159017"/>
      <w:r>
        <w:t>第i种车型车辆在参照点（7.5m处）的平均辐射噪声级（dB）L</w:t>
      </w:r>
      <w:r>
        <w:rPr>
          <w:vertAlign w:val="subscript"/>
        </w:rPr>
        <w:t>oi</w:t>
      </w:r>
      <w:r>
        <w:t>按下式计算：</w:t>
      </w:r>
      <w:bookmarkEnd w:id="208"/>
    </w:p>
    <w:p>
      <w:pPr>
        <w:pStyle w:val="10"/>
        <w:ind w:firstLine="480"/>
        <w:rPr>
          <w:rFonts w:hint="eastAsia" w:eastAsia="宋体"/>
          <w:lang w:eastAsia="zh-CN"/>
        </w:rPr>
      </w:pPr>
      <w:r>
        <w:t>小型车L</w:t>
      </w:r>
      <w:r>
        <w:rPr>
          <w:vertAlign w:val="subscript"/>
        </w:rPr>
        <w:t>oS</w:t>
      </w:r>
      <w:r>
        <w:t>=12.6+34.73lgV</w:t>
      </w:r>
      <w:r>
        <w:rPr>
          <w:vertAlign w:val="subscript"/>
        </w:rPr>
        <w:t>S</w:t>
      </w:r>
      <w:r>
        <w:t>+</w:t>
      </w:r>
      <w:r>
        <w:rPr>
          <w:rFonts w:hint="eastAsia" w:ascii="宋体" w:hAnsi="宋体" w:cs="宋体"/>
        </w:rPr>
        <w:t>△</w:t>
      </w:r>
      <w:r>
        <w:t>L</w:t>
      </w:r>
      <w:r>
        <w:rPr>
          <w:rFonts w:hint="eastAsia"/>
          <w:lang w:val="en-US" w:eastAsia="zh-CN"/>
        </w:rPr>
        <w:t>路面</w:t>
      </w:r>
    </w:p>
    <w:p>
      <w:pPr>
        <w:pStyle w:val="10"/>
        <w:ind w:firstLine="480"/>
      </w:pPr>
      <w:r>
        <w:t>中型车L</w:t>
      </w:r>
      <w:r>
        <w:rPr>
          <w:vertAlign w:val="subscript"/>
        </w:rPr>
        <w:t>oM</w:t>
      </w:r>
      <w:r>
        <w:t>=8.8+40.48lgV</w:t>
      </w:r>
      <w:r>
        <w:rPr>
          <w:vertAlign w:val="subscript"/>
        </w:rPr>
        <w:t>M</w:t>
      </w:r>
      <w:r>
        <w:t>+</w:t>
      </w:r>
      <w:r>
        <w:rPr>
          <w:rFonts w:hint="eastAsia" w:ascii="宋体" w:hAnsi="宋体" w:cs="宋体"/>
        </w:rPr>
        <w:t>△</w:t>
      </w:r>
      <w:r>
        <w:t>L纵坡</w:t>
      </w:r>
    </w:p>
    <w:p>
      <w:pPr>
        <w:pStyle w:val="10"/>
        <w:ind w:firstLine="480"/>
      </w:pPr>
      <w:r>
        <w:t>大型车L</w:t>
      </w:r>
      <w:r>
        <w:rPr>
          <w:vertAlign w:val="subscript"/>
        </w:rPr>
        <w:t>oL</w:t>
      </w:r>
      <w:r>
        <w:t>=22.0+36.32lgV</w:t>
      </w:r>
      <w:r>
        <w:rPr>
          <w:vertAlign w:val="subscript"/>
        </w:rPr>
        <w:t>L</w:t>
      </w:r>
      <w:r>
        <w:t>+</w:t>
      </w:r>
      <w:r>
        <w:rPr>
          <w:rFonts w:hint="eastAsia" w:ascii="宋体" w:hAnsi="宋体" w:cs="宋体"/>
        </w:rPr>
        <w:t>△</w:t>
      </w:r>
      <w:r>
        <w:t>L</w:t>
      </w:r>
      <w:r>
        <w:rPr>
          <w:rFonts w:hint="eastAsia"/>
        </w:rPr>
        <w:t>纵坡</w:t>
      </w:r>
    </w:p>
    <w:p>
      <w:pPr>
        <w:pStyle w:val="10"/>
        <w:ind w:firstLine="480"/>
      </w:pPr>
      <w:r>
        <w:t>式中：S、M、L─分别表示小、中、大型车；</w:t>
      </w:r>
    </w:p>
    <w:p>
      <w:pPr>
        <w:pStyle w:val="10"/>
        <w:ind w:firstLine="1200" w:firstLineChars="500"/>
      </w:pPr>
      <w:r>
        <w:t>Vi—第i类车辆的平均车速，km/h</w:t>
      </w:r>
      <w:r>
        <w:rPr>
          <w:rFonts w:hint="eastAsia"/>
        </w:rPr>
        <w:t>，取</w:t>
      </w:r>
      <w:r>
        <w:t>60km/h</w:t>
      </w:r>
      <w:r>
        <w:rPr>
          <w:rFonts w:hint="eastAsia"/>
          <w:lang w:eastAsia="zh-CN"/>
        </w:rPr>
        <w:t>（夜间车速</w:t>
      </w:r>
      <w:r>
        <w:rPr>
          <w:rFonts w:hint="eastAsia"/>
          <w:lang w:val="en-US" w:eastAsia="zh-CN"/>
        </w:rPr>
        <w:t>一般</w:t>
      </w:r>
      <w:r>
        <w:rPr>
          <w:rFonts w:hint="eastAsia"/>
          <w:lang w:eastAsia="zh-CN"/>
        </w:rPr>
        <w:t>按照昼间车速</w:t>
      </w:r>
      <w:r>
        <w:rPr>
          <w:rFonts w:hint="eastAsia"/>
          <w:lang w:val="en-US" w:eastAsia="zh-CN"/>
        </w:rPr>
        <w:t>80%~9</w:t>
      </w:r>
      <w:r>
        <w:rPr>
          <w:rFonts w:hint="eastAsia"/>
          <w:lang w:eastAsia="zh-CN"/>
        </w:rPr>
        <w:t>0%</w:t>
      </w:r>
      <w:r>
        <w:rPr>
          <w:rFonts w:hint="eastAsia"/>
          <w:lang w:val="en-US" w:eastAsia="zh-CN"/>
        </w:rPr>
        <w:t>进行修正</w:t>
      </w:r>
      <w:r>
        <w:rPr>
          <w:rFonts w:hint="eastAsia"/>
          <w:lang w:eastAsia="zh-CN"/>
        </w:rPr>
        <w:t>）。</w:t>
      </w:r>
    </w:p>
    <w:p>
      <w:pPr>
        <w:pStyle w:val="10"/>
        <w:ind w:firstLine="480"/>
        <w:rPr>
          <w:rFonts w:hint="eastAsia" w:eastAsia="宋体"/>
          <w:lang w:eastAsia="zh-CN"/>
        </w:rPr>
      </w:pPr>
      <w:r>
        <w:rPr>
          <w:rFonts w:hint="eastAsia"/>
        </w:rPr>
        <w:t>公路</w:t>
      </w:r>
      <w:r>
        <w:t>纵坡引起的交通噪声源强修正量</w:t>
      </w:r>
      <w:r>
        <w:rPr>
          <w:rFonts w:hint="eastAsia" w:ascii="宋体" w:hAnsi="宋体" w:cs="宋体"/>
        </w:rPr>
        <w:t>△</w:t>
      </w:r>
      <w:r>
        <w:t>L</w:t>
      </w:r>
      <w:r>
        <w:rPr>
          <w:vertAlign w:val="subscript"/>
        </w:rPr>
        <w:t>纵坡</w:t>
      </w:r>
      <w:r>
        <w:t>计算按下</w:t>
      </w:r>
      <w:r>
        <w:rPr>
          <w:rFonts w:hint="eastAsia"/>
        </w:rPr>
        <w:t>式</w:t>
      </w:r>
      <w:r>
        <w:t>取值</w:t>
      </w:r>
      <w:r>
        <w:rPr>
          <w:rFonts w:hint="eastAsia"/>
          <w:lang w:eastAsia="zh-CN"/>
        </w:rPr>
        <w:t>，本项目纵断面设计最大纵坡1.5%、最小纵坡0.3%，</w:t>
      </w:r>
      <w:r>
        <w:rPr>
          <w:rFonts w:hint="eastAsia"/>
          <w:lang w:val="en-US" w:eastAsia="zh-CN"/>
        </w:rPr>
        <w:t>平均纵坡为0.9%，</w:t>
      </w:r>
      <w:r>
        <w:rPr>
          <w:rFonts w:hint="eastAsia"/>
          <w:lang w:eastAsia="zh-CN"/>
        </w:rPr>
        <w:t>则△L纵坡=0dB</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t xml:space="preserve">  路面纵坡噪声级修正值</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4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vAlign w:val="center"/>
          </w:tcPr>
          <w:p>
            <w:pPr>
              <w:pStyle w:val="112"/>
              <w:spacing w:line="240" w:lineRule="auto"/>
              <w:ind w:firstLine="0" w:firstLineChars="0"/>
              <w:jc w:val="center"/>
              <w:rPr>
                <w:b/>
                <w:bCs/>
                <w:sz w:val="21"/>
                <w:szCs w:val="21"/>
              </w:rPr>
            </w:pPr>
            <w:r>
              <w:rPr>
                <w:rFonts w:hint="eastAsia"/>
                <w:b/>
                <w:bCs/>
                <w:sz w:val="21"/>
                <w:szCs w:val="21"/>
              </w:rPr>
              <w:t>纵坡（%）</w:t>
            </w:r>
          </w:p>
        </w:tc>
        <w:tc>
          <w:tcPr>
            <w:tcW w:w="4643" w:type="dxa"/>
            <w:vAlign w:val="center"/>
          </w:tcPr>
          <w:p>
            <w:pPr>
              <w:pStyle w:val="112"/>
              <w:spacing w:line="240" w:lineRule="auto"/>
              <w:ind w:firstLine="0" w:firstLineChars="0"/>
              <w:jc w:val="center"/>
              <w:rPr>
                <w:b/>
                <w:bCs/>
                <w:sz w:val="21"/>
                <w:szCs w:val="21"/>
              </w:rPr>
            </w:pPr>
            <w:r>
              <w:rPr>
                <w:rFonts w:hint="eastAsia"/>
                <w:b/>
                <w:bCs/>
                <w:sz w:val="21"/>
                <w:szCs w:val="21"/>
              </w:rPr>
              <w:t>噪声级修正值（d</w:t>
            </w:r>
            <w:r>
              <w:rPr>
                <w:b/>
                <w:bCs/>
                <w:sz w:val="21"/>
                <w:szCs w:val="21"/>
              </w:rPr>
              <w:t>B</w:t>
            </w:r>
            <w:r>
              <w:rPr>
                <w:rFonts w:hint="eastAsia"/>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vAlign w:val="center"/>
          </w:tcPr>
          <w:p>
            <w:pPr>
              <w:pStyle w:val="112"/>
              <w:spacing w:line="240" w:lineRule="auto"/>
              <w:ind w:firstLine="0" w:firstLineChars="0"/>
              <w:jc w:val="center"/>
              <w:rPr>
                <w:sz w:val="21"/>
                <w:szCs w:val="21"/>
              </w:rPr>
            </w:pPr>
            <w:r>
              <w:rPr>
                <w:rFonts w:hint="eastAsia"/>
                <w:sz w:val="21"/>
                <w:szCs w:val="21"/>
              </w:rPr>
              <w:t>≤3</w:t>
            </w:r>
          </w:p>
        </w:tc>
        <w:tc>
          <w:tcPr>
            <w:tcW w:w="4643" w:type="dxa"/>
            <w:vAlign w:val="center"/>
          </w:tcPr>
          <w:p>
            <w:pPr>
              <w:pStyle w:val="112"/>
              <w:spacing w:line="240" w:lineRule="auto"/>
              <w:ind w:firstLine="0" w:firstLineChars="0"/>
              <w:jc w:val="center"/>
              <w:rPr>
                <w:sz w:val="21"/>
                <w:szCs w:val="21"/>
              </w:rPr>
            </w:pPr>
            <w:r>
              <w:rPr>
                <w:rFonts w:hint="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vAlign w:val="center"/>
          </w:tcPr>
          <w:p>
            <w:pPr>
              <w:pStyle w:val="112"/>
              <w:spacing w:line="240" w:lineRule="auto"/>
              <w:ind w:firstLine="0" w:firstLineChars="0"/>
              <w:jc w:val="center"/>
              <w:rPr>
                <w:sz w:val="21"/>
                <w:szCs w:val="21"/>
              </w:rPr>
            </w:pPr>
            <w:r>
              <w:rPr>
                <w:rFonts w:hint="eastAsia"/>
                <w:sz w:val="21"/>
                <w:szCs w:val="21"/>
              </w:rPr>
              <w:t>4~</w:t>
            </w:r>
            <w:r>
              <w:rPr>
                <w:sz w:val="21"/>
                <w:szCs w:val="21"/>
              </w:rPr>
              <w:t>5</w:t>
            </w:r>
          </w:p>
        </w:tc>
        <w:tc>
          <w:tcPr>
            <w:tcW w:w="4643" w:type="dxa"/>
            <w:vAlign w:val="center"/>
          </w:tcPr>
          <w:p>
            <w:pPr>
              <w:pStyle w:val="112"/>
              <w:spacing w:line="240" w:lineRule="auto"/>
              <w:ind w:firstLine="0" w:firstLineChars="0"/>
              <w:jc w:val="center"/>
              <w:rPr>
                <w:sz w:val="21"/>
                <w:szCs w:val="21"/>
              </w:rPr>
            </w:pPr>
            <w:r>
              <w:rPr>
                <w:rFonts w:hint="eastAsia"/>
                <w:sz w:val="21"/>
                <w:szCs w:val="21"/>
              </w:rPr>
              <w:t>+</w:t>
            </w: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vAlign w:val="center"/>
          </w:tcPr>
          <w:p>
            <w:pPr>
              <w:pStyle w:val="112"/>
              <w:spacing w:line="240" w:lineRule="auto"/>
              <w:ind w:firstLine="0" w:firstLineChars="0"/>
              <w:jc w:val="center"/>
              <w:rPr>
                <w:sz w:val="21"/>
                <w:szCs w:val="21"/>
              </w:rPr>
            </w:pPr>
            <w:r>
              <w:rPr>
                <w:rFonts w:hint="eastAsia"/>
                <w:sz w:val="21"/>
                <w:szCs w:val="21"/>
              </w:rPr>
              <w:t>6~</w:t>
            </w:r>
            <w:r>
              <w:rPr>
                <w:sz w:val="21"/>
                <w:szCs w:val="21"/>
              </w:rPr>
              <w:t>7</w:t>
            </w:r>
          </w:p>
        </w:tc>
        <w:tc>
          <w:tcPr>
            <w:tcW w:w="4643" w:type="dxa"/>
            <w:vAlign w:val="center"/>
          </w:tcPr>
          <w:p>
            <w:pPr>
              <w:pStyle w:val="112"/>
              <w:spacing w:line="240" w:lineRule="auto"/>
              <w:ind w:firstLine="0" w:firstLineChars="0"/>
              <w:jc w:val="center"/>
              <w:rPr>
                <w:sz w:val="21"/>
                <w:szCs w:val="21"/>
              </w:rPr>
            </w:pPr>
            <w:r>
              <w:rPr>
                <w:rFonts w:hint="eastAsia"/>
                <w:sz w:val="21"/>
                <w:szCs w:val="21"/>
              </w:rPr>
              <w:t>+</w:t>
            </w: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vAlign w:val="center"/>
          </w:tcPr>
          <w:p>
            <w:pPr>
              <w:pStyle w:val="112"/>
              <w:spacing w:line="240" w:lineRule="auto"/>
              <w:ind w:firstLine="0" w:firstLineChars="0"/>
              <w:jc w:val="center"/>
              <w:rPr>
                <w:sz w:val="21"/>
                <w:szCs w:val="21"/>
              </w:rPr>
            </w:pPr>
            <w:r>
              <w:rPr>
                <w:rFonts w:hint="eastAsia"/>
                <w:sz w:val="21"/>
                <w:szCs w:val="21"/>
              </w:rPr>
              <w:t>＞7</w:t>
            </w:r>
          </w:p>
        </w:tc>
        <w:tc>
          <w:tcPr>
            <w:tcW w:w="4643" w:type="dxa"/>
            <w:vAlign w:val="center"/>
          </w:tcPr>
          <w:p>
            <w:pPr>
              <w:pStyle w:val="112"/>
              <w:spacing w:line="240" w:lineRule="auto"/>
              <w:ind w:firstLine="0" w:firstLineChars="0"/>
              <w:jc w:val="center"/>
              <w:rPr>
                <w:sz w:val="21"/>
                <w:szCs w:val="21"/>
              </w:rPr>
            </w:pPr>
            <w:r>
              <w:rPr>
                <w:rFonts w:hint="eastAsia"/>
                <w:sz w:val="21"/>
                <w:szCs w:val="21"/>
              </w:rPr>
              <w:t>+</w:t>
            </w:r>
            <w:r>
              <w:rPr>
                <w:sz w:val="21"/>
                <w:szCs w:val="21"/>
              </w:rPr>
              <w:t>5</w:t>
            </w:r>
          </w:p>
        </w:tc>
      </w:tr>
    </w:tbl>
    <w:p>
      <w:pPr>
        <w:pStyle w:val="112"/>
        <w:ind w:firstLine="0" w:firstLineChars="0"/>
        <w:rPr>
          <w:sz w:val="21"/>
          <w:szCs w:val="21"/>
        </w:rPr>
      </w:pPr>
      <w:r>
        <w:rPr>
          <w:sz w:val="21"/>
          <w:szCs w:val="21"/>
        </w:rPr>
        <w:t>注：本表仅对大型车和中型车修正，小型车不作修正</w:t>
      </w:r>
      <w:r>
        <w:rPr>
          <w:rFonts w:hint="eastAsia"/>
          <w:sz w:val="21"/>
          <w:szCs w:val="21"/>
        </w:rPr>
        <w:t>。</w:t>
      </w:r>
    </w:p>
    <w:p>
      <w:pPr>
        <w:pStyle w:val="10"/>
        <w:ind w:firstLine="480"/>
      </w:pPr>
      <w:r>
        <w:t>公路路面引起的交通噪声源修正量</w:t>
      </w:r>
      <w:r>
        <w:rPr>
          <w:rFonts w:hint="eastAsia" w:ascii="宋体" w:hAnsi="宋体" w:cs="宋体"/>
        </w:rPr>
        <w:t>△</w:t>
      </w:r>
      <w:r>
        <w:t>L路面计算按下表取值：</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5</w:t>
      </w:r>
      <w:r>
        <w:fldChar w:fldCharType="end"/>
      </w:r>
      <w:r>
        <w:t xml:space="preserve">  常</w:t>
      </w:r>
      <w:r>
        <w:rPr>
          <w:rFonts w:hint="eastAsia"/>
        </w:rPr>
        <w:t>见</w:t>
      </w:r>
      <w:r>
        <w:t>路面噪声修正</w:t>
      </w:r>
      <w:r>
        <w:rPr>
          <w:rFonts w:hint="eastAsia"/>
        </w:rPr>
        <w:t>量</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4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vAlign w:val="center"/>
          </w:tcPr>
          <w:p>
            <w:pPr>
              <w:spacing w:line="240" w:lineRule="auto"/>
              <w:jc w:val="center"/>
              <w:rPr>
                <w:b/>
                <w:bCs/>
                <w:sz w:val="21"/>
                <w:szCs w:val="21"/>
              </w:rPr>
            </w:pPr>
            <w:r>
              <w:rPr>
                <w:rFonts w:hint="eastAsia"/>
                <w:b/>
                <w:bCs/>
                <w:sz w:val="21"/>
                <w:szCs w:val="21"/>
              </w:rPr>
              <w:t>路面</w:t>
            </w:r>
          </w:p>
        </w:tc>
        <w:tc>
          <w:tcPr>
            <w:tcW w:w="4643" w:type="dxa"/>
            <w:vAlign w:val="center"/>
          </w:tcPr>
          <w:p>
            <w:pPr>
              <w:spacing w:line="240" w:lineRule="auto"/>
              <w:jc w:val="center"/>
              <w:rPr>
                <w:b/>
                <w:bCs/>
                <w:sz w:val="21"/>
                <w:szCs w:val="21"/>
              </w:rPr>
            </w:pPr>
            <w:r>
              <w:rPr>
                <w:rFonts w:hint="eastAsia" w:ascii="宋体" w:hAnsi="宋体" w:cs="宋体"/>
                <w:b/>
                <w:bCs/>
                <w:sz w:val="21"/>
                <w:szCs w:val="21"/>
              </w:rPr>
              <w:t>△</w:t>
            </w:r>
            <w:r>
              <w:rPr>
                <w:b/>
                <w:bCs/>
                <w:sz w:val="21"/>
                <w:szCs w:val="21"/>
              </w:rPr>
              <w:t>L</w:t>
            </w:r>
            <w:r>
              <w:rPr>
                <w:b/>
                <w:bCs/>
                <w:sz w:val="21"/>
                <w:szCs w:val="21"/>
                <w:vertAlign w:val="subscript"/>
              </w:rPr>
              <w:t>路面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vAlign w:val="center"/>
          </w:tcPr>
          <w:p>
            <w:pPr>
              <w:spacing w:line="240" w:lineRule="auto"/>
              <w:jc w:val="center"/>
              <w:rPr>
                <w:sz w:val="21"/>
                <w:szCs w:val="21"/>
              </w:rPr>
            </w:pPr>
            <w:r>
              <w:rPr>
                <w:kern w:val="0"/>
                <w:sz w:val="21"/>
                <w:szCs w:val="21"/>
              </w:rPr>
              <w:t>沥青混凝土</w:t>
            </w:r>
            <w:r>
              <w:rPr>
                <w:rFonts w:hint="eastAsia"/>
                <w:sz w:val="21"/>
                <w:szCs w:val="21"/>
              </w:rPr>
              <w:t>路面</w:t>
            </w:r>
          </w:p>
        </w:tc>
        <w:tc>
          <w:tcPr>
            <w:tcW w:w="4643" w:type="dxa"/>
            <w:vAlign w:val="center"/>
          </w:tcPr>
          <w:p>
            <w:pPr>
              <w:spacing w:line="240" w:lineRule="auto"/>
              <w:jc w:val="center"/>
              <w:rPr>
                <w:sz w:val="21"/>
                <w:szCs w:val="21"/>
              </w:rPr>
            </w:pPr>
            <w:r>
              <w:rPr>
                <w:rFonts w:hint="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vAlign w:val="center"/>
          </w:tcPr>
          <w:p>
            <w:pPr>
              <w:spacing w:line="240" w:lineRule="auto"/>
              <w:jc w:val="center"/>
              <w:rPr>
                <w:sz w:val="21"/>
                <w:szCs w:val="21"/>
              </w:rPr>
            </w:pPr>
            <w:r>
              <w:rPr>
                <w:kern w:val="0"/>
                <w:sz w:val="21"/>
                <w:szCs w:val="21"/>
              </w:rPr>
              <w:t>水泥混凝土</w:t>
            </w:r>
            <w:r>
              <w:rPr>
                <w:rFonts w:hint="eastAsia"/>
                <w:sz w:val="21"/>
                <w:szCs w:val="21"/>
              </w:rPr>
              <w:t>路面</w:t>
            </w:r>
          </w:p>
        </w:tc>
        <w:tc>
          <w:tcPr>
            <w:tcW w:w="4643" w:type="dxa"/>
            <w:vAlign w:val="center"/>
          </w:tcPr>
          <w:p>
            <w:pPr>
              <w:spacing w:line="240" w:lineRule="auto"/>
              <w:jc w:val="center"/>
              <w:rPr>
                <w:sz w:val="21"/>
                <w:szCs w:val="21"/>
              </w:rPr>
            </w:pPr>
            <w:r>
              <w:rPr>
                <w:rFonts w:hint="eastAsia"/>
                <w:sz w:val="21"/>
                <w:szCs w:val="21"/>
              </w:rPr>
              <w:t>+</w:t>
            </w:r>
            <w:r>
              <w:rPr>
                <w:sz w:val="21"/>
                <w:szCs w:val="21"/>
              </w:rPr>
              <w:t>1</w:t>
            </w:r>
            <w:r>
              <w:rPr>
                <w:rFonts w:hint="eastAsia"/>
                <w:sz w:val="21"/>
                <w:szCs w:val="21"/>
              </w:rPr>
              <w:t>~</w:t>
            </w:r>
            <w:r>
              <w:rPr>
                <w:sz w:val="21"/>
                <w:szCs w:val="21"/>
              </w:rPr>
              <w:t>2</w:t>
            </w:r>
          </w:p>
        </w:tc>
      </w:tr>
    </w:tbl>
    <w:p>
      <w:pPr>
        <w:pStyle w:val="10"/>
        <w:ind w:firstLine="480"/>
        <w:rPr>
          <w:rFonts w:hint="eastAsia" w:eastAsia="宋体"/>
          <w:sz w:val="21"/>
          <w:szCs w:val="21"/>
          <w:lang w:eastAsia="zh-CN"/>
        </w:rPr>
      </w:pPr>
      <w:r>
        <w:rPr>
          <w:sz w:val="21"/>
          <w:szCs w:val="21"/>
        </w:rPr>
        <w:t>注：本表仅对小型车修正，大型车和中型车不作修正</w:t>
      </w:r>
      <w:r>
        <w:rPr>
          <w:rFonts w:hint="eastAsia"/>
          <w:sz w:val="21"/>
          <w:szCs w:val="21"/>
          <w:lang w:eastAsia="zh-CN"/>
        </w:rPr>
        <w:t>。</w:t>
      </w:r>
    </w:p>
    <w:p>
      <w:pPr>
        <w:pStyle w:val="10"/>
        <w:ind w:firstLine="480"/>
      </w:pPr>
      <w:r>
        <w:t>本项目各特征年单车行驶噪声级预测结果见</w:t>
      </w:r>
      <w:r>
        <w:rPr>
          <w:rFonts w:hint="eastAsia"/>
        </w:rPr>
        <w:t>下</w:t>
      </w:r>
      <w:r>
        <w:t>表。</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rPr>
          <w:rFonts w:hint="eastAsia"/>
          <w:lang w:val="en-US" w:eastAsia="zh-CN"/>
        </w:rPr>
        <w:t>6</w:t>
      </w:r>
      <w:r>
        <w:t xml:space="preserve">  营运期单车行驶噪声级</w:t>
      </w:r>
      <w:r>
        <w:rPr>
          <w:rFonts w:hint="eastAsia"/>
        </w:rPr>
        <w:t xml:space="preserve"> </w:t>
      </w:r>
      <w:r>
        <w:t xml:space="preserve"> </w:t>
      </w:r>
      <w:r>
        <w:rPr>
          <w:rFonts w:hint="eastAsia"/>
        </w:rPr>
        <w:t>d</w:t>
      </w:r>
      <w:r>
        <w:t>B</w:t>
      </w:r>
      <w:r>
        <w:rPr>
          <w:rFonts w:hint="eastAsia"/>
        </w:rPr>
        <w:t>（A）</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1"/>
        <w:gridCol w:w="1201"/>
        <w:gridCol w:w="1280"/>
        <w:gridCol w:w="1226"/>
        <w:gridCol w:w="1202"/>
        <w:gridCol w:w="1473"/>
        <w:gridCol w:w="1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vMerge w:val="restart"/>
            <w:vAlign w:val="center"/>
          </w:tcPr>
          <w:p>
            <w:pPr>
              <w:pStyle w:val="1132"/>
              <w:rPr>
                <w:b/>
                <w:bCs w:val="0"/>
              </w:rPr>
            </w:pPr>
            <w:r>
              <w:rPr>
                <w:b/>
                <w:bCs w:val="0"/>
              </w:rPr>
              <w:t>车型</w:t>
            </w:r>
          </w:p>
        </w:tc>
        <w:tc>
          <w:tcPr>
            <w:tcW w:w="1336" w:type="pct"/>
            <w:gridSpan w:val="2"/>
            <w:vAlign w:val="center"/>
          </w:tcPr>
          <w:p>
            <w:pPr>
              <w:pStyle w:val="1132"/>
              <w:rPr>
                <w:b/>
                <w:bCs w:val="0"/>
              </w:rPr>
            </w:pPr>
            <w:r>
              <w:rPr>
                <w:b/>
                <w:bCs w:val="0"/>
              </w:rPr>
              <w:t>2024年</w:t>
            </w:r>
          </w:p>
        </w:tc>
        <w:tc>
          <w:tcPr>
            <w:tcW w:w="1307" w:type="pct"/>
            <w:gridSpan w:val="2"/>
            <w:vAlign w:val="center"/>
          </w:tcPr>
          <w:p>
            <w:pPr>
              <w:pStyle w:val="1132"/>
              <w:rPr>
                <w:b/>
                <w:bCs w:val="0"/>
              </w:rPr>
            </w:pPr>
            <w:r>
              <w:rPr>
                <w:b/>
                <w:bCs w:val="0"/>
              </w:rPr>
              <w:t>2030年</w:t>
            </w:r>
          </w:p>
        </w:tc>
        <w:tc>
          <w:tcPr>
            <w:tcW w:w="1500" w:type="pct"/>
            <w:gridSpan w:val="2"/>
            <w:vAlign w:val="center"/>
          </w:tcPr>
          <w:p>
            <w:pPr>
              <w:pStyle w:val="1132"/>
              <w:rPr>
                <w:b/>
                <w:bCs w:val="0"/>
              </w:rPr>
            </w:pPr>
            <w:r>
              <w:rPr>
                <w:b/>
                <w:bCs w:val="0"/>
              </w:rPr>
              <w:t>2038年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vMerge w:val="continue"/>
            <w:vAlign w:val="center"/>
          </w:tcPr>
          <w:p>
            <w:pPr>
              <w:pStyle w:val="1132"/>
            </w:pPr>
          </w:p>
        </w:tc>
        <w:tc>
          <w:tcPr>
            <w:tcW w:w="647" w:type="pct"/>
            <w:vAlign w:val="center"/>
          </w:tcPr>
          <w:p>
            <w:pPr>
              <w:pStyle w:val="1132"/>
            </w:pPr>
            <w:r>
              <w:t>昼</w:t>
            </w:r>
          </w:p>
        </w:tc>
        <w:tc>
          <w:tcPr>
            <w:tcW w:w="689" w:type="pct"/>
            <w:vAlign w:val="center"/>
          </w:tcPr>
          <w:p>
            <w:pPr>
              <w:pStyle w:val="1132"/>
            </w:pPr>
            <w:r>
              <w:t>夜</w:t>
            </w:r>
          </w:p>
        </w:tc>
        <w:tc>
          <w:tcPr>
            <w:tcW w:w="660" w:type="pct"/>
            <w:vAlign w:val="center"/>
          </w:tcPr>
          <w:p>
            <w:pPr>
              <w:pStyle w:val="1132"/>
            </w:pPr>
            <w:r>
              <w:t>昼</w:t>
            </w:r>
          </w:p>
        </w:tc>
        <w:tc>
          <w:tcPr>
            <w:tcW w:w="647" w:type="pct"/>
            <w:vAlign w:val="center"/>
          </w:tcPr>
          <w:p>
            <w:pPr>
              <w:pStyle w:val="1132"/>
            </w:pPr>
            <w:r>
              <w:t>夜</w:t>
            </w:r>
          </w:p>
        </w:tc>
        <w:tc>
          <w:tcPr>
            <w:tcW w:w="793" w:type="pct"/>
            <w:vAlign w:val="center"/>
          </w:tcPr>
          <w:p>
            <w:pPr>
              <w:pStyle w:val="1132"/>
            </w:pPr>
            <w:r>
              <w:t>昼</w:t>
            </w:r>
          </w:p>
        </w:tc>
        <w:tc>
          <w:tcPr>
            <w:tcW w:w="707" w:type="pct"/>
            <w:vAlign w:val="center"/>
          </w:tcPr>
          <w:p>
            <w:pPr>
              <w:pStyle w:val="1132"/>
            </w:pPr>
            <w:r>
              <w:t>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vAlign w:val="center"/>
          </w:tcPr>
          <w:p>
            <w:pPr>
              <w:pStyle w:val="1132"/>
            </w:pPr>
            <w:r>
              <w:t>小型车</w:t>
            </w:r>
          </w:p>
        </w:tc>
        <w:tc>
          <w:tcPr>
            <w:tcW w:w="647" w:type="pct"/>
            <w:vAlign w:val="center"/>
          </w:tcPr>
          <w:p>
            <w:pPr>
              <w:pStyle w:val="1132"/>
            </w:pPr>
            <w:r>
              <w:rPr>
                <w:rFonts w:hint="eastAsia"/>
              </w:rPr>
              <w:t>7</w:t>
            </w:r>
            <w:r>
              <w:t>4.4</w:t>
            </w:r>
          </w:p>
        </w:tc>
        <w:tc>
          <w:tcPr>
            <w:tcW w:w="689" w:type="pct"/>
            <w:vAlign w:val="center"/>
          </w:tcPr>
          <w:p>
            <w:pPr>
              <w:pStyle w:val="1132"/>
            </w:pPr>
            <w:r>
              <w:rPr>
                <w:rFonts w:hint="eastAsia"/>
              </w:rPr>
              <w:t>7</w:t>
            </w:r>
            <w:r>
              <w:t>2.8</w:t>
            </w:r>
          </w:p>
        </w:tc>
        <w:tc>
          <w:tcPr>
            <w:tcW w:w="660" w:type="pct"/>
            <w:vAlign w:val="center"/>
          </w:tcPr>
          <w:p>
            <w:pPr>
              <w:pStyle w:val="1132"/>
            </w:pPr>
            <w:r>
              <w:rPr>
                <w:rFonts w:hint="eastAsia"/>
              </w:rPr>
              <w:t>7</w:t>
            </w:r>
            <w:r>
              <w:t>4.4</w:t>
            </w:r>
          </w:p>
        </w:tc>
        <w:tc>
          <w:tcPr>
            <w:tcW w:w="647" w:type="pct"/>
            <w:vAlign w:val="center"/>
          </w:tcPr>
          <w:p>
            <w:pPr>
              <w:pStyle w:val="1132"/>
            </w:pPr>
            <w:r>
              <w:rPr>
                <w:rFonts w:hint="eastAsia"/>
              </w:rPr>
              <w:t>7</w:t>
            </w:r>
            <w:r>
              <w:t>2.8</w:t>
            </w:r>
          </w:p>
        </w:tc>
        <w:tc>
          <w:tcPr>
            <w:tcW w:w="793" w:type="pct"/>
            <w:vAlign w:val="center"/>
          </w:tcPr>
          <w:p>
            <w:pPr>
              <w:pStyle w:val="1132"/>
            </w:pPr>
            <w:r>
              <w:rPr>
                <w:rFonts w:hint="eastAsia"/>
              </w:rPr>
              <w:t>7</w:t>
            </w:r>
            <w:r>
              <w:t>4.4</w:t>
            </w:r>
          </w:p>
        </w:tc>
        <w:tc>
          <w:tcPr>
            <w:tcW w:w="707" w:type="pct"/>
            <w:vAlign w:val="center"/>
          </w:tcPr>
          <w:p>
            <w:pPr>
              <w:pStyle w:val="1132"/>
            </w:pPr>
            <w:r>
              <w:rPr>
                <w:rFonts w:hint="eastAsia"/>
              </w:rPr>
              <w:t>7</w:t>
            </w:r>
            <w: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vAlign w:val="center"/>
          </w:tcPr>
          <w:p>
            <w:pPr>
              <w:pStyle w:val="1132"/>
            </w:pPr>
            <w:r>
              <w:t>中型车</w:t>
            </w:r>
          </w:p>
        </w:tc>
        <w:tc>
          <w:tcPr>
            <w:tcW w:w="647" w:type="pct"/>
            <w:vAlign w:val="center"/>
          </w:tcPr>
          <w:p>
            <w:pPr>
              <w:pStyle w:val="1132"/>
            </w:pPr>
            <w:r>
              <w:rPr>
                <w:rFonts w:hint="eastAsia"/>
              </w:rPr>
              <w:t>8</w:t>
            </w:r>
            <w:r>
              <w:t>0.8</w:t>
            </w:r>
          </w:p>
        </w:tc>
        <w:tc>
          <w:tcPr>
            <w:tcW w:w="689" w:type="pct"/>
            <w:vAlign w:val="center"/>
          </w:tcPr>
          <w:p>
            <w:pPr>
              <w:pStyle w:val="1132"/>
            </w:pPr>
            <w:r>
              <w:rPr>
                <w:rFonts w:hint="eastAsia"/>
              </w:rPr>
              <w:t>7</w:t>
            </w:r>
            <w:r>
              <w:t>8.9</w:t>
            </w:r>
          </w:p>
        </w:tc>
        <w:tc>
          <w:tcPr>
            <w:tcW w:w="660" w:type="pct"/>
            <w:vAlign w:val="center"/>
          </w:tcPr>
          <w:p>
            <w:pPr>
              <w:pStyle w:val="1132"/>
            </w:pPr>
            <w:r>
              <w:rPr>
                <w:rFonts w:hint="eastAsia"/>
              </w:rPr>
              <w:t>8</w:t>
            </w:r>
            <w:r>
              <w:t>0.8</w:t>
            </w:r>
          </w:p>
        </w:tc>
        <w:tc>
          <w:tcPr>
            <w:tcW w:w="647" w:type="pct"/>
            <w:vAlign w:val="center"/>
          </w:tcPr>
          <w:p>
            <w:pPr>
              <w:pStyle w:val="1132"/>
            </w:pPr>
            <w:r>
              <w:rPr>
                <w:rFonts w:hint="eastAsia"/>
              </w:rPr>
              <w:t>7</w:t>
            </w:r>
            <w:r>
              <w:t>8.9</w:t>
            </w:r>
          </w:p>
        </w:tc>
        <w:tc>
          <w:tcPr>
            <w:tcW w:w="793" w:type="pct"/>
            <w:vAlign w:val="center"/>
          </w:tcPr>
          <w:p>
            <w:pPr>
              <w:pStyle w:val="1132"/>
            </w:pPr>
            <w:r>
              <w:rPr>
                <w:rFonts w:hint="eastAsia"/>
              </w:rPr>
              <w:t>8</w:t>
            </w:r>
            <w:r>
              <w:t>0.8</w:t>
            </w:r>
          </w:p>
        </w:tc>
        <w:tc>
          <w:tcPr>
            <w:tcW w:w="707" w:type="pct"/>
            <w:vAlign w:val="center"/>
          </w:tcPr>
          <w:p>
            <w:pPr>
              <w:pStyle w:val="1132"/>
            </w:pPr>
            <w:r>
              <w:rPr>
                <w:rFonts w:hint="eastAsia"/>
              </w:rPr>
              <w:t>7</w:t>
            </w:r>
            <w: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vAlign w:val="center"/>
          </w:tcPr>
          <w:p>
            <w:pPr>
              <w:pStyle w:val="1132"/>
            </w:pPr>
            <w:r>
              <w:t>大型车</w:t>
            </w:r>
          </w:p>
        </w:tc>
        <w:tc>
          <w:tcPr>
            <w:tcW w:w="647" w:type="pct"/>
            <w:vAlign w:val="center"/>
          </w:tcPr>
          <w:p>
            <w:pPr>
              <w:pStyle w:val="1132"/>
            </w:pPr>
            <w:r>
              <w:rPr>
                <w:rFonts w:hint="eastAsia"/>
              </w:rPr>
              <w:t>8</w:t>
            </w:r>
            <w:r>
              <w:t>6.6</w:t>
            </w:r>
          </w:p>
        </w:tc>
        <w:tc>
          <w:tcPr>
            <w:tcW w:w="689" w:type="pct"/>
            <w:vAlign w:val="center"/>
          </w:tcPr>
          <w:p>
            <w:pPr>
              <w:pStyle w:val="1132"/>
            </w:pPr>
            <w:r>
              <w:rPr>
                <w:rFonts w:hint="eastAsia"/>
              </w:rPr>
              <w:t>8</w:t>
            </w:r>
            <w:r>
              <w:t>4.9</w:t>
            </w:r>
          </w:p>
        </w:tc>
        <w:tc>
          <w:tcPr>
            <w:tcW w:w="660" w:type="pct"/>
            <w:vAlign w:val="center"/>
          </w:tcPr>
          <w:p>
            <w:pPr>
              <w:pStyle w:val="1132"/>
            </w:pPr>
            <w:r>
              <w:rPr>
                <w:rFonts w:hint="eastAsia"/>
              </w:rPr>
              <w:t>8</w:t>
            </w:r>
            <w:r>
              <w:t>6.6</w:t>
            </w:r>
          </w:p>
        </w:tc>
        <w:tc>
          <w:tcPr>
            <w:tcW w:w="647" w:type="pct"/>
            <w:vAlign w:val="center"/>
          </w:tcPr>
          <w:p>
            <w:pPr>
              <w:pStyle w:val="1132"/>
            </w:pPr>
            <w:r>
              <w:rPr>
                <w:rFonts w:hint="eastAsia"/>
              </w:rPr>
              <w:t>8</w:t>
            </w:r>
            <w:r>
              <w:t>4.9</w:t>
            </w:r>
          </w:p>
        </w:tc>
        <w:tc>
          <w:tcPr>
            <w:tcW w:w="793" w:type="pct"/>
            <w:vAlign w:val="center"/>
          </w:tcPr>
          <w:p>
            <w:pPr>
              <w:pStyle w:val="1132"/>
            </w:pPr>
            <w:r>
              <w:rPr>
                <w:rFonts w:hint="eastAsia"/>
              </w:rPr>
              <w:t>8</w:t>
            </w:r>
            <w:r>
              <w:t>6.6</w:t>
            </w:r>
          </w:p>
        </w:tc>
        <w:tc>
          <w:tcPr>
            <w:tcW w:w="707" w:type="pct"/>
            <w:vAlign w:val="center"/>
          </w:tcPr>
          <w:p>
            <w:pPr>
              <w:pStyle w:val="1132"/>
            </w:pPr>
            <w:r>
              <w:rPr>
                <w:rFonts w:hint="eastAsia"/>
              </w:rPr>
              <w:t>8</w:t>
            </w:r>
            <w:r>
              <w:t>4.9</w:t>
            </w:r>
          </w:p>
        </w:tc>
      </w:tr>
    </w:tbl>
    <w:p>
      <w:pPr>
        <w:rPr>
          <w:sz w:val="21"/>
          <w:szCs w:val="21"/>
        </w:rPr>
      </w:pPr>
      <w:r>
        <w:rPr>
          <w:rFonts w:hint="eastAsia"/>
          <w:sz w:val="21"/>
          <w:szCs w:val="21"/>
        </w:rPr>
        <w:t>注：夜间车速</w:t>
      </w:r>
      <w:r>
        <w:rPr>
          <w:sz w:val="21"/>
          <w:szCs w:val="21"/>
        </w:rPr>
        <w:t>按照昼间的</w:t>
      </w:r>
      <w:r>
        <w:rPr>
          <w:rFonts w:hint="eastAsia"/>
          <w:sz w:val="21"/>
          <w:szCs w:val="21"/>
        </w:rPr>
        <w:t>9</w:t>
      </w:r>
      <w:r>
        <w:rPr>
          <w:sz w:val="21"/>
          <w:szCs w:val="21"/>
        </w:rPr>
        <w:t>0%进行预测</w:t>
      </w:r>
      <w:r>
        <w:rPr>
          <w:rFonts w:hint="eastAsia"/>
          <w:sz w:val="21"/>
          <w:szCs w:val="21"/>
        </w:rPr>
        <w:t>。</w:t>
      </w:r>
    </w:p>
    <w:p>
      <w:pPr>
        <w:pStyle w:val="9"/>
      </w:pPr>
      <w:bookmarkStart w:id="209" w:name="_Toc32467"/>
      <w:r>
        <w:rPr>
          <w:rFonts w:hint="eastAsia"/>
        </w:rPr>
        <w:t>大气污染源分析</w:t>
      </w:r>
      <w:bookmarkEnd w:id="209"/>
    </w:p>
    <w:p>
      <w:pPr>
        <w:pStyle w:val="10"/>
        <w:ind w:firstLine="480"/>
      </w:pPr>
      <w:r>
        <w:t>项目营运期对大气环境的污染主要来自汽车尾气。</w:t>
      </w:r>
    </w:p>
    <w:p>
      <w:pPr>
        <w:pStyle w:val="10"/>
        <w:ind w:firstLine="480"/>
      </w:pPr>
      <w:r>
        <w:t>汽车尾气主要来自曲轴箱漏气、燃油系统挥发和排气筒的排放，主要污染物为CO、NO</w:t>
      </w:r>
      <w:r>
        <w:rPr>
          <w:vertAlign w:val="subscript"/>
        </w:rPr>
        <w:t>2</w:t>
      </w:r>
      <w:r>
        <w:t>、总烃等。机动车尾气污染物的排放过程十分复杂，与多种因素有关，不仅取决于机动车本身的构造、型号、年代、行驶里程、保养状态和有无尾气净化装置，而且还取决于燃料、环境温度、负载和驾驶方式等外部因素。各类型机动车在不同行驶速度下的台架模拟试验表明，不同类型机动车的尾气污染物排放有不同的规律。</w:t>
      </w:r>
    </w:p>
    <w:p>
      <w:pPr>
        <w:pStyle w:val="10"/>
        <w:ind w:firstLine="480"/>
      </w:pPr>
      <w:r>
        <w:rPr>
          <w:rFonts w:hint="eastAsia"/>
        </w:rPr>
        <w:t>（1）</w:t>
      </w:r>
      <w:r>
        <w:t>排放因子的选取</w:t>
      </w:r>
    </w:p>
    <w:p>
      <w:pPr>
        <w:pStyle w:val="10"/>
        <w:ind w:firstLine="480"/>
      </w:pPr>
      <w:r>
        <w:t>根据《公路建设项目环境影响评价规范（JTGB03-2006）</w:t>
      </w:r>
      <w:r>
        <w:rPr>
          <w:rFonts w:hint="eastAsia"/>
          <w:lang w:eastAsia="zh-CN"/>
        </w:rPr>
        <w:t>》</w:t>
      </w:r>
      <w:r>
        <w:t>条文说明，附录E推荐的单车排放因子具体数据是由国家发布的有关标准，以i型车出厂作产品一致性检查时间的j类气态排放物的单车排放因子标准值为基础，考虑了车速、环境温度、行驶里程增值、车辆折旧更新和曲轴箱泄漏及油箱、化油器的蒸发等因素修正后，从大量的在用车辆排放测试数据中统计计算得出的。</w:t>
      </w:r>
    </w:p>
    <w:p>
      <w:pPr>
        <w:pStyle w:val="10"/>
        <w:ind w:firstLine="480"/>
      </w:pPr>
      <w:r>
        <w:t>因此，JTJ005-96推荐的单车排放因子为执行国Ⅰ标准时期的测试值。此后，我国又相继颁布实施了国Ⅱ、国Ⅲ、国Ⅳ、国Ⅴ和国Ⅵ机动车排放标准。</w:t>
      </w:r>
    </w:p>
    <w:p>
      <w:pPr>
        <w:pStyle w:val="10"/>
        <w:ind w:firstLine="480"/>
      </w:pPr>
      <w:r>
        <w:t>小型车采用第一类车限值、中型车采用第二类车Ⅱ限值、大型车采用第二类车Ⅲ限值，各标准值对比见</w:t>
      </w:r>
      <w:r>
        <w:rPr>
          <w:rFonts w:hint="eastAsia"/>
        </w:rPr>
        <w:t>下</w:t>
      </w:r>
      <w:r>
        <w:t>表。</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rPr>
          <w:rFonts w:hint="eastAsia"/>
          <w:lang w:val="en-US" w:eastAsia="zh-CN"/>
        </w:rPr>
        <w:t xml:space="preserve">7 </w:t>
      </w:r>
      <w:r>
        <w:t xml:space="preserve"> 我国各级机动车排放标准对照表（汽油车）</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90"/>
        <w:gridCol w:w="1168"/>
        <w:gridCol w:w="628"/>
        <w:gridCol w:w="786"/>
        <w:gridCol w:w="628"/>
        <w:gridCol w:w="700"/>
        <w:gridCol w:w="713"/>
        <w:gridCol w:w="628"/>
        <w:gridCol w:w="788"/>
        <w:gridCol w:w="788"/>
        <w:gridCol w:w="788"/>
        <w:gridCol w:w="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0" w:type="pct"/>
            <w:vMerge w:val="restart"/>
            <w:vAlign w:val="center"/>
          </w:tcPr>
          <w:p>
            <w:pPr>
              <w:pStyle w:val="1132"/>
              <w:rPr>
                <w:b/>
                <w:bCs w:val="0"/>
              </w:rPr>
            </w:pPr>
            <w:r>
              <w:rPr>
                <w:b/>
                <w:bCs w:val="0"/>
              </w:rPr>
              <w:t>车型</w:t>
            </w:r>
          </w:p>
        </w:tc>
        <w:tc>
          <w:tcPr>
            <w:tcW w:w="636" w:type="pct"/>
            <w:vMerge w:val="restart"/>
            <w:vAlign w:val="center"/>
          </w:tcPr>
          <w:p>
            <w:pPr>
              <w:pStyle w:val="1132"/>
              <w:rPr>
                <w:b/>
                <w:bCs w:val="0"/>
              </w:rPr>
            </w:pPr>
            <w:r>
              <w:rPr>
                <w:b/>
                <w:bCs w:val="0"/>
              </w:rPr>
              <w:t>污染物</w:t>
            </w:r>
          </w:p>
        </w:tc>
        <w:tc>
          <w:tcPr>
            <w:tcW w:w="1880" w:type="pct"/>
            <w:gridSpan w:val="5"/>
            <w:vAlign w:val="center"/>
          </w:tcPr>
          <w:p>
            <w:pPr>
              <w:pStyle w:val="1132"/>
              <w:rPr>
                <w:b/>
                <w:bCs w:val="0"/>
              </w:rPr>
            </w:pPr>
            <w:r>
              <w:rPr>
                <w:b/>
                <w:bCs w:val="0"/>
              </w:rPr>
              <w:t>标准限值（g/km）</w:t>
            </w:r>
          </w:p>
        </w:tc>
        <w:tc>
          <w:tcPr>
            <w:tcW w:w="2054" w:type="pct"/>
            <w:gridSpan w:val="5"/>
            <w:vAlign w:val="center"/>
          </w:tcPr>
          <w:p>
            <w:pPr>
              <w:pStyle w:val="1132"/>
              <w:rPr>
                <w:b/>
                <w:bCs w:val="0"/>
              </w:rPr>
            </w:pPr>
            <w:r>
              <w:rPr>
                <w:b/>
                <w:bCs w:val="0"/>
              </w:rPr>
              <w:t>比例（标准/国I值）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0" w:type="pct"/>
            <w:vMerge w:val="continue"/>
            <w:vAlign w:val="center"/>
          </w:tcPr>
          <w:p>
            <w:pPr>
              <w:pStyle w:val="1132"/>
            </w:pPr>
          </w:p>
        </w:tc>
        <w:tc>
          <w:tcPr>
            <w:tcW w:w="636" w:type="pct"/>
            <w:vMerge w:val="continue"/>
            <w:vAlign w:val="center"/>
          </w:tcPr>
          <w:p>
            <w:pPr>
              <w:pStyle w:val="1132"/>
            </w:pPr>
          </w:p>
        </w:tc>
        <w:tc>
          <w:tcPr>
            <w:tcW w:w="342" w:type="pct"/>
            <w:vAlign w:val="center"/>
          </w:tcPr>
          <w:p>
            <w:pPr>
              <w:pStyle w:val="1132"/>
            </w:pPr>
            <w:r>
              <w:t>国I</w:t>
            </w:r>
          </w:p>
        </w:tc>
        <w:tc>
          <w:tcPr>
            <w:tcW w:w="428" w:type="pct"/>
            <w:vAlign w:val="center"/>
          </w:tcPr>
          <w:p>
            <w:pPr>
              <w:pStyle w:val="1132"/>
            </w:pPr>
            <w:r>
              <w:t>国IV</w:t>
            </w:r>
          </w:p>
        </w:tc>
        <w:tc>
          <w:tcPr>
            <w:tcW w:w="342" w:type="pct"/>
            <w:vAlign w:val="center"/>
          </w:tcPr>
          <w:p>
            <w:pPr>
              <w:pStyle w:val="1132"/>
            </w:pPr>
            <w:r>
              <w:t>国Ⅴ</w:t>
            </w:r>
          </w:p>
        </w:tc>
        <w:tc>
          <w:tcPr>
            <w:tcW w:w="381" w:type="pct"/>
            <w:vAlign w:val="center"/>
          </w:tcPr>
          <w:p>
            <w:pPr>
              <w:pStyle w:val="1132"/>
            </w:pPr>
            <w:r>
              <w:t>国Ⅵ（a）</w:t>
            </w:r>
          </w:p>
        </w:tc>
        <w:tc>
          <w:tcPr>
            <w:tcW w:w="388" w:type="pct"/>
            <w:vAlign w:val="center"/>
          </w:tcPr>
          <w:p>
            <w:pPr>
              <w:pStyle w:val="1132"/>
            </w:pPr>
            <w:r>
              <w:t>国Ⅵ（b）</w:t>
            </w:r>
          </w:p>
        </w:tc>
        <w:tc>
          <w:tcPr>
            <w:tcW w:w="342" w:type="pct"/>
            <w:vAlign w:val="center"/>
          </w:tcPr>
          <w:p>
            <w:pPr>
              <w:pStyle w:val="1132"/>
            </w:pPr>
            <w:r>
              <w:t>国I</w:t>
            </w:r>
          </w:p>
        </w:tc>
        <w:tc>
          <w:tcPr>
            <w:tcW w:w="429" w:type="pct"/>
            <w:vAlign w:val="center"/>
          </w:tcPr>
          <w:p>
            <w:pPr>
              <w:pStyle w:val="1132"/>
            </w:pPr>
            <w:r>
              <w:t>国IV</w:t>
            </w:r>
          </w:p>
        </w:tc>
        <w:tc>
          <w:tcPr>
            <w:tcW w:w="429" w:type="pct"/>
            <w:vAlign w:val="center"/>
          </w:tcPr>
          <w:p>
            <w:pPr>
              <w:pStyle w:val="1132"/>
            </w:pPr>
            <w:r>
              <w:t>国Ⅴ</w:t>
            </w:r>
          </w:p>
        </w:tc>
        <w:tc>
          <w:tcPr>
            <w:tcW w:w="429" w:type="pct"/>
            <w:vAlign w:val="center"/>
          </w:tcPr>
          <w:p>
            <w:pPr>
              <w:pStyle w:val="1132"/>
            </w:pPr>
            <w:r>
              <w:t>国Ⅵ（a）</w:t>
            </w:r>
          </w:p>
        </w:tc>
        <w:tc>
          <w:tcPr>
            <w:tcW w:w="425" w:type="pct"/>
            <w:vAlign w:val="center"/>
          </w:tcPr>
          <w:p>
            <w:pPr>
              <w:pStyle w:val="1132"/>
            </w:pPr>
            <w:r>
              <w:t>国Ⅵ（b）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0" w:type="pct"/>
            <w:vMerge w:val="restart"/>
            <w:vAlign w:val="center"/>
          </w:tcPr>
          <w:p>
            <w:pPr>
              <w:pStyle w:val="1132"/>
            </w:pPr>
            <w:r>
              <w:t>小型车</w:t>
            </w:r>
          </w:p>
        </w:tc>
        <w:tc>
          <w:tcPr>
            <w:tcW w:w="636" w:type="pct"/>
            <w:vAlign w:val="center"/>
          </w:tcPr>
          <w:p>
            <w:pPr>
              <w:pStyle w:val="1132"/>
            </w:pPr>
            <w:r>
              <w:t>CO</w:t>
            </w:r>
          </w:p>
        </w:tc>
        <w:tc>
          <w:tcPr>
            <w:tcW w:w="342" w:type="pct"/>
            <w:vAlign w:val="center"/>
          </w:tcPr>
          <w:p>
            <w:pPr>
              <w:pStyle w:val="1132"/>
            </w:pPr>
            <w:r>
              <w:t>2.72</w:t>
            </w:r>
          </w:p>
        </w:tc>
        <w:tc>
          <w:tcPr>
            <w:tcW w:w="428" w:type="pct"/>
            <w:vAlign w:val="center"/>
          </w:tcPr>
          <w:p>
            <w:pPr>
              <w:pStyle w:val="1132"/>
            </w:pPr>
            <w:r>
              <w:t>1.00</w:t>
            </w:r>
          </w:p>
        </w:tc>
        <w:tc>
          <w:tcPr>
            <w:tcW w:w="342" w:type="pct"/>
            <w:vAlign w:val="center"/>
          </w:tcPr>
          <w:p>
            <w:pPr>
              <w:pStyle w:val="1132"/>
            </w:pPr>
            <w:r>
              <w:t>1</w:t>
            </w:r>
          </w:p>
        </w:tc>
        <w:tc>
          <w:tcPr>
            <w:tcW w:w="381" w:type="pct"/>
            <w:vAlign w:val="center"/>
          </w:tcPr>
          <w:p>
            <w:pPr>
              <w:pStyle w:val="1132"/>
            </w:pPr>
            <w:r>
              <w:t>0.7</w:t>
            </w:r>
          </w:p>
        </w:tc>
        <w:tc>
          <w:tcPr>
            <w:tcW w:w="388" w:type="pct"/>
            <w:vAlign w:val="center"/>
          </w:tcPr>
          <w:p>
            <w:pPr>
              <w:pStyle w:val="1132"/>
            </w:pPr>
            <w:r>
              <w:t>0.5</w:t>
            </w:r>
          </w:p>
        </w:tc>
        <w:tc>
          <w:tcPr>
            <w:tcW w:w="342" w:type="pct"/>
            <w:vAlign w:val="center"/>
          </w:tcPr>
          <w:p>
            <w:pPr>
              <w:pStyle w:val="1132"/>
            </w:pPr>
            <w:r>
              <w:t>1</w:t>
            </w:r>
          </w:p>
        </w:tc>
        <w:tc>
          <w:tcPr>
            <w:tcW w:w="429" w:type="pct"/>
            <w:vAlign w:val="center"/>
          </w:tcPr>
          <w:p>
            <w:pPr>
              <w:pStyle w:val="1132"/>
            </w:pPr>
            <w:r>
              <w:t>0.37</w:t>
            </w:r>
          </w:p>
        </w:tc>
        <w:tc>
          <w:tcPr>
            <w:tcW w:w="429" w:type="pct"/>
            <w:vAlign w:val="center"/>
          </w:tcPr>
          <w:p>
            <w:pPr>
              <w:pStyle w:val="1132"/>
            </w:pPr>
            <w:r>
              <w:t>0.37</w:t>
            </w:r>
          </w:p>
        </w:tc>
        <w:tc>
          <w:tcPr>
            <w:tcW w:w="429" w:type="pct"/>
            <w:vAlign w:val="center"/>
          </w:tcPr>
          <w:p>
            <w:pPr>
              <w:pStyle w:val="1132"/>
            </w:pPr>
            <w:r>
              <w:t>0.26</w:t>
            </w:r>
          </w:p>
        </w:tc>
        <w:tc>
          <w:tcPr>
            <w:tcW w:w="425" w:type="pct"/>
            <w:vAlign w:val="bottom"/>
          </w:tcPr>
          <w:p>
            <w:pPr>
              <w:pStyle w:val="1132"/>
            </w:pPr>
            <w:r>
              <w:rPr>
                <w:sz w:val="22"/>
                <w:szCs w:val="22"/>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0" w:type="pct"/>
            <w:vMerge w:val="continue"/>
            <w:vAlign w:val="center"/>
          </w:tcPr>
          <w:p>
            <w:pPr>
              <w:pStyle w:val="1132"/>
            </w:pPr>
          </w:p>
        </w:tc>
        <w:tc>
          <w:tcPr>
            <w:tcW w:w="636" w:type="pct"/>
            <w:vAlign w:val="center"/>
          </w:tcPr>
          <w:p>
            <w:pPr>
              <w:pStyle w:val="1132"/>
            </w:pPr>
            <w:r>
              <w:t>THC+NO</w:t>
            </w:r>
            <w:r>
              <w:rPr>
                <w:vertAlign w:val="subscript"/>
              </w:rPr>
              <w:t>x</w:t>
            </w:r>
          </w:p>
        </w:tc>
        <w:tc>
          <w:tcPr>
            <w:tcW w:w="342" w:type="pct"/>
            <w:vAlign w:val="center"/>
          </w:tcPr>
          <w:p>
            <w:pPr>
              <w:pStyle w:val="1132"/>
            </w:pPr>
            <w:r>
              <w:t>0.97</w:t>
            </w:r>
          </w:p>
        </w:tc>
        <w:tc>
          <w:tcPr>
            <w:tcW w:w="428" w:type="pct"/>
            <w:vAlign w:val="center"/>
          </w:tcPr>
          <w:p>
            <w:pPr>
              <w:pStyle w:val="1132"/>
            </w:pPr>
            <w:r>
              <w:t>0.18</w:t>
            </w:r>
          </w:p>
        </w:tc>
        <w:tc>
          <w:tcPr>
            <w:tcW w:w="342" w:type="pct"/>
            <w:vAlign w:val="center"/>
          </w:tcPr>
          <w:p>
            <w:pPr>
              <w:pStyle w:val="1132"/>
            </w:pPr>
            <w:r>
              <w:t>0.16</w:t>
            </w:r>
          </w:p>
        </w:tc>
        <w:tc>
          <w:tcPr>
            <w:tcW w:w="381" w:type="pct"/>
            <w:vAlign w:val="center"/>
          </w:tcPr>
          <w:p>
            <w:pPr>
              <w:pStyle w:val="1132"/>
            </w:pPr>
            <w:r>
              <w:t>0.16</w:t>
            </w:r>
          </w:p>
        </w:tc>
        <w:tc>
          <w:tcPr>
            <w:tcW w:w="388" w:type="pct"/>
            <w:vAlign w:val="center"/>
          </w:tcPr>
          <w:p>
            <w:pPr>
              <w:pStyle w:val="1132"/>
            </w:pPr>
            <w:r>
              <w:t>0.08</w:t>
            </w:r>
          </w:p>
        </w:tc>
        <w:tc>
          <w:tcPr>
            <w:tcW w:w="342" w:type="pct"/>
            <w:vAlign w:val="center"/>
          </w:tcPr>
          <w:p>
            <w:pPr>
              <w:pStyle w:val="1132"/>
            </w:pPr>
            <w:r>
              <w:t>1</w:t>
            </w:r>
          </w:p>
        </w:tc>
        <w:tc>
          <w:tcPr>
            <w:tcW w:w="429" w:type="pct"/>
            <w:vAlign w:val="center"/>
          </w:tcPr>
          <w:p>
            <w:pPr>
              <w:pStyle w:val="1132"/>
            </w:pPr>
            <w:r>
              <w:t>0.19</w:t>
            </w:r>
          </w:p>
        </w:tc>
        <w:tc>
          <w:tcPr>
            <w:tcW w:w="429" w:type="pct"/>
            <w:vAlign w:val="center"/>
          </w:tcPr>
          <w:p>
            <w:pPr>
              <w:pStyle w:val="1132"/>
            </w:pPr>
            <w:r>
              <w:t>0.16</w:t>
            </w:r>
          </w:p>
        </w:tc>
        <w:tc>
          <w:tcPr>
            <w:tcW w:w="429" w:type="pct"/>
            <w:vAlign w:val="center"/>
          </w:tcPr>
          <w:p>
            <w:pPr>
              <w:pStyle w:val="1132"/>
            </w:pPr>
            <w:r>
              <w:t>0.16</w:t>
            </w:r>
          </w:p>
        </w:tc>
        <w:tc>
          <w:tcPr>
            <w:tcW w:w="425" w:type="pct"/>
            <w:vAlign w:val="bottom"/>
          </w:tcPr>
          <w:p>
            <w:pPr>
              <w:pStyle w:val="1132"/>
            </w:pPr>
            <w:r>
              <w:rPr>
                <w:sz w:val="22"/>
                <w:szCs w:val="22"/>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0" w:type="pct"/>
            <w:vMerge w:val="restart"/>
            <w:vAlign w:val="center"/>
          </w:tcPr>
          <w:p>
            <w:pPr>
              <w:pStyle w:val="1132"/>
            </w:pPr>
            <w:r>
              <w:t>中型车</w:t>
            </w:r>
          </w:p>
        </w:tc>
        <w:tc>
          <w:tcPr>
            <w:tcW w:w="636" w:type="pct"/>
            <w:vAlign w:val="center"/>
          </w:tcPr>
          <w:p>
            <w:pPr>
              <w:pStyle w:val="1132"/>
            </w:pPr>
            <w:r>
              <w:t>CO</w:t>
            </w:r>
          </w:p>
        </w:tc>
        <w:tc>
          <w:tcPr>
            <w:tcW w:w="342" w:type="pct"/>
            <w:vAlign w:val="center"/>
          </w:tcPr>
          <w:p>
            <w:pPr>
              <w:pStyle w:val="1132"/>
            </w:pPr>
            <w:r>
              <w:t>5.17</w:t>
            </w:r>
          </w:p>
        </w:tc>
        <w:tc>
          <w:tcPr>
            <w:tcW w:w="428" w:type="pct"/>
            <w:vAlign w:val="center"/>
          </w:tcPr>
          <w:p>
            <w:pPr>
              <w:pStyle w:val="1132"/>
            </w:pPr>
            <w:r>
              <w:t>1.81</w:t>
            </w:r>
          </w:p>
        </w:tc>
        <w:tc>
          <w:tcPr>
            <w:tcW w:w="342" w:type="pct"/>
            <w:vAlign w:val="center"/>
          </w:tcPr>
          <w:p>
            <w:pPr>
              <w:pStyle w:val="1132"/>
            </w:pPr>
            <w:r>
              <w:t>1.81</w:t>
            </w:r>
          </w:p>
        </w:tc>
        <w:tc>
          <w:tcPr>
            <w:tcW w:w="381" w:type="pct"/>
            <w:vAlign w:val="center"/>
          </w:tcPr>
          <w:p>
            <w:pPr>
              <w:pStyle w:val="1132"/>
            </w:pPr>
            <w:r>
              <w:t>0.88</w:t>
            </w:r>
          </w:p>
        </w:tc>
        <w:tc>
          <w:tcPr>
            <w:tcW w:w="388" w:type="pct"/>
            <w:vAlign w:val="center"/>
          </w:tcPr>
          <w:p>
            <w:pPr>
              <w:pStyle w:val="1132"/>
            </w:pPr>
            <w:r>
              <w:t>0.63</w:t>
            </w:r>
          </w:p>
        </w:tc>
        <w:tc>
          <w:tcPr>
            <w:tcW w:w="342" w:type="pct"/>
            <w:vAlign w:val="center"/>
          </w:tcPr>
          <w:p>
            <w:pPr>
              <w:pStyle w:val="1132"/>
            </w:pPr>
            <w:r>
              <w:t>1</w:t>
            </w:r>
          </w:p>
        </w:tc>
        <w:tc>
          <w:tcPr>
            <w:tcW w:w="429" w:type="pct"/>
            <w:vAlign w:val="center"/>
          </w:tcPr>
          <w:p>
            <w:pPr>
              <w:pStyle w:val="1132"/>
            </w:pPr>
            <w:r>
              <w:t>0.35</w:t>
            </w:r>
          </w:p>
        </w:tc>
        <w:tc>
          <w:tcPr>
            <w:tcW w:w="429" w:type="pct"/>
            <w:vAlign w:val="center"/>
          </w:tcPr>
          <w:p>
            <w:pPr>
              <w:pStyle w:val="1132"/>
            </w:pPr>
            <w:r>
              <w:t>0.35</w:t>
            </w:r>
          </w:p>
        </w:tc>
        <w:tc>
          <w:tcPr>
            <w:tcW w:w="429" w:type="pct"/>
            <w:vAlign w:val="center"/>
          </w:tcPr>
          <w:p>
            <w:pPr>
              <w:pStyle w:val="1132"/>
            </w:pPr>
            <w:r>
              <w:t>0.17</w:t>
            </w:r>
          </w:p>
        </w:tc>
        <w:tc>
          <w:tcPr>
            <w:tcW w:w="425" w:type="pct"/>
            <w:vAlign w:val="bottom"/>
          </w:tcPr>
          <w:p>
            <w:pPr>
              <w:pStyle w:val="1132"/>
            </w:pPr>
            <w:r>
              <w:rPr>
                <w:sz w:val="22"/>
                <w:szCs w:val="22"/>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0" w:type="pct"/>
            <w:vMerge w:val="continue"/>
            <w:vAlign w:val="center"/>
          </w:tcPr>
          <w:p>
            <w:pPr>
              <w:pStyle w:val="1132"/>
            </w:pPr>
          </w:p>
        </w:tc>
        <w:tc>
          <w:tcPr>
            <w:tcW w:w="636" w:type="pct"/>
            <w:vAlign w:val="center"/>
          </w:tcPr>
          <w:p>
            <w:pPr>
              <w:pStyle w:val="1132"/>
            </w:pPr>
            <w:r>
              <w:t>THC+NO</w:t>
            </w:r>
            <w:r>
              <w:rPr>
                <w:vertAlign w:val="subscript"/>
              </w:rPr>
              <w:t>x</w:t>
            </w:r>
          </w:p>
        </w:tc>
        <w:tc>
          <w:tcPr>
            <w:tcW w:w="342" w:type="pct"/>
            <w:vAlign w:val="center"/>
          </w:tcPr>
          <w:p>
            <w:pPr>
              <w:pStyle w:val="1132"/>
            </w:pPr>
            <w:r>
              <w:t>1.40</w:t>
            </w:r>
          </w:p>
        </w:tc>
        <w:tc>
          <w:tcPr>
            <w:tcW w:w="428" w:type="pct"/>
            <w:vAlign w:val="center"/>
          </w:tcPr>
          <w:p>
            <w:pPr>
              <w:pStyle w:val="1132"/>
            </w:pPr>
            <w:r>
              <w:t>0.23</w:t>
            </w:r>
          </w:p>
        </w:tc>
        <w:tc>
          <w:tcPr>
            <w:tcW w:w="342" w:type="pct"/>
            <w:vAlign w:val="center"/>
          </w:tcPr>
          <w:p>
            <w:pPr>
              <w:pStyle w:val="1132"/>
            </w:pPr>
            <w:r>
              <w:t>0.21</w:t>
            </w:r>
          </w:p>
        </w:tc>
        <w:tc>
          <w:tcPr>
            <w:tcW w:w="381" w:type="pct"/>
            <w:vAlign w:val="center"/>
          </w:tcPr>
          <w:p>
            <w:pPr>
              <w:pStyle w:val="1132"/>
            </w:pPr>
            <w:r>
              <w:t>0.21</w:t>
            </w:r>
          </w:p>
        </w:tc>
        <w:tc>
          <w:tcPr>
            <w:tcW w:w="388" w:type="pct"/>
            <w:vAlign w:val="center"/>
          </w:tcPr>
          <w:p>
            <w:pPr>
              <w:pStyle w:val="1132"/>
            </w:pPr>
            <w:r>
              <w:t>0.11</w:t>
            </w:r>
          </w:p>
        </w:tc>
        <w:tc>
          <w:tcPr>
            <w:tcW w:w="342" w:type="pct"/>
            <w:vAlign w:val="center"/>
          </w:tcPr>
          <w:p>
            <w:pPr>
              <w:pStyle w:val="1132"/>
            </w:pPr>
            <w:r>
              <w:t>1</w:t>
            </w:r>
          </w:p>
        </w:tc>
        <w:tc>
          <w:tcPr>
            <w:tcW w:w="429" w:type="pct"/>
            <w:vAlign w:val="center"/>
          </w:tcPr>
          <w:p>
            <w:pPr>
              <w:pStyle w:val="1132"/>
            </w:pPr>
            <w:r>
              <w:t>0.16</w:t>
            </w:r>
          </w:p>
        </w:tc>
        <w:tc>
          <w:tcPr>
            <w:tcW w:w="429" w:type="pct"/>
            <w:vAlign w:val="center"/>
          </w:tcPr>
          <w:p>
            <w:pPr>
              <w:pStyle w:val="1132"/>
            </w:pPr>
            <w:r>
              <w:t>0.15</w:t>
            </w:r>
          </w:p>
        </w:tc>
        <w:tc>
          <w:tcPr>
            <w:tcW w:w="429" w:type="pct"/>
            <w:vAlign w:val="center"/>
          </w:tcPr>
          <w:p>
            <w:pPr>
              <w:pStyle w:val="1132"/>
            </w:pPr>
            <w:r>
              <w:t>0.15</w:t>
            </w:r>
          </w:p>
        </w:tc>
        <w:tc>
          <w:tcPr>
            <w:tcW w:w="425" w:type="pct"/>
            <w:vAlign w:val="bottom"/>
          </w:tcPr>
          <w:p>
            <w:pPr>
              <w:pStyle w:val="1132"/>
            </w:pPr>
            <w:r>
              <w:rPr>
                <w:sz w:val="22"/>
                <w:szCs w:val="22"/>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0" w:type="pct"/>
            <w:vMerge w:val="restart"/>
            <w:vAlign w:val="center"/>
          </w:tcPr>
          <w:p>
            <w:pPr>
              <w:pStyle w:val="1132"/>
            </w:pPr>
            <w:r>
              <w:t>大型车</w:t>
            </w:r>
          </w:p>
        </w:tc>
        <w:tc>
          <w:tcPr>
            <w:tcW w:w="636" w:type="pct"/>
            <w:vAlign w:val="center"/>
          </w:tcPr>
          <w:p>
            <w:pPr>
              <w:pStyle w:val="1132"/>
            </w:pPr>
            <w:r>
              <w:t>CO</w:t>
            </w:r>
          </w:p>
        </w:tc>
        <w:tc>
          <w:tcPr>
            <w:tcW w:w="342" w:type="pct"/>
            <w:vAlign w:val="center"/>
          </w:tcPr>
          <w:p>
            <w:pPr>
              <w:pStyle w:val="1132"/>
            </w:pPr>
            <w:r>
              <w:t>6.00</w:t>
            </w:r>
          </w:p>
        </w:tc>
        <w:tc>
          <w:tcPr>
            <w:tcW w:w="428" w:type="pct"/>
            <w:vAlign w:val="center"/>
          </w:tcPr>
          <w:p>
            <w:pPr>
              <w:pStyle w:val="1132"/>
            </w:pPr>
            <w:r>
              <w:t>2.27</w:t>
            </w:r>
          </w:p>
        </w:tc>
        <w:tc>
          <w:tcPr>
            <w:tcW w:w="342" w:type="pct"/>
            <w:vAlign w:val="center"/>
          </w:tcPr>
          <w:p>
            <w:pPr>
              <w:pStyle w:val="1132"/>
            </w:pPr>
            <w:r>
              <w:t>2.27</w:t>
            </w:r>
          </w:p>
        </w:tc>
        <w:tc>
          <w:tcPr>
            <w:tcW w:w="381" w:type="pct"/>
            <w:vAlign w:val="center"/>
          </w:tcPr>
          <w:p>
            <w:pPr>
              <w:pStyle w:val="1132"/>
            </w:pPr>
            <w:r>
              <w:t>1</w:t>
            </w:r>
          </w:p>
        </w:tc>
        <w:tc>
          <w:tcPr>
            <w:tcW w:w="388" w:type="pct"/>
            <w:vAlign w:val="center"/>
          </w:tcPr>
          <w:p>
            <w:pPr>
              <w:pStyle w:val="1132"/>
            </w:pPr>
            <w:r>
              <w:t>0.74</w:t>
            </w:r>
          </w:p>
        </w:tc>
        <w:tc>
          <w:tcPr>
            <w:tcW w:w="342" w:type="pct"/>
            <w:vAlign w:val="center"/>
          </w:tcPr>
          <w:p>
            <w:pPr>
              <w:pStyle w:val="1132"/>
            </w:pPr>
            <w:r>
              <w:t>1</w:t>
            </w:r>
          </w:p>
        </w:tc>
        <w:tc>
          <w:tcPr>
            <w:tcW w:w="429" w:type="pct"/>
            <w:vAlign w:val="center"/>
          </w:tcPr>
          <w:p>
            <w:pPr>
              <w:pStyle w:val="1132"/>
            </w:pPr>
            <w:r>
              <w:t>0.38</w:t>
            </w:r>
          </w:p>
        </w:tc>
        <w:tc>
          <w:tcPr>
            <w:tcW w:w="429" w:type="pct"/>
            <w:vAlign w:val="center"/>
          </w:tcPr>
          <w:p>
            <w:pPr>
              <w:pStyle w:val="1132"/>
            </w:pPr>
            <w:r>
              <w:t>0.38</w:t>
            </w:r>
          </w:p>
        </w:tc>
        <w:tc>
          <w:tcPr>
            <w:tcW w:w="429" w:type="pct"/>
            <w:vAlign w:val="center"/>
          </w:tcPr>
          <w:p>
            <w:pPr>
              <w:pStyle w:val="1132"/>
            </w:pPr>
            <w:r>
              <w:t>0.17</w:t>
            </w:r>
          </w:p>
        </w:tc>
        <w:tc>
          <w:tcPr>
            <w:tcW w:w="425" w:type="pct"/>
            <w:vAlign w:val="bottom"/>
          </w:tcPr>
          <w:p>
            <w:pPr>
              <w:pStyle w:val="1132"/>
            </w:pPr>
            <w:r>
              <w:rPr>
                <w:sz w:val="22"/>
                <w:szCs w:val="22"/>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0" w:type="pct"/>
            <w:vMerge w:val="continue"/>
            <w:vAlign w:val="center"/>
          </w:tcPr>
          <w:p>
            <w:pPr>
              <w:pStyle w:val="1132"/>
            </w:pPr>
          </w:p>
        </w:tc>
        <w:tc>
          <w:tcPr>
            <w:tcW w:w="636" w:type="pct"/>
            <w:vAlign w:val="center"/>
          </w:tcPr>
          <w:p>
            <w:pPr>
              <w:pStyle w:val="1132"/>
            </w:pPr>
            <w:r>
              <w:t>THC+NO</w:t>
            </w:r>
            <w:r>
              <w:rPr>
                <w:vertAlign w:val="subscript"/>
              </w:rPr>
              <w:t>x</w:t>
            </w:r>
          </w:p>
        </w:tc>
        <w:tc>
          <w:tcPr>
            <w:tcW w:w="342" w:type="pct"/>
            <w:vAlign w:val="center"/>
          </w:tcPr>
          <w:p>
            <w:pPr>
              <w:pStyle w:val="1132"/>
            </w:pPr>
            <w:r>
              <w:t>1.70</w:t>
            </w:r>
          </w:p>
        </w:tc>
        <w:tc>
          <w:tcPr>
            <w:tcW w:w="428" w:type="pct"/>
            <w:vAlign w:val="center"/>
          </w:tcPr>
          <w:p>
            <w:pPr>
              <w:pStyle w:val="1132"/>
            </w:pPr>
            <w:r>
              <w:t>0.27</w:t>
            </w:r>
          </w:p>
        </w:tc>
        <w:tc>
          <w:tcPr>
            <w:tcW w:w="342" w:type="pct"/>
            <w:vAlign w:val="center"/>
          </w:tcPr>
          <w:p>
            <w:pPr>
              <w:pStyle w:val="1132"/>
            </w:pPr>
            <w:r>
              <w:t>0.24</w:t>
            </w:r>
          </w:p>
        </w:tc>
        <w:tc>
          <w:tcPr>
            <w:tcW w:w="381" w:type="pct"/>
            <w:vAlign w:val="center"/>
          </w:tcPr>
          <w:p>
            <w:pPr>
              <w:pStyle w:val="1132"/>
            </w:pPr>
            <w:r>
              <w:t>0.24</w:t>
            </w:r>
          </w:p>
        </w:tc>
        <w:tc>
          <w:tcPr>
            <w:tcW w:w="388" w:type="pct"/>
            <w:vAlign w:val="center"/>
          </w:tcPr>
          <w:p>
            <w:pPr>
              <w:pStyle w:val="1132"/>
            </w:pPr>
            <w:r>
              <w:t>0.13</w:t>
            </w:r>
          </w:p>
        </w:tc>
        <w:tc>
          <w:tcPr>
            <w:tcW w:w="342" w:type="pct"/>
            <w:vAlign w:val="center"/>
          </w:tcPr>
          <w:p>
            <w:pPr>
              <w:pStyle w:val="1132"/>
            </w:pPr>
            <w:r>
              <w:t>1</w:t>
            </w:r>
          </w:p>
        </w:tc>
        <w:tc>
          <w:tcPr>
            <w:tcW w:w="429" w:type="pct"/>
            <w:vAlign w:val="center"/>
          </w:tcPr>
          <w:p>
            <w:pPr>
              <w:pStyle w:val="1132"/>
            </w:pPr>
            <w:r>
              <w:t>0.16</w:t>
            </w:r>
          </w:p>
        </w:tc>
        <w:tc>
          <w:tcPr>
            <w:tcW w:w="429" w:type="pct"/>
            <w:vAlign w:val="center"/>
          </w:tcPr>
          <w:p>
            <w:pPr>
              <w:pStyle w:val="1132"/>
            </w:pPr>
            <w:r>
              <w:t>0.14</w:t>
            </w:r>
          </w:p>
        </w:tc>
        <w:tc>
          <w:tcPr>
            <w:tcW w:w="429" w:type="pct"/>
            <w:vAlign w:val="center"/>
          </w:tcPr>
          <w:p>
            <w:pPr>
              <w:pStyle w:val="1132"/>
            </w:pPr>
            <w:r>
              <w:t>0.14</w:t>
            </w:r>
          </w:p>
        </w:tc>
        <w:tc>
          <w:tcPr>
            <w:tcW w:w="425" w:type="pct"/>
            <w:vAlign w:val="bottom"/>
          </w:tcPr>
          <w:p>
            <w:pPr>
              <w:pStyle w:val="1132"/>
            </w:pPr>
            <w:r>
              <w:rPr>
                <w:sz w:val="22"/>
                <w:szCs w:val="22"/>
              </w:rPr>
              <w:t>0.08</w:t>
            </w:r>
          </w:p>
        </w:tc>
      </w:tr>
    </w:tbl>
    <w:p>
      <w:pPr>
        <w:pStyle w:val="10"/>
        <w:ind w:firstLine="480"/>
      </w:pPr>
      <w:r>
        <w:t>采用新排放标准的单车排放因子根据上述执行标准与国Ⅰ标准的比值进行修正，表中NO</w:t>
      </w:r>
      <w:r>
        <w:rPr>
          <w:vertAlign w:val="subscript"/>
        </w:rPr>
        <w:t>2</w:t>
      </w:r>
      <w:r>
        <w:t>排放量以NOx排放量的80%折算。</w:t>
      </w:r>
    </w:p>
    <w:p>
      <w:pPr>
        <w:pStyle w:val="10"/>
        <w:ind w:firstLine="480"/>
      </w:pPr>
      <w:r>
        <w:t>单车排放因子修正值见</w:t>
      </w:r>
      <w:r>
        <w:rPr>
          <w:rFonts w:hint="eastAsia"/>
        </w:rPr>
        <w:t>下</w:t>
      </w:r>
      <w:r>
        <w:t>表。</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rPr>
          <w:rFonts w:hint="eastAsia"/>
          <w:lang w:val="en-US" w:eastAsia="zh-CN"/>
        </w:rPr>
        <w:t>8</w:t>
      </w:r>
      <w:r>
        <w:t xml:space="preserve">  单车排放因子修正值 （单位：g/km·辆）</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6"/>
        <w:gridCol w:w="1508"/>
        <w:gridCol w:w="1159"/>
        <w:gridCol w:w="955"/>
        <w:gridCol w:w="956"/>
        <w:gridCol w:w="956"/>
        <w:gridCol w:w="956"/>
        <w:gridCol w:w="956"/>
        <w:gridCol w:w="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Align w:val="center"/>
          </w:tcPr>
          <w:p>
            <w:pPr>
              <w:pStyle w:val="1132"/>
            </w:pPr>
            <w:r>
              <w:t>标准</w:t>
            </w:r>
          </w:p>
        </w:tc>
        <w:tc>
          <w:tcPr>
            <w:tcW w:w="1436" w:type="pct"/>
            <w:gridSpan w:val="2"/>
            <w:vAlign w:val="center"/>
          </w:tcPr>
          <w:p>
            <w:pPr>
              <w:pStyle w:val="1132"/>
            </w:pPr>
            <w:r>
              <w:t>平均车速（km/h）</w:t>
            </w:r>
          </w:p>
        </w:tc>
        <w:tc>
          <w:tcPr>
            <w:tcW w:w="514" w:type="pct"/>
            <w:vAlign w:val="center"/>
          </w:tcPr>
          <w:p>
            <w:pPr>
              <w:pStyle w:val="1132"/>
            </w:pPr>
            <w:r>
              <w:t>50</w:t>
            </w:r>
          </w:p>
        </w:tc>
        <w:tc>
          <w:tcPr>
            <w:tcW w:w="515" w:type="pct"/>
            <w:vAlign w:val="center"/>
          </w:tcPr>
          <w:p>
            <w:pPr>
              <w:pStyle w:val="1132"/>
            </w:pPr>
            <w:r>
              <w:t>60</w:t>
            </w:r>
          </w:p>
        </w:tc>
        <w:tc>
          <w:tcPr>
            <w:tcW w:w="515" w:type="pct"/>
            <w:vAlign w:val="center"/>
          </w:tcPr>
          <w:p>
            <w:pPr>
              <w:pStyle w:val="1132"/>
            </w:pPr>
            <w:r>
              <w:t>70</w:t>
            </w:r>
          </w:p>
        </w:tc>
        <w:tc>
          <w:tcPr>
            <w:tcW w:w="515" w:type="pct"/>
            <w:vAlign w:val="center"/>
          </w:tcPr>
          <w:p>
            <w:pPr>
              <w:pStyle w:val="1132"/>
            </w:pPr>
            <w:r>
              <w:t>80</w:t>
            </w:r>
          </w:p>
        </w:tc>
        <w:tc>
          <w:tcPr>
            <w:tcW w:w="515" w:type="pct"/>
            <w:vAlign w:val="center"/>
          </w:tcPr>
          <w:p>
            <w:pPr>
              <w:pStyle w:val="1132"/>
            </w:pPr>
            <w:r>
              <w:t>90</w:t>
            </w:r>
          </w:p>
        </w:tc>
        <w:tc>
          <w:tcPr>
            <w:tcW w:w="497" w:type="pct"/>
            <w:vAlign w:val="center"/>
          </w:tcPr>
          <w:p>
            <w:pPr>
              <w:pStyle w:val="1132"/>
            </w:pPr>
            <w: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restart"/>
            <w:vAlign w:val="center"/>
          </w:tcPr>
          <w:p>
            <w:pPr>
              <w:pStyle w:val="1132"/>
            </w:pPr>
            <w:r>
              <w:t>执行国</w:t>
            </w:r>
            <w:r>
              <w:rPr>
                <w:rFonts w:hint="eastAsia"/>
              </w:rPr>
              <w:t>I</w:t>
            </w:r>
            <w:r>
              <w:t>V</w:t>
            </w:r>
          </w:p>
          <w:p>
            <w:pPr>
              <w:pStyle w:val="1132"/>
            </w:pPr>
            <w:r>
              <w:t>标准</w:t>
            </w:r>
          </w:p>
        </w:tc>
        <w:tc>
          <w:tcPr>
            <w:tcW w:w="812" w:type="pct"/>
            <w:vMerge w:val="restart"/>
            <w:vAlign w:val="center"/>
          </w:tcPr>
          <w:p>
            <w:pPr>
              <w:pStyle w:val="1132"/>
            </w:pPr>
            <w:r>
              <w:t>小型车</w:t>
            </w:r>
          </w:p>
        </w:tc>
        <w:tc>
          <w:tcPr>
            <w:tcW w:w="624" w:type="pct"/>
            <w:vAlign w:val="center"/>
          </w:tcPr>
          <w:p>
            <w:pPr>
              <w:pStyle w:val="1132"/>
            </w:pPr>
            <w:r>
              <w:t>CO</w:t>
            </w:r>
          </w:p>
        </w:tc>
        <w:tc>
          <w:tcPr>
            <w:tcW w:w="514" w:type="pct"/>
            <w:vAlign w:val="center"/>
          </w:tcPr>
          <w:p>
            <w:pPr>
              <w:pStyle w:val="1132"/>
            </w:pPr>
            <w:r>
              <w:t>11.52</w:t>
            </w:r>
          </w:p>
        </w:tc>
        <w:tc>
          <w:tcPr>
            <w:tcW w:w="515" w:type="pct"/>
            <w:vAlign w:val="center"/>
          </w:tcPr>
          <w:p>
            <w:pPr>
              <w:pStyle w:val="1132"/>
            </w:pPr>
            <w:r>
              <w:t>8.71</w:t>
            </w:r>
          </w:p>
        </w:tc>
        <w:tc>
          <w:tcPr>
            <w:tcW w:w="515" w:type="pct"/>
            <w:vAlign w:val="center"/>
          </w:tcPr>
          <w:p>
            <w:pPr>
              <w:pStyle w:val="1132"/>
            </w:pPr>
            <w:r>
              <w:t>6.58</w:t>
            </w:r>
          </w:p>
        </w:tc>
        <w:tc>
          <w:tcPr>
            <w:tcW w:w="515" w:type="pct"/>
            <w:vAlign w:val="center"/>
          </w:tcPr>
          <w:p>
            <w:pPr>
              <w:pStyle w:val="1132"/>
            </w:pPr>
            <w:r>
              <w:t>5.43</w:t>
            </w:r>
          </w:p>
        </w:tc>
        <w:tc>
          <w:tcPr>
            <w:tcW w:w="515" w:type="pct"/>
            <w:vAlign w:val="center"/>
          </w:tcPr>
          <w:p>
            <w:pPr>
              <w:pStyle w:val="1132"/>
            </w:pPr>
            <w:r>
              <w:t>3.76</w:t>
            </w:r>
          </w:p>
        </w:tc>
        <w:tc>
          <w:tcPr>
            <w:tcW w:w="497" w:type="pct"/>
            <w:vAlign w:val="center"/>
          </w:tcPr>
          <w:p>
            <w:pPr>
              <w:pStyle w:val="1132"/>
            </w:pPr>
            <w:r>
              <w:t>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THC</w:t>
            </w:r>
          </w:p>
        </w:tc>
        <w:tc>
          <w:tcPr>
            <w:tcW w:w="514" w:type="pct"/>
            <w:vAlign w:val="center"/>
          </w:tcPr>
          <w:p>
            <w:pPr>
              <w:pStyle w:val="1132"/>
            </w:pPr>
            <w:r>
              <w:t>1.51</w:t>
            </w:r>
          </w:p>
        </w:tc>
        <w:tc>
          <w:tcPr>
            <w:tcW w:w="515" w:type="pct"/>
            <w:vAlign w:val="center"/>
          </w:tcPr>
          <w:p>
            <w:pPr>
              <w:pStyle w:val="1132"/>
            </w:pPr>
            <w:r>
              <w:t>1.24</w:t>
            </w:r>
          </w:p>
        </w:tc>
        <w:tc>
          <w:tcPr>
            <w:tcW w:w="515" w:type="pct"/>
            <w:vAlign w:val="center"/>
          </w:tcPr>
          <w:p>
            <w:pPr>
              <w:pStyle w:val="1132"/>
            </w:pPr>
            <w:r>
              <w:t>1.12</w:t>
            </w:r>
          </w:p>
        </w:tc>
        <w:tc>
          <w:tcPr>
            <w:tcW w:w="515" w:type="pct"/>
            <w:vAlign w:val="center"/>
          </w:tcPr>
          <w:p>
            <w:pPr>
              <w:pStyle w:val="1132"/>
            </w:pPr>
            <w:r>
              <w:t>0.98</w:t>
            </w:r>
          </w:p>
        </w:tc>
        <w:tc>
          <w:tcPr>
            <w:tcW w:w="515" w:type="pct"/>
            <w:vAlign w:val="center"/>
          </w:tcPr>
          <w:p>
            <w:pPr>
              <w:pStyle w:val="1132"/>
            </w:pPr>
            <w:r>
              <w:t>0.86</w:t>
            </w:r>
          </w:p>
        </w:tc>
        <w:tc>
          <w:tcPr>
            <w:tcW w:w="497" w:type="pct"/>
            <w:vAlign w:val="center"/>
          </w:tcPr>
          <w:p>
            <w:pPr>
              <w:pStyle w:val="1132"/>
            </w:pPr>
            <w: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NO</w:t>
            </w:r>
            <w:r>
              <w:rPr>
                <w:vertAlign w:val="subscript"/>
              </w:rPr>
              <w:t>2</w:t>
            </w:r>
          </w:p>
        </w:tc>
        <w:tc>
          <w:tcPr>
            <w:tcW w:w="514" w:type="pct"/>
            <w:vAlign w:val="center"/>
          </w:tcPr>
          <w:p>
            <w:pPr>
              <w:pStyle w:val="1132"/>
            </w:pPr>
            <w:r>
              <w:t>0.26</w:t>
            </w:r>
          </w:p>
        </w:tc>
        <w:tc>
          <w:tcPr>
            <w:tcW w:w="515" w:type="pct"/>
            <w:vAlign w:val="center"/>
          </w:tcPr>
          <w:p>
            <w:pPr>
              <w:pStyle w:val="1132"/>
            </w:pPr>
            <w:r>
              <w:t>0.35</w:t>
            </w:r>
          </w:p>
        </w:tc>
        <w:tc>
          <w:tcPr>
            <w:tcW w:w="515" w:type="pct"/>
            <w:vAlign w:val="center"/>
          </w:tcPr>
          <w:p>
            <w:pPr>
              <w:pStyle w:val="1132"/>
            </w:pPr>
            <w:r>
              <w:t>0.44</w:t>
            </w:r>
          </w:p>
        </w:tc>
        <w:tc>
          <w:tcPr>
            <w:tcW w:w="515" w:type="pct"/>
            <w:vAlign w:val="center"/>
          </w:tcPr>
          <w:p>
            <w:pPr>
              <w:pStyle w:val="1132"/>
            </w:pPr>
            <w:r>
              <w:t>0.55</w:t>
            </w:r>
          </w:p>
        </w:tc>
        <w:tc>
          <w:tcPr>
            <w:tcW w:w="515" w:type="pct"/>
            <w:vAlign w:val="center"/>
          </w:tcPr>
          <w:p>
            <w:pPr>
              <w:pStyle w:val="1132"/>
            </w:pPr>
            <w:r>
              <w:t>0.57</w:t>
            </w:r>
          </w:p>
        </w:tc>
        <w:tc>
          <w:tcPr>
            <w:tcW w:w="497" w:type="pct"/>
            <w:vAlign w:val="center"/>
          </w:tcPr>
          <w:p>
            <w:pPr>
              <w:pStyle w:val="1132"/>
            </w:pPr>
            <w: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restart"/>
            <w:vAlign w:val="center"/>
          </w:tcPr>
          <w:p>
            <w:pPr>
              <w:pStyle w:val="1132"/>
            </w:pPr>
            <w:r>
              <w:t>中型车</w:t>
            </w:r>
          </w:p>
        </w:tc>
        <w:tc>
          <w:tcPr>
            <w:tcW w:w="624" w:type="pct"/>
            <w:vAlign w:val="center"/>
          </w:tcPr>
          <w:p>
            <w:pPr>
              <w:pStyle w:val="1132"/>
            </w:pPr>
            <w:r>
              <w:t>CO</w:t>
            </w:r>
          </w:p>
        </w:tc>
        <w:tc>
          <w:tcPr>
            <w:tcW w:w="514" w:type="pct"/>
            <w:vAlign w:val="center"/>
          </w:tcPr>
          <w:p>
            <w:pPr>
              <w:pStyle w:val="1132"/>
            </w:pPr>
            <w:r>
              <w:t>10.57</w:t>
            </w:r>
          </w:p>
        </w:tc>
        <w:tc>
          <w:tcPr>
            <w:tcW w:w="515" w:type="pct"/>
            <w:vAlign w:val="center"/>
          </w:tcPr>
          <w:p>
            <w:pPr>
              <w:pStyle w:val="1132"/>
            </w:pPr>
            <w:r>
              <w:t>9.17</w:t>
            </w:r>
          </w:p>
        </w:tc>
        <w:tc>
          <w:tcPr>
            <w:tcW w:w="515" w:type="pct"/>
            <w:vAlign w:val="center"/>
          </w:tcPr>
          <w:p>
            <w:pPr>
              <w:pStyle w:val="1132"/>
            </w:pPr>
            <w:r>
              <w:t>8.67</w:t>
            </w:r>
          </w:p>
        </w:tc>
        <w:tc>
          <w:tcPr>
            <w:tcW w:w="515" w:type="pct"/>
            <w:vAlign w:val="center"/>
          </w:tcPr>
          <w:p>
            <w:pPr>
              <w:pStyle w:val="1132"/>
            </w:pPr>
            <w:r>
              <w:t>8.92</w:t>
            </w:r>
          </w:p>
        </w:tc>
        <w:tc>
          <w:tcPr>
            <w:tcW w:w="515" w:type="pct"/>
            <w:vAlign w:val="center"/>
          </w:tcPr>
          <w:p>
            <w:pPr>
              <w:pStyle w:val="1132"/>
            </w:pPr>
            <w:r>
              <w:t>10.0</w:t>
            </w:r>
          </w:p>
        </w:tc>
        <w:tc>
          <w:tcPr>
            <w:tcW w:w="497" w:type="pct"/>
            <w:vAlign w:val="center"/>
          </w:tcPr>
          <w:p>
            <w:pPr>
              <w:pStyle w:val="1132"/>
            </w:pPr>
            <w:r>
              <w:t>12.20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THC</w:t>
            </w:r>
          </w:p>
        </w:tc>
        <w:tc>
          <w:tcPr>
            <w:tcW w:w="514" w:type="pct"/>
            <w:vAlign w:val="center"/>
          </w:tcPr>
          <w:p>
            <w:pPr>
              <w:pStyle w:val="1132"/>
            </w:pPr>
            <w:r>
              <w:t>2.50</w:t>
            </w:r>
          </w:p>
        </w:tc>
        <w:tc>
          <w:tcPr>
            <w:tcW w:w="515" w:type="pct"/>
            <w:vAlign w:val="center"/>
          </w:tcPr>
          <w:p>
            <w:pPr>
              <w:pStyle w:val="1132"/>
            </w:pPr>
            <w:r>
              <w:t>2.04</w:t>
            </w:r>
          </w:p>
        </w:tc>
        <w:tc>
          <w:tcPr>
            <w:tcW w:w="515" w:type="pct"/>
            <w:vAlign w:val="center"/>
          </w:tcPr>
          <w:p>
            <w:pPr>
              <w:pStyle w:val="1132"/>
            </w:pPr>
            <w:r>
              <w:t>1.81</w:t>
            </w:r>
          </w:p>
        </w:tc>
        <w:tc>
          <w:tcPr>
            <w:tcW w:w="515" w:type="pct"/>
            <w:vAlign w:val="center"/>
          </w:tcPr>
          <w:p>
            <w:pPr>
              <w:pStyle w:val="1132"/>
            </w:pPr>
            <w:r>
              <w:t>1.66</w:t>
            </w:r>
          </w:p>
        </w:tc>
        <w:tc>
          <w:tcPr>
            <w:tcW w:w="515" w:type="pct"/>
            <w:vAlign w:val="center"/>
          </w:tcPr>
          <w:p>
            <w:pPr>
              <w:pStyle w:val="1132"/>
            </w:pPr>
            <w:r>
              <w:t>1.55</w:t>
            </w:r>
          </w:p>
        </w:tc>
        <w:tc>
          <w:tcPr>
            <w:tcW w:w="497" w:type="pct"/>
            <w:vAlign w:val="center"/>
          </w:tcPr>
          <w:p>
            <w:pPr>
              <w:pStyle w:val="1132"/>
            </w:pPr>
            <w: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NO</w:t>
            </w:r>
            <w:r>
              <w:rPr>
                <w:vertAlign w:val="subscript"/>
              </w:rPr>
              <w:t>2</w:t>
            </w:r>
          </w:p>
        </w:tc>
        <w:tc>
          <w:tcPr>
            <w:tcW w:w="514" w:type="pct"/>
            <w:vAlign w:val="center"/>
          </w:tcPr>
          <w:p>
            <w:pPr>
              <w:pStyle w:val="1132"/>
            </w:pPr>
            <w:r>
              <w:t>0.71</w:t>
            </w:r>
          </w:p>
        </w:tc>
        <w:tc>
          <w:tcPr>
            <w:tcW w:w="515" w:type="pct"/>
            <w:vAlign w:val="center"/>
          </w:tcPr>
          <w:p>
            <w:pPr>
              <w:pStyle w:val="1132"/>
            </w:pPr>
            <w:r>
              <w:t>0.83</w:t>
            </w:r>
          </w:p>
        </w:tc>
        <w:tc>
          <w:tcPr>
            <w:tcW w:w="515" w:type="pct"/>
            <w:vAlign w:val="center"/>
          </w:tcPr>
          <w:p>
            <w:pPr>
              <w:pStyle w:val="1132"/>
            </w:pPr>
            <w:r>
              <w:t>0.95</w:t>
            </w:r>
          </w:p>
        </w:tc>
        <w:tc>
          <w:tcPr>
            <w:tcW w:w="515" w:type="pct"/>
            <w:vAlign w:val="center"/>
          </w:tcPr>
          <w:p>
            <w:pPr>
              <w:pStyle w:val="1132"/>
            </w:pPr>
            <w:r>
              <w:t>1.09</w:t>
            </w:r>
          </w:p>
        </w:tc>
        <w:tc>
          <w:tcPr>
            <w:tcW w:w="515" w:type="pct"/>
            <w:vAlign w:val="center"/>
          </w:tcPr>
          <w:p>
            <w:pPr>
              <w:pStyle w:val="1132"/>
            </w:pPr>
            <w:r>
              <w:t>1.16</w:t>
            </w:r>
          </w:p>
        </w:tc>
        <w:tc>
          <w:tcPr>
            <w:tcW w:w="497" w:type="pct"/>
            <w:vAlign w:val="center"/>
          </w:tcPr>
          <w:p>
            <w:pPr>
              <w:pStyle w:val="1132"/>
            </w:pPr>
            <w:r>
              <w:t>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restart"/>
            <w:vAlign w:val="center"/>
          </w:tcPr>
          <w:p>
            <w:pPr>
              <w:pStyle w:val="1132"/>
            </w:pPr>
            <w:r>
              <w:t>大型车</w:t>
            </w:r>
          </w:p>
        </w:tc>
        <w:tc>
          <w:tcPr>
            <w:tcW w:w="624" w:type="pct"/>
            <w:vAlign w:val="center"/>
          </w:tcPr>
          <w:p>
            <w:pPr>
              <w:pStyle w:val="1132"/>
            </w:pPr>
            <w:r>
              <w:t>CO</w:t>
            </w:r>
          </w:p>
        </w:tc>
        <w:tc>
          <w:tcPr>
            <w:tcW w:w="514" w:type="pct"/>
            <w:vAlign w:val="center"/>
          </w:tcPr>
          <w:p>
            <w:pPr>
              <w:pStyle w:val="1132"/>
            </w:pPr>
            <w:r>
              <w:t>1.99</w:t>
            </w:r>
          </w:p>
        </w:tc>
        <w:tc>
          <w:tcPr>
            <w:tcW w:w="515" w:type="pct"/>
            <w:vAlign w:val="center"/>
          </w:tcPr>
          <w:p>
            <w:pPr>
              <w:pStyle w:val="1132"/>
            </w:pPr>
            <w:r>
              <w:t>1.69</w:t>
            </w:r>
          </w:p>
        </w:tc>
        <w:tc>
          <w:tcPr>
            <w:tcW w:w="515" w:type="pct"/>
            <w:vAlign w:val="center"/>
          </w:tcPr>
          <w:p>
            <w:pPr>
              <w:pStyle w:val="1132"/>
            </w:pPr>
            <w:r>
              <w:t>1.55</w:t>
            </w:r>
          </w:p>
        </w:tc>
        <w:tc>
          <w:tcPr>
            <w:tcW w:w="515" w:type="pct"/>
            <w:vAlign w:val="center"/>
          </w:tcPr>
          <w:p>
            <w:pPr>
              <w:pStyle w:val="1132"/>
            </w:pPr>
            <w:r>
              <w:t>1.52</w:t>
            </w:r>
          </w:p>
        </w:tc>
        <w:tc>
          <w:tcPr>
            <w:tcW w:w="515" w:type="pct"/>
            <w:vAlign w:val="center"/>
          </w:tcPr>
          <w:p>
            <w:pPr>
              <w:pStyle w:val="1132"/>
            </w:pPr>
            <w:r>
              <w:t>1.60</w:t>
            </w:r>
          </w:p>
        </w:tc>
        <w:tc>
          <w:tcPr>
            <w:tcW w:w="497" w:type="pct"/>
            <w:vAlign w:val="center"/>
          </w:tcPr>
          <w:p>
            <w:pPr>
              <w:pStyle w:val="1132"/>
            </w:pPr>
            <w: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THC</w:t>
            </w:r>
          </w:p>
        </w:tc>
        <w:tc>
          <w:tcPr>
            <w:tcW w:w="514" w:type="pct"/>
            <w:vAlign w:val="center"/>
          </w:tcPr>
          <w:p>
            <w:pPr>
              <w:pStyle w:val="1132"/>
            </w:pPr>
            <w:r>
              <w:t>0.33</w:t>
            </w:r>
          </w:p>
        </w:tc>
        <w:tc>
          <w:tcPr>
            <w:tcW w:w="515" w:type="pct"/>
            <w:vAlign w:val="center"/>
          </w:tcPr>
          <w:p>
            <w:pPr>
              <w:pStyle w:val="1132"/>
            </w:pPr>
            <w:r>
              <w:t>0.28</w:t>
            </w:r>
          </w:p>
        </w:tc>
        <w:tc>
          <w:tcPr>
            <w:tcW w:w="515" w:type="pct"/>
            <w:vAlign w:val="center"/>
          </w:tcPr>
          <w:p>
            <w:pPr>
              <w:pStyle w:val="1132"/>
            </w:pPr>
            <w:r>
              <w:t>0.25</w:t>
            </w:r>
          </w:p>
        </w:tc>
        <w:tc>
          <w:tcPr>
            <w:tcW w:w="515" w:type="pct"/>
            <w:vAlign w:val="center"/>
          </w:tcPr>
          <w:p>
            <w:pPr>
              <w:pStyle w:val="1132"/>
            </w:pPr>
            <w:r>
              <w:t>0.23</w:t>
            </w:r>
          </w:p>
        </w:tc>
        <w:tc>
          <w:tcPr>
            <w:tcW w:w="515" w:type="pct"/>
            <w:vAlign w:val="center"/>
          </w:tcPr>
          <w:p>
            <w:pPr>
              <w:pStyle w:val="1132"/>
            </w:pPr>
            <w:r>
              <w:t>0.22</w:t>
            </w:r>
          </w:p>
        </w:tc>
        <w:tc>
          <w:tcPr>
            <w:tcW w:w="497" w:type="pct"/>
            <w:vAlign w:val="center"/>
          </w:tcPr>
          <w:p>
            <w:pPr>
              <w:pStyle w:val="1132"/>
            </w:pPr>
            <w: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NO</w:t>
            </w:r>
            <w:r>
              <w:rPr>
                <w:vertAlign w:val="subscript"/>
              </w:rPr>
              <w:t>2</w:t>
            </w:r>
          </w:p>
        </w:tc>
        <w:tc>
          <w:tcPr>
            <w:tcW w:w="514" w:type="pct"/>
            <w:vAlign w:val="center"/>
          </w:tcPr>
          <w:p>
            <w:pPr>
              <w:pStyle w:val="1132"/>
            </w:pPr>
            <w:r>
              <w:t>1.33</w:t>
            </w:r>
          </w:p>
        </w:tc>
        <w:tc>
          <w:tcPr>
            <w:tcW w:w="515" w:type="pct"/>
            <w:vAlign w:val="center"/>
          </w:tcPr>
          <w:p>
            <w:pPr>
              <w:pStyle w:val="1132"/>
            </w:pPr>
            <w:r>
              <w:t>1.33</w:t>
            </w:r>
          </w:p>
        </w:tc>
        <w:tc>
          <w:tcPr>
            <w:tcW w:w="515" w:type="pct"/>
            <w:vAlign w:val="center"/>
          </w:tcPr>
          <w:p>
            <w:pPr>
              <w:pStyle w:val="1132"/>
            </w:pPr>
            <w:r>
              <w:t>1.41</w:t>
            </w:r>
          </w:p>
        </w:tc>
        <w:tc>
          <w:tcPr>
            <w:tcW w:w="515" w:type="pct"/>
            <w:vAlign w:val="center"/>
          </w:tcPr>
          <w:p>
            <w:pPr>
              <w:pStyle w:val="1132"/>
            </w:pPr>
            <w:r>
              <w:t>1.87</w:t>
            </w:r>
          </w:p>
        </w:tc>
        <w:tc>
          <w:tcPr>
            <w:tcW w:w="515" w:type="pct"/>
            <w:vAlign w:val="center"/>
          </w:tcPr>
          <w:p>
            <w:pPr>
              <w:pStyle w:val="1132"/>
            </w:pPr>
            <w:r>
              <w:t>1.99</w:t>
            </w:r>
          </w:p>
        </w:tc>
        <w:tc>
          <w:tcPr>
            <w:tcW w:w="497" w:type="pct"/>
            <w:vAlign w:val="center"/>
          </w:tcPr>
          <w:p>
            <w:pPr>
              <w:pStyle w:val="1132"/>
            </w:pPr>
            <w:r>
              <w:t>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restart"/>
            <w:vAlign w:val="center"/>
          </w:tcPr>
          <w:p>
            <w:pPr>
              <w:pStyle w:val="1132"/>
            </w:pPr>
            <w:r>
              <w:t>执行国V标准</w:t>
            </w:r>
          </w:p>
        </w:tc>
        <w:tc>
          <w:tcPr>
            <w:tcW w:w="812" w:type="pct"/>
            <w:vMerge w:val="restart"/>
            <w:vAlign w:val="center"/>
          </w:tcPr>
          <w:p>
            <w:pPr>
              <w:pStyle w:val="1132"/>
            </w:pPr>
            <w:r>
              <w:t>小型车</w:t>
            </w:r>
          </w:p>
        </w:tc>
        <w:tc>
          <w:tcPr>
            <w:tcW w:w="624" w:type="pct"/>
            <w:vAlign w:val="center"/>
          </w:tcPr>
          <w:p>
            <w:pPr>
              <w:pStyle w:val="1132"/>
            </w:pPr>
            <w:r>
              <w:t>CO</w:t>
            </w:r>
          </w:p>
        </w:tc>
        <w:tc>
          <w:tcPr>
            <w:tcW w:w="514" w:type="pct"/>
            <w:vAlign w:val="center"/>
          </w:tcPr>
          <w:p>
            <w:pPr>
              <w:pStyle w:val="1132"/>
            </w:pPr>
            <w:r>
              <w:t>11.52</w:t>
            </w:r>
          </w:p>
        </w:tc>
        <w:tc>
          <w:tcPr>
            <w:tcW w:w="515" w:type="pct"/>
            <w:vAlign w:val="center"/>
          </w:tcPr>
          <w:p>
            <w:pPr>
              <w:pStyle w:val="1132"/>
            </w:pPr>
            <w:r>
              <w:t>8.71</w:t>
            </w:r>
          </w:p>
        </w:tc>
        <w:tc>
          <w:tcPr>
            <w:tcW w:w="515" w:type="pct"/>
            <w:vAlign w:val="center"/>
          </w:tcPr>
          <w:p>
            <w:pPr>
              <w:pStyle w:val="1132"/>
            </w:pPr>
            <w:r>
              <w:t>6.58</w:t>
            </w:r>
          </w:p>
        </w:tc>
        <w:tc>
          <w:tcPr>
            <w:tcW w:w="515" w:type="pct"/>
            <w:vAlign w:val="center"/>
          </w:tcPr>
          <w:p>
            <w:pPr>
              <w:pStyle w:val="1132"/>
            </w:pPr>
            <w:r>
              <w:t>5.43</w:t>
            </w:r>
          </w:p>
        </w:tc>
        <w:tc>
          <w:tcPr>
            <w:tcW w:w="515" w:type="pct"/>
            <w:vAlign w:val="center"/>
          </w:tcPr>
          <w:p>
            <w:pPr>
              <w:pStyle w:val="1132"/>
            </w:pPr>
            <w:r>
              <w:t>3.76</w:t>
            </w:r>
          </w:p>
        </w:tc>
        <w:tc>
          <w:tcPr>
            <w:tcW w:w="497" w:type="pct"/>
            <w:vAlign w:val="center"/>
          </w:tcPr>
          <w:p>
            <w:pPr>
              <w:pStyle w:val="1132"/>
            </w:pPr>
            <w:r>
              <w:t>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THC</w:t>
            </w:r>
          </w:p>
        </w:tc>
        <w:tc>
          <w:tcPr>
            <w:tcW w:w="514" w:type="pct"/>
            <w:vAlign w:val="center"/>
          </w:tcPr>
          <w:p>
            <w:pPr>
              <w:pStyle w:val="1132"/>
            </w:pPr>
            <w:r>
              <w:t>1.343</w:t>
            </w:r>
          </w:p>
        </w:tc>
        <w:tc>
          <w:tcPr>
            <w:tcW w:w="515" w:type="pct"/>
            <w:vAlign w:val="center"/>
          </w:tcPr>
          <w:p>
            <w:pPr>
              <w:pStyle w:val="1132"/>
            </w:pPr>
            <w:r>
              <w:t>1.11</w:t>
            </w:r>
          </w:p>
        </w:tc>
        <w:tc>
          <w:tcPr>
            <w:tcW w:w="515" w:type="pct"/>
            <w:vAlign w:val="center"/>
          </w:tcPr>
          <w:p>
            <w:pPr>
              <w:pStyle w:val="1132"/>
            </w:pPr>
            <w:r>
              <w:t>1.0</w:t>
            </w:r>
          </w:p>
        </w:tc>
        <w:tc>
          <w:tcPr>
            <w:tcW w:w="515" w:type="pct"/>
            <w:vAlign w:val="center"/>
          </w:tcPr>
          <w:p>
            <w:pPr>
              <w:pStyle w:val="1132"/>
            </w:pPr>
            <w:r>
              <w:t>0.87</w:t>
            </w:r>
          </w:p>
        </w:tc>
        <w:tc>
          <w:tcPr>
            <w:tcW w:w="515" w:type="pct"/>
            <w:vAlign w:val="center"/>
          </w:tcPr>
          <w:p>
            <w:pPr>
              <w:pStyle w:val="1132"/>
            </w:pPr>
            <w:r>
              <w:t>0.77</w:t>
            </w:r>
          </w:p>
        </w:tc>
        <w:tc>
          <w:tcPr>
            <w:tcW w:w="497" w:type="pct"/>
            <w:vAlign w:val="center"/>
          </w:tcPr>
          <w:p>
            <w:pPr>
              <w:pStyle w:val="1132"/>
            </w:pPr>
            <w:r>
              <w:t>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NO</w:t>
            </w:r>
            <w:r>
              <w:rPr>
                <w:vertAlign w:val="subscript"/>
              </w:rPr>
              <w:t>2</w:t>
            </w:r>
          </w:p>
        </w:tc>
        <w:tc>
          <w:tcPr>
            <w:tcW w:w="514" w:type="pct"/>
            <w:vAlign w:val="center"/>
          </w:tcPr>
          <w:p>
            <w:pPr>
              <w:pStyle w:val="1132"/>
            </w:pPr>
            <w:r>
              <w:t>0.234</w:t>
            </w:r>
          </w:p>
        </w:tc>
        <w:tc>
          <w:tcPr>
            <w:tcW w:w="515" w:type="pct"/>
            <w:vAlign w:val="center"/>
          </w:tcPr>
          <w:p>
            <w:pPr>
              <w:pStyle w:val="1132"/>
            </w:pPr>
            <w:r>
              <w:t>0.31</w:t>
            </w:r>
          </w:p>
        </w:tc>
        <w:tc>
          <w:tcPr>
            <w:tcW w:w="515" w:type="pct"/>
            <w:vAlign w:val="center"/>
          </w:tcPr>
          <w:p>
            <w:pPr>
              <w:pStyle w:val="1132"/>
            </w:pPr>
            <w:r>
              <w:t>0.39</w:t>
            </w:r>
          </w:p>
        </w:tc>
        <w:tc>
          <w:tcPr>
            <w:tcW w:w="515" w:type="pct"/>
            <w:vAlign w:val="center"/>
          </w:tcPr>
          <w:p>
            <w:pPr>
              <w:pStyle w:val="1132"/>
            </w:pPr>
            <w:r>
              <w:t>0.49</w:t>
            </w:r>
          </w:p>
        </w:tc>
        <w:tc>
          <w:tcPr>
            <w:tcW w:w="515" w:type="pct"/>
            <w:vAlign w:val="center"/>
          </w:tcPr>
          <w:p>
            <w:pPr>
              <w:pStyle w:val="1132"/>
            </w:pPr>
            <w:r>
              <w:t>0.51</w:t>
            </w:r>
          </w:p>
        </w:tc>
        <w:tc>
          <w:tcPr>
            <w:tcW w:w="497" w:type="pct"/>
            <w:vAlign w:val="center"/>
          </w:tcPr>
          <w:p>
            <w:pPr>
              <w:pStyle w:val="1132"/>
            </w:pPr>
            <w: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restart"/>
            <w:vAlign w:val="center"/>
          </w:tcPr>
          <w:p>
            <w:pPr>
              <w:pStyle w:val="1132"/>
            </w:pPr>
            <w:r>
              <w:t>中型车</w:t>
            </w:r>
          </w:p>
        </w:tc>
        <w:tc>
          <w:tcPr>
            <w:tcW w:w="624" w:type="pct"/>
            <w:vAlign w:val="center"/>
          </w:tcPr>
          <w:p>
            <w:pPr>
              <w:pStyle w:val="1132"/>
            </w:pPr>
            <w:r>
              <w:t>CO</w:t>
            </w:r>
          </w:p>
        </w:tc>
        <w:tc>
          <w:tcPr>
            <w:tcW w:w="514" w:type="pct"/>
            <w:vAlign w:val="center"/>
          </w:tcPr>
          <w:p>
            <w:pPr>
              <w:pStyle w:val="1132"/>
            </w:pPr>
            <w:r>
              <w:t>10.57</w:t>
            </w:r>
          </w:p>
        </w:tc>
        <w:tc>
          <w:tcPr>
            <w:tcW w:w="515" w:type="pct"/>
            <w:vAlign w:val="center"/>
          </w:tcPr>
          <w:p>
            <w:pPr>
              <w:pStyle w:val="1132"/>
            </w:pPr>
            <w:r>
              <w:t>9.17</w:t>
            </w:r>
          </w:p>
        </w:tc>
        <w:tc>
          <w:tcPr>
            <w:tcW w:w="515" w:type="pct"/>
            <w:vAlign w:val="center"/>
          </w:tcPr>
          <w:p>
            <w:pPr>
              <w:pStyle w:val="1132"/>
            </w:pPr>
            <w:r>
              <w:t>8.67</w:t>
            </w:r>
          </w:p>
        </w:tc>
        <w:tc>
          <w:tcPr>
            <w:tcW w:w="515" w:type="pct"/>
            <w:vAlign w:val="center"/>
          </w:tcPr>
          <w:p>
            <w:pPr>
              <w:pStyle w:val="1132"/>
            </w:pPr>
            <w:r>
              <w:t>8.92</w:t>
            </w:r>
          </w:p>
        </w:tc>
        <w:tc>
          <w:tcPr>
            <w:tcW w:w="515" w:type="pct"/>
            <w:vAlign w:val="center"/>
          </w:tcPr>
          <w:p>
            <w:pPr>
              <w:pStyle w:val="1132"/>
            </w:pPr>
            <w:r>
              <w:t>10.0</w:t>
            </w:r>
          </w:p>
        </w:tc>
        <w:tc>
          <w:tcPr>
            <w:tcW w:w="497" w:type="pct"/>
            <w:vAlign w:val="center"/>
          </w:tcPr>
          <w:p>
            <w:pPr>
              <w:pStyle w:val="1132"/>
            </w:pPr>
            <w:r>
              <w:t>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THC</w:t>
            </w:r>
          </w:p>
        </w:tc>
        <w:tc>
          <w:tcPr>
            <w:tcW w:w="514" w:type="pct"/>
            <w:vAlign w:val="center"/>
          </w:tcPr>
          <w:p>
            <w:pPr>
              <w:pStyle w:val="1132"/>
            </w:pPr>
            <w:r>
              <w:t>2.23</w:t>
            </w:r>
          </w:p>
        </w:tc>
        <w:tc>
          <w:tcPr>
            <w:tcW w:w="515" w:type="pct"/>
            <w:vAlign w:val="center"/>
          </w:tcPr>
          <w:p>
            <w:pPr>
              <w:pStyle w:val="1132"/>
            </w:pPr>
            <w:r>
              <w:t>1.82</w:t>
            </w:r>
          </w:p>
        </w:tc>
        <w:tc>
          <w:tcPr>
            <w:tcW w:w="515" w:type="pct"/>
            <w:vAlign w:val="center"/>
          </w:tcPr>
          <w:p>
            <w:pPr>
              <w:pStyle w:val="1132"/>
            </w:pPr>
            <w:r>
              <w:t>1.61</w:t>
            </w:r>
          </w:p>
        </w:tc>
        <w:tc>
          <w:tcPr>
            <w:tcW w:w="515" w:type="pct"/>
            <w:vAlign w:val="center"/>
          </w:tcPr>
          <w:p>
            <w:pPr>
              <w:pStyle w:val="1132"/>
            </w:pPr>
            <w:r>
              <w:t>1.48</w:t>
            </w:r>
          </w:p>
        </w:tc>
        <w:tc>
          <w:tcPr>
            <w:tcW w:w="515" w:type="pct"/>
            <w:vAlign w:val="center"/>
          </w:tcPr>
          <w:p>
            <w:pPr>
              <w:pStyle w:val="1132"/>
            </w:pPr>
            <w:r>
              <w:t>1.38</w:t>
            </w:r>
          </w:p>
        </w:tc>
        <w:tc>
          <w:tcPr>
            <w:tcW w:w="497" w:type="pct"/>
            <w:vAlign w:val="center"/>
          </w:tcPr>
          <w:p>
            <w:pPr>
              <w:pStyle w:val="1132"/>
            </w:pPr>
            <w: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NO</w:t>
            </w:r>
            <w:r>
              <w:rPr>
                <w:vertAlign w:val="subscript"/>
              </w:rPr>
              <w:t>2</w:t>
            </w:r>
          </w:p>
        </w:tc>
        <w:tc>
          <w:tcPr>
            <w:tcW w:w="514" w:type="pct"/>
            <w:vAlign w:val="center"/>
          </w:tcPr>
          <w:p>
            <w:pPr>
              <w:pStyle w:val="1132"/>
            </w:pPr>
            <w:r>
              <w:t>0.63</w:t>
            </w:r>
          </w:p>
        </w:tc>
        <w:tc>
          <w:tcPr>
            <w:tcW w:w="515" w:type="pct"/>
            <w:vAlign w:val="center"/>
          </w:tcPr>
          <w:p>
            <w:pPr>
              <w:pStyle w:val="1132"/>
            </w:pPr>
            <w:r>
              <w:t>0.74</w:t>
            </w:r>
          </w:p>
        </w:tc>
        <w:tc>
          <w:tcPr>
            <w:tcW w:w="515" w:type="pct"/>
            <w:vAlign w:val="center"/>
          </w:tcPr>
          <w:p>
            <w:pPr>
              <w:pStyle w:val="1132"/>
            </w:pPr>
            <w:r>
              <w:t>0.84</w:t>
            </w:r>
          </w:p>
        </w:tc>
        <w:tc>
          <w:tcPr>
            <w:tcW w:w="515" w:type="pct"/>
            <w:vAlign w:val="center"/>
          </w:tcPr>
          <w:p>
            <w:pPr>
              <w:pStyle w:val="1132"/>
            </w:pPr>
            <w:r>
              <w:t>0.97</w:t>
            </w:r>
          </w:p>
        </w:tc>
        <w:tc>
          <w:tcPr>
            <w:tcW w:w="515" w:type="pct"/>
            <w:vAlign w:val="center"/>
          </w:tcPr>
          <w:p>
            <w:pPr>
              <w:pStyle w:val="1132"/>
            </w:pPr>
            <w:r>
              <w:t>1.03</w:t>
            </w:r>
          </w:p>
        </w:tc>
        <w:tc>
          <w:tcPr>
            <w:tcW w:w="497" w:type="pct"/>
            <w:vAlign w:val="center"/>
          </w:tcPr>
          <w:p>
            <w:pPr>
              <w:pStyle w:val="1132"/>
            </w:pPr>
            <w: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restart"/>
            <w:vAlign w:val="center"/>
          </w:tcPr>
          <w:p>
            <w:pPr>
              <w:pStyle w:val="1132"/>
            </w:pPr>
            <w:r>
              <w:t>大型车</w:t>
            </w:r>
          </w:p>
        </w:tc>
        <w:tc>
          <w:tcPr>
            <w:tcW w:w="624" w:type="pct"/>
            <w:vAlign w:val="center"/>
          </w:tcPr>
          <w:p>
            <w:pPr>
              <w:pStyle w:val="1132"/>
            </w:pPr>
            <w:r>
              <w:t>CO</w:t>
            </w:r>
          </w:p>
        </w:tc>
        <w:tc>
          <w:tcPr>
            <w:tcW w:w="514" w:type="pct"/>
            <w:vAlign w:val="center"/>
          </w:tcPr>
          <w:p>
            <w:pPr>
              <w:pStyle w:val="1132"/>
            </w:pPr>
            <w:r>
              <w:t>1.99</w:t>
            </w:r>
          </w:p>
        </w:tc>
        <w:tc>
          <w:tcPr>
            <w:tcW w:w="515" w:type="pct"/>
            <w:vAlign w:val="center"/>
          </w:tcPr>
          <w:p>
            <w:pPr>
              <w:pStyle w:val="1132"/>
            </w:pPr>
            <w:r>
              <w:t>1.69</w:t>
            </w:r>
          </w:p>
        </w:tc>
        <w:tc>
          <w:tcPr>
            <w:tcW w:w="515" w:type="pct"/>
            <w:vAlign w:val="center"/>
          </w:tcPr>
          <w:p>
            <w:pPr>
              <w:pStyle w:val="1132"/>
            </w:pPr>
            <w:r>
              <w:t>1.55</w:t>
            </w:r>
          </w:p>
        </w:tc>
        <w:tc>
          <w:tcPr>
            <w:tcW w:w="515" w:type="pct"/>
            <w:vAlign w:val="center"/>
          </w:tcPr>
          <w:p>
            <w:pPr>
              <w:pStyle w:val="1132"/>
            </w:pPr>
            <w:r>
              <w:t>1.52</w:t>
            </w:r>
          </w:p>
        </w:tc>
        <w:tc>
          <w:tcPr>
            <w:tcW w:w="515" w:type="pct"/>
            <w:vAlign w:val="center"/>
          </w:tcPr>
          <w:p>
            <w:pPr>
              <w:pStyle w:val="1132"/>
            </w:pPr>
            <w:r>
              <w:t>1.6</w:t>
            </w:r>
          </w:p>
        </w:tc>
        <w:tc>
          <w:tcPr>
            <w:tcW w:w="497" w:type="pct"/>
            <w:vAlign w:val="center"/>
          </w:tcPr>
          <w:p>
            <w:pPr>
              <w:pStyle w:val="1132"/>
            </w:pPr>
            <w: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THC</w:t>
            </w:r>
          </w:p>
        </w:tc>
        <w:tc>
          <w:tcPr>
            <w:tcW w:w="514" w:type="pct"/>
            <w:vAlign w:val="center"/>
          </w:tcPr>
          <w:p>
            <w:pPr>
              <w:pStyle w:val="1132"/>
            </w:pPr>
            <w:r>
              <w:t>0.30</w:t>
            </w:r>
          </w:p>
        </w:tc>
        <w:tc>
          <w:tcPr>
            <w:tcW w:w="515" w:type="pct"/>
            <w:vAlign w:val="center"/>
          </w:tcPr>
          <w:p>
            <w:pPr>
              <w:pStyle w:val="1132"/>
            </w:pPr>
            <w:r>
              <w:t>0.25</w:t>
            </w:r>
          </w:p>
        </w:tc>
        <w:tc>
          <w:tcPr>
            <w:tcW w:w="515" w:type="pct"/>
            <w:vAlign w:val="center"/>
          </w:tcPr>
          <w:p>
            <w:pPr>
              <w:pStyle w:val="1132"/>
            </w:pPr>
            <w:r>
              <w:t>0.22</w:t>
            </w:r>
          </w:p>
        </w:tc>
        <w:tc>
          <w:tcPr>
            <w:tcW w:w="515" w:type="pct"/>
            <w:vAlign w:val="center"/>
          </w:tcPr>
          <w:p>
            <w:pPr>
              <w:pStyle w:val="1132"/>
            </w:pPr>
            <w:r>
              <w:t>0.21</w:t>
            </w:r>
          </w:p>
        </w:tc>
        <w:tc>
          <w:tcPr>
            <w:tcW w:w="515" w:type="pct"/>
            <w:vAlign w:val="center"/>
          </w:tcPr>
          <w:p>
            <w:pPr>
              <w:pStyle w:val="1132"/>
            </w:pPr>
            <w:r>
              <w:t>0.2</w:t>
            </w:r>
          </w:p>
        </w:tc>
        <w:tc>
          <w:tcPr>
            <w:tcW w:w="497" w:type="pct"/>
            <w:vAlign w:val="center"/>
          </w:tcPr>
          <w:p>
            <w:pPr>
              <w:pStyle w:val="1132"/>
            </w:pPr>
            <w: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vAlign w:val="center"/>
          </w:tcPr>
          <w:p>
            <w:pPr>
              <w:pStyle w:val="1132"/>
            </w:pPr>
            <w:r>
              <w:t>NO</w:t>
            </w:r>
            <w:r>
              <w:rPr>
                <w:vertAlign w:val="subscript"/>
              </w:rPr>
              <w:t>2</w:t>
            </w:r>
          </w:p>
        </w:tc>
        <w:tc>
          <w:tcPr>
            <w:tcW w:w="514" w:type="pct"/>
            <w:vAlign w:val="center"/>
          </w:tcPr>
          <w:p>
            <w:pPr>
              <w:pStyle w:val="1132"/>
            </w:pPr>
            <w:r>
              <w:t>1.19</w:t>
            </w:r>
          </w:p>
        </w:tc>
        <w:tc>
          <w:tcPr>
            <w:tcW w:w="515" w:type="pct"/>
            <w:vAlign w:val="center"/>
          </w:tcPr>
          <w:p>
            <w:pPr>
              <w:pStyle w:val="1132"/>
            </w:pPr>
            <w:r>
              <w:t>1.19</w:t>
            </w:r>
          </w:p>
        </w:tc>
        <w:tc>
          <w:tcPr>
            <w:tcW w:w="515" w:type="pct"/>
            <w:vAlign w:val="center"/>
          </w:tcPr>
          <w:p>
            <w:pPr>
              <w:pStyle w:val="1132"/>
            </w:pPr>
            <w:r>
              <w:t>1.26</w:t>
            </w:r>
          </w:p>
        </w:tc>
        <w:tc>
          <w:tcPr>
            <w:tcW w:w="515" w:type="pct"/>
            <w:vAlign w:val="center"/>
          </w:tcPr>
          <w:p>
            <w:pPr>
              <w:pStyle w:val="1132"/>
            </w:pPr>
            <w:r>
              <w:t>1.68</w:t>
            </w:r>
          </w:p>
        </w:tc>
        <w:tc>
          <w:tcPr>
            <w:tcW w:w="515" w:type="pct"/>
            <w:vAlign w:val="center"/>
          </w:tcPr>
          <w:p>
            <w:pPr>
              <w:pStyle w:val="1132"/>
            </w:pPr>
            <w:r>
              <w:t>1.78</w:t>
            </w:r>
          </w:p>
        </w:tc>
        <w:tc>
          <w:tcPr>
            <w:tcW w:w="497" w:type="pct"/>
            <w:vAlign w:val="center"/>
          </w:tcPr>
          <w:p>
            <w:pPr>
              <w:pStyle w:val="1132"/>
            </w:pPr>
            <w:r>
              <w:t>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restart"/>
            <w:vAlign w:val="center"/>
          </w:tcPr>
          <w:p>
            <w:pPr>
              <w:pStyle w:val="1132"/>
            </w:pPr>
            <w:r>
              <w:t>执行国Ⅵ（a）标准</w:t>
            </w:r>
          </w:p>
        </w:tc>
        <w:tc>
          <w:tcPr>
            <w:tcW w:w="812" w:type="pct"/>
            <w:vMerge w:val="restart"/>
            <w:vAlign w:val="center"/>
          </w:tcPr>
          <w:p>
            <w:pPr>
              <w:pStyle w:val="1132"/>
            </w:pPr>
            <w:r>
              <w:t>小型车</w:t>
            </w: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CO</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8.07</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6.09</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4.61</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3.8</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2.64</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THC</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1.34</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1.11</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1.0</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0.87</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0.77</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NO</w:t>
            </w:r>
            <w:r>
              <w:rPr>
                <w:vertAlign w:val="subscript"/>
              </w:rPr>
              <w:t>2</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0.23</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0.31</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0.39</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0.49</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0.51</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restart"/>
            <w:vAlign w:val="center"/>
          </w:tcPr>
          <w:p>
            <w:pPr>
              <w:pStyle w:val="1132"/>
            </w:pPr>
            <w:r>
              <w:t>中型车</w:t>
            </w: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CO</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5.14</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4.46</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4.21</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4.34</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4.86</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5.92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THC</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2.23</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1.82</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1.61</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1.48</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1.38</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NO</w:t>
            </w:r>
            <w:r>
              <w:rPr>
                <w:vertAlign w:val="subscript"/>
              </w:rPr>
              <w:t>2</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0.63</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0.74</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0.84</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0.97</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1.03</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restart"/>
            <w:vAlign w:val="center"/>
          </w:tcPr>
          <w:p>
            <w:pPr>
              <w:pStyle w:val="1132"/>
            </w:pPr>
            <w:r>
              <w:t>大型车</w:t>
            </w: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CO</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0.88</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0.75</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0.68</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0.67</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0.71</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THC</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0.30</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0.25</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0.22</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0.21</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0.2</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NO</w:t>
            </w:r>
            <w:r>
              <w:rPr>
                <w:vertAlign w:val="subscript"/>
              </w:rPr>
              <w:t>2</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1.19</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1.19</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1.26</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1.68</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1.78</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restart"/>
            <w:vAlign w:val="center"/>
          </w:tcPr>
          <w:p>
            <w:pPr>
              <w:pStyle w:val="1132"/>
            </w:pPr>
            <w:r>
              <w:t>执行国Ⅵ（b）标准</w:t>
            </w:r>
          </w:p>
        </w:tc>
        <w:tc>
          <w:tcPr>
            <w:tcW w:w="812" w:type="pct"/>
            <w:vMerge w:val="restart"/>
            <w:vAlign w:val="center"/>
          </w:tcPr>
          <w:p>
            <w:pPr>
              <w:pStyle w:val="1132"/>
            </w:pPr>
            <w:r>
              <w:t>小型车</w:t>
            </w: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CO</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5.76</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4.35</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3.29</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2.71</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1.88</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THC</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0.63</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0.52</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0.47</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0.41</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0.36</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NO</w:t>
            </w:r>
            <w:r>
              <w:rPr>
                <w:vertAlign w:val="subscript"/>
              </w:rPr>
              <w:t>2</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0.11</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0.15</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0.18</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0.23</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0.24</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restart"/>
            <w:vAlign w:val="center"/>
          </w:tcPr>
          <w:p>
            <w:pPr>
              <w:pStyle w:val="1132"/>
            </w:pPr>
            <w:r>
              <w:t>中型车</w:t>
            </w: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CO</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3.68</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3.19</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3.02</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3.10</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3.48</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THC</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1.20</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0.98</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0.87</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0.79</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0.74</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NO</w:t>
            </w:r>
            <w:r>
              <w:rPr>
                <w:vertAlign w:val="subscript"/>
              </w:rPr>
              <w:t>2</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0.34</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0.4</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0.45</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0.52</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0.55</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restart"/>
            <w:vAlign w:val="center"/>
          </w:tcPr>
          <w:p>
            <w:pPr>
              <w:pStyle w:val="1132"/>
            </w:pPr>
            <w:r>
              <w:t>大型车</w:t>
            </w: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CO</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0.65</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0.55</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0.51</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0.49</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0.52</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THC</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0.16</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0.14</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0.12</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0.11</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0.11</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3" w:type="pct"/>
            <w:vMerge w:val="continue"/>
            <w:vAlign w:val="center"/>
          </w:tcPr>
          <w:p>
            <w:pPr>
              <w:pStyle w:val="1132"/>
            </w:pPr>
          </w:p>
        </w:tc>
        <w:tc>
          <w:tcPr>
            <w:tcW w:w="812" w:type="pct"/>
            <w:vMerge w:val="continue"/>
            <w:vAlign w:val="center"/>
          </w:tcPr>
          <w:p>
            <w:pPr>
              <w:pStyle w:val="1132"/>
            </w:pPr>
          </w:p>
        </w:tc>
        <w:tc>
          <w:tcPr>
            <w:tcW w:w="624" w:type="pct"/>
            <w:tcBorders>
              <w:top w:val="single" w:color="auto" w:sz="4" w:space="0"/>
              <w:left w:val="single" w:color="auto" w:sz="4" w:space="0"/>
              <w:bottom w:val="single" w:color="auto" w:sz="4" w:space="0"/>
              <w:right w:val="single" w:color="auto" w:sz="4" w:space="0"/>
            </w:tcBorders>
            <w:vAlign w:val="center"/>
          </w:tcPr>
          <w:p>
            <w:pPr>
              <w:pStyle w:val="1132"/>
            </w:pPr>
            <w:r>
              <w:t>NO</w:t>
            </w:r>
            <w:r>
              <w:rPr>
                <w:vertAlign w:val="subscript"/>
              </w:rPr>
              <w:t>2</w:t>
            </w:r>
          </w:p>
        </w:tc>
        <w:tc>
          <w:tcPr>
            <w:tcW w:w="514" w:type="pct"/>
            <w:tcBorders>
              <w:top w:val="single" w:color="auto" w:sz="4" w:space="0"/>
              <w:left w:val="single" w:color="auto" w:sz="4" w:space="0"/>
              <w:bottom w:val="single" w:color="auto" w:sz="4" w:space="0"/>
              <w:right w:val="single" w:color="auto" w:sz="4" w:space="0"/>
            </w:tcBorders>
            <w:vAlign w:val="center"/>
          </w:tcPr>
          <w:p>
            <w:pPr>
              <w:pStyle w:val="1132"/>
            </w:pPr>
            <w:r>
              <w:t>0.64</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0.64</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0.68</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0.90</w:t>
            </w:r>
          </w:p>
        </w:tc>
        <w:tc>
          <w:tcPr>
            <w:tcW w:w="515" w:type="pct"/>
            <w:tcBorders>
              <w:top w:val="single" w:color="auto" w:sz="4" w:space="0"/>
              <w:left w:val="single" w:color="auto" w:sz="4" w:space="0"/>
              <w:bottom w:val="single" w:color="auto" w:sz="4" w:space="0"/>
              <w:right w:val="single" w:color="auto" w:sz="4" w:space="0"/>
            </w:tcBorders>
            <w:vAlign w:val="center"/>
          </w:tcPr>
          <w:p>
            <w:pPr>
              <w:pStyle w:val="1132"/>
            </w:pPr>
            <w:r>
              <w:t>0.96</w:t>
            </w:r>
          </w:p>
        </w:tc>
        <w:tc>
          <w:tcPr>
            <w:tcW w:w="497" w:type="pct"/>
            <w:tcBorders>
              <w:top w:val="single" w:color="auto" w:sz="4" w:space="0"/>
              <w:left w:val="single" w:color="auto" w:sz="4" w:space="0"/>
              <w:bottom w:val="single" w:color="auto" w:sz="4" w:space="0"/>
              <w:right w:val="single" w:color="auto" w:sz="4" w:space="0"/>
            </w:tcBorders>
            <w:vAlign w:val="center"/>
          </w:tcPr>
          <w:p>
            <w:pPr>
              <w:pStyle w:val="1132"/>
            </w:pPr>
            <w:r>
              <w:t>1.12</w:t>
            </w:r>
          </w:p>
        </w:tc>
      </w:tr>
    </w:tbl>
    <w:p>
      <w:pPr>
        <w:pStyle w:val="10"/>
        <w:ind w:firstLine="480"/>
      </w:pPr>
      <w:r>
        <w:t>随着国家机动车尾气排放要求增高，《公路建设项目环境影响评价规范》（JTGB03-2006）附录E推荐的单车排放因子取值过高，不适合现实情况。根据《轻型汽车污染物排放限值及测量方法（中国Ⅲ、Ⅳ阶段）》（GB18352.3-2005）、《轻型汽车污染物排放限值及测量方法（中国第五阶段）》（GB18352.3-2013）和《轻型汽车污染物排放限值及测量方法（中国第六阶段）》（GB18352.6-2016），第Ⅲ阶段从2007年7月1日起执行，第Ⅳ阶段从2010年7月1日起执行，第Ⅴ阶段从2018年7月1日起实施，第Ⅵ阶段从2020年7月1日起实施，目前全国范围内已经开始执行国Ⅴ标准。项目建成营运后，全国范围内将主要执行第Ⅴ、第Ⅵ（a）、第Ⅵ（b）阶段标准，近期国Ⅳ、国Ⅴ、国Ⅵ（a）标准，中期为国Ⅴ、国Ⅵ（a）、国Ⅵ（b）标准，远期为国Ⅵ（a）、国Ⅵ（b）标准。本次评价的机动车尾气源强采用国Ⅳ、国Ⅴ、国Ⅵ标准修正的单车排放因子计算：近期，按照国Ⅳ、国Ⅴ、国Ⅵ（a）标准计算，比例为2:5:3；中期，按国Ⅴ、国Ⅵ（a）、国Ⅵ（b）标准计算，比例为2:5:3；远期，按国Ⅵ（a）、国Ⅵ（b）标准计算，比例为4:6。</w:t>
      </w:r>
    </w:p>
    <w:p>
      <w:pPr>
        <w:pStyle w:val="10"/>
        <w:ind w:firstLine="480"/>
      </w:pPr>
      <w:r>
        <w:t>根据整个路段单车排放因子修正公式：</w:t>
      </w:r>
    </w:p>
    <w:p>
      <w:pPr>
        <w:pStyle w:val="112"/>
        <w:ind w:firstLine="480"/>
        <w:jc w:val="center"/>
        <w:rPr>
          <w:color w:val="0070C0"/>
        </w:rPr>
      </w:pPr>
      <w:r>
        <w:rPr>
          <w:color w:val="0070C0"/>
        </w:rPr>
        <w:drawing>
          <wp:inline distT="0" distB="0" distL="0" distR="0">
            <wp:extent cx="2997835" cy="254635"/>
            <wp:effectExtent l="0" t="0" r="0" b="0"/>
            <wp:docPr id="12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图片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997835" cy="254635"/>
                    </a:xfrm>
                    <a:prstGeom prst="rect">
                      <a:avLst/>
                    </a:prstGeom>
                    <a:noFill/>
                    <a:ln>
                      <a:noFill/>
                    </a:ln>
                  </pic:spPr>
                </pic:pic>
              </a:graphicData>
            </a:graphic>
          </wp:inline>
        </w:drawing>
      </w:r>
    </w:p>
    <w:p>
      <w:pPr>
        <w:pStyle w:val="10"/>
        <w:ind w:firstLine="480"/>
      </w:pPr>
      <w:r>
        <w:t>式中：</w:t>
      </w:r>
    </w:p>
    <w:p>
      <w:pPr>
        <w:pStyle w:val="10"/>
        <w:ind w:firstLine="480"/>
      </w:pPr>
      <w:r>
        <w:t>E修正——在预测年份中，整个路段某型车的单车排放因子；</w:t>
      </w:r>
    </w:p>
    <w:p>
      <w:pPr>
        <w:pStyle w:val="10"/>
        <w:ind w:firstLine="480"/>
      </w:pPr>
      <w:r>
        <w:t>E国I、E国II、E国III、E国IV、E国V——执行不同排放标准（国I~国V）的某型车经过修正的单车排放因子；</w:t>
      </w:r>
    </w:p>
    <w:p>
      <w:pPr>
        <w:pStyle w:val="10"/>
        <w:ind w:firstLine="480"/>
      </w:pPr>
      <w:r>
        <w:t>α国I、α国II、α国III、α国IV、α国V——在预测年份中，执行不同排放标准（国I~国V）的某型车占该型车总交通量的比例，%。</w:t>
      </w:r>
    </w:p>
    <w:p>
      <w:pPr>
        <w:pStyle w:val="10"/>
        <w:ind w:firstLine="480"/>
        <w:rPr>
          <w:rFonts w:hint="eastAsia"/>
        </w:rPr>
      </w:pPr>
      <w:r>
        <w:t>则本次评价采用的单车排放因子见</w:t>
      </w:r>
      <w:r>
        <w:rPr>
          <w:rFonts w:hint="eastAsia"/>
        </w:rPr>
        <w:t>下</w:t>
      </w:r>
      <w:r>
        <w:t>表。</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rPr>
          <w:rFonts w:hint="eastAsia"/>
          <w:lang w:val="en-US" w:eastAsia="zh-CN"/>
        </w:rPr>
        <w:t>9</w:t>
      </w:r>
      <w:r>
        <w:t xml:space="preserve">  单车排放因子修正值 （单位：g/km·辆）</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958"/>
        <w:gridCol w:w="1632"/>
        <w:gridCol w:w="1234"/>
        <w:gridCol w:w="1035"/>
        <w:gridCol w:w="878"/>
        <w:gridCol w:w="878"/>
        <w:gridCol w:w="878"/>
        <w:gridCol w:w="878"/>
        <w:gridCol w:w="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Align w:val="center"/>
          </w:tcPr>
          <w:p>
            <w:pPr>
              <w:pStyle w:val="1132"/>
            </w:pPr>
            <w:r>
              <w:t>标准</w:t>
            </w:r>
          </w:p>
        </w:tc>
        <w:tc>
          <w:tcPr>
            <w:tcW w:w="1551" w:type="pct"/>
            <w:gridSpan w:val="2"/>
            <w:vAlign w:val="center"/>
          </w:tcPr>
          <w:p>
            <w:pPr>
              <w:pStyle w:val="1132"/>
            </w:pPr>
            <w:r>
              <w:t>平均车速（km/h）</w:t>
            </w:r>
          </w:p>
        </w:tc>
        <w:tc>
          <w:tcPr>
            <w:tcW w:w="560" w:type="pct"/>
            <w:vAlign w:val="center"/>
          </w:tcPr>
          <w:p>
            <w:pPr>
              <w:pStyle w:val="1132"/>
            </w:pPr>
            <w:r>
              <w:t>50</w:t>
            </w:r>
          </w:p>
        </w:tc>
        <w:tc>
          <w:tcPr>
            <w:tcW w:w="475" w:type="pct"/>
            <w:vAlign w:val="center"/>
          </w:tcPr>
          <w:p>
            <w:pPr>
              <w:pStyle w:val="1132"/>
            </w:pPr>
            <w:r>
              <w:t>60</w:t>
            </w:r>
          </w:p>
        </w:tc>
        <w:tc>
          <w:tcPr>
            <w:tcW w:w="475" w:type="pct"/>
            <w:vAlign w:val="center"/>
          </w:tcPr>
          <w:p>
            <w:pPr>
              <w:pStyle w:val="1132"/>
            </w:pPr>
            <w:r>
              <w:t>70</w:t>
            </w:r>
          </w:p>
        </w:tc>
        <w:tc>
          <w:tcPr>
            <w:tcW w:w="475" w:type="pct"/>
            <w:vAlign w:val="center"/>
          </w:tcPr>
          <w:p>
            <w:pPr>
              <w:pStyle w:val="1132"/>
            </w:pPr>
            <w:r>
              <w:t>80</w:t>
            </w:r>
          </w:p>
        </w:tc>
        <w:tc>
          <w:tcPr>
            <w:tcW w:w="475" w:type="pct"/>
            <w:vAlign w:val="center"/>
          </w:tcPr>
          <w:p>
            <w:pPr>
              <w:pStyle w:val="1132"/>
            </w:pPr>
            <w:r>
              <w:t>90</w:t>
            </w:r>
          </w:p>
        </w:tc>
        <w:tc>
          <w:tcPr>
            <w:tcW w:w="471" w:type="pct"/>
            <w:vAlign w:val="center"/>
          </w:tcPr>
          <w:p>
            <w:pPr>
              <w:pStyle w:val="1132"/>
            </w:pPr>
            <w: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restart"/>
            <w:vAlign w:val="center"/>
          </w:tcPr>
          <w:p>
            <w:pPr>
              <w:pStyle w:val="1132"/>
            </w:pPr>
            <w:r>
              <w:t>2024</w:t>
            </w:r>
          </w:p>
        </w:tc>
        <w:tc>
          <w:tcPr>
            <w:tcW w:w="883" w:type="pct"/>
            <w:vMerge w:val="restart"/>
            <w:vAlign w:val="center"/>
          </w:tcPr>
          <w:p>
            <w:pPr>
              <w:pStyle w:val="1132"/>
            </w:pPr>
            <w:r>
              <w:t>小型车</w:t>
            </w:r>
          </w:p>
        </w:tc>
        <w:tc>
          <w:tcPr>
            <w:tcW w:w="668" w:type="pct"/>
            <w:vAlign w:val="center"/>
          </w:tcPr>
          <w:p>
            <w:pPr>
              <w:pStyle w:val="1132"/>
            </w:pPr>
            <w:r>
              <w:t>CO</w:t>
            </w:r>
          </w:p>
        </w:tc>
        <w:tc>
          <w:tcPr>
            <w:tcW w:w="560" w:type="pct"/>
            <w:vAlign w:val="center"/>
          </w:tcPr>
          <w:p>
            <w:pPr>
              <w:pStyle w:val="1132"/>
            </w:pPr>
            <w:r>
              <w:t>10.49</w:t>
            </w:r>
          </w:p>
        </w:tc>
        <w:tc>
          <w:tcPr>
            <w:tcW w:w="475" w:type="pct"/>
            <w:vAlign w:val="center"/>
          </w:tcPr>
          <w:p>
            <w:pPr>
              <w:pStyle w:val="1132"/>
            </w:pPr>
            <w:r>
              <w:t>7.92</w:t>
            </w:r>
          </w:p>
        </w:tc>
        <w:tc>
          <w:tcPr>
            <w:tcW w:w="475" w:type="pct"/>
            <w:vAlign w:val="center"/>
          </w:tcPr>
          <w:p>
            <w:pPr>
              <w:pStyle w:val="1132"/>
            </w:pPr>
            <w:r>
              <w:t>5.99</w:t>
            </w:r>
          </w:p>
        </w:tc>
        <w:tc>
          <w:tcPr>
            <w:tcW w:w="475" w:type="pct"/>
            <w:vAlign w:val="center"/>
          </w:tcPr>
          <w:p>
            <w:pPr>
              <w:pStyle w:val="1132"/>
            </w:pPr>
            <w:r>
              <w:t>4.94</w:t>
            </w:r>
          </w:p>
        </w:tc>
        <w:tc>
          <w:tcPr>
            <w:tcW w:w="475" w:type="pct"/>
            <w:vAlign w:val="center"/>
          </w:tcPr>
          <w:p>
            <w:pPr>
              <w:pStyle w:val="1132"/>
            </w:pPr>
            <w:r>
              <w:t>3.43</w:t>
            </w:r>
          </w:p>
        </w:tc>
        <w:tc>
          <w:tcPr>
            <w:tcW w:w="471" w:type="pct"/>
            <w:vAlign w:val="center"/>
          </w:tcPr>
          <w:p>
            <w:pPr>
              <w:pStyle w:val="1132"/>
            </w:pPr>
            <w:r>
              <w:t>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THC</w:t>
            </w:r>
          </w:p>
        </w:tc>
        <w:tc>
          <w:tcPr>
            <w:tcW w:w="560" w:type="pct"/>
            <w:vAlign w:val="center"/>
          </w:tcPr>
          <w:p>
            <w:pPr>
              <w:pStyle w:val="1132"/>
            </w:pPr>
            <w:r>
              <w:t>1.38</w:t>
            </w:r>
          </w:p>
        </w:tc>
        <w:tc>
          <w:tcPr>
            <w:tcW w:w="475" w:type="pct"/>
            <w:vAlign w:val="center"/>
          </w:tcPr>
          <w:p>
            <w:pPr>
              <w:pStyle w:val="1132"/>
            </w:pPr>
            <w:r>
              <w:t>1.13</w:t>
            </w:r>
          </w:p>
        </w:tc>
        <w:tc>
          <w:tcPr>
            <w:tcW w:w="475" w:type="pct"/>
            <w:vAlign w:val="center"/>
          </w:tcPr>
          <w:p>
            <w:pPr>
              <w:pStyle w:val="1132"/>
            </w:pPr>
            <w:r>
              <w:t>1.02</w:t>
            </w:r>
          </w:p>
        </w:tc>
        <w:tc>
          <w:tcPr>
            <w:tcW w:w="475" w:type="pct"/>
            <w:vAlign w:val="center"/>
          </w:tcPr>
          <w:p>
            <w:pPr>
              <w:pStyle w:val="1132"/>
            </w:pPr>
            <w:r>
              <w:t>0.90</w:t>
            </w:r>
          </w:p>
        </w:tc>
        <w:tc>
          <w:tcPr>
            <w:tcW w:w="475" w:type="pct"/>
            <w:vAlign w:val="center"/>
          </w:tcPr>
          <w:p>
            <w:pPr>
              <w:pStyle w:val="1132"/>
            </w:pPr>
            <w:r>
              <w:t>0.79</w:t>
            </w:r>
          </w:p>
        </w:tc>
        <w:tc>
          <w:tcPr>
            <w:tcW w:w="471" w:type="pct"/>
            <w:vAlign w:val="center"/>
          </w:tcPr>
          <w:p>
            <w:pPr>
              <w:pStyle w:val="1132"/>
            </w:pPr>
            <w:r>
              <w:t>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NO</w:t>
            </w:r>
            <w:r>
              <w:rPr>
                <w:vertAlign w:val="subscript"/>
              </w:rPr>
              <w:t>2</w:t>
            </w:r>
          </w:p>
        </w:tc>
        <w:tc>
          <w:tcPr>
            <w:tcW w:w="560" w:type="pct"/>
            <w:vAlign w:val="center"/>
          </w:tcPr>
          <w:p>
            <w:pPr>
              <w:pStyle w:val="1132"/>
            </w:pPr>
            <w:r>
              <w:t>0.24</w:t>
            </w:r>
          </w:p>
        </w:tc>
        <w:tc>
          <w:tcPr>
            <w:tcW w:w="475" w:type="pct"/>
            <w:vAlign w:val="center"/>
          </w:tcPr>
          <w:p>
            <w:pPr>
              <w:pStyle w:val="1132"/>
            </w:pPr>
            <w:r>
              <w:t>0.32</w:t>
            </w:r>
          </w:p>
        </w:tc>
        <w:tc>
          <w:tcPr>
            <w:tcW w:w="475" w:type="pct"/>
            <w:vAlign w:val="center"/>
          </w:tcPr>
          <w:p>
            <w:pPr>
              <w:pStyle w:val="1132"/>
            </w:pPr>
            <w:r>
              <w:t>0.40</w:t>
            </w:r>
          </w:p>
        </w:tc>
        <w:tc>
          <w:tcPr>
            <w:tcW w:w="475" w:type="pct"/>
            <w:vAlign w:val="center"/>
          </w:tcPr>
          <w:p>
            <w:pPr>
              <w:pStyle w:val="1132"/>
            </w:pPr>
            <w:r>
              <w:t>0.50</w:t>
            </w:r>
          </w:p>
        </w:tc>
        <w:tc>
          <w:tcPr>
            <w:tcW w:w="475" w:type="pct"/>
            <w:vAlign w:val="center"/>
          </w:tcPr>
          <w:p>
            <w:pPr>
              <w:pStyle w:val="1132"/>
            </w:pPr>
            <w:r>
              <w:t>0.52</w:t>
            </w:r>
          </w:p>
        </w:tc>
        <w:tc>
          <w:tcPr>
            <w:tcW w:w="471" w:type="pct"/>
            <w:vAlign w:val="center"/>
          </w:tcPr>
          <w:p>
            <w:pPr>
              <w:pStyle w:val="1132"/>
            </w:pPr>
            <w:r>
              <w:t>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restart"/>
            <w:vAlign w:val="center"/>
          </w:tcPr>
          <w:p>
            <w:pPr>
              <w:pStyle w:val="1132"/>
            </w:pPr>
            <w:r>
              <w:t>中型车</w:t>
            </w:r>
          </w:p>
        </w:tc>
        <w:tc>
          <w:tcPr>
            <w:tcW w:w="668" w:type="pct"/>
            <w:vAlign w:val="center"/>
          </w:tcPr>
          <w:p>
            <w:pPr>
              <w:pStyle w:val="1132"/>
            </w:pPr>
            <w:r>
              <w:t>CO</w:t>
            </w:r>
          </w:p>
        </w:tc>
        <w:tc>
          <w:tcPr>
            <w:tcW w:w="560" w:type="pct"/>
            <w:vAlign w:val="center"/>
          </w:tcPr>
          <w:p>
            <w:pPr>
              <w:pStyle w:val="1132"/>
            </w:pPr>
            <w:r>
              <w:t>8.94</w:t>
            </w:r>
          </w:p>
        </w:tc>
        <w:tc>
          <w:tcPr>
            <w:tcW w:w="475" w:type="pct"/>
            <w:vAlign w:val="center"/>
          </w:tcPr>
          <w:p>
            <w:pPr>
              <w:pStyle w:val="1132"/>
            </w:pPr>
            <w:r>
              <w:t>7.76</w:t>
            </w:r>
          </w:p>
        </w:tc>
        <w:tc>
          <w:tcPr>
            <w:tcW w:w="475" w:type="pct"/>
            <w:vAlign w:val="center"/>
          </w:tcPr>
          <w:p>
            <w:pPr>
              <w:pStyle w:val="1132"/>
            </w:pPr>
            <w:r>
              <w:t>7.33</w:t>
            </w:r>
          </w:p>
        </w:tc>
        <w:tc>
          <w:tcPr>
            <w:tcW w:w="475" w:type="pct"/>
            <w:vAlign w:val="center"/>
          </w:tcPr>
          <w:p>
            <w:pPr>
              <w:pStyle w:val="1132"/>
            </w:pPr>
            <w:r>
              <w:t>7.54</w:t>
            </w:r>
          </w:p>
        </w:tc>
        <w:tc>
          <w:tcPr>
            <w:tcW w:w="475" w:type="pct"/>
            <w:vAlign w:val="center"/>
          </w:tcPr>
          <w:p>
            <w:pPr>
              <w:pStyle w:val="1132"/>
            </w:pPr>
            <w:r>
              <w:t>8.45</w:t>
            </w:r>
          </w:p>
        </w:tc>
        <w:tc>
          <w:tcPr>
            <w:tcW w:w="471" w:type="pct"/>
            <w:vAlign w:val="center"/>
          </w:tcPr>
          <w:p>
            <w:pPr>
              <w:pStyle w:val="1132"/>
            </w:pPr>
            <w: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THC</w:t>
            </w:r>
          </w:p>
        </w:tc>
        <w:tc>
          <w:tcPr>
            <w:tcW w:w="560" w:type="pct"/>
            <w:vAlign w:val="center"/>
          </w:tcPr>
          <w:p>
            <w:pPr>
              <w:pStyle w:val="1132"/>
            </w:pPr>
            <w:r>
              <w:t>2.28</w:t>
            </w:r>
          </w:p>
        </w:tc>
        <w:tc>
          <w:tcPr>
            <w:tcW w:w="475" w:type="pct"/>
            <w:vAlign w:val="center"/>
          </w:tcPr>
          <w:p>
            <w:pPr>
              <w:pStyle w:val="1132"/>
            </w:pPr>
            <w:r>
              <w:t>1.86</w:t>
            </w:r>
          </w:p>
        </w:tc>
        <w:tc>
          <w:tcPr>
            <w:tcW w:w="475" w:type="pct"/>
            <w:vAlign w:val="center"/>
          </w:tcPr>
          <w:p>
            <w:pPr>
              <w:pStyle w:val="1132"/>
            </w:pPr>
            <w:r>
              <w:t>1.65</w:t>
            </w:r>
          </w:p>
        </w:tc>
        <w:tc>
          <w:tcPr>
            <w:tcW w:w="475" w:type="pct"/>
            <w:vAlign w:val="center"/>
          </w:tcPr>
          <w:p>
            <w:pPr>
              <w:pStyle w:val="1132"/>
            </w:pPr>
            <w:r>
              <w:t>1.52</w:t>
            </w:r>
          </w:p>
        </w:tc>
        <w:tc>
          <w:tcPr>
            <w:tcW w:w="475" w:type="pct"/>
            <w:vAlign w:val="center"/>
          </w:tcPr>
          <w:p>
            <w:pPr>
              <w:pStyle w:val="1132"/>
            </w:pPr>
            <w:r>
              <w:t>1.41</w:t>
            </w:r>
          </w:p>
        </w:tc>
        <w:tc>
          <w:tcPr>
            <w:tcW w:w="471" w:type="pct"/>
            <w:vAlign w:val="center"/>
          </w:tcPr>
          <w:p>
            <w:pPr>
              <w:pStyle w:val="1132"/>
            </w:pPr>
            <w:r>
              <w:t>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NO</w:t>
            </w:r>
            <w:r>
              <w:rPr>
                <w:vertAlign w:val="subscript"/>
              </w:rPr>
              <w:t>2</w:t>
            </w:r>
          </w:p>
        </w:tc>
        <w:tc>
          <w:tcPr>
            <w:tcW w:w="560" w:type="pct"/>
            <w:vAlign w:val="center"/>
          </w:tcPr>
          <w:p>
            <w:pPr>
              <w:pStyle w:val="1132"/>
            </w:pPr>
            <w:r>
              <w:t>0.65</w:t>
            </w:r>
          </w:p>
        </w:tc>
        <w:tc>
          <w:tcPr>
            <w:tcW w:w="475" w:type="pct"/>
            <w:vAlign w:val="center"/>
          </w:tcPr>
          <w:p>
            <w:pPr>
              <w:pStyle w:val="1132"/>
            </w:pPr>
            <w:r>
              <w:t>0.76</w:t>
            </w:r>
          </w:p>
        </w:tc>
        <w:tc>
          <w:tcPr>
            <w:tcW w:w="475" w:type="pct"/>
            <w:vAlign w:val="center"/>
          </w:tcPr>
          <w:p>
            <w:pPr>
              <w:pStyle w:val="1132"/>
            </w:pPr>
            <w:r>
              <w:t>0.86</w:t>
            </w:r>
          </w:p>
        </w:tc>
        <w:tc>
          <w:tcPr>
            <w:tcW w:w="475" w:type="pct"/>
            <w:vAlign w:val="center"/>
          </w:tcPr>
          <w:p>
            <w:pPr>
              <w:pStyle w:val="1132"/>
            </w:pPr>
            <w:r>
              <w:t>1.00</w:t>
            </w:r>
          </w:p>
        </w:tc>
        <w:tc>
          <w:tcPr>
            <w:tcW w:w="475" w:type="pct"/>
            <w:vAlign w:val="center"/>
          </w:tcPr>
          <w:p>
            <w:pPr>
              <w:pStyle w:val="1132"/>
            </w:pPr>
            <w:r>
              <w:t>1.06</w:t>
            </w:r>
          </w:p>
        </w:tc>
        <w:tc>
          <w:tcPr>
            <w:tcW w:w="471" w:type="pct"/>
            <w:vAlign w:val="center"/>
          </w:tcPr>
          <w:p>
            <w:pPr>
              <w:pStyle w:val="1132"/>
            </w:pPr>
            <w: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restart"/>
            <w:vAlign w:val="center"/>
          </w:tcPr>
          <w:p>
            <w:pPr>
              <w:pStyle w:val="1132"/>
            </w:pPr>
            <w:r>
              <w:t>大型车</w:t>
            </w:r>
          </w:p>
        </w:tc>
        <w:tc>
          <w:tcPr>
            <w:tcW w:w="668" w:type="pct"/>
            <w:vAlign w:val="center"/>
          </w:tcPr>
          <w:p>
            <w:pPr>
              <w:pStyle w:val="1132"/>
            </w:pPr>
            <w:r>
              <w:t>CO</w:t>
            </w:r>
          </w:p>
        </w:tc>
        <w:tc>
          <w:tcPr>
            <w:tcW w:w="560" w:type="pct"/>
            <w:vAlign w:val="center"/>
          </w:tcPr>
          <w:p>
            <w:pPr>
              <w:pStyle w:val="1132"/>
            </w:pPr>
            <w:r>
              <w:t>1.65</w:t>
            </w:r>
          </w:p>
        </w:tc>
        <w:tc>
          <w:tcPr>
            <w:tcW w:w="475" w:type="pct"/>
            <w:vAlign w:val="center"/>
          </w:tcPr>
          <w:p>
            <w:pPr>
              <w:pStyle w:val="1132"/>
            </w:pPr>
            <w:r>
              <w:t>1.41</w:t>
            </w:r>
          </w:p>
        </w:tc>
        <w:tc>
          <w:tcPr>
            <w:tcW w:w="475" w:type="pct"/>
            <w:vAlign w:val="center"/>
          </w:tcPr>
          <w:p>
            <w:pPr>
              <w:pStyle w:val="1132"/>
            </w:pPr>
            <w:r>
              <w:t>1.29</w:t>
            </w:r>
          </w:p>
        </w:tc>
        <w:tc>
          <w:tcPr>
            <w:tcW w:w="475" w:type="pct"/>
            <w:vAlign w:val="center"/>
          </w:tcPr>
          <w:p>
            <w:pPr>
              <w:pStyle w:val="1132"/>
            </w:pPr>
            <w:r>
              <w:t>1.26</w:t>
            </w:r>
          </w:p>
        </w:tc>
        <w:tc>
          <w:tcPr>
            <w:tcW w:w="475" w:type="pct"/>
            <w:vAlign w:val="center"/>
          </w:tcPr>
          <w:p>
            <w:pPr>
              <w:pStyle w:val="1132"/>
            </w:pPr>
            <w:r>
              <w:t>1.33</w:t>
            </w:r>
          </w:p>
        </w:tc>
        <w:tc>
          <w:tcPr>
            <w:tcW w:w="471" w:type="pct"/>
            <w:vAlign w:val="center"/>
          </w:tcPr>
          <w:p>
            <w:pPr>
              <w:pStyle w:val="1132"/>
            </w:pPr>
            <w: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THC</w:t>
            </w:r>
          </w:p>
        </w:tc>
        <w:tc>
          <w:tcPr>
            <w:tcW w:w="560" w:type="pct"/>
            <w:vAlign w:val="center"/>
          </w:tcPr>
          <w:p>
            <w:pPr>
              <w:pStyle w:val="1132"/>
            </w:pPr>
            <w:r>
              <w:t>0.30</w:t>
            </w:r>
          </w:p>
        </w:tc>
        <w:tc>
          <w:tcPr>
            <w:tcW w:w="475" w:type="pct"/>
            <w:vAlign w:val="center"/>
          </w:tcPr>
          <w:p>
            <w:pPr>
              <w:pStyle w:val="1132"/>
            </w:pPr>
            <w:r>
              <w:t>0.26</w:t>
            </w:r>
          </w:p>
        </w:tc>
        <w:tc>
          <w:tcPr>
            <w:tcW w:w="475" w:type="pct"/>
            <w:vAlign w:val="center"/>
          </w:tcPr>
          <w:p>
            <w:pPr>
              <w:pStyle w:val="1132"/>
            </w:pPr>
            <w:r>
              <w:t>0.23</w:t>
            </w:r>
          </w:p>
        </w:tc>
        <w:tc>
          <w:tcPr>
            <w:tcW w:w="475" w:type="pct"/>
            <w:vAlign w:val="center"/>
          </w:tcPr>
          <w:p>
            <w:pPr>
              <w:pStyle w:val="1132"/>
            </w:pPr>
            <w:r>
              <w:t>0.21</w:t>
            </w:r>
          </w:p>
        </w:tc>
        <w:tc>
          <w:tcPr>
            <w:tcW w:w="475" w:type="pct"/>
            <w:vAlign w:val="center"/>
          </w:tcPr>
          <w:p>
            <w:pPr>
              <w:pStyle w:val="1132"/>
            </w:pPr>
            <w:r>
              <w:t>0.20</w:t>
            </w:r>
          </w:p>
        </w:tc>
        <w:tc>
          <w:tcPr>
            <w:tcW w:w="471" w:type="pct"/>
            <w:vAlign w:val="center"/>
          </w:tcPr>
          <w:p>
            <w:pPr>
              <w:pStyle w:val="1132"/>
            </w:pPr>
            <w: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NO</w:t>
            </w:r>
            <w:r>
              <w:rPr>
                <w:vertAlign w:val="subscript"/>
              </w:rPr>
              <w:t>2</w:t>
            </w:r>
          </w:p>
        </w:tc>
        <w:tc>
          <w:tcPr>
            <w:tcW w:w="560" w:type="pct"/>
            <w:vAlign w:val="center"/>
          </w:tcPr>
          <w:p>
            <w:pPr>
              <w:pStyle w:val="1132"/>
            </w:pPr>
            <w:r>
              <w:t>1.22</w:t>
            </w:r>
          </w:p>
        </w:tc>
        <w:tc>
          <w:tcPr>
            <w:tcW w:w="475" w:type="pct"/>
            <w:vAlign w:val="center"/>
          </w:tcPr>
          <w:p>
            <w:pPr>
              <w:pStyle w:val="1132"/>
            </w:pPr>
            <w:r>
              <w:t>1.22</w:t>
            </w:r>
          </w:p>
        </w:tc>
        <w:tc>
          <w:tcPr>
            <w:tcW w:w="475" w:type="pct"/>
            <w:vAlign w:val="center"/>
          </w:tcPr>
          <w:p>
            <w:pPr>
              <w:pStyle w:val="1132"/>
            </w:pPr>
            <w:r>
              <w:t>1.29</w:t>
            </w:r>
          </w:p>
        </w:tc>
        <w:tc>
          <w:tcPr>
            <w:tcW w:w="475" w:type="pct"/>
            <w:vAlign w:val="center"/>
          </w:tcPr>
          <w:p>
            <w:pPr>
              <w:pStyle w:val="1132"/>
            </w:pPr>
            <w:r>
              <w:t>1.71</w:t>
            </w:r>
          </w:p>
        </w:tc>
        <w:tc>
          <w:tcPr>
            <w:tcW w:w="475" w:type="pct"/>
            <w:vAlign w:val="center"/>
          </w:tcPr>
          <w:p>
            <w:pPr>
              <w:pStyle w:val="1132"/>
            </w:pPr>
            <w:r>
              <w:t>1.82</w:t>
            </w:r>
          </w:p>
        </w:tc>
        <w:tc>
          <w:tcPr>
            <w:tcW w:w="471" w:type="pct"/>
            <w:vAlign w:val="center"/>
          </w:tcPr>
          <w:p>
            <w:pPr>
              <w:pStyle w:val="1132"/>
            </w:pPr>
            <w:r>
              <w:t>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restart"/>
            <w:vAlign w:val="center"/>
          </w:tcPr>
          <w:p>
            <w:pPr>
              <w:pStyle w:val="1132"/>
            </w:pPr>
            <w:r>
              <w:t>2030</w:t>
            </w:r>
          </w:p>
        </w:tc>
        <w:tc>
          <w:tcPr>
            <w:tcW w:w="883" w:type="pct"/>
            <w:vMerge w:val="restart"/>
            <w:vAlign w:val="center"/>
          </w:tcPr>
          <w:p>
            <w:pPr>
              <w:pStyle w:val="1132"/>
            </w:pPr>
            <w:r>
              <w:t>小型车</w:t>
            </w:r>
          </w:p>
        </w:tc>
        <w:tc>
          <w:tcPr>
            <w:tcW w:w="668" w:type="pct"/>
            <w:vAlign w:val="center"/>
          </w:tcPr>
          <w:p>
            <w:pPr>
              <w:pStyle w:val="1132"/>
            </w:pPr>
            <w:r>
              <w:t>CO</w:t>
            </w:r>
          </w:p>
        </w:tc>
        <w:tc>
          <w:tcPr>
            <w:tcW w:w="560" w:type="pct"/>
            <w:vAlign w:val="center"/>
          </w:tcPr>
          <w:p>
            <w:pPr>
              <w:pStyle w:val="1132"/>
            </w:pPr>
            <w:r>
              <w:t>8.07</w:t>
            </w:r>
          </w:p>
        </w:tc>
        <w:tc>
          <w:tcPr>
            <w:tcW w:w="475" w:type="pct"/>
            <w:vAlign w:val="center"/>
          </w:tcPr>
          <w:p>
            <w:pPr>
              <w:pStyle w:val="1132"/>
            </w:pPr>
            <w:r>
              <w:t>6.09</w:t>
            </w:r>
          </w:p>
        </w:tc>
        <w:tc>
          <w:tcPr>
            <w:tcW w:w="475" w:type="pct"/>
            <w:vAlign w:val="center"/>
          </w:tcPr>
          <w:p>
            <w:pPr>
              <w:pStyle w:val="1132"/>
            </w:pPr>
            <w:r>
              <w:t>4.61</w:t>
            </w:r>
          </w:p>
        </w:tc>
        <w:tc>
          <w:tcPr>
            <w:tcW w:w="475" w:type="pct"/>
            <w:vAlign w:val="center"/>
          </w:tcPr>
          <w:p>
            <w:pPr>
              <w:pStyle w:val="1132"/>
            </w:pPr>
            <w:r>
              <w:t>3.80</w:t>
            </w:r>
          </w:p>
        </w:tc>
        <w:tc>
          <w:tcPr>
            <w:tcW w:w="475" w:type="pct"/>
            <w:vAlign w:val="center"/>
          </w:tcPr>
          <w:p>
            <w:pPr>
              <w:pStyle w:val="1132"/>
            </w:pPr>
            <w:r>
              <w:t>2.64</w:t>
            </w:r>
          </w:p>
        </w:tc>
        <w:tc>
          <w:tcPr>
            <w:tcW w:w="471" w:type="pct"/>
            <w:vAlign w:val="center"/>
          </w:tcPr>
          <w:p>
            <w:pPr>
              <w:pStyle w:val="1132"/>
            </w:pPr>
            <w:r>
              <w:t>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THC</w:t>
            </w:r>
          </w:p>
        </w:tc>
        <w:tc>
          <w:tcPr>
            <w:tcW w:w="560" w:type="pct"/>
            <w:vAlign w:val="center"/>
          </w:tcPr>
          <w:p>
            <w:pPr>
              <w:pStyle w:val="1132"/>
            </w:pPr>
            <w:r>
              <w:t>1.13</w:t>
            </w:r>
          </w:p>
        </w:tc>
        <w:tc>
          <w:tcPr>
            <w:tcW w:w="475" w:type="pct"/>
            <w:vAlign w:val="center"/>
          </w:tcPr>
          <w:p>
            <w:pPr>
              <w:pStyle w:val="1132"/>
            </w:pPr>
            <w:r>
              <w:t>0.93</w:t>
            </w:r>
          </w:p>
        </w:tc>
        <w:tc>
          <w:tcPr>
            <w:tcW w:w="475" w:type="pct"/>
            <w:vAlign w:val="center"/>
          </w:tcPr>
          <w:p>
            <w:pPr>
              <w:pStyle w:val="1132"/>
            </w:pPr>
            <w:r>
              <w:t>0.84</w:t>
            </w:r>
          </w:p>
        </w:tc>
        <w:tc>
          <w:tcPr>
            <w:tcW w:w="475" w:type="pct"/>
            <w:vAlign w:val="center"/>
          </w:tcPr>
          <w:p>
            <w:pPr>
              <w:pStyle w:val="1132"/>
            </w:pPr>
            <w:r>
              <w:t>0.73</w:t>
            </w:r>
          </w:p>
        </w:tc>
        <w:tc>
          <w:tcPr>
            <w:tcW w:w="475" w:type="pct"/>
            <w:vAlign w:val="center"/>
          </w:tcPr>
          <w:p>
            <w:pPr>
              <w:pStyle w:val="1132"/>
            </w:pPr>
            <w:r>
              <w:t>0.65</w:t>
            </w:r>
          </w:p>
        </w:tc>
        <w:tc>
          <w:tcPr>
            <w:tcW w:w="471" w:type="pct"/>
            <w:vAlign w:val="center"/>
          </w:tcPr>
          <w:p>
            <w:pPr>
              <w:pStyle w:val="1132"/>
            </w:pPr>
            <w:r>
              <w:t>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NO</w:t>
            </w:r>
            <w:r>
              <w:rPr>
                <w:vertAlign w:val="subscript"/>
              </w:rPr>
              <w:t>2</w:t>
            </w:r>
          </w:p>
        </w:tc>
        <w:tc>
          <w:tcPr>
            <w:tcW w:w="560" w:type="pct"/>
            <w:vAlign w:val="center"/>
          </w:tcPr>
          <w:p>
            <w:pPr>
              <w:pStyle w:val="1132"/>
            </w:pPr>
            <w:r>
              <w:t>0.12</w:t>
            </w:r>
          </w:p>
        </w:tc>
        <w:tc>
          <w:tcPr>
            <w:tcW w:w="475" w:type="pct"/>
            <w:vAlign w:val="center"/>
          </w:tcPr>
          <w:p>
            <w:pPr>
              <w:pStyle w:val="1132"/>
            </w:pPr>
            <w:r>
              <w:t>0.26</w:t>
            </w:r>
          </w:p>
        </w:tc>
        <w:tc>
          <w:tcPr>
            <w:tcW w:w="475" w:type="pct"/>
            <w:vAlign w:val="center"/>
          </w:tcPr>
          <w:p>
            <w:pPr>
              <w:pStyle w:val="1132"/>
            </w:pPr>
            <w:r>
              <w:t>0.33</w:t>
            </w:r>
          </w:p>
        </w:tc>
        <w:tc>
          <w:tcPr>
            <w:tcW w:w="475" w:type="pct"/>
            <w:vAlign w:val="center"/>
          </w:tcPr>
          <w:p>
            <w:pPr>
              <w:pStyle w:val="1132"/>
            </w:pPr>
            <w:r>
              <w:t>0.41</w:t>
            </w:r>
          </w:p>
        </w:tc>
        <w:tc>
          <w:tcPr>
            <w:tcW w:w="475" w:type="pct"/>
            <w:vAlign w:val="center"/>
          </w:tcPr>
          <w:p>
            <w:pPr>
              <w:pStyle w:val="1132"/>
            </w:pPr>
            <w:r>
              <w:t>0.43</w:t>
            </w:r>
          </w:p>
        </w:tc>
        <w:tc>
          <w:tcPr>
            <w:tcW w:w="471" w:type="pct"/>
            <w:vAlign w:val="center"/>
          </w:tcPr>
          <w:p>
            <w:pPr>
              <w:pStyle w:val="1132"/>
            </w:pPr>
            <w:r>
              <w:t>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restart"/>
            <w:vAlign w:val="center"/>
          </w:tcPr>
          <w:p>
            <w:pPr>
              <w:pStyle w:val="1132"/>
            </w:pPr>
            <w:r>
              <w:t>中型车</w:t>
            </w:r>
          </w:p>
        </w:tc>
        <w:tc>
          <w:tcPr>
            <w:tcW w:w="668" w:type="pct"/>
            <w:vAlign w:val="center"/>
          </w:tcPr>
          <w:p>
            <w:pPr>
              <w:pStyle w:val="1132"/>
            </w:pPr>
            <w:r>
              <w:t>CO</w:t>
            </w:r>
          </w:p>
        </w:tc>
        <w:tc>
          <w:tcPr>
            <w:tcW w:w="560" w:type="pct"/>
            <w:vAlign w:val="center"/>
          </w:tcPr>
          <w:p>
            <w:pPr>
              <w:pStyle w:val="1132"/>
            </w:pPr>
            <w:r>
              <w:t>5.79</w:t>
            </w:r>
          </w:p>
        </w:tc>
        <w:tc>
          <w:tcPr>
            <w:tcW w:w="475" w:type="pct"/>
            <w:vAlign w:val="center"/>
          </w:tcPr>
          <w:p>
            <w:pPr>
              <w:pStyle w:val="1132"/>
            </w:pPr>
            <w:r>
              <w:t>5.02</w:t>
            </w:r>
          </w:p>
        </w:tc>
        <w:tc>
          <w:tcPr>
            <w:tcW w:w="475" w:type="pct"/>
            <w:vAlign w:val="center"/>
          </w:tcPr>
          <w:p>
            <w:pPr>
              <w:pStyle w:val="1132"/>
            </w:pPr>
            <w:r>
              <w:t>4.75</w:t>
            </w:r>
          </w:p>
        </w:tc>
        <w:tc>
          <w:tcPr>
            <w:tcW w:w="475" w:type="pct"/>
            <w:vAlign w:val="center"/>
          </w:tcPr>
          <w:p>
            <w:pPr>
              <w:pStyle w:val="1132"/>
            </w:pPr>
            <w:r>
              <w:t>4.88</w:t>
            </w:r>
          </w:p>
        </w:tc>
        <w:tc>
          <w:tcPr>
            <w:tcW w:w="475" w:type="pct"/>
            <w:vAlign w:val="center"/>
          </w:tcPr>
          <w:p>
            <w:pPr>
              <w:pStyle w:val="1132"/>
            </w:pPr>
            <w:r>
              <w:t>5.47</w:t>
            </w:r>
          </w:p>
        </w:tc>
        <w:tc>
          <w:tcPr>
            <w:tcW w:w="471" w:type="pct"/>
            <w:vAlign w:val="center"/>
          </w:tcPr>
          <w:p>
            <w:pPr>
              <w:pStyle w:val="1132"/>
            </w:pPr>
            <w:r>
              <w:t>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THC</w:t>
            </w:r>
          </w:p>
        </w:tc>
        <w:tc>
          <w:tcPr>
            <w:tcW w:w="560" w:type="pct"/>
            <w:vAlign w:val="center"/>
          </w:tcPr>
          <w:p>
            <w:pPr>
              <w:pStyle w:val="1132"/>
            </w:pPr>
            <w:r>
              <w:t>1.92</w:t>
            </w:r>
          </w:p>
        </w:tc>
        <w:tc>
          <w:tcPr>
            <w:tcW w:w="475" w:type="pct"/>
            <w:vAlign w:val="center"/>
          </w:tcPr>
          <w:p>
            <w:pPr>
              <w:pStyle w:val="1132"/>
            </w:pPr>
            <w:r>
              <w:t>1.57</w:t>
            </w:r>
          </w:p>
        </w:tc>
        <w:tc>
          <w:tcPr>
            <w:tcW w:w="475" w:type="pct"/>
            <w:vAlign w:val="center"/>
          </w:tcPr>
          <w:p>
            <w:pPr>
              <w:pStyle w:val="1132"/>
            </w:pPr>
            <w:r>
              <w:t>1.39</w:t>
            </w:r>
          </w:p>
        </w:tc>
        <w:tc>
          <w:tcPr>
            <w:tcW w:w="475" w:type="pct"/>
            <w:vAlign w:val="center"/>
          </w:tcPr>
          <w:p>
            <w:pPr>
              <w:pStyle w:val="1132"/>
            </w:pPr>
            <w:r>
              <w:t>1.27</w:t>
            </w:r>
          </w:p>
        </w:tc>
        <w:tc>
          <w:tcPr>
            <w:tcW w:w="475" w:type="pct"/>
            <w:vAlign w:val="center"/>
          </w:tcPr>
          <w:p>
            <w:pPr>
              <w:pStyle w:val="1132"/>
            </w:pPr>
            <w:r>
              <w:t>1.19</w:t>
            </w:r>
          </w:p>
        </w:tc>
        <w:tc>
          <w:tcPr>
            <w:tcW w:w="471" w:type="pct"/>
            <w:vAlign w:val="center"/>
          </w:tcPr>
          <w:p>
            <w:pPr>
              <w:pStyle w:val="1132"/>
            </w:pPr>
            <w: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NO</w:t>
            </w:r>
            <w:r>
              <w:rPr>
                <w:vertAlign w:val="subscript"/>
              </w:rPr>
              <w:t>2</w:t>
            </w:r>
          </w:p>
        </w:tc>
        <w:tc>
          <w:tcPr>
            <w:tcW w:w="560" w:type="pct"/>
            <w:vAlign w:val="center"/>
          </w:tcPr>
          <w:p>
            <w:pPr>
              <w:pStyle w:val="1132"/>
            </w:pPr>
            <w:r>
              <w:t>0.55</w:t>
            </w:r>
          </w:p>
        </w:tc>
        <w:tc>
          <w:tcPr>
            <w:tcW w:w="475" w:type="pct"/>
            <w:vAlign w:val="center"/>
          </w:tcPr>
          <w:p>
            <w:pPr>
              <w:pStyle w:val="1132"/>
            </w:pPr>
            <w:r>
              <w:t>0.64</w:t>
            </w:r>
          </w:p>
        </w:tc>
        <w:tc>
          <w:tcPr>
            <w:tcW w:w="475" w:type="pct"/>
            <w:vAlign w:val="center"/>
          </w:tcPr>
          <w:p>
            <w:pPr>
              <w:pStyle w:val="1132"/>
            </w:pPr>
            <w:r>
              <w:t>0.73</w:t>
            </w:r>
          </w:p>
        </w:tc>
        <w:tc>
          <w:tcPr>
            <w:tcW w:w="475" w:type="pct"/>
            <w:vAlign w:val="center"/>
          </w:tcPr>
          <w:p>
            <w:pPr>
              <w:pStyle w:val="1132"/>
            </w:pPr>
            <w:r>
              <w:t>0.84</w:t>
            </w:r>
          </w:p>
        </w:tc>
        <w:tc>
          <w:tcPr>
            <w:tcW w:w="475" w:type="pct"/>
            <w:vAlign w:val="center"/>
          </w:tcPr>
          <w:p>
            <w:pPr>
              <w:pStyle w:val="1132"/>
            </w:pPr>
            <w:r>
              <w:t>0.89</w:t>
            </w:r>
          </w:p>
        </w:tc>
        <w:tc>
          <w:tcPr>
            <w:tcW w:w="471" w:type="pct"/>
            <w:vAlign w:val="center"/>
          </w:tcPr>
          <w:p>
            <w:pPr>
              <w:pStyle w:val="1132"/>
            </w:pPr>
            <w:r>
              <w:t>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restart"/>
            <w:vAlign w:val="center"/>
          </w:tcPr>
          <w:p>
            <w:pPr>
              <w:pStyle w:val="1132"/>
            </w:pPr>
            <w:r>
              <w:t>大型车</w:t>
            </w:r>
          </w:p>
        </w:tc>
        <w:tc>
          <w:tcPr>
            <w:tcW w:w="668" w:type="pct"/>
            <w:vAlign w:val="center"/>
          </w:tcPr>
          <w:p>
            <w:pPr>
              <w:pStyle w:val="1132"/>
            </w:pPr>
            <w:r>
              <w:t>CO</w:t>
            </w:r>
          </w:p>
        </w:tc>
        <w:tc>
          <w:tcPr>
            <w:tcW w:w="560" w:type="pct"/>
            <w:vAlign w:val="center"/>
          </w:tcPr>
          <w:p>
            <w:pPr>
              <w:pStyle w:val="1132"/>
            </w:pPr>
            <w:r>
              <w:t>1.03</w:t>
            </w:r>
          </w:p>
        </w:tc>
        <w:tc>
          <w:tcPr>
            <w:tcW w:w="475" w:type="pct"/>
            <w:vAlign w:val="center"/>
          </w:tcPr>
          <w:p>
            <w:pPr>
              <w:pStyle w:val="1132"/>
            </w:pPr>
            <w:r>
              <w:t>0.88</w:t>
            </w:r>
          </w:p>
        </w:tc>
        <w:tc>
          <w:tcPr>
            <w:tcW w:w="475" w:type="pct"/>
            <w:vAlign w:val="center"/>
          </w:tcPr>
          <w:p>
            <w:pPr>
              <w:pStyle w:val="1132"/>
            </w:pPr>
            <w:r>
              <w:t>0.80</w:t>
            </w:r>
          </w:p>
        </w:tc>
        <w:tc>
          <w:tcPr>
            <w:tcW w:w="475" w:type="pct"/>
            <w:vAlign w:val="center"/>
          </w:tcPr>
          <w:p>
            <w:pPr>
              <w:pStyle w:val="1132"/>
            </w:pPr>
            <w:r>
              <w:t>0.79</w:t>
            </w:r>
          </w:p>
        </w:tc>
        <w:tc>
          <w:tcPr>
            <w:tcW w:w="475" w:type="pct"/>
            <w:vAlign w:val="center"/>
          </w:tcPr>
          <w:p>
            <w:pPr>
              <w:pStyle w:val="1132"/>
            </w:pPr>
            <w:r>
              <w:t>0.83</w:t>
            </w:r>
          </w:p>
        </w:tc>
        <w:tc>
          <w:tcPr>
            <w:tcW w:w="471" w:type="pct"/>
            <w:vAlign w:val="center"/>
          </w:tcPr>
          <w:p>
            <w:pPr>
              <w:pStyle w:val="1132"/>
            </w:pPr>
            <w:r>
              <w:t>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THC</w:t>
            </w:r>
          </w:p>
        </w:tc>
        <w:tc>
          <w:tcPr>
            <w:tcW w:w="560" w:type="pct"/>
            <w:vAlign w:val="center"/>
          </w:tcPr>
          <w:p>
            <w:pPr>
              <w:pStyle w:val="1132"/>
            </w:pPr>
            <w:r>
              <w:t>0.26</w:t>
            </w:r>
          </w:p>
        </w:tc>
        <w:tc>
          <w:tcPr>
            <w:tcW w:w="475" w:type="pct"/>
            <w:vAlign w:val="center"/>
          </w:tcPr>
          <w:p>
            <w:pPr>
              <w:pStyle w:val="1132"/>
            </w:pPr>
            <w:r>
              <w:t>0.22</w:t>
            </w:r>
          </w:p>
        </w:tc>
        <w:tc>
          <w:tcPr>
            <w:tcW w:w="475" w:type="pct"/>
            <w:vAlign w:val="center"/>
          </w:tcPr>
          <w:p>
            <w:pPr>
              <w:pStyle w:val="1132"/>
            </w:pPr>
            <w:r>
              <w:t>0.19</w:t>
            </w:r>
          </w:p>
        </w:tc>
        <w:tc>
          <w:tcPr>
            <w:tcW w:w="475" w:type="pct"/>
            <w:vAlign w:val="center"/>
          </w:tcPr>
          <w:p>
            <w:pPr>
              <w:pStyle w:val="1132"/>
            </w:pPr>
            <w:r>
              <w:t>0.18</w:t>
            </w:r>
          </w:p>
        </w:tc>
        <w:tc>
          <w:tcPr>
            <w:tcW w:w="475" w:type="pct"/>
            <w:vAlign w:val="center"/>
          </w:tcPr>
          <w:p>
            <w:pPr>
              <w:pStyle w:val="1132"/>
            </w:pPr>
            <w:r>
              <w:t>0.17</w:t>
            </w:r>
          </w:p>
        </w:tc>
        <w:tc>
          <w:tcPr>
            <w:tcW w:w="471" w:type="pct"/>
            <w:vAlign w:val="center"/>
          </w:tcPr>
          <w:p>
            <w:pPr>
              <w:pStyle w:val="1132"/>
            </w:pPr>
            <w: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NO</w:t>
            </w:r>
            <w:r>
              <w:rPr>
                <w:vertAlign w:val="subscript"/>
              </w:rPr>
              <w:t>2</w:t>
            </w:r>
          </w:p>
        </w:tc>
        <w:tc>
          <w:tcPr>
            <w:tcW w:w="560" w:type="pct"/>
            <w:vAlign w:val="center"/>
          </w:tcPr>
          <w:p>
            <w:pPr>
              <w:pStyle w:val="1132"/>
            </w:pPr>
            <w:r>
              <w:t>1.02</w:t>
            </w:r>
          </w:p>
        </w:tc>
        <w:tc>
          <w:tcPr>
            <w:tcW w:w="475" w:type="pct"/>
            <w:vAlign w:val="center"/>
          </w:tcPr>
          <w:p>
            <w:pPr>
              <w:pStyle w:val="1132"/>
            </w:pPr>
            <w:r>
              <w:t>1.03</w:t>
            </w:r>
          </w:p>
        </w:tc>
        <w:tc>
          <w:tcPr>
            <w:tcW w:w="475" w:type="pct"/>
            <w:vAlign w:val="center"/>
          </w:tcPr>
          <w:p>
            <w:pPr>
              <w:pStyle w:val="1132"/>
            </w:pPr>
            <w:r>
              <w:t>1.09</w:t>
            </w:r>
          </w:p>
        </w:tc>
        <w:tc>
          <w:tcPr>
            <w:tcW w:w="475" w:type="pct"/>
            <w:vAlign w:val="center"/>
          </w:tcPr>
          <w:p>
            <w:pPr>
              <w:pStyle w:val="1132"/>
            </w:pPr>
            <w:r>
              <w:t>1.44</w:t>
            </w:r>
          </w:p>
        </w:tc>
        <w:tc>
          <w:tcPr>
            <w:tcW w:w="475" w:type="pct"/>
            <w:vAlign w:val="center"/>
          </w:tcPr>
          <w:p>
            <w:pPr>
              <w:pStyle w:val="1132"/>
            </w:pPr>
            <w:r>
              <w:t>1.53</w:t>
            </w:r>
          </w:p>
        </w:tc>
        <w:tc>
          <w:tcPr>
            <w:tcW w:w="471" w:type="pct"/>
            <w:vAlign w:val="center"/>
          </w:tcPr>
          <w:p>
            <w:pPr>
              <w:pStyle w:val="1132"/>
            </w:pPr>
            <w: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restart"/>
            <w:vAlign w:val="center"/>
          </w:tcPr>
          <w:p>
            <w:pPr>
              <w:pStyle w:val="1132"/>
            </w:pPr>
            <w:r>
              <w:t>2038</w:t>
            </w:r>
          </w:p>
        </w:tc>
        <w:tc>
          <w:tcPr>
            <w:tcW w:w="883" w:type="pct"/>
            <w:vMerge w:val="restart"/>
            <w:vAlign w:val="center"/>
          </w:tcPr>
          <w:p>
            <w:pPr>
              <w:pStyle w:val="1132"/>
            </w:pPr>
            <w:r>
              <w:t>小型车</w:t>
            </w:r>
          </w:p>
        </w:tc>
        <w:tc>
          <w:tcPr>
            <w:tcW w:w="668" w:type="pct"/>
            <w:vAlign w:val="center"/>
          </w:tcPr>
          <w:p>
            <w:pPr>
              <w:pStyle w:val="1132"/>
            </w:pPr>
            <w:r>
              <w:t>CO</w:t>
            </w:r>
          </w:p>
        </w:tc>
        <w:tc>
          <w:tcPr>
            <w:tcW w:w="560" w:type="pct"/>
            <w:vAlign w:val="center"/>
          </w:tcPr>
          <w:p>
            <w:pPr>
              <w:pStyle w:val="1132"/>
            </w:pPr>
            <w:r>
              <w:t>6.68</w:t>
            </w:r>
          </w:p>
        </w:tc>
        <w:tc>
          <w:tcPr>
            <w:tcW w:w="475" w:type="pct"/>
            <w:vAlign w:val="center"/>
          </w:tcPr>
          <w:p>
            <w:pPr>
              <w:pStyle w:val="1132"/>
            </w:pPr>
            <w:r>
              <w:t>5.05</w:t>
            </w:r>
          </w:p>
        </w:tc>
        <w:tc>
          <w:tcPr>
            <w:tcW w:w="475" w:type="pct"/>
            <w:vAlign w:val="center"/>
          </w:tcPr>
          <w:p>
            <w:pPr>
              <w:pStyle w:val="1132"/>
            </w:pPr>
            <w:r>
              <w:t>3.82</w:t>
            </w:r>
          </w:p>
        </w:tc>
        <w:tc>
          <w:tcPr>
            <w:tcW w:w="475" w:type="pct"/>
            <w:vAlign w:val="center"/>
          </w:tcPr>
          <w:p>
            <w:pPr>
              <w:pStyle w:val="1132"/>
            </w:pPr>
            <w:r>
              <w:t>3.15</w:t>
            </w:r>
          </w:p>
        </w:tc>
        <w:tc>
          <w:tcPr>
            <w:tcW w:w="475" w:type="pct"/>
            <w:vAlign w:val="center"/>
          </w:tcPr>
          <w:p>
            <w:pPr>
              <w:pStyle w:val="1132"/>
            </w:pPr>
            <w:r>
              <w:t>2.18</w:t>
            </w:r>
          </w:p>
        </w:tc>
        <w:tc>
          <w:tcPr>
            <w:tcW w:w="471" w:type="pct"/>
            <w:vAlign w:val="center"/>
          </w:tcPr>
          <w:p>
            <w:pPr>
              <w:pStyle w:val="1132"/>
            </w:pPr>
            <w: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THC</w:t>
            </w:r>
          </w:p>
        </w:tc>
        <w:tc>
          <w:tcPr>
            <w:tcW w:w="560" w:type="pct"/>
            <w:vAlign w:val="center"/>
          </w:tcPr>
          <w:p>
            <w:pPr>
              <w:pStyle w:val="1132"/>
            </w:pPr>
            <w:r>
              <w:t>0.93</w:t>
            </w:r>
          </w:p>
        </w:tc>
        <w:tc>
          <w:tcPr>
            <w:tcW w:w="475" w:type="pct"/>
            <w:vAlign w:val="center"/>
          </w:tcPr>
          <w:p>
            <w:pPr>
              <w:pStyle w:val="1132"/>
            </w:pPr>
            <w:r>
              <w:t>0.75</w:t>
            </w:r>
          </w:p>
        </w:tc>
        <w:tc>
          <w:tcPr>
            <w:tcW w:w="475" w:type="pct"/>
            <w:vAlign w:val="center"/>
          </w:tcPr>
          <w:p>
            <w:pPr>
              <w:pStyle w:val="1132"/>
            </w:pPr>
            <w:r>
              <w:t>0.68</w:t>
            </w:r>
          </w:p>
        </w:tc>
        <w:tc>
          <w:tcPr>
            <w:tcW w:w="475" w:type="pct"/>
            <w:vAlign w:val="center"/>
          </w:tcPr>
          <w:p>
            <w:pPr>
              <w:pStyle w:val="1132"/>
            </w:pPr>
            <w:r>
              <w:t>0.60</w:t>
            </w:r>
          </w:p>
        </w:tc>
        <w:tc>
          <w:tcPr>
            <w:tcW w:w="475" w:type="pct"/>
            <w:vAlign w:val="center"/>
          </w:tcPr>
          <w:p>
            <w:pPr>
              <w:pStyle w:val="1132"/>
            </w:pPr>
            <w:r>
              <w:t>0.52</w:t>
            </w:r>
          </w:p>
        </w:tc>
        <w:tc>
          <w:tcPr>
            <w:tcW w:w="471" w:type="pct"/>
            <w:vAlign w:val="center"/>
          </w:tcPr>
          <w:p>
            <w:pPr>
              <w:pStyle w:val="1132"/>
            </w:pPr>
            <w:r>
              <w:t>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NO</w:t>
            </w:r>
            <w:r>
              <w:rPr>
                <w:vertAlign w:val="subscript"/>
              </w:rPr>
              <w:t>2</w:t>
            </w:r>
          </w:p>
        </w:tc>
        <w:tc>
          <w:tcPr>
            <w:tcW w:w="560" w:type="pct"/>
            <w:vAlign w:val="center"/>
          </w:tcPr>
          <w:p>
            <w:pPr>
              <w:pStyle w:val="1132"/>
            </w:pPr>
            <w:r>
              <w:t>0.16</w:t>
            </w:r>
          </w:p>
        </w:tc>
        <w:tc>
          <w:tcPr>
            <w:tcW w:w="475" w:type="pct"/>
            <w:vAlign w:val="center"/>
          </w:tcPr>
          <w:p>
            <w:pPr>
              <w:pStyle w:val="1132"/>
            </w:pPr>
            <w:r>
              <w:t>0.21</w:t>
            </w:r>
          </w:p>
        </w:tc>
        <w:tc>
          <w:tcPr>
            <w:tcW w:w="475" w:type="pct"/>
            <w:vAlign w:val="center"/>
          </w:tcPr>
          <w:p>
            <w:pPr>
              <w:pStyle w:val="1132"/>
            </w:pPr>
            <w:r>
              <w:t>0.27</w:t>
            </w:r>
          </w:p>
        </w:tc>
        <w:tc>
          <w:tcPr>
            <w:tcW w:w="475" w:type="pct"/>
            <w:vAlign w:val="center"/>
          </w:tcPr>
          <w:p>
            <w:pPr>
              <w:pStyle w:val="1132"/>
            </w:pPr>
            <w:r>
              <w:t>0.33</w:t>
            </w:r>
          </w:p>
        </w:tc>
        <w:tc>
          <w:tcPr>
            <w:tcW w:w="475" w:type="pct"/>
            <w:vAlign w:val="center"/>
          </w:tcPr>
          <w:p>
            <w:pPr>
              <w:pStyle w:val="1132"/>
            </w:pPr>
            <w:r>
              <w:t>0.35</w:t>
            </w:r>
          </w:p>
        </w:tc>
        <w:tc>
          <w:tcPr>
            <w:tcW w:w="471" w:type="pct"/>
            <w:vAlign w:val="center"/>
          </w:tcPr>
          <w:p>
            <w:pPr>
              <w:pStyle w:val="1132"/>
            </w:pPr>
            <w: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restart"/>
            <w:vAlign w:val="center"/>
          </w:tcPr>
          <w:p>
            <w:pPr>
              <w:pStyle w:val="1132"/>
            </w:pPr>
            <w:r>
              <w:t>中型车</w:t>
            </w:r>
          </w:p>
        </w:tc>
        <w:tc>
          <w:tcPr>
            <w:tcW w:w="668" w:type="pct"/>
            <w:vAlign w:val="center"/>
          </w:tcPr>
          <w:p>
            <w:pPr>
              <w:pStyle w:val="1132"/>
            </w:pPr>
            <w:r>
              <w:t>CO</w:t>
            </w:r>
          </w:p>
        </w:tc>
        <w:tc>
          <w:tcPr>
            <w:tcW w:w="560" w:type="pct"/>
            <w:vAlign w:val="center"/>
          </w:tcPr>
          <w:p>
            <w:pPr>
              <w:pStyle w:val="1132"/>
            </w:pPr>
            <w:r>
              <w:t>4.26</w:t>
            </w:r>
          </w:p>
        </w:tc>
        <w:tc>
          <w:tcPr>
            <w:tcW w:w="475" w:type="pct"/>
            <w:vAlign w:val="center"/>
          </w:tcPr>
          <w:p>
            <w:pPr>
              <w:pStyle w:val="1132"/>
            </w:pPr>
            <w:r>
              <w:t>3.70</w:t>
            </w:r>
          </w:p>
        </w:tc>
        <w:tc>
          <w:tcPr>
            <w:tcW w:w="475" w:type="pct"/>
            <w:vAlign w:val="center"/>
          </w:tcPr>
          <w:p>
            <w:pPr>
              <w:pStyle w:val="1132"/>
            </w:pPr>
            <w:r>
              <w:t>3.50</w:t>
            </w:r>
          </w:p>
        </w:tc>
        <w:tc>
          <w:tcPr>
            <w:tcW w:w="475" w:type="pct"/>
            <w:vAlign w:val="center"/>
          </w:tcPr>
          <w:p>
            <w:pPr>
              <w:pStyle w:val="1132"/>
            </w:pPr>
            <w:r>
              <w:t>3.60</w:t>
            </w:r>
          </w:p>
        </w:tc>
        <w:tc>
          <w:tcPr>
            <w:tcW w:w="475" w:type="pct"/>
            <w:vAlign w:val="center"/>
          </w:tcPr>
          <w:p>
            <w:pPr>
              <w:pStyle w:val="1132"/>
            </w:pPr>
            <w:r>
              <w:t>4.03</w:t>
            </w:r>
          </w:p>
        </w:tc>
        <w:tc>
          <w:tcPr>
            <w:tcW w:w="471" w:type="pct"/>
            <w:vAlign w:val="center"/>
          </w:tcPr>
          <w:p>
            <w:pPr>
              <w:pStyle w:val="1132"/>
            </w:pPr>
            <w:r>
              <w:t>4.91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THC</w:t>
            </w:r>
          </w:p>
        </w:tc>
        <w:tc>
          <w:tcPr>
            <w:tcW w:w="560" w:type="pct"/>
            <w:vAlign w:val="center"/>
          </w:tcPr>
          <w:p>
            <w:pPr>
              <w:pStyle w:val="1132"/>
            </w:pPr>
            <w:r>
              <w:t>1.61</w:t>
            </w:r>
          </w:p>
        </w:tc>
        <w:tc>
          <w:tcPr>
            <w:tcW w:w="475" w:type="pct"/>
            <w:vAlign w:val="center"/>
          </w:tcPr>
          <w:p>
            <w:pPr>
              <w:pStyle w:val="1132"/>
            </w:pPr>
            <w:r>
              <w:t>1.31</w:t>
            </w:r>
          </w:p>
        </w:tc>
        <w:tc>
          <w:tcPr>
            <w:tcW w:w="475" w:type="pct"/>
            <w:vAlign w:val="center"/>
          </w:tcPr>
          <w:p>
            <w:pPr>
              <w:pStyle w:val="1132"/>
            </w:pPr>
            <w:r>
              <w:t>1.16</w:t>
            </w:r>
          </w:p>
        </w:tc>
        <w:tc>
          <w:tcPr>
            <w:tcW w:w="475" w:type="pct"/>
            <w:vAlign w:val="center"/>
          </w:tcPr>
          <w:p>
            <w:pPr>
              <w:pStyle w:val="1132"/>
            </w:pPr>
            <w:r>
              <w:t>1.07</w:t>
            </w:r>
          </w:p>
        </w:tc>
        <w:tc>
          <w:tcPr>
            <w:tcW w:w="475" w:type="pct"/>
            <w:vAlign w:val="center"/>
          </w:tcPr>
          <w:p>
            <w:pPr>
              <w:pStyle w:val="1132"/>
            </w:pPr>
            <w:r>
              <w:t>1.00</w:t>
            </w:r>
          </w:p>
        </w:tc>
        <w:tc>
          <w:tcPr>
            <w:tcW w:w="471" w:type="pct"/>
            <w:vAlign w:val="center"/>
          </w:tcPr>
          <w:p>
            <w:pPr>
              <w:pStyle w:val="1132"/>
            </w:pPr>
            <w:r>
              <w:t>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NO</w:t>
            </w:r>
            <w:r>
              <w:rPr>
                <w:vertAlign w:val="subscript"/>
              </w:rPr>
              <w:t>2</w:t>
            </w:r>
          </w:p>
        </w:tc>
        <w:tc>
          <w:tcPr>
            <w:tcW w:w="560" w:type="pct"/>
            <w:vAlign w:val="center"/>
          </w:tcPr>
          <w:p>
            <w:pPr>
              <w:pStyle w:val="1132"/>
            </w:pPr>
            <w:r>
              <w:t>0.46</w:t>
            </w:r>
          </w:p>
        </w:tc>
        <w:tc>
          <w:tcPr>
            <w:tcW w:w="475" w:type="pct"/>
            <w:vAlign w:val="center"/>
          </w:tcPr>
          <w:p>
            <w:pPr>
              <w:pStyle w:val="1132"/>
            </w:pPr>
            <w:r>
              <w:t>0.53</w:t>
            </w:r>
          </w:p>
        </w:tc>
        <w:tc>
          <w:tcPr>
            <w:tcW w:w="475" w:type="pct"/>
            <w:vAlign w:val="center"/>
          </w:tcPr>
          <w:p>
            <w:pPr>
              <w:pStyle w:val="1132"/>
            </w:pPr>
            <w:r>
              <w:t>0.61</w:t>
            </w:r>
          </w:p>
        </w:tc>
        <w:tc>
          <w:tcPr>
            <w:tcW w:w="475" w:type="pct"/>
            <w:vAlign w:val="center"/>
          </w:tcPr>
          <w:p>
            <w:pPr>
              <w:pStyle w:val="1132"/>
            </w:pPr>
            <w:r>
              <w:t>0.70</w:t>
            </w:r>
          </w:p>
        </w:tc>
        <w:tc>
          <w:tcPr>
            <w:tcW w:w="475" w:type="pct"/>
            <w:vAlign w:val="center"/>
          </w:tcPr>
          <w:p>
            <w:pPr>
              <w:pStyle w:val="1132"/>
            </w:pPr>
            <w:r>
              <w:t>0.74</w:t>
            </w:r>
          </w:p>
        </w:tc>
        <w:tc>
          <w:tcPr>
            <w:tcW w:w="471" w:type="pct"/>
            <w:vAlign w:val="center"/>
          </w:tcPr>
          <w:p>
            <w:pPr>
              <w:pStyle w:val="1132"/>
            </w:pPr>
            <w: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restart"/>
            <w:vAlign w:val="center"/>
          </w:tcPr>
          <w:p>
            <w:pPr>
              <w:pStyle w:val="1132"/>
            </w:pPr>
            <w:r>
              <w:t>大型车</w:t>
            </w:r>
          </w:p>
        </w:tc>
        <w:tc>
          <w:tcPr>
            <w:tcW w:w="668" w:type="pct"/>
            <w:vAlign w:val="center"/>
          </w:tcPr>
          <w:p>
            <w:pPr>
              <w:pStyle w:val="1132"/>
            </w:pPr>
            <w:r>
              <w:t>CO</w:t>
            </w:r>
          </w:p>
        </w:tc>
        <w:tc>
          <w:tcPr>
            <w:tcW w:w="560" w:type="pct"/>
            <w:vAlign w:val="center"/>
          </w:tcPr>
          <w:p>
            <w:pPr>
              <w:pStyle w:val="1132"/>
            </w:pPr>
            <w:r>
              <w:t>0.74</w:t>
            </w:r>
          </w:p>
        </w:tc>
        <w:tc>
          <w:tcPr>
            <w:tcW w:w="475" w:type="pct"/>
            <w:vAlign w:val="center"/>
          </w:tcPr>
          <w:p>
            <w:pPr>
              <w:pStyle w:val="1132"/>
            </w:pPr>
            <w:r>
              <w:t>0.63</w:t>
            </w:r>
          </w:p>
        </w:tc>
        <w:tc>
          <w:tcPr>
            <w:tcW w:w="475" w:type="pct"/>
            <w:vAlign w:val="center"/>
          </w:tcPr>
          <w:p>
            <w:pPr>
              <w:pStyle w:val="1132"/>
            </w:pPr>
            <w:r>
              <w:t>0.58</w:t>
            </w:r>
          </w:p>
        </w:tc>
        <w:tc>
          <w:tcPr>
            <w:tcW w:w="475" w:type="pct"/>
            <w:vAlign w:val="center"/>
          </w:tcPr>
          <w:p>
            <w:pPr>
              <w:pStyle w:val="1132"/>
            </w:pPr>
            <w:r>
              <w:t>0.56</w:t>
            </w:r>
          </w:p>
        </w:tc>
        <w:tc>
          <w:tcPr>
            <w:tcW w:w="475" w:type="pct"/>
            <w:vAlign w:val="center"/>
          </w:tcPr>
          <w:p>
            <w:pPr>
              <w:pStyle w:val="1132"/>
            </w:pPr>
            <w:r>
              <w:t>0.60</w:t>
            </w:r>
          </w:p>
        </w:tc>
        <w:tc>
          <w:tcPr>
            <w:tcW w:w="471" w:type="pct"/>
            <w:vAlign w:val="center"/>
          </w:tcPr>
          <w:p>
            <w:pPr>
              <w:pStyle w:val="1132"/>
            </w:pPr>
            <w: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THC</w:t>
            </w:r>
          </w:p>
        </w:tc>
        <w:tc>
          <w:tcPr>
            <w:tcW w:w="560" w:type="pct"/>
            <w:vAlign w:val="center"/>
          </w:tcPr>
          <w:p>
            <w:pPr>
              <w:pStyle w:val="1132"/>
            </w:pPr>
            <w:r>
              <w:t>0.21</w:t>
            </w:r>
          </w:p>
        </w:tc>
        <w:tc>
          <w:tcPr>
            <w:tcW w:w="475" w:type="pct"/>
            <w:vAlign w:val="center"/>
          </w:tcPr>
          <w:p>
            <w:pPr>
              <w:pStyle w:val="1132"/>
            </w:pPr>
            <w:r>
              <w:t>0.18</w:t>
            </w:r>
          </w:p>
        </w:tc>
        <w:tc>
          <w:tcPr>
            <w:tcW w:w="475" w:type="pct"/>
            <w:vAlign w:val="center"/>
          </w:tcPr>
          <w:p>
            <w:pPr>
              <w:pStyle w:val="1132"/>
            </w:pPr>
            <w:r>
              <w:t>0.16</w:t>
            </w:r>
          </w:p>
        </w:tc>
        <w:tc>
          <w:tcPr>
            <w:tcW w:w="475" w:type="pct"/>
            <w:vAlign w:val="center"/>
          </w:tcPr>
          <w:p>
            <w:pPr>
              <w:pStyle w:val="1132"/>
            </w:pPr>
            <w:r>
              <w:t>0.15</w:t>
            </w:r>
          </w:p>
        </w:tc>
        <w:tc>
          <w:tcPr>
            <w:tcW w:w="475" w:type="pct"/>
            <w:vAlign w:val="center"/>
          </w:tcPr>
          <w:p>
            <w:pPr>
              <w:pStyle w:val="1132"/>
            </w:pPr>
            <w:r>
              <w:t>0.14</w:t>
            </w:r>
          </w:p>
        </w:tc>
        <w:tc>
          <w:tcPr>
            <w:tcW w:w="471" w:type="pct"/>
            <w:vAlign w:val="center"/>
          </w:tcPr>
          <w:p>
            <w:pPr>
              <w:pStyle w:val="1132"/>
            </w:pPr>
            <w: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19" w:type="pct"/>
            <w:vMerge w:val="continue"/>
            <w:vAlign w:val="center"/>
          </w:tcPr>
          <w:p>
            <w:pPr>
              <w:pStyle w:val="1132"/>
            </w:pPr>
          </w:p>
        </w:tc>
        <w:tc>
          <w:tcPr>
            <w:tcW w:w="883" w:type="pct"/>
            <w:vMerge w:val="continue"/>
            <w:vAlign w:val="center"/>
          </w:tcPr>
          <w:p>
            <w:pPr>
              <w:pStyle w:val="1132"/>
            </w:pPr>
          </w:p>
        </w:tc>
        <w:tc>
          <w:tcPr>
            <w:tcW w:w="668" w:type="pct"/>
            <w:vAlign w:val="center"/>
          </w:tcPr>
          <w:p>
            <w:pPr>
              <w:pStyle w:val="1132"/>
            </w:pPr>
            <w:r>
              <w:t>NO</w:t>
            </w:r>
            <w:r>
              <w:rPr>
                <w:vertAlign w:val="subscript"/>
              </w:rPr>
              <w:t>2</w:t>
            </w:r>
          </w:p>
        </w:tc>
        <w:tc>
          <w:tcPr>
            <w:tcW w:w="560" w:type="pct"/>
            <w:vAlign w:val="center"/>
          </w:tcPr>
          <w:p>
            <w:pPr>
              <w:pStyle w:val="1132"/>
            </w:pPr>
            <w:r>
              <w:t>0.86</w:t>
            </w:r>
          </w:p>
        </w:tc>
        <w:tc>
          <w:tcPr>
            <w:tcW w:w="475" w:type="pct"/>
            <w:vAlign w:val="center"/>
          </w:tcPr>
          <w:p>
            <w:pPr>
              <w:pStyle w:val="1132"/>
            </w:pPr>
            <w:r>
              <w:t>0.86</w:t>
            </w:r>
          </w:p>
        </w:tc>
        <w:tc>
          <w:tcPr>
            <w:tcW w:w="475" w:type="pct"/>
            <w:vAlign w:val="center"/>
          </w:tcPr>
          <w:p>
            <w:pPr>
              <w:pStyle w:val="1132"/>
            </w:pPr>
            <w:r>
              <w:t>0.91</w:t>
            </w:r>
          </w:p>
        </w:tc>
        <w:tc>
          <w:tcPr>
            <w:tcW w:w="475" w:type="pct"/>
            <w:vAlign w:val="center"/>
          </w:tcPr>
          <w:p>
            <w:pPr>
              <w:pStyle w:val="1132"/>
            </w:pPr>
            <w:r>
              <w:t>1.21</w:t>
            </w:r>
          </w:p>
        </w:tc>
        <w:tc>
          <w:tcPr>
            <w:tcW w:w="475" w:type="pct"/>
            <w:vAlign w:val="center"/>
          </w:tcPr>
          <w:p>
            <w:pPr>
              <w:pStyle w:val="1132"/>
            </w:pPr>
            <w:r>
              <w:t>1.29</w:t>
            </w:r>
          </w:p>
        </w:tc>
        <w:tc>
          <w:tcPr>
            <w:tcW w:w="471" w:type="pct"/>
            <w:vAlign w:val="center"/>
          </w:tcPr>
          <w:p>
            <w:pPr>
              <w:pStyle w:val="1132"/>
            </w:pPr>
            <w:r>
              <w:t>1.51</w:t>
            </w:r>
          </w:p>
        </w:tc>
      </w:tr>
    </w:tbl>
    <w:p>
      <w:pPr>
        <w:pStyle w:val="10"/>
        <w:ind w:firstLine="480"/>
      </w:pPr>
      <w:r>
        <w:rPr>
          <w:rFonts w:hint="eastAsia" w:ascii="宋体" w:hAnsi="宋体" w:cs="宋体"/>
        </w:rPr>
        <w:t>（2）</w:t>
      </w:r>
      <w:r>
        <w:t>污染物源强估算</w:t>
      </w:r>
    </w:p>
    <w:p>
      <w:pPr>
        <w:pStyle w:val="10"/>
        <w:ind w:firstLine="480"/>
      </w:pPr>
      <w:r>
        <w:pict>
          <v:shape id="Object 653" o:spid="_x0000_s2782" o:spt="75" type="#_x0000_t75" style="position:absolute;left:0pt;margin-left:148.75pt;margin-top:76.1pt;height:34pt;width:105pt;mso-wrap-distance-bottom:0pt;mso-wrap-distance-top:0pt;z-index:251659264;mso-width-relative:page;mso-height-relative:page;" o:ole="t" filled="f" o:preferrelative="t" stroked="f" coordsize="21600,21600">
            <v:path/>
            <v:fill on="f" focussize="0,0"/>
            <v:stroke on="f" joinstyle="miter"/>
            <v:imagedata r:id="rId66" o:title=""/>
            <o:lock v:ext="edit" aspectratio="t"/>
            <w10:wrap type="topAndBottom"/>
          </v:shape>
          <o:OLEObject Type="Embed" ProgID="Equation.3" ShapeID="Object 653" DrawAspect="Content" ObjectID="_1468075726" r:id="rId65">
            <o:LockedField>false</o:LockedField>
          </o:OLEObject>
        </w:pict>
      </w:r>
      <w:r>
        <w:t>道路上行驶汽车排放的尾气产生的污染可作为线源处理，源强Q可根据《公路建设项目环境影响评价规范》（JTGB03-2006）中预测交通量及车型构成比，采用国内主要车型排放因子资料，污染源强计算方法可以根据如下公式计算：</w:t>
      </w:r>
    </w:p>
    <w:p>
      <w:pPr>
        <w:pStyle w:val="10"/>
        <w:ind w:firstLine="480"/>
        <w:rPr>
          <w:snapToGrid w:val="0"/>
        </w:rPr>
      </w:pPr>
      <w:r>
        <w:rPr>
          <w:snapToGrid w:val="0"/>
        </w:rPr>
        <w:t>式中：Q</w:t>
      </w:r>
      <w:r>
        <w:rPr>
          <w:snapToGrid w:val="0"/>
          <w:vertAlign w:val="subscript"/>
        </w:rPr>
        <w:t>J</w:t>
      </w:r>
      <w:r>
        <w:rPr>
          <w:snapToGrid w:val="0"/>
        </w:rPr>
        <w:t>── 行驶汽车在一定车速下排放的J种污染物源强，mg/(m·s)；</w:t>
      </w:r>
    </w:p>
    <w:p>
      <w:pPr>
        <w:pStyle w:val="112"/>
        <w:ind w:firstLine="1200" w:firstLineChars="500"/>
        <w:rPr>
          <w:snapToGrid w:val="0"/>
        </w:rPr>
      </w:pPr>
      <w:r>
        <w:rPr>
          <w:snapToGrid w:val="0"/>
        </w:rPr>
        <w:t>A</w:t>
      </w:r>
      <w:r>
        <w:rPr>
          <w:snapToGrid w:val="0"/>
          <w:vertAlign w:val="subscript"/>
        </w:rPr>
        <w:t>i</w:t>
      </w:r>
      <w:r>
        <w:rPr>
          <w:snapToGrid w:val="0"/>
        </w:rPr>
        <w:t>── i种车型的小时交通量，辆/h；</w:t>
      </w:r>
    </w:p>
    <w:p>
      <w:pPr>
        <w:pStyle w:val="112"/>
        <w:ind w:firstLine="1200" w:firstLineChars="500"/>
        <w:rPr>
          <w:snapToGrid w:val="0"/>
        </w:rPr>
      </w:pPr>
      <w:r>
        <w:rPr>
          <w:snapToGrid w:val="0"/>
        </w:rPr>
        <w:t>B ── NO</w:t>
      </w:r>
      <w:r>
        <w:rPr>
          <w:snapToGrid w:val="0"/>
          <w:vertAlign w:val="subscript"/>
        </w:rPr>
        <w:t>X</w:t>
      </w:r>
      <w:r>
        <w:rPr>
          <w:snapToGrid w:val="0"/>
        </w:rPr>
        <w:t>排放量换算成NO</w:t>
      </w:r>
      <w:r>
        <w:rPr>
          <w:snapToGrid w:val="0"/>
          <w:vertAlign w:val="subscript"/>
        </w:rPr>
        <w:t>2</w:t>
      </w:r>
      <w:r>
        <w:rPr>
          <w:snapToGrid w:val="0"/>
        </w:rPr>
        <w:t>排放量的校正系数；</w:t>
      </w:r>
    </w:p>
    <w:p>
      <w:pPr>
        <w:pStyle w:val="112"/>
        <w:ind w:firstLine="1200" w:firstLineChars="500"/>
        <w:rPr>
          <w:snapToGrid w:val="0"/>
        </w:rPr>
      </w:pPr>
      <w:r>
        <w:rPr>
          <w:snapToGrid w:val="0"/>
        </w:rPr>
        <w:t>E</w:t>
      </w:r>
      <w:r>
        <w:rPr>
          <w:snapToGrid w:val="0"/>
          <w:vertAlign w:val="subscript"/>
        </w:rPr>
        <w:t>ij</w:t>
      </w:r>
      <w:r>
        <w:rPr>
          <w:snapToGrid w:val="0"/>
        </w:rPr>
        <w:t>── 单车排放系数，即i种车型在一定车速下单车排放的j种污染物量，mg/辆·m。</w:t>
      </w:r>
    </w:p>
    <w:p>
      <w:pPr>
        <w:pStyle w:val="10"/>
        <w:ind w:firstLine="480"/>
      </w:pPr>
      <w:r>
        <w:t>计算可得项目机动车尾气污染物排放源强。</w:t>
      </w:r>
      <w:r>
        <w:rPr>
          <w:rFonts w:hint="eastAsia"/>
        </w:rPr>
        <w:t>本项目以20</w:t>
      </w:r>
      <w:r>
        <w:t>23</w:t>
      </w:r>
      <w:r>
        <w:rPr>
          <w:rFonts w:hint="eastAsia"/>
        </w:rPr>
        <w:t>年为基准年计算，</w:t>
      </w:r>
      <w:r>
        <w:t>不同预测年份下，</w:t>
      </w:r>
      <w:r>
        <w:rPr>
          <w:rFonts w:hint="eastAsia"/>
        </w:rPr>
        <w:t>各</w:t>
      </w:r>
      <w:r>
        <w:t>路段所有车辆的日均浓度如</w:t>
      </w:r>
      <w:r>
        <w:rPr>
          <w:rFonts w:hint="eastAsia"/>
        </w:rPr>
        <w:t>下</w:t>
      </w:r>
      <w:r>
        <w:t>表所</w:t>
      </w:r>
      <w:r>
        <w:rPr>
          <w:rFonts w:hint="eastAsia"/>
        </w:rPr>
        <w:t>示</w:t>
      </w:r>
      <w:r>
        <w:t>。</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rPr>
          <w:rFonts w:hint="eastAsia"/>
          <w:lang w:val="en-US" w:eastAsia="zh-CN"/>
        </w:rPr>
        <w:t>10</w:t>
      </w:r>
      <w:r>
        <w:t xml:space="preserve">  公路营运期各车型汽车尾气排放源强     单位：mg/m·s</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683"/>
        <w:gridCol w:w="1268"/>
        <w:gridCol w:w="1267"/>
        <w:gridCol w:w="1268"/>
        <w:gridCol w:w="1267"/>
        <w:gridCol w:w="1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pct"/>
            <w:vMerge w:val="restart"/>
            <w:shd w:val="clear" w:color="auto" w:fill="auto"/>
            <w:vAlign w:val="center"/>
          </w:tcPr>
          <w:p>
            <w:pPr>
              <w:pStyle w:val="1132"/>
            </w:pPr>
            <w:r>
              <w:t>车型</w:t>
            </w:r>
          </w:p>
        </w:tc>
        <w:tc>
          <w:tcPr>
            <w:tcW w:w="1589" w:type="pct"/>
            <w:gridSpan w:val="2"/>
            <w:shd w:val="clear" w:color="auto" w:fill="auto"/>
            <w:vAlign w:val="center"/>
          </w:tcPr>
          <w:p>
            <w:pPr>
              <w:pStyle w:val="1132"/>
              <w:rPr>
                <w:rFonts w:eastAsia="等线"/>
              </w:rPr>
            </w:pPr>
            <w:r>
              <w:rPr>
                <w:rFonts w:eastAsia="等线"/>
              </w:rPr>
              <w:t>2024</w:t>
            </w:r>
            <w:r>
              <w:t>年</w:t>
            </w:r>
          </w:p>
        </w:tc>
        <w:tc>
          <w:tcPr>
            <w:tcW w:w="1365" w:type="pct"/>
            <w:gridSpan w:val="2"/>
            <w:shd w:val="clear" w:color="auto" w:fill="auto"/>
            <w:vAlign w:val="center"/>
          </w:tcPr>
          <w:p>
            <w:pPr>
              <w:pStyle w:val="1132"/>
              <w:rPr>
                <w:rFonts w:eastAsia="等线"/>
              </w:rPr>
            </w:pPr>
            <w:r>
              <w:rPr>
                <w:rFonts w:eastAsia="等线"/>
              </w:rPr>
              <w:t>2030</w:t>
            </w:r>
            <w:r>
              <w:t>年</w:t>
            </w:r>
          </w:p>
        </w:tc>
        <w:tc>
          <w:tcPr>
            <w:tcW w:w="1364" w:type="pct"/>
            <w:gridSpan w:val="2"/>
            <w:shd w:val="clear" w:color="auto" w:fill="auto"/>
            <w:vAlign w:val="center"/>
          </w:tcPr>
          <w:p>
            <w:pPr>
              <w:pStyle w:val="1132"/>
              <w:rPr>
                <w:rFonts w:eastAsia="等线"/>
              </w:rPr>
            </w:pPr>
            <w:r>
              <w:rPr>
                <w:rFonts w:eastAsia="等线"/>
              </w:rPr>
              <w:t>2038</w:t>
            </w:r>
            <w: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pct"/>
            <w:vMerge w:val="continue"/>
            <w:vAlign w:val="center"/>
          </w:tcPr>
          <w:p>
            <w:pPr>
              <w:pStyle w:val="1132"/>
            </w:pPr>
          </w:p>
        </w:tc>
        <w:tc>
          <w:tcPr>
            <w:tcW w:w="906" w:type="pct"/>
            <w:shd w:val="clear" w:color="auto" w:fill="auto"/>
            <w:vAlign w:val="center"/>
          </w:tcPr>
          <w:p>
            <w:pPr>
              <w:pStyle w:val="1132"/>
            </w:pPr>
            <w:r>
              <w:t>昼</w:t>
            </w:r>
          </w:p>
        </w:tc>
        <w:tc>
          <w:tcPr>
            <w:tcW w:w="683" w:type="pct"/>
            <w:shd w:val="clear" w:color="auto" w:fill="auto"/>
            <w:vAlign w:val="center"/>
          </w:tcPr>
          <w:p>
            <w:pPr>
              <w:pStyle w:val="1132"/>
            </w:pPr>
            <w:r>
              <w:t>夜</w:t>
            </w:r>
          </w:p>
        </w:tc>
        <w:tc>
          <w:tcPr>
            <w:tcW w:w="682" w:type="pct"/>
            <w:shd w:val="clear" w:color="auto" w:fill="auto"/>
            <w:vAlign w:val="center"/>
          </w:tcPr>
          <w:p>
            <w:pPr>
              <w:pStyle w:val="1132"/>
            </w:pPr>
            <w:r>
              <w:t>昼</w:t>
            </w:r>
          </w:p>
        </w:tc>
        <w:tc>
          <w:tcPr>
            <w:tcW w:w="683" w:type="pct"/>
            <w:shd w:val="clear" w:color="auto" w:fill="auto"/>
            <w:vAlign w:val="center"/>
          </w:tcPr>
          <w:p>
            <w:pPr>
              <w:pStyle w:val="1132"/>
            </w:pPr>
            <w:r>
              <w:t>夜</w:t>
            </w:r>
          </w:p>
        </w:tc>
        <w:tc>
          <w:tcPr>
            <w:tcW w:w="682" w:type="pct"/>
            <w:shd w:val="clear" w:color="auto" w:fill="auto"/>
            <w:vAlign w:val="center"/>
          </w:tcPr>
          <w:p>
            <w:pPr>
              <w:pStyle w:val="1132"/>
            </w:pPr>
            <w:r>
              <w:t>昼</w:t>
            </w:r>
          </w:p>
        </w:tc>
        <w:tc>
          <w:tcPr>
            <w:tcW w:w="682" w:type="pct"/>
            <w:shd w:val="clear" w:color="auto" w:fill="auto"/>
            <w:vAlign w:val="center"/>
          </w:tcPr>
          <w:p>
            <w:pPr>
              <w:pStyle w:val="1132"/>
            </w:pPr>
            <w:r>
              <w:t>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pct"/>
            <w:shd w:val="clear" w:color="auto" w:fill="auto"/>
            <w:vAlign w:val="center"/>
          </w:tcPr>
          <w:p>
            <w:pPr>
              <w:pStyle w:val="1132"/>
            </w:pPr>
            <w:r>
              <w:t>CO</w:t>
            </w:r>
          </w:p>
        </w:tc>
        <w:tc>
          <w:tcPr>
            <w:tcW w:w="906" w:type="pct"/>
            <w:shd w:val="clear" w:color="auto" w:fill="auto"/>
            <w:vAlign w:val="center"/>
          </w:tcPr>
          <w:p>
            <w:pPr>
              <w:pStyle w:val="1132"/>
              <w:rPr>
                <w:rFonts w:eastAsia="等线"/>
              </w:rPr>
            </w:pPr>
            <w:r>
              <w:rPr>
                <w:rFonts w:eastAsia="等线"/>
                <w:szCs w:val="21"/>
              </w:rPr>
              <w:t>1.516</w:t>
            </w:r>
          </w:p>
        </w:tc>
        <w:tc>
          <w:tcPr>
            <w:tcW w:w="683" w:type="pct"/>
            <w:shd w:val="clear" w:color="auto" w:fill="auto"/>
            <w:vAlign w:val="center"/>
          </w:tcPr>
          <w:p>
            <w:pPr>
              <w:pStyle w:val="1132"/>
              <w:rPr>
                <w:rFonts w:eastAsia="等线"/>
              </w:rPr>
            </w:pPr>
            <w:r>
              <w:rPr>
                <w:rFonts w:eastAsia="等线"/>
                <w:szCs w:val="21"/>
              </w:rPr>
              <w:t>0.190</w:t>
            </w:r>
          </w:p>
        </w:tc>
        <w:tc>
          <w:tcPr>
            <w:tcW w:w="682" w:type="pct"/>
            <w:shd w:val="clear" w:color="auto" w:fill="auto"/>
            <w:vAlign w:val="center"/>
          </w:tcPr>
          <w:p>
            <w:pPr>
              <w:pStyle w:val="1132"/>
              <w:rPr>
                <w:rFonts w:eastAsia="等线"/>
              </w:rPr>
            </w:pPr>
            <w:r>
              <w:rPr>
                <w:rFonts w:eastAsia="等线"/>
                <w:szCs w:val="21"/>
              </w:rPr>
              <w:t>1.675</w:t>
            </w:r>
          </w:p>
        </w:tc>
        <w:tc>
          <w:tcPr>
            <w:tcW w:w="683" w:type="pct"/>
            <w:shd w:val="clear" w:color="auto" w:fill="auto"/>
            <w:vAlign w:val="center"/>
          </w:tcPr>
          <w:p>
            <w:pPr>
              <w:pStyle w:val="1132"/>
              <w:rPr>
                <w:rFonts w:eastAsia="等线"/>
              </w:rPr>
            </w:pPr>
            <w:r>
              <w:rPr>
                <w:rFonts w:eastAsia="等线"/>
                <w:szCs w:val="21"/>
              </w:rPr>
              <w:t>0.209</w:t>
            </w:r>
          </w:p>
        </w:tc>
        <w:tc>
          <w:tcPr>
            <w:tcW w:w="682" w:type="pct"/>
            <w:shd w:val="clear" w:color="auto" w:fill="auto"/>
            <w:vAlign w:val="center"/>
          </w:tcPr>
          <w:p>
            <w:pPr>
              <w:pStyle w:val="1132"/>
              <w:rPr>
                <w:rFonts w:eastAsia="等线"/>
              </w:rPr>
            </w:pPr>
            <w:r>
              <w:rPr>
                <w:rFonts w:eastAsia="等线"/>
                <w:szCs w:val="21"/>
              </w:rPr>
              <w:t>2.060</w:t>
            </w:r>
          </w:p>
        </w:tc>
        <w:tc>
          <w:tcPr>
            <w:tcW w:w="682" w:type="pct"/>
            <w:shd w:val="clear" w:color="auto" w:fill="auto"/>
            <w:vAlign w:val="center"/>
          </w:tcPr>
          <w:p>
            <w:pPr>
              <w:pStyle w:val="1132"/>
              <w:rPr>
                <w:rFonts w:eastAsia="等线"/>
              </w:rPr>
            </w:pPr>
            <w:r>
              <w:rPr>
                <w:rFonts w:eastAsia="等线"/>
                <w:szCs w:val="21"/>
              </w:rPr>
              <w:t>0.258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pct"/>
            <w:shd w:val="clear" w:color="auto" w:fill="auto"/>
            <w:vAlign w:val="center"/>
          </w:tcPr>
          <w:p>
            <w:pPr>
              <w:pStyle w:val="1132"/>
            </w:pPr>
            <w:r>
              <w:t>THC</w:t>
            </w:r>
          </w:p>
        </w:tc>
        <w:tc>
          <w:tcPr>
            <w:tcW w:w="906" w:type="pct"/>
            <w:shd w:val="clear" w:color="auto" w:fill="auto"/>
            <w:vAlign w:val="center"/>
          </w:tcPr>
          <w:p>
            <w:pPr>
              <w:pStyle w:val="1132"/>
              <w:rPr>
                <w:rFonts w:eastAsia="等线"/>
              </w:rPr>
            </w:pPr>
            <w:r>
              <w:rPr>
                <w:rFonts w:eastAsia="等线"/>
                <w:szCs w:val="21"/>
              </w:rPr>
              <w:t>0.232</w:t>
            </w:r>
          </w:p>
        </w:tc>
        <w:tc>
          <w:tcPr>
            <w:tcW w:w="683" w:type="pct"/>
            <w:shd w:val="clear" w:color="auto" w:fill="auto"/>
            <w:vAlign w:val="center"/>
          </w:tcPr>
          <w:p>
            <w:pPr>
              <w:pStyle w:val="1132"/>
              <w:rPr>
                <w:rFonts w:eastAsia="等线"/>
              </w:rPr>
            </w:pPr>
            <w:r>
              <w:rPr>
                <w:rFonts w:eastAsia="等线"/>
                <w:szCs w:val="21"/>
              </w:rPr>
              <w:t>0.029</w:t>
            </w:r>
          </w:p>
        </w:tc>
        <w:tc>
          <w:tcPr>
            <w:tcW w:w="682" w:type="pct"/>
            <w:shd w:val="clear" w:color="auto" w:fill="auto"/>
            <w:vAlign w:val="center"/>
          </w:tcPr>
          <w:p>
            <w:pPr>
              <w:pStyle w:val="1132"/>
              <w:rPr>
                <w:rFonts w:eastAsia="等线"/>
              </w:rPr>
            </w:pPr>
            <w:r>
              <w:rPr>
                <w:rFonts w:eastAsia="等线"/>
                <w:szCs w:val="21"/>
              </w:rPr>
              <w:t>0.293</w:t>
            </w:r>
          </w:p>
        </w:tc>
        <w:tc>
          <w:tcPr>
            <w:tcW w:w="683" w:type="pct"/>
            <w:shd w:val="clear" w:color="auto" w:fill="auto"/>
            <w:vAlign w:val="center"/>
          </w:tcPr>
          <w:p>
            <w:pPr>
              <w:pStyle w:val="1132"/>
              <w:rPr>
                <w:rFonts w:eastAsia="等线"/>
              </w:rPr>
            </w:pPr>
            <w:r>
              <w:rPr>
                <w:rFonts w:eastAsia="等线"/>
                <w:szCs w:val="21"/>
              </w:rPr>
              <w:t>0.037</w:t>
            </w:r>
          </w:p>
        </w:tc>
        <w:tc>
          <w:tcPr>
            <w:tcW w:w="682" w:type="pct"/>
            <w:shd w:val="clear" w:color="auto" w:fill="auto"/>
            <w:vAlign w:val="center"/>
          </w:tcPr>
          <w:p>
            <w:pPr>
              <w:pStyle w:val="1132"/>
              <w:rPr>
                <w:rFonts w:eastAsia="等线"/>
              </w:rPr>
            </w:pPr>
            <w:r>
              <w:rPr>
                <w:rFonts w:eastAsia="等线"/>
                <w:szCs w:val="21"/>
              </w:rPr>
              <w:t>0.366</w:t>
            </w:r>
          </w:p>
        </w:tc>
        <w:tc>
          <w:tcPr>
            <w:tcW w:w="682" w:type="pct"/>
            <w:shd w:val="clear" w:color="auto" w:fill="auto"/>
            <w:vAlign w:val="center"/>
          </w:tcPr>
          <w:p>
            <w:pPr>
              <w:pStyle w:val="1132"/>
              <w:rPr>
                <w:rFonts w:eastAsia="等线"/>
              </w:rPr>
            </w:pPr>
            <w:r>
              <w:rPr>
                <w:rFonts w:eastAsia="等线"/>
                <w:szCs w:val="21"/>
              </w:rPr>
              <w:t>0.046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pct"/>
            <w:shd w:val="clear" w:color="auto" w:fill="auto"/>
            <w:vAlign w:val="center"/>
          </w:tcPr>
          <w:p>
            <w:pPr>
              <w:pStyle w:val="1132"/>
            </w:pPr>
            <w:r>
              <w:t>NO</w:t>
            </w:r>
            <w:r>
              <w:rPr>
                <w:vertAlign w:val="subscript"/>
              </w:rPr>
              <w:t>2</w:t>
            </w:r>
          </w:p>
        </w:tc>
        <w:tc>
          <w:tcPr>
            <w:tcW w:w="906" w:type="pct"/>
            <w:shd w:val="clear" w:color="auto" w:fill="auto"/>
            <w:vAlign w:val="center"/>
          </w:tcPr>
          <w:p>
            <w:pPr>
              <w:pStyle w:val="1132"/>
              <w:rPr>
                <w:rFonts w:eastAsia="等线"/>
              </w:rPr>
            </w:pPr>
            <w:r>
              <w:rPr>
                <w:rFonts w:eastAsia="等线"/>
                <w:szCs w:val="21"/>
              </w:rPr>
              <w:t>0.048</w:t>
            </w:r>
          </w:p>
        </w:tc>
        <w:tc>
          <w:tcPr>
            <w:tcW w:w="683" w:type="pct"/>
            <w:shd w:val="clear" w:color="auto" w:fill="auto"/>
            <w:vAlign w:val="center"/>
          </w:tcPr>
          <w:p>
            <w:pPr>
              <w:pStyle w:val="1132"/>
              <w:rPr>
                <w:rFonts w:eastAsia="等线"/>
              </w:rPr>
            </w:pPr>
            <w:r>
              <w:rPr>
                <w:rFonts w:eastAsia="等线"/>
                <w:szCs w:val="21"/>
              </w:rPr>
              <w:t>0.006</w:t>
            </w:r>
          </w:p>
        </w:tc>
        <w:tc>
          <w:tcPr>
            <w:tcW w:w="682" w:type="pct"/>
            <w:shd w:val="clear" w:color="auto" w:fill="auto"/>
            <w:vAlign w:val="center"/>
          </w:tcPr>
          <w:p>
            <w:pPr>
              <w:pStyle w:val="1132"/>
              <w:rPr>
                <w:rFonts w:eastAsia="等线"/>
              </w:rPr>
            </w:pPr>
            <w:r>
              <w:rPr>
                <w:rFonts w:eastAsia="等线"/>
                <w:szCs w:val="21"/>
              </w:rPr>
              <w:t>0.057</w:t>
            </w:r>
          </w:p>
        </w:tc>
        <w:tc>
          <w:tcPr>
            <w:tcW w:w="683" w:type="pct"/>
            <w:shd w:val="clear" w:color="auto" w:fill="auto"/>
            <w:vAlign w:val="center"/>
          </w:tcPr>
          <w:p>
            <w:pPr>
              <w:pStyle w:val="1132"/>
              <w:rPr>
                <w:rFonts w:eastAsia="等线"/>
              </w:rPr>
            </w:pPr>
            <w:r>
              <w:rPr>
                <w:rFonts w:eastAsia="等线"/>
                <w:szCs w:val="21"/>
              </w:rPr>
              <w:t>0.007</w:t>
            </w:r>
          </w:p>
        </w:tc>
        <w:tc>
          <w:tcPr>
            <w:tcW w:w="682" w:type="pct"/>
            <w:shd w:val="clear" w:color="auto" w:fill="auto"/>
            <w:vAlign w:val="center"/>
          </w:tcPr>
          <w:p>
            <w:pPr>
              <w:pStyle w:val="1132"/>
              <w:rPr>
                <w:rFonts w:eastAsia="等线"/>
              </w:rPr>
            </w:pPr>
            <w:r>
              <w:rPr>
                <w:rFonts w:eastAsia="等线"/>
                <w:szCs w:val="21"/>
              </w:rPr>
              <w:t>0.068</w:t>
            </w:r>
          </w:p>
        </w:tc>
        <w:tc>
          <w:tcPr>
            <w:tcW w:w="682" w:type="pct"/>
            <w:shd w:val="clear" w:color="auto" w:fill="auto"/>
            <w:vAlign w:val="center"/>
          </w:tcPr>
          <w:p>
            <w:pPr>
              <w:pStyle w:val="1132"/>
              <w:rPr>
                <w:rFonts w:eastAsia="等线"/>
              </w:rPr>
            </w:pPr>
            <w:r>
              <w:rPr>
                <w:rFonts w:eastAsia="等线"/>
                <w:szCs w:val="21"/>
              </w:rPr>
              <w:t>0.009</w:t>
            </w:r>
          </w:p>
        </w:tc>
      </w:tr>
    </w:tbl>
    <w:p>
      <w:pPr>
        <w:pStyle w:val="9"/>
      </w:pPr>
      <w:bookmarkStart w:id="210" w:name="_Toc16742"/>
      <w:r>
        <w:rPr>
          <w:rFonts w:hint="eastAsia"/>
        </w:rPr>
        <w:t>废水污染源分析</w:t>
      </w:r>
      <w:bookmarkEnd w:id="210"/>
    </w:p>
    <w:p>
      <w:pPr>
        <w:pStyle w:val="10"/>
        <w:ind w:firstLine="480"/>
      </w:pPr>
      <w:r>
        <w:rPr>
          <w:rFonts w:hint="eastAsia"/>
        </w:rPr>
        <w:t>本项目营运期产生的废水主要为路面径流冲刷进入沿线水域对水体造成的污染及风险事故水污染。</w:t>
      </w:r>
    </w:p>
    <w:p>
      <w:pPr>
        <w:pStyle w:val="10"/>
        <w:ind w:firstLine="480"/>
      </w:pPr>
      <w:r>
        <w:rPr>
          <w:rFonts w:hint="eastAsia"/>
        </w:rPr>
        <w:t>（1）路面径流</w:t>
      </w:r>
    </w:p>
    <w:p>
      <w:pPr>
        <w:pStyle w:val="10"/>
        <w:ind w:firstLine="480"/>
      </w:pPr>
      <w:r>
        <w:t>影响路面径流污染的因素众多，包括降雨量、降雨历时、与车流量有关的路面及大气污染程度、两场降雨之间的间隔时间、路面宽度、灰尘沉降量和前期干旱时间、纳污路段长度等。由于其影响因素变化性大、随机性强、偶然性大，因此目前尚无一套普遍适用的方法可供使用。</w:t>
      </w:r>
    </w:p>
    <w:p>
      <w:pPr>
        <w:pStyle w:val="10"/>
        <w:ind w:firstLine="480"/>
      </w:pPr>
      <w:r>
        <w:t>生态环境部华南环科所曾对南方地区路面径流污染情况进行过试验，试验方法为：采用人工降雨方法形成路面径流，两次降雨时间段为20d，车流和降雨是已知，降雨历时1h，降雨强度为81.6mm，在1h内按不同时间采集水样，最后测定分析路面污染物变化情况见下表。</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rPr>
          <w:rFonts w:hint="eastAsia"/>
          <w:lang w:val="en-US" w:eastAsia="zh-CN"/>
        </w:rPr>
        <w:t>1</w:t>
      </w:r>
      <w:r>
        <w:fldChar w:fldCharType="end"/>
      </w:r>
      <w:r>
        <w:t xml:space="preserve">  路面径流中污染物浓度测定值</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2121"/>
        <w:gridCol w:w="2186"/>
        <w:gridCol w:w="2041"/>
        <w:gridCol w:w="1896"/>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155" w:type="pct"/>
            <w:vAlign w:val="center"/>
          </w:tcPr>
          <w:p>
            <w:pPr>
              <w:pStyle w:val="1132"/>
            </w:pPr>
            <w:r>
              <w:t>项目</w:t>
            </w:r>
          </w:p>
        </w:tc>
        <w:tc>
          <w:tcPr>
            <w:tcW w:w="1190" w:type="pct"/>
            <w:vAlign w:val="center"/>
          </w:tcPr>
          <w:p>
            <w:pPr>
              <w:pStyle w:val="1132"/>
            </w:pPr>
            <w:r>
              <w:t>5～20min</w:t>
            </w:r>
          </w:p>
        </w:tc>
        <w:tc>
          <w:tcPr>
            <w:tcW w:w="1111" w:type="pct"/>
            <w:vAlign w:val="center"/>
          </w:tcPr>
          <w:p>
            <w:pPr>
              <w:pStyle w:val="1132"/>
            </w:pPr>
            <w:r>
              <w:t>20～40min</w:t>
            </w:r>
          </w:p>
        </w:tc>
        <w:tc>
          <w:tcPr>
            <w:tcW w:w="1032" w:type="pct"/>
            <w:vAlign w:val="center"/>
          </w:tcPr>
          <w:p>
            <w:pPr>
              <w:pStyle w:val="1132"/>
            </w:pPr>
            <w:r>
              <w:t>40～60min</w:t>
            </w:r>
          </w:p>
        </w:tc>
        <w:tc>
          <w:tcPr>
            <w:tcW w:w="512" w:type="pct"/>
            <w:vAlign w:val="center"/>
          </w:tcPr>
          <w:p>
            <w:pPr>
              <w:pStyle w:val="1132"/>
            </w:pPr>
            <w:r>
              <w:t>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155" w:type="pct"/>
            <w:vAlign w:val="center"/>
          </w:tcPr>
          <w:p>
            <w:pPr>
              <w:pStyle w:val="1132"/>
            </w:pPr>
            <w:r>
              <w:t>SS（mg/L）</w:t>
            </w:r>
          </w:p>
        </w:tc>
        <w:tc>
          <w:tcPr>
            <w:tcW w:w="1190" w:type="pct"/>
            <w:vAlign w:val="center"/>
          </w:tcPr>
          <w:p>
            <w:pPr>
              <w:pStyle w:val="1132"/>
            </w:pPr>
            <w:r>
              <w:t>231.42～158.52</w:t>
            </w:r>
          </w:p>
        </w:tc>
        <w:tc>
          <w:tcPr>
            <w:tcW w:w="1111" w:type="pct"/>
            <w:vAlign w:val="center"/>
          </w:tcPr>
          <w:p>
            <w:pPr>
              <w:pStyle w:val="1132"/>
            </w:pPr>
            <w:r>
              <w:t>158.52～90.36</w:t>
            </w:r>
          </w:p>
        </w:tc>
        <w:tc>
          <w:tcPr>
            <w:tcW w:w="1032" w:type="pct"/>
            <w:vAlign w:val="center"/>
          </w:tcPr>
          <w:p>
            <w:pPr>
              <w:pStyle w:val="1132"/>
            </w:pPr>
            <w:r>
              <w:t>90.36～18.71</w:t>
            </w:r>
          </w:p>
        </w:tc>
        <w:tc>
          <w:tcPr>
            <w:tcW w:w="512" w:type="pct"/>
            <w:vAlign w:val="center"/>
          </w:tcPr>
          <w:p>
            <w:pPr>
              <w:pStyle w:val="1132"/>
            </w:pPr>
            <w: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155" w:type="pct"/>
            <w:vAlign w:val="center"/>
          </w:tcPr>
          <w:p>
            <w:pPr>
              <w:pStyle w:val="1132"/>
            </w:pPr>
            <w:r>
              <w:t>COD（mg/L）</w:t>
            </w:r>
          </w:p>
        </w:tc>
        <w:tc>
          <w:tcPr>
            <w:tcW w:w="1190" w:type="pct"/>
            <w:vAlign w:val="center"/>
          </w:tcPr>
          <w:p>
            <w:pPr>
              <w:pStyle w:val="1132"/>
            </w:pPr>
            <w:r>
              <w:t>57.34-57.30</w:t>
            </w:r>
          </w:p>
        </w:tc>
        <w:tc>
          <w:tcPr>
            <w:tcW w:w="1111" w:type="pct"/>
            <w:vAlign w:val="center"/>
          </w:tcPr>
          <w:p>
            <w:pPr>
              <w:pStyle w:val="1132"/>
            </w:pPr>
            <w:r>
              <w:t>47.30-44.15</w:t>
            </w:r>
          </w:p>
        </w:tc>
        <w:tc>
          <w:tcPr>
            <w:tcW w:w="1032" w:type="pct"/>
            <w:vAlign w:val="center"/>
          </w:tcPr>
          <w:p>
            <w:pPr>
              <w:pStyle w:val="1132"/>
            </w:pPr>
            <w:r>
              <w:t>34.15-31.26</w:t>
            </w:r>
          </w:p>
        </w:tc>
        <w:tc>
          <w:tcPr>
            <w:tcW w:w="512" w:type="pct"/>
            <w:vAlign w:val="center"/>
          </w:tcPr>
          <w:p>
            <w:pPr>
              <w:pStyle w:val="1132"/>
            </w:pPr>
            <w:r>
              <w:t>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155" w:type="pct"/>
            <w:vAlign w:val="center"/>
          </w:tcPr>
          <w:p>
            <w:pPr>
              <w:pStyle w:val="1132"/>
            </w:pPr>
            <w:r>
              <w:t>油（mg/L）</w:t>
            </w:r>
          </w:p>
        </w:tc>
        <w:tc>
          <w:tcPr>
            <w:tcW w:w="1190" w:type="pct"/>
            <w:vAlign w:val="center"/>
          </w:tcPr>
          <w:p>
            <w:pPr>
              <w:pStyle w:val="1132"/>
            </w:pPr>
            <w:r>
              <w:t>22.30～19.74</w:t>
            </w:r>
          </w:p>
        </w:tc>
        <w:tc>
          <w:tcPr>
            <w:tcW w:w="1111" w:type="pct"/>
            <w:vAlign w:val="center"/>
          </w:tcPr>
          <w:p>
            <w:pPr>
              <w:pStyle w:val="1132"/>
            </w:pPr>
            <w:r>
              <w:t>19.74～3.12</w:t>
            </w:r>
          </w:p>
        </w:tc>
        <w:tc>
          <w:tcPr>
            <w:tcW w:w="1032" w:type="pct"/>
            <w:vAlign w:val="center"/>
          </w:tcPr>
          <w:p>
            <w:pPr>
              <w:pStyle w:val="1132"/>
            </w:pPr>
            <w:r>
              <w:t>3.12～0.21</w:t>
            </w:r>
          </w:p>
        </w:tc>
        <w:tc>
          <w:tcPr>
            <w:tcW w:w="512" w:type="pct"/>
            <w:vAlign w:val="center"/>
          </w:tcPr>
          <w:p>
            <w:pPr>
              <w:pStyle w:val="1132"/>
            </w:pPr>
            <w:r>
              <w:t>11.25</w:t>
            </w:r>
          </w:p>
        </w:tc>
      </w:tr>
    </w:tbl>
    <w:p>
      <w:pPr>
        <w:pStyle w:val="10"/>
        <w:ind w:firstLine="480"/>
      </w:pPr>
      <w:r>
        <w:t>由上表可知，通常从降雨初期到形成径流的30min内，雨水中的悬浮物和油类物质的浓度比较高，30min后其浓度随着降雨历时的延长下降较快，降雨历时 40～60min之后，路面基本被冲洗干净，路面径流污染物的浓度相对稳定在较低水平。</w:t>
      </w:r>
    </w:p>
    <w:p>
      <w:pPr>
        <w:pStyle w:val="10"/>
        <w:ind w:firstLine="480"/>
      </w:pPr>
      <w:r>
        <w:t>路面（桥面）径流污染物排放源强计算公式如下：</w:t>
      </w:r>
    </w:p>
    <w:p>
      <w:pPr>
        <w:pStyle w:val="112"/>
        <w:ind w:firstLine="0" w:firstLineChars="0"/>
        <w:jc w:val="center"/>
        <w:rPr>
          <w:color w:val="0070C0"/>
        </w:rPr>
      </w:pPr>
      <w:r>
        <w:rPr>
          <w:color w:val="0070C0"/>
        </w:rPr>
        <w:drawing>
          <wp:inline distT="0" distB="0" distL="0" distR="0">
            <wp:extent cx="1470025" cy="202565"/>
            <wp:effectExtent l="0" t="0" r="0" b="0"/>
            <wp:docPr id="12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图片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1470025" cy="202565"/>
                    </a:xfrm>
                    <a:prstGeom prst="rect">
                      <a:avLst/>
                    </a:prstGeom>
                    <a:noFill/>
                    <a:ln>
                      <a:noFill/>
                    </a:ln>
                  </pic:spPr>
                </pic:pic>
              </a:graphicData>
            </a:graphic>
          </wp:inline>
        </w:drawing>
      </w:r>
    </w:p>
    <w:p>
      <w:pPr>
        <w:pStyle w:val="112"/>
        <w:ind w:firstLine="480"/>
      </w:pPr>
      <w:r>
        <w:t>式中：E——路段路面年排放强度，t/a；</w:t>
      </w:r>
    </w:p>
    <w:p>
      <w:pPr>
        <w:pStyle w:val="112"/>
        <w:ind w:firstLine="480"/>
      </w:pPr>
      <w:r>
        <w:t>C——60分钟平均值，mg/L；</w:t>
      </w:r>
    </w:p>
    <w:p>
      <w:pPr>
        <w:pStyle w:val="112"/>
        <w:ind w:firstLine="480"/>
      </w:pPr>
      <w:r>
        <w:t>H——年平均降雨量，mm；</w:t>
      </w:r>
    </w:p>
    <w:p>
      <w:pPr>
        <w:pStyle w:val="112"/>
        <w:ind w:firstLine="480"/>
      </w:pPr>
      <w:r>
        <w:t>L——路段长度，km；</w:t>
      </w:r>
    </w:p>
    <w:p>
      <w:pPr>
        <w:pStyle w:val="112"/>
        <w:ind w:firstLine="480"/>
      </w:pPr>
      <w:r>
        <w:t>B——路面宽度，m；</w:t>
      </w:r>
    </w:p>
    <w:p>
      <w:pPr>
        <w:pStyle w:val="112"/>
        <w:ind w:firstLine="480"/>
      </w:pPr>
      <w:r>
        <w:t>a——径流系数，无量纲，沥青混凝土路面取0.9。</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rPr>
          <w:rFonts w:hint="eastAsia"/>
          <w:lang w:val="en-US" w:eastAsia="zh-CN"/>
        </w:rPr>
        <w:t>2</w:t>
      </w:r>
      <w:r>
        <w:fldChar w:fldCharType="end"/>
      </w:r>
      <w:r>
        <w:t xml:space="preserve">  本项目道路路面径流污染物排放量</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2320"/>
        <w:gridCol w:w="2322"/>
        <w:gridCol w:w="23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50" w:type="pct"/>
            <w:tcBorders>
              <w:tl2br w:val="nil"/>
              <w:tr2bl w:val="nil"/>
            </w:tcBorders>
            <w:vAlign w:val="center"/>
          </w:tcPr>
          <w:p>
            <w:pPr>
              <w:pStyle w:val="1132"/>
            </w:pPr>
            <w:r>
              <w:t>项目</w:t>
            </w:r>
          </w:p>
        </w:tc>
        <w:tc>
          <w:tcPr>
            <w:tcW w:w="1249" w:type="pct"/>
            <w:tcBorders>
              <w:tl2br w:val="nil"/>
              <w:tr2bl w:val="nil"/>
            </w:tcBorders>
            <w:vAlign w:val="center"/>
          </w:tcPr>
          <w:p>
            <w:pPr>
              <w:pStyle w:val="1132"/>
            </w:pPr>
            <w:r>
              <w:t>SS</w:t>
            </w:r>
          </w:p>
        </w:tc>
        <w:tc>
          <w:tcPr>
            <w:tcW w:w="1250" w:type="pct"/>
            <w:tcBorders>
              <w:tl2br w:val="nil"/>
              <w:tr2bl w:val="nil"/>
            </w:tcBorders>
            <w:vAlign w:val="center"/>
          </w:tcPr>
          <w:p>
            <w:pPr>
              <w:pStyle w:val="1132"/>
            </w:pPr>
            <w:r>
              <w:rPr>
                <w:rFonts w:hint="eastAsia"/>
              </w:rPr>
              <w:t>COD</w:t>
            </w:r>
          </w:p>
        </w:tc>
        <w:tc>
          <w:tcPr>
            <w:tcW w:w="1251" w:type="pct"/>
            <w:tcBorders>
              <w:tl2br w:val="nil"/>
              <w:tr2bl w:val="nil"/>
            </w:tcBorders>
            <w:vAlign w:val="center"/>
          </w:tcPr>
          <w:p>
            <w:pPr>
              <w:pStyle w:val="1132"/>
            </w:pPr>
            <w: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50" w:type="pct"/>
            <w:tcBorders>
              <w:tl2br w:val="nil"/>
              <w:tr2bl w:val="nil"/>
            </w:tcBorders>
            <w:vAlign w:val="center"/>
          </w:tcPr>
          <w:p>
            <w:pPr>
              <w:pStyle w:val="1132"/>
            </w:pPr>
            <w:r>
              <w:t>60分钟平均值（mg/L）</w:t>
            </w:r>
          </w:p>
        </w:tc>
        <w:tc>
          <w:tcPr>
            <w:tcW w:w="1249" w:type="pct"/>
            <w:tcBorders>
              <w:tl2br w:val="nil"/>
              <w:tr2bl w:val="nil"/>
            </w:tcBorders>
            <w:vAlign w:val="center"/>
          </w:tcPr>
          <w:p>
            <w:pPr>
              <w:pStyle w:val="1132"/>
            </w:pPr>
            <w:r>
              <w:t>100</w:t>
            </w:r>
          </w:p>
        </w:tc>
        <w:tc>
          <w:tcPr>
            <w:tcW w:w="1250" w:type="pct"/>
            <w:tcBorders>
              <w:tl2br w:val="nil"/>
              <w:tr2bl w:val="nil"/>
            </w:tcBorders>
            <w:vAlign w:val="center"/>
          </w:tcPr>
          <w:p>
            <w:pPr>
              <w:pStyle w:val="1132"/>
            </w:pPr>
            <w:r>
              <w:rPr>
                <w:rFonts w:hint="eastAsia"/>
              </w:rPr>
              <w:t>45.5</w:t>
            </w:r>
          </w:p>
        </w:tc>
        <w:tc>
          <w:tcPr>
            <w:tcW w:w="1251" w:type="pct"/>
            <w:tcBorders>
              <w:tl2br w:val="nil"/>
              <w:tr2bl w:val="nil"/>
            </w:tcBorders>
            <w:vAlign w:val="center"/>
          </w:tcPr>
          <w:p>
            <w:pPr>
              <w:pStyle w:val="1132"/>
            </w:pPr>
            <w:r>
              <w:t>11.25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50" w:type="pct"/>
            <w:tcBorders>
              <w:tl2br w:val="nil"/>
              <w:tr2bl w:val="nil"/>
            </w:tcBorders>
            <w:vAlign w:val="center"/>
          </w:tcPr>
          <w:p>
            <w:pPr>
              <w:pStyle w:val="1132"/>
            </w:pPr>
            <w:r>
              <w:t>年平均降雨量（mm）</w:t>
            </w:r>
          </w:p>
        </w:tc>
        <w:tc>
          <w:tcPr>
            <w:tcW w:w="3750" w:type="pct"/>
            <w:gridSpan w:val="3"/>
            <w:tcBorders>
              <w:tl2br w:val="nil"/>
              <w:tr2bl w:val="nil"/>
            </w:tcBorders>
            <w:vAlign w:val="center"/>
          </w:tcPr>
          <w:p>
            <w:pPr>
              <w:pStyle w:val="1132"/>
            </w:pPr>
            <w:r>
              <w:t>1717.5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50" w:type="pct"/>
            <w:tcBorders>
              <w:tl2br w:val="nil"/>
              <w:tr2bl w:val="nil"/>
            </w:tcBorders>
            <w:vAlign w:val="center"/>
          </w:tcPr>
          <w:p>
            <w:pPr>
              <w:pStyle w:val="1132"/>
            </w:pPr>
            <w:r>
              <w:t>径流系数</w:t>
            </w:r>
          </w:p>
        </w:tc>
        <w:tc>
          <w:tcPr>
            <w:tcW w:w="3750" w:type="pct"/>
            <w:gridSpan w:val="3"/>
            <w:tcBorders>
              <w:tl2br w:val="nil"/>
              <w:tr2bl w:val="nil"/>
            </w:tcBorders>
            <w:vAlign w:val="center"/>
          </w:tcPr>
          <w:p>
            <w:pPr>
              <w:pStyle w:val="1132"/>
            </w:pPr>
            <w: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50" w:type="pct"/>
            <w:tcBorders>
              <w:tl2br w:val="nil"/>
              <w:tr2bl w:val="nil"/>
            </w:tcBorders>
            <w:vAlign w:val="center"/>
          </w:tcPr>
          <w:p>
            <w:pPr>
              <w:pStyle w:val="1132"/>
            </w:pPr>
            <w:r>
              <w:t>路面面积（m</w:t>
            </w:r>
            <w:r>
              <w:rPr>
                <w:vertAlign w:val="superscript"/>
              </w:rPr>
              <w:t>2</w:t>
            </w:r>
            <w:r>
              <w:t>）</w:t>
            </w:r>
          </w:p>
        </w:tc>
        <w:tc>
          <w:tcPr>
            <w:tcW w:w="3750" w:type="pct"/>
            <w:gridSpan w:val="3"/>
            <w:tcBorders>
              <w:tl2br w:val="nil"/>
              <w:tr2bl w:val="nil"/>
            </w:tcBorders>
            <w:vAlign w:val="center"/>
          </w:tcPr>
          <w:p>
            <w:pPr>
              <w:pStyle w:val="1132"/>
            </w:pPr>
            <w:r>
              <w:t>19134.5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50" w:type="pct"/>
            <w:tcBorders>
              <w:tl2br w:val="nil"/>
              <w:tr2bl w:val="nil"/>
            </w:tcBorders>
            <w:vAlign w:val="center"/>
          </w:tcPr>
          <w:p>
            <w:pPr>
              <w:pStyle w:val="1132"/>
            </w:pPr>
            <w:r>
              <w:t>径流年产生量（m</w:t>
            </w:r>
            <w:r>
              <w:rPr>
                <w:vertAlign w:val="superscript"/>
              </w:rPr>
              <w:t>3</w:t>
            </w:r>
            <w:r>
              <w:t>/a）</w:t>
            </w:r>
          </w:p>
        </w:tc>
        <w:tc>
          <w:tcPr>
            <w:tcW w:w="3750" w:type="pct"/>
            <w:gridSpan w:val="3"/>
            <w:tcBorders>
              <w:tl2br w:val="nil"/>
              <w:tr2bl w:val="nil"/>
            </w:tcBorders>
            <w:vAlign w:val="center"/>
          </w:tcPr>
          <w:p>
            <w:pPr>
              <w:pStyle w:val="1132"/>
            </w:pPr>
            <w:r>
              <w:t>29577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50" w:type="pct"/>
            <w:tcBorders>
              <w:tl2br w:val="nil"/>
              <w:tr2bl w:val="nil"/>
            </w:tcBorders>
            <w:vAlign w:val="center"/>
          </w:tcPr>
          <w:p>
            <w:pPr>
              <w:pStyle w:val="1132"/>
            </w:pPr>
            <w:r>
              <w:t>污染物年产生量（t/a）</w:t>
            </w:r>
          </w:p>
        </w:tc>
        <w:tc>
          <w:tcPr>
            <w:tcW w:w="1249" w:type="pct"/>
            <w:tcBorders>
              <w:tl2br w:val="nil"/>
              <w:tr2bl w:val="nil"/>
            </w:tcBorders>
            <w:vAlign w:val="center"/>
          </w:tcPr>
          <w:p>
            <w:pPr>
              <w:pStyle w:val="1132"/>
            </w:pPr>
            <w:r>
              <w:t>2.96</w:t>
            </w:r>
          </w:p>
        </w:tc>
        <w:tc>
          <w:tcPr>
            <w:tcW w:w="1250" w:type="pct"/>
            <w:tcBorders>
              <w:tl2br w:val="nil"/>
              <w:tr2bl w:val="nil"/>
            </w:tcBorders>
            <w:vAlign w:val="center"/>
          </w:tcPr>
          <w:p>
            <w:pPr>
              <w:pStyle w:val="1132"/>
            </w:pPr>
            <w:r>
              <w:t>1.35</w:t>
            </w:r>
          </w:p>
        </w:tc>
        <w:tc>
          <w:tcPr>
            <w:tcW w:w="1251" w:type="pct"/>
            <w:tcBorders>
              <w:tl2br w:val="nil"/>
              <w:tr2bl w:val="nil"/>
            </w:tcBorders>
            <w:vAlign w:val="center"/>
          </w:tcPr>
          <w:p>
            <w:pPr>
              <w:pStyle w:val="1132"/>
            </w:pPr>
            <w:r>
              <w:t>0.33</w:t>
            </w:r>
          </w:p>
        </w:tc>
      </w:tr>
    </w:tbl>
    <w:p>
      <w:pPr>
        <w:pStyle w:val="10"/>
        <w:ind w:firstLine="480"/>
      </w:pPr>
      <w:r>
        <w:t>（2）事故污染</w:t>
      </w:r>
    </w:p>
    <w:p>
      <w:pPr>
        <w:pStyle w:val="10"/>
        <w:ind w:firstLine="480"/>
      </w:pPr>
      <w:r>
        <w:t>营运期运载石油或其它危险品的车辆可能发生翻车事故，事故一旦发生，将对附近地表水局部水域和农田灌溉水体造成污染，进而影响水生生态，应特别注意加强风险防范</w:t>
      </w:r>
      <w:r>
        <w:rPr>
          <w:rFonts w:hint="eastAsia"/>
        </w:rPr>
        <w:t>，在桥梁两侧设置防撞护栏，加强防护等级，发生污染事故后的桥面径流进行处理</w:t>
      </w:r>
      <w:r>
        <w:t>。</w:t>
      </w:r>
    </w:p>
    <w:p>
      <w:pPr>
        <w:pStyle w:val="9"/>
      </w:pPr>
      <w:bookmarkStart w:id="211" w:name="_Toc22453"/>
      <w:r>
        <w:rPr>
          <w:rFonts w:hint="eastAsia"/>
        </w:rPr>
        <w:t>固体废物分析</w:t>
      </w:r>
      <w:bookmarkEnd w:id="211"/>
    </w:p>
    <w:p>
      <w:pPr>
        <w:pStyle w:val="10"/>
        <w:ind w:firstLine="480"/>
      </w:pPr>
      <w:r>
        <w:t>营运期固体废弃物主要是沿线路面</w:t>
      </w:r>
      <w:r>
        <w:rPr>
          <w:rFonts w:hint="eastAsia"/>
        </w:rPr>
        <w:t>产生的养护垃圾</w:t>
      </w:r>
      <w:r>
        <w:t>。</w:t>
      </w:r>
    </w:p>
    <w:p>
      <w:pPr>
        <w:pStyle w:val="10"/>
        <w:ind w:firstLine="480"/>
      </w:pPr>
      <w:r>
        <w:t>公路工程实施后，在日常养护过程中，沿线路面将产生一定量的养护垃圾，主要包括各类包装袋、烟蒂、废纸巾以及散落货物等。这些垃圾由养护工人清扫收集后带下公路，再由环卫部门定期清运。</w:t>
      </w:r>
    </w:p>
    <w:p>
      <w:pPr>
        <w:pStyle w:val="9"/>
      </w:pPr>
      <w:bookmarkStart w:id="212" w:name="_Toc2788"/>
      <w:r>
        <w:rPr>
          <w:rFonts w:hint="eastAsia"/>
        </w:rPr>
        <w:t>生态环境影响分析</w:t>
      </w:r>
      <w:bookmarkEnd w:id="212"/>
    </w:p>
    <w:p>
      <w:pPr>
        <w:pStyle w:val="10"/>
        <w:ind w:firstLine="480"/>
      </w:pPr>
      <w:r>
        <w:t>公路营运期过往车辆交通噪声、废气、振动及路面径流污染物等对动物的生存环境存在不同程度的污染，降低了公路沿线动物生存环境质量，动物将寻找远离公路的环境作为其活动和栖息场所。</w:t>
      </w:r>
    </w:p>
    <w:p>
      <w:pPr>
        <w:pStyle w:val="10"/>
        <w:ind w:firstLine="480"/>
      </w:pPr>
      <w:r>
        <w:t>公路路面、桥面径流雨污水产生一定的石油类、SS和COD污染，可能造成沿线水体石油类和COD浓度升高，公路路面径流造成的水体污染物浓度升高影响较小，对水生生物的影响也较小。</w:t>
      </w:r>
    </w:p>
    <w:p>
      <w:pPr>
        <w:pStyle w:val="5"/>
      </w:pPr>
      <w:r>
        <w:rPr>
          <w:color w:val="0070C0"/>
        </w:rPr>
        <w:br w:type="page"/>
      </w:r>
      <w:bookmarkEnd w:id="125"/>
      <w:bookmarkEnd w:id="126"/>
      <w:bookmarkStart w:id="213" w:name="_Toc467511986"/>
      <w:bookmarkStart w:id="214" w:name="_Toc401564395"/>
      <w:bookmarkStart w:id="215" w:name="_Toc455511799"/>
      <w:bookmarkStart w:id="216" w:name="_Toc28758"/>
      <w:bookmarkStart w:id="217" w:name="_Toc7791"/>
      <w:bookmarkStart w:id="218" w:name="_Toc14060"/>
      <w:r>
        <w:t>环境</w:t>
      </w:r>
      <w:bookmarkEnd w:id="213"/>
      <w:bookmarkEnd w:id="214"/>
      <w:bookmarkEnd w:id="215"/>
      <w:bookmarkStart w:id="219" w:name="_Toc471329427"/>
      <w:bookmarkStart w:id="220" w:name="_Toc455016478"/>
      <w:bookmarkStart w:id="221" w:name="_Toc435783033"/>
      <w:r>
        <w:rPr>
          <w:rFonts w:hint="eastAsia"/>
        </w:rPr>
        <w:t>现状调查与评价</w:t>
      </w:r>
      <w:bookmarkEnd w:id="216"/>
      <w:bookmarkEnd w:id="217"/>
      <w:bookmarkEnd w:id="218"/>
    </w:p>
    <w:p>
      <w:pPr>
        <w:pStyle w:val="7"/>
        <w:rPr>
          <w:b/>
          <w:bCs/>
          <w:sz w:val="28"/>
          <w:szCs w:val="28"/>
        </w:rPr>
      </w:pPr>
      <w:bookmarkStart w:id="222" w:name="_Toc68593537"/>
      <w:bookmarkStart w:id="223" w:name="_Toc150812953"/>
      <w:bookmarkStart w:id="224" w:name="_Toc66335172"/>
      <w:bookmarkStart w:id="225" w:name="_Toc227918951"/>
      <w:bookmarkStart w:id="226" w:name="_Toc467511987"/>
      <w:bookmarkStart w:id="227" w:name="_Toc66336732"/>
      <w:bookmarkStart w:id="228" w:name="_Toc226031179"/>
      <w:bookmarkStart w:id="229" w:name="_Toc124733355"/>
      <w:bookmarkStart w:id="230" w:name="_Toc66335567"/>
      <w:bookmarkStart w:id="231" w:name="_Toc70003868"/>
      <w:bookmarkStart w:id="232" w:name="_Toc215833202"/>
      <w:bookmarkStart w:id="233" w:name="_Toc66340407"/>
      <w:bookmarkStart w:id="234" w:name="_Toc247530554"/>
      <w:bookmarkStart w:id="235" w:name="_Toc66334631"/>
      <w:bookmarkStart w:id="236" w:name="_Toc176666477"/>
      <w:bookmarkStart w:id="237" w:name="_Toc68156078"/>
      <w:bookmarkStart w:id="238" w:name="_Toc107843866"/>
      <w:bookmarkStart w:id="239" w:name="_Toc111008732"/>
      <w:bookmarkStart w:id="240" w:name="_Toc57645148"/>
      <w:bookmarkStart w:id="241" w:name="_Toc401564396"/>
      <w:bookmarkStart w:id="242" w:name="_Toc66336332"/>
      <w:bookmarkStart w:id="243" w:name="_Toc209797844"/>
      <w:bookmarkStart w:id="244" w:name="_Toc66336420"/>
      <w:bookmarkStart w:id="245" w:name="_Toc235945667"/>
      <w:bookmarkStart w:id="246" w:name="_Toc455511800"/>
      <w:bookmarkStart w:id="247" w:name="_Toc66336005"/>
      <w:bookmarkStart w:id="248" w:name="_Toc69988918"/>
      <w:bookmarkStart w:id="249" w:name="_Toc248644808"/>
      <w:bookmarkStart w:id="250" w:name="_Toc28212"/>
      <w:bookmarkStart w:id="251" w:name="_Toc23177"/>
      <w:r>
        <w:rPr>
          <w:b/>
          <w:bCs/>
          <w:sz w:val="28"/>
          <w:szCs w:val="28"/>
        </w:rPr>
        <w:t>自然环境概</w:t>
      </w:r>
      <w:r>
        <w:rPr>
          <w:rFonts w:hint="eastAsia"/>
          <w:b/>
          <w:bCs/>
          <w:sz w:val="28"/>
          <w:szCs w:val="28"/>
        </w:rPr>
        <w:t>况</w:t>
      </w:r>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p>
    <w:p>
      <w:pPr>
        <w:pStyle w:val="8"/>
        <w:rPr>
          <w:b/>
          <w:bCs/>
        </w:rPr>
      </w:pPr>
      <w:bookmarkStart w:id="252" w:name="_Toc467511988"/>
      <w:bookmarkStart w:id="253" w:name="_Toc27300"/>
      <w:r>
        <w:rPr>
          <w:b/>
          <w:bCs/>
        </w:rPr>
        <w:t>地理位置</w:t>
      </w:r>
      <w:bookmarkEnd w:id="252"/>
      <w:bookmarkEnd w:id="253"/>
    </w:p>
    <w:p>
      <w:pPr>
        <w:pStyle w:val="10"/>
        <w:ind w:firstLine="480"/>
      </w:pPr>
      <w:r>
        <w:rPr>
          <w:rFonts w:hint="eastAsia"/>
        </w:rPr>
        <w:t>本</w:t>
      </w:r>
      <w:r>
        <w:t>项目地处安徽省</w:t>
      </w:r>
      <w:r>
        <w:rPr>
          <w:rFonts w:hint="eastAsia"/>
        </w:rPr>
        <w:t>蚌埠市怀远县包集镇</w:t>
      </w:r>
      <w:r>
        <w:t>，位于东经116°45′—117°09′、北纬32°43′—33°19′之间，是</w:t>
      </w:r>
      <w:r>
        <w:rPr>
          <w:rFonts w:hint="eastAsia"/>
        </w:rPr>
        <w:t>S311连接包集镇与蚌埠民用机场的重要段落。项目起点于包集互通出入口，接G206；终点于小沟沿北侧，接刘褚路（S419）。起讫桩号为</w:t>
      </w:r>
      <w:r>
        <w:t>K0+000~K7+700.604</w:t>
      </w:r>
      <w:r>
        <w:rPr>
          <w:rFonts w:hint="eastAsia"/>
        </w:rPr>
        <w:t>，线路里程7</w:t>
      </w:r>
      <w:r>
        <w:t>.7</w:t>
      </w:r>
      <w:r>
        <w:rPr>
          <w:rFonts w:hint="eastAsia"/>
        </w:rPr>
        <w:t>km。项目地理位置见附图1。</w:t>
      </w:r>
    </w:p>
    <w:p>
      <w:pPr>
        <w:pStyle w:val="8"/>
        <w:rPr>
          <w:b/>
          <w:bCs/>
        </w:rPr>
      </w:pPr>
      <w:bookmarkStart w:id="254" w:name="_Toc20811"/>
      <w:r>
        <w:rPr>
          <w:rFonts w:hint="eastAsia"/>
          <w:b/>
          <w:bCs/>
        </w:rPr>
        <w:t>地形地貌</w:t>
      </w:r>
      <w:bookmarkEnd w:id="254"/>
    </w:p>
    <w:p>
      <w:pPr>
        <w:ind w:firstLine="480"/>
      </w:pPr>
      <w:r>
        <w:t>拟建</w:t>
      </w:r>
      <w:r>
        <w:rPr>
          <w:rFonts w:hint="eastAsia"/>
        </w:rPr>
        <w:t>项目</w:t>
      </w:r>
      <w:r>
        <w:t>沿线</w:t>
      </w:r>
      <w:r>
        <w:rPr>
          <w:rFonts w:hint="eastAsia"/>
        </w:rPr>
        <w:t>位于</w:t>
      </w:r>
      <w:r>
        <w:t>黄淮海平原</w:t>
      </w:r>
      <w:r>
        <w:rPr>
          <w:rFonts w:hint="eastAsia"/>
        </w:rPr>
        <w:t>区，整体地形较为平坦，波状起伏不大，地势落差较小</w:t>
      </w:r>
      <w:r>
        <w:t>。</w:t>
      </w:r>
    </w:p>
    <w:p>
      <w:pPr>
        <w:ind w:firstLine="480"/>
        <w:jc w:val="left"/>
        <w:textAlignment w:val="top"/>
      </w:pPr>
      <w:r>
        <w:rPr>
          <w:rFonts w:hint="eastAsia"/>
        </w:rPr>
        <w:t>项目</w:t>
      </w:r>
      <w:r>
        <w:t>属黄淮海平原与江淮丘陵的过渡地带，处于江淮分水岭的末稍。境内以平原为主，南部散落丘陵；地面西北倾向东南，自然坡降为万分之一左右。市区大部分座落于淮河南岸，除市中心有孤立蚌山（小南山）一座外，市的东、南、西部有大小20余座山环绕，在市区445.4平方公里的土地上，丘陵山地50平方公里，水面15.3平方公里。</w:t>
      </w:r>
      <w:r>
        <w:rPr>
          <w:rFonts w:hint="eastAsia"/>
        </w:rPr>
        <w:t>蚌埠市</w:t>
      </w:r>
      <w:r>
        <w:t>境内平原以黄泛平原为主，另有河间浅洼地平原、含有丘陵的河流低阶地及傍河的河滩地。</w:t>
      </w:r>
    </w:p>
    <w:p>
      <w:pPr>
        <w:jc w:val="center"/>
      </w:pPr>
      <w:r>
        <w:drawing>
          <wp:inline distT="0" distB="0" distL="114300" distR="114300">
            <wp:extent cx="4496435" cy="3486785"/>
            <wp:effectExtent l="0" t="0" r="18415" b="18415"/>
            <wp:docPr id="714" name="图片 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2" descr="地图&#10;&#10;描述已自动生成"/>
                    <pic:cNvPicPr>
                      <a:picLocks noChangeAspect="1"/>
                    </pic:cNvPicPr>
                  </pic:nvPicPr>
                  <pic:blipFill>
                    <a:blip r:embed="rId68"/>
                    <a:srcRect l="1071" t="6884" r="3483" b="2295"/>
                    <a:stretch>
                      <a:fillRect/>
                    </a:stretch>
                  </pic:blipFill>
                  <pic:spPr>
                    <a:xfrm>
                      <a:off x="0" y="0"/>
                      <a:ext cx="4496435" cy="3486785"/>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t xml:space="preserve">  </w:t>
      </w:r>
      <w:r>
        <w:rPr>
          <w:rFonts w:hint="eastAsia"/>
        </w:rPr>
        <w:t>项目所在区域地势图</w:t>
      </w:r>
    </w:p>
    <w:p>
      <w:pPr>
        <w:pStyle w:val="8"/>
        <w:rPr>
          <w:b/>
          <w:bCs/>
        </w:rPr>
      </w:pPr>
      <w:bookmarkStart w:id="255" w:name="_Toc27619"/>
      <w:r>
        <w:rPr>
          <w:rFonts w:hint="eastAsia"/>
          <w:b/>
          <w:bCs/>
        </w:rPr>
        <w:t>气象与水文</w:t>
      </w:r>
      <w:bookmarkEnd w:id="255"/>
    </w:p>
    <w:p>
      <w:pPr>
        <w:pStyle w:val="10"/>
        <w:ind w:firstLine="480"/>
      </w:pPr>
      <w:r>
        <w:t>（</w:t>
      </w:r>
      <w:r>
        <w:rPr>
          <w:rFonts w:hint="eastAsia"/>
        </w:rPr>
        <w:t>1</w:t>
      </w:r>
      <w:r>
        <w:t>）</w:t>
      </w:r>
      <w:r>
        <w:rPr>
          <w:rFonts w:hint="eastAsia"/>
        </w:rPr>
        <w:t>气象</w:t>
      </w:r>
    </w:p>
    <w:p>
      <w:pPr>
        <w:snapToGrid w:val="0"/>
        <w:ind w:firstLine="480" w:firstLineChars="200"/>
      </w:pPr>
      <w:r>
        <w:rPr>
          <w:rFonts w:hint="eastAsia"/>
        </w:rPr>
        <w:t>项目区地处北亚热带至暖温带的过渡带，兼有南北方气候特点，属暖温带半湿润季风农业气候区。四季分明，雨量适中，降水量年际变化较大，年内分配不均。多年平均年降水量922.5mm，年最大降水量为1462mm，年最小降水量为515mm，降水量年内分布不均匀，汛期降水占全年的60~70%。多年平均气温15.3℃，平均最高气温为20.2℃；极端最高气温达41℃（出现于1959年8月24日）；年平均最低气温为11.3℃，极端最低气温为-19.4℃（出现于1969年2月5日）。最热月为7月，月均28.0℃；最冷为1月，月均1.5℃。旬平均气温以7月下旬最高，达29.2℃，1月中旬最低1.4℃。旬平均气温高于28℃的多出现在7月中、下旬或8月上旬；低于3℃的出现在1月上、中、下旬或2月上旬和12月的下旬。区内日照2306.7小时，多年平均水面蒸发量1076.9mm。</w:t>
      </w:r>
    </w:p>
    <w:p>
      <w:pPr>
        <w:jc w:val="center"/>
        <w:rPr>
          <w:rFonts w:eastAsia="黑体"/>
          <w:sz w:val="21"/>
          <w:szCs w:val="21"/>
        </w:rPr>
      </w:pPr>
      <w:r>
        <w:drawing>
          <wp:inline distT="0" distB="0" distL="114300" distR="114300">
            <wp:extent cx="3959225" cy="2356485"/>
            <wp:effectExtent l="0" t="0" r="3175" b="5715"/>
            <wp:docPr id="40" name="图片 1"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descr="图表, 条形图&#10;&#10;描述已自动生成"/>
                    <pic:cNvPicPr>
                      <a:picLocks noChangeAspect="1"/>
                    </pic:cNvPicPr>
                  </pic:nvPicPr>
                  <pic:blipFill>
                    <a:blip r:embed="rId69"/>
                    <a:stretch>
                      <a:fillRect/>
                    </a:stretch>
                  </pic:blipFill>
                  <pic:spPr>
                    <a:xfrm>
                      <a:off x="0" y="0"/>
                      <a:ext cx="3959225" cy="2356485"/>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t xml:space="preserve">  </w:t>
      </w:r>
      <w:r>
        <w:rPr>
          <w:rFonts w:hint="eastAsia"/>
        </w:rPr>
        <w:t>怀远</w:t>
      </w:r>
      <w:r>
        <w:t>县</w:t>
      </w:r>
      <w:r>
        <w:rPr>
          <w:rFonts w:hint="eastAsia"/>
        </w:rPr>
        <w:t>2020年</w:t>
      </w:r>
      <w:r>
        <w:t>月降雨量柱状图</w:t>
      </w:r>
    </w:p>
    <w:p>
      <w:pPr>
        <w:pStyle w:val="10"/>
        <w:ind w:firstLine="480"/>
      </w:pPr>
      <w:r>
        <w:t>（</w:t>
      </w:r>
      <w:r>
        <w:rPr>
          <w:rFonts w:hint="eastAsia"/>
        </w:rPr>
        <w:t>2</w:t>
      </w:r>
      <w:r>
        <w:t>）</w:t>
      </w:r>
      <w:r>
        <w:rPr>
          <w:rFonts w:hint="eastAsia"/>
        </w:rPr>
        <w:t>地表水</w:t>
      </w:r>
    </w:p>
    <w:p>
      <w:pPr>
        <w:snapToGrid w:val="0"/>
        <w:ind w:firstLine="480" w:firstLineChars="200"/>
      </w:pPr>
      <w:r>
        <w:rPr>
          <w:rFonts w:hint="eastAsia"/>
        </w:rPr>
        <w:t>项目区周边水系较发达，区域水系属淮河水系，主要有淮河、清沟河、涡河、怀洪新河、北淝河及其它小型河流、灌溉沟渠等。</w:t>
      </w:r>
    </w:p>
    <w:p>
      <w:pPr>
        <w:snapToGrid w:val="0"/>
        <w:ind w:firstLine="480" w:firstLineChars="200"/>
      </w:pPr>
      <w:r>
        <w:rPr>
          <w:rFonts w:hint="eastAsia" w:ascii="宋体" w:hAnsi="宋体" w:cs="宋体"/>
        </w:rPr>
        <w:t>①</w:t>
      </w:r>
      <w:r>
        <w:rPr>
          <w:rFonts w:hint="eastAsia"/>
        </w:rPr>
        <w:t>淮河</w:t>
      </w:r>
    </w:p>
    <w:p>
      <w:pPr>
        <w:pStyle w:val="10"/>
        <w:ind w:firstLine="480"/>
      </w:pPr>
      <w:r>
        <w:rPr>
          <w:rFonts w:hint="eastAsia"/>
        </w:rPr>
        <w:t>发源于河南桐柏山，流经豫、皖、苏三省，于江苏三江营入长江，全长1000km，流域面积18.7×104km</w:t>
      </w:r>
      <w:r>
        <w:rPr>
          <w:rFonts w:hint="eastAsia"/>
          <w:vertAlign w:val="superscript"/>
        </w:rPr>
        <w:t>2</w:t>
      </w:r>
      <w:r>
        <w:rPr>
          <w:rFonts w:hint="eastAsia"/>
        </w:rPr>
        <w:t>，其中安徽境内河道长410km，流域面积6.7×104km</w:t>
      </w:r>
      <w:r>
        <w:rPr>
          <w:rFonts w:hint="eastAsia"/>
          <w:vertAlign w:val="superscript"/>
        </w:rPr>
        <w:t>2</w:t>
      </w:r>
      <w:r>
        <w:rPr>
          <w:rFonts w:hint="eastAsia"/>
        </w:rPr>
        <w:t>。淮干安徽段属淮河中游，支流北多南少，呈不对称羽状排列。淮干主河槽宽度一般200～500m，两堤间行水宽度600-1000m。正阳关以上退堤工程完成后，两堤间行水宽度可达1500-2000m，行洪区最大行洪宽度可达10km。历年汛期最大流量正阳关为12700m</w:t>
      </w:r>
      <w:r>
        <w:rPr>
          <w:rFonts w:hint="eastAsia"/>
          <w:vertAlign w:val="superscript"/>
        </w:rPr>
        <w:t>3</w:t>
      </w:r>
      <w:r>
        <w:rPr>
          <w:rFonts w:hint="eastAsia"/>
        </w:rPr>
        <w:t>/s、蚌埠吴家渡为11600m</w:t>
      </w:r>
      <w:r>
        <w:rPr>
          <w:rFonts w:hint="eastAsia"/>
          <w:vertAlign w:val="superscript"/>
        </w:rPr>
        <w:t>3</w:t>
      </w:r>
      <w:r>
        <w:rPr>
          <w:rFonts w:hint="eastAsia"/>
        </w:rPr>
        <w:t>/s，最高洪水位正阳关26.70m（2003年）、蚌埠吴家渡22.06m（1954年）；淮河干流的含沙量自上游往下游逐渐减少，上游息县站为0．88kg/立方米；王家坝站为0．63kg/立方米（多年平均输沙量707万t）；中游正阳关（鲁台子）站为0.54kg/立方米（1277万t）；蚌埠站为0．42kg/立方米，（1217万t）；下游中渡站为0．23kg/立方米（767万t），支流中沙颍河年输沙量最大，淠河最小。</w:t>
      </w:r>
    </w:p>
    <w:p>
      <w:pPr>
        <w:pStyle w:val="10"/>
        <w:ind w:firstLine="480"/>
      </w:pPr>
      <w:r>
        <w:drawing>
          <wp:inline distT="0" distB="0" distL="114300" distR="114300">
            <wp:extent cx="2520315" cy="1979930"/>
            <wp:effectExtent l="0" t="0" r="13335" b="1270"/>
            <wp:docPr id="54" name="图片 3" descr="日落下的建筑&#10;&#10;描述已自动生成"/>
            <wp:cNvGraphicFramePr/>
            <a:graphic xmlns:a="http://schemas.openxmlformats.org/drawingml/2006/main">
              <a:graphicData uri="http://schemas.openxmlformats.org/drawingml/2006/picture">
                <pic:pic xmlns:pic="http://schemas.openxmlformats.org/drawingml/2006/picture">
                  <pic:nvPicPr>
                    <pic:cNvPr id="54" name="图片 3" descr="日落下的建筑&#10;&#10;描述已自动生成"/>
                    <pic:cNvPicPr/>
                  </pic:nvPicPr>
                  <pic:blipFill>
                    <a:blip r:embed="rId70" r:link="rId71"/>
                    <a:srcRect l="13399" t="14201" r="4318" b="20004"/>
                    <a:stretch>
                      <a:fillRect/>
                    </a:stretch>
                  </pic:blipFill>
                  <pic:spPr>
                    <a:xfrm>
                      <a:off x="0" y="0"/>
                      <a:ext cx="2520315" cy="1979930"/>
                    </a:xfrm>
                    <a:prstGeom prst="rect">
                      <a:avLst/>
                    </a:prstGeom>
                    <a:noFill/>
                    <a:ln>
                      <a:noFill/>
                    </a:ln>
                  </pic:spPr>
                </pic:pic>
              </a:graphicData>
            </a:graphic>
          </wp:inline>
        </w:drawing>
      </w:r>
      <w:r>
        <w:rPr>
          <w:rFonts w:hint="eastAsia"/>
        </w:rPr>
        <w:t xml:space="preserve"> </w:t>
      </w:r>
      <w:r>
        <w:drawing>
          <wp:inline distT="0" distB="0" distL="114300" distR="114300">
            <wp:extent cx="2520315" cy="1979930"/>
            <wp:effectExtent l="0" t="0" r="13335" b="1270"/>
            <wp:docPr id="58" name="图片 4" descr="湖边的风景&#10;&#10;描述已自动生成"/>
            <wp:cNvGraphicFramePr/>
            <a:graphic xmlns:a="http://schemas.openxmlformats.org/drawingml/2006/main">
              <a:graphicData uri="http://schemas.openxmlformats.org/drawingml/2006/picture">
                <pic:pic xmlns:pic="http://schemas.openxmlformats.org/drawingml/2006/picture">
                  <pic:nvPicPr>
                    <pic:cNvPr id="58" name="图片 4" descr="湖边的风景&#10;&#10;描述已自动生成"/>
                    <pic:cNvPicPr/>
                  </pic:nvPicPr>
                  <pic:blipFill>
                    <a:blip r:embed="rId72" r:link="rId73"/>
                    <a:srcRect b="11400"/>
                    <a:stretch>
                      <a:fillRect/>
                    </a:stretch>
                  </pic:blipFill>
                  <pic:spPr>
                    <a:xfrm>
                      <a:off x="0" y="0"/>
                      <a:ext cx="2520315" cy="1979930"/>
                    </a:xfrm>
                    <a:prstGeom prst="rect">
                      <a:avLst/>
                    </a:prstGeom>
                    <a:noFill/>
                    <a:ln>
                      <a:noFill/>
                    </a:ln>
                  </pic:spPr>
                </pic:pic>
              </a:graphicData>
            </a:graphic>
          </wp:inline>
        </w:drawing>
      </w:r>
    </w:p>
    <w:p>
      <w:pPr>
        <w:snapToGrid w:val="0"/>
        <w:ind w:firstLine="480" w:firstLineChars="200"/>
      </w:pPr>
      <w:r>
        <w:rPr>
          <w:rFonts w:hint="eastAsia" w:ascii="宋体" w:hAnsi="宋体" w:cs="宋体"/>
        </w:rPr>
        <w:t>②</w:t>
      </w:r>
      <w:r>
        <w:rPr>
          <w:rFonts w:hint="eastAsia"/>
        </w:rPr>
        <w:t>北淝河</w:t>
      </w:r>
    </w:p>
    <w:p>
      <w:pPr>
        <w:snapToGrid w:val="0"/>
        <w:ind w:firstLine="480" w:firstLineChars="200"/>
      </w:pPr>
      <w:r>
        <w:rPr>
          <w:rFonts w:hint="eastAsia"/>
        </w:rPr>
        <w:t>北淝河发源于涡阳县青阳沟刘井附近，自西北至东南。北淝河河床比降约为万分之零点三左右，根据实测资料，1996年汛期最高水位15.05m，1998年汛期最高水位15.80m，2003年汛期最高水位15.20m，2007年汛期最高水位15.25m。</w:t>
      </w:r>
    </w:p>
    <w:p>
      <w:pPr>
        <w:adjustRightInd w:val="0"/>
        <w:snapToGrid w:val="0"/>
        <w:spacing w:line="240" w:lineRule="auto"/>
        <w:jc w:val="center"/>
        <w:rPr>
          <w:rFonts w:eastAsia="仿宋_GB2312" w:cs="宋体"/>
          <w:kern w:val="0"/>
        </w:rPr>
      </w:pPr>
      <w:r>
        <w:rPr>
          <w:rFonts w:hint="eastAsia" w:eastAsia="仿宋_GB2312" w:cs="宋体"/>
          <w:kern w:val="0"/>
        </w:rPr>
        <w:drawing>
          <wp:inline distT="0" distB="0" distL="114300" distR="114300">
            <wp:extent cx="2520315" cy="1979930"/>
            <wp:effectExtent l="0" t="0" r="13335" b="1270"/>
            <wp:docPr id="66060" name="图片 66060" descr="src=http___static.loupan.com_newsimg_image_2020_0921_0859308715096.png_imageView2_3_w_800_h_480_q_100&amp;refer=http___static.loupan.webp"/>
            <wp:cNvGraphicFramePr/>
            <a:graphic xmlns:a="http://schemas.openxmlformats.org/drawingml/2006/main">
              <a:graphicData uri="http://schemas.openxmlformats.org/drawingml/2006/picture">
                <pic:pic xmlns:pic="http://schemas.openxmlformats.org/drawingml/2006/picture">
                  <pic:nvPicPr>
                    <pic:cNvPr id="66060" name="图片 66060" descr="src=http___static.loupan.com_newsimg_image_2020_0921_0859308715096.png_imageView2_3_w_800_h_480_q_100&amp;refer=http___static.loupan.webp"/>
                    <pic:cNvPicPr/>
                  </pic:nvPicPr>
                  <pic:blipFill>
                    <a:blip r:embed="rId74"/>
                    <a:stretch>
                      <a:fillRect/>
                    </a:stretch>
                  </pic:blipFill>
                  <pic:spPr>
                    <a:xfrm>
                      <a:off x="0" y="0"/>
                      <a:ext cx="2520315" cy="1979930"/>
                    </a:xfrm>
                    <a:prstGeom prst="rect">
                      <a:avLst/>
                    </a:prstGeom>
                  </pic:spPr>
                </pic:pic>
              </a:graphicData>
            </a:graphic>
          </wp:inline>
        </w:drawing>
      </w:r>
      <w:r>
        <w:rPr>
          <w:rFonts w:hint="eastAsia" w:eastAsia="仿宋_GB2312" w:cs="宋体"/>
          <w:kern w:val="0"/>
        </w:rPr>
        <w:t xml:space="preserve"> </w:t>
      </w:r>
      <w:r>
        <w:rPr>
          <w:rFonts w:hint="eastAsia" w:eastAsia="仿宋_GB2312" w:cs="宋体"/>
          <w:kern w:val="0"/>
        </w:rPr>
        <w:drawing>
          <wp:inline distT="0" distB="0" distL="114300" distR="114300">
            <wp:extent cx="2520315" cy="1979930"/>
            <wp:effectExtent l="0" t="0" r="13335" b="1270"/>
            <wp:docPr id="66061" name="图片 66061" descr="u=677481245,1030456626&amp;fm=253&amp;fmt=auto&amp;app=138&amp;f=JPEG.webp"/>
            <wp:cNvGraphicFramePr/>
            <a:graphic xmlns:a="http://schemas.openxmlformats.org/drawingml/2006/main">
              <a:graphicData uri="http://schemas.openxmlformats.org/drawingml/2006/picture">
                <pic:pic xmlns:pic="http://schemas.openxmlformats.org/drawingml/2006/picture">
                  <pic:nvPicPr>
                    <pic:cNvPr id="66061" name="图片 66061" descr="u=677481245,1030456626&amp;fm=253&amp;fmt=auto&amp;app=138&amp;f=JPEG.webp"/>
                    <pic:cNvPicPr/>
                  </pic:nvPicPr>
                  <pic:blipFill>
                    <a:blip r:embed="rId75"/>
                    <a:stretch>
                      <a:fillRect/>
                    </a:stretch>
                  </pic:blipFill>
                  <pic:spPr>
                    <a:xfrm>
                      <a:off x="0" y="0"/>
                      <a:ext cx="2520315" cy="1979930"/>
                    </a:xfrm>
                    <a:prstGeom prst="rect">
                      <a:avLst/>
                    </a:prstGeom>
                  </pic:spPr>
                </pic:pic>
              </a:graphicData>
            </a:graphic>
          </wp:inline>
        </w:drawing>
      </w:r>
    </w:p>
    <w:p>
      <w:pPr>
        <w:pStyle w:val="10"/>
        <w:ind w:firstLine="480"/>
      </w:pPr>
    </w:p>
    <w:p>
      <w:pPr>
        <w:pStyle w:val="8"/>
        <w:rPr>
          <w:b/>
          <w:bCs/>
          <w:i w:val="0"/>
          <w:iCs w:val="0"/>
        </w:rPr>
      </w:pPr>
      <w:bookmarkStart w:id="256" w:name="_Toc18721"/>
      <w:r>
        <w:rPr>
          <w:rFonts w:hint="eastAsia"/>
          <w:b/>
          <w:bCs/>
          <w:i w:val="0"/>
          <w:iCs w:val="0"/>
        </w:rPr>
        <w:t>新构造运动与地震</w:t>
      </w:r>
      <w:bookmarkEnd w:id="256"/>
    </w:p>
    <w:p>
      <w:pPr>
        <w:pStyle w:val="10"/>
        <w:ind w:firstLine="480"/>
      </w:pPr>
      <w:r>
        <w:rPr>
          <w:rFonts w:hint="eastAsia"/>
        </w:rPr>
        <w:t>新近纪以来，区域新构造运动以差异升降为主，具有间歇性、不均衡性的特点，新近纪至中更新世区域新构造运动以下降运动为主，局部地区伴有抬升，沉积了厚度不一的粉质黏土、砂砾石层；晚更新世至全新世，区域新构造运动以大范围差异性的下降运动为主，沉积了厚度160～300m不等的黏土、粉质黏土、粉土、细砂，全新世以来，地壳以缓慢的上升为主。</w:t>
      </w:r>
    </w:p>
    <w:p>
      <w:pPr>
        <w:snapToGrid w:val="0"/>
        <w:ind w:firstLine="480" w:firstLineChars="200"/>
      </w:pPr>
      <w:r>
        <w:rPr>
          <w:rFonts w:hint="eastAsia"/>
        </w:rPr>
        <w:t>根据《中国地震动参数区划图》（GB18306—2015），本场地地震动峰值加速度分区属于0.10g，地震动反应谱特征周期为0.35s。</w:t>
      </w:r>
    </w:p>
    <w:p>
      <w:pPr>
        <w:snapToGrid w:val="0"/>
        <w:ind w:firstLine="480" w:firstLineChars="200"/>
      </w:pPr>
      <w:r>
        <w:rPr>
          <w:rFonts w:hint="eastAsia"/>
        </w:rPr>
        <w:t>根据中华人民共和国国家标准《中国地震动参数区划图(GB18306－2015)》，本区场地为中硬场地，其地震动反应谱特征周期分区为I区（0.35s），地震动峰值加速度（g）分区为0.1g，相应地震基本烈度为VI度。</w:t>
      </w:r>
    </w:p>
    <w:p>
      <w:pPr>
        <w:pStyle w:val="10"/>
        <w:ind w:firstLine="480"/>
      </w:pPr>
      <w:r>
        <w:rPr>
          <w:rFonts w:hint="eastAsia"/>
        </w:rPr>
        <w:t>公路工程应按相应规范采取抗震措施，按抗震要求提高一级设防。</w:t>
      </w:r>
    </w:p>
    <w:p>
      <w:pPr>
        <w:pStyle w:val="10"/>
        <w:ind w:firstLine="480"/>
      </w:pPr>
      <w:r>
        <w:drawing>
          <wp:inline distT="0" distB="0" distL="114300" distR="114300">
            <wp:extent cx="5461000" cy="3309620"/>
            <wp:effectExtent l="0" t="0" r="6350" b="5080"/>
            <wp:docPr id="68" name="图片 6"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descr="地图&#10;&#10;描述已自动生成"/>
                    <pic:cNvPicPr>
                      <a:picLocks noChangeAspect="1"/>
                    </pic:cNvPicPr>
                  </pic:nvPicPr>
                  <pic:blipFill>
                    <a:blip r:embed="rId76"/>
                    <a:stretch>
                      <a:fillRect/>
                    </a:stretch>
                  </pic:blipFill>
                  <pic:spPr>
                    <a:xfrm>
                      <a:off x="0" y="0"/>
                      <a:ext cx="5461000" cy="3309620"/>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t xml:space="preserve">  </w:t>
      </w:r>
      <w:r>
        <w:rPr>
          <w:rFonts w:hint="eastAsia"/>
        </w:rPr>
        <w:t>区域地震区划</w:t>
      </w:r>
      <w:r>
        <w:t>图</w:t>
      </w:r>
    </w:p>
    <w:p>
      <w:pPr>
        <w:pStyle w:val="8"/>
        <w:rPr>
          <w:b/>
          <w:bCs/>
        </w:rPr>
      </w:pPr>
      <w:bookmarkStart w:id="257" w:name="_Toc8265"/>
      <w:r>
        <w:rPr>
          <w:rFonts w:hint="eastAsia"/>
          <w:b/>
          <w:bCs/>
        </w:rPr>
        <w:t>地层岩性</w:t>
      </w:r>
      <w:bookmarkEnd w:id="257"/>
    </w:p>
    <w:p>
      <w:pPr>
        <w:pStyle w:val="10"/>
        <w:ind w:firstLine="480"/>
      </w:pPr>
      <w:r>
        <w:rPr>
          <w:rFonts w:hint="eastAsia"/>
        </w:rPr>
        <w:t>区域地层分属华北地层区徐淮地层分区，区域内发育有上太古界五河群（Ar2wh）杂岩，第三系界首组（E2j）、双浮组（E1sh）的砂岩、泥岩、砂砾岩等和第四纪地层。项目区前第四系地层埋深较大，一般大于100m，覆盖层较厚，主要为第四系上更新统地层，上更新统地层为冲积成因，分布于整个项目区，上段岩性顶部为青灰色、灰黄色、褐黄色、浅黄色粉质黏土、黏土夹粉土、粉细砂薄层，底部为褐黄色、浅黄色粉细砂或黏土、粉质黏土、粉砂互层；下段岩性顶部为青灰色、棕黄色粉质黏土、黏土，结构致密，底部为褐黄色、灰黄色粉细砂及黄色黏土、粉质黏土和粉细砂互层，局部为砂砾石层。</w:t>
      </w:r>
    </w:p>
    <w:p>
      <w:pPr>
        <w:pStyle w:val="8"/>
        <w:rPr>
          <w:b/>
          <w:bCs/>
        </w:rPr>
      </w:pPr>
      <w:bookmarkStart w:id="258" w:name="_Toc11355"/>
      <w:r>
        <w:rPr>
          <w:rFonts w:hint="eastAsia"/>
          <w:b/>
          <w:bCs/>
        </w:rPr>
        <w:t>地质构造</w:t>
      </w:r>
      <w:bookmarkEnd w:id="258"/>
    </w:p>
    <w:p>
      <w:pPr>
        <w:widowControl/>
        <w:ind w:firstLine="480" w:firstLineChars="200"/>
        <w:rPr>
          <w:color w:val="0070C0"/>
        </w:rPr>
      </w:pPr>
      <w:r>
        <w:rPr>
          <w:rFonts w:hint="eastAsia"/>
        </w:rPr>
        <w:t>项目区域大地构造位置处于中朝准地台淮河台坳南缘。地质发展历史悠久，地质构造复杂，断陷和断裂构造发育。沿线未见滑坡、崩塌、泥石流等不良地质发育。项目所在地无深大断裂及全新活动断裂</w:t>
      </w:r>
      <w:r>
        <w:rPr>
          <w:rFonts w:hint="eastAsia"/>
          <w:color w:val="0070C0"/>
        </w:rPr>
        <w:t>。</w:t>
      </w:r>
    </w:p>
    <w:p>
      <w:pPr>
        <w:widowControl/>
        <w:ind w:firstLine="480" w:firstLineChars="200"/>
        <w:rPr>
          <w:color w:val="0070C0"/>
        </w:rPr>
      </w:pPr>
      <w:r>
        <w:drawing>
          <wp:inline distT="0" distB="0" distL="114300" distR="114300">
            <wp:extent cx="5177155" cy="3860165"/>
            <wp:effectExtent l="0" t="0" r="4445" b="6985"/>
            <wp:docPr id="72" name="图片 8"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descr="地图&#10;&#10;描述已自动生成"/>
                    <pic:cNvPicPr>
                      <a:picLocks noChangeAspect="1"/>
                    </pic:cNvPicPr>
                  </pic:nvPicPr>
                  <pic:blipFill>
                    <a:blip r:embed="rId77"/>
                    <a:srcRect t="8859" b="11379"/>
                    <a:stretch>
                      <a:fillRect/>
                    </a:stretch>
                  </pic:blipFill>
                  <pic:spPr>
                    <a:xfrm>
                      <a:off x="0" y="0"/>
                      <a:ext cx="5177155" cy="3860165"/>
                    </a:xfrm>
                    <a:prstGeom prst="rect">
                      <a:avLst/>
                    </a:prstGeom>
                    <a:noFill/>
                    <a:ln>
                      <a:noFill/>
                    </a:ln>
                  </pic:spPr>
                </pic:pic>
              </a:graphicData>
            </a:graphic>
          </wp:inline>
        </w:drawing>
      </w:r>
    </w:p>
    <w:p>
      <w:pPr>
        <w:pStyle w:val="19"/>
        <w:rPr>
          <w:color w:val="0070C0"/>
        </w:rPr>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r>
        <w:t xml:space="preserve">  </w:t>
      </w:r>
      <w:r>
        <w:rPr>
          <w:rFonts w:hint="eastAsia"/>
        </w:rPr>
        <w:t>区域</w:t>
      </w:r>
      <w:r>
        <w:t>地质构造图</w:t>
      </w:r>
    </w:p>
    <w:p>
      <w:pPr>
        <w:pStyle w:val="8"/>
        <w:rPr>
          <w:b/>
          <w:bCs/>
        </w:rPr>
      </w:pPr>
      <w:bookmarkStart w:id="259" w:name="_Toc30966"/>
      <w:r>
        <w:rPr>
          <w:rFonts w:hint="eastAsia"/>
          <w:b/>
          <w:bCs/>
        </w:rPr>
        <w:t>水文地质条件</w:t>
      </w:r>
      <w:bookmarkEnd w:id="259"/>
    </w:p>
    <w:p>
      <w:pPr>
        <w:pStyle w:val="10"/>
        <w:ind w:firstLine="480"/>
      </w:pPr>
      <w:r>
        <w:rPr>
          <w:rFonts w:hint="eastAsia"/>
        </w:rPr>
        <w:t>1）地表水</w:t>
      </w:r>
    </w:p>
    <w:p>
      <w:pPr>
        <w:pStyle w:val="10"/>
        <w:ind w:firstLine="480"/>
      </w:pPr>
      <w:r>
        <w:rPr>
          <w:rFonts w:hint="eastAsia"/>
        </w:rPr>
        <w:t>项目区位于黄海平原区，区内水系均属淮河水系，主要有清沟河、大沟河、新集北一支渠等。同时，项目区人工沟渠密布，形成了沿线较发达的地表水系，其水位、流量等均随季节变化。夏季雨量充沛，水位高，流量大；冬季降雨稀少，水位低，流量小。</w:t>
      </w:r>
    </w:p>
    <w:p>
      <w:pPr>
        <w:pStyle w:val="10"/>
        <w:ind w:firstLine="480"/>
      </w:pPr>
      <w:r>
        <w:rPr>
          <w:rFonts w:hint="eastAsia"/>
        </w:rPr>
        <w:t>2）地下水</w:t>
      </w:r>
    </w:p>
    <w:p>
      <w:pPr>
        <w:pStyle w:val="10"/>
        <w:ind w:firstLine="480"/>
      </w:pPr>
      <w:r>
        <w:rPr>
          <w:rFonts w:hint="eastAsia"/>
        </w:rPr>
        <w:t>①地下水类型</w:t>
      </w:r>
    </w:p>
    <w:p>
      <w:pPr>
        <w:pStyle w:val="10"/>
        <w:ind w:firstLine="480"/>
      </w:pPr>
      <w:r>
        <w:rPr>
          <w:rFonts w:hint="eastAsia"/>
        </w:rPr>
        <w:t>区内降水量丰富，植被发育，地质构造和水文地质条件较为复杂。地下水类型有松散岩类孔隙水和基岩裂隙水2种。</w:t>
      </w:r>
    </w:p>
    <w:p>
      <w:pPr>
        <w:pStyle w:val="10"/>
        <w:ind w:firstLine="480"/>
      </w:pPr>
      <w:r>
        <w:rPr>
          <w:rFonts w:hint="eastAsia"/>
        </w:rPr>
        <w:t>松散岩类孔隙水（包括微承压水）：含水层为全新世冲积层、冲洪积层、坡洪积层。其中以全新世冲积层分布最广，富水性最好，且具二元或多元结构。主要含水层岩性为粉细砂、砂砾石层等，结构松散，透水性强，孔隙水的水力学性质一般属潜水，仅间河中上游地段的孔隙水局部具微承压性。</w:t>
      </w:r>
    </w:p>
    <w:p>
      <w:pPr>
        <w:ind w:firstLine="480"/>
        <w:contextualSpacing/>
      </w:pPr>
      <w:r>
        <w:rPr>
          <w:rFonts w:hint="eastAsia"/>
        </w:rPr>
        <w:t>基岩裂隙水：区内广泛分布的板岩、砾岩、砂砾岩、砂岩、粉砂岩及印支一燕山期侵入的岩浆岩，利于地下水的赋存。该区地下水主要赋存于浅部微风化的构造裂隙中。</w:t>
      </w:r>
    </w:p>
    <w:p>
      <w:pPr>
        <w:snapToGrid w:val="0"/>
        <w:ind w:firstLine="480" w:firstLineChars="200"/>
        <w:contextualSpacing/>
      </w:pPr>
      <w:r>
        <w:rPr>
          <w:rFonts w:hint="eastAsia"/>
        </w:rPr>
        <w:t>②地下水的补给、径流、排泄条件</w:t>
      </w:r>
    </w:p>
    <w:p>
      <w:pPr>
        <w:snapToGrid w:val="0"/>
        <w:ind w:firstLine="480" w:firstLineChars="200"/>
        <w:contextualSpacing/>
      </w:pPr>
      <w:r>
        <w:rPr>
          <w:rFonts w:hint="eastAsia"/>
        </w:rPr>
        <w:t>项目区内未见大规模的地下水开采，主要通过分散的民井来取水，开采量少。</w:t>
      </w:r>
    </w:p>
    <w:p>
      <w:pPr>
        <w:snapToGrid w:val="0"/>
        <w:ind w:firstLine="480" w:firstLineChars="200"/>
        <w:contextualSpacing/>
      </w:pPr>
      <w:r>
        <w:rPr>
          <w:rFonts w:hint="eastAsia"/>
        </w:rPr>
        <w:t>河谷平原区松散岩类孔隙水为潜水或弱承压水，主要接受大气降水补给，以蒸发及人工开采排泄为主。</w:t>
      </w:r>
    </w:p>
    <w:p>
      <w:pPr>
        <w:snapToGrid w:val="0"/>
        <w:ind w:firstLine="480" w:firstLineChars="200"/>
        <w:contextualSpacing/>
      </w:pPr>
      <w:r>
        <w:rPr>
          <w:rFonts w:hint="eastAsia"/>
        </w:rPr>
        <w:t>③地下水化学特征及腐蚀性分析评价</w:t>
      </w:r>
    </w:p>
    <w:p>
      <w:pPr>
        <w:pStyle w:val="10"/>
        <w:ind w:firstLine="480"/>
      </w:pPr>
      <w:r>
        <w:rPr>
          <w:rFonts w:hint="eastAsia"/>
        </w:rPr>
        <w:t>依据试验成果，按《公路工程地质勘察规范》(JTJ064-98)对地表水、地下水的腐蚀性进行评价：地下水对混凝土结构和钢筋混凝土结构中的钢筋具微腐蚀性。</w:t>
      </w:r>
    </w:p>
    <w:p>
      <w:pPr>
        <w:pStyle w:val="7"/>
        <w:rPr>
          <w:b/>
          <w:bCs/>
          <w:sz w:val="28"/>
          <w:szCs w:val="28"/>
        </w:rPr>
      </w:pPr>
      <w:bookmarkStart w:id="260" w:name="_Toc57645149"/>
      <w:bookmarkStart w:id="261" w:name="_Toc4196"/>
      <w:bookmarkStart w:id="262" w:name="_Toc5977"/>
      <w:r>
        <w:rPr>
          <w:rFonts w:hint="eastAsia"/>
          <w:b/>
          <w:bCs/>
          <w:sz w:val="28"/>
          <w:szCs w:val="28"/>
        </w:rPr>
        <w:t>地表水环境现状</w:t>
      </w:r>
      <w:bookmarkEnd w:id="260"/>
      <w:r>
        <w:rPr>
          <w:rFonts w:hint="eastAsia"/>
          <w:b/>
          <w:bCs/>
          <w:sz w:val="28"/>
          <w:szCs w:val="28"/>
        </w:rPr>
        <w:t>监测与评价</w:t>
      </w:r>
      <w:bookmarkEnd w:id="261"/>
      <w:bookmarkEnd w:id="262"/>
    </w:p>
    <w:p>
      <w:pPr>
        <w:pStyle w:val="8"/>
        <w:rPr>
          <w:b/>
          <w:bCs/>
        </w:rPr>
      </w:pPr>
      <w:bookmarkStart w:id="263" w:name="_Toc9034"/>
      <w:r>
        <w:rPr>
          <w:b/>
          <w:bCs/>
        </w:rPr>
        <w:t>现状</w:t>
      </w:r>
      <w:r>
        <w:rPr>
          <w:rFonts w:hint="eastAsia"/>
          <w:b/>
          <w:bCs/>
        </w:rPr>
        <w:t>监测</w:t>
      </w:r>
      <w:bookmarkEnd w:id="263"/>
    </w:p>
    <w:p>
      <w:pPr>
        <w:pStyle w:val="9"/>
      </w:pPr>
      <w:bookmarkStart w:id="264" w:name="_Toc11317"/>
      <w:r>
        <w:t>监测断面及监测因子</w:t>
      </w:r>
      <w:bookmarkEnd w:id="264"/>
    </w:p>
    <w:p>
      <w:pPr>
        <w:pStyle w:val="10"/>
        <w:ind w:firstLine="480"/>
      </w:pPr>
      <w:r>
        <w:t>为了解本项目沿线涉及水体的水质现状，本次评价委托安徽田博仕检测有限公司对本项目沿线地表水体进行监测。</w:t>
      </w:r>
    </w:p>
    <w:p>
      <w:pPr>
        <w:pStyle w:val="10"/>
        <w:ind w:firstLine="480"/>
      </w:pPr>
      <w:r>
        <w:t>采样对象：</w:t>
      </w:r>
      <w:r>
        <w:rPr>
          <w:rFonts w:hint="eastAsia"/>
        </w:rPr>
        <w:t>清沟河</w:t>
      </w:r>
      <w:r>
        <w:t>。</w:t>
      </w:r>
    </w:p>
    <w:p>
      <w:pPr>
        <w:pStyle w:val="10"/>
        <w:ind w:firstLine="480"/>
      </w:pPr>
      <w:r>
        <w:t>监测项目：</w:t>
      </w:r>
      <w:r>
        <w:rPr>
          <w:rFonts w:hint="eastAsia"/>
        </w:rPr>
        <w:t>pH、COD、B</w:t>
      </w:r>
      <w:r>
        <w:t>OD</w:t>
      </w:r>
      <w:r>
        <w:rPr>
          <w:vertAlign w:val="subscript"/>
        </w:rPr>
        <w:t>5</w:t>
      </w:r>
      <w:r>
        <w:rPr>
          <w:rFonts w:hint="eastAsia"/>
        </w:rPr>
        <w:t>、氨氮、</w:t>
      </w:r>
      <w:r>
        <w:rPr>
          <w:rFonts w:hint="eastAsia"/>
          <w:highlight w:val="none"/>
          <w:lang w:val="en-US" w:eastAsia="zh-CN"/>
        </w:rPr>
        <w:t>SS、</w:t>
      </w:r>
      <w:r>
        <w:rPr>
          <w:rFonts w:hint="eastAsia"/>
        </w:rPr>
        <w:t>TP、石油类共</w:t>
      </w:r>
      <w:r>
        <w:rPr>
          <w:rFonts w:hint="eastAsia"/>
          <w:lang w:val="en-US" w:eastAsia="zh-CN"/>
        </w:rPr>
        <w:t>7</w:t>
      </w:r>
      <w:r>
        <w:rPr>
          <w:rFonts w:hint="eastAsia"/>
        </w:rPr>
        <w:t>项，同时测量水温、流量、流速。</w:t>
      </w:r>
    </w:p>
    <w:p>
      <w:pPr>
        <w:pStyle w:val="10"/>
        <w:ind w:firstLine="480"/>
      </w:pPr>
      <w:r>
        <w:t>监测频次：连续监测3天，每天采样分析一次。</w:t>
      </w:r>
    </w:p>
    <w:p>
      <w:pPr>
        <w:pStyle w:val="10"/>
        <w:ind w:firstLine="480"/>
      </w:pPr>
      <w:r>
        <w:t>监测时间：20</w:t>
      </w:r>
      <w:r>
        <w:rPr>
          <w:rFonts w:hint="eastAsia"/>
        </w:rPr>
        <w:t>2</w:t>
      </w:r>
      <w:r>
        <w:t>2年10月13日</w:t>
      </w:r>
      <w:r>
        <w:rPr>
          <w:rFonts w:hint="eastAsia"/>
        </w:rPr>
        <w:t>~</w:t>
      </w:r>
      <w:r>
        <w:t>10</w:t>
      </w:r>
      <w:r>
        <w:rPr>
          <w:rFonts w:hint="eastAsia"/>
        </w:rPr>
        <w:t>月</w:t>
      </w:r>
      <w:r>
        <w:t>15日。</w:t>
      </w:r>
    </w:p>
    <w:p>
      <w:pPr>
        <w:pStyle w:val="10"/>
        <w:ind w:firstLine="480"/>
      </w:pPr>
      <w:r>
        <w:t>监测方法按《地表水环境质量标准》(GB3838-2002)、《环境监测技术规范》（地表水部分）中规定的方法执行。</w:t>
      </w:r>
    </w:p>
    <w:p>
      <w:pPr>
        <w:pStyle w:val="10"/>
        <w:ind w:firstLine="480"/>
      </w:pPr>
      <w:r>
        <w:t>监测布点情况见表4.2-1</w:t>
      </w:r>
      <w:r>
        <w:rPr>
          <w:rFonts w:hint="eastAsia"/>
        </w:rPr>
        <w:t>及图</w:t>
      </w:r>
      <w:r>
        <w:t>4</w:t>
      </w:r>
      <w:r>
        <w:rPr>
          <w:rFonts w:hint="eastAsia"/>
        </w:rPr>
        <w:t>.2-1</w:t>
      </w:r>
      <w:r>
        <w:t>。</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rPr>
        <w:t>地表水</w:t>
      </w:r>
      <w:r>
        <w:t>环境</w:t>
      </w:r>
      <w:r>
        <w:rPr>
          <w:rFonts w:hint="eastAsia"/>
        </w:rPr>
        <w:t>质量</w:t>
      </w:r>
      <w:r>
        <w:t>监测布点一览表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9"/>
        <w:gridCol w:w="65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8" w:type="pct"/>
            <w:vAlign w:val="center"/>
          </w:tcPr>
          <w:p>
            <w:pPr>
              <w:pStyle w:val="1132"/>
            </w:pPr>
            <w:r>
              <w:t>编号</w:t>
            </w:r>
          </w:p>
        </w:tc>
        <w:tc>
          <w:tcPr>
            <w:tcW w:w="3552" w:type="pct"/>
            <w:vAlign w:val="center"/>
          </w:tcPr>
          <w:p>
            <w:pPr>
              <w:pStyle w:val="1132"/>
            </w:pPr>
            <w:r>
              <w:t>河流名称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8" w:type="pct"/>
            <w:vAlign w:val="center"/>
          </w:tcPr>
          <w:p>
            <w:pPr>
              <w:pStyle w:val="1132"/>
            </w:pPr>
            <w:r>
              <w:t>W1</w:t>
            </w:r>
          </w:p>
        </w:tc>
        <w:tc>
          <w:tcPr>
            <w:tcW w:w="3552" w:type="pct"/>
            <w:vAlign w:val="center"/>
          </w:tcPr>
          <w:p>
            <w:pPr>
              <w:pStyle w:val="1132"/>
            </w:pPr>
            <w:r>
              <w:rPr>
                <w:rFonts w:hint="eastAsia"/>
              </w:rPr>
              <w:t>清沟河</w:t>
            </w:r>
          </w:p>
        </w:tc>
      </w:tr>
    </w:tbl>
    <w:p>
      <w:pPr>
        <w:spacing w:before="120" w:beforeLines="50"/>
        <w:jc w:val="center"/>
        <w:rPr>
          <w:b/>
          <w:bCs/>
          <w:color w:val="0070C0"/>
          <w:kern w:val="0"/>
        </w:rPr>
      </w:pPr>
      <w:r>
        <mc:AlternateContent>
          <mc:Choice Requires="wps">
            <w:drawing>
              <wp:anchor distT="0" distB="0" distL="114300" distR="114300" simplePos="0" relativeHeight="251660288" behindDoc="0" locked="0" layoutInCell="1" allowOverlap="1">
                <wp:simplePos x="0" y="0"/>
                <wp:positionH relativeFrom="column">
                  <wp:posOffset>4117340</wp:posOffset>
                </wp:positionH>
                <wp:positionV relativeFrom="paragraph">
                  <wp:posOffset>1905000</wp:posOffset>
                </wp:positionV>
                <wp:extent cx="504190" cy="228600"/>
                <wp:effectExtent l="0" t="0" r="0" b="0"/>
                <wp:wrapNone/>
                <wp:docPr id="1" name="文本框 743"/>
                <wp:cNvGraphicFramePr/>
                <a:graphic xmlns:a="http://schemas.openxmlformats.org/drawingml/2006/main">
                  <a:graphicData uri="http://schemas.microsoft.com/office/word/2010/wordprocessingShape">
                    <wps:wsp>
                      <wps:cNvSpPr txBox="1"/>
                      <wps:spPr>
                        <a:xfrm>
                          <a:off x="0" y="0"/>
                          <a:ext cx="504190" cy="228600"/>
                        </a:xfrm>
                        <a:prstGeom prst="rect">
                          <a:avLst/>
                        </a:prstGeom>
                        <a:noFill/>
                        <a:ln>
                          <a:noFill/>
                        </a:ln>
                      </wps:spPr>
                      <wps:txbx>
                        <w:txbxContent>
                          <w:p>
                            <w:pPr>
                              <w:rPr>
                                <w:b/>
                                <w:bCs/>
                                <w:color w:val="FF0000"/>
                              </w:rPr>
                            </w:pPr>
                            <w:r>
                              <w:rPr>
                                <w:rFonts w:hint="eastAsia"/>
                                <w:b/>
                                <w:bCs/>
                                <w:color w:val="FF0000"/>
                              </w:rPr>
                              <w:t>W</w:t>
                            </w:r>
                            <w:r>
                              <w:rPr>
                                <w:b/>
                                <w:bCs/>
                                <w:color w:val="FF0000"/>
                              </w:rPr>
                              <w:t>1</w:t>
                            </w:r>
                          </w:p>
                        </w:txbxContent>
                      </wps:txbx>
                      <wps:bodyPr upright="1"/>
                    </wps:wsp>
                  </a:graphicData>
                </a:graphic>
              </wp:anchor>
            </w:drawing>
          </mc:Choice>
          <mc:Fallback>
            <w:pict>
              <v:shape id="文本框 743" o:spid="_x0000_s1026" o:spt="202" type="#_x0000_t202" style="position:absolute;left:0pt;margin-left:324.2pt;margin-top:150pt;height:18pt;width:39.7pt;z-index:251660288;mso-width-relative:page;mso-height-relative:page;" filled="f" stroked="f" coordsize="21600,21600" o:gfxdata="UEsDBAoAAAAAAIdO4kAAAAAAAAAAAAAAAAAEAAAAZHJzL1BLAwQUAAAACACHTuJAxQFpztgAAAAL&#10;AQAADwAAAGRycy9kb3ducmV2LnhtbE2PwW7CMAyG75P2DpEn7TYSoCvQNeUA2nXTgE3iFhrTVmuc&#10;qgm0e/t5p3G0/en39+fr0bXiin1oPGmYThQIpNLbhioNh/3r0xJEiIasaT2hhh8MsC7u73KTWT/Q&#10;B153sRIcQiEzGuoYu0zKUNboTJj4DolvZ987E3nsK2l7M3C4a+VMqVQ60xB/qE2HmxrL793Fafh8&#10;Ox+/EvVebd1zN/hRSXIrqfXjw1S9gIg4xn8Y/vRZHQp2OvkL2SBaDWmyTBjVMFeKSzGxmC24zIk3&#10;81SBLHJ526H4BVBLAwQUAAAACACHTuJAewPZkK4BAABPAwAADgAAAGRycy9lMm9Eb2MueG1srVPB&#10;bhMxEL0j8Q+W78SbUEpZZVMJReWCAKnlAxyvnbW09lgeJ7v5AfgDTly48135DsbOktL20gMXrz3z&#10;9s28N/byenQ92+uIFnzD57OKM+0VtNZvG/717ubVFWeYpG9lD143/KCRX69evlgOodYL6KBvdWRE&#10;4rEeQsO7lEItBKpOO4kzCNpT0kB0MtExbkUb5UDsrheLqroUA8Q2RFAakaLrU5JPjPE5hGCMVXoN&#10;aue0TyfWqHuZSBJ2NiBflW6N0Sp9NgZ1Yn3DSWkqKxWh/SavYrWU9TbK0Fk1tSCf08IjTU5aT0XP&#10;VGuZJNtF+4TKWRUBwaSZAidOQoojpGJePfLmtpNBFy1kNYaz6fj/aNWn/ZfIbEs3gTMvHQ38+OP7&#10;8efv469v7O3F62zQELAm3G0gZBrfw5jBUxwpmHWPJrr8JUWM8mTv4WyvHhNTFHxTXczfUUZRarG4&#10;uqyK/eL+5xAxfdDgWN40PNL0iqly/xETFSToX0iu5eHG9n2ZYO8fBAiYIyJ3fuow79K4Gae2N9Ae&#10;SM0uRLvtqFTRU+Dkcyk03Yk8yH/PhfT+Ha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MUBac7Y&#10;AAAACwEAAA8AAAAAAAAAAQAgAAAAIgAAAGRycy9kb3ducmV2LnhtbFBLAQIUABQAAAAIAIdO4kB7&#10;A9mQrgEAAE8DAAAOAAAAAAAAAAEAIAAAACcBAABkcnMvZTJvRG9jLnhtbFBLBQYAAAAABgAGAFkB&#10;AABHBQAAAAA=&#10;">
                <v:fill on="f" focussize="0,0"/>
                <v:stroke on="f"/>
                <v:imagedata o:title=""/>
                <o:lock v:ext="edit" aspectratio="f"/>
                <v:textbox>
                  <w:txbxContent>
                    <w:p>
                      <w:pPr>
                        <w:rPr>
                          <w:b/>
                          <w:bCs/>
                          <w:color w:val="FF0000"/>
                        </w:rPr>
                      </w:pPr>
                      <w:r>
                        <w:rPr>
                          <w:rFonts w:hint="eastAsia"/>
                          <w:b/>
                          <w:bCs/>
                          <w:color w:val="FF0000"/>
                        </w:rPr>
                        <w:t>W</w:t>
                      </w:r>
                      <w:r>
                        <w:rPr>
                          <w:b/>
                          <w:bCs/>
                          <w:color w:val="FF0000"/>
                        </w:rPr>
                        <w:t>1</w:t>
                      </w:r>
                    </w:p>
                  </w:txbxContent>
                </v:textbox>
              </v:shape>
            </w:pict>
          </mc:Fallback>
        </mc:AlternateContent>
      </w:r>
      <w:r>
        <w:drawing>
          <wp:inline distT="0" distB="0" distL="0" distR="0">
            <wp:extent cx="5759450" cy="3556000"/>
            <wp:effectExtent l="0" t="0" r="0" b="0"/>
            <wp:docPr id="2" name="图片 2" descr="图片包含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包含 地图&#10;&#10;描述已自动生成"/>
                    <pic:cNvPicPr>
                      <a:picLocks noChangeAspect="1"/>
                    </pic:cNvPicPr>
                  </pic:nvPicPr>
                  <pic:blipFill>
                    <a:blip r:embed="rId78"/>
                    <a:stretch>
                      <a:fillRect/>
                    </a:stretch>
                  </pic:blipFill>
                  <pic:spPr>
                    <a:xfrm>
                      <a:off x="0" y="0"/>
                      <a:ext cx="5759450" cy="3556000"/>
                    </a:xfrm>
                    <a:prstGeom prst="rect">
                      <a:avLst/>
                    </a:prstGeom>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bCs/>
        </w:rPr>
        <w:t xml:space="preserve">  </w:t>
      </w:r>
      <w:r>
        <w:rPr>
          <w:rFonts w:hint="eastAsia"/>
          <w:bCs/>
        </w:rPr>
        <w:t>地表水环境质量监测布点图（W</w:t>
      </w:r>
      <w:r>
        <w:rPr>
          <w:bCs/>
        </w:rPr>
        <w:t>1</w:t>
      </w:r>
      <w:r>
        <w:rPr>
          <w:rFonts w:hint="eastAsia"/>
          <w:bCs/>
        </w:rPr>
        <w:t>）</w:t>
      </w:r>
    </w:p>
    <w:p>
      <w:pPr>
        <w:pStyle w:val="9"/>
      </w:pPr>
      <w:bookmarkStart w:id="265" w:name="_Toc9491"/>
      <w:r>
        <w:t>监测结果</w:t>
      </w:r>
      <w:bookmarkEnd w:id="265"/>
    </w:p>
    <w:p>
      <w:pPr>
        <w:widowControl/>
        <w:ind w:firstLine="480" w:firstLineChars="200"/>
      </w:pPr>
      <w:r>
        <w:t>监测结果见表4.2-2。</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水质现状监测结果  单位:</w:t>
      </w:r>
      <w:r>
        <w:rPr>
          <w:bCs/>
        </w:rPr>
        <w:t xml:space="preserve"> mg/L（pH无量纲）</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2773"/>
        <w:gridCol w:w="1679"/>
        <w:gridCol w:w="1967"/>
        <w:gridCol w:w="1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pct"/>
            <w:vMerge w:val="restart"/>
            <w:vAlign w:val="center"/>
          </w:tcPr>
          <w:p>
            <w:pPr>
              <w:pStyle w:val="1132"/>
              <w:rPr>
                <w:b/>
                <w:bCs w:val="0"/>
              </w:rPr>
            </w:pPr>
            <w:r>
              <w:rPr>
                <w:b/>
                <w:bCs w:val="0"/>
              </w:rPr>
              <w:t>序号</w:t>
            </w:r>
          </w:p>
        </w:tc>
        <w:tc>
          <w:tcPr>
            <w:tcW w:w="1493" w:type="pct"/>
            <w:vMerge w:val="restart"/>
            <w:vAlign w:val="center"/>
          </w:tcPr>
          <w:p>
            <w:pPr>
              <w:pStyle w:val="1132"/>
              <w:rPr>
                <w:b/>
                <w:bCs w:val="0"/>
              </w:rPr>
            </w:pPr>
            <w:r>
              <w:rPr>
                <w:b/>
                <w:bCs w:val="0"/>
              </w:rPr>
              <w:t>检测项目</w:t>
            </w:r>
          </w:p>
        </w:tc>
        <w:tc>
          <w:tcPr>
            <w:tcW w:w="3022" w:type="pct"/>
            <w:gridSpan w:val="3"/>
            <w:vAlign w:val="center"/>
          </w:tcPr>
          <w:p>
            <w:pPr>
              <w:pStyle w:val="1132"/>
              <w:rPr>
                <w:b/>
                <w:bCs w:val="0"/>
              </w:rPr>
            </w:pPr>
            <w:r>
              <w:rPr>
                <w:b/>
                <w:bCs w:val="0"/>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pct"/>
            <w:vMerge w:val="continue"/>
            <w:vAlign w:val="center"/>
          </w:tcPr>
          <w:p>
            <w:pPr>
              <w:pStyle w:val="1132"/>
            </w:pPr>
          </w:p>
        </w:tc>
        <w:tc>
          <w:tcPr>
            <w:tcW w:w="1493" w:type="pct"/>
            <w:vMerge w:val="continue"/>
            <w:vAlign w:val="center"/>
          </w:tcPr>
          <w:p>
            <w:pPr>
              <w:pStyle w:val="1132"/>
            </w:pPr>
          </w:p>
        </w:tc>
        <w:tc>
          <w:tcPr>
            <w:tcW w:w="904" w:type="pct"/>
            <w:tcBorders>
              <w:top w:val="single" w:color="auto" w:sz="4" w:space="0"/>
            </w:tcBorders>
            <w:tcMar>
              <w:left w:w="0" w:type="dxa"/>
              <w:right w:w="0" w:type="dxa"/>
            </w:tcMar>
            <w:vAlign w:val="center"/>
          </w:tcPr>
          <w:p>
            <w:pPr>
              <w:pStyle w:val="1132"/>
            </w:pPr>
            <w:r>
              <w:t>2022.10.13</w:t>
            </w:r>
          </w:p>
        </w:tc>
        <w:tc>
          <w:tcPr>
            <w:tcW w:w="1059" w:type="pct"/>
            <w:tcBorders>
              <w:top w:val="single" w:color="auto" w:sz="4" w:space="0"/>
            </w:tcBorders>
            <w:vAlign w:val="center"/>
          </w:tcPr>
          <w:p>
            <w:pPr>
              <w:pStyle w:val="1132"/>
            </w:pPr>
            <w:r>
              <w:t>2022.10.14</w:t>
            </w:r>
          </w:p>
        </w:tc>
        <w:tc>
          <w:tcPr>
            <w:tcW w:w="1059" w:type="pct"/>
            <w:tcBorders>
              <w:top w:val="single" w:color="auto" w:sz="4" w:space="0"/>
            </w:tcBorders>
          </w:tcPr>
          <w:p>
            <w:pPr>
              <w:pStyle w:val="1132"/>
            </w:pPr>
            <w:r>
              <w:rPr>
                <w:rFonts w:hint="eastAsia"/>
              </w:rPr>
              <w:t>2</w:t>
            </w:r>
            <w:r>
              <w:t>022.10.15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pct"/>
            <w:vAlign w:val="center"/>
          </w:tcPr>
          <w:p>
            <w:pPr>
              <w:pStyle w:val="1132"/>
            </w:pPr>
            <w:r>
              <w:t>1</w:t>
            </w:r>
          </w:p>
        </w:tc>
        <w:tc>
          <w:tcPr>
            <w:tcW w:w="1493" w:type="pct"/>
            <w:vAlign w:val="center"/>
          </w:tcPr>
          <w:p>
            <w:pPr>
              <w:pStyle w:val="1132"/>
              <w:rPr>
                <w:kern w:val="0"/>
              </w:rPr>
            </w:pPr>
            <w:r>
              <w:rPr>
                <w:kern w:val="0"/>
              </w:rPr>
              <w:t>pH（无量纲）</w:t>
            </w:r>
          </w:p>
        </w:tc>
        <w:tc>
          <w:tcPr>
            <w:tcW w:w="1679" w:type="dxa"/>
            <w:vAlign w:val="center"/>
          </w:tcPr>
          <w:p>
            <w:pPr>
              <w:pStyle w:val="1132"/>
              <w:rPr>
                <w:kern w:val="0"/>
              </w:rPr>
            </w:pPr>
            <w:r>
              <w:rPr>
                <w:rFonts w:hint="eastAsia"/>
                <w:kern w:val="0"/>
              </w:rPr>
              <w:t>7.1</w:t>
            </w:r>
          </w:p>
        </w:tc>
        <w:tc>
          <w:tcPr>
            <w:tcW w:w="1967" w:type="dxa"/>
            <w:vAlign w:val="center"/>
          </w:tcPr>
          <w:p>
            <w:pPr>
              <w:pStyle w:val="1132"/>
              <w:rPr>
                <w:kern w:val="0"/>
              </w:rPr>
            </w:pPr>
            <w:r>
              <w:rPr>
                <w:rFonts w:hint="eastAsia"/>
                <w:kern w:val="0"/>
              </w:rPr>
              <w:t>7.1</w:t>
            </w:r>
          </w:p>
        </w:tc>
        <w:tc>
          <w:tcPr>
            <w:tcW w:w="1967" w:type="dxa"/>
            <w:vAlign w:val="center"/>
          </w:tcPr>
          <w:p>
            <w:pPr>
              <w:pStyle w:val="1132"/>
              <w:rPr>
                <w:kern w:val="0"/>
              </w:rPr>
            </w:pPr>
            <w:r>
              <w:rPr>
                <w:rFonts w:hint="eastAsia"/>
                <w:kern w:val="0"/>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pct"/>
            <w:vAlign w:val="center"/>
          </w:tcPr>
          <w:p>
            <w:pPr>
              <w:pStyle w:val="1132"/>
            </w:pPr>
            <w:r>
              <w:rPr>
                <w:rFonts w:hint="eastAsia"/>
              </w:rPr>
              <w:t>2</w:t>
            </w:r>
          </w:p>
        </w:tc>
        <w:tc>
          <w:tcPr>
            <w:tcW w:w="1493" w:type="pct"/>
            <w:vAlign w:val="center"/>
          </w:tcPr>
          <w:p>
            <w:pPr>
              <w:pStyle w:val="1132"/>
              <w:rPr>
                <w:kern w:val="0"/>
              </w:rPr>
            </w:pPr>
            <w:r>
              <w:rPr>
                <w:kern w:val="0"/>
              </w:rPr>
              <w:t>COD（mg/L）</w:t>
            </w:r>
          </w:p>
        </w:tc>
        <w:tc>
          <w:tcPr>
            <w:tcW w:w="1679" w:type="dxa"/>
            <w:vAlign w:val="center"/>
          </w:tcPr>
          <w:p>
            <w:pPr>
              <w:pStyle w:val="1132"/>
              <w:rPr>
                <w:rFonts w:hint="eastAsia"/>
                <w:kern w:val="0"/>
              </w:rPr>
            </w:pPr>
            <w:r>
              <w:rPr>
                <w:rFonts w:hint="eastAsia"/>
                <w:kern w:val="0"/>
              </w:rPr>
              <w:t>14.6</w:t>
            </w:r>
          </w:p>
        </w:tc>
        <w:tc>
          <w:tcPr>
            <w:tcW w:w="1967" w:type="dxa"/>
            <w:vAlign w:val="center"/>
          </w:tcPr>
          <w:p>
            <w:pPr>
              <w:pStyle w:val="1132"/>
              <w:rPr>
                <w:rFonts w:hint="eastAsia"/>
                <w:kern w:val="0"/>
              </w:rPr>
            </w:pPr>
            <w:r>
              <w:rPr>
                <w:rFonts w:hint="eastAsia"/>
                <w:kern w:val="0"/>
              </w:rPr>
              <w:t>15.6</w:t>
            </w:r>
          </w:p>
        </w:tc>
        <w:tc>
          <w:tcPr>
            <w:tcW w:w="1967" w:type="dxa"/>
            <w:vAlign w:val="center"/>
          </w:tcPr>
          <w:p>
            <w:pPr>
              <w:pStyle w:val="1132"/>
              <w:rPr>
                <w:rFonts w:hint="eastAsia"/>
                <w:kern w:val="0"/>
              </w:rPr>
            </w:pPr>
            <w:r>
              <w:rPr>
                <w:rFonts w:hint="eastAsia"/>
                <w:kern w:val="0"/>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pct"/>
            <w:vAlign w:val="center"/>
          </w:tcPr>
          <w:p>
            <w:pPr>
              <w:pStyle w:val="1132"/>
            </w:pPr>
            <w:r>
              <w:t>3</w:t>
            </w:r>
          </w:p>
        </w:tc>
        <w:tc>
          <w:tcPr>
            <w:tcW w:w="1493" w:type="pct"/>
            <w:tcMar>
              <w:left w:w="0" w:type="dxa"/>
              <w:right w:w="0" w:type="dxa"/>
            </w:tcMar>
            <w:vAlign w:val="center"/>
          </w:tcPr>
          <w:p>
            <w:pPr>
              <w:pStyle w:val="1132"/>
              <w:rPr>
                <w:kern w:val="0"/>
              </w:rPr>
            </w:pPr>
            <w:r>
              <w:rPr>
                <w:rFonts w:hint="eastAsia"/>
                <w:kern w:val="0"/>
              </w:rPr>
              <w:t>B</w:t>
            </w:r>
            <w:r>
              <w:rPr>
                <w:kern w:val="0"/>
              </w:rPr>
              <w:t>OD</w:t>
            </w:r>
            <w:r>
              <w:rPr>
                <w:kern w:val="0"/>
                <w:vertAlign w:val="subscript"/>
              </w:rPr>
              <w:t>5</w:t>
            </w:r>
            <w:r>
              <w:rPr>
                <w:kern w:val="0"/>
              </w:rPr>
              <w:t>（mg/L）</w:t>
            </w:r>
          </w:p>
        </w:tc>
        <w:tc>
          <w:tcPr>
            <w:tcW w:w="1679" w:type="dxa"/>
            <w:vAlign w:val="center"/>
          </w:tcPr>
          <w:p>
            <w:pPr>
              <w:pStyle w:val="1132"/>
              <w:rPr>
                <w:rFonts w:hint="eastAsia"/>
                <w:kern w:val="0"/>
              </w:rPr>
            </w:pPr>
            <w:r>
              <w:rPr>
                <w:rFonts w:hint="eastAsia"/>
                <w:kern w:val="0"/>
              </w:rPr>
              <w:t>3.2</w:t>
            </w:r>
          </w:p>
        </w:tc>
        <w:tc>
          <w:tcPr>
            <w:tcW w:w="1967" w:type="dxa"/>
            <w:vAlign w:val="center"/>
          </w:tcPr>
          <w:p>
            <w:pPr>
              <w:pStyle w:val="1132"/>
              <w:rPr>
                <w:rFonts w:hint="eastAsia"/>
                <w:kern w:val="0"/>
              </w:rPr>
            </w:pPr>
            <w:r>
              <w:rPr>
                <w:rFonts w:hint="eastAsia"/>
                <w:kern w:val="0"/>
              </w:rPr>
              <w:t>3.3</w:t>
            </w:r>
          </w:p>
        </w:tc>
        <w:tc>
          <w:tcPr>
            <w:tcW w:w="1967" w:type="dxa"/>
            <w:vAlign w:val="center"/>
          </w:tcPr>
          <w:p>
            <w:pPr>
              <w:pStyle w:val="1132"/>
              <w:rPr>
                <w:rFonts w:hint="eastAsia"/>
                <w:kern w:val="0"/>
              </w:rPr>
            </w:pPr>
            <w:r>
              <w:rPr>
                <w:rFonts w:hint="eastAsia"/>
                <w:kern w:val="0"/>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pct"/>
            <w:vAlign w:val="center"/>
          </w:tcPr>
          <w:p>
            <w:pPr>
              <w:pStyle w:val="1132"/>
            </w:pPr>
            <w:r>
              <w:t>4</w:t>
            </w:r>
          </w:p>
        </w:tc>
        <w:tc>
          <w:tcPr>
            <w:tcW w:w="1493" w:type="pct"/>
            <w:vAlign w:val="center"/>
          </w:tcPr>
          <w:p>
            <w:pPr>
              <w:pStyle w:val="1132"/>
              <w:rPr>
                <w:kern w:val="0"/>
              </w:rPr>
            </w:pPr>
            <w:r>
              <w:rPr>
                <w:kern w:val="0"/>
              </w:rPr>
              <w:t>氨氮（mg/L）</w:t>
            </w:r>
          </w:p>
        </w:tc>
        <w:tc>
          <w:tcPr>
            <w:tcW w:w="1679" w:type="dxa"/>
            <w:vAlign w:val="center"/>
          </w:tcPr>
          <w:p>
            <w:pPr>
              <w:pStyle w:val="1132"/>
              <w:rPr>
                <w:rFonts w:hint="eastAsia"/>
                <w:kern w:val="0"/>
              </w:rPr>
            </w:pPr>
            <w:r>
              <w:rPr>
                <w:rFonts w:hint="eastAsia"/>
                <w:kern w:val="0"/>
              </w:rPr>
              <w:t>0.359</w:t>
            </w:r>
          </w:p>
        </w:tc>
        <w:tc>
          <w:tcPr>
            <w:tcW w:w="1967" w:type="dxa"/>
            <w:vAlign w:val="center"/>
          </w:tcPr>
          <w:p>
            <w:pPr>
              <w:pStyle w:val="1132"/>
              <w:rPr>
                <w:rFonts w:hint="eastAsia"/>
                <w:kern w:val="0"/>
              </w:rPr>
            </w:pPr>
            <w:r>
              <w:rPr>
                <w:rFonts w:hint="eastAsia"/>
                <w:kern w:val="0"/>
              </w:rPr>
              <w:t>0.286</w:t>
            </w:r>
          </w:p>
        </w:tc>
        <w:tc>
          <w:tcPr>
            <w:tcW w:w="1967" w:type="dxa"/>
            <w:vAlign w:val="center"/>
          </w:tcPr>
          <w:p>
            <w:pPr>
              <w:pStyle w:val="1132"/>
              <w:rPr>
                <w:rFonts w:hint="eastAsia"/>
                <w:kern w:val="0"/>
              </w:rPr>
            </w:pPr>
            <w:r>
              <w:rPr>
                <w:rFonts w:hint="eastAsia"/>
                <w:kern w:val="0"/>
              </w:rPr>
              <w:t>0.423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pPr>
              <w:pStyle w:val="1132"/>
            </w:pPr>
            <w:r>
              <w:t>5</w:t>
            </w:r>
          </w:p>
        </w:tc>
        <w:tc>
          <w:tcPr>
            <w:tcW w:w="1493" w:type="pct"/>
            <w:vAlign w:val="center"/>
          </w:tcPr>
          <w:p>
            <w:pPr>
              <w:pStyle w:val="1132"/>
              <w:rPr>
                <w:rFonts w:hint="default" w:eastAsia="宋体"/>
                <w:kern w:val="0"/>
                <w:lang w:val="en-US" w:eastAsia="zh-CN"/>
              </w:rPr>
            </w:pPr>
            <w:r>
              <w:rPr>
                <w:rFonts w:hint="eastAsia"/>
                <w:kern w:val="0"/>
                <w:lang w:val="en-US" w:eastAsia="zh-CN"/>
              </w:rPr>
              <w:t>SS</w:t>
            </w:r>
            <w:r>
              <w:rPr>
                <w:kern w:val="0"/>
              </w:rPr>
              <w:t>（mg/L）</w:t>
            </w:r>
          </w:p>
        </w:tc>
        <w:tc>
          <w:tcPr>
            <w:tcW w:w="1679" w:type="dxa"/>
            <w:vAlign w:val="center"/>
          </w:tcPr>
          <w:p>
            <w:pPr>
              <w:pStyle w:val="1132"/>
              <w:rPr>
                <w:rFonts w:hint="default" w:eastAsia="宋体"/>
                <w:kern w:val="0"/>
                <w:lang w:val="en-US" w:eastAsia="zh-CN"/>
              </w:rPr>
            </w:pPr>
            <w:r>
              <w:rPr>
                <w:rFonts w:hint="eastAsia"/>
                <w:kern w:val="0"/>
                <w:lang w:val="en-US" w:eastAsia="zh-CN"/>
              </w:rPr>
              <w:t>14</w:t>
            </w:r>
          </w:p>
        </w:tc>
        <w:tc>
          <w:tcPr>
            <w:tcW w:w="1967" w:type="dxa"/>
            <w:vAlign w:val="center"/>
          </w:tcPr>
          <w:p>
            <w:pPr>
              <w:pStyle w:val="1132"/>
              <w:rPr>
                <w:rFonts w:hint="default" w:eastAsia="宋体"/>
                <w:kern w:val="0"/>
                <w:lang w:val="en-US" w:eastAsia="zh-CN"/>
              </w:rPr>
            </w:pPr>
            <w:r>
              <w:rPr>
                <w:rFonts w:hint="eastAsia"/>
                <w:kern w:val="0"/>
                <w:lang w:val="en-US" w:eastAsia="zh-CN"/>
              </w:rPr>
              <w:t>15</w:t>
            </w:r>
          </w:p>
        </w:tc>
        <w:tc>
          <w:tcPr>
            <w:tcW w:w="1967" w:type="dxa"/>
            <w:vAlign w:val="center"/>
          </w:tcPr>
          <w:p>
            <w:pPr>
              <w:pStyle w:val="1132"/>
              <w:rPr>
                <w:rFonts w:hint="default" w:eastAsia="宋体"/>
                <w:kern w:val="0"/>
                <w:lang w:val="en-US" w:eastAsia="zh-CN"/>
              </w:rPr>
            </w:pPr>
            <w:r>
              <w:rPr>
                <w:rFonts w:hint="eastAsia"/>
                <w:kern w:val="0"/>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pPr>
              <w:pStyle w:val="1132"/>
            </w:pPr>
            <w:r>
              <w:t>6</w:t>
            </w:r>
          </w:p>
        </w:tc>
        <w:tc>
          <w:tcPr>
            <w:tcW w:w="1493" w:type="pct"/>
            <w:vAlign w:val="center"/>
          </w:tcPr>
          <w:p>
            <w:pPr>
              <w:pStyle w:val="1132"/>
              <w:rPr>
                <w:kern w:val="0"/>
              </w:rPr>
            </w:pPr>
            <w:r>
              <w:rPr>
                <w:kern w:val="0"/>
              </w:rPr>
              <w:t>总磷（mg/L）</w:t>
            </w:r>
          </w:p>
        </w:tc>
        <w:tc>
          <w:tcPr>
            <w:tcW w:w="1679" w:type="dxa"/>
            <w:vAlign w:val="center"/>
          </w:tcPr>
          <w:p>
            <w:pPr>
              <w:pStyle w:val="1132"/>
              <w:rPr>
                <w:rFonts w:hint="eastAsia"/>
                <w:kern w:val="0"/>
              </w:rPr>
            </w:pPr>
            <w:r>
              <w:rPr>
                <w:rFonts w:hint="eastAsia"/>
                <w:kern w:val="0"/>
              </w:rPr>
              <w:t>0.190</w:t>
            </w:r>
          </w:p>
        </w:tc>
        <w:tc>
          <w:tcPr>
            <w:tcW w:w="1967" w:type="dxa"/>
            <w:vAlign w:val="center"/>
          </w:tcPr>
          <w:p>
            <w:pPr>
              <w:pStyle w:val="1132"/>
              <w:rPr>
                <w:rFonts w:hint="eastAsia"/>
                <w:kern w:val="0"/>
              </w:rPr>
            </w:pPr>
            <w:r>
              <w:rPr>
                <w:rFonts w:hint="eastAsia"/>
                <w:kern w:val="0"/>
              </w:rPr>
              <w:t>0.195</w:t>
            </w:r>
          </w:p>
        </w:tc>
        <w:tc>
          <w:tcPr>
            <w:tcW w:w="1967" w:type="dxa"/>
            <w:vAlign w:val="center"/>
          </w:tcPr>
          <w:p>
            <w:pPr>
              <w:pStyle w:val="1132"/>
              <w:rPr>
                <w:rFonts w:hint="eastAsia"/>
                <w:kern w:val="0"/>
              </w:rPr>
            </w:pPr>
            <w:r>
              <w:rPr>
                <w:rFonts w:hint="eastAsia"/>
                <w:kern w:val="0"/>
              </w:rPr>
              <w:t>0.188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pct"/>
            <w:vAlign w:val="center"/>
          </w:tcPr>
          <w:p>
            <w:pPr>
              <w:pStyle w:val="1132"/>
              <w:rPr>
                <w:rFonts w:hint="eastAsia" w:eastAsia="宋体"/>
                <w:lang w:val="en-US" w:eastAsia="zh-CN"/>
              </w:rPr>
            </w:pPr>
            <w:r>
              <w:rPr>
                <w:rFonts w:hint="eastAsia"/>
                <w:lang w:val="en-US" w:eastAsia="zh-CN"/>
              </w:rPr>
              <w:t>7</w:t>
            </w:r>
          </w:p>
        </w:tc>
        <w:tc>
          <w:tcPr>
            <w:tcW w:w="1493" w:type="pct"/>
            <w:vAlign w:val="center"/>
          </w:tcPr>
          <w:p>
            <w:pPr>
              <w:pStyle w:val="1132"/>
              <w:rPr>
                <w:kern w:val="0"/>
              </w:rPr>
            </w:pPr>
            <w:r>
              <w:rPr>
                <w:kern w:val="0"/>
              </w:rPr>
              <w:t>石油类（mg/L）</w:t>
            </w:r>
          </w:p>
        </w:tc>
        <w:tc>
          <w:tcPr>
            <w:tcW w:w="1679" w:type="dxa"/>
            <w:vAlign w:val="center"/>
          </w:tcPr>
          <w:p>
            <w:pPr>
              <w:pStyle w:val="1132"/>
              <w:rPr>
                <w:kern w:val="0"/>
              </w:rPr>
            </w:pPr>
            <w:r>
              <w:rPr>
                <w:rFonts w:hint="eastAsia"/>
                <w:kern w:val="0"/>
              </w:rPr>
              <w:t>0.04</w:t>
            </w:r>
          </w:p>
        </w:tc>
        <w:tc>
          <w:tcPr>
            <w:tcW w:w="1967" w:type="dxa"/>
            <w:vAlign w:val="center"/>
          </w:tcPr>
          <w:p>
            <w:pPr>
              <w:pStyle w:val="1132"/>
              <w:rPr>
                <w:kern w:val="0"/>
              </w:rPr>
            </w:pPr>
            <w:r>
              <w:rPr>
                <w:rFonts w:hint="eastAsia"/>
                <w:kern w:val="0"/>
              </w:rPr>
              <w:t>0.04</w:t>
            </w:r>
          </w:p>
        </w:tc>
        <w:tc>
          <w:tcPr>
            <w:tcW w:w="1967" w:type="dxa"/>
            <w:vAlign w:val="center"/>
          </w:tcPr>
          <w:p>
            <w:pPr>
              <w:pStyle w:val="1132"/>
              <w:rPr>
                <w:kern w:val="0"/>
              </w:rPr>
            </w:pPr>
            <w:r>
              <w:rPr>
                <w:rFonts w:hint="eastAsia"/>
                <w:kern w:val="0"/>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pct"/>
            <w:vAlign w:val="center"/>
          </w:tcPr>
          <w:p>
            <w:pPr>
              <w:pStyle w:val="1132"/>
            </w:pPr>
            <w:r>
              <w:t>备注</w:t>
            </w:r>
          </w:p>
        </w:tc>
        <w:tc>
          <w:tcPr>
            <w:tcW w:w="4515" w:type="pct"/>
            <w:gridSpan w:val="4"/>
            <w:vAlign w:val="center"/>
          </w:tcPr>
          <w:p>
            <w:pPr>
              <w:pStyle w:val="1132"/>
              <w:jc w:val="both"/>
            </w:pPr>
            <w:r>
              <w:rPr>
                <w:rFonts w:hint="eastAsia"/>
              </w:rPr>
              <w:t>当检测结果低于检出限时报检出限并加L。</w:t>
            </w:r>
          </w:p>
          <w:p>
            <w:pPr>
              <w:pStyle w:val="1132"/>
              <w:jc w:val="both"/>
            </w:pPr>
            <w:r>
              <w:t>点位名称：W1为</w:t>
            </w:r>
            <w:r>
              <w:rPr>
                <w:rFonts w:hint="eastAsia"/>
              </w:rPr>
              <w:t>清沟河</w:t>
            </w:r>
            <w:r>
              <w:t>。</w:t>
            </w:r>
          </w:p>
        </w:tc>
      </w:tr>
    </w:tbl>
    <w:p>
      <w:pPr>
        <w:pStyle w:val="8"/>
        <w:rPr>
          <w:b/>
          <w:bCs/>
        </w:rPr>
      </w:pPr>
      <w:bookmarkStart w:id="266" w:name="_Toc13902"/>
      <w:r>
        <w:rPr>
          <w:b/>
          <w:bCs/>
        </w:rPr>
        <w:t>现状评价</w:t>
      </w:r>
      <w:bookmarkEnd w:id="266"/>
    </w:p>
    <w:p>
      <w:pPr>
        <w:pStyle w:val="9"/>
      </w:pPr>
      <w:bookmarkStart w:id="267" w:name="_Toc11016"/>
      <w:r>
        <w:t>评价标准</w:t>
      </w:r>
      <w:bookmarkEnd w:id="267"/>
    </w:p>
    <w:p>
      <w:pPr>
        <w:widowControl/>
        <w:ind w:firstLine="480" w:firstLineChars="200"/>
      </w:pPr>
      <w:r>
        <w:rPr>
          <w:rFonts w:hint="eastAsia"/>
        </w:rPr>
        <w:t>清沟河</w:t>
      </w:r>
      <w:r>
        <w:t>执行《地表水环境质量标准》（GB3838-2002）中的ⅡI类标准</w:t>
      </w:r>
      <w:r>
        <w:rPr>
          <w:rFonts w:hint="eastAsia"/>
        </w:rPr>
        <w:t>，</w:t>
      </w:r>
      <w:r>
        <w:t>标准限值见表4.2-3。</w:t>
      </w:r>
    </w:p>
    <w:p>
      <w:pPr>
        <w:pStyle w:val="19"/>
        <w:ind w:firstLine="482"/>
        <w:rPr>
          <w:sz w:val="21"/>
          <w:szCs w:val="21"/>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r>
        <w:t xml:space="preserve"> </w:t>
      </w:r>
      <w:r>
        <w:rPr>
          <w:rFonts w:hint="eastAsia"/>
        </w:rPr>
        <w:t xml:space="preserve"> </w:t>
      </w:r>
      <w:r>
        <w:t>《地表水环境质量标准》（GB3838-2002）</w:t>
      </w:r>
      <w:r>
        <w:rPr>
          <w:bCs/>
          <w:sz w:val="21"/>
          <w:szCs w:val="21"/>
        </w:rPr>
        <w:t>单位:mg/L pH为无量纲</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7"/>
        <w:gridCol w:w="1113"/>
        <w:gridCol w:w="1113"/>
        <w:gridCol w:w="1113"/>
        <w:gridCol w:w="1113"/>
        <w:gridCol w:w="1113"/>
        <w:gridCol w:w="1113"/>
        <w:gridCol w:w="11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6" w:type="pct"/>
            <w:vAlign w:val="center"/>
          </w:tcPr>
          <w:p>
            <w:pPr>
              <w:pStyle w:val="1132"/>
              <w:rPr>
                <w:b/>
                <w:bCs w:val="0"/>
              </w:rPr>
            </w:pPr>
            <w:r>
              <w:rPr>
                <w:b/>
                <w:bCs w:val="0"/>
              </w:rPr>
              <w:t>分类</w:t>
            </w:r>
          </w:p>
        </w:tc>
        <w:tc>
          <w:tcPr>
            <w:tcW w:w="599" w:type="pct"/>
            <w:vAlign w:val="center"/>
          </w:tcPr>
          <w:p>
            <w:pPr>
              <w:pStyle w:val="1132"/>
              <w:rPr>
                <w:b/>
                <w:bCs w:val="0"/>
              </w:rPr>
            </w:pPr>
            <w:r>
              <w:rPr>
                <w:b/>
                <w:bCs w:val="0"/>
              </w:rPr>
              <w:t>pH</w:t>
            </w:r>
          </w:p>
        </w:tc>
        <w:tc>
          <w:tcPr>
            <w:tcW w:w="599" w:type="pct"/>
            <w:vAlign w:val="center"/>
          </w:tcPr>
          <w:p>
            <w:pPr>
              <w:pStyle w:val="1132"/>
              <w:rPr>
                <w:b/>
                <w:bCs w:val="0"/>
              </w:rPr>
            </w:pPr>
            <w:r>
              <w:rPr>
                <w:b/>
                <w:bCs w:val="0"/>
              </w:rPr>
              <w:t>COD</w:t>
            </w:r>
          </w:p>
        </w:tc>
        <w:tc>
          <w:tcPr>
            <w:tcW w:w="599" w:type="pct"/>
            <w:vAlign w:val="center"/>
          </w:tcPr>
          <w:p>
            <w:pPr>
              <w:pStyle w:val="1132"/>
              <w:rPr>
                <w:b/>
                <w:bCs w:val="0"/>
              </w:rPr>
            </w:pPr>
            <w:r>
              <w:rPr>
                <w:rFonts w:hint="eastAsia"/>
                <w:b/>
                <w:bCs w:val="0"/>
              </w:rPr>
              <w:t>B</w:t>
            </w:r>
            <w:r>
              <w:rPr>
                <w:b/>
                <w:bCs w:val="0"/>
              </w:rPr>
              <w:t>OD</w:t>
            </w:r>
            <w:r>
              <w:rPr>
                <w:b/>
                <w:bCs w:val="0"/>
                <w:vertAlign w:val="subscript"/>
              </w:rPr>
              <w:t>5</w:t>
            </w:r>
          </w:p>
        </w:tc>
        <w:tc>
          <w:tcPr>
            <w:tcW w:w="599" w:type="pct"/>
            <w:vAlign w:val="center"/>
          </w:tcPr>
          <w:p>
            <w:pPr>
              <w:pStyle w:val="1132"/>
              <w:rPr>
                <w:b/>
                <w:bCs w:val="0"/>
              </w:rPr>
            </w:pPr>
            <w:r>
              <w:rPr>
                <w:b/>
                <w:bCs w:val="0"/>
              </w:rPr>
              <w:t>氨氮</w:t>
            </w:r>
          </w:p>
        </w:tc>
        <w:tc>
          <w:tcPr>
            <w:tcW w:w="599" w:type="pct"/>
            <w:vAlign w:val="center"/>
          </w:tcPr>
          <w:p>
            <w:pPr>
              <w:pStyle w:val="1132"/>
              <w:rPr>
                <w:rFonts w:hint="default" w:eastAsia="宋体"/>
                <w:b/>
                <w:bCs w:val="0"/>
                <w:lang w:val="en-US" w:eastAsia="zh-CN"/>
              </w:rPr>
            </w:pPr>
            <w:r>
              <w:rPr>
                <w:rFonts w:hint="eastAsia"/>
                <w:b/>
                <w:bCs w:val="0"/>
                <w:lang w:val="en-US" w:eastAsia="zh-CN"/>
              </w:rPr>
              <w:t>SS</w:t>
            </w:r>
          </w:p>
        </w:tc>
        <w:tc>
          <w:tcPr>
            <w:tcW w:w="599" w:type="pct"/>
            <w:vAlign w:val="center"/>
          </w:tcPr>
          <w:p>
            <w:pPr>
              <w:pStyle w:val="1132"/>
              <w:rPr>
                <w:b/>
                <w:bCs w:val="0"/>
              </w:rPr>
            </w:pPr>
            <w:r>
              <w:rPr>
                <w:b/>
                <w:bCs w:val="0"/>
              </w:rPr>
              <w:t>TP</w:t>
            </w:r>
          </w:p>
        </w:tc>
        <w:tc>
          <w:tcPr>
            <w:tcW w:w="596" w:type="pct"/>
            <w:vAlign w:val="center"/>
          </w:tcPr>
          <w:p>
            <w:pPr>
              <w:pStyle w:val="1132"/>
              <w:rPr>
                <w:b/>
                <w:bCs w:val="0"/>
              </w:rPr>
            </w:pPr>
            <w:r>
              <w:rPr>
                <w:b/>
                <w:bCs w:val="0"/>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806" w:type="pct"/>
            <w:vAlign w:val="center"/>
          </w:tcPr>
          <w:p>
            <w:pPr>
              <w:pStyle w:val="1132"/>
            </w:pPr>
            <w:r>
              <w:t>《地表水环境质量标准》（GB3838-2002）</w:t>
            </w:r>
            <w:r>
              <w:rPr>
                <w:rFonts w:hint="eastAsia"/>
              </w:rPr>
              <w:t>I</w:t>
            </w:r>
            <w:r>
              <w:t>II类标准</w:t>
            </w:r>
          </w:p>
        </w:tc>
        <w:tc>
          <w:tcPr>
            <w:tcW w:w="599" w:type="pct"/>
            <w:vAlign w:val="center"/>
          </w:tcPr>
          <w:p>
            <w:pPr>
              <w:pStyle w:val="1132"/>
            </w:pPr>
            <w:r>
              <w:t>6~9</w:t>
            </w:r>
          </w:p>
        </w:tc>
        <w:tc>
          <w:tcPr>
            <w:tcW w:w="599" w:type="pct"/>
            <w:vAlign w:val="center"/>
          </w:tcPr>
          <w:p>
            <w:pPr>
              <w:pStyle w:val="1132"/>
            </w:pPr>
            <w:r>
              <w:t>20</w:t>
            </w:r>
          </w:p>
        </w:tc>
        <w:tc>
          <w:tcPr>
            <w:tcW w:w="599" w:type="pct"/>
            <w:vAlign w:val="center"/>
          </w:tcPr>
          <w:p>
            <w:pPr>
              <w:pStyle w:val="1132"/>
              <w:rPr>
                <w:rFonts w:hint="eastAsia" w:eastAsia="宋体"/>
                <w:lang w:eastAsia="zh-CN"/>
              </w:rPr>
            </w:pPr>
            <w:r>
              <w:rPr>
                <w:rFonts w:hint="eastAsia"/>
                <w:lang w:val="en-US" w:eastAsia="zh-CN"/>
              </w:rPr>
              <w:t>4</w:t>
            </w:r>
          </w:p>
        </w:tc>
        <w:tc>
          <w:tcPr>
            <w:tcW w:w="599" w:type="pct"/>
            <w:vAlign w:val="center"/>
          </w:tcPr>
          <w:p>
            <w:pPr>
              <w:pStyle w:val="1132"/>
              <w:rPr>
                <w:rFonts w:hint="default" w:eastAsia="宋体"/>
                <w:lang w:val="en-US" w:eastAsia="zh-CN"/>
              </w:rPr>
            </w:pPr>
            <w:r>
              <w:t>1</w:t>
            </w:r>
            <w:r>
              <w:rPr>
                <w:rFonts w:hint="eastAsia"/>
                <w:lang w:eastAsia="zh-CN"/>
              </w:rPr>
              <w:t>.</w:t>
            </w:r>
            <w:r>
              <w:rPr>
                <w:rFonts w:hint="eastAsia"/>
                <w:lang w:val="en-US" w:eastAsia="zh-CN"/>
              </w:rPr>
              <w:t>0</w:t>
            </w:r>
          </w:p>
        </w:tc>
        <w:tc>
          <w:tcPr>
            <w:tcW w:w="599" w:type="pct"/>
            <w:vAlign w:val="center"/>
          </w:tcPr>
          <w:p>
            <w:pPr>
              <w:pStyle w:val="1132"/>
              <w:rPr>
                <w:rFonts w:hint="default" w:eastAsia="宋体"/>
                <w:lang w:val="en-US" w:eastAsia="zh-CN"/>
              </w:rPr>
            </w:pPr>
            <w:r>
              <w:rPr>
                <w:rFonts w:hint="eastAsia"/>
                <w:lang w:val="en-US" w:eastAsia="zh-CN"/>
              </w:rPr>
              <w:t>/</w:t>
            </w:r>
          </w:p>
        </w:tc>
        <w:tc>
          <w:tcPr>
            <w:tcW w:w="599" w:type="pct"/>
            <w:vAlign w:val="center"/>
          </w:tcPr>
          <w:p>
            <w:pPr>
              <w:pStyle w:val="1132"/>
            </w:pPr>
            <w:r>
              <w:t>0.2(湖、库0.05)</w:t>
            </w:r>
          </w:p>
        </w:tc>
        <w:tc>
          <w:tcPr>
            <w:tcW w:w="596" w:type="pct"/>
            <w:vAlign w:val="center"/>
          </w:tcPr>
          <w:p>
            <w:pPr>
              <w:pStyle w:val="1132"/>
            </w:pPr>
            <w: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806" w:type="pct"/>
            <w:vAlign w:val="center"/>
          </w:tcPr>
          <w:p>
            <w:pPr>
              <w:pStyle w:val="1132"/>
              <w:rPr>
                <w:rFonts w:hint="default" w:eastAsia="宋体"/>
                <w:lang w:val="en-US" w:eastAsia="zh-CN"/>
              </w:rPr>
            </w:pPr>
            <w:r>
              <w:rPr>
                <w:rFonts w:hint="eastAsia"/>
                <w:lang w:eastAsia="zh-CN"/>
              </w:rPr>
              <w:t>《</w:t>
            </w:r>
            <w:r>
              <w:rPr>
                <w:rFonts w:hint="eastAsia"/>
                <w:lang w:val="en-US" w:eastAsia="zh-CN"/>
              </w:rPr>
              <w:t>地表水资源质量标准</w:t>
            </w:r>
            <w:r>
              <w:rPr>
                <w:rFonts w:hint="eastAsia"/>
                <w:lang w:eastAsia="zh-CN"/>
              </w:rPr>
              <w:t>》（</w:t>
            </w:r>
            <w:r>
              <w:rPr>
                <w:rFonts w:hint="eastAsia"/>
                <w:lang w:val="en-US" w:eastAsia="zh-CN"/>
              </w:rPr>
              <w:t>SL63-94</w:t>
            </w:r>
            <w:r>
              <w:rPr>
                <w:rFonts w:hint="eastAsia"/>
                <w:lang w:eastAsia="zh-CN"/>
              </w:rPr>
              <w:t>）</w:t>
            </w:r>
            <w:r>
              <w:rPr>
                <w:rFonts w:hint="eastAsia"/>
                <w:lang w:val="en-US" w:eastAsia="zh-CN"/>
              </w:rPr>
              <w:t>三级标准</w:t>
            </w:r>
          </w:p>
        </w:tc>
        <w:tc>
          <w:tcPr>
            <w:tcW w:w="599" w:type="pct"/>
            <w:vAlign w:val="center"/>
          </w:tcPr>
          <w:p>
            <w:pPr>
              <w:pStyle w:val="1132"/>
              <w:rPr>
                <w:rFonts w:hint="eastAsia" w:eastAsia="宋体"/>
                <w:lang w:val="en-US" w:eastAsia="zh-CN"/>
              </w:rPr>
            </w:pPr>
            <w:r>
              <w:rPr>
                <w:rFonts w:hint="eastAsia"/>
                <w:lang w:val="en-US" w:eastAsia="zh-CN"/>
              </w:rPr>
              <w:t>/</w:t>
            </w:r>
          </w:p>
        </w:tc>
        <w:tc>
          <w:tcPr>
            <w:tcW w:w="599" w:type="pct"/>
            <w:vAlign w:val="center"/>
          </w:tcPr>
          <w:p>
            <w:pPr>
              <w:pStyle w:val="1132"/>
              <w:rPr>
                <w:rFonts w:hint="eastAsia" w:eastAsia="宋体"/>
                <w:lang w:val="en-US" w:eastAsia="zh-CN"/>
              </w:rPr>
            </w:pPr>
            <w:r>
              <w:rPr>
                <w:rFonts w:hint="eastAsia"/>
                <w:lang w:val="en-US" w:eastAsia="zh-CN"/>
              </w:rPr>
              <w:t>/</w:t>
            </w:r>
          </w:p>
        </w:tc>
        <w:tc>
          <w:tcPr>
            <w:tcW w:w="599" w:type="pct"/>
            <w:vAlign w:val="center"/>
          </w:tcPr>
          <w:p>
            <w:pPr>
              <w:pStyle w:val="1132"/>
              <w:rPr>
                <w:rFonts w:hint="default"/>
                <w:lang w:val="en-US" w:eastAsia="zh-CN"/>
              </w:rPr>
            </w:pPr>
            <w:r>
              <w:rPr>
                <w:rFonts w:hint="eastAsia"/>
                <w:lang w:val="en-US" w:eastAsia="zh-CN"/>
              </w:rPr>
              <w:t>/</w:t>
            </w:r>
          </w:p>
        </w:tc>
        <w:tc>
          <w:tcPr>
            <w:tcW w:w="599" w:type="pct"/>
            <w:vAlign w:val="center"/>
          </w:tcPr>
          <w:p>
            <w:pPr>
              <w:pStyle w:val="1132"/>
              <w:rPr>
                <w:rFonts w:hint="eastAsia" w:eastAsia="宋体"/>
                <w:lang w:val="en-US" w:eastAsia="zh-CN"/>
              </w:rPr>
            </w:pPr>
            <w:r>
              <w:rPr>
                <w:rFonts w:hint="eastAsia"/>
                <w:lang w:val="en-US" w:eastAsia="zh-CN"/>
              </w:rPr>
              <w:t>/</w:t>
            </w:r>
          </w:p>
        </w:tc>
        <w:tc>
          <w:tcPr>
            <w:tcW w:w="599" w:type="pct"/>
            <w:vAlign w:val="center"/>
          </w:tcPr>
          <w:p>
            <w:pPr>
              <w:pStyle w:val="1132"/>
              <w:rPr>
                <w:rFonts w:hint="default" w:eastAsia="宋体"/>
                <w:lang w:val="en-US" w:eastAsia="zh-CN"/>
              </w:rPr>
            </w:pPr>
            <w:r>
              <w:rPr>
                <w:rFonts w:hint="eastAsia"/>
                <w:lang w:val="en-US" w:eastAsia="zh-CN"/>
              </w:rPr>
              <w:t>30</w:t>
            </w:r>
          </w:p>
        </w:tc>
        <w:tc>
          <w:tcPr>
            <w:tcW w:w="599" w:type="pct"/>
            <w:vAlign w:val="center"/>
          </w:tcPr>
          <w:p>
            <w:pPr>
              <w:pStyle w:val="1132"/>
              <w:rPr>
                <w:rFonts w:hint="eastAsia" w:eastAsia="宋体"/>
                <w:lang w:val="en-US" w:eastAsia="zh-CN"/>
              </w:rPr>
            </w:pPr>
            <w:r>
              <w:rPr>
                <w:rFonts w:hint="eastAsia"/>
                <w:lang w:val="en-US" w:eastAsia="zh-CN"/>
              </w:rPr>
              <w:t>/</w:t>
            </w:r>
          </w:p>
        </w:tc>
        <w:tc>
          <w:tcPr>
            <w:tcW w:w="596" w:type="pct"/>
            <w:vAlign w:val="center"/>
          </w:tcPr>
          <w:p>
            <w:pPr>
              <w:pStyle w:val="1132"/>
              <w:rPr>
                <w:rFonts w:hint="eastAsia" w:eastAsia="宋体"/>
                <w:lang w:val="en-US" w:eastAsia="zh-CN"/>
              </w:rPr>
            </w:pPr>
            <w:r>
              <w:rPr>
                <w:rFonts w:hint="eastAsia"/>
                <w:lang w:val="en-US" w:eastAsia="zh-CN"/>
              </w:rPr>
              <w:t>/</w:t>
            </w:r>
          </w:p>
        </w:tc>
      </w:tr>
    </w:tbl>
    <w:p>
      <w:pPr>
        <w:pStyle w:val="9"/>
      </w:pPr>
      <w:bookmarkStart w:id="268" w:name="_Toc9292"/>
      <w:r>
        <w:t>评价方法</w:t>
      </w:r>
      <w:bookmarkEnd w:id="268"/>
    </w:p>
    <w:p>
      <w:pPr>
        <w:ind w:firstLine="480"/>
      </w:pPr>
      <w:r>
        <w:t>一般性水质因子的指数计算公式：</w:t>
      </w:r>
    </w:p>
    <w:p>
      <w:pPr>
        <w:ind w:firstLine="480"/>
        <w:jc w:val="center"/>
      </w:pPr>
      <w:r>
        <w:drawing>
          <wp:inline distT="0" distB="0" distL="0" distR="0">
            <wp:extent cx="786765" cy="497840"/>
            <wp:effectExtent l="0" t="0" r="0" b="0"/>
            <wp:docPr id="1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图片 1"/>
                    <pic:cNvPicPr>
                      <a:picLocks noChangeAspect="1" noChangeArrowheads="1"/>
                    </pic:cNvPicPr>
                  </pic:nvPicPr>
                  <pic:blipFill>
                    <a:blip r:embed="rId7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786765" cy="497840"/>
                    </a:xfrm>
                    <a:prstGeom prst="rect">
                      <a:avLst/>
                    </a:prstGeom>
                    <a:noFill/>
                    <a:ln>
                      <a:noFill/>
                    </a:ln>
                    <a:effectLst/>
                  </pic:spPr>
                </pic:pic>
              </a:graphicData>
            </a:graphic>
          </wp:inline>
        </w:drawing>
      </w:r>
    </w:p>
    <w:p>
      <w:pPr>
        <w:ind w:firstLine="480"/>
      </w:pPr>
      <w:r>
        <w:t>式中：</w:t>
      </w:r>
    </w:p>
    <w:p>
      <w:pPr>
        <w:ind w:firstLine="480"/>
      </w:pPr>
      <w:r>
        <w:t>S</w:t>
      </w:r>
      <w:r>
        <w:rPr>
          <w:vertAlign w:val="subscript"/>
        </w:rPr>
        <w:t>ij</w:t>
      </w:r>
      <w:r>
        <w:t>——评价因子i的水质指数，大于1表明该水质超标；</w:t>
      </w:r>
    </w:p>
    <w:p>
      <w:pPr>
        <w:ind w:firstLine="480"/>
      </w:pPr>
      <w:r>
        <w:t>C</w:t>
      </w:r>
      <w:r>
        <w:rPr>
          <w:vertAlign w:val="subscript"/>
        </w:rPr>
        <w:t>ij</w:t>
      </w:r>
      <w:r>
        <w:t>——评价因子i在j点的实测统计代表值，mg/L；</w:t>
      </w:r>
    </w:p>
    <w:p>
      <w:pPr>
        <w:ind w:firstLine="480"/>
      </w:pPr>
      <w:r>
        <w:t>C</w:t>
      </w:r>
      <w:r>
        <w:rPr>
          <w:vertAlign w:val="subscript"/>
        </w:rPr>
        <w:t>si</w:t>
      </w:r>
      <w:r>
        <w:t>——评价因子i的水质评价标准限值，mg/L。</w:t>
      </w:r>
    </w:p>
    <w:p>
      <w:pPr>
        <w:ind w:firstLine="480"/>
      </w:pPr>
      <w:r>
        <w:t>pH值的指数计算公式：</w:t>
      </w:r>
    </w:p>
    <w:p>
      <w:pPr>
        <w:widowControl/>
        <w:ind w:firstLine="480"/>
        <w:jc w:val="center"/>
        <w:rPr>
          <w:color w:val="0070C0"/>
        </w:rPr>
      </w:pPr>
      <w:r>
        <w:rPr>
          <w:color w:val="0070C0"/>
        </w:rPr>
        <w:drawing>
          <wp:inline distT="0" distB="0" distL="0" distR="0">
            <wp:extent cx="2008505" cy="497840"/>
            <wp:effectExtent l="0" t="0" r="0" b="0"/>
            <wp:docPr id="12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图片 2"/>
                    <pic:cNvPicPr>
                      <a:picLocks noChangeAspect="1" noChangeArrowheads="1"/>
                    </pic:cNvPicPr>
                  </pic:nvPicPr>
                  <pic:blipFill>
                    <a:blip r:embed="rId8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2008505" cy="497840"/>
                    </a:xfrm>
                    <a:prstGeom prst="rect">
                      <a:avLst/>
                    </a:prstGeom>
                    <a:noFill/>
                    <a:ln>
                      <a:noFill/>
                    </a:ln>
                    <a:effectLst/>
                  </pic:spPr>
                </pic:pic>
              </a:graphicData>
            </a:graphic>
          </wp:inline>
        </w:drawing>
      </w:r>
    </w:p>
    <w:p>
      <w:pPr>
        <w:ind w:firstLine="480"/>
        <w:jc w:val="center"/>
        <w:rPr>
          <w:color w:val="0070C0"/>
        </w:rPr>
      </w:pPr>
      <w:r>
        <w:rPr>
          <w:color w:val="0070C0"/>
        </w:rPr>
        <w:drawing>
          <wp:inline distT="0" distB="0" distL="0" distR="0">
            <wp:extent cx="1996440" cy="544195"/>
            <wp:effectExtent l="0" t="0" r="0" b="0"/>
            <wp:docPr id="12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图片 3"/>
                    <pic:cNvPicPr>
                      <a:picLocks noChangeAspect="1" noChangeArrowheads="1"/>
                    </pic:cNvPicPr>
                  </pic:nvPicPr>
                  <pic:blipFill>
                    <a:blip r:embed="rId8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996440" cy="544195"/>
                    </a:xfrm>
                    <a:prstGeom prst="rect">
                      <a:avLst/>
                    </a:prstGeom>
                    <a:noFill/>
                    <a:ln>
                      <a:noFill/>
                    </a:ln>
                    <a:effectLst/>
                  </pic:spPr>
                </pic:pic>
              </a:graphicData>
            </a:graphic>
          </wp:inline>
        </w:drawing>
      </w:r>
    </w:p>
    <w:p>
      <w:pPr>
        <w:ind w:firstLine="480"/>
      </w:pPr>
      <w:r>
        <w:t>式中：</w:t>
      </w:r>
    </w:p>
    <w:p>
      <w:pPr>
        <w:ind w:firstLine="480"/>
      </w:pPr>
      <w:r>
        <w:t>S</w:t>
      </w:r>
      <w:r>
        <w:rPr>
          <w:vertAlign w:val="subscript"/>
        </w:rPr>
        <w:t>pH,j</w:t>
      </w:r>
      <w:r>
        <w:t>——pH值的指数，大于1表明该水质因子超标；</w:t>
      </w:r>
    </w:p>
    <w:p>
      <w:pPr>
        <w:ind w:firstLine="480"/>
      </w:pPr>
      <w:r>
        <w:t>pH</w:t>
      </w:r>
      <w:r>
        <w:rPr>
          <w:vertAlign w:val="subscript"/>
        </w:rPr>
        <w:t>j</w:t>
      </w:r>
      <w:r>
        <w:t>——pH 值实测统计代表值；</w:t>
      </w:r>
    </w:p>
    <w:p>
      <w:pPr>
        <w:ind w:firstLine="480"/>
      </w:pPr>
      <w:r>
        <w:t>pH</w:t>
      </w:r>
      <w:r>
        <w:rPr>
          <w:vertAlign w:val="subscript"/>
        </w:rPr>
        <w:t>sd</w:t>
      </w:r>
      <w:r>
        <w:t>——评价标准中pH值的下限值；</w:t>
      </w:r>
    </w:p>
    <w:p>
      <w:pPr>
        <w:widowControl/>
        <w:ind w:firstLine="480" w:firstLineChars="200"/>
      </w:pPr>
      <w:r>
        <w:t>pH</w:t>
      </w:r>
      <w:r>
        <w:rPr>
          <w:vertAlign w:val="subscript"/>
        </w:rPr>
        <w:t>su</w:t>
      </w:r>
      <w:r>
        <w:t>——评价标准中pH值的上限值。</w:t>
      </w:r>
    </w:p>
    <w:p>
      <w:pPr>
        <w:pStyle w:val="9"/>
      </w:pPr>
      <w:bookmarkStart w:id="269" w:name="_Toc23609"/>
      <w:r>
        <w:t>评价结果</w:t>
      </w:r>
      <w:bookmarkEnd w:id="269"/>
    </w:p>
    <w:p>
      <w:pPr>
        <w:pStyle w:val="10"/>
        <w:ind w:firstLine="480"/>
      </w:pPr>
      <w:r>
        <w:t>地表水环境质量现状监测评价结果见表4.2-4</w:t>
      </w:r>
      <w:r>
        <w:rPr>
          <w:rFonts w:hint="eastAsia"/>
        </w:rPr>
        <w:t>。</w:t>
      </w:r>
    </w:p>
    <w:p>
      <w:pPr>
        <w:pStyle w:val="19"/>
        <w:ind w:firstLine="482"/>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t xml:space="preserve">  拟建项目区域地表水水质评价结果</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5"/>
        <w:gridCol w:w="1144"/>
        <w:gridCol w:w="730"/>
        <w:gridCol w:w="856"/>
        <w:gridCol w:w="871"/>
        <w:gridCol w:w="730"/>
        <w:gridCol w:w="921"/>
        <w:gridCol w:w="865"/>
        <w:gridCol w:w="854"/>
        <w:gridCol w:w="719"/>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6" w:type="pct"/>
            <w:vMerge w:val="restart"/>
            <w:vAlign w:val="center"/>
          </w:tcPr>
          <w:p>
            <w:pPr>
              <w:pStyle w:val="1132"/>
            </w:pPr>
            <w:r>
              <w:t>序号</w:t>
            </w:r>
          </w:p>
        </w:tc>
        <w:tc>
          <w:tcPr>
            <w:tcW w:w="616" w:type="pct"/>
            <w:vMerge w:val="restart"/>
            <w:vAlign w:val="center"/>
          </w:tcPr>
          <w:p>
            <w:pPr>
              <w:pStyle w:val="1132"/>
            </w:pPr>
            <w:r>
              <w:t>检测项目</w:t>
            </w:r>
            <w:r>
              <w:rPr>
                <w:rFonts w:hint="eastAsia"/>
              </w:rPr>
              <w:t>（mg</w:t>
            </w:r>
            <w:r>
              <w:t>/L</w:t>
            </w:r>
            <w:r>
              <w:rPr>
                <w:rFonts w:hint="eastAsia"/>
              </w:rPr>
              <w:t>）</w:t>
            </w:r>
          </w:p>
        </w:tc>
        <w:tc>
          <w:tcPr>
            <w:tcW w:w="1323" w:type="pct"/>
            <w:gridSpan w:val="3"/>
            <w:vAlign w:val="center"/>
          </w:tcPr>
          <w:p>
            <w:pPr>
              <w:pStyle w:val="1132"/>
            </w:pPr>
            <w:r>
              <w:t>检测结果</w:t>
            </w:r>
          </w:p>
        </w:tc>
        <w:tc>
          <w:tcPr>
            <w:tcW w:w="2735" w:type="pct"/>
            <w:gridSpan w:val="6"/>
            <w:vAlign w:val="center"/>
          </w:tcPr>
          <w:p>
            <w:pPr>
              <w:pStyle w:val="1132"/>
            </w:pPr>
            <w: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6" w:type="pct"/>
            <w:vMerge w:val="continue"/>
            <w:vAlign w:val="center"/>
          </w:tcPr>
          <w:p>
            <w:pPr>
              <w:pStyle w:val="1132"/>
            </w:pPr>
          </w:p>
        </w:tc>
        <w:tc>
          <w:tcPr>
            <w:tcW w:w="616" w:type="pct"/>
            <w:vMerge w:val="continue"/>
            <w:vAlign w:val="center"/>
          </w:tcPr>
          <w:p>
            <w:pPr>
              <w:pStyle w:val="1132"/>
            </w:pPr>
          </w:p>
        </w:tc>
        <w:tc>
          <w:tcPr>
            <w:tcW w:w="1323" w:type="pct"/>
            <w:gridSpan w:val="3"/>
            <w:vAlign w:val="center"/>
          </w:tcPr>
          <w:p>
            <w:pPr>
              <w:pStyle w:val="1132"/>
            </w:pPr>
            <w:r>
              <w:rPr>
                <w:rFonts w:hint="eastAsia"/>
              </w:rPr>
              <w:t>2</w:t>
            </w:r>
            <w:r>
              <w:t>022.10.13</w:t>
            </w:r>
          </w:p>
        </w:tc>
        <w:tc>
          <w:tcPr>
            <w:tcW w:w="1355" w:type="pct"/>
            <w:gridSpan w:val="3"/>
            <w:tcBorders>
              <w:top w:val="single" w:color="auto" w:sz="4" w:space="0"/>
            </w:tcBorders>
            <w:tcMar>
              <w:left w:w="0" w:type="dxa"/>
              <w:right w:w="0" w:type="dxa"/>
            </w:tcMar>
            <w:vAlign w:val="center"/>
          </w:tcPr>
          <w:p>
            <w:pPr>
              <w:pStyle w:val="1132"/>
            </w:pPr>
            <w:r>
              <w:t>2022.10.14</w:t>
            </w:r>
          </w:p>
        </w:tc>
        <w:tc>
          <w:tcPr>
            <w:tcW w:w="1380" w:type="pct"/>
            <w:gridSpan w:val="3"/>
            <w:tcBorders>
              <w:top w:val="single" w:color="auto" w:sz="4" w:space="0"/>
            </w:tcBorders>
            <w:vAlign w:val="center"/>
          </w:tcPr>
          <w:p>
            <w:pPr>
              <w:pStyle w:val="1132"/>
            </w:pPr>
            <w:r>
              <w:t>2022.10.15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6" w:type="pct"/>
            <w:vMerge w:val="continue"/>
            <w:vAlign w:val="center"/>
          </w:tcPr>
          <w:p>
            <w:pPr>
              <w:pStyle w:val="1132"/>
            </w:pPr>
          </w:p>
        </w:tc>
        <w:tc>
          <w:tcPr>
            <w:tcW w:w="616" w:type="pct"/>
            <w:vMerge w:val="continue"/>
            <w:vAlign w:val="center"/>
          </w:tcPr>
          <w:p>
            <w:pPr>
              <w:pStyle w:val="1132"/>
            </w:pPr>
          </w:p>
        </w:tc>
        <w:tc>
          <w:tcPr>
            <w:tcW w:w="393" w:type="pct"/>
            <w:vAlign w:val="center"/>
          </w:tcPr>
          <w:p>
            <w:pPr>
              <w:pStyle w:val="1132"/>
            </w:pPr>
            <w:r>
              <w:rPr>
                <w:rFonts w:hint="eastAsia"/>
              </w:rPr>
              <w:t>检测值</w:t>
            </w:r>
          </w:p>
        </w:tc>
        <w:tc>
          <w:tcPr>
            <w:tcW w:w="461" w:type="pct"/>
            <w:vAlign w:val="center"/>
          </w:tcPr>
          <w:p>
            <w:pPr>
              <w:pStyle w:val="1132"/>
            </w:pPr>
            <w:r>
              <w:rPr>
                <w:rFonts w:hint="eastAsia"/>
              </w:rPr>
              <w:t>标准值</w:t>
            </w:r>
          </w:p>
        </w:tc>
        <w:tc>
          <w:tcPr>
            <w:tcW w:w="469" w:type="pct"/>
            <w:vAlign w:val="center"/>
          </w:tcPr>
          <w:p>
            <w:pPr>
              <w:pStyle w:val="1132"/>
            </w:pPr>
            <w:r>
              <w:rPr>
                <w:rFonts w:hint="eastAsia"/>
              </w:rPr>
              <w:t>评价指数</w:t>
            </w:r>
          </w:p>
        </w:tc>
        <w:tc>
          <w:tcPr>
            <w:tcW w:w="393" w:type="pct"/>
            <w:tcBorders>
              <w:top w:val="single" w:color="auto" w:sz="4" w:space="0"/>
            </w:tcBorders>
            <w:tcMar>
              <w:left w:w="0" w:type="dxa"/>
              <w:right w:w="0" w:type="dxa"/>
            </w:tcMar>
            <w:vAlign w:val="center"/>
          </w:tcPr>
          <w:p>
            <w:pPr>
              <w:pStyle w:val="1132"/>
            </w:pPr>
            <w:r>
              <w:rPr>
                <w:rFonts w:hint="eastAsia"/>
              </w:rPr>
              <w:t>检测值</w:t>
            </w:r>
          </w:p>
        </w:tc>
        <w:tc>
          <w:tcPr>
            <w:tcW w:w="496" w:type="pct"/>
            <w:tcBorders>
              <w:top w:val="single" w:color="auto" w:sz="4" w:space="0"/>
            </w:tcBorders>
            <w:vAlign w:val="center"/>
          </w:tcPr>
          <w:p>
            <w:pPr>
              <w:pStyle w:val="1132"/>
            </w:pPr>
            <w:r>
              <w:rPr>
                <w:rFonts w:hint="eastAsia"/>
              </w:rPr>
              <w:t>标准值</w:t>
            </w:r>
          </w:p>
        </w:tc>
        <w:tc>
          <w:tcPr>
            <w:tcW w:w="466" w:type="pct"/>
            <w:tcBorders>
              <w:top w:val="single" w:color="auto" w:sz="4" w:space="0"/>
            </w:tcBorders>
            <w:vAlign w:val="center"/>
          </w:tcPr>
          <w:p>
            <w:pPr>
              <w:pStyle w:val="1132"/>
            </w:pPr>
            <w:r>
              <w:rPr>
                <w:rFonts w:hint="eastAsia"/>
              </w:rPr>
              <w:t>评价指数</w:t>
            </w:r>
          </w:p>
        </w:tc>
        <w:tc>
          <w:tcPr>
            <w:tcW w:w="460" w:type="pct"/>
            <w:tcBorders>
              <w:top w:val="single" w:color="auto" w:sz="4" w:space="0"/>
            </w:tcBorders>
            <w:vAlign w:val="center"/>
          </w:tcPr>
          <w:p>
            <w:pPr>
              <w:pStyle w:val="1132"/>
            </w:pPr>
            <w:r>
              <w:rPr>
                <w:rFonts w:hint="eastAsia"/>
              </w:rPr>
              <w:t>检测值</w:t>
            </w:r>
          </w:p>
        </w:tc>
        <w:tc>
          <w:tcPr>
            <w:tcW w:w="387" w:type="pct"/>
            <w:tcBorders>
              <w:top w:val="single" w:color="auto" w:sz="4" w:space="0"/>
            </w:tcBorders>
            <w:vAlign w:val="center"/>
          </w:tcPr>
          <w:p>
            <w:pPr>
              <w:pStyle w:val="1132"/>
            </w:pPr>
            <w:r>
              <w:rPr>
                <w:rFonts w:hint="eastAsia"/>
              </w:rPr>
              <w:t>标准值</w:t>
            </w:r>
          </w:p>
        </w:tc>
        <w:tc>
          <w:tcPr>
            <w:tcW w:w="533" w:type="pct"/>
            <w:vAlign w:val="center"/>
          </w:tcPr>
          <w:p>
            <w:pPr>
              <w:pStyle w:val="1132"/>
            </w:pPr>
            <w:r>
              <w:rPr>
                <w:rFonts w:hint="eastAsia"/>
              </w:rPr>
              <w:t>评价指数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6" w:type="pct"/>
            <w:vAlign w:val="center"/>
          </w:tcPr>
          <w:p>
            <w:pPr>
              <w:pStyle w:val="1132"/>
            </w:pPr>
            <w:r>
              <w:t>1</w:t>
            </w:r>
          </w:p>
        </w:tc>
        <w:tc>
          <w:tcPr>
            <w:tcW w:w="616" w:type="pct"/>
            <w:vAlign w:val="center"/>
          </w:tcPr>
          <w:p>
            <w:pPr>
              <w:pStyle w:val="1132"/>
              <w:rPr>
                <w:kern w:val="0"/>
              </w:rPr>
            </w:pPr>
            <w:r>
              <w:rPr>
                <w:kern w:val="0"/>
              </w:rPr>
              <w:t>pH（无量纲）</w:t>
            </w:r>
          </w:p>
        </w:tc>
        <w:tc>
          <w:tcPr>
            <w:tcW w:w="730" w:type="dxa"/>
            <w:vAlign w:val="center"/>
          </w:tcPr>
          <w:p>
            <w:pPr>
              <w:pStyle w:val="1132"/>
            </w:pPr>
            <w:r>
              <w:rPr>
                <w:rFonts w:hint="eastAsia"/>
                <w:kern w:val="0"/>
              </w:rPr>
              <w:t>7.1</w:t>
            </w:r>
          </w:p>
        </w:tc>
        <w:tc>
          <w:tcPr>
            <w:tcW w:w="461" w:type="pct"/>
            <w:vAlign w:val="center"/>
          </w:tcPr>
          <w:p>
            <w:pPr>
              <w:pStyle w:val="1132"/>
            </w:pPr>
            <w:r>
              <w:t>6~9</w:t>
            </w:r>
          </w:p>
        </w:tc>
        <w:tc>
          <w:tcPr>
            <w:tcW w:w="469" w:type="pct"/>
            <w:vAlign w:val="center"/>
          </w:tcPr>
          <w:p>
            <w:pPr>
              <w:pStyle w:val="1132"/>
              <w:rPr>
                <w:rFonts w:hint="default" w:eastAsia="宋体"/>
                <w:lang w:val="en-US" w:eastAsia="zh-CN"/>
              </w:rPr>
            </w:pPr>
            <w:r>
              <w:rPr>
                <w:rFonts w:hint="eastAsia"/>
                <w:lang w:val="en-US" w:eastAsia="zh-CN"/>
              </w:rPr>
              <w:t>0.05</w:t>
            </w:r>
          </w:p>
        </w:tc>
        <w:tc>
          <w:tcPr>
            <w:tcW w:w="730" w:type="dxa"/>
            <w:vAlign w:val="center"/>
          </w:tcPr>
          <w:p>
            <w:pPr>
              <w:pStyle w:val="1132"/>
            </w:pPr>
            <w:r>
              <w:rPr>
                <w:rFonts w:hint="eastAsia"/>
                <w:kern w:val="0"/>
              </w:rPr>
              <w:t>7.1</w:t>
            </w:r>
          </w:p>
        </w:tc>
        <w:tc>
          <w:tcPr>
            <w:tcW w:w="496" w:type="pct"/>
            <w:vAlign w:val="center"/>
          </w:tcPr>
          <w:p>
            <w:pPr>
              <w:pStyle w:val="1132"/>
            </w:pPr>
            <w:r>
              <w:t>6~9</w:t>
            </w:r>
          </w:p>
        </w:tc>
        <w:tc>
          <w:tcPr>
            <w:tcW w:w="466" w:type="pct"/>
            <w:vAlign w:val="center"/>
          </w:tcPr>
          <w:p>
            <w:pPr>
              <w:pStyle w:val="1132"/>
              <w:rPr>
                <w:rFonts w:hint="default" w:eastAsia="宋体"/>
                <w:lang w:val="en-US" w:eastAsia="zh-CN"/>
              </w:rPr>
            </w:pPr>
            <w:r>
              <w:rPr>
                <w:rFonts w:hint="eastAsia"/>
                <w:lang w:val="en-US" w:eastAsia="zh-CN"/>
              </w:rPr>
              <w:t>0.05</w:t>
            </w:r>
          </w:p>
        </w:tc>
        <w:tc>
          <w:tcPr>
            <w:tcW w:w="854" w:type="dxa"/>
            <w:vAlign w:val="center"/>
          </w:tcPr>
          <w:p>
            <w:pPr>
              <w:pStyle w:val="1132"/>
            </w:pPr>
            <w:r>
              <w:rPr>
                <w:rFonts w:hint="eastAsia"/>
                <w:kern w:val="0"/>
              </w:rPr>
              <w:t>7.1</w:t>
            </w:r>
          </w:p>
        </w:tc>
        <w:tc>
          <w:tcPr>
            <w:tcW w:w="387" w:type="pct"/>
            <w:vAlign w:val="center"/>
          </w:tcPr>
          <w:p>
            <w:pPr>
              <w:pStyle w:val="1132"/>
            </w:pPr>
            <w:r>
              <w:t>6~9</w:t>
            </w:r>
          </w:p>
        </w:tc>
        <w:tc>
          <w:tcPr>
            <w:tcW w:w="533" w:type="pct"/>
            <w:vAlign w:val="center"/>
          </w:tcPr>
          <w:p>
            <w:pPr>
              <w:pStyle w:val="1132"/>
              <w:rPr>
                <w:rFonts w:hint="default" w:eastAsia="宋体"/>
                <w:lang w:val="en-US" w:eastAsia="zh-CN"/>
              </w:rPr>
            </w:pPr>
            <w:r>
              <w:rPr>
                <w:rFonts w:hint="eastAsia"/>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6" w:type="pct"/>
            <w:vAlign w:val="center"/>
          </w:tcPr>
          <w:p>
            <w:pPr>
              <w:pStyle w:val="1132"/>
            </w:pPr>
            <w:r>
              <w:t>2</w:t>
            </w:r>
          </w:p>
        </w:tc>
        <w:tc>
          <w:tcPr>
            <w:tcW w:w="616" w:type="pct"/>
            <w:vAlign w:val="center"/>
          </w:tcPr>
          <w:p>
            <w:pPr>
              <w:pStyle w:val="1132"/>
              <w:rPr>
                <w:kern w:val="0"/>
              </w:rPr>
            </w:pPr>
            <w:r>
              <w:rPr>
                <w:kern w:val="0"/>
              </w:rPr>
              <w:t>COD</w:t>
            </w:r>
          </w:p>
        </w:tc>
        <w:tc>
          <w:tcPr>
            <w:tcW w:w="730" w:type="dxa"/>
            <w:vAlign w:val="center"/>
          </w:tcPr>
          <w:p>
            <w:pPr>
              <w:pStyle w:val="1132"/>
            </w:pPr>
            <w:r>
              <w:rPr>
                <w:rFonts w:hint="eastAsia"/>
                <w:kern w:val="0"/>
              </w:rPr>
              <w:t>14.6</w:t>
            </w:r>
          </w:p>
        </w:tc>
        <w:tc>
          <w:tcPr>
            <w:tcW w:w="461" w:type="pct"/>
            <w:vAlign w:val="center"/>
          </w:tcPr>
          <w:p>
            <w:pPr>
              <w:pStyle w:val="1132"/>
              <w:rPr>
                <w:rFonts w:hint="default" w:eastAsia="宋体"/>
                <w:lang w:val="en-US" w:eastAsia="zh-CN"/>
              </w:rPr>
            </w:pPr>
            <w:r>
              <w:rPr>
                <w:rFonts w:hint="eastAsia"/>
                <w:lang w:val="en-US" w:eastAsia="zh-CN"/>
              </w:rPr>
              <w:t>20</w:t>
            </w:r>
          </w:p>
        </w:tc>
        <w:tc>
          <w:tcPr>
            <w:tcW w:w="469" w:type="pct"/>
            <w:vAlign w:val="center"/>
          </w:tcPr>
          <w:p>
            <w:pPr>
              <w:pStyle w:val="1132"/>
              <w:rPr>
                <w:rFonts w:hint="default" w:eastAsia="宋体"/>
                <w:lang w:val="en-US" w:eastAsia="zh-CN"/>
              </w:rPr>
            </w:pPr>
            <w:r>
              <w:rPr>
                <w:rFonts w:hint="eastAsia"/>
                <w:lang w:val="en-US" w:eastAsia="zh-CN"/>
              </w:rPr>
              <w:t>0.73</w:t>
            </w:r>
          </w:p>
        </w:tc>
        <w:tc>
          <w:tcPr>
            <w:tcW w:w="730" w:type="dxa"/>
            <w:vAlign w:val="center"/>
          </w:tcPr>
          <w:p>
            <w:pPr>
              <w:pStyle w:val="1132"/>
            </w:pPr>
            <w:r>
              <w:rPr>
                <w:rFonts w:hint="eastAsia"/>
                <w:kern w:val="0"/>
              </w:rPr>
              <w:t>15.6</w:t>
            </w:r>
          </w:p>
        </w:tc>
        <w:tc>
          <w:tcPr>
            <w:tcW w:w="921" w:type="dxa"/>
            <w:vAlign w:val="center"/>
          </w:tcPr>
          <w:p>
            <w:pPr>
              <w:pStyle w:val="1132"/>
            </w:pPr>
            <w:r>
              <w:rPr>
                <w:rFonts w:hint="eastAsia"/>
                <w:lang w:val="en-US" w:eastAsia="zh-CN"/>
              </w:rPr>
              <w:t>20</w:t>
            </w:r>
          </w:p>
        </w:tc>
        <w:tc>
          <w:tcPr>
            <w:tcW w:w="466" w:type="pct"/>
            <w:vAlign w:val="center"/>
          </w:tcPr>
          <w:p>
            <w:pPr>
              <w:pStyle w:val="1132"/>
              <w:rPr>
                <w:rFonts w:hint="default" w:eastAsia="宋体"/>
                <w:lang w:val="en-US" w:eastAsia="zh-CN"/>
              </w:rPr>
            </w:pPr>
            <w:r>
              <w:rPr>
                <w:rFonts w:hint="eastAsia"/>
                <w:lang w:val="en-US" w:eastAsia="zh-CN"/>
              </w:rPr>
              <w:t>0.78</w:t>
            </w:r>
          </w:p>
        </w:tc>
        <w:tc>
          <w:tcPr>
            <w:tcW w:w="854" w:type="dxa"/>
            <w:vAlign w:val="center"/>
          </w:tcPr>
          <w:p>
            <w:pPr>
              <w:pStyle w:val="1132"/>
            </w:pPr>
            <w:r>
              <w:rPr>
                <w:rFonts w:hint="eastAsia"/>
                <w:kern w:val="0"/>
              </w:rPr>
              <w:t>15.6</w:t>
            </w:r>
          </w:p>
        </w:tc>
        <w:tc>
          <w:tcPr>
            <w:tcW w:w="719" w:type="dxa"/>
            <w:vAlign w:val="center"/>
          </w:tcPr>
          <w:p>
            <w:pPr>
              <w:pStyle w:val="1132"/>
            </w:pPr>
            <w:r>
              <w:rPr>
                <w:rFonts w:hint="eastAsia"/>
                <w:lang w:val="en-US" w:eastAsia="zh-CN"/>
              </w:rPr>
              <w:t>20</w:t>
            </w:r>
          </w:p>
        </w:tc>
        <w:tc>
          <w:tcPr>
            <w:tcW w:w="533" w:type="pct"/>
            <w:vAlign w:val="center"/>
          </w:tcPr>
          <w:p>
            <w:pPr>
              <w:pStyle w:val="1132"/>
              <w:rPr>
                <w:rFonts w:hint="default" w:eastAsia="宋体"/>
                <w:lang w:val="en-US" w:eastAsia="zh-CN"/>
              </w:rPr>
            </w:pPr>
            <w:r>
              <w:rPr>
                <w:rFonts w:hint="eastAsia"/>
                <w:lang w:val="en-US" w:eastAsia="zh-CN"/>
              </w:rPr>
              <w:t>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6" w:type="pct"/>
            <w:vAlign w:val="center"/>
          </w:tcPr>
          <w:p>
            <w:pPr>
              <w:pStyle w:val="1132"/>
            </w:pPr>
            <w:r>
              <w:t>3</w:t>
            </w:r>
          </w:p>
        </w:tc>
        <w:tc>
          <w:tcPr>
            <w:tcW w:w="616" w:type="pct"/>
            <w:vAlign w:val="center"/>
          </w:tcPr>
          <w:p>
            <w:pPr>
              <w:pStyle w:val="1132"/>
              <w:rPr>
                <w:kern w:val="0"/>
              </w:rPr>
            </w:pPr>
            <w:r>
              <w:rPr>
                <w:rFonts w:hint="eastAsia"/>
                <w:kern w:val="0"/>
              </w:rPr>
              <w:t>B</w:t>
            </w:r>
            <w:r>
              <w:rPr>
                <w:kern w:val="0"/>
              </w:rPr>
              <w:t>OD</w:t>
            </w:r>
            <w:r>
              <w:rPr>
                <w:kern w:val="0"/>
                <w:vertAlign w:val="subscript"/>
              </w:rPr>
              <w:t>5</w:t>
            </w:r>
          </w:p>
        </w:tc>
        <w:tc>
          <w:tcPr>
            <w:tcW w:w="730" w:type="dxa"/>
            <w:vAlign w:val="center"/>
          </w:tcPr>
          <w:p>
            <w:pPr>
              <w:pStyle w:val="1132"/>
            </w:pPr>
            <w:r>
              <w:rPr>
                <w:rFonts w:hint="eastAsia"/>
                <w:kern w:val="0"/>
              </w:rPr>
              <w:t>3.2</w:t>
            </w:r>
          </w:p>
        </w:tc>
        <w:tc>
          <w:tcPr>
            <w:tcW w:w="461" w:type="pct"/>
            <w:vAlign w:val="center"/>
          </w:tcPr>
          <w:p>
            <w:pPr>
              <w:pStyle w:val="1132"/>
              <w:rPr>
                <w:rFonts w:hint="eastAsia" w:eastAsia="宋体"/>
                <w:lang w:eastAsia="zh-CN"/>
              </w:rPr>
            </w:pPr>
            <w:r>
              <w:rPr>
                <w:rFonts w:hint="eastAsia"/>
                <w:lang w:val="en-US" w:eastAsia="zh-CN"/>
              </w:rPr>
              <w:t>4</w:t>
            </w:r>
          </w:p>
        </w:tc>
        <w:tc>
          <w:tcPr>
            <w:tcW w:w="469" w:type="pct"/>
            <w:vAlign w:val="center"/>
          </w:tcPr>
          <w:p>
            <w:pPr>
              <w:pStyle w:val="1132"/>
              <w:rPr>
                <w:rFonts w:hint="default" w:eastAsia="宋体"/>
                <w:lang w:val="en-US" w:eastAsia="zh-CN"/>
              </w:rPr>
            </w:pPr>
            <w:r>
              <w:rPr>
                <w:rFonts w:hint="eastAsia"/>
                <w:lang w:val="en-US" w:eastAsia="zh-CN"/>
              </w:rPr>
              <w:t>0.8</w:t>
            </w:r>
          </w:p>
        </w:tc>
        <w:tc>
          <w:tcPr>
            <w:tcW w:w="730" w:type="dxa"/>
            <w:vAlign w:val="center"/>
          </w:tcPr>
          <w:p>
            <w:pPr>
              <w:pStyle w:val="1132"/>
            </w:pPr>
            <w:r>
              <w:rPr>
                <w:rFonts w:hint="eastAsia"/>
                <w:kern w:val="0"/>
              </w:rPr>
              <w:t>3.3</w:t>
            </w:r>
          </w:p>
        </w:tc>
        <w:tc>
          <w:tcPr>
            <w:tcW w:w="921" w:type="dxa"/>
            <w:vAlign w:val="center"/>
          </w:tcPr>
          <w:p>
            <w:pPr>
              <w:pStyle w:val="1132"/>
            </w:pPr>
            <w:r>
              <w:rPr>
                <w:rFonts w:hint="eastAsia"/>
                <w:lang w:val="en-US" w:eastAsia="zh-CN"/>
              </w:rPr>
              <w:t>4</w:t>
            </w:r>
          </w:p>
        </w:tc>
        <w:tc>
          <w:tcPr>
            <w:tcW w:w="466" w:type="pct"/>
            <w:vAlign w:val="center"/>
          </w:tcPr>
          <w:p>
            <w:pPr>
              <w:pStyle w:val="1132"/>
              <w:rPr>
                <w:rFonts w:hint="default" w:eastAsia="宋体"/>
                <w:lang w:val="en-US" w:eastAsia="zh-CN"/>
              </w:rPr>
            </w:pPr>
            <w:r>
              <w:rPr>
                <w:rFonts w:hint="eastAsia"/>
                <w:lang w:val="en-US" w:eastAsia="zh-CN"/>
              </w:rPr>
              <w:t>0.83</w:t>
            </w:r>
          </w:p>
        </w:tc>
        <w:tc>
          <w:tcPr>
            <w:tcW w:w="854" w:type="dxa"/>
            <w:vAlign w:val="center"/>
          </w:tcPr>
          <w:p>
            <w:pPr>
              <w:pStyle w:val="1132"/>
            </w:pPr>
            <w:r>
              <w:rPr>
                <w:rFonts w:hint="eastAsia"/>
                <w:kern w:val="0"/>
              </w:rPr>
              <w:t>3.2</w:t>
            </w:r>
          </w:p>
        </w:tc>
        <w:tc>
          <w:tcPr>
            <w:tcW w:w="719" w:type="dxa"/>
            <w:vAlign w:val="center"/>
          </w:tcPr>
          <w:p>
            <w:pPr>
              <w:pStyle w:val="1132"/>
            </w:pPr>
            <w:r>
              <w:rPr>
                <w:rFonts w:hint="eastAsia"/>
                <w:lang w:val="en-US" w:eastAsia="zh-CN"/>
              </w:rPr>
              <w:t>4</w:t>
            </w:r>
          </w:p>
        </w:tc>
        <w:tc>
          <w:tcPr>
            <w:tcW w:w="533" w:type="pct"/>
            <w:vAlign w:val="center"/>
          </w:tcPr>
          <w:p>
            <w:pPr>
              <w:pStyle w:val="1132"/>
              <w:rPr>
                <w:rFonts w:hint="default" w:eastAsia="宋体"/>
                <w:lang w:val="en-US" w:eastAsia="zh-CN"/>
              </w:rPr>
            </w:pPr>
            <w:r>
              <w:rPr>
                <w:rFonts w:hint="eastAsia"/>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6" w:type="pct"/>
            <w:vAlign w:val="center"/>
          </w:tcPr>
          <w:p>
            <w:pPr>
              <w:pStyle w:val="1132"/>
            </w:pPr>
            <w:r>
              <w:t>4</w:t>
            </w:r>
          </w:p>
        </w:tc>
        <w:tc>
          <w:tcPr>
            <w:tcW w:w="616" w:type="pct"/>
            <w:tcMar>
              <w:left w:w="0" w:type="dxa"/>
              <w:right w:w="0" w:type="dxa"/>
            </w:tcMar>
            <w:vAlign w:val="center"/>
          </w:tcPr>
          <w:p>
            <w:pPr>
              <w:pStyle w:val="1132"/>
              <w:rPr>
                <w:kern w:val="0"/>
              </w:rPr>
            </w:pPr>
            <w:r>
              <w:rPr>
                <w:kern w:val="0"/>
              </w:rPr>
              <w:t>氨氮</w:t>
            </w:r>
          </w:p>
        </w:tc>
        <w:tc>
          <w:tcPr>
            <w:tcW w:w="730" w:type="dxa"/>
            <w:vAlign w:val="center"/>
          </w:tcPr>
          <w:p>
            <w:pPr>
              <w:pStyle w:val="1132"/>
            </w:pPr>
            <w:r>
              <w:rPr>
                <w:rFonts w:hint="eastAsia"/>
                <w:kern w:val="0"/>
              </w:rPr>
              <w:t>0.359</w:t>
            </w:r>
          </w:p>
        </w:tc>
        <w:tc>
          <w:tcPr>
            <w:tcW w:w="461" w:type="pct"/>
            <w:vAlign w:val="center"/>
          </w:tcPr>
          <w:p>
            <w:pPr>
              <w:pStyle w:val="1132"/>
              <w:rPr>
                <w:rFonts w:hint="default" w:eastAsia="宋体"/>
                <w:lang w:val="en-US" w:eastAsia="zh-CN"/>
              </w:rPr>
            </w:pPr>
            <w:r>
              <w:rPr>
                <w:rFonts w:hint="eastAsia"/>
                <w:lang w:val="en-US" w:eastAsia="zh-CN"/>
              </w:rPr>
              <w:t>1.0</w:t>
            </w:r>
          </w:p>
        </w:tc>
        <w:tc>
          <w:tcPr>
            <w:tcW w:w="469" w:type="pct"/>
            <w:vAlign w:val="center"/>
          </w:tcPr>
          <w:p>
            <w:pPr>
              <w:pStyle w:val="1132"/>
              <w:rPr>
                <w:rFonts w:hint="default" w:eastAsia="宋体"/>
                <w:lang w:val="en-US" w:eastAsia="zh-CN"/>
              </w:rPr>
            </w:pPr>
            <w:r>
              <w:rPr>
                <w:rFonts w:hint="eastAsia"/>
                <w:lang w:val="en-US" w:eastAsia="zh-CN"/>
              </w:rPr>
              <w:t>0.36</w:t>
            </w:r>
          </w:p>
        </w:tc>
        <w:tc>
          <w:tcPr>
            <w:tcW w:w="730" w:type="dxa"/>
            <w:vAlign w:val="center"/>
          </w:tcPr>
          <w:p>
            <w:pPr>
              <w:pStyle w:val="1132"/>
            </w:pPr>
            <w:r>
              <w:rPr>
                <w:rFonts w:hint="eastAsia"/>
                <w:kern w:val="0"/>
              </w:rPr>
              <w:t>0.286</w:t>
            </w:r>
          </w:p>
        </w:tc>
        <w:tc>
          <w:tcPr>
            <w:tcW w:w="921" w:type="dxa"/>
            <w:vAlign w:val="center"/>
          </w:tcPr>
          <w:p>
            <w:pPr>
              <w:pStyle w:val="1132"/>
            </w:pPr>
            <w:r>
              <w:rPr>
                <w:rFonts w:hint="eastAsia"/>
                <w:lang w:val="en-US" w:eastAsia="zh-CN"/>
              </w:rPr>
              <w:t>1.0</w:t>
            </w:r>
          </w:p>
        </w:tc>
        <w:tc>
          <w:tcPr>
            <w:tcW w:w="466" w:type="pct"/>
            <w:vAlign w:val="center"/>
          </w:tcPr>
          <w:p>
            <w:pPr>
              <w:pStyle w:val="1132"/>
              <w:rPr>
                <w:rFonts w:hint="default" w:eastAsia="宋体"/>
                <w:lang w:val="en-US" w:eastAsia="zh-CN"/>
              </w:rPr>
            </w:pPr>
            <w:r>
              <w:rPr>
                <w:rFonts w:hint="eastAsia"/>
                <w:lang w:val="en-US" w:eastAsia="zh-CN"/>
              </w:rPr>
              <w:t>0.29</w:t>
            </w:r>
          </w:p>
        </w:tc>
        <w:tc>
          <w:tcPr>
            <w:tcW w:w="854" w:type="dxa"/>
            <w:vAlign w:val="center"/>
          </w:tcPr>
          <w:p>
            <w:pPr>
              <w:pStyle w:val="1132"/>
            </w:pPr>
            <w:r>
              <w:rPr>
                <w:rFonts w:hint="eastAsia"/>
                <w:kern w:val="0"/>
              </w:rPr>
              <w:t>0.423</w:t>
            </w:r>
          </w:p>
        </w:tc>
        <w:tc>
          <w:tcPr>
            <w:tcW w:w="719" w:type="dxa"/>
            <w:vAlign w:val="center"/>
          </w:tcPr>
          <w:p>
            <w:pPr>
              <w:pStyle w:val="1132"/>
            </w:pPr>
            <w:r>
              <w:rPr>
                <w:rFonts w:hint="eastAsia"/>
                <w:lang w:val="en-US" w:eastAsia="zh-CN"/>
              </w:rPr>
              <w:t>1.0</w:t>
            </w:r>
          </w:p>
        </w:tc>
        <w:tc>
          <w:tcPr>
            <w:tcW w:w="533" w:type="pct"/>
            <w:vAlign w:val="center"/>
          </w:tcPr>
          <w:p>
            <w:pPr>
              <w:pStyle w:val="1132"/>
              <w:rPr>
                <w:rFonts w:hint="default" w:eastAsia="宋体"/>
                <w:lang w:val="en-US" w:eastAsia="zh-CN"/>
              </w:rPr>
            </w:pPr>
            <w:r>
              <w:rPr>
                <w:rFonts w:hint="eastAsia"/>
                <w:lang w:val="en-US" w:eastAsia="zh-CN"/>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6" w:type="pct"/>
            <w:shd w:val="clear" w:color="auto" w:fill="auto"/>
            <w:vAlign w:val="center"/>
          </w:tcPr>
          <w:p>
            <w:pPr>
              <w:pStyle w:val="1132"/>
              <w:rPr>
                <w:rFonts w:hint="eastAsia" w:eastAsia="宋体"/>
                <w:highlight w:val="none"/>
                <w:lang w:val="en-US" w:eastAsia="zh-CN"/>
              </w:rPr>
            </w:pPr>
            <w:r>
              <w:rPr>
                <w:rFonts w:hint="eastAsia"/>
                <w:highlight w:val="none"/>
                <w:lang w:val="en-US" w:eastAsia="zh-CN"/>
              </w:rPr>
              <w:t>5</w:t>
            </w:r>
          </w:p>
        </w:tc>
        <w:tc>
          <w:tcPr>
            <w:tcW w:w="616" w:type="pct"/>
            <w:shd w:val="clear" w:color="auto" w:fill="auto"/>
            <w:tcMar>
              <w:left w:w="0" w:type="dxa"/>
              <w:right w:w="0" w:type="dxa"/>
            </w:tcMar>
            <w:vAlign w:val="center"/>
          </w:tcPr>
          <w:p>
            <w:pPr>
              <w:pStyle w:val="1132"/>
              <w:rPr>
                <w:rFonts w:hint="default" w:eastAsia="宋体"/>
                <w:kern w:val="0"/>
                <w:highlight w:val="none"/>
                <w:lang w:val="en-US" w:eastAsia="zh-CN"/>
              </w:rPr>
            </w:pPr>
            <w:r>
              <w:rPr>
                <w:rFonts w:hint="eastAsia"/>
                <w:kern w:val="0"/>
                <w:highlight w:val="none"/>
                <w:lang w:val="en-US" w:eastAsia="zh-CN"/>
              </w:rPr>
              <w:t>SS</w:t>
            </w:r>
          </w:p>
        </w:tc>
        <w:tc>
          <w:tcPr>
            <w:tcW w:w="730" w:type="dxa"/>
            <w:shd w:val="clear" w:color="auto" w:fill="auto"/>
            <w:vAlign w:val="center"/>
          </w:tcPr>
          <w:p>
            <w:pPr>
              <w:pStyle w:val="1132"/>
              <w:rPr>
                <w:rFonts w:hint="default" w:eastAsia="宋体"/>
                <w:kern w:val="0"/>
                <w:highlight w:val="none"/>
                <w:lang w:val="en-US" w:eastAsia="zh-CN"/>
              </w:rPr>
            </w:pPr>
            <w:r>
              <w:rPr>
                <w:rFonts w:hint="eastAsia"/>
                <w:kern w:val="0"/>
                <w:highlight w:val="none"/>
                <w:lang w:val="en-US" w:eastAsia="zh-CN"/>
              </w:rPr>
              <w:t>14</w:t>
            </w:r>
          </w:p>
        </w:tc>
        <w:tc>
          <w:tcPr>
            <w:tcW w:w="461" w:type="pct"/>
            <w:shd w:val="clear" w:color="auto" w:fill="auto"/>
            <w:vAlign w:val="center"/>
          </w:tcPr>
          <w:p>
            <w:pPr>
              <w:pStyle w:val="1132"/>
              <w:rPr>
                <w:rFonts w:hint="default"/>
                <w:highlight w:val="none"/>
                <w:lang w:val="en-US" w:eastAsia="zh-CN"/>
              </w:rPr>
            </w:pPr>
            <w:r>
              <w:rPr>
                <w:rFonts w:hint="eastAsia"/>
                <w:highlight w:val="none"/>
                <w:lang w:val="en-US" w:eastAsia="zh-CN"/>
              </w:rPr>
              <w:t>30</w:t>
            </w:r>
          </w:p>
        </w:tc>
        <w:tc>
          <w:tcPr>
            <w:tcW w:w="469" w:type="pct"/>
            <w:shd w:val="clear" w:color="auto" w:fill="auto"/>
            <w:vAlign w:val="center"/>
          </w:tcPr>
          <w:p>
            <w:pPr>
              <w:pStyle w:val="1132"/>
              <w:rPr>
                <w:rFonts w:hint="default"/>
                <w:highlight w:val="none"/>
                <w:lang w:val="en-US" w:eastAsia="zh-CN"/>
              </w:rPr>
            </w:pPr>
            <w:r>
              <w:rPr>
                <w:rFonts w:hint="eastAsia"/>
                <w:highlight w:val="none"/>
                <w:lang w:val="en-US" w:eastAsia="zh-CN"/>
              </w:rPr>
              <w:t>0.47</w:t>
            </w:r>
          </w:p>
        </w:tc>
        <w:tc>
          <w:tcPr>
            <w:tcW w:w="730" w:type="dxa"/>
            <w:shd w:val="clear" w:color="auto" w:fill="auto"/>
            <w:vAlign w:val="center"/>
          </w:tcPr>
          <w:p>
            <w:pPr>
              <w:pStyle w:val="1132"/>
              <w:rPr>
                <w:rFonts w:hint="default" w:eastAsia="宋体"/>
                <w:kern w:val="0"/>
                <w:highlight w:val="none"/>
                <w:lang w:val="en-US" w:eastAsia="zh-CN"/>
              </w:rPr>
            </w:pPr>
            <w:r>
              <w:rPr>
                <w:rFonts w:hint="eastAsia"/>
                <w:kern w:val="0"/>
                <w:highlight w:val="none"/>
                <w:lang w:val="en-US" w:eastAsia="zh-CN"/>
              </w:rPr>
              <w:t>15</w:t>
            </w:r>
          </w:p>
        </w:tc>
        <w:tc>
          <w:tcPr>
            <w:tcW w:w="921" w:type="dxa"/>
            <w:shd w:val="clear" w:color="auto" w:fill="auto"/>
            <w:vAlign w:val="center"/>
          </w:tcPr>
          <w:p>
            <w:pPr>
              <w:pStyle w:val="1132"/>
              <w:rPr>
                <w:rFonts w:hint="default"/>
                <w:highlight w:val="none"/>
                <w:lang w:val="en-US" w:eastAsia="zh-CN"/>
              </w:rPr>
            </w:pPr>
            <w:r>
              <w:rPr>
                <w:rFonts w:hint="eastAsia"/>
                <w:highlight w:val="none"/>
                <w:lang w:val="en-US" w:eastAsia="zh-CN"/>
              </w:rPr>
              <w:t>30</w:t>
            </w:r>
          </w:p>
        </w:tc>
        <w:tc>
          <w:tcPr>
            <w:tcW w:w="466" w:type="pct"/>
            <w:shd w:val="clear" w:color="auto" w:fill="auto"/>
            <w:vAlign w:val="center"/>
          </w:tcPr>
          <w:p>
            <w:pPr>
              <w:pStyle w:val="1132"/>
              <w:rPr>
                <w:rFonts w:hint="default"/>
                <w:highlight w:val="none"/>
                <w:lang w:val="en-US" w:eastAsia="zh-CN"/>
              </w:rPr>
            </w:pPr>
            <w:r>
              <w:rPr>
                <w:rFonts w:hint="eastAsia"/>
                <w:highlight w:val="none"/>
                <w:lang w:val="en-US" w:eastAsia="zh-CN"/>
              </w:rPr>
              <w:t>0.50</w:t>
            </w:r>
          </w:p>
        </w:tc>
        <w:tc>
          <w:tcPr>
            <w:tcW w:w="854" w:type="dxa"/>
            <w:shd w:val="clear" w:color="auto" w:fill="auto"/>
            <w:vAlign w:val="center"/>
          </w:tcPr>
          <w:p>
            <w:pPr>
              <w:pStyle w:val="1132"/>
              <w:rPr>
                <w:rFonts w:hint="default" w:eastAsia="宋体"/>
                <w:kern w:val="0"/>
                <w:highlight w:val="none"/>
                <w:lang w:val="en-US" w:eastAsia="zh-CN"/>
              </w:rPr>
            </w:pPr>
            <w:r>
              <w:rPr>
                <w:rFonts w:hint="eastAsia"/>
                <w:kern w:val="0"/>
                <w:highlight w:val="none"/>
                <w:lang w:val="en-US" w:eastAsia="zh-CN"/>
              </w:rPr>
              <w:t>14</w:t>
            </w:r>
          </w:p>
        </w:tc>
        <w:tc>
          <w:tcPr>
            <w:tcW w:w="719" w:type="dxa"/>
            <w:shd w:val="clear" w:color="auto" w:fill="auto"/>
            <w:vAlign w:val="center"/>
          </w:tcPr>
          <w:p>
            <w:pPr>
              <w:pStyle w:val="1132"/>
              <w:rPr>
                <w:rFonts w:hint="default"/>
                <w:highlight w:val="none"/>
                <w:lang w:val="en-US" w:eastAsia="zh-CN"/>
              </w:rPr>
            </w:pPr>
            <w:r>
              <w:rPr>
                <w:rFonts w:hint="eastAsia"/>
                <w:highlight w:val="none"/>
                <w:lang w:val="en-US" w:eastAsia="zh-CN"/>
              </w:rPr>
              <w:t>30</w:t>
            </w:r>
          </w:p>
        </w:tc>
        <w:tc>
          <w:tcPr>
            <w:tcW w:w="533" w:type="pct"/>
            <w:shd w:val="clear" w:color="auto" w:fill="auto"/>
            <w:vAlign w:val="center"/>
          </w:tcPr>
          <w:p>
            <w:pPr>
              <w:pStyle w:val="1132"/>
              <w:rPr>
                <w:rFonts w:hint="default"/>
                <w:highlight w:val="none"/>
                <w:lang w:val="en-US" w:eastAsia="zh-CN"/>
              </w:rPr>
            </w:pPr>
            <w:r>
              <w:rPr>
                <w:rFonts w:hint="eastAsia"/>
                <w:highlight w:val="none"/>
                <w:lang w:val="en-US" w:eastAsia="zh-CN"/>
              </w:rPr>
              <w:t>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6" w:type="pct"/>
            <w:vAlign w:val="center"/>
          </w:tcPr>
          <w:p>
            <w:pPr>
              <w:pStyle w:val="1132"/>
              <w:rPr>
                <w:rFonts w:hint="eastAsia" w:eastAsia="宋体"/>
                <w:lang w:val="en-US" w:eastAsia="zh-CN"/>
              </w:rPr>
            </w:pPr>
            <w:r>
              <w:rPr>
                <w:rFonts w:hint="eastAsia"/>
                <w:lang w:val="en-US" w:eastAsia="zh-CN"/>
              </w:rPr>
              <w:t>6</w:t>
            </w:r>
          </w:p>
        </w:tc>
        <w:tc>
          <w:tcPr>
            <w:tcW w:w="616" w:type="pct"/>
            <w:vAlign w:val="center"/>
          </w:tcPr>
          <w:p>
            <w:pPr>
              <w:pStyle w:val="1132"/>
              <w:rPr>
                <w:kern w:val="0"/>
              </w:rPr>
            </w:pPr>
            <w:r>
              <w:rPr>
                <w:kern w:val="0"/>
              </w:rPr>
              <w:t>总磷</w:t>
            </w:r>
          </w:p>
        </w:tc>
        <w:tc>
          <w:tcPr>
            <w:tcW w:w="730" w:type="dxa"/>
            <w:vAlign w:val="center"/>
          </w:tcPr>
          <w:p>
            <w:pPr>
              <w:pStyle w:val="1132"/>
            </w:pPr>
            <w:r>
              <w:rPr>
                <w:rFonts w:hint="eastAsia"/>
                <w:kern w:val="0"/>
              </w:rPr>
              <w:t>0.190</w:t>
            </w:r>
          </w:p>
        </w:tc>
        <w:tc>
          <w:tcPr>
            <w:tcW w:w="461" w:type="pct"/>
            <w:vAlign w:val="center"/>
          </w:tcPr>
          <w:p>
            <w:pPr>
              <w:pStyle w:val="1132"/>
            </w:pPr>
            <w:r>
              <w:t>0.2</w:t>
            </w:r>
          </w:p>
        </w:tc>
        <w:tc>
          <w:tcPr>
            <w:tcW w:w="469" w:type="pct"/>
            <w:vAlign w:val="center"/>
          </w:tcPr>
          <w:p>
            <w:pPr>
              <w:pStyle w:val="1132"/>
              <w:rPr>
                <w:rFonts w:hint="default" w:eastAsia="宋体"/>
                <w:lang w:val="en-US" w:eastAsia="zh-CN"/>
              </w:rPr>
            </w:pPr>
            <w:r>
              <w:rPr>
                <w:rFonts w:hint="eastAsia"/>
                <w:lang w:val="en-US" w:eastAsia="zh-CN"/>
              </w:rPr>
              <w:t>0.95</w:t>
            </w:r>
          </w:p>
        </w:tc>
        <w:tc>
          <w:tcPr>
            <w:tcW w:w="730" w:type="dxa"/>
            <w:vAlign w:val="center"/>
          </w:tcPr>
          <w:p>
            <w:pPr>
              <w:pStyle w:val="1132"/>
            </w:pPr>
            <w:r>
              <w:rPr>
                <w:rFonts w:hint="eastAsia"/>
                <w:kern w:val="0"/>
              </w:rPr>
              <w:t>0.195</w:t>
            </w:r>
          </w:p>
        </w:tc>
        <w:tc>
          <w:tcPr>
            <w:tcW w:w="921" w:type="dxa"/>
            <w:vAlign w:val="center"/>
          </w:tcPr>
          <w:p>
            <w:pPr>
              <w:pStyle w:val="1132"/>
            </w:pPr>
            <w:r>
              <w:t>0.2</w:t>
            </w:r>
          </w:p>
        </w:tc>
        <w:tc>
          <w:tcPr>
            <w:tcW w:w="466" w:type="pct"/>
            <w:vAlign w:val="center"/>
          </w:tcPr>
          <w:p>
            <w:pPr>
              <w:pStyle w:val="1132"/>
              <w:rPr>
                <w:rFonts w:hint="default" w:eastAsia="宋体"/>
                <w:lang w:val="en-US" w:eastAsia="zh-CN"/>
              </w:rPr>
            </w:pPr>
            <w:r>
              <w:rPr>
                <w:rFonts w:hint="eastAsia"/>
                <w:lang w:val="en-US" w:eastAsia="zh-CN"/>
              </w:rPr>
              <w:t>0.98</w:t>
            </w:r>
          </w:p>
        </w:tc>
        <w:tc>
          <w:tcPr>
            <w:tcW w:w="854" w:type="dxa"/>
            <w:vAlign w:val="center"/>
          </w:tcPr>
          <w:p>
            <w:pPr>
              <w:pStyle w:val="1132"/>
            </w:pPr>
            <w:r>
              <w:rPr>
                <w:rFonts w:hint="eastAsia"/>
                <w:kern w:val="0"/>
              </w:rPr>
              <w:t>0.188</w:t>
            </w:r>
          </w:p>
        </w:tc>
        <w:tc>
          <w:tcPr>
            <w:tcW w:w="719" w:type="dxa"/>
            <w:vAlign w:val="center"/>
          </w:tcPr>
          <w:p>
            <w:pPr>
              <w:pStyle w:val="1132"/>
            </w:pPr>
            <w:r>
              <w:t>0.2</w:t>
            </w:r>
          </w:p>
        </w:tc>
        <w:tc>
          <w:tcPr>
            <w:tcW w:w="533" w:type="pct"/>
            <w:vAlign w:val="center"/>
          </w:tcPr>
          <w:p>
            <w:pPr>
              <w:pStyle w:val="1132"/>
              <w:rPr>
                <w:rFonts w:hint="default" w:eastAsia="宋体"/>
                <w:lang w:val="en-US" w:eastAsia="zh-CN"/>
              </w:rPr>
            </w:pPr>
            <w:r>
              <w:rPr>
                <w:rFonts w:hint="eastAsia"/>
                <w:lang w:val="en-US" w:eastAsia="zh-CN"/>
              </w:rPr>
              <w:t>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6" w:type="pct"/>
            <w:vAlign w:val="center"/>
          </w:tcPr>
          <w:p>
            <w:pPr>
              <w:pStyle w:val="1132"/>
              <w:rPr>
                <w:rFonts w:hint="eastAsia" w:eastAsia="宋体"/>
                <w:lang w:val="en-US" w:eastAsia="zh-CN"/>
              </w:rPr>
            </w:pPr>
            <w:r>
              <w:rPr>
                <w:rFonts w:hint="eastAsia"/>
                <w:lang w:val="en-US" w:eastAsia="zh-CN"/>
              </w:rPr>
              <w:t>7</w:t>
            </w:r>
          </w:p>
        </w:tc>
        <w:tc>
          <w:tcPr>
            <w:tcW w:w="616" w:type="pct"/>
            <w:vAlign w:val="center"/>
          </w:tcPr>
          <w:p>
            <w:pPr>
              <w:pStyle w:val="1132"/>
              <w:rPr>
                <w:kern w:val="0"/>
              </w:rPr>
            </w:pPr>
            <w:r>
              <w:rPr>
                <w:kern w:val="0"/>
              </w:rPr>
              <w:t>石油类</w:t>
            </w:r>
          </w:p>
        </w:tc>
        <w:tc>
          <w:tcPr>
            <w:tcW w:w="730" w:type="dxa"/>
            <w:vAlign w:val="center"/>
          </w:tcPr>
          <w:p>
            <w:pPr>
              <w:pStyle w:val="1132"/>
            </w:pPr>
            <w:r>
              <w:rPr>
                <w:rFonts w:hint="eastAsia"/>
                <w:kern w:val="0"/>
              </w:rPr>
              <w:t>0.04</w:t>
            </w:r>
          </w:p>
        </w:tc>
        <w:tc>
          <w:tcPr>
            <w:tcW w:w="461" w:type="pct"/>
            <w:vAlign w:val="center"/>
          </w:tcPr>
          <w:p>
            <w:pPr>
              <w:pStyle w:val="1132"/>
            </w:pPr>
            <w:r>
              <w:rPr>
                <w:rFonts w:hint="eastAsia"/>
              </w:rPr>
              <w:t>0</w:t>
            </w:r>
            <w:r>
              <w:t>.05</w:t>
            </w:r>
          </w:p>
        </w:tc>
        <w:tc>
          <w:tcPr>
            <w:tcW w:w="469" w:type="pct"/>
            <w:vAlign w:val="center"/>
          </w:tcPr>
          <w:p>
            <w:pPr>
              <w:pStyle w:val="1132"/>
              <w:rPr>
                <w:rFonts w:hint="default" w:eastAsia="宋体"/>
                <w:lang w:val="en-US" w:eastAsia="zh-CN"/>
              </w:rPr>
            </w:pPr>
            <w:r>
              <w:rPr>
                <w:rFonts w:hint="eastAsia"/>
                <w:lang w:val="en-US" w:eastAsia="zh-CN"/>
              </w:rPr>
              <w:t>0.8</w:t>
            </w:r>
          </w:p>
        </w:tc>
        <w:tc>
          <w:tcPr>
            <w:tcW w:w="730" w:type="dxa"/>
            <w:vAlign w:val="center"/>
          </w:tcPr>
          <w:p>
            <w:pPr>
              <w:pStyle w:val="1132"/>
            </w:pPr>
            <w:r>
              <w:rPr>
                <w:rFonts w:hint="eastAsia"/>
                <w:kern w:val="0"/>
              </w:rPr>
              <w:t>0.04</w:t>
            </w:r>
          </w:p>
        </w:tc>
        <w:tc>
          <w:tcPr>
            <w:tcW w:w="921" w:type="dxa"/>
            <w:vAlign w:val="center"/>
          </w:tcPr>
          <w:p>
            <w:pPr>
              <w:pStyle w:val="1132"/>
            </w:pPr>
            <w:r>
              <w:rPr>
                <w:rFonts w:hint="eastAsia"/>
              </w:rPr>
              <w:t>0</w:t>
            </w:r>
            <w:r>
              <w:t>.05</w:t>
            </w:r>
          </w:p>
        </w:tc>
        <w:tc>
          <w:tcPr>
            <w:tcW w:w="466" w:type="pct"/>
            <w:vAlign w:val="center"/>
          </w:tcPr>
          <w:p>
            <w:pPr>
              <w:pStyle w:val="1132"/>
              <w:rPr>
                <w:rFonts w:hint="default" w:eastAsia="宋体"/>
                <w:lang w:val="en-US" w:eastAsia="zh-CN"/>
              </w:rPr>
            </w:pPr>
            <w:r>
              <w:rPr>
                <w:rFonts w:hint="eastAsia"/>
                <w:lang w:val="en-US" w:eastAsia="zh-CN"/>
              </w:rPr>
              <w:t>0.8</w:t>
            </w:r>
          </w:p>
        </w:tc>
        <w:tc>
          <w:tcPr>
            <w:tcW w:w="854" w:type="dxa"/>
            <w:vAlign w:val="center"/>
          </w:tcPr>
          <w:p>
            <w:pPr>
              <w:pStyle w:val="1132"/>
            </w:pPr>
            <w:r>
              <w:rPr>
                <w:rFonts w:hint="eastAsia"/>
                <w:kern w:val="0"/>
              </w:rPr>
              <w:t>0.04</w:t>
            </w:r>
          </w:p>
        </w:tc>
        <w:tc>
          <w:tcPr>
            <w:tcW w:w="719" w:type="dxa"/>
            <w:vAlign w:val="center"/>
          </w:tcPr>
          <w:p>
            <w:pPr>
              <w:pStyle w:val="1132"/>
            </w:pPr>
            <w:r>
              <w:rPr>
                <w:rFonts w:hint="eastAsia"/>
              </w:rPr>
              <w:t>0</w:t>
            </w:r>
            <w:r>
              <w:t>.05</w:t>
            </w:r>
          </w:p>
        </w:tc>
        <w:tc>
          <w:tcPr>
            <w:tcW w:w="533" w:type="pct"/>
            <w:vAlign w:val="center"/>
          </w:tcPr>
          <w:p>
            <w:pPr>
              <w:pStyle w:val="1132"/>
              <w:rPr>
                <w:rFonts w:hint="default" w:eastAsia="宋体"/>
                <w:lang w:val="en-US" w:eastAsia="zh-CN"/>
              </w:rPr>
            </w:pPr>
            <w:r>
              <w:rPr>
                <w:rFonts w:hint="eastAsia"/>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26" w:type="pct"/>
            <w:vAlign w:val="center"/>
          </w:tcPr>
          <w:p>
            <w:pPr>
              <w:pStyle w:val="1132"/>
            </w:pPr>
            <w:r>
              <w:rPr>
                <w:rFonts w:hint="eastAsia"/>
              </w:rPr>
              <w:t>备注</w:t>
            </w:r>
          </w:p>
        </w:tc>
        <w:tc>
          <w:tcPr>
            <w:tcW w:w="4674" w:type="pct"/>
            <w:gridSpan w:val="10"/>
            <w:vAlign w:val="center"/>
          </w:tcPr>
          <w:p>
            <w:pPr>
              <w:pStyle w:val="1132"/>
            </w:pPr>
            <w:r>
              <w:t>点位名称：W1为</w:t>
            </w:r>
            <w:r>
              <w:rPr>
                <w:rFonts w:hint="eastAsia"/>
              </w:rPr>
              <w:t>清沟河</w:t>
            </w:r>
          </w:p>
        </w:tc>
      </w:tr>
    </w:tbl>
    <w:p>
      <w:pPr>
        <w:pStyle w:val="10"/>
        <w:ind w:firstLine="480"/>
      </w:pPr>
      <w:r>
        <w:rPr>
          <w:rFonts w:hint="eastAsia"/>
        </w:rPr>
        <w:t>评价结果表明清沟河各监测因子符合《地表水环境质量标准》（GB3838-2002</w:t>
      </w:r>
      <w:r>
        <w:t>）中</w:t>
      </w:r>
      <w:r>
        <w:rPr>
          <w:rFonts w:hint="eastAsia"/>
        </w:rPr>
        <w:t>I</w:t>
      </w:r>
      <w:r>
        <w:t>Ⅱ类标</w:t>
      </w:r>
      <w:r>
        <w:rPr>
          <w:rFonts w:hint="eastAsia"/>
        </w:rPr>
        <w:t>准要求。</w:t>
      </w:r>
    </w:p>
    <w:p>
      <w:pPr>
        <w:pStyle w:val="7"/>
        <w:rPr>
          <w:b/>
          <w:bCs/>
          <w:sz w:val="28"/>
          <w:szCs w:val="28"/>
        </w:rPr>
      </w:pPr>
      <w:bookmarkStart w:id="270" w:name="_Toc57645150"/>
      <w:bookmarkStart w:id="271" w:name="_Toc23240"/>
      <w:bookmarkStart w:id="272" w:name="_Toc31970"/>
      <w:r>
        <w:rPr>
          <w:rFonts w:hint="eastAsia"/>
          <w:b/>
          <w:bCs/>
          <w:sz w:val="28"/>
          <w:szCs w:val="28"/>
        </w:rPr>
        <w:t>环境空气质量现状评价</w:t>
      </w:r>
      <w:bookmarkEnd w:id="270"/>
      <w:bookmarkEnd w:id="271"/>
      <w:bookmarkEnd w:id="272"/>
    </w:p>
    <w:p>
      <w:pPr>
        <w:pStyle w:val="10"/>
        <w:ind w:firstLine="480"/>
      </w:pPr>
      <w:r>
        <w:rPr>
          <w:rFonts w:hint="eastAsia"/>
        </w:rPr>
        <w:t>本次评价采用蚌埠市生态环境局2</w:t>
      </w:r>
      <w:r>
        <w:t>022</w:t>
      </w:r>
      <w:r>
        <w:rPr>
          <w:rFonts w:hint="eastAsia"/>
        </w:rPr>
        <w:t>年发布的《2021年蚌埠市生态环境质量概况》中的数据，对项目所在区域环境空气质量达标情况进行判定，具体结果见下表。</w:t>
      </w:r>
    </w:p>
    <w:p>
      <w:pPr>
        <w:pStyle w:val="19"/>
        <w:ind w:firstLine="482"/>
        <w:rPr>
          <w:szCs w:val="21"/>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rPr>
          <w:szCs w:val="21"/>
        </w:rPr>
        <w:t xml:space="preserve">  </w:t>
      </w:r>
      <w:r>
        <w:rPr>
          <w:rFonts w:hint="eastAsia"/>
        </w:rPr>
        <w:t>蚌埠市</w:t>
      </w:r>
      <w:r>
        <w:rPr>
          <w:szCs w:val="21"/>
        </w:rPr>
        <w:t>区域空气质量现状评价表</w:t>
      </w:r>
    </w:p>
    <w:tbl>
      <w:tblPr>
        <w:tblStyle w:val="47"/>
        <w:tblW w:w="4998" w:type="pct"/>
        <w:tblInd w:w="0" w:type="dxa"/>
        <w:tblLayout w:type="fixed"/>
        <w:tblCellMar>
          <w:top w:w="15" w:type="dxa"/>
          <w:left w:w="15" w:type="dxa"/>
          <w:bottom w:w="15" w:type="dxa"/>
          <w:right w:w="15" w:type="dxa"/>
        </w:tblCellMar>
      </w:tblPr>
      <w:tblGrid>
        <w:gridCol w:w="926"/>
        <w:gridCol w:w="2600"/>
        <w:gridCol w:w="1796"/>
        <w:gridCol w:w="1672"/>
        <w:gridCol w:w="1051"/>
        <w:gridCol w:w="1051"/>
      </w:tblGrid>
      <w:tr>
        <w:tblPrEx>
          <w:tblCellMar>
            <w:top w:w="15" w:type="dxa"/>
            <w:left w:w="15" w:type="dxa"/>
            <w:bottom w:w="15" w:type="dxa"/>
            <w:right w:w="15" w:type="dxa"/>
          </w:tblCellMar>
        </w:tblPrEx>
        <w:tc>
          <w:tcPr>
            <w:tcW w:w="509" w:type="pct"/>
            <w:tcBorders>
              <w:top w:val="single" w:color="000000" w:sz="4" w:space="0"/>
              <w:left w:val="single" w:color="000000" w:sz="4" w:space="0"/>
              <w:bottom w:val="single" w:color="000000" w:sz="4" w:space="0"/>
              <w:right w:val="single" w:color="000000" w:sz="4" w:space="0"/>
            </w:tcBorders>
            <w:noWrap/>
            <w:vAlign w:val="center"/>
          </w:tcPr>
          <w:p>
            <w:pPr>
              <w:pStyle w:val="1132"/>
              <w:rPr>
                <w:b/>
                <w:bCs w:val="0"/>
              </w:rPr>
            </w:pPr>
            <w:r>
              <w:rPr>
                <w:b/>
                <w:bCs w:val="0"/>
              </w:rPr>
              <w:t>污染物</w:t>
            </w:r>
          </w:p>
        </w:tc>
        <w:tc>
          <w:tcPr>
            <w:tcW w:w="1428" w:type="pct"/>
            <w:tcBorders>
              <w:top w:val="single" w:color="000000" w:sz="4" w:space="0"/>
              <w:left w:val="single" w:color="000000" w:sz="4" w:space="0"/>
              <w:bottom w:val="single" w:color="000000" w:sz="4" w:space="0"/>
              <w:right w:val="single" w:color="000000" w:sz="4" w:space="0"/>
            </w:tcBorders>
            <w:noWrap/>
            <w:vAlign w:val="center"/>
          </w:tcPr>
          <w:p>
            <w:pPr>
              <w:pStyle w:val="1132"/>
              <w:rPr>
                <w:b/>
                <w:bCs w:val="0"/>
              </w:rPr>
            </w:pPr>
            <w:r>
              <w:rPr>
                <w:b/>
                <w:bCs w:val="0"/>
              </w:rPr>
              <w:t>年评价指标</w:t>
            </w:r>
          </w:p>
        </w:tc>
        <w:tc>
          <w:tcPr>
            <w:tcW w:w="986" w:type="pct"/>
            <w:tcBorders>
              <w:top w:val="single" w:color="000000" w:sz="4" w:space="0"/>
              <w:left w:val="single" w:color="000000" w:sz="4" w:space="0"/>
              <w:bottom w:val="single" w:color="000000" w:sz="4" w:space="0"/>
              <w:right w:val="single" w:color="000000" w:sz="4" w:space="0"/>
            </w:tcBorders>
            <w:noWrap/>
            <w:vAlign w:val="center"/>
          </w:tcPr>
          <w:p>
            <w:pPr>
              <w:pStyle w:val="1132"/>
              <w:rPr>
                <w:b/>
                <w:bCs w:val="0"/>
              </w:rPr>
            </w:pPr>
            <w:r>
              <w:rPr>
                <w:b/>
                <w:bCs w:val="0"/>
              </w:rPr>
              <w:t>现状浓度</w:t>
            </w:r>
            <w:r>
              <w:rPr>
                <w:rFonts w:hint="eastAsia"/>
                <w:b/>
                <w:bCs w:val="0"/>
              </w:rPr>
              <w:t>（</w:t>
            </w:r>
            <w:r>
              <w:rPr>
                <w:b/>
                <w:bCs w:val="0"/>
              </w:rPr>
              <w:t>μg/m</w:t>
            </w:r>
            <w:r>
              <w:rPr>
                <w:b/>
                <w:bCs w:val="0"/>
                <w:vertAlign w:val="superscript"/>
              </w:rPr>
              <w:t>3</w:t>
            </w:r>
            <w:r>
              <w:rPr>
                <w:rFonts w:hint="eastAsia"/>
                <w:b/>
                <w:bCs w:val="0"/>
              </w:rPr>
              <w:t>）</w:t>
            </w:r>
          </w:p>
        </w:tc>
        <w:tc>
          <w:tcPr>
            <w:tcW w:w="918" w:type="pct"/>
            <w:tcBorders>
              <w:top w:val="single" w:color="000000" w:sz="4" w:space="0"/>
              <w:left w:val="single" w:color="000000" w:sz="4" w:space="0"/>
              <w:bottom w:val="single" w:color="000000" w:sz="4" w:space="0"/>
              <w:right w:val="single" w:color="000000" w:sz="4" w:space="0"/>
            </w:tcBorders>
            <w:noWrap/>
            <w:vAlign w:val="center"/>
          </w:tcPr>
          <w:p>
            <w:pPr>
              <w:pStyle w:val="1132"/>
              <w:rPr>
                <w:b/>
                <w:bCs w:val="0"/>
              </w:rPr>
            </w:pPr>
            <w:r>
              <w:rPr>
                <w:b/>
                <w:bCs w:val="0"/>
              </w:rPr>
              <w:t>标准值</w:t>
            </w:r>
            <w:r>
              <w:rPr>
                <w:rFonts w:hint="eastAsia"/>
                <w:b/>
                <w:bCs w:val="0"/>
              </w:rPr>
              <w:t>（</w:t>
            </w:r>
            <w:r>
              <w:rPr>
                <w:b/>
                <w:bCs w:val="0"/>
              </w:rPr>
              <w:t>μg/m</w:t>
            </w:r>
            <w:r>
              <w:rPr>
                <w:b/>
                <w:bCs w:val="0"/>
                <w:vertAlign w:val="superscript"/>
              </w:rPr>
              <w:t>3</w:t>
            </w:r>
            <w:r>
              <w:rPr>
                <w:rFonts w:hint="eastAsia"/>
                <w:b/>
                <w:bCs w:val="0"/>
              </w:rPr>
              <w:t>）</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rPr>
                <w:b/>
                <w:bCs w:val="0"/>
              </w:rPr>
            </w:pPr>
            <w:r>
              <w:rPr>
                <w:b/>
                <w:bCs w:val="0"/>
              </w:rPr>
              <w:t>占标率%</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rPr>
                <w:b/>
                <w:bCs w:val="0"/>
              </w:rPr>
            </w:pPr>
            <w:r>
              <w:rPr>
                <w:b/>
                <w:bCs w:val="0"/>
              </w:rPr>
              <w:t>达标情况</w:t>
            </w:r>
          </w:p>
        </w:tc>
      </w:tr>
      <w:tr>
        <w:tblPrEx>
          <w:tblCellMar>
            <w:top w:w="15" w:type="dxa"/>
            <w:left w:w="15" w:type="dxa"/>
            <w:bottom w:w="15" w:type="dxa"/>
            <w:right w:w="15" w:type="dxa"/>
          </w:tblCellMar>
        </w:tblPrEx>
        <w:tc>
          <w:tcPr>
            <w:tcW w:w="509" w:type="pct"/>
            <w:tcBorders>
              <w:top w:val="single" w:color="000000" w:sz="4" w:space="0"/>
              <w:left w:val="single" w:color="000000" w:sz="4" w:space="0"/>
              <w:bottom w:val="single" w:color="000000" w:sz="4" w:space="0"/>
              <w:right w:val="single" w:color="000000" w:sz="4" w:space="0"/>
            </w:tcBorders>
            <w:noWrap/>
            <w:vAlign w:val="center"/>
          </w:tcPr>
          <w:p>
            <w:pPr>
              <w:pStyle w:val="1132"/>
            </w:pPr>
            <w:r>
              <w:t>PM</w:t>
            </w:r>
            <w:r>
              <w:rPr>
                <w:rFonts w:hint="eastAsia"/>
                <w:vertAlign w:val="subscript"/>
              </w:rPr>
              <w:t>10</w:t>
            </w:r>
          </w:p>
        </w:tc>
        <w:tc>
          <w:tcPr>
            <w:tcW w:w="1428" w:type="pct"/>
            <w:vMerge w:val="restart"/>
            <w:tcBorders>
              <w:top w:val="single" w:color="000000" w:sz="4" w:space="0"/>
              <w:left w:val="single" w:color="000000" w:sz="4" w:space="0"/>
              <w:bottom w:val="single" w:color="000000" w:sz="4" w:space="0"/>
              <w:right w:val="single" w:color="000000" w:sz="4" w:space="0"/>
            </w:tcBorders>
            <w:noWrap/>
            <w:vAlign w:val="center"/>
          </w:tcPr>
          <w:p>
            <w:pPr>
              <w:pStyle w:val="1132"/>
            </w:pPr>
            <w:r>
              <w:t>年平均质量浓度</w:t>
            </w:r>
          </w:p>
        </w:tc>
        <w:tc>
          <w:tcPr>
            <w:tcW w:w="986"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6</w:t>
            </w:r>
            <w:r>
              <w:t>8</w:t>
            </w:r>
          </w:p>
        </w:tc>
        <w:tc>
          <w:tcPr>
            <w:tcW w:w="918" w:type="pct"/>
            <w:tcBorders>
              <w:top w:val="single" w:color="000000" w:sz="4" w:space="0"/>
              <w:left w:val="single" w:color="000000" w:sz="4" w:space="0"/>
              <w:bottom w:val="single" w:color="000000" w:sz="4" w:space="0"/>
              <w:right w:val="single" w:color="000000" w:sz="4" w:space="0"/>
            </w:tcBorders>
            <w:noWrap/>
            <w:vAlign w:val="center"/>
          </w:tcPr>
          <w:p>
            <w:pPr>
              <w:pStyle w:val="1132"/>
            </w:pPr>
            <w:r>
              <w:t>70</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9</w:t>
            </w:r>
            <w:r>
              <w:t>7.14</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t>达标</w:t>
            </w:r>
          </w:p>
        </w:tc>
      </w:tr>
      <w:tr>
        <w:tblPrEx>
          <w:tblCellMar>
            <w:top w:w="15" w:type="dxa"/>
            <w:left w:w="15" w:type="dxa"/>
            <w:bottom w:w="15" w:type="dxa"/>
            <w:right w:w="15" w:type="dxa"/>
          </w:tblCellMar>
        </w:tblPrEx>
        <w:tc>
          <w:tcPr>
            <w:tcW w:w="509" w:type="pct"/>
            <w:tcBorders>
              <w:top w:val="single" w:color="000000" w:sz="4" w:space="0"/>
              <w:left w:val="single" w:color="000000" w:sz="4" w:space="0"/>
              <w:bottom w:val="single" w:color="000000" w:sz="4" w:space="0"/>
              <w:right w:val="single" w:color="000000" w:sz="4" w:space="0"/>
            </w:tcBorders>
            <w:noWrap/>
            <w:vAlign w:val="center"/>
          </w:tcPr>
          <w:p>
            <w:pPr>
              <w:pStyle w:val="1132"/>
            </w:pPr>
            <w:r>
              <w:t>PM</w:t>
            </w:r>
            <w:r>
              <w:rPr>
                <w:rFonts w:hint="eastAsia"/>
                <w:vertAlign w:val="subscript"/>
              </w:rPr>
              <w:t>2.5</w:t>
            </w:r>
          </w:p>
        </w:tc>
        <w:tc>
          <w:tcPr>
            <w:tcW w:w="1428"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1132"/>
            </w:pPr>
          </w:p>
        </w:tc>
        <w:tc>
          <w:tcPr>
            <w:tcW w:w="986"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3</w:t>
            </w:r>
            <w:r>
              <w:t>7</w:t>
            </w:r>
          </w:p>
        </w:tc>
        <w:tc>
          <w:tcPr>
            <w:tcW w:w="918" w:type="pct"/>
            <w:tcBorders>
              <w:top w:val="single" w:color="000000" w:sz="4" w:space="0"/>
              <w:left w:val="single" w:color="000000" w:sz="4" w:space="0"/>
              <w:bottom w:val="single" w:color="000000" w:sz="4" w:space="0"/>
              <w:right w:val="single" w:color="000000" w:sz="4" w:space="0"/>
            </w:tcBorders>
            <w:noWrap/>
            <w:vAlign w:val="center"/>
          </w:tcPr>
          <w:p>
            <w:pPr>
              <w:pStyle w:val="1132"/>
            </w:pPr>
            <w:r>
              <w:t>35</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t>105.71</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lang w:val="en-US" w:eastAsia="zh-CN"/>
              </w:rPr>
              <w:t>不</w:t>
            </w:r>
            <w:r>
              <w:t>达标</w:t>
            </w:r>
          </w:p>
        </w:tc>
      </w:tr>
      <w:tr>
        <w:tblPrEx>
          <w:tblCellMar>
            <w:top w:w="15" w:type="dxa"/>
            <w:left w:w="15" w:type="dxa"/>
            <w:bottom w:w="15" w:type="dxa"/>
            <w:right w:w="15" w:type="dxa"/>
          </w:tblCellMar>
        </w:tblPrEx>
        <w:tc>
          <w:tcPr>
            <w:tcW w:w="509"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SO</w:t>
            </w:r>
            <w:r>
              <w:rPr>
                <w:vertAlign w:val="subscript"/>
              </w:rPr>
              <w:t>2</w:t>
            </w:r>
          </w:p>
        </w:tc>
        <w:tc>
          <w:tcPr>
            <w:tcW w:w="1428"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1132"/>
            </w:pPr>
          </w:p>
        </w:tc>
        <w:tc>
          <w:tcPr>
            <w:tcW w:w="986"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1</w:t>
            </w:r>
            <w:r>
              <w:t>1</w:t>
            </w:r>
          </w:p>
        </w:tc>
        <w:tc>
          <w:tcPr>
            <w:tcW w:w="918" w:type="pct"/>
            <w:tcBorders>
              <w:top w:val="single" w:color="000000" w:sz="4" w:space="0"/>
              <w:left w:val="single" w:color="000000" w:sz="4" w:space="0"/>
              <w:bottom w:val="single" w:color="000000" w:sz="4" w:space="0"/>
              <w:right w:val="single" w:color="000000" w:sz="4" w:space="0"/>
            </w:tcBorders>
            <w:noWrap/>
            <w:vAlign w:val="center"/>
          </w:tcPr>
          <w:p>
            <w:pPr>
              <w:pStyle w:val="1132"/>
            </w:pPr>
            <w:r>
              <w:t>60</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1</w:t>
            </w:r>
            <w:r>
              <w:t>8.33</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t>达标</w:t>
            </w:r>
          </w:p>
        </w:tc>
      </w:tr>
      <w:tr>
        <w:tblPrEx>
          <w:tblCellMar>
            <w:top w:w="15" w:type="dxa"/>
            <w:left w:w="15" w:type="dxa"/>
            <w:bottom w:w="15" w:type="dxa"/>
            <w:right w:w="15" w:type="dxa"/>
          </w:tblCellMar>
        </w:tblPrEx>
        <w:tc>
          <w:tcPr>
            <w:tcW w:w="509" w:type="pct"/>
            <w:tcBorders>
              <w:top w:val="single" w:color="000000" w:sz="4" w:space="0"/>
              <w:left w:val="single" w:color="000000" w:sz="4" w:space="0"/>
              <w:bottom w:val="single" w:color="000000" w:sz="4" w:space="0"/>
              <w:right w:val="single" w:color="000000" w:sz="4" w:space="0"/>
            </w:tcBorders>
            <w:noWrap/>
            <w:vAlign w:val="center"/>
          </w:tcPr>
          <w:p>
            <w:pPr>
              <w:pStyle w:val="1132"/>
            </w:pPr>
            <w:r>
              <w:t>NO</w:t>
            </w:r>
            <w:r>
              <w:rPr>
                <w:rFonts w:hint="eastAsia"/>
                <w:vertAlign w:val="subscript"/>
              </w:rPr>
              <w:t>2</w:t>
            </w:r>
          </w:p>
        </w:tc>
        <w:tc>
          <w:tcPr>
            <w:tcW w:w="1428"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1132"/>
            </w:pPr>
          </w:p>
        </w:tc>
        <w:tc>
          <w:tcPr>
            <w:tcW w:w="986"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2</w:t>
            </w:r>
            <w:r>
              <w:t>7</w:t>
            </w:r>
          </w:p>
        </w:tc>
        <w:tc>
          <w:tcPr>
            <w:tcW w:w="918" w:type="pct"/>
            <w:tcBorders>
              <w:top w:val="single" w:color="000000" w:sz="4" w:space="0"/>
              <w:left w:val="single" w:color="000000" w:sz="4" w:space="0"/>
              <w:bottom w:val="single" w:color="000000" w:sz="4" w:space="0"/>
              <w:right w:val="single" w:color="000000" w:sz="4" w:space="0"/>
            </w:tcBorders>
            <w:noWrap/>
            <w:vAlign w:val="center"/>
          </w:tcPr>
          <w:p>
            <w:pPr>
              <w:pStyle w:val="1132"/>
            </w:pPr>
            <w:r>
              <w:t>40</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6</w:t>
            </w:r>
            <w:r>
              <w:t>7.5</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t>达标</w:t>
            </w:r>
          </w:p>
        </w:tc>
      </w:tr>
      <w:tr>
        <w:tblPrEx>
          <w:tblCellMar>
            <w:top w:w="15" w:type="dxa"/>
            <w:left w:w="15" w:type="dxa"/>
            <w:bottom w:w="15" w:type="dxa"/>
            <w:right w:w="15" w:type="dxa"/>
          </w:tblCellMar>
        </w:tblPrEx>
        <w:tc>
          <w:tcPr>
            <w:tcW w:w="509"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CO</w:t>
            </w:r>
          </w:p>
        </w:tc>
        <w:tc>
          <w:tcPr>
            <w:tcW w:w="1428" w:type="pct"/>
            <w:tcBorders>
              <w:top w:val="single" w:color="000000" w:sz="4" w:space="0"/>
              <w:left w:val="single" w:color="000000" w:sz="4" w:space="0"/>
              <w:bottom w:val="single" w:color="000000" w:sz="4" w:space="0"/>
              <w:right w:val="single" w:color="000000" w:sz="4" w:space="0"/>
            </w:tcBorders>
            <w:noWrap/>
            <w:vAlign w:val="center"/>
          </w:tcPr>
          <w:p>
            <w:pPr>
              <w:pStyle w:val="1132"/>
            </w:pPr>
            <w:r>
              <w:t>日均值第95百分位浓度</w:t>
            </w:r>
          </w:p>
        </w:tc>
        <w:tc>
          <w:tcPr>
            <w:tcW w:w="986"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8</w:t>
            </w:r>
            <w:r>
              <w:t>00</w:t>
            </w:r>
          </w:p>
        </w:tc>
        <w:tc>
          <w:tcPr>
            <w:tcW w:w="918" w:type="pct"/>
            <w:tcBorders>
              <w:top w:val="single" w:color="000000" w:sz="4" w:space="0"/>
              <w:left w:val="single" w:color="000000" w:sz="4" w:space="0"/>
              <w:bottom w:val="single" w:color="000000" w:sz="4" w:space="0"/>
              <w:right w:val="single" w:color="000000" w:sz="4" w:space="0"/>
            </w:tcBorders>
            <w:noWrap/>
            <w:vAlign w:val="center"/>
          </w:tcPr>
          <w:p>
            <w:pPr>
              <w:pStyle w:val="1132"/>
            </w:pPr>
            <w:r>
              <w:t>4000</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2</w:t>
            </w:r>
            <w:r>
              <w:t>0</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t>达标</w:t>
            </w:r>
          </w:p>
        </w:tc>
      </w:tr>
      <w:tr>
        <w:tblPrEx>
          <w:tblCellMar>
            <w:top w:w="15" w:type="dxa"/>
            <w:left w:w="15" w:type="dxa"/>
            <w:bottom w:w="15" w:type="dxa"/>
            <w:right w:w="15" w:type="dxa"/>
          </w:tblCellMar>
        </w:tblPrEx>
        <w:tc>
          <w:tcPr>
            <w:tcW w:w="509"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O</w:t>
            </w:r>
            <w:r>
              <w:rPr>
                <w:rFonts w:hint="eastAsia"/>
                <w:vertAlign w:val="subscript"/>
              </w:rPr>
              <w:t>3</w:t>
            </w:r>
          </w:p>
        </w:tc>
        <w:tc>
          <w:tcPr>
            <w:tcW w:w="1428" w:type="pct"/>
            <w:tcBorders>
              <w:top w:val="single" w:color="000000" w:sz="4" w:space="0"/>
              <w:left w:val="single" w:color="000000" w:sz="4" w:space="0"/>
              <w:bottom w:val="single" w:color="000000" w:sz="4" w:space="0"/>
              <w:right w:val="single" w:color="000000" w:sz="4" w:space="0"/>
            </w:tcBorders>
            <w:noWrap/>
            <w:vAlign w:val="center"/>
          </w:tcPr>
          <w:p>
            <w:pPr>
              <w:pStyle w:val="1132"/>
            </w:pPr>
            <w:r>
              <w:t>日最大8h平均值第90百分位浓度</w:t>
            </w:r>
          </w:p>
        </w:tc>
        <w:tc>
          <w:tcPr>
            <w:tcW w:w="986"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1</w:t>
            </w:r>
            <w:r>
              <w:t>55</w:t>
            </w:r>
          </w:p>
        </w:tc>
        <w:tc>
          <w:tcPr>
            <w:tcW w:w="918" w:type="pct"/>
            <w:tcBorders>
              <w:top w:val="single" w:color="000000" w:sz="4" w:space="0"/>
              <w:left w:val="single" w:color="000000" w:sz="4" w:space="0"/>
              <w:bottom w:val="single" w:color="000000" w:sz="4" w:space="0"/>
              <w:right w:val="single" w:color="000000" w:sz="4" w:space="0"/>
            </w:tcBorders>
            <w:noWrap/>
            <w:vAlign w:val="center"/>
          </w:tcPr>
          <w:p>
            <w:pPr>
              <w:pStyle w:val="1132"/>
            </w:pPr>
            <w:r>
              <w:t>160</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rPr>
                <w:rFonts w:hint="eastAsia"/>
              </w:rPr>
              <w:t>9</w:t>
            </w:r>
            <w:r>
              <w:t>6.88</w:t>
            </w:r>
          </w:p>
        </w:tc>
        <w:tc>
          <w:tcPr>
            <w:tcW w:w="578" w:type="pct"/>
            <w:tcBorders>
              <w:top w:val="single" w:color="000000" w:sz="4" w:space="0"/>
              <w:left w:val="single" w:color="000000" w:sz="4" w:space="0"/>
              <w:bottom w:val="single" w:color="000000" w:sz="4" w:space="0"/>
              <w:right w:val="single" w:color="000000" w:sz="4" w:space="0"/>
            </w:tcBorders>
            <w:noWrap/>
            <w:vAlign w:val="center"/>
          </w:tcPr>
          <w:p>
            <w:pPr>
              <w:pStyle w:val="1132"/>
            </w:pPr>
            <w:r>
              <w:t>达标</w:t>
            </w:r>
          </w:p>
        </w:tc>
      </w:tr>
    </w:tbl>
    <w:p>
      <w:pPr>
        <w:widowControl/>
        <w:ind w:firstLine="480" w:firstLineChars="200"/>
        <w:rPr>
          <w:rFonts w:hint="eastAsia" w:eastAsia="宋体"/>
          <w:lang w:eastAsia="zh-CN"/>
        </w:rPr>
      </w:pPr>
      <w:r>
        <w:rPr>
          <w:rFonts w:hint="eastAsia"/>
        </w:rPr>
        <w:t>由上表可知：项目所在区域PM</w:t>
      </w:r>
      <w:r>
        <w:rPr>
          <w:rFonts w:hint="eastAsia"/>
          <w:vertAlign w:val="subscript"/>
        </w:rPr>
        <w:t>2.5</w:t>
      </w:r>
      <w:r>
        <w:rPr>
          <w:rFonts w:hint="eastAsia"/>
        </w:rPr>
        <w:t>年平均浓度不能满足《环境空气质量标准》（GB3095-2012）二级标准，判定项目所在区域为不达标区</w:t>
      </w:r>
      <w:r>
        <w:rPr>
          <w:rFonts w:hint="eastAsia"/>
          <w:lang w:eastAsia="zh-CN"/>
        </w:rPr>
        <w:t>。</w:t>
      </w:r>
    </w:p>
    <w:p>
      <w:pPr>
        <w:pStyle w:val="7"/>
        <w:rPr>
          <w:b/>
          <w:bCs/>
          <w:sz w:val="28"/>
          <w:szCs w:val="28"/>
        </w:rPr>
      </w:pPr>
      <w:bookmarkStart w:id="273" w:name="_Toc57645151"/>
      <w:bookmarkStart w:id="274" w:name="_Toc30623"/>
      <w:bookmarkStart w:id="275" w:name="_Toc32654"/>
      <w:r>
        <w:rPr>
          <w:rFonts w:hint="eastAsia"/>
          <w:b/>
          <w:bCs/>
          <w:sz w:val="28"/>
          <w:szCs w:val="28"/>
        </w:rPr>
        <w:t>声环境现状评价</w:t>
      </w:r>
      <w:bookmarkEnd w:id="273"/>
      <w:bookmarkEnd w:id="274"/>
      <w:bookmarkEnd w:id="275"/>
    </w:p>
    <w:p>
      <w:pPr>
        <w:pStyle w:val="8"/>
        <w:rPr>
          <w:b/>
          <w:bCs/>
        </w:rPr>
      </w:pPr>
      <w:bookmarkStart w:id="276" w:name="_Toc31163"/>
      <w:r>
        <w:rPr>
          <w:b/>
          <w:bCs/>
        </w:rPr>
        <w:t>现状监测</w:t>
      </w:r>
      <w:bookmarkEnd w:id="276"/>
    </w:p>
    <w:p>
      <w:pPr>
        <w:pStyle w:val="9"/>
      </w:pPr>
      <w:bookmarkStart w:id="277" w:name="_Toc7185"/>
      <w:r>
        <w:t>监测点布置</w:t>
      </w:r>
      <w:bookmarkEnd w:id="277"/>
    </w:p>
    <w:p>
      <w:pPr>
        <w:pStyle w:val="10"/>
        <w:ind w:firstLine="480"/>
      </w:pPr>
      <w:r>
        <w:t>经调查拟建</w:t>
      </w:r>
      <w:r>
        <w:rPr>
          <w:rFonts w:hint="eastAsia"/>
        </w:rPr>
        <w:t>公路</w:t>
      </w:r>
      <w:r>
        <w:t>评价范围内噪声源主要是农村居民生活噪声</w:t>
      </w:r>
      <w:r>
        <w:rPr>
          <w:rFonts w:hint="eastAsia"/>
        </w:rPr>
        <w:t>和高速</w:t>
      </w:r>
      <w:r>
        <w:t>路段交通噪声，现状监测主要内容为：</w:t>
      </w:r>
    </w:p>
    <w:p>
      <w:pPr>
        <w:pStyle w:val="10"/>
        <w:ind w:firstLine="480"/>
      </w:pPr>
      <w:r>
        <w:rPr>
          <w:rFonts w:hint="eastAsia"/>
        </w:rPr>
        <w:t>（1）选择</w:t>
      </w:r>
      <w:r>
        <w:t>具有代表性敏感点，布点原则如下：</w:t>
      </w:r>
    </w:p>
    <w:p>
      <w:pPr>
        <w:pStyle w:val="10"/>
        <w:ind w:firstLine="480"/>
      </w:pPr>
      <w:r>
        <w:t>按照“以点代面，反馈全线”的原则进行布设；</w:t>
      </w:r>
    </w:p>
    <w:p>
      <w:pPr>
        <w:pStyle w:val="10"/>
        <w:ind w:firstLine="480"/>
      </w:pPr>
      <w:r>
        <w:t>兼顾不同环境功能区和不同路段声的敏感点；</w:t>
      </w:r>
    </w:p>
    <w:p>
      <w:pPr>
        <w:pStyle w:val="10"/>
        <w:ind w:firstLine="480"/>
      </w:pPr>
      <w:r>
        <w:t>根据敏感点住户多少、与路面高差以及与路线距离布设。</w:t>
      </w:r>
    </w:p>
    <w:p>
      <w:pPr>
        <w:pStyle w:val="10"/>
        <w:ind w:firstLine="480"/>
      </w:pPr>
      <w:r>
        <w:rPr>
          <w:rFonts w:hint="eastAsia"/>
        </w:rPr>
        <w:t>（2）选择</w:t>
      </w:r>
      <w:r>
        <w:rPr>
          <w:rFonts w:hint="eastAsia"/>
          <w:lang w:val="en-US" w:eastAsia="zh-CN"/>
        </w:rPr>
        <w:t>2</w:t>
      </w:r>
      <w:r>
        <w:rPr>
          <w:rFonts w:hint="eastAsia"/>
        </w:rPr>
        <w:t>处受现有交通噪声影响敏感点</w:t>
      </w:r>
      <w:r>
        <w:rPr>
          <w:rFonts w:hint="eastAsia"/>
          <w:lang w:eastAsia="zh-CN"/>
        </w:rPr>
        <w:t>（</w:t>
      </w:r>
      <w:r>
        <w:rPr>
          <w:rFonts w:hint="eastAsia"/>
          <w:lang w:val="en-US" w:eastAsia="zh-CN"/>
        </w:rPr>
        <w:t>N10、N11</w:t>
      </w:r>
      <w:r>
        <w:rPr>
          <w:rFonts w:hint="eastAsia"/>
          <w:lang w:eastAsia="zh-CN"/>
        </w:rPr>
        <w:t>）</w:t>
      </w:r>
      <w:r>
        <w:rPr>
          <w:rFonts w:hint="eastAsia"/>
        </w:rPr>
        <w:t>进行24小时噪声连续监测。</w:t>
      </w:r>
    </w:p>
    <w:p>
      <w:pPr>
        <w:pStyle w:val="10"/>
        <w:ind w:firstLine="480"/>
      </w:pPr>
      <w:r>
        <w:t>本项目公路沿线声环境保护对象是路中心线两侧200m以内敏感点。根据现场勘查，为了尽可能全面掌握道路沿线声环境质量现状，本次评价过程中对道路沿线进行声环境现状监测，共布设8个声环境现状监测点，其中包括</w:t>
      </w:r>
      <w:r>
        <w:rPr>
          <w:rFonts w:hint="eastAsia"/>
          <w:lang w:val="en-US" w:eastAsia="zh-CN"/>
        </w:rPr>
        <w:t>2</w:t>
      </w:r>
      <w:r>
        <w:rPr>
          <w:rFonts w:hint="eastAsia"/>
        </w:rPr>
        <w:t>个路肩处</w:t>
      </w:r>
      <w:r>
        <w:t>噪声监测点。具体监测布点布置见</w:t>
      </w:r>
      <w:r>
        <w:rPr>
          <w:rFonts w:hint="eastAsia"/>
        </w:rPr>
        <w:t>表</w:t>
      </w:r>
      <w:r>
        <w:t>4</w:t>
      </w:r>
      <w:r>
        <w:rPr>
          <w:rFonts w:hint="eastAsia"/>
        </w:rPr>
        <w:t>.4-1、</w:t>
      </w:r>
      <w:r>
        <w:t>4</w:t>
      </w:r>
      <w:r>
        <w:rPr>
          <w:rFonts w:hint="eastAsia"/>
        </w:rPr>
        <w:t>.4-</w:t>
      </w:r>
      <w:r>
        <w:t>2</w:t>
      </w:r>
      <w:r>
        <w:rPr>
          <w:rFonts w:hint="eastAsia"/>
        </w:rPr>
        <w:t>、</w:t>
      </w:r>
      <w:r>
        <w:t>4</w:t>
      </w:r>
      <w:r>
        <w:rPr>
          <w:rFonts w:hint="eastAsia"/>
        </w:rPr>
        <w:t>.4-</w:t>
      </w:r>
      <w:r>
        <w:t>3</w:t>
      </w:r>
      <w:r>
        <w:rPr>
          <w:rFonts w:hint="eastAsia"/>
        </w:rPr>
        <w:t>和图</w:t>
      </w:r>
      <w:r>
        <w:t>4</w:t>
      </w:r>
      <w:r>
        <w:rPr>
          <w:rFonts w:hint="eastAsia"/>
        </w:rPr>
        <w:t>.4-1（a）、</w:t>
      </w:r>
      <w:r>
        <w:t>4</w:t>
      </w:r>
      <w:r>
        <w:rPr>
          <w:rFonts w:hint="eastAsia"/>
        </w:rPr>
        <w:t>.4-1（b）。</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bookmarkStart w:id="278" w:name="_Hlk97883625"/>
      <w:r>
        <w:t>交通噪声连续24h监测点位</w:t>
      </w:r>
      <w:bookmarkEnd w:id="278"/>
      <w:r>
        <w:t>布置一览表</w:t>
      </w:r>
    </w:p>
    <w:tbl>
      <w:tblPr>
        <w:tblStyle w:val="48"/>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4"/>
        <w:gridCol w:w="2433"/>
        <w:gridCol w:w="930"/>
        <w:gridCol w:w="2927"/>
        <w:gridCol w:w="1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0" w:type="pct"/>
            <w:vAlign w:val="center"/>
          </w:tcPr>
          <w:p>
            <w:pPr>
              <w:pStyle w:val="1132"/>
              <w:rPr>
                <w:color w:val="auto"/>
              </w:rPr>
            </w:pPr>
            <w:r>
              <w:rPr>
                <w:color w:val="auto"/>
              </w:rPr>
              <w:t>编号</w:t>
            </w:r>
          </w:p>
        </w:tc>
        <w:tc>
          <w:tcPr>
            <w:tcW w:w="1812" w:type="pct"/>
            <w:gridSpan w:val="2"/>
            <w:vAlign w:val="center"/>
          </w:tcPr>
          <w:p>
            <w:pPr>
              <w:pStyle w:val="1132"/>
              <w:rPr>
                <w:color w:val="auto"/>
              </w:rPr>
            </w:pPr>
            <w:r>
              <w:rPr>
                <w:color w:val="auto"/>
              </w:rPr>
              <w:t>测点位置</w:t>
            </w:r>
          </w:p>
        </w:tc>
        <w:tc>
          <w:tcPr>
            <w:tcW w:w="1577" w:type="pct"/>
            <w:vAlign w:val="center"/>
          </w:tcPr>
          <w:p>
            <w:pPr>
              <w:pStyle w:val="1132"/>
              <w:rPr>
                <w:color w:val="auto"/>
              </w:rPr>
            </w:pPr>
            <w:r>
              <w:rPr>
                <w:color w:val="auto"/>
              </w:rPr>
              <w:t>监测项目</w:t>
            </w:r>
          </w:p>
        </w:tc>
        <w:tc>
          <w:tcPr>
            <w:tcW w:w="950" w:type="pct"/>
            <w:vAlign w:val="center"/>
          </w:tcPr>
          <w:p>
            <w:pPr>
              <w:pStyle w:val="1132"/>
              <w:rPr>
                <w:color w:val="auto"/>
              </w:rPr>
            </w:pPr>
            <w:r>
              <w:rPr>
                <w:color w:val="auto"/>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660" w:type="pct"/>
            <w:vAlign w:val="center"/>
          </w:tcPr>
          <w:p>
            <w:pPr>
              <w:pStyle w:val="1132"/>
              <w:rPr>
                <w:rFonts w:hint="default" w:eastAsia="宋体"/>
                <w:color w:val="auto"/>
                <w:lang w:val="en-US" w:eastAsia="zh-CN"/>
              </w:rPr>
            </w:pPr>
            <w:r>
              <w:rPr>
                <w:color w:val="auto"/>
              </w:rPr>
              <w:t>N</w:t>
            </w:r>
            <w:r>
              <w:rPr>
                <w:rFonts w:hint="eastAsia"/>
                <w:color w:val="auto"/>
                <w:lang w:val="en-US" w:eastAsia="zh-CN"/>
              </w:rPr>
              <w:t>10</w:t>
            </w:r>
          </w:p>
        </w:tc>
        <w:tc>
          <w:tcPr>
            <w:tcW w:w="1311" w:type="pct"/>
            <w:vAlign w:val="center"/>
          </w:tcPr>
          <w:p>
            <w:pPr>
              <w:pStyle w:val="1132"/>
              <w:rPr>
                <w:rFonts w:hint="default" w:eastAsia="宋体"/>
                <w:color w:val="auto"/>
                <w:lang w:val="en-US" w:eastAsia="zh-CN"/>
              </w:rPr>
            </w:pPr>
            <w:r>
              <w:rPr>
                <w:color w:val="auto"/>
              </w:rPr>
              <w:t>K0+310</w:t>
            </w:r>
            <w:r>
              <w:rPr>
                <w:rFonts w:hint="eastAsia"/>
                <w:color w:val="auto"/>
                <w:lang w:eastAsia="zh-CN"/>
              </w:rPr>
              <w:t>，</w:t>
            </w:r>
            <w:r>
              <w:rPr>
                <w:rFonts w:hint="eastAsia"/>
                <w:color w:val="auto"/>
                <w:lang w:val="en-US" w:eastAsia="zh-CN"/>
              </w:rPr>
              <w:t>与G3京台高速交叉位置</w:t>
            </w:r>
          </w:p>
        </w:tc>
        <w:tc>
          <w:tcPr>
            <w:tcW w:w="500" w:type="pct"/>
            <w:vAlign w:val="center"/>
          </w:tcPr>
          <w:p>
            <w:pPr>
              <w:pStyle w:val="1132"/>
              <w:rPr>
                <w:color w:val="auto"/>
              </w:rPr>
            </w:pPr>
            <w:r>
              <w:rPr>
                <w:color w:val="auto"/>
              </w:rPr>
              <w:t>路肩处</w:t>
            </w:r>
          </w:p>
        </w:tc>
        <w:tc>
          <w:tcPr>
            <w:tcW w:w="1577" w:type="pct"/>
            <w:vMerge w:val="restart"/>
            <w:vAlign w:val="center"/>
          </w:tcPr>
          <w:p>
            <w:pPr>
              <w:pStyle w:val="1132"/>
              <w:rPr>
                <w:color w:val="auto"/>
              </w:rPr>
            </w:pPr>
            <w:r>
              <w:rPr>
                <w:color w:val="auto"/>
              </w:rPr>
              <w:t>交通噪声，同时按大、中、小型分类记录车流量</w:t>
            </w:r>
          </w:p>
        </w:tc>
        <w:tc>
          <w:tcPr>
            <w:tcW w:w="950" w:type="pct"/>
            <w:vMerge w:val="restart"/>
            <w:vAlign w:val="center"/>
          </w:tcPr>
          <w:p>
            <w:pPr>
              <w:pStyle w:val="1132"/>
              <w:rPr>
                <w:color w:val="auto"/>
              </w:rPr>
            </w:pPr>
            <w:r>
              <w:rPr>
                <w:color w:val="auto"/>
              </w:rPr>
              <w:t>24小时连续监测1天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0" w:type="pct"/>
            <w:vAlign w:val="center"/>
          </w:tcPr>
          <w:p>
            <w:pPr>
              <w:pStyle w:val="1132"/>
              <w:rPr>
                <w:rFonts w:hint="default" w:eastAsia="宋体"/>
                <w:color w:val="auto"/>
                <w:lang w:val="en-US" w:eastAsia="zh-CN"/>
              </w:rPr>
            </w:pPr>
            <w:r>
              <w:rPr>
                <w:rFonts w:hint="eastAsia"/>
                <w:color w:val="auto"/>
                <w:lang w:val="en-US" w:eastAsia="zh-CN"/>
              </w:rPr>
              <w:t>N11</w:t>
            </w:r>
          </w:p>
        </w:tc>
        <w:tc>
          <w:tcPr>
            <w:tcW w:w="1311" w:type="pct"/>
            <w:vAlign w:val="center"/>
          </w:tcPr>
          <w:p>
            <w:pPr>
              <w:pStyle w:val="1132"/>
              <w:rPr>
                <w:rFonts w:hint="default"/>
                <w:color w:val="auto"/>
                <w:lang w:val="en-US"/>
              </w:rPr>
            </w:pPr>
            <w:r>
              <w:rPr>
                <w:color w:val="auto"/>
              </w:rPr>
              <w:t>K</w:t>
            </w:r>
            <w:r>
              <w:rPr>
                <w:rFonts w:hint="eastAsia"/>
                <w:color w:val="auto"/>
                <w:lang w:val="en-US" w:eastAsia="zh-CN"/>
              </w:rPr>
              <w:t>7+700，与刘褚路（S419）连接位置</w:t>
            </w:r>
          </w:p>
        </w:tc>
        <w:tc>
          <w:tcPr>
            <w:tcW w:w="500" w:type="pct"/>
            <w:vAlign w:val="center"/>
          </w:tcPr>
          <w:p>
            <w:pPr>
              <w:pStyle w:val="1132"/>
              <w:rPr>
                <w:rFonts w:hint="default" w:eastAsia="宋体"/>
                <w:color w:val="auto"/>
                <w:lang w:val="en-US" w:eastAsia="zh-CN"/>
              </w:rPr>
            </w:pPr>
            <w:r>
              <w:rPr>
                <w:rFonts w:hint="eastAsia"/>
                <w:color w:val="auto"/>
                <w:lang w:val="en-US" w:eastAsia="zh-CN"/>
              </w:rPr>
              <w:t>路肩处</w:t>
            </w:r>
          </w:p>
        </w:tc>
        <w:tc>
          <w:tcPr>
            <w:tcW w:w="1577" w:type="pct"/>
            <w:vMerge w:val="continue"/>
            <w:vAlign w:val="center"/>
          </w:tcPr>
          <w:p>
            <w:pPr>
              <w:pStyle w:val="1132"/>
              <w:rPr>
                <w:color w:val="auto"/>
              </w:rPr>
            </w:pPr>
          </w:p>
        </w:tc>
        <w:tc>
          <w:tcPr>
            <w:tcW w:w="950" w:type="pct"/>
            <w:vMerge w:val="continue"/>
            <w:vAlign w:val="center"/>
          </w:tcPr>
          <w:p>
            <w:pPr>
              <w:pStyle w:val="1132"/>
              <w:rPr>
                <w:color w:val="auto"/>
              </w:rPr>
            </w:pPr>
          </w:p>
        </w:tc>
      </w:tr>
    </w:tbl>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敏感点声环境监测布点一览表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1"/>
        <w:gridCol w:w="1524"/>
        <w:gridCol w:w="5397"/>
        <w:gridCol w:w="13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9" w:type="pct"/>
            <w:vAlign w:val="center"/>
          </w:tcPr>
          <w:p>
            <w:pPr>
              <w:pStyle w:val="1132"/>
              <w:rPr>
                <w:b/>
                <w:bCs w:val="0"/>
                <w:color w:val="auto"/>
              </w:rPr>
            </w:pPr>
            <w:r>
              <w:rPr>
                <w:b/>
                <w:bCs w:val="0"/>
                <w:color w:val="auto"/>
              </w:rPr>
              <w:t>编号</w:t>
            </w:r>
          </w:p>
        </w:tc>
        <w:tc>
          <w:tcPr>
            <w:tcW w:w="820" w:type="pct"/>
            <w:vAlign w:val="center"/>
          </w:tcPr>
          <w:p>
            <w:pPr>
              <w:pStyle w:val="1132"/>
              <w:rPr>
                <w:b/>
                <w:bCs w:val="0"/>
                <w:color w:val="auto"/>
              </w:rPr>
            </w:pPr>
            <w:r>
              <w:rPr>
                <w:b/>
                <w:bCs w:val="0"/>
                <w:color w:val="auto"/>
              </w:rPr>
              <w:t>敏感点名称</w:t>
            </w:r>
          </w:p>
        </w:tc>
        <w:tc>
          <w:tcPr>
            <w:tcW w:w="2905" w:type="pct"/>
            <w:vAlign w:val="center"/>
          </w:tcPr>
          <w:p>
            <w:pPr>
              <w:pStyle w:val="1132"/>
              <w:rPr>
                <w:b/>
                <w:bCs w:val="0"/>
                <w:color w:val="auto"/>
              </w:rPr>
            </w:pPr>
            <w:r>
              <w:rPr>
                <w:b/>
                <w:bCs w:val="0"/>
                <w:color w:val="auto"/>
              </w:rPr>
              <w:t>监测点位置</w:t>
            </w:r>
          </w:p>
        </w:tc>
        <w:tc>
          <w:tcPr>
            <w:tcW w:w="734" w:type="pct"/>
            <w:vAlign w:val="center"/>
          </w:tcPr>
          <w:p>
            <w:pPr>
              <w:pStyle w:val="1132"/>
              <w:rPr>
                <w:b/>
                <w:bCs w:val="0"/>
                <w:color w:val="auto"/>
              </w:rPr>
            </w:pPr>
            <w:r>
              <w:rPr>
                <w:b/>
                <w:bCs w:val="0"/>
                <w:color w:val="auto"/>
              </w:rPr>
              <w:t>监测要求及备注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9" w:type="pct"/>
            <w:vAlign w:val="center"/>
          </w:tcPr>
          <w:p>
            <w:pPr>
              <w:pStyle w:val="1132"/>
              <w:rPr>
                <w:color w:val="auto"/>
              </w:rPr>
            </w:pPr>
            <w:r>
              <w:rPr>
                <w:rFonts w:hint="eastAsia"/>
                <w:color w:val="auto"/>
              </w:rPr>
              <w:t>N</w:t>
            </w:r>
            <w:r>
              <w:rPr>
                <w:color w:val="auto"/>
              </w:rPr>
              <w:t>1#</w:t>
            </w:r>
          </w:p>
        </w:tc>
        <w:tc>
          <w:tcPr>
            <w:tcW w:w="820" w:type="pct"/>
            <w:vAlign w:val="center"/>
          </w:tcPr>
          <w:p>
            <w:pPr>
              <w:pStyle w:val="1132"/>
              <w:rPr>
                <w:color w:val="auto"/>
              </w:rPr>
            </w:pPr>
            <w:r>
              <w:rPr>
                <w:rFonts w:hint="eastAsia"/>
                <w:color w:val="auto"/>
              </w:rPr>
              <w:t>宋小庄</w:t>
            </w:r>
          </w:p>
        </w:tc>
        <w:tc>
          <w:tcPr>
            <w:tcW w:w="2905" w:type="pct"/>
            <w:vAlign w:val="center"/>
          </w:tcPr>
          <w:p>
            <w:pPr>
              <w:pStyle w:val="1132"/>
              <w:rPr>
                <w:color w:val="auto"/>
              </w:rPr>
            </w:pPr>
            <w:r>
              <w:rPr>
                <w:color w:val="auto"/>
              </w:rPr>
              <w:t>临路第一排居住区外1m处，距离地面高度1.2m</w:t>
            </w:r>
          </w:p>
        </w:tc>
        <w:tc>
          <w:tcPr>
            <w:tcW w:w="734" w:type="pct"/>
            <w:vAlign w:val="center"/>
          </w:tcPr>
          <w:p>
            <w:pPr>
              <w:pStyle w:val="1132"/>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9" w:type="pct"/>
            <w:vAlign w:val="center"/>
          </w:tcPr>
          <w:p>
            <w:pPr>
              <w:pStyle w:val="1132"/>
              <w:rPr>
                <w:color w:val="auto"/>
              </w:rPr>
            </w:pPr>
            <w:r>
              <w:rPr>
                <w:rFonts w:hint="eastAsia"/>
                <w:color w:val="auto"/>
              </w:rPr>
              <w:t>N</w:t>
            </w:r>
            <w:r>
              <w:rPr>
                <w:color w:val="auto"/>
              </w:rPr>
              <w:t>2#</w:t>
            </w:r>
          </w:p>
        </w:tc>
        <w:tc>
          <w:tcPr>
            <w:tcW w:w="820" w:type="pct"/>
            <w:vAlign w:val="center"/>
          </w:tcPr>
          <w:p>
            <w:pPr>
              <w:pStyle w:val="1132"/>
              <w:rPr>
                <w:color w:val="auto"/>
              </w:rPr>
            </w:pPr>
            <w:r>
              <w:rPr>
                <w:rFonts w:hint="eastAsia"/>
                <w:color w:val="auto"/>
                <w:szCs w:val="21"/>
              </w:rPr>
              <w:t>路圩村</w:t>
            </w:r>
          </w:p>
        </w:tc>
        <w:tc>
          <w:tcPr>
            <w:tcW w:w="2905" w:type="pct"/>
            <w:vAlign w:val="center"/>
          </w:tcPr>
          <w:p>
            <w:pPr>
              <w:pStyle w:val="1132"/>
              <w:rPr>
                <w:color w:val="auto"/>
              </w:rPr>
            </w:pPr>
            <w:r>
              <w:rPr>
                <w:color w:val="auto"/>
              </w:rPr>
              <w:t>临路第一排居住区外1m处，距离地面高度1.2m</w:t>
            </w:r>
          </w:p>
        </w:tc>
        <w:tc>
          <w:tcPr>
            <w:tcW w:w="734" w:type="pct"/>
            <w:vAlign w:val="center"/>
          </w:tcPr>
          <w:p>
            <w:pPr>
              <w:pStyle w:val="1132"/>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9" w:type="pct"/>
            <w:vAlign w:val="center"/>
          </w:tcPr>
          <w:p>
            <w:pPr>
              <w:pStyle w:val="1132"/>
              <w:rPr>
                <w:color w:val="auto"/>
              </w:rPr>
            </w:pPr>
            <w:r>
              <w:rPr>
                <w:rFonts w:hint="eastAsia"/>
                <w:color w:val="auto"/>
              </w:rPr>
              <w:t>N</w:t>
            </w:r>
            <w:r>
              <w:rPr>
                <w:color w:val="auto"/>
              </w:rPr>
              <w:t>3-1#</w:t>
            </w:r>
          </w:p>
        </w:tc>
        <w:tc>
          <w:tcPr>
            <w:tcW w:w="820" w:type="pct"/>
            <w:vMerge w:val="restart"/>
            <w:vAlign w:val="center"/>
          </w:tcPr>
          <w:p>
            <w:pPr>
              <w:pStyle w:val="1132"/>
              <w:rPr>
                <w:rFonts w:hint="eastAsia" w:eastAsia="宋体"/>
                <w:color w:val="auto"/>
                <w:lang w:eastAsia="zh-CN"/>
              </w:rPr>
            </w:pPr>
            <w:r>
              <w:rPr>
                <w:rFonts w:hint="eastAsia"/>
                <w:color w:val="auto"/>
                <w:szCs w:val="21"/>
              </w:rPr>
              <w:t>汤庄</w:t>
            </w:r>
            <w:r>
              <w:rPr>
                <w:rFonts w:hint="eastAsia"/>
                <w:color w:val="auto"/>
                <w:szCs w:val="21"/>
                <w:lang w:eastAsia="zh-CN"/>
              </w:rPr>
              <w:t>（</w:t>
            </w:r>
            <w:r>
              <w:rPr>
                <w:rFonts w:hint="eastAsia"/>
                <w:color w:val="auto"/>
                <w:szCs w:val="21"/>
                <w:lang w:val="en-US" w:eastAsia="zh-CN"/>
              </w:rPr>
              <w:t>原</w:t>
            </w:r>
            <w:r>
              <w:rPr>
                <w:rFonts w:hint="eastAsia"/>
                <w:color w:val="auto"/>
                <w:szCs w:val="21"/>
                <w:lang w:eastAsia="zh-CN"/>
              </w:rPr>
              <w:t>）</w:t>
            </w:r>
          </w:p>
        </w:tc>
        <w:tc>
          <w:tcPr>
            <w:tcW w:w="2905" w:type="pct"/>
            <w:vAlign w:val="center"/>
          </w:tcPr>
          <w:p>
            <w:pPr>
              <w:pStyle w:val="1132"/>
              <w:rPr>
                <w:color w:val="auto"/>
              </w:rPr>
            </w:pPr>
            <w:r>
              <w:rPr>
                <w:color w:val="auto"/>
              </w:rPr>
              <w:t>临路第一排居住区外1m处，距离地面高度1.2m</w:t>
            </w:r>
          </w:p>
        </w:tc>
        <w:tc>
          <w:tcPr>
            <w:tcW w:w="734" w:type="pct"/>
            <w:vAlign w:val="center"/>
          </w:tcPr>
          <w:p>
            <w:pPr>
              <w:pStyle w:val="1132"/>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39" w:type="pct"/>
            <w:vAlign w:val="center"/>
          </w:tcPr>
          <w:p>
            <w:pPr>
              <w:pStyle w:val="1132"/>
              <w:rPr>
                <w:color w:val="auto"/>
              </w:rPr>
            </w:pPr>
            <w:r>
              <w:rPr>
                <w:rFonts w:hint="eastAsia"/>
                <w:color w:val="auto"/>
              </w:rPr>
              <w:t>N</w:t>
            </w:r>
            <w:r>
              <w:rPr>
                <w:color w:val="auto"/>
              </w:rPr>
              <w:t>3-2#</w:t>
            </w:r>
          </w:p>
        </w:tc>
        <w:tc>
          <w:tcPr>
            <w:tcW w:w="820" w:type="pct"/>
            <w:vMerge w:val="continue"/>
            <w:vAlign w:val="center"/>
          </w:tcPr>
          <w:p>
            <w:pPr>
              <w:pStyle w:val="1132"/>
              <w:rPr>
                <w:color w:val="auto"/>
              </w:rPr>
            </w:pPr>
          </w:p>
        </w:tc>
        <w:tc>
          <w:tcPr>
            <w:tcW w:w="2905" w:type="pct"/>
            <w:vAlign w:val="center"/>
          </w:tcPr>
          <w:p>
            <w:pPr>
              <w:pStyle w:val="1132"/>
              <w:rPr>
                <w:color w:val="auto"/>
              </w:rPr>
            </w:pPr>
            <w:r>
              <w:rPr>
                <w:color w:val="auto"/>
              </w:rPr>
              <w:t>临路第一排居住区3层</w:t>
            </w:r>
          </w:p>
        </w:tc>
        <w:tc>
          <w:tcPr>
            <w:tcW w:w="734" w:type="pct"/>
            <w:vAlign w:val="center"/>
          </w:tcPr>
          <w:p>
            <w:pPr>
              <w:pStyle w:val="1132"/>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rFonts w:hint="eastAsia"/>
                <w:color w:val="auto"/>
              </w:rPr>
            </w:pPr>
            <w:r>
              <w:rPr>
                <w:rFonts w:hint="eastAsia"/>
                <w:color w:val="auto"/>
              </w:rPr>
              <w:t>N</w:t>
            </w:r>
            <w:r>
              <w:rPr>
                <w:rFonts w:hint="eastAsia"/>
                <w:color w:val="auto"/>
                <w:lang w:val="en-US" w:eastAsia="zh-CN"/>
              </w:rPr>
              <w:t>4</w:t>
            </w:r>
            <w:r>
              <w:rPr>
                <w:color w:val="auto"/>
              </w:rPr>
              <w:t>-1</w:t>
            </w:r>
            <w:r>
              <w:rPr>
                <w:rFonts w:hint="eastAsia"/>
                <w:color w:val="auto"/>
              </w:rPr>
              <w:t>#</w:t>
            </w:r>
          </w:p>
        </w:tc>
        <w:tc>
          <w:tcPr>
            <w:tcW w:w="1524" w:type="dxa"/>
            <w:vMerge w:val="restart"/>
            <w:vAlign w:val="center"/>
          </w:tcPr>
          <w:p>
            <w:pPr>
              <w:pStyle w:val="1132"/>
              <w:rPr>
                <w:color w:val="auto"/>
              </w:rPr>
            </w:pPr>
            <w:r>
              <w:rPr>
                <w:rFonts w:hint="eastAsia"/>
                <w:color w:val="auto"/>
                <w:szCs w:val="21"/>
              </w:rPr>
              <w:t>汤庄</w:t>
            </w:r>
          </w:p>
        </w:tc>
        <w:tc>
          <w:tcPr>
            <w:tcW w:w="5397" w:type="dxa"/>
            <w:vAlign w:val="center"/>
          </w:tcPr>
          <w:p>
            <w:pPr>
              <w:pStyle w:val="1132"/>
              <w:rPr>
                <w:color w:val="auto"/>
              </w:rPr>
            </w:pPr>
            <w:r>
              <w:rPr>
                <w:color w:val="auto"/>
              </w:rPr>
              <w:t>临路第一排居住区外1m处，距离地面高度1.2m</w:t>
            </w:r>
          </w:p>
        </w:tc>
        <w:tc>
          <w:tcPr>
            <w:tcW w:w="1364" w:type="dxa"/>
            <w:vAlign w:val="center"/>
          </w:tcPr>
          <w:p>
            <w:pPr>
              <w:pStyle w:val="1132"/>
              <w:rPr>
                <w:rFonts w:hint="eastAsia"/>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rFonts w:hint="eastAsia"/>
                <w:color w:val="auto"/>
              </w:rPr>
            </w:pPr>
            <w:r>
              <w:rPr>
                <w:rFonts w:hint="eastAsia"/>
                <w:color w:val="auto"/>
              </w:rPr>
              <w:t>N</w:t>
            </w:r>
            <w:r>
              <w:rPr>
                <w:rFonts w:hint="eastAsia"/>
                <w:color w:val="auto"/>
                <w:lang w:val="en-US" w:eastAsia="zh-CN"/>
              </w:rPr>
              <w:t>4</w:t>
            </w:r>
            <w:r>
              <w:rPr>
                <w:color w:val="auto"/>
              </w:rPr>
              <w:t>-2</w:t>
            </w:r>
            <w:r>
              <w:rPr>
                <w:rFonts w:hint="eastAsia"/>
                <w:color w:val="auto"/>
              </w:rPr>
              <w:t>#</w:t>
            </w:r>
          </w:p>
        </w:tc>
        <w:tc>
          <w:tcPr>
            <w:tcW w:w="1524" w:type="dxa"/>
            <w:vMerge w:val="continue"/>
            <w:vAlign w:val="center"/>
          </w:tcPr>
          <w:p>
            <w:pPr>
              <w:pStyle w:val="1132"/>
              <w:rPr>
                <w:color w:val="auto"/>
              </w:rPr>
            </w:pPr>
          </w:p>
        </w:tc>
        <w:tc>
          <w:tcPr>
            <w:tcW w:w="5397" w:type="dxa"/>
            <w:vAlign w:val="center"/>
          </w:tcPr>
          <w:p>
            <w:pPr>
              <w:pStyle w:val="1132"/>
              <w:rPr>
                <w:color w:val="auto"/>
              </w:rPr>
            </w:pPr>
            <w:r>
              <w:rPr>
                <w:color w:val="auto"/>
              </w:rPr>
              <w:t>临路第一排居住区3层</w:t>
            </w:r>
          </w:p>
        </w:tc>
        <w:tc>
          <w:tcPr>
            <w:tcW w:w="1364" w:type="dxa"/>
            <w:vAlign w:val="center"/>
          </w:tcPr>
          <w:p>
            <w:pPr>
              <w:pStyle w:val="1132"/>
              <w:rPr>
                <w:rFonts w:hint="eastAsia"/>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color w:val="auto"/>
              </w:rPr>
            </w:pPr>
            <w:r>
              <w:rPr>
                <w:rFonts w:hint="eastAsia"/>
                <w:color w:val="auto"/>
              </w:rPr>
              <w:t>N</w:t>
            </w:r>
            <w:r>
              <w:rPr>
                <w:rFonts w:hint="eastAsia"/>
                <w:color w:val="auto"/>
                <w:lang w:val="en-US" w:eastAsia="zh-CN"/>
              </w:rPr>
              <w:t>5</w:t>
            </w:r>
            <w:r>
              <w:rPr>
                <w:rFonts w:hint="eastAsia"/>
                <w:color w:val="auto"/>
              </w:rPr>
              <w:t>-</w:t>
            </w:r>
            <w:r>
              <w:rPr>
                <w:color w:val="auto"/>
              </w:rPr>
              <w:t>1</w:t>
            </w:r>
            <w:r>
              <w:rPr>
                <w:rFonts w:hint="eastAsia"/>
                <w:color w:val="auto"/>
              </w:rPr>
              <w:t>#</w:t>
            </w:r>
          </w:p>
        </w:tc>
        <w:tc>
          <w:tcPr>
            <w:tcW w:w="820" w:type="pct"/>
            <w:vMerge w:val="restart"/>
            <w:vAlign w:val="center"/>
          </w:tcPr>
          <w:p>
            <w:pPr>
              <w:pStyle w:val="1132"/>
              <w:rPr>
                <w:color w:val="auto"/>
              </w:rPr>
            </w:pPr>
            <w:r>
              <w:rPr>
                <w:rFonts w:hint="eastAsia"/>
                <w:color w:val="auto"/>
                <w:szCs w:val="21"/>
              </w:rPr>
              <w:t>仁和村</w:t>
            </w:r>
          </w:p>
        </w:tc>
        <w:tc>
          <w:tcPr>
            <w:tcW w:w="2905" w:type="pct"/>
            <w:vAlign w:val="center"/>
          </w:tcPr>
          <w:p>
            <w:pPr>
              <w:pStyle w:val="1132"/>
              <w:rPr>
                <w:color w:val="auto"/>
              </w:rPr>
            </w:pPr>
            <w:r>
              <w:rPr>
                <w:color w:val="auto"/>
              </w:rPr>
              <w:t>临路第一排居住区外1m处，距离地面高度1.2m</w:t>
            </w:r>
          </w:p>
        </w:tc>
        <w:tc>
          <w:tcPr>
            <w:tcW w:w="734" w:type="pct"/>
            <w:vAlign w:val="center"/>
          </w:tcPr>
          <w:p>
            <w:pPr>
              <w:pStyle w:val="1132"/>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color w:val="auto"/>
              </w:rPr>
            </w:pPr>
            <w:r>
              <w:rPr>
                <w:rFonts w:hint="eastAsia"/>
                <w:color w:val="auto"/>
              </w:rPr>
              <w:t>N</w:t>
            </w:r>
            <w:r>
              <w:rPr>
                <w:rFonts w:hint="eastAsia"/>
                <w:color w:val="auto"/>
                <w:lang w:val="en-US" w:eastAsia="zh-CN"/>
              </w:rPr>
              <w:t>5</w:t>
            </w:r>
            <w:r>
              <w:rPr>
                <w:rFonts w:hint="eastAsia"/>
                <w:color w:val="auto"/>
              </w:rPr>
              <w:t>-</w:t>
            </w:r>
            <w:r>
              <w:rPr>
                <w:rFonts w:hint="eastAsia"/>
                <w:color w:val="auto"/>
                <w:lang w:val="en-US" w:eastAsia="zh-CN"/>
              </w:rPr>
              <w:t>2</w:t>
            </w:r>
            <w:r>
              <w:rPr>
                <w:rFonts w:hint="eastAsia"/>
                <w:color w:val="auto"/>
              </w:rPr>
              <w:t>#</w:t>
            </w:r>
          </w:p>
        </w:tc>
        <w:tc>
          <w:tcPr>
            <w:tcW w:w="820" w:type="pct"/>
            <w:vMerge w:val="continue"/>
            <w:vAlign w:val="center"/>
          </w:tcPr>
          <w:p>
            <w:pPr>
              <w:pStyle w:val="1132"/>
              <w:rPr>
                <w:color w:val="auto"/>
              </w:rPr>
            </w:pPr>
          </w:p>
        </w:tc>
        <w:tc>
          <w:tcPr>
            <w:tcW w:w="2905" w:type="pct"/>
            <w:vAlign w:val="center"/>
          </w:tcPr>
          <w:p>
            <w:pPr>
              <w:pStyle w:val="1132"/>
              <w:rPr>
                <w:color w:val="auto"/>
              </w:rPr>
            </w:pPr>
            <w:r>
              <w:rPr>
                <w:color w:val="auto"/>
              </w:rPr>
              <w:t>临路第一排居住区3层</w:t>
            </w:r>
          </w:p>
        </w:tc>
        <w:tc>
          <w:tcPr>
            <w:tcW w:w="734" w:type="pct"/>
            <w:vAlign w:val="center"/>
          </w:tcPr>
          <w:p>
            <w:pPr>
              <w:pStyle w:val="1132"/>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rFonts w:hint="eastAsia"/>
                <w:color w:val="auto"/>
              </w:rPr>
            </w:pPr>
            <w:r>
              <w:rPr>
                <w:rFonts w:hint="eastAsia"/>
                <w:color w:val="auto"/>
              </w:rPr>
              <w:t>N</w:t>
            </w:r>
            <w:r>
              <w:rPr>
                <w:rFonts w:hint="eastAsia"/>
                <w:color w:val="auto"/>
                <w:lang w:val="en-US" w:eastAsia="zh-CN"/>
              </w:rPr>
              <w:t>6</w:t>
            </w:r>
            <w:r>
              <w:rPr>
                <w:rFonts w:hint="eastAsia"/>
                <w:color w:val="auto"/>
              </w:rPr>
              <w:t>-</w:t>
            </w:r>
            <w:r>
              <w:rPr>
                <w:color w:val="auto"/>
              </w:rPr>
              <w:t>1</w:t>
            </w:r>
            <w:r>
              <w:rPr>
                <w:rFonts w:hint="eastAsia"/>
                <w:color w:val="auto"/>
              </w:rPr>
              <w:t>#</w:t>
            </w:r>
          </w:p>
        </w:tc>
        <w:tc>
          <w:tcPr>
            <w:tcW w:w="820" w:type="pct"/>
            <w:vMerge w:val="restart"/>
            <w:vAlign w:val="center"/>
          </w:tcPr>
          <w:p>
            <w:pPr>
              <w:pStyle w:val="1132"/>
              <w:rPr>
                <w:color w:val="auto"/>
              </w:rPr>
            </w:pPr>
            <w:r>
              <w:rPr>
                <w:rFonts w:hint="eastAsia"/>
                <w:color w:val="auto"/>
                <w:szCs w:val="21"/>
              </w:rPr>
              <w:t>王庄</w:t>
            </w:r>
          </w:p>
        </w:tc>
        <w:tc>
          <w:tcPr>
            <w:tcW w:w="2905" w:type="pct"/>
            <w:vAlign w:val="center"/>
          </w:tcPr>
          <w:p>
            <w:pPr>
              <w:pStyle w:val="1132"/>
              <w:rPr>
                <w:color w:val="auto"/>
              </w:rPr>
            </w:pPr>
            <w:r>
              <w:rPr>
                <w:color w:val="auto"/>
              </w:rPr>
              <w:t>临路第一排居住区外1m处，距离地面高度1.2m</w:t>
            </w:r>
          </w:p>
        </w:tc>
        <w:tc>
          <w:tcPr>
            <w:tcW w:w="734" w:type="pct"/>
            <w:vAlign w:val="center"/>
          </w:tcPr>
          <w:p>
            <w:pPr>
              <w:pStyle w:val="1132"/>
              <w:rPr>
                <w:rFonts w:hint="eastAsia"/>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rFonts w:hint="eastAsia"/>
                <w:color w:val="auto"/>
              </w:rPr>
            </w:pPr>
            <w:r>
              <w:rPr>
                <w:rFonts w:hint="eastAsia"/>
                <w:color w:val="auto"/>
              </w:rPr>
              <w:t>N</w:t>
            </w:r>
            <w:r>
              <w:rPr>
                <w:rFonts w:hint="eastAsia"/>
                <w:color w:val="auto"/>
                <w:lang w:val="en-US" w:eastAsia="zh-CN"/>
              </w:rPr>
              <w:t>6</w:t>
            </w:r>
            <w:r>
              <w:rPr>
                <w:rFonts w:hint="eastAsia"/>
                <w:color w:val="auto"/>
              </w:rPr>
              <w:t>-</w:t>
            </w:r>
            <w:r>
              <w:rPr>
                <w:rFonts w:hint="eastAsia"/>
                <w:color w:val="auto"/>
                <w:lang w:val="en-US" w:eastAsia="zh-CN"/>
              </w:rPr>
              <w:t>2</w:t>
            </w:r>
            <w:r>
              <w:rPr>
                <w:rFonts w:hint="eastAsia"/>
                <w:color w:val="auto"/>
              </w:rPr>
              <w:t>#</w:t>
            </w:r>
          </w:p>
        </w:tc>
        <w:tc>
          <w:tcPr>
            <w:tcW w:w="820" w:type="pct"/>
            <w:vMerge w:val="continue"/>
            <w:vAlign w:val="center"/>
          </w:tcPr>
          <w:p>
            <w:pPr>
              <w:pStyle w:val="1132"/>
              <w:rPr>
                <w:rFonts w:hint="eastAsia"/>
                <w:color w:val="auto"/>
                <w:szCs w:val="21"/>
              </w:rPr>
            </w:pPr>
          </w:p>
        </w:tc>
        <w:tc>
          <w:tcPr>
            <w:tcW w:w="2905" w:type="pct"/>
            <w:vAlign w:val="center"/>
          </w:tcPr>
          <w:p>
            <w:pPr>
              <w:pStyle w:val="1132"/>
              <w:rPr>
                <w:color w:val="auto"/>
              </w:rPr>
            </w:pPr>
            <w:r>
              <w:rPr>
                <w:color w:val="auto"/>
              </w:rPr>
              <w:t>临路第一排居住区3层</w:t>
            </w:r>
          </w:p>
        </w:tc>
        <w:tc>
          <w:tcPr>
            <w:tcW w:w="734" w:type="pct"/>
            <w:vAlign w:val="center"/>
          </w:tcPr>
          <w:p>
            <w:pPr>
              <w:pStyle w:val="1132"/>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rFonts w:hint="eastAsia"/>
                <w:color w:val="auto"/>
              </w:rPr>
            </w:pPr>
            <w:r>
              <w:rPr>
                <w:rFonts w:hint="eastAsia"/>
                <w:color w:val="auto"/>
              </w:rPr>
              <w:t>N</w:t>
            </w:r>
            <w:r>
              <w:rPr>
                <w:rFonts w:hint="eastAsia"/>
                <w:color w:val="auto"/>
                <w:lang w:val="en-US" w:eastAsia="zh-CN"/>
              </w:rPr>
              <w:t>7</w:t>
            </w:r>
            <w:r>
              <w:rPr>
                <w:rFonts w:hint="eastAsia"/>
                <w:color w:val="auto"/>
              </w:rPr>
              <w:t>-</w:t>
            </w:r>
            <w:r>
              <w:rPr>
                <w:color w:val="auto"/>
              </w:rPr>
              <w:t>1</w:t>
            </w:r>
            <w:r>
              <w:rPr>
                <w:rFonts w:hint="eastAsia"/>
                <w:color w:val="auto"/>
              </w:rPr>
              <w:t>#</w:t>
            </w:r>
          </w:p>
        </w:tc>
        <w:tc>
          <w:tcPr>
            <w:tcW w:w="820" w:type="pct"/>
            <w:vMerge w:val="restart"/>
            <w:vAlign w:val="center"/>
          </w:tcPr>
          <w:p>
            <w:pPr>
              <w:pStyle w:val="1132"/>
              <w:rPr>
                <w:color w:val="auto"/>
              </w:rPr>
            </w:pPr>
            <w:r>
              <w:rPr>
                <w:rFonts w:hint="eastAsia"/>
                <w:color w:val="auto"/>
                <w:szCs w:val="21"/>
              </w:rPr>
              <w:t>张园</w:t>
            </w:r>
          </w:p>
        </w:tc>
        <w:tc>
          <w:tcPr>
            <w:tcW w:w="2905" w:type="pct"/>
            <w:vAlign w:val="center"/>
          </w:tcPr>
          <w:p>
            <w:pPr>
              <w:pStyle w:val="1132"/>
              <w:rPr>
                <w:color w:val="auto"/>
              </w:rPr>
            </w:pPr>
            <w:r>
              <w:rPr>
                <w:color w:val="auto"/>
              </w:rPr>
              <w:t>临路第一排居住区外1m处，距离地面高度1.2m</w:t>
            </w:r>
          </w:p>
        </w:tc>
        <w:tc>
          <w:tcPr>
            <w:tcW w:w="734" w:type="pct"/>
            <w:vAlign w:val="center"/>
          </w:tcPr>
          <w:p>
            <w:pPr>
              <w:pStyle w:val="1132"/>
              <w:rPr>
                <w:rFonts w:hint="eastAsia"/>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rFonts w:hint="eastAsia"/>
                <w:color w:val="auto"/>
              </w:rPr>
            </w:pPr>
            <w:r>
              <w:rPr>
                <w:rFonts w:hint="eastAsia"/>
                <w:color w:val="auto"/>
              </w:rPr>
              <w:t>N</w:t>
            </w:r>
            <w:r>
              <w:rPr>
                <w:rFonts w:hint="eastAsia"/>
                <w:color w:val="auto"/>
                <w:lang w:val="en-US" w:eastAsia="zh-CN"/>
              </w:rPr>
              <w:t>7</w:t>
            </w:r>
            <w:r>
              <w:rPr>
                <w:rFonts w:hint="eastAsia"/>
                <w:color w:val="auto"/>
              </w:rPr>
              <w:t>-</w:t>
            </w:r>
            <w:r>
              <w:rPr>
                <w:color w:val="auto"/>
              </w:rPr>
              <w:t>2</w:t>
            </w:r>
            <w:r>
              <w:rPr>
                <w:rFonts w:hint="eastAsia"/>
                <w:color w:val="auto"/>
              </w:rPr>
              <w:t>#</w:t>
            </w:r>
          </w:p>
        </w:tc>
        <w:tc>
          <w:tcPr>
            <w:tcW w:w="820" w:type="pct"/>
            <w:vMerge w:val="continue"/>
            <w:vAlign w:val="center"/>
          </w:tcPr>
          <w:p>
            <w:pPr>
              <w:pStyle w:val="1132"/>
              <w:rPr>
                <w:rFonts w:hint="eastAsia"/>
                <w:color w:val="auto"/>
                <w:szCs w:val="21"/>
              </w:rPr>
            </w:pPr>
          </w:p>
        </w:tc>
        <w:tc>
          <w:tcPr>
            <w:tcW w:w="2905" w:type="pct"/>
            <w:vAlign w:val="center"/>
          </w:tcPr>
          <w:p>
            <w:pPr>
              <w:pStyle w:val="1132"/>
              <w:rPr>
                <w:color w:val="auto"/>
              </w:rPr>
            </w:pPr>
            <w:r>
              <w:rPr>
                <w:color w:val="auto"/>
              </w:rPr>
              <w:t>临路第一排居住区3层</w:t>
            </w:r>
          </w:p>
        </w:tc>
        <w:tc>
          <w:tcPr>
            <w:tcW w:w="734" w:type="pct"/>
            <w:vAlign w:val="center"/>
          </w:tcPr>
          <w:p>
            <w:pPr>
              <w:pStyle w:val="1132"/>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rFonts w:hint="eastAsia"/>
                <w:color w:val="auto"/>
              </w:rPr>
            </w:pPr>
            <w:r>
              <w:rPr>
                <w:rFonts w:hint="eastAsia"/>
                <w:color w:val="auto"/>
              </w:rPr>
              <w:t>N</w:t>
            </w:r>
            <w:r>
              <w:rPr>
                <w:color w:val="auto"/>
              </w:rPr>
              <w:t>8</w:t>
            </w:r>
            <w:r>
              <w:rPr>
                <w:rFonts w:hint="eastAsia"/>
                <w:color w:val="auto"/>
              </w:rPr>
              <w:t>-</w:t>
            </w:r>
            <w:r>
              <w:rPr>
                <w:color w:val="auto"/>
              </w:rPr>
              <w:t>1</w:t>
            </w:r>
            <w:r>
              <w:rPr>
                <w:rFonts w:hint="eastAsia"/>
                <w:color w:val="auto"/>
              </w:rPr>
              <w:t>#</w:t>
            </w:r>
          </w:p>
        </w:tc>
        <w:tc>
          <w:tcPr>
            <w:tcW w:w="820" w:type="pct"/>
            <w:vMerge w:val="restart"/>
            <w:vAlign w:val="center"/>
          </w:tcPr>
          <w:p>
            <w:pPr>
              <w:pStyle w:val="1132"/>
              <w:rPr>
                <w:color w:val="auto"/>
              </w:rPr>
            </w:pPr>
            <w:r>
              <w:rPr>
                <w:rFonts w:hint="eastAsia"/>
                <w:color w:val="auto"/>
                <w:szCs w:val="21"/>
              </w:rPr>
              <w:t>邵楼村</w:t>
            </w:r>
          </w:p>
        </w:tc>
        <w:tc>
          <w:tcPr>
            <w:tcW w:w="2905" w:type="pct"/>
            <w:vAlign w:val="center"/>
          </w:tcPr>
          <w:p>
            <w:pPr>
              <w:pStyle w:val="1132"/>
              <w:rPr>
                <w:color w:val="auto"/>
              </w:rPr>
            </w:pPr>
            <w:r>
              <w:rPr>
                <w:color w:val="auto"/>
              </w:rPr>
              <w:t>临路第一排居住区外1m处，距离地面高度1.2m</w:t>
            </w:r>
          </w:p>
        </w:tc>
        <w:tc>
          <w:tcPr>
            <w:tcW w:w="734" w:type="pct"/>
            <w:vAlign w:val="center"/>
          </w:tcPr>
          <w:p>
            <w:pPr>
              <w:pStyle w:val="1132"/>
              <w:rPr>
                <w:rFonts w:hint="eastAsia"/>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rFonts w:hint="eastAsia"/>
                <w:color w:val="auto"/>
              </w:rPr>
            </w:pPr>
            <w:r>
              <w:rPr>
                <w:rFonts w:hint="eastAsia"/>
                <w:color w:val="auto"/>
              </w:rPr>
              <w:t>N</w:t>
            </w:r>
            <w:r>
              <w:rPr>
                <w:color w:val="auto"/>
              </w:rPr>
              <w:t>8</w:t>
            </w:r>
            <w:r>
              <w:rPr>
                <w:rFonts w:hint="eastAsia"/>
                <w:color w:val="auto"/>
              </w:rPr>
              <w:t>-</w:t>
            </w:r>
            <w:r>
              <w:rPr>
                <w:color w:val="auto"/>
              </w:rPr>
              <w:t>2</w:t>
            </w:r>
            <w:r>
              <w:rPr>
                <w:rFonts w:hint="eastAsia"/>
                <w:color w:val="auto"/>
              </w:rPr>
              <w:t>#</w:t>
            </w:r>
          </w:p>
        </w:tc>
        <w:tc>
          <w:tcPr>
            <w:tcW w:w="820" w:type="pct"/>
            <w:vMerge w:val="continue"/>
            <w:vAlign w:val="center"/>
          </w:tcPr>
          <w:p>
            <w:pPr>
              <w:pStyle w:val="1132"/>
              <w:rPr>
                <w:rFonts w:hint="eastAsia"/>
                <w:color w:val="auto"/>
                <w:szCs w:val="21"/>
              </w:rPr>
            </w:pPr>
          </w:p>
        </w:tc>
        <w:tc>
          <w:tcPr>
            <w:tcW w:w="2905" w:type="pct"/>
            <w:vAlign w:val="center"/>
          </w:tcPr>
          <w:p>
            <w:pPr>
              <w:pStyle w:val="1132"/>
              <w:rPr>
                <w:color w:val="auto"/>
              </w:rPr>
            </w:pPr>
            <w:r>
              <w:rPr>
                <w:color w:val="auto"/>
              </w:rPr>
              <w:t>临路第一排居住区3层</w:t>
            </w:r>
          </w:p>
        </w:tc>
        <w:tc>
          <w:tcPr>
            <w:tcW w:w="734" w:type="pct"/>
            <w:vAlign w:val="center"/>
          </w:tcPr>
          <w:p>
            <w:pPr>
              <w:pStyle w:val="1132"/>
              <w:rPr>
                <w:rFonts w:hint="eastAsia"/>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rFonts w:hint="eastAsia"/>
                <w:color w:val="auto"/>
              </w:rPr>
            </w:pPr>
            <w:r>
              <w:rPr>
                <w:rFonts w:hint="eastAsia"/>
                <w:color w:val="auto"/>
              </w:rPr>
              <w:t>N</w:t>
            </w:r>
            <w:r>
              <w:rPr>
                <w:rFonts w:hint="eastAsia"/>
                <w:color w:val="auto"/>
                <w:lang w:val="en-US" w:eastAsia="zh-CN"/>
              </w:rPr>
              <w:t>9</w:t>
            </w:r>
            <w:r>
              <w:rPr>
                <w:rFonts w:hint="eastAsia"/>
                <w:color w:val="auto"/>
              </w:rPr>
              <w:t>-</w:t>
            </w:r>
            <w:r>
              <w:rPr>
                <w:color w:val="auto"/>
              </w:rPr>
              <w:t>1</w:t>
            </w:r>
            <w:r>
              <w:rPr>
                <w:rFonts w:hint="eastAsia"/>
                <w:color w:val="auto"/>
              </w:rPr>
              <w:t>#</w:t>
            </w:r>
          </w:p>
        </w:tc>
        <w:tc>
          <w:tcPr>
            <w:tcW w:w="820" w:type="pct"/>
            <w:vMerge w:val="restart"/>
            <w:vAlign w:val="center"/>
          </w:tcPr>
          <w:p>
            <w:pPr>
              <w:pStyle w:val="1132"/>
              <w:rPr>
                <w:color w:val="auto"/>
              </w:rPr>
            </w:pPr>
            <w:r>
              <w:rPr>
                <w:rFonts w:hint="eastAsia"/>
                <w:color w:val="auto"/>
                <w:szCs w:val="21"/>
              </w:rPr>
              <w:t>小沟沿</w:t>
            </w:r>
          </w:p>
        </w:tc>
        <w:tc>
          <w:tcPr>
            <w:tcW w:w="2905" w:type="pct"/>
            <w:vAlign w:val="center"/>
          </w:tcPr>
          <w:p>
            <w:pPr>
              <w:pStyle w:val="1132"/>
              <w:rPr>
                <w:color w:val="auto"/>
              </w:rPr>
            </w:pPr>
            <w:r>
              <w:rPr>
                <w:color w:val="auto"/>
              </w:rPr>
              <w:t>临路第一排居住区外1m处，距离地面高度1.2m</w:t>
            </w:r>
          </w:p>
        </w:tc>
        <w:tc>
          <w:tcPr>
            <w:tcW w:w="734" w:type="pct"/>
            <w:vAlign w:val="center"/>
          </w:tcPr>
          <w:p>
            <w:pPr>
              <w:pStyle w:val="1132"/>
              <w:rPr>
                <w:rFonts w:hint="eastAsia"/>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1" w:type="dxa"/>
            <w:vAlign w:val="center"/>
          </w:tcPr>
          <w:p>
            <w:pPr>
              <w:pStyle w:val="1132"/>
              <w:rPr>
                <w:rFonts w:hint="eastAsia"/>
                <w:color w:val="auto"/>
              </w:rPr>
            </w:pPr>
            <w:r>
              <w:rPr>
                <w:rFonts w:hint="eastAsia"/>
                <w:color w:val="auto"/>
              </w:rPr>
              <w:t>N</w:t>
            </w:r>
            <w:r>
              <w:rPr>
                <w:rFonts w:hint="eastAsia"/>
                <w:color w:val="auto"/>
                <w:lang w:val="en-US" w:eastAsia="zh-CN"/>
              </w:rPr>
              <w:t>9</w:t>
            </w:r>
            <w:r>
              <w:rPr>
                <w:rFonts w:hint="eastAsia"/>
                <w:color w:val="auto"/>
              </w:rPr>
              <w:t>-</w:t>
            </w:r>
            <w:r>
              <w:rPr>
                <w:rFonts w:hint="eastAsia"/>
                <w:color w:val="auto"/>
                <w:lang w:val="en-US" w:eastAsia="zh-CN"/>
              </w:rPr>
              <w:t>2</w:t>
            </w:r>
            <w:r>
              <w:rPr>
                <w:rFonts w:hint="eastAsia"/>
                <w:color w:val="auto"/>
              </w:rPr>
              <w:t>#</w:t>
            </w:r>
          </w:p>
        </w:tc>
        <w:tc>
          <w:tcPr>
            <w:tcW w:w="820" w:type="pct"/>
            <w:vMerge w:val="continue"/>
            <w:vAlign w:val="center"/>
          </w:tcPr>
          <w:p>
            <w:pPr>
              <w:pStyle w:val="1132"/>
              <w:rPr>
                <w:rFonts w:hint="eastAsia"/>
                <w:color w:val="auto"/>
                <w:szCs w:val="21"/>
              </w:rPr>
            </w:pPr>
          </w:p>
        </w:tc>
        <w:tc>
          <w:tcPr>
            <w:tcW w:w="2905" w:type="pct"/>
            <w:vAlign w:val="center"/>
          </w:tcPr>
          <w:p>
            <w:pPr>
              <w:pStyle w:val="1132"/>
              <w:rPr>
                <w:color w:val="auto"/>
              </w:rPr>
            </w:pPr>
            <w:r>
              <w:rPr>
                <w:color w:val="auto"/>
              </w:rPr>
              <w:t>临路第一排居住区3层</w:t>
            </w:r>
          </w:p>
        </w:tc>
        <w:tc>
          <w:tcPr>
            <w:tcW w:w="734" w:type="pct"/>
            <w:vAlign w:val="center"/>
          </w:tcPr>
          <w:p>
            <w:pPr>
              <w:pStyle w:val="1132"/>
              <w:rPr>
                <w:rFonts w:hint="eastAsia"/>
                <w:color w:val="auto"/>
              </w:rPr>
            </w:pPr>
          </w:p>
        </w:tc>
      </w:tr>
    </w:tbl>
    <w:p>
      <w:pPr>
        <w:pStyle w:val="9"/>
      </w:pPr>
      <w:bookmarkStart w:id="279" w:name="_Toc30020"/>
      <w:r>
        <w:t>监测方法和监测时间</w:t>
      </w:r>
      <w:bookmarkEnd w:id="279"/>
    </w:p>
    <w:p>
      <w:pPr>
        <w:pStyle w:val="10"/>
        <w:ind w:firstLine="480"/>
      </w:pPr>
      <w:r>
        <w:t>监测方法：噪声监测严格按照《声环境质量标准》（GB3096-2008）的有关规定执行，并避开异常的噪声如鸟鸣、犬吠、吵闹等。</w:t>
      </w:r>
    </w:p>
    <w:p>
      <w:pPr>
        <w:pStyle w:val="10"/>
        <w:ind w:firstLine="480"/>
        <w:sectPr>
          <w:pgSz w:w="11906" w:h="16838"/>
          <w:pgMar w:top="1418" w:right="1418" w:bottom="1418" w:left="1418" w:header="850" w:footer="992" w:gutter="0"/>
          <w:cols w:space="720" w:num="1"/>
          <w:docGrid w:linePitch="312" w:charSpace="0"/>
        </w:sectPr>
      </w:pPr>
      <w:r>
        <w:t>常规监测：每个测点监测2天，每天昼间（8：00~12：00或14：00~16：00）和夜间（22：00~次日6：00）各测一次，每次监测20分钟。</w:t>
      </w:r>
    </w:p>
    <w:p>
      <w:pPr>
        <w:pStyle w:val="10"/>
        <w:spacing w:line="360" w:lineRule="auto"/>
        <w:ind w:left="0" w:leftChars="0" w:firstLine="0" w:firstLineChars="0"/>
        <w:jc w:val="center"/>
        <w:rPr>
          <w:rFonts w:hint="eastAsia" w:ascii="Times New Roman" w:hAnsi="Times New Roman" w:cs="Times New Roman"/>
          <w:b/>
          <w:bCs/>
          <w:sz w:val="24"/>
          <w:szCs w:val="24"/>
          <w:lang w:val="en-US" w:eastAsia="zh-CN"/>
        </w:rPr>
        <w:sectPr>
          <w:pgSz w:w="16838" w:h="11906" w:orient="landscape"/>
          <w:pgMar w:top="1418" w:right="1418" w:bottom="1418" w:left="1418" w:header="850" w:footer="992" w:gutter="0"/>
          <w:cols w:space="720" w:num="1"/>
          <w:docGrid w:linePitch="312" w:charSpace="0"/>
        </w:sectPr>
      </w:pPr>
      <w:r>
        <w:drawing>
          <wp:inline distT="0" distB="0" distL="114300" distR="114300">
            <wp:extent cx="8886190" cy="4723765"/>
            <wp:effectExtent l="0" t="0" r="13970" b="63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82"/>
                    <a:stretch>
                      <a:fillRect/>
                    </a:stretch>
                  </pic:blipFill>
                  <pic:spPr>
                    <a:xfrm>
                      <a:off x="0" y="0"/>
                      <a:ext cx="8886190" cy="4723765"/>
                    </a:xfrm>
                    <a:prstGeom prst="rect">
                      <a:avLst/>
                    </a:prstGeom>
                    <a:noFill/>
                    <a:ln>
                      <a:noFill/>
                    </a:ln>
                  </pic:spPr>
                </pic:pic>
              </a:graphicData>
            </a:graphic>
          </wp:inline>
        </w:drawing>
      </w:r>
      <w:r>
        <w:rPr>
          <w:rFonts w:hint="eastAsia"/>
          <w:b/>
          <w:bCs/>
        </w:rPr>
        <w:t>图</w:t>
      </w:r>
      <w:r>
        <w:rPr>
          <w:b/>
          <w:bCs/>
        </w:rPr>
        <w:t>4</w:t>
      </w:r>
      <w:r>
        <w:rPr>
          <w:rFonts w:hint="eastAsia"/>
          <w:b/>
          <w:bCs/>
        </w:rPr>
        <w:t>.4-1（a）</w:t>
      </w:r>
      <w:r>
        <w:rPr>
          <w:rFonts w:hint="default" w:ascii="Times New Roman" w:hAnsi="Times New Roman" w:cs="Times New Roman"/>
          <w:b/>
          <w:bCs/>
          <w:sz w:val="24"/>
          <w:szCs w:val="24"/>
          <w:lang w:val="en-US" w:eastAsia="zh-CN"/>
        </w:rPr>
        <w:t>声环境监测布点</w:t>
      </w:r>
      <w:r>
        <w:rPr>
          <w:rFonts w:hint="eastAsia" w:ascii="Times New Roman" w:hAnsi="Times New Roman" w:cs="Times New Roman"/>
          <w:b/>
          <w:bCs/>
          <w:sz w:val="24"/>
          <w:szCs w:val="24"/>
          <w:lang w:val="en-US" w:eastAsia="zh-CN"/>
        </w:rPr>
        <w:t>图</w:t>
      </w:r>
    </w:p>
    <w:p>
      <w:pPr>
        <w:pStyle w:val="10"/>
        <w:spacing w:line="360" w:lineRule="auto"/>
        <w:ind w:left="0" w:leftChars="0" w:firstLine="0" w:firstLineChars="0"/>
        <w:jc w:val="center"/>
        <w:rPr>
          <w:rFonts w:hint="eastAsia" w:ascii="Times New Roman" w:hAnsi="Times New Roman" w:cs="Times New Roman"/>
          <w:b/>
          <w:bCs/>
          <w:sz w:val="24"/>
          <w:szCs w:val="24"/>
          <w:lang w:val="en-US" w:eastAsia="zh-CN"/>
        </w:rPr>
        <w:sectPr>
          <w:pgSz w:w="16838" w:h="11906" w:orient="landscape"/>
          <w:pgMar w:top="1418" w:right="1418" w:bottom="1418" w:left="1418" w:header="850" w:footer="992" w:gutter="0"/>
          <w:cols w:space="720" w:num="1"/>
          <w:docGrid w:linePitch="312" w:charSpace="0"/>
        </w:sectPr>
      </w:pPr>
      <w:r>
        <w:rPr>
          <w:rFonts w:hint="default" w:ascii="Times New Roman" w:hAnsi="Times New Roman" w:cs="Times New Roman"/>
        </w:rPr>
        <w:drawing>
          <wp:inline distT="0" distB="0" distL="114300" distR="114300">
            <wp:extent cx="8883015" cy="4214495"/>
            <wp:effectExtent l="0" t="0" r="1905" b="698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83"/>
                    <a:stretch>
                      <a:fillRect/>
                    </a:stretch>
                  </pic:blipFill>
                  <pic:spPr>
                    <a:xfrm>
                      <a:off x="0" y="0"/>
                      <a:ext cx="8883015" cy="4214495"/>
                    </a:xfrm>
                    <a:prstGeom prst="rect">
                      <a:avLst/>
                    </a:prstGeom>
                    <a:noFill/>
                    <a:ln>
                      <a:noFill/>
                    </a:ln>
                  </pic:spPr>
                </pic:pic>
              </a:graphicData>
            </a:graphic>
          </wp:inline>
        </w:drawing>
      </w:r>
      <w:r>
        <w:rPr>
          <w:rFonts w:hint="default" w:ascii="Times New Roman" w:hAnsi="Times New Roman" w:cs="Times New Roman"/>
          <w:b/>
          <w:bCs/>
        </w:rPr>
        <w:t>图4.4-1（</w:t>
      </w:r>
      <w:r>
        <w:rPr>
          <w:rFonts w:hint="default" w:ascii="Times New Roman" w:hAnsi="Times New Roman" w:cs="Times New Roman"/>
          <w:b/>
          <w:bCs/>
          <w:lang w:val="en-US" w:eastAsia="zh-CN"/>
        </w:rPr>
        <w:t>b</w:t>
      </w:r>
      <w:r>
        <w:rPr>
          <w:rFonts w:hint="default" w:ascii="Times New Roman" w:hAnsi="Times New Roman" w:cs="Times New Roman"/>
          <w:b/>
          <w:bCs/>
        </w:rPr>
        <w:t>）</w:t>
      </w:r>
      <w:r>
        <w:rPr>
          <w:rFonts w:hint="default" w:ascii="Times New Roman" w:hAnsi="Times New Roman" w:cs="Times New Roman"/>
          <w:b/>
          <w:bCs/>
          <w:sz w:val="24"/>
          <w:szCs w:val="24"/>
          <w:lang w:val="en-US" w:eastAsia="zh-CN"/>
        </w:rPr>
        <w:t>声环境监测布点图</w:t>
      </w:r>
    </w:p>
    <w:p>
      <w:pPr>
        <w:pStyle w:val="9"/>
      </w:pPr>
      <w:bookmarkStart w:id="280" w:name="_Toc14968"/>
      <w:r>
        <w:t>监测结果</w:t>
      </w:r>
      <w:bookmarkEnd w:id="280"/>
    </w:p>
    <w:p>
      <w:pPr>
        <w:widowControl/>
        <w:ind w:firstLine="480" w:firstLineChars="200"/>
        <w:rPr>
          <w:color w:val="0070C0"/>
        </w:rPr>
      </w:pPr>
      <w:r>
        <w:rPr>
          <w:rStyle w:val="75"/>
        </w:rPr>
        <w:t>20</w:t>
      </w:r>
      <w:r>
        <w:rPr>
          <w:rStyle w:val="75"/>
          <w:rFonts w:hint="eastAsia"/>
        </w:rPr>
        <w:t>2</w:t>
      </w:r>
      <w:r>
        <w:rPr>
          <w:rStyle w:val="75"/>
        </w:rPr>
        <w:t>2年10月13日</w:t>
      </w:r>
      <w:r>
        <w:rPr>
          <w:rStyle w:val="75"/>
          <w:rFonts w:hint="eastAsia"/>
        </w:rPr>
        <w:t>~</w:t>
      </w:r>
      <w:r>
        <w:rPr>
          <w:rStyle w:val="75"/>
        </w:rPr>
        <w:t>20</w:t>
      </w:r>
      <w:r>
        <w:rPr>
          <w:rStyle w:val="75"/>
          <w:rFonts w:hint="eastAsia"/>
        </w:rPr>
        <w:t>2</w:t>
      </w:r>
      <w:r>
        <w:rPr>
          <w:rStyle w:val="75"/>
        </w:rPr>
        <w:t>2年</w:t>
      </w:r>
      <w:r>
        <w:rPr>
          <w:rStyle w:val="75"/>
          <w:rFonts w:hint="eastAsia"/>
        </w:rPr>
        <w:t>1</w:t>
      </w:r>
      <w:r>
        <w:rPr>
          <w:rStyle w:val="75"/>
        </w:rPr>
        <w:t>0月14日</w:t>
      </w:r>
      <w:r>
        <w:rPr>
          <w:rStyle w:val="75"/>
          <w:rFonts w:hint="eastAsia"/>
        </w:rPr>
        <w:t>，</w:t>
      </w:r>
      <w:r>
        <w:rPr>
          <w:rStyle w:val="75"/>
        </w:rPr>
        <w:t>安徽田博仕检测有限公司对本项目所在区域进行了声环境现状监测，监测结果见</w:t>
      </w:r>
      <w:r>
        <w:rPr>
          <w:rStyle w:val="75"/>
          <w:rFonts w:hint="eastAsia"/>
        </w:rPr>
        <w:t>下</w:t>
      </w:r>
      <w:r>
        <w:rPr>
          <w:rStyle w:val="75"/>
        </w:rPr>
        <w:t>表</w:t>
      </w:r>
      <w:r>
        <w:rPr>
          <w:color w:val="0070C0"/>
        </w:rPr>
        <w:t>。</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r>
        <w:t xml:space="preserve">  </w:t>
      </w:r>
      <w:r>
        <w:rPr>
          <w:rFonts w:hint="eastAsia"/>
        </w:rPr>
        <w:t>敏感点</w:t>
      </w:r>
      <w:r>
        <w:t>声环境检测结果</w:t>
      </w: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1"/>
        <w:gridCol w:w="1049"/>
        <w:gridCol w:w="2753"/>
        <w:gridCol w:w="851"/>
        <w:gridCol w:w="850"/>
        <w:gridCol w:w="709"/>
        <w:gridCol w:w="850"/>
        <w:gridCol w:w="1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Merge w:val="restart"/>
            <w:vAlign w:val="center"/>
          </w:tcPr>
          <w:p>
            <w:pPr>
              <w:pStyle w:val="1132"/>
              <w:rPr>
                <w:color w:val="auto"/>
              </w:rPr>
            </w:pPr>
            <w:r>
              <w:rPr>
                <w:rFonts w:hint="eastAsia"/>
                <w:color w:val="auto"/>
              </w:rPr>
              <w:t>编号</w:t>
            </w:r>
          </w:p>
        </w:tc>
        <w:tc>
          <w:tcPr>
            <w:tcW w:w="1049" w:type="dxa"/>
            <w:vMerge w:val="restart"/>
            <w:vAlign w:val="center"/>
          </w:tcPr>
          <w:p>
            <w:pPr>
              <w:pStyle w:val="1132"/>
              <w:rPr>
                <w:color w:val="auto"/>
              </w:rPr>
            </w:pPr>
            <w:r>
              <w:rPr>
                <w:color w:val="auto"/>
              </w:rPr>
              <w:t>敏感点名称</w:t>
            </w:r>
          </w:p>
        </w:tc>
        <w:tc>
          <w:tcPr>
            <w:tcW w:w="2753" w:type="dxa"/>
            <w:vMerge w:val="restart"/>
            <w:vAlign w:val="center"/>
          </w:tcPr>
          <w:p>
            <w:pPr>
              <w:pStyle w:val="1132"/>
              <w:rPr>
                <w:color w:val="auto"/>
              </w:rPr>
            </w:pPr>
            <w:r>
              <w:rPr>
                <w:color w:val="auto"/>
              </w:rPr>
              <w:t>监测点位置</w:t>
            </w:r>
          </w:p>
        </w:tc>
        <w:tc>
          <w:tcPr>
            <w:tcW w:w="3260" w:type="dxa"/>
            <w:gridSpan w:val="4"/>
            <w:vAlign w:val="center"/>
          </w:tcPr>
          <w:p>
            <w:pPr>
              <w:pStyle w:val="1132"/>
              <w:rPr>
                <w:color w:val="auto"/>
              </w:rPr>
            </w:pPr>
            <w:r>
              <w:rPr>
                <w:color w:val="auto"/>
              </w:rPr>
              <w:t>监测结果Leq[dB(A)]</w:t>
            </w:r>
          </w:p>
        </w:tc>
        <w:tc>
          <w:tcPr>
            <w:tcW w:w="1127" w:type="dxa"/>
            <w:vMerge w:val="restart"/>
            <w:vAlign w:val="center"/>
          </w:tcPr>
          <w:p>
            <w:pPr>
              <w:pStyle w:val="1132"/>
              <w:rPr>
                <w:color w:val="auto"/>
              </w:rPr>
            </w:pPr>
            <w:r>
              <w:rPr>
                <w:rFonts w:hint="eastAsia"/>
                <w:color w:val="auto"/>
              </w:rPr>
              <w:t>标准/类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Merge w:val="continue"/>
            <w:vAlign w:val="center"/>
          </w:tcPr>
          <w:p>
            <w:pPr>
              <w:pStyle w:val="1132"/>
              <w:rPr>
                <w:color w:val="auto"/>
              </w:rPr>
            </w:pPr>
          </w:p>
        </w:tc>
        <w:tc>
          <w:tcPr>
            <w:tcW w:w="1049" w:type="dxa"/>
            <w:vMerge w:val="continue"/>
            <w:vAlign w:val="center"/>
          </w:tcPr>
          <w:p>
            <w:pPr>
              <w:pStyle w:val="1132"/>
              <w:rPr>
                <w:color w:val="auto"/>
              </w:rPr>
            </w:pPr>
          </w:p>
        </w:tc>
        <w:tc>
          <w:tcPr>
            <w:tcW w:w="2753" w:type="dxa"/>
            <w:vMerge w:val="continue"/>
            <w:vAlign w:val="center"/>
          </w:tcPr>
          <w:p>
            <w:pPr>
              <w:pStyle w:val="1132"/>
              <w:rPr>
                <w:color w:val="auto"/>
              </w:rPr>
            </w:pPr>
          </w:p>
        </w:tc>
        <w:tc>
          <w:tcPr>
            <w:tcW w:w="1701" w:type="dxa"/>
            <w:gridSpan w:val="2"/>
            <w:vAlign w:val="center"/>
          </w:tcPr>
          <w:p>
            <w:pPr>
              <w:pStyle w:val="1132"/>
              <w:rPr>
                <w:rFonts w:hint="default" w:eastAsia="宋体"/>
                <w:color w:val="auto"/>
                <w:lang w:val="en-US" w:eastAsia="zh-CN"/>
              </w:rPr>
            </w:pPr>
            <w:r>
              <w:rPr>
                <w:rFonts w:hint="eastAsia"/>
                <w:color w:val="auto"/>
              </w:rPr>
              <w:t>2022.</w:t>
            </w:r>
            <w:r>
              <w:rPr>
                <w:rFonts w:hint="eastAsia"/>
                <w:color w:val="auto"/>
                <w:lang w:val="en-US" w:eastAsia="zh-CN"/>
              </w:rPr>
              <w:t>10.13</w:t>
            </w:r>
          </w:p>
        </w:tc>
        <w:tc>
          <w:tcPr>
            <w:tcW w:w="1559" w:type="dxa"/>
            <w:gridSpan w:val="2"/>
            <w:vAlign w:val="center"/>
          </w:tcPr>
          <w:p>
            <w:pPr>
              <w:pStyle w:val="1132"/>
              <w:rPr>
                <w:rFonts w:hint="default" w:eastAsia="宋体"/>
                <w:color w:val="auto"/>
                <w:lang w:val="en-US" w:eastAsia="zh-CN"/>
              </w:rPr>
            </w:pPr>
            <w:r>
              <w:rPr>
                <w:rFonts w:hint="eastAsia"/>
                <w:color w:val="auto"/>
              </w:rPr>
              <w:t>2022.</w:t>
            </w:r>
            <w:r>
              <w:rPr>
                <w:rFonts w:hint="eastAsia"/>
                <w:color w:val="auto"/>
                <w:lang w:val="en-US" w:eastAsia="zh-CN"/>
              </w:rPr>
              <w:t>10.14</w:t>
            </w:r>
          </w:p>
        </w:tc>
        <w:tc>
          <w:tcPr>
            <w:tcW w:w="1127" w:type="dxa"/>
            <w:vMerge w:val="continue"/>
            <w:vAlign w:val="center"/>
          </w:tcPr>
          <w:p>
            <w:pPr>
              <w:pStyle w:val="1132"/>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Merge w:val="continue"/>
            <w:vAlign w:val="center"/>
          </w:tcPr>
          <w:p>
            <w:pPr>
              <w:pStyle w:val="1132"/>
              <w:rPr>
                <w:color w:val="auto"/>
              </w:rPr>
            </w:pPr>
          </w:p>
        </w:tc>
        <w:tc>
          <w:tcPr>
            <w:tcW w:w="1049" w:type="dxa"/>
            <w:vMerge w:val="continue"/>
            <w:vAlign w:val="center"/>
          </w:tcPr>
          <w:p>
            <w:pPr>
              <w:pStyle w:val="1132"/>
              <w:rPr>
                <w:color w:val="auto"/>
              </w:rPr>
            </w:pPr>
          </w:p>
        </w:tc>
        <w:tc>
          <w:tcPr>
            <w:tcW w:w="2753" w:type="dxa"/>
            <w:vMerge w:val="continue"/>
            <w:vAlign w:val="center"/>
          </w:tcPr>
          <w:p>
            <w:pPr>
              <w:pStyle w:val="1132"/>
              <w:rPr>
                <w:color w:val="auto"/>
              </w:rPr>
            </w:pPr>
          </w:p>
        </w:tc>
        <w:tc>
          <w:tcPr>
            <w:tcW w:w="851" w:type="dxa"/>
            <w:vAlign w:val="center"/>
          </w:tcPr>
          <w:p>
            <w:pPr>
              <w:pStyle w:val="1132"/>
              <w:rPr>
                <w:color w:val="auto"/>
              </w:rPr>
            </w:pPr>
            <w:r>
              <w:rPr>
                <w:color w:val="auto"/>
              </w:rPr>
              <w:t>昼间</w:t>
            </w:r>
          </w:p>
        </w:tc>
        <w:tc>
          <w:tcPr>
            <w:tcW w:w="850" w:type="dxa"/>
            <w:vAlign w:val="center"/>
          </w:tcPr>
          <w:p>
            <w:pPr>
              <w:pStyle w:val="1132"/>
              <w:rPr>
                <w:color w:val="auto"/>
              </w:rPr>
            </w:pPr>
            <w:r>
              <w:rPr>
                <w:color w:val="auto"/>
              </w:rPr>
              <w:t>夜间</w:t>
            </w:r>
          </w:p>
        </w:tc>
        <w:tc>
          <w:tcPr>
            <w:tcW w:w="709" w:type="dxa"/>
            <w:vAlign w:val="center"/>
          </w:tcPr>
          <w:p>
            <w:pPr>
              <w:pStyle w:val="1132"/>
              <w:rPr>
                <w:color w:val="auto"/>
              </w:rPr>
            </w:pPr>
            <w:r>
              <w:rPr>
                <w:color w:val="auto"/>
              </w:rPr>
              <w:t>昼间</w:t>
            </w:r>
          </w:p>
        </w:tc>
        <w:tc>
          <w:tcPr>
            <w:tcW w:w="850" w:type="dxa"/>
            <w:vAlign w:val="center"/>
          </w:tcPr>
          <w:p>
            <w:pPr>
              <w:pStyle w:val="1132"/>
              <w:rPr>
                <w:color w:val="auto"/>
              </w:rPr>
            </w:pPr>
            <w:r>
              <w:rPr>
                <w:color w:val="auto"/>
              </w:rPr>
              <w:t>夜间</w:t>
            </w:r>
          </w:p>
        </w:tc>
        <w:tc>
          <w:tcPr>
            <w:tcW w:w="1127" w:type="dxa"/>
            <w:vMerge w:val="continue"/>
            <w:vAlign w:val="center"/>
          </w:tcPr>
          <w:p>
            <w:pPr>
              <w:pStyle w:val="1132"/>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color w:val="auto"/>
              </w:rPr>
            </w:pPr>
            <w:r>
              <w:rPr>
                <w:rFonts w:hint="eastAsia"/>
                <w:color w:val="auto"/>
              </w:rPr>
              <w:t>N</w:t>
            </w:r>
            <w:r>
              <w:rPr>
                <w:color w:val="auto"/>
              </w:rPr>
              <w:t>1-1#</w:t>
            </w:r>
          </w:p>
        </w:tc>
        <w:tc>
          <w:tcPr>
            <w:tcW w:w="1049" w:type="dxa"/>
            <w:vAlign w:val="center"/>
          </w:tcPr>
          <w:p>
            <w:pPr>
              <w:pStyle w:val="1132"/>
              <w:rPr>
                <w:color w:val="auto"/>
              </w:rPr>
            </w:pPr>
            <w:r>
              <w:rPr>
                <w:rFonts w:hint="eastAsia"/>
                <w:color w:val="auto"/>
              </w:rPr>
              <w:t>宋小庄</w:t>
            </w:r>
          </w:p>
        </w:tc>
        <w:tc>
          <w:tcPr>
            <w:tcW w:w="2753" w:type="dxa"/>
            <w:vAlign w:val="center"/>
          </w:tcPr>
          <w:p>
            <w:pPr>
              <w:pStyle w:val="1132"/>
              <w:rPr>
                <w:color w:val="auto"/>
              </w:rPr>
            </w:pPr>
            <w:r>
              <w:rPr>
                <w:color w:val="auto"/>
              </w:rPr>
              <w:t>临路第一排居住区外1m处，距离地面高度1.2m</w:t>
            </w:r>
          </w:p>
        </w:tc>
        <w:tc>
          <w:tcPr>
            <w:tcW w:w="851"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55.5</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46.4</w:t>
            </w:r>
          </w:p>
        </w:tc>
        <w:tc>
          <w:tcPr>
            <w:tcW w:w="709"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51.8</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45.5</w:t>
            </w:r>
          </w:p>
        </w:tc>
        <w:tc>
          <w:tcPr>
            <w:tcW w:w="1127" w:type="dxa"/>
            <w:vAlign w:val="center"/>
          </w:tcPr>
          <w:p>
            <w:pPr>
              <w:pStyle w:val="1132"/>
              <w:rPr>
                <w:color w:val="auto"/>
                <w:kern w:val="0"/>
              </w:rPr>
            </w:pPr>
            <w:r>
              <w:rPr>
                <w:rFonts w:hint="eastAsia"/>
                <w:color w:val="auto"/>
                <w:kern w:val="0"/>
              </w:rPr>
              <w:t>4a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color w:val="auto"/>
              </w:rPr>
            </w:pPr>
            <w:r>
              <w:rPr>
                <w:rFonts w:hint="eastAsia"/>
                <w:color w:val="auto"/>
              </w:rPr>
              <w:t>N</w:t>
            </w:r>
            <w:r>
              <w:rPr>
                <w:color w:val="auto"/>
              </w:rPr>
              <w:t>2-1#</w:t>
            </w:r>
          </w:p>
        </w:tc>
        <w:tc>
          <w:tcPr>
            <w:tcW w:w="1049" w:type="dxa"/>
            <w:vAlign w:val="center"/>
          </w:tcPr>
          <w:p>
            <w:pPr>
              <w:pStyle w:val="1132"/>
              <w:rPr>
                <w:color w:val="auto"/>
              </w:rPr>
            </w:pPr>
            <w:r>
              <w:rPr>
                <w:rFonts w:hint="eastAsia"/>
                <w:color w:val="auto"/>
              </w:rPr>
              <w:t>路圩村</w:t>
            </w:r>
          </w:p>
        </w:tc>
        <w:tc>
          <w:tcPr>
            <w:tcW w:w="2753" w:type="dxa"/>
            <w:vAlign w:val="center"/>
          </w:tcPr>
          <w:p>
            <w:pPr>
              <w:pStyle w:val="1132"/>
              <w:rPr>
                <w:color w:val="auto"/>
              </w:rPr>
            </w:pPr>
            <w:r>
              <w:rPr>
                <w:color w:val="auto"/>
              </w:rPr>
              <w:t>临路第一排居住区外1m处，距离地面高度1.2m</w:t>
            </w:r>
          </w:p>
        </w:tc>
        <w:tc>
          <w:tcPr>
            <w:tcW w:w="851"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55.2</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45.9</w:t>
            </w:r>
          </w:p>
        </w:tc>
        <w:tc>
          <w:tcPr>
            <w:tcW w:w="709"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57.4</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43.4</w:t>
            </w:r>
          </w:p>
        </w:tc>
        <w:tc>
          <w:tcPr>
            <w:tcW w:w="1127" w:type="dxa"/>
            <w:vAlign w:val="center"/>
          </w:tcPr>
          <w:p>
            <w:pPr>
              <w:pStyle w:val="1132"/>
              <w:rPr>
                <w:color w:val="auto"/>
                <w:kern w:val="0"/>
              </w:rPr>
            </w:pPr>
            <w:r>
              <w:rPr>
                <w:rFonts w:hint="eastAsia"/>
                <w:color w:val="auto"/>
                <w:kern w:val="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color w:val="auto"/>
              </w:rPr>
            </w:pPr>
            <w:r>
              <w:rPr>
                <w:rFonts w:hint="eastAsia"/>
                <w:color w:val="auto"/>
              </w:rPr>
              <w:t>N</w:t>
            </w:r>
            <w:r>
              <w:rPr>
                <w:color w:val="auto"/>
              </w:rPr>
              <w:t>3-1#</w:t>
            </w:r>
          </w:p>
        </w:tc>
        <w:tc>
          <w:tcPr>
            <w:tcW w:w="1049" w:type="dxa"/>
            <w:vMerge w:val="restart"/>
            <w:vAlign w:val="center"/>
          </w:tcPr>
          <w:p>
            <w:pPr>
              <w:pStyle w:val="1132"/>
              <w:rPr>
                <w:rFonts w:hint="eastAsia" w:eastAsia="宋体"/>
                <w:color w:val="auto"/>
                <w:lang w:eastAsia="zh-CN"/>
              </w:rPr>
            </w:pPr>
            <w:r>
              <w:rPr>
                <w:rFonts w:hint="eastAsia"/>
                <w:color w:val="auto"/>
                <w:szCs w:val="21"/>
              </w:rPr>
              <w:t>汤庄</w:t>
            </w:r>
            <w:r>
              <w:rPr>
                <w:rFonts w:hint="eastAsia"/>
                <w:color w:val="auto"/>
                <w:szCs w:val="21"/>
                <w:lang w:eastAsia="zh-CN"/>
              </w:rPr>
              <w:t>（</w:t>
            </w:r>
            <w:r>
              <w:rPr>
                <w:rFonts w:hint="eastAsia"/>
                <w:color w:val="auto"/>
                <w:szCs w:val="21"/>
                <w:lang w:val="en-US" w:eastAsia="zh-CN"/>
              </w:rPr>
              <w:t>原</w:t>
            </w:r>
            <w:r>
              <w:rPr>
                <w:rFonts w:hint="eastAsia"/>
                <w:color w:val="auto"/>
                <w:szCs w:val="21"/>
                <w:lang w:eastAsia="zh-CN"/>
              </w:rPr>
              <w:t>）</w:t>
            </w:r>
          </w:p>
        </w:tc>
        <w:tc>
          <w:tcPr>
            <w:tcW w:w="2753" w:type="dxa"/>
            <w:vAlign w:val="center"/>
          </w:tcPr>
          <w:p>
            <w:pPr>
              <w:pStyle w:val="1132"/>
              <w:rPr>
                <w:color w:val="auto"/>
              </w:rPr>
            </w:pPr>
            <w:r>
              <w:rPr>
                <w:color w:val="auto"/>
              </w:rPr>
              <w:t>临路第一排居住区外1m处，距离地面高度1.2m</w:t>
            </w:r>
          </w:p>
        </w:tc>
        <w:tc>
          <w:tcPr>
            <w:tcW w:w="851"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53.3</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46.8</w:t>
            </w:r>
          </w:p>
        </w:tc>
        <w:tc>
          <w:tcPr>
            <w:tcW w:w="709"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56.5</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41.9</w:t>
            </w:r>
          </w:p>
        </w:tc>
        <w:tc>
          <w:tcPr>
            <w:tcW w:w="1127" w:type="dxa"/>
            <w:vMerge w:val="restart"/>
            <w:vAlign w:val="center"/>
          </w:tcPr>
          <w:p>
            <w:pPr>
              <w:pStyle w:val="1132"/>
              <w:rPr>
                <w:color w:val="auto"/>
                <w:kern w:val="0"/>
              </w:rPr>
            </w:pPr>
            <w:r>
              <w:rPr>
                <w:color w:val="auto"/>
                <w:kern w:val="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color w:val="auto"/>
              </w:rPr>
            </w:pPr>
            <w:r>
              <w:rPr>
                <w:rFonts w:hint="eastAsia"/>
                <w:color w:val="auto"/>
              </w:rPr>
              <w:t>N</w:t>
            </w:r>
            <w:r>
              <w:rPr>
                <w:color w:val="auto"/>
              </w:rPr>
              <w:t>3-2#</w:t>
            </w:r>
          </w:p>
        </w:tc>
        <w:tc>
          <w:tcPr>
            <w:tcW w:w="1049" w:type="dxa"/>
            <w:vMerge w:val="continue"/>
            <w:vAlign w:val="center"/>
          </w:tcPr>
          <w:p>
            <w:pPr>
              <w:pStyle w:val="1132"/>
              <w:rPr>
                <w:color w:val="auto"/>
              </w:rPr>
            </w:pPr>
          </w:p>
        </w:tc>
        <w:tc>
          <w:tcPr>
            <w:tcW w:w="2753" w:type="dxa"/>
            <w:vAlign w:val="center"/>
          </w:tcPr>
          <w:p>
            <w:pPr>
              <w:pStyle w:val="1132"/>
              <w:rPr>
                <w:color w:val="auto"/>
              </w:rPr>
            </w:pPr>
            <w:r>
              <w:rPr>
                <w:color w:val="auto"/>
              </w:rPr>
              <w:t>临路第一排居住区3层</w:t>
            </w:r>
          </w:p>
        </w:tc>
        <w:tc>
          <w:tcPr>
            <w:tcW w:w="851"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54.7</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47.8</w:t>
            </w:r>
          </w:p>
        </w:tc>
        <w:tc>
          <w:tcPr>
            <w:tcW w:w="709"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54.1</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42.4</w:t>
            </w:r>
          </w:p>
        </w:tc>
        <w:tc>
          <w:tcPr>
            <w:tcW w:w="1127" w:type="dxa"/>
            <w:vMerge w:val="continue"/>
            <w:vAlign w:val="center"/>
          </w:tcPr>
          <w:p>
            <w:pPr>
              <w:pStyle w:val="1132"/>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2" w:hRule="atLeast"/>
          <w:jc w:val="center"/>
        </w:trPr>
        <w:tc>
          <w:tcPr>
            <w:tcW w:w="871" w:type="dxa"/>
            <w:vAlign w:val="center"/>
          </w:tcPr>
          <w:p>
            <w:pPr>
              <w:pStyle w:val="1132"/>
              <w:rPr>
                <w:rFonts w:hint="eastAsia"/>
                <w:color w:val="auto"/>
              </w:rPr>
            </w:pPr>
            <w:r>
              <w:rPr>
                <w:rFonts w:hint="eastAsia"/>
                <w:color w:val="auto"/>
              </w:rPr>
              <w:t>N</w:t>
            </w:r>
            <w:r>
              <w:rPr>
                <w:color w:val="auto"/>
              </w:rPr>
              <w:t>4-1#</w:t>
            </w:r>
          </w:p>
        </w:tc>
        <w:tc>
          <w:tcPr>
            <w:tcW w:w="1049" w:type="dxa"/>
            <w:vMerge w:val="restart"/>
            <w:vAlign w:val="center"/>
          </w:tcPr>
          <w:p>
            <w:pPr>
              <w:pStyle w:val="1132"/>
              <w:rPr>
                <w:color w:val="auto"/>
              </w:rPr>
            </w:pPr>
            <w:r>
              <w:rPr>
                <w:rFonts w:hint="eastAsia"/>
                <w:color w:val="auto"/>
                <w:szCs w:val="21"/>
              </w:rPr>
              <w:t>汤庄</w:t>
            </w:r>
          </w:p>
        </w:tc>
        <w:tc>
          <w:tcPr>
            <w:tcW w:w="2753" w:type="dxa"/>
            <w:vAlign w:val="center"/>
          </w:tcPr>
          <w:p>
            <w:pPr>
              <w:pStyle w:val="1132"/>
              <w:rPr>
                <w:color w:val="auto"/>
              </w:rPr>
            </w:pPr>
            <w:r>
              <w:rPr>
                <w:color w:val="auto"/>
              </w:rPr>
              <w:t>临路第一排居住区外1m处，距离地面高度1.2m</w:t>
            </w:r>
          </w:p>
        </w:tc>
        <w:tc>
          <w:tcPr>
            <w:tcW w:w="851" w:type="dxa"/>
            <w:vAlign w:val="center"/>
          </w:tcPr>
          <w:p>
            <w:pPr>
              <w:pStyle w:val="1132"/>
              <w:rPr>
                <w:rFonts w:hint="eastAsia" w:ascii="Times New Roman" w:hAnsi="Times New Roman" w:eastAsia="宋体" w:cs="Times New Roman"/>
                <w:color w:val="auto"/>
              </w:rPr>
            </w:pPr>
            <w:r>
              <w:rPr>
                <w:rFonts w:hint="eastAsia"/>
                <w:color w:val="auto"/>
              </w:rPr>
              <w:t>51.4</w:t>
            </w:r>
          </w:p>
        </w:tc>
        <w:tc>
          <w:tcPr>
            <w:tcW w:w="850" w:type="dxa"/>
            <w:vAlign w:val="center"/>
          </w:tcPr>
          <w:p>
            <w:pPr>
              <w:pStyle w:val="1132"/>
              <w:rPr>
                <w:rFonts w:hint="eastAsia" w:ascii="Times New Roman" w:hAnsi="Times New Roman" w:eastAsia="宋体" w:cs="Times New Roman"/>
                <w:color w:val="auto"/>
              </w:rPr>
            </w:pPr>
            <w:r>
              <w:rPr>
                <w:rFonts w:hint="eastAsia"/>
                <w:color w:val="auto"/>
              </w:rPr>
              <w:t>45.8</w:t>
            </w:r>
          </w:p>
        </w:tc>
        <w:tc>
          <w:tcPr>
            <w:tcW w:w="709" w:type="dxa"/>
            <w:vAlign w:val="center"/>
          </w:tcPr>
          <w:p>
            <w:pPr>
              <w:pStyle w:val="1132"/>
              <w:rPr>
                <w:rFonts w:hint="eastAsia" w:ascii="Times New Roman" w:hAnsi="Times New Roman" w:eastAsia="宋体" w:cs="Times New Roman"/>
                <w:color w:val="auto"/>
              </w:rPr>
            </w:pPr>
            <w:r>
              <w:rPr>
                <w:rFonts w:hint="eastAsia"/>
                <w:color w:val="auto"/>
                <w:kern w:val="0"/>
              </w:rPr>
              <w:t>50.5</w:t>
            </w:r>
          </w:p>
        </w:tc>
        <w:tc>
          <w:tcPr>
            <w:tcW w:w="850" w:type="dxa"/>
            <w:vAlign w:val="center"/>
          </w:tcPr>
          <w:p>
            <w:pPr>
              <w:pStyle w:val="1132"/>
              <w:rPr>
                <w:rFonts w:hint="eastAsia" w:ascii="Times New Roman" w:hAnsi="Times New Roman" w:eastAsia="宋体" w:cs="Times New Roman"/>
                <w:color w:val="auto"/>
              </w:rPr>
            </w:pPr>
            <w:r>
              <w:rPr>
                <w:rFonts w:hint="eastAsia"/>
                <w:color w:val="auto"/>
                <w:kern w:val="0"/>
              </w:rPr>
              <w:t>41.8</w:t>
            </w:r>
          </w:p>
        </w:tc>
        <w:tc>
          <w:tcPr>
            <w:tcW w:w="1127" w:type="dxa"/>
            <w:vMerge w:val="restart"/>
            <w:vAlign w:val="center"/>
          </w:tcPr>
          <w:p>
            <w:pPr>
              <w:pStyle w:val="1132"/>
              <w:rPr>
                <w:rFonts w:hint="default" w:eastAsia="宋体"/>
                <w:color w:val="auto"/>
                <w:kern w:val="0"/>
                <w:lang w:val="en-US" w:eastAsia="zh-CN"/>
              </w:rPr>
            </w:pPr>
            <w:r>
              <w:rPr>
                <w:rFonts w:hint="eastAsia"/>
                <w:color w:val="auto"/>
                <w:kern w:val="0"/>
                <w:lang w:val="en-US" w:eastAsia="zh-CN"/>
              </w:rPr>
              <w:t>4a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rFonts w:hint="eastAsia"/>
                <w:color w:val="auto"/>
              </w:rPr>
            </w:pPr>
            <w:r>
              <w:rPr>
                <w:rFonts w:hint="eastAsia"/>
                <w:color w:val="auto"/>
              </w:rPr>
              <w:t>N</w:t>
            </w:r>
            <w:r>
              <w:rPr>
                <w:color w:val="auto"/>
              </w:rPr>
              <w:t>4-2#</w:t>
            </w:r>
          </w:p>
        </w:tc>
        <w:tc>
          <w:tcPr>
            <w:tcW w:w="1049" w:type="dxa"/>
            <w:vMerge w:val="continue"/>
            <w:vAlign w:val="center"/>
          </w:tcPr>
          <w:p>
            <w:pPr>
              <w:pStyle w:val="1132"/>
              <w:rPr>
                <w:color w:val="auto"/>
              </w:rPr>
            </w:pPr>
          </w:p>
        </w:tc>
        <w:tc>
          <w:tcPr>
            <w:tcW w:w="2753" w:type="dxa"/>
            <w:vAlign w:val="center"/>
          </w:tcPr>
          <w:p>
            <w:pPr>
              <w:pStyle w:val="1132"/>
              <w:rPr>
                <w:color w:val="auto"/>
              </w:rPr>
            </w:pPr>
            <w:r>
              <w:rPr>
                <w:color w:val="auto"/>
              </w:rPr>
              <w:t>临路第一排居住区3层</w:t>
            </w:r>
          </w:p>
        </w:tc>
        <w:tc>
          <w:tcPr>
            <w:tcW w:w="851" w:type="dxa"/>
            <w:vAlign w:val="center"/>
          </w:tcPr>
          <w:p>
            <w:pPr>
              <w:pStyle w:val="1132"/>
              <w:rPr>
                <w:rFonts w:hint="eastAsia" w:ascii="Times New Roman" w:hAnsi="Times New Roman" w:eastAsia="宋体" w:cs="Times New Roman"/>
                <w:color w:val="auto"/>
              </w:rPr>
            </w:pPr>
            <w:r>
              <w:rPr>
                <w:rFonts w:hint="eastAsia"/>
                <w:color w:val="auto"/>
              </w:rPr>
              <w:t>51.9</w:t>
            </w:r>
          </w:p>
        </w:tc>
        <w:tc>
          <w:tcPr>
            <w:tcW w:w="850" w:type="dxa"/>
            <w:vAlign w:val="center"/>
          </w:tcPr>
          <w:p>
            <w:pPr>
              <w:pStyle w:val="1132"/>
              <w:rPr>
                <w:rFonts w:hint="eastAsia" w:ascii="Times New Roman" w:hAnsi="Times New Roman" w:eastAsia="宋体" w:cs="Times New Roman"/>
                <w:color w:val="auto"/>
              </w:rPr>
            </w:pPr>
            <w:r>
              <w:rPr>
                <w:rFonts w:hint="eastAsia"/>
                <w:color w:val="auto"/>
              </w:rPr>
              <w:t>41.1</w:t>
            </w:r>
          </w:p>
        </w:tc>
        <w:tc>
          <w:tcPr>
            <w:tcW w:w="709" w:type="dxa"/>
            <w:vAlign w:val="center"/>
          </w:tcPr>
          <w:p>
            <w:pPr>
              <w:pStyle w:val="1132"/>
              <w:rPr>
                <w:rFonts w:hint="eastAsia" w:ascii="Times New Roman" w:hAnsi="Times New Roman" w:eastAsia="宋体" w:cs="Times New Roman"/>
                <w:color w:val="auto"/>
              </w:rPr>
            </w:pPr>
            <w:r>
              <w:rPr>
                <w:rFonts w:hint="eastAsia"/>
                <w:color w:val="auto"/>
                <w:kern w:val="0"/>
              </w:rPr>
              <w:t>46.7</w:t>
            </w:r>
          </w:p>
        </w:tc>
        <w:tc>
          <w:tcPr>
            <w:tcW w:w="850" w:type="dxa"/>
            <w:vAlign w:val="center"/>
          </w:tcPr>
          <w:p>
            <w:pPr>
              <w:pStyle w:val="1132"/>
              <w:rPr>
                <w:rFonts w:hint="eastAsia" w:ascii="Times New Roman" w:hAnsi="Times New Roman" w:eastAsia="宋体" w:cs="Times New Roman"/>
                <w:color w:val="auto"/>
              </w:rPr>
            </w:pPr>
            <w:r>
              <w:rPr>
                <w:rFonts w:hint="eastAsia"/>
                <w:color w:val="auto"/>
                <w:kern w:val="0"/>
              </w:rPr>
              <w:t>42.9</w:t>
            </w:r>
          </w:p>
        </w:tc>
        <w:tc>
          <w:tcPr>
            <w:tcW w:w="1127" w:type="dxa"/>
            <w:vMerge w:val="continue"/>
            <w:vAlign w:val="center"/>
          </w:tcPr>
          <w:p>
            <w:pPr>
              <w:pStyle w:val="1132"/>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color w:val="auto"/>
              </w:rPr>
            </w:pPr>
            <w:r>
              <w:rPr>
                <w:rFonts w:hint="eastAsia"/>
                <w:color w:val="auto"/>
              </w:rPr>
              <w:t>N</w:t>
            </w:r>
            <w:r>
              <w:rPr>
                <w:color w:val="auto"/>
              </w:rPr>
              <w:t>5-1</w:t>
            </w:r>
            <w:r>
              <w:rPr>
                <w:rFonts w:hint="eastAsia"/>
                <w:color w:val="auto"/>
              </w:rPr>
              <w:t>#</w:t>
            </w:r>
          </w:p>
        </w:tc>
        <w:tc>
          <w:tcPr>
            <w:tcW w:w="1049" w:type="dxa"/>
            <w:vMerge w:val="restart"/>
            <w:vAlign w:val="center"/>
          </w:tcPr>
          <w:p>
            <w:pPr>
              <w:pStyle w:val="1132"/>
              <w:rPr>
                <w:color w:val="auto"/>
              </w:rPr>
            </w:pPr>
            <w:r>
              <w:rPr>
                <w:rFonts w:hint="eastAsia"/>
                <w:color w:val="auto"/>
                <w:szCs w:val="21"/>
              </w:rPr>
              <w:t>仁和村</w:t>
            </w:r>
          </w:p>
        </w:tc>
        <w:tc>
          <w:tcPr>
            <w:tcW w:w="2753" w:type="dxa"/>
            <w:vAlign w:val="center"/>
          </w:tcPr>
          <w:p>
            <w:pPr>
              <w:pStyle w:val="1132"/>
              <w:rPr>
                <w:color w:val="auto"/>
              </w:rPr>
            </w:pPr>
            <w:r>
              <w:rPr>
                <w:color w:val="auto"/>
              </w:rPr>
              <w:t>临路第一排居住区外1m处，距离地面高度1.2m</w:t>
            </w:r>
          </w:p>
        </w:tc>
        <w:tc>
          <w:tcPr>
            <w:tcW w:w="851"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52.2</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47.4</w:t>
            </w:r>
          </w:p>
        </w:tc>
        <w:tc>
          <w:tcPr>
            <w:tcW w:w="709"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54.9</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44.4</w:t>
            </w:r>
          </w:p>
        </w:tc>
        <w:tc>
          <w:tcPr>
            <w:tcW w:w="1127" w:type="dxa"/>
            <w:vMerge w:val="restart"/>
            <w:vAlign w:val="center"/>
          </w:tcPr>
          <w:p>
            <w:pPr>
              <w:pStyle w:val="1132"/>
              <w:rPr>
                <w:rFonts w:hint="default" w:eastAsia="宋体"/>
                <w:color w:val="auto"/>
                <w:kern w:val="0"/>
                <w:lang w:val="en-US" w:eastAsia="zh-CN"/>
              </w:rPr>
            </w:pPr>
            <w:r>
              <w:rPr>
                <w:rFonts w:hint="eastAsia"/>
                <w:color w:val="auto"/>
                <w:kern w:val="0"/>
                <w:lang w:val="en-US" w:eastAsia="zh-CN"/>
              </w:rPr>
              <w:t>4a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color w:val="auto"/>
              </w:rPr>
            </w:pPr>
            <w:r>
              <w:rPr>
                <w:rFonts w:hint="eastAsia"/>
                <w:color w:val="auto"/>
              </w:rPr>
              <w:t>N</w:t>
            </w:r>
            <w:r>
              <w:rPr>
                <w:color w:val="auto"/>
              </w:rPr>
              <w:t>5-2</w:t>
            </w:r>
            <w:r>
              <w:rPr>
                <w:rFonts w:hint="eastAsia"/>
                <w:color w:val="auto"/>
              </w:rPr>
              <w:t>#</w:t>
            </w:r>
          </w:p>
        </w:tc>
        <w:tc>
          <w:tcPr>
            <w:tcW w:w="1049" w:type="dxa"/>
            <w:vMerge w:val="continue"/>
            <w:vAlign w:val="center"/>
          </w:tcPr>
          <w:p>
            <w:pPr>
              <w:pStyle w:val="1132"/>
              <w:rPr>
                <w:color w:val="auto"/>
              </w:rPr>
            </w:pPr>
          </w:p>
        </w:tc>
        <w:tc>
          <w:tcPr>
            <w:tcW w:w="2753" w:type="dxa"/>
            <w:vAlign w:val="center"/>
          </w:tcPr>
          <w:p>
            <w:pPr>
              <w:pStyle w:val="1132"/>
              <w:rPr>
                <w:color w:val="auto"/>
              </w:rPr>
            </w:pPr>
            <w:r>
              <w:rPr>
                <w:color w:val="auto"/>
              </w:rPr>
              <w:t>临路第一排居住区3层</w:t>
            </w:r>
          </w:p>
        </w:tc>
        <w:tc>
          <w:tcPr>
            <w:tcW w:w="851"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54.5</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48.5</w:t>
            </w:r>
          </w:p>
        </w:tc>
        <w:tc>
          <w:tcPr>
            <w:tcW w:w="709"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55.3</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44.3</w:t>
            </w:r>
          </w:p>
        </w:tc>
        <w:tc>
          <w:tcPr>
            <w:tcW w:w="1127" w:type="dxa"/>
            <w:vMerge w:val="continue"/>
            <w:vAlign w:val="center"/>
          </w:tcPr>
          <w:p>
            <w:pPr>
              <w:pStyle w:val="1132"/>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color w:val="auto"/>
              </w:rPr>
            </w:pPr>
            <w:r>
              <w:rPr>
                <w:rFonts w:hint="eastAsia"/>
                <w:color w:val="auto"/>
              </w:rPr>
              <w:t>N</w:t>
            </w:r>
            <w:r>
              <w:rPr>
                <w:rFonts w:hint="eastAsia"/>
                <w:color w:val="auto"/>
                <w:lang w:val="en-US" w:eastAsia="zh-CN"/>
              </w:rPr>
              <w:t>6</w:t>
            </w:r>
            <w:r>
              <w:rPr>
                <w:rFonts w:hint="eastAsia"/>
                <w:color w:val="auto"/>
              </w:rPr>
              <w:t>-</w:t>
            </w:r>
            <w:r>
              <w:rPr>
                <w:color w:val="auto"/>
              </w:rPr>
              <w:t>1</w:t>
            </w:r>
            <w:r>
              <w:rPr>
                <w:rFonts w:hint="eastAsia"/>
                <w:color w:val="auto"/>
              </w:rPr>
              <w:t>#</w:t>
            </w:r>
          </w:p>
        </w:tc>
        <w:tc>
          <w:tcPr>
            <w:tcW w:w="1049" w:type="dxa"/>
            <w:vMerge w:val="restart"/>
            <w:vAlign w:val="center"/>
          </w:tcPr>
          <w:p>
            <w:pPr>
              <w:pStyle w:val="1132"/>
              <w:rPr>
                <w:color w:val="auto"/>
              </w:rPr>
            </w:pPr>
            <w:r>
              <w:rPr>
                <w:rFonts w:hint="eastAsia"/>
                <w:color w:val="auto"/>
                <w:szCs w:val="21"/>
              </w:rPr>
              <w:t>王庄</w:t>
            </w:r>
          </w:p>
        </w:tc>
        <w:tc>
          <w:tcPr>
            <w:tcW w:w="2753" w:type="dxa"/>
            <w:vAlign w:val="center"/>
          </w:tcPr>
          <w:p>
            <w:pPr>
              <w:pStyle w:val="1132"/>
              <w:rPr>
                <w:color w:val="auto"/>
              </w:rPr>
            </w:pPr>
            <w:r>
              <w:rPr>
                <w:color w:val="auto"/>
              </w:rPr>
              <w:t>临路第一排居住区外1m处，距离地面高度1.2m</w:t>
            </w:r>
          </w:p>
        </w:tc>
        <w:tc>
          <w:tcPr>
            <w:tcW w:w="851"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53.6</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48.1</w:t>
            </w:r>
          </w:p>
        </w:tc>
        <w:tc>
          <w:tcPr>
            <w:tcW w:w="709"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54.6</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45.8</w:t>
            </w:r>
          </w:p>
        </w:tc>
        <w:tc>
          <w:tcPr>
            <w:tcW w:w="1127" w:type="dxa"/>
            <w:vMerge w:val="restart"/>
            <w:vAlign w:val="center"/>
          </w:tcPr>
          <w:p>
            <w:pPr>
              <w:pStyle w:val="1132"/>
              <w:rPr>
                <w:color w:val="auto"/>
                <w:kern w:val="0"/>
              </w:rPr>
            </w:pPr>
            <w:r>
              <w:rPr>
                <w:color w:val="auto"/>
                <w:kern w:val="0"/>
              </w:rPr>
              <w:t>4</w:t>
            </w:r>
            <w:r>
              <w:rPr>
                <w:rFonts w:hint="eastAsia"/>
                <w:color w:val="auto"/>
                <w:kern w:val="0"/>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color w:val="auto"/>
              </w:rPr>
            </w:pPr>
            <w:r>
              <w:rPr>
                <w:rFonts w:hint="eastAsia"/>
                <w:color w:val="auto"/>
              </w:rPr>
              <w:t>N</w:t>
            </w:r>
            <w:r>
              <w:rPr>
                <w:rFonts w:hint="eastAsia"/>
                <w:color w:val="auto"/>
                <w:lang w:val="en-US" w:eastAsia="zh-CN"/>
              </w:rPr>
              <w:t>6</w:t>
            </w:r>
            <w:r>
              <w:rPr>
                <w:rFonts w:hint="eastAsia"/>
                <w:color w:val="auto"/>
              </w:rPr>
              <w:t>-</w:t>
            </w:r>
            <w:r>
              <w:rPr>
                <w:rFonts w:hint="eastAsia"/>
                <w:color w:val="auto"/>
                <w:lang w:val="en-US" w:eastAsia="zh-CN"/>
              </w:rPr>
              <w:t>2</w:t>
            </w:r>
            <w:r>
              <w:rPr>
                <w:rFonts w:hint="eastAsia"/>
                <w:color w:val="auto"/>
              </w:rPr>
              <w:t>#</w:t>
            </w:r>
          </w:p>
        </w:tc>
        <w:tc>
          <w:tcPr>
            <w:tcW w:w="1049" w:type="dxa"/>
            <w:vMerge w:val="continue"/>
            <w:vAlign w:val="center"/>
          </w:tcPr>
          <w:p>
            <w:pPr>
              <w:pStyle w:val="1132"/>
              <w:rPr>
                <w:color w:val="auto"/>
              </w:rPr>
            </w:pPr>
          </w:p>
        </w:tc>
        <w:tc>
          <w:tcPr>
            <w:tcW w:w="2753" w:type="dxa"/>
            <w:vAlign w:val="center"/>
          </w:tcPr>
          <w:p>
            <w:pPr>
              <w:pStyle w:val="1132"/>
              <w:rPr>
                <w:color w:val="auto"/>
              </w:rPr>
            </w:pPr>
            <w:r>
              <w:rPr>
                <w:color w:val="auto"/>
              </w:rPr>
              <w:t>临路第一排居住区</w:t>
            </w:r>
            <w:r>
              <w:rPr>
                <w:rFonts w:hint="eastAsia"/>
                <w:color w:val="auto"/>
              </w:rPr>
              <w:t>3层</w:t>
            </w:r>
          </w:p>
        </w:tc>
        <w:tc>
          <w:tcPr>
            <w:tcW w:w="851"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56.3</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49.1</w:t>
            </w:r>
          </w:p>
        </w:tc>
        <w:tc>
          <w:tcPr>
            <w:tcW w:w="709"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52.2</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45.6</w:t>
            </w:r>
          </w:p>
        </w:tc>
        <w:tc>
          <w:tcPr>
            <w:tcW w:w="1127" w:type="dxa"/>
            <w:vMerge w:val="continue"/>
            <w:vAlign w:val="center"/>
          </w:tcPr>
          <w:p>
            <w:pPr>
              <w:pStyle w:val="1132"/>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color w:val="auto"/>
              </w:rPr>
            </w:pPr>
            <w:r>
              <w:rPr>
                <w:rFonts w:hint="eastAsia"/>
                <w:color w:val="auto"/>
              </w:rPr>
              <w:t>N</w:t>
            </w:r>
            <w:r>
              <w:rPr>
                <w:rFonts w:hint="eastAsia"/>
                <w:color w:val="auto"/>
                <w:lang w:val="en-US" w:eastAsia="zh-CN"/>
              </w:rPr>
              <w:t>7</w:t>
            </w:r>
            <w:r>
              <w:rPr>
                <w:rFonts w:hint="eastAsia"/>
                <w:color w:val="auto"/>
              </w:rPr>
              <w:t>-</w:t>
            </w:r>
            <w:r>
              <w:rPr>
                <w:color w:val="auto"/>
              </w:rPr>
              <w:t>1</w:t>
            </w:r>
            <w:r>
              <w:rPr>
                <w:rFonts w:hint="eastAsia"/>
                <w:color w:val="auto"/>
              </w:rPr>
              <w:t>#</w:t>
            </w:r>
          </w:p>
        </w:tc>
        <w:tc>
          <w:tcPr>
            <w:tcW w:w="1049" w:type="dxa"/>
            <w:vMerge w:val="restart"/>
            <w:vAlign w:val="center"/>
          </w:tcPr>
          <w:p>
            <w:pPr>
              <w:pStyle w:val="1132"/>
              <w:rPr>
                <w:color w:val="auto"/>
              </w:rPr>
            </w:pPr>
            <w:r>
              <w:rPr>
                <w:rFonts w:hint="eastAsia"/>
                <w:color w:val="auto"/>
                <w:szCs w:val="21"/>
              </w:rPr>
              <w:t>张园</w:t>
            </w:r>
          </w:p>
        </w:tc>
        <w:tc>
          <w:tcPr>
            <w:tcW w:w="2753" w:type="dxa"/>
            <w:vAlign w:val="center"/>
          </w:tcPr>
          <w:p>
            <w:pPr>
              <w:pStyle w:val="1132"/>
              <w:rPr>
                <w:color w:val="auto"/>
              </w:rPr>
            </w:pPr>
            <w:r>
              <w:rPr>
                <w:color w:val="auto"/>
              </w:rPr>
              <w:t>临路第一排居住区外1m处，距离地面高度1.2m</w:t>
            </w:r>
          </w:p>
        </w:tc>
        <w:tc>
          <w:tcPr>
            <w:tcW w:w="851"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52.1</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47.7</w:t>
            </w:r>
          </w:p>
        </w:tc>
        <w:tc>
          <w:tcPr>
            <w:tcW w:w="709"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58.2</w:t>
            </w:r>
          </w:p>
        </w:tc>
        <w:tc>
          <w:tcPr>
            <w:tcW w:w="850" w:type="dxa"/>
            <w:vAlign w:val="center"/>
          </w:tcPr>
          <w:p>
            <w:pPr>
              <w:pStyle w:val="1132"/>
              <w:rPr>
                <w:rFonts w:ascii="Times New Roman" w:hAnsi="Times New Roman" w:eastAsia="宋体" w:cs="Times New Roman"/>
                <w:color w:val="auto"/>
              </w:rPr>
            </w:pPr>
            <w:r>
              <w:rPr>
                <w:rFonts w:hint="eastAsia" w:ascii="Times New Roman" w:hAnsi="Times New Roman" w:eastAsia="宋体" w:cs="Times New Roman"/>
                <w:color w:val="auto"/>
              </w:rPr>
              <w:t>43.2</w:t>
            </w:r>
          </w:p>
        </w:tc>
        <w:tc>
          <w:tcPr>
            <w:tcW w:w="1127" w:type="dxa"/>
            <w:vMerge w:val="restart"/>
            <w:vAlign w:val="center"/>
          </w:tcPr>
          <w:p>
            <w:pPr>
              <w:pStyle w:val="1132"/>
              <w:rPr>
                <w:color w:val="auto"/>
                <w:kern w:val="0"/>
              </w:rPr>
            </w:pPr>
            <w:r>
              <w:rPr>
                <w:color w:val="auto"/>
                <w:kern w:val="0"/>
              </w:rPr>
              <w:t>4</w:t>
            </w:r>
            <w:r>
              <w:rPr>
                <w:rFonts w:hint="eastAsia"/>
                <w:color w:val="auto"/>
                <w:kern w:val="0"/>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rFonts w:hint="eastAsia"/>
                <w:color w:val="auto"/>
              </w:rPr>
            </w:pPr>
            <w:r>
              <w:rPr>
                <w:rFonts w:hint="eastAsia"/>
                <w:color w:val="auto"/>
              </w:rPr>
              <w:t>N</w:t>
            </w:r>
            <w:r>
              <w:rPr>
                <w:rFonts w:hint="eastAsia"/>
                <w:color w:val="auto"/>
                <w:lang w:val="en-US" w:eastAsia="zh-CN"/>
              </w:rPr>
              <w:t>7</w:t>
            </w:r>
            <w:r>
              <w:rPr>
                <w:rFonts w:hint="eastAsia"/>
                <w:color w:val="auto"/>
              </w:rPr>
              <w:t>-</w:t>
            </w:r>
            <w:r>
              <w:rPr>
                <w:color w:val="auto"/>
              </w:rPr>
              <w:t>2</w:t>
            </w:r>
            <w:r>
              <w:rPr>
                <w:rFonts w:hint="eastAsia"/>
                <w:color w:val="auto"/>
              </w:rPr>
              <w:t>#</w:t>
            </w:r>
          </w:p>
        </w:tc>
        <w:tc>
          <w:tcPr>
            <w:tcW w:w="1049" w:type="dxa"/>
            <w:vMerge w:val="continue"/>
            <w:vAlign w:val="center"/>
          </w:tcPr>
          <w:p>
            <w:pPr>
              <w:pStyle w:val="1132"/>
              <w:rPr>
                <w:rFonts w:hint="eastAsia"/>
                <w:color w:val="auto"/>
                <w:szCs w:val="21"/>
              </w:rPr>
            </w:pPr>
          </w:p>
        </w:tc>
        <w:tc>
          <w:tcPr>
            <w:tcW w:w="2753" w:type="dxa"/>
            <w:vAlign w:val="center"/>
          </w:tcPr>
          <w:p>
            <w:pPr>
              <w:pStyle w:val="1132"/>
              <w:rPr>
                <w:color w:val="auto"/>
              </w:rPr>
            </w:pPr>
            <w:r>
              <w:rPr>
                <w:color w:val="auto"/>
              </w:rPr>
              <w:t>临路第一排居住区3层</w:t>
            </w:r>
          </w:p>
        </w:tc>
        <w:tc>
          <w:tcPr>
            <w:tcW w:w="851"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53.8</w:t>
            </w:r>
          </w:p>
        </w:tc>
        <w:tc>
          <w:tcPr>
            <w:tcW w:w="850"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48.0</w:t>
            </w:r>
          </w:p>
        </w:tc>
        <w:tc>
          <w:tcPr>
            <w:tcW w:w="709"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56.1</w:t>
            </w:r>
          </w:p>
        </w:tc>
        <w:tc>
          <w:tcPr>
            <w:tcW w:w="850"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41.9</w:t>
            </w:r>
          </w:p>
        </w:tc>
        <w:tc>
          <w:tcPr>
            <w:tcW w:w="1127" w:type="dxa"/>
            <w:vMerge w:val="continue"/>
            <w:vAlign w:val="center"/>
          </w:tcPr>
          <w:p>
            <w:pPr>
              <w:pStyle w:val="1132"/>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rFonts w:hint="eastAsia"/>
                <w:color w:val="auto"/>
              </w:rPr>
            </w:pPr>
            <w:r>
              <w:rPr>
                <w:rFonts w:hint="eastAsia"/>
                <w:color w:val="auto"/>
              </w:rPr>
              <w:t>N</w:t>
            </w:r>
            <w:r>
              <w:rPr>
                <w:color w:val="auto"/>
              </w:rPr>
              <w:t>8</w:t>
            </w:r>
            <w:r>
              <w:rPr>
                <w:rFonts w:hint="eastAsia"/>
                <w:color w:val="auto"/>
              </w:rPr>
              <w:t>-</w:t>
            </w:r>
            <w:r>
              <w:rPr>
                <w:color w:val="auto"/>
              </w:rPr>
              <w:t>1</w:t>
            </w:r>
            <w:r>
              <w:rPr>
                <w:rFonts w:hint="eastAsia"/>
                <w:color w:val="auto"/>
              </w:rPr>
              <w:t>#</w:t>
            </w:r>
          </w:p>
        </w:tc>
        <w:tc>
          <w:tcPr>
            <w:tcW w:w="1049" w:type="dxa"/>
            <w:vMerge w:val="restart"/>
            <w:vAlign w:val="center"/>
          </w:tcPr>
          <w:p>
            <w:pPr>
              <w:pStyle w:val="1132"/>
              <w:rPr>
                <w:color w:val="auto"/>
              </w:rPr>
            </w:pPr>
            <w:r>
              <w:rPr>
                <w:rFonts w:hint="eastAsia"/>
                <w:color w:val="auto"/>
                <w:szCs w:val="21"/>
              </w:rPr>
              <w:t>邵楼村</w:t>
            </w:r>
          </w:p>
        </w:tc>
        <w:tc>
          <w:tcPr>
            <w:tcW w:w="2753" w:type="dxa"/>
            <w:vAlign w:val="center"/>
          </w:tcPr>
          <w:p>
            <w:pPr>
              <w:pStyle w:val="1132"/>
              <w:rPr>
                <w:color w:val="auto"/>
              </w:rPr>
            </w:pPr>
            <w:r>
              <w:rPr>
                <w:color w:val="auto"/>
              </w:rPr>
              <w:t>临路第一排居住区外1m处，距离地面高度1.2m</w:t>
            </w:r>
          </w:p>
        </w:tc>
        <w:tc>
          <w:tcPr>
            <w:tcW w:w="851"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55.0</w:t>
            </w:r>
          </w:p>
        </w:tc>
        <w:tc>
          <w:tcPr>
            <w:tcW w:w="850"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48.7</w:t>
            </w:r>
          </w:p>
        </w:tc>
        <w:tc>
          <w:tcPr>
            <w:tcW w:w="709"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54.0</w:t>
            </w:r>
          </w:p>
        </w:tc>
        <w:tc>
          <w:tcPr>
            <w:tcW w:w="850"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42.4</w:t>
            </w:r>
          </w:p>
        </w:tc>
        <w:tc>
          <w:tcPr>
            <w:tcW w:w="1127" w:type="dxa"/>
            <w:vMerge w:val="restart"/>
            <w:vAlign w:val="center"/>
          </w:tcPr>
          <w:p>
            <w:pPr>
              <w:pStyle w:val="1132"/>
              <w:rPr>
                <w:rFonts w:hint="default" w:eastAsia="宋体"/>
                <w:color w:val="auto"/>
                <w:kern w:val="0"/>
                <w:lang w:val="en-US" w:eastAsia="zh-CN"/>
              </w:rPr>
            </w:pPr>
            <w:r>
              <w:rPr>
                <w:rFonts w:hint="eastAsia"/>
                <w:color w:val="auto"/>
                <w:kern w:val="0"/>
                <w:lang w:val="en-US" w:eastAsia="zh-CN"/>
              </w:rPr>
              <w:t>4a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rFonts w:hint="eastAsia"/>
                <w:color w:val="auto"/>
              </w:rPr>
            </w:pPr>
            <w:r>
              <w:rPr>
                <w:rFonts w:hint="eastAsia"/>
                <w:color w:val="auto"/>
              </w:rPr>
              <w:t>N</w:t>
            </w:r>
            <w:r>
              <w:rPr>
                <w:color w:val="auto"/>
              </w:rPr>
              <w:t>8</w:t>
            </w:r>
            <w:r>
              <w:rPr>
                <w:rFonts w:hint="eastAsia"/>
                <w:color w:val="auto"/>
              </w:rPr>
              <w:t>-</w:t>
            </w:r>
            <w:r>
              <w:rPr>
                <w:color w:val="auto"/>
              </w:rPr>
              <w:t>2</w:t>
            </w:r>
            <w:r>
              <w:rPr>
                <w:rFonts w:hint="eastAsia"/>
                <w:color w:val="auto"/>
              </w:rPr>
              <w:t>#</w:t>
            </w:r>
          </w:p>
        </w:tc>
        <w:tc>
          <w:tcPr>
            <w:tcW w:w="1049" w:type="dxa"/>
            <w:vMerge w:val="continue"/>
            <w:vAlign w:val="center"/>
          </w:tcPr>
          <w:p>
            <w:pPr>
              <w:pStyle w:val="1132"/>
              <w:rPr>
                <w:rFonts w:hint="eastAsia"/>
                <w:color w:val="auto"/>
                <w:szCs w:val="21"/>
              </w:rPr>
            </w:pPr>
          </w:p>
        </w:tc>
        <w:tc>
          <w:tcPr>
            <w:tcW w:w="2753" w:type="dxa"/>
            <w:vAlign w:val="center"/>
          </w:tcPr>
          <w:p>
            <w:pPr>
              <w:pStyle w:val="1132"/>
              <w:rPr>
                <w:color w:val="auto"/>
              </w:rPr>
            </w:pPr>
            <w:r>
              <w:rPr>
                <w:color w:val="auto"/>
              </w:rPr>
              <w:t>临路第一排居住区3层</w:t>
            </w:r>
          </w:p>
        </w:tc>
        <w:tc>
          <w:tcPr>
            <w:tcW w:w="851"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56.9</w:t>
            </w:r>
          </w:p>
        </w:tc>
        <w:tc>
          <w:tcPr>
            <w:tcW w:w="850"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48.9</w:t>
            </w:r>
          </w:p>
        </w:tc>
        <w:tc>
          <w:tcPr>
            <w:tcW w:w="709"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55.0</w:t>
            </w:r>
          </w:p>
        </w:tc>
        <w:tc>
          <w:tcPr>
            <w:tcW w:w="850"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44.2</w:t>
            </w:r>
          </w:p>
        </w:tc>
        <w:tc>
          <w:tcPr>
            <w:tcW w:w="1127" w:type="dxa"/>
            <w:vMerge w:val="continue"/>
            <w:vAlign w:val="center"/>
          </w:tcPr>
          <w:p>
            <w:pPr>
              <w:pStyle w:val="1132"/>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rFonts w:hint="eastAsia"/>
                <w:color w:val="auto"/>
              </w:rPr>
            </w:pPr>
            <w:r>
              <w:rPr>
                <w:rFonts w:hint="eastAsia"/>
                <w:color w:val="auto"/>
              </w:rPr>
              <w:t>N</w:t>
            </w:r>
            <w:r>
              <w:rPr>
                <w:rFonts w:hint="eastAsia"/>
                <w:color w:val="auto"/>
                <w:lang w:val="en-US" w:eastAsia="zh-CN"/>
              </w:rPr>
              <w:t>9</w:t>
            </w:r>
            <w:r>
              <w:rPr>
                <w:rFonts w:hint="eastAsia"/>
                <w:color w:val="auto"/>
              </w:rPr>
              <w:t>-</w:t>
            </w:r>
            <w:r>
              <w:rPr>
                <w:color w:val="auto"/>
              </w:rPr>
              <w:t>1</w:t>
            </w:r>
            <w:r>
              <w:rPr>
                <w:rFonts w:hint="eastAsia"/>
                <w:color w:val="auto"/>
              </w:rPr>
              <w:t>#</w:t>
            </w:r>
          </w:p>
        </w:tc>
        <w:tc>
          <w:tcPr>
            <w:tcW w:w="1049" w:type="dxa"/>
            <w:vMerge w:val="restart"/>
            <w:vAlign w:val="center"/>
          </w:tcPr>
          <w:p>
            <w:pPr>
              <w:pStyle w:val="1132"/>
              <w:rPr>
                <w:color w:val="auto"/>
              </w:rPr>
            </w:pPr>
            <w:r>
              <w:rPr>
                <w:rFonts w:hint="eastAsia"/>
                <w:color w:val="auto"/>
              </w:rPr>
              <w:t>小沟沿</w:t>
            </w:r>
          </w:p>
        </w:tc>
        <w:tc>
          <w:tcPr>
            <w:tcW w:w="2753" w:type="dxa"/>
            <w:vAlign w:val="center"/>
          </w:tcPr>
          <w:p>
            <w:pPr>
              <w:pStyle w:val="1132"/>
              <w:rPr>
                <w:color w:val="auto"/>
              </w:rPr>
            </w:pPr>
            <w:r>
              <w:rPr>
                <w:color w:val="auto"/>
              </w:rPr>
              <w:t>临路第一排居住区外1m处，距离地面高度1.2m</w:t>
            </w:r>
          </w:p>
        </w:tc>
        <w:tc>
          <w:tcPr>
            <w:tcW w:w="851"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52.2</w:t>
            </w:r>
          </w:p>
        </w:tc>
        <w:tc>
          <w:tcPr>
            <w:tcW w:w="850"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46.5</w:t>
            </w:r>
          </w:p>
        </w:tc>
        <w:tc>
          <w:tcPr>
            <w:tcW w:w="709"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56.1</w:t>
            </w:r>
          </w:p>
        </w:tc>
        <w:tc>
          <w:tcPr>
            <w:tcW w:w="850"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45.1</w:t>
            </w:r>
          </w:p>
        </w:tc>
        <w:tc>
          <w:tcPr>
            <w:tcW w:w="1127" w:type="dxa"/>
            <w:vMerge w:val="restart"/>
            <w:vAlign w:val="center"/>
          </w:tcPr>
          <w:p>
            <w:pPr>
              <w:pStyle w:val="1132"/>
              <w:rPr>
                <w:rFonts w:hint="default" w:eastAsia="宋体"/>
                <w:color w:val="auto"/>
                <w:kern w:val="0"/>
                <w:lang w:val="en-US" w:eastAsia="zh-CN"/>
              </w:rPr>
            </w:pPr>
            <w:r>
              <w:rPr>
                <w:rFonts w:hint="eastAsia"/>
                <w:color w:val="auto"/>
                <w:kern w:val="0"/>
                <w:lang w:val="en-US" w:eastAsia="zh-CN"/>
              </w:rPr>
              <w:t>4a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rFonts w:hint="eastAsia"/>
                <w:color w:val="auto"/>
              </w:rPr>
            </w:pPr>
            <w:r>
              <w:rPr>
                <w:rFonts w:hint="eastAsia"/>
                <w:color w:val="auto"/>
              </w:rPr>
              <w:t>N</w:t>
            </w:r>
            <w:r>
              <w:rPr>
                <w:rFonts w:hint="eastAsia"/>
                <w:color w:val="auto"/>
                <w:lang w:val="en-US" w:eastAsia="zh-CN"/>
              </w:rPr>
              <w:t>9</w:t>
            </w:r>
            <w:r>
              <w:rPr>
                <w:rFonts w:hint="eastAsia"/>
                <w:color w:val="auto"/>
              </w:rPr>
              <w:t>-</w:t>
            </w:r>
            <w:r>
              <w:rPr>
                <w:rFonts w:hint="eastAsia"/>
                <w:color w:val="auto"/>
                <w:lang w:val="en-US" w:eastAsia="zh-CN"/>
              </w:rPr>
              <w:t>2</w:t>
            </w:r>
            <w:r>
              <w:rPr>
                <w:rFonts w:hint="eastAsia"/>
                <w:color w:val="auto"/>
              </w:rPr>
              <w:t>#</w:t>
            </w:r>
          </w:p>
        </w:tc>
        <w:tc>
          <w:tcPr>
            <w:tcW w:w="1049" w:type="dxa"/>
            <w:vMerge w:val="continue"/>
            <w:vAlign w:val="center"/>
          </w:tcPr>
          <w:p>
            <w:pPr>
              <w:pStyle w:val="1132"/>
              <w:rPr>
                <w:rFonts w:hint="eastAsia"/>
                <w:color w:val="auto"/>
                <w:szCs w:val="21"/>
              </w:rPr>
            </w:pPr>
          </w:p>
        </w:tc>
        <w:tc>
          <w:tcPr>
            <w:tcW w:w="2753" w:type="dxa"/>
            <w:vAlign w:val="center"/>
          </w:tcPr>
          <w:p>
            <w:pPr>
              <w:pStyle w:val="1132"/>
              <w:rPr>
                <w:color w:val="auto"/>
              </w:rPr>
            </w:pPr>
            <w:r>
              <w:rPr>
                <w:color w:val="auto"/>
              </w:rPr>
              <w:t>临路第一排居住区</w:t>
            </w:r>
            <w:r>
              <w:rPr>
                <w:rFonts w:hint="eastAsia"/>
                <w:color w:val="auto"/>
              </w:rPr>
              <w:t>3层</w:t>
            </w:r>
          </w:p>
        </w:tc>
        <w:tc>
          <w:tcPr>
            <w:tcW w:w="851"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55.3</w:t>
            </w:r>
          </w:p>
        </w:tc>
        <w:tc>
          <w:tcPr>
            <w:tcW w:w="850"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47.9</w:t>
            </w:r>
          </w:p>
        </w:tc>
        <w:tc>
          <w:tcPr>
            <w:tcW w:w="709"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54.4</w:t>
            </w:r>
          </w:p>
        </w:tc>
        <w:tc>
          <w:tcPr>
            <w:tcW w:w="850" w:type="dxa"/>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46.2</w:t>
            </w:r>
          </w:p>
        </w:tc>
        <w:tc>
          <w:tcPr>
            <w:tcW w:w="1127" w:type="dxa"/>
            <w:vMerge w:val="continue"/>
            <w:vAlign w:val="center"/>
          </w:tcPr>
          <w:p>
            <w:pPr>
              <w:pStyle w:val="1132"/>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1" w:type="dxa"/>
            <w:vAlign w:val="center"/>
          </w:tcPr>
          <w:p>
            <w:pPr>
              <w:pStyle w:val="1132"/>
              <w:rPr>
                <w:color w:val="auto"/>
              </w:rPr>
            </w:pPr>
            <w:r>
              <w:rPr>
                <w:rFonts w:hint="eastAsia"/>
                <w:color w:val="auto"/>
              </w:rPr>
              <w:t>备注</w:t>
            </w:r>
          </w:p>
        </w:tc>
        <w:tc>
          <w:tcPr>
            <w:tcW w:w="8189" w:type="dxa"/>
            <w:gridSpan w:val="7"/>
            <w:vAlign w:val="center"/>
          </w:tcPr>
          <w:p>
            <w:pPr>
              <w:pStyle w:val="1132"/>
              <w:jc w:val="left"/>
              <w:rPr>
                <w:rFonts w:ascii="Times New Roman" w:hAnsi="Times New Roman" w:eastAsia="宋体" w:cs="Times New Roman"/>
                <w:color w:val="auto"/>
              </w:rPr>
            </w:pPr>
            <w:r>
              <w:rPr>
                <w:rFonts w:ascii="Times New Roman" w:hAnsi="Times New Roman" w:eastAsia="宋体" w:cs="Times New Roman"/>
                <w:color w:val="auto"/>
              </w:rPr>
              <w:t>气象参数：202</w:t>
            </w:r>
            <w:r>
              <w:rPr>
                <w:rFonts w:hint="eastAsia" w:ascii="Times New Roman" w:hAnsi="Times New Roman" w:eastAsia="宋体" w:cs="Times New Roman"/>
                <w:color w:val="auto"/>
              </w:rPr>
              <w:t>2</w:t>
            </w:r>
            <w:r>
              <w:rPr>
                <w:rFonts w:ascii="Times New Roman" w:hAnsi="Times New Roman" w:eastAsia="宋体" w:cs="Times New Roman"/>
                <w:color w:val="auto"/>
              </w:rPr>
              <w:t>.</w:t>
            </w:r>
            <w:r>
              <w:rPr>
                <w:rFonts w:hint="eastAsia" w:ascii="Times New Roman" w:hAnsi="Times New Roman" w:eastAsia="宋体" w:cs="Times New Roman"/>
                <w:color w:val="auto"/>
              </w:rPr>
              <w:t>10</w:t>
            </w:r>
            <w:r>
              <w:rPr>
                <w:rFonts w:ascii="Times New Roman" w:hAnsi="Times New Roman" w:eastAsia="宋体" w:cs="Times New Roman"/>
                <w:color w:val="auto"/>
              </w:rPr>
              <w:t>.</w:t>
            </w:r>
            <w:r>
              <w:rPr>
                <w:rFonts w:hint="eastAsia" w:ascii="Times New Roman" w:hAnsi="Times New Roman" w:eastAsia="宋体" w:cs="Times New Roman"/>
                <w:color w:val="auto"/>
              </w:rPr>
              <w:t>13</w:t>
            </w:r>
            <w:r>
              <w:rPr>
                <w:rFonts w:ascii="Times New Roman" w:hAnsi="Times New Roman" w:eastAsia="宋体" w:cs="Times New Roman"/>
                <w:color w:val="auto"/>
              </w:rPr>
              <w:t>：天气：</w:t>
            </w:r>
            <w:r>
              <w:rPr>
                <w:rFonts w:hint="eastAsia" w:ascii="Times New Roman" w:hAnsi="Times New Roman" w:eastAsia="宋体" w:cs="Times New Roman"/>
                <w:color w:val="auto"/>
              </w:rPr>
              <w:t>阴</w:t>
            </w:r>
            <w:r>
              <w:rPr>
                <w:rFonts w:ascii="Times New Roman" w:hAnsi="Times New Roman" w:eastAsia="宋体" w:cs="Times New Roman"/>
                <w:color w:val="auto"/>
              </w:rPr>
              <w:t>，风向</w:t>
            </w:r>
            <w:r>
              <w:rPr>
                <w:rFonts w:hint="eastAsia" w:ascii="Times New Roman" w:hAnsi="Times New Roman" w:eastAsia="宋体" w:cs="Times New Roman"/>
                <w:color w:val="auto"/>
              </w:rPr>
              <w:t>：北</w:t>
            </w:r>
            <w:r>
              <w:rPr>
                <w:rFonts w:ascii="Times New Roman" w:hAnsi="Times New Roman" w:eastAsia="宋体" w:cs="Times New Roman"/>
                <w:color w:val="auto"/>
              </w:rPr>
              <w:t>风</w:t>
            </w:r>
            <w:r>
              <w:rPr>
                <w:rFonts w:hint="eastAsia" w:ascii="Times New Roman" w:hAnsi="Times New Roman" w:eastAsia="宋体" w:cs="Times New Roman"/>
                <w:color w:val="auto"/>
              </w:rPr>
              <w:t>，</w:t>
            </w:r>
            <w:r>
              <w:rPr>
                <w:rFonts w:ascii="Times New Roman" w:hAnsi="Times New Roman" w:eastAsia="宋体" w:cs="Times New Roman"/>
                <w:color w:val="auto"/>
              </w:rPr>
              <w:t>风速：</w:t>
            </w:r>
            <w:r>
              <w:rPr>
                <w:rFonts w:hint="eastAsia" w:ascii="Times New Roman" w:hAnsi="Times New Roman" w:eastAsia="宋体" w:cs="Times New Roman"/>
                <w:color w:val="auto"/>
              </w:rPr>
              <w:t>2.1</w:t>
            </w:r>
            <w:r>
              <w:rPr>
                <w:rFonts w:ascii="Times New Roman" w:hAnsi="Times New Roman" w:eastAsia="宋体" w:cs="Times New Roman"/>
                <w:color w:val="auto"/>
              </w:rPr>
              <w:t>m/s；</w:t>
            </w:r>
          </w:p>
          <w:p>
            <w:pPr>
              <w:pStyle w:val="1132"/>
              <w:jc w:val="left"/>
              <w:rPr>
                <w:color w:val="auto"/>
                <w:kern w:val="0"/>
              </w:rPr>
            </w:pPr>
            <w:r>
              <w:rPr>
                <w:rFonts w:ascii="Times New Roman" w:hAnsi="Times New Roman" w:eastAsia="宋体" w:cs="Times New Roman"/>
                <w:color w:val="auto"/>
              </w:rPr>
              <w:t xml:space="preserve">        </w:t>
            </w:r>
            <w:r>
              <w:rPr>
                <w:rFonts w:hint="eastAsia" w:ascii="Times New Roman" w:hAnsi="Times New Roman" w:eastAsia="宋体" w:cs="Times New Roman"/>
                <w:color w:val="auto"/>
                <w:lang w:val="en-US" w:eastAsia="zh-CN"/>
              </w:rPr>
              <w:t xml:space="preserve">          </w:t>
            </w:r>
            <w:r>
              <w:rPr>
                <w:rFonts w:ascii="Times New Roman" w:hAnsi="Times New Roman" w:eastAsia="宋体" w:cs="Times New Roman"/>
                <w:color w:val="auto"/>
              </w:rPr>
              <w:t xml:space="preserve">  202</w:t>
            </w:r>
            <w:r>
              <w:rPr>
                <w:rFonts w:hint="eastAsia" w:ascii="Times New Roman" w:hAnsi="Times New Roman" w:eastAsia="宋体" w:cs="Times New Roman"/>
                <w:color w:val="auto"/>
              </w:rPr>
              <w:t>2</w:t>
            </w:r>
            <w:r>
              <w:rPr>
                <w:rFonts w:ascii="Times New Roman" w:hAnsi="Times New Roman" w:eastAsia="宋体" w:cs="Times New Roman"/>
                <w:color w:val="auto"/>
              </w:rPr>
              <w:t>.</w:t>
            </w:r>
            <w:r>
              <w:rPr>
                <w:rFonts w:hint="eastAsia" w:ascii="Times New Roman" w:hAnsi="Times New Roman" w:eastAsia="宋体" w:cs="Times New Roman"/>
                <w:color w:val="auto"/>
              </w:rPr>
              <w:t>10</w:t>
            </w:r>
            <w:r>
              <w:rPr>
                <w:rFonts w:ascii="Times New Roman" w:hAnsi="Times New Roman" w:eastAsia="宋体" w:cs="Times New Roman"/>
                <w:color w:val="auto"/>
              </w:rPr>
              <w:t>.</w:t>
            </w:r>
            <w:r>
              <w:rPr>
                <w:rFonts w:hint="eastAsia" w:ascii="Times New Roman" w:hAnsi="Times New Roman" w:eastAsia="宋体" w:cs="Times New Roman"/>
                <w:color w:val="auto"/>
              </w:rPr>
              <w:t>14</w:t>
            </w:r>
            <w:r>
              <w:rPr>
                <w:rFonts w:ascii="Times New Roman" w:hAnsi="Times New Roman" w:eastAsia="宋体" w:cs="Times New Roman"/>
                <w:color w:val="auto"/>
              </w:rPr>
              <w:t>：天气：</w:t>
            </w:r>
            <w:r>
              <w:rPr>
                <w:rFonts w:hint="eastAsia" w:ascii="Times New Roman" w:hAnsi="Times New Roman" w:eastAsia="宋体" w:cs="Times New Roman"/>
                <w:color w:val="auto"/>
              </w:rPr>
              <w:t>多云</w:t>
            </w:r>
            <w:r>
              <w:rPr>
                <w:rFonts w:ascii="Times New Roman" w:hAnsi="Times New Roman" w:eastAsia="宋体" w:cs="Times New Roman"/>
                <w:color w:val="auto"/>
              </w:rPr>
              <w:t>，风向：</w:t>
            </w:r>
            <w:r>
              <w:rPr>
                <w:rFonts w:hint="eastAsia" w:ascii="Times New Roman" w:hAnsi="Times New Roman" w:eastAsia="宋体" w:cs="Times New Roman"/>
                <w:color w:val="auto"/>
              </w:rPr>
              <w:t>东北</w:t>
            </w:r>
            <w:r>
              <w:rPr>
                <w:rFonts w:ascii="Times New Roman" w:hAnsi="Times New Roman" w:eastAsia="宋体" w:cs="Times New Roman"/>
                <w:color w:val="auto"/>
              </w:rPr>
              <w:t>风，风速：</w:t>
            </w:r>
            <w:r>
              <w:rPr>
                <w:rFonts w:hint="eastAsia" w:ascii="Times New Roman" w:hAnsi="Times New Roman" w:eastAsia="宋体" w:cs="Times New Roman"/>
                <w:color w:val="auto"/>
              </w:rPr>
              <w:t>1.4</w:t>
            </w:r>
            <w:r>
              <w:rPr>
                <w:rFonts w:ascii="Times New Roman" w:hAnsi="Times New Roman" w:eastAsia="宋体" w:cs="Times New Roman"/>
                <w:color w:val="auto"/>
              </w:rPr>
              <w:t>m/s。</w:t>
            </w:r>
          </w:p>
        </w:tc>
      </w:tr>
    </w:tbl>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t>交通噪声连续24h检测结果</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1951"/>
        <w:gridCol w:w="1345"/>
        <w:gridCol w:w="1352"/>
        <w:gridCol w:w="1176"/>
        <w:gridCol w:w="1176"/>
        <w:gridCol w:w="1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restart"/>
            <w:vAlign w:val="center"/>
          </w:tcPr>
          <w:p>
            <w:pPr>
              <w:pStyle w:val="1132"/>
              <w:rPr>
                <w:sz w:val="21"/>
                <w:szCs w:val="21"/>
                <w:highlight w:val="none"/>
              </w:rPr>
            </w:pPr>
            <w:r>
              <w:rPr>
                <w:sz w:val="21"/>
                <w:szCs w:val="21"/>
                <w:highlight w:val="none"/>
              </w:rPr>
              <w:t>编号</w:t>
            </w:r>
          </w:p>
        </w:tc>
        <w:tc>
          <w:tcPr>
            <w:tcW w:w="1051" w:type="pct"/>
            <w:vMerge w:val="restart"/>
            <w:vAlign w:val="center"/>
          </w:tcPr>
          <w:p>
            <w:pPr>
              <w:pStyle w:val="1132"/>
              <w:rPr>
                <w:sz w:val="21"/>
                <w:szCs w:val="21"/>
                <w:highlight w:val="none"/>
              </w:rPr>
            </w:pPr>
            <w:r>
              <w:rPr>
                <w:sz w:val="21"/>
                <w:szCs w:val="21"/>
                <w:highlight w:val="none"/>
              </w:rPr>
              <w:t>测点位置</w:t>
            </w:r>
          </w:p>
        </w:tc>
        <w:tc>
          <w:tcPr>
            <w:tcW w:w="1452" w:type="pct"/>
            <w:gridSpan w:val="2"/>
            <w:vAlign w:val="center"/>
          </w:tcPr>
          <w:p>
            <w:pPr>
              <w:pStyle w:val="1132"/>
              <w:rPr>
                <w:sz w:val="21"/>
                <w:szCs w:val="21"/>
                <w:highlight w:val="none"/>
              </w:rPr>
            </w:pPr>
            <w:r>
              <w:rPr>
                <w:rFonts w:hint="eastAsia"/>
                <w:sz w:val="21"/>
                <w:szCs w:val="21"/>
                <w:highlight w:val="none"/>
              </w:rPr>
              <w:t>24h</w:t>
            </w:r>
            <w:r>
              <w:rPr>
                <w:sz w:val="21"/>
                <w:szCs w:val="21"/>
                <w:highlight w:val="none"/>
              </w:rPr>
              <w:t>监测结果Leq[dB(A)]</w:t>
            </w:r>
          </w:p>
        </w:tc>
        <w:tc>
          <w:tcPr>
            <w:tcW w:w="1912" w:type="pct"/>
            <w:gridSpan w:val="3"/>
            <w:vAlign w:val="center"/>
          </w:tcPr>
          <w:p>
            <w:pPr>
              <w:pStyle w:val="1132"/>
              <w:rPr>
                <w:sz w:val="21"/>
                <w:szCs w:val="21"/>
                <w:highlight w:val="none"/>
              </w:rPr>
            </w:pPr>
            <w:r>
              <w:rPr>
                <w:sz w:val="21"/>
                <w:szCs w:val="21"/>
                <w:highlight w:val="none"/>
              </w:rPr>
              <w:t>车流量</w:t>
            </w:r>
            <w:r>
              <w:rPr>
                <w:rFonts w:hint="eastAsia"/>
                <w:sz w:val="21"/>
                <w:szCs w:val="21"/>
                <w:highlight w:val="none"/>
              </w:rPr>
              <w:t>（辆/h）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开始时间</w:t>
            </w:r>
          </w:p>
        </w:tc>
        <w:tc>
          <w:tcPr>
            <w:tcW w:w="727" w:type="pct"/>
            <w:vAlign w:val="center"/>
          </w:tcPr>
          <w:p>
            <w:pPr>
              <w:pStyle w:val="1132"/>
              <w:rPr>
                <w:sz w:val="21"/>
                <w:szCs w:val="21"/>
                <w:highlight w:val="none"/>
              </w:rPr>
            </w:pPr>
            <w:r>
              <w:rPr>
                <w:sz w:val="21"/>
                <w:szCs w:val="21"/>
                <w:highlight w:val="none"/>
              </w:rPr>
              <w:t>测量结果</w:t>
            </w:r>
          </w:p>
        </w:tc>
        <w:tc>
          <w:tcPr>
            <w:tcW w:w="633" w:type="pct"/>
            <w:vAlign w:val="center"/>
          </w:tcPr>
          <w:p>
            <w:pPr>
              <w:pStyle w:val="1132"/>
              <w:rPr>
                <w:sz w:val="21"/>
                <w:szCs w:val="21"/>
                <w:highlight w:val="none"/>
              </w:rPr>
            </w:pPr>
            <w:r>
              <w:rPr>
                <w:sz w:val="21"/>
                <w:szCs w:val="21"/>
                <w:highlight w:val="none"/>
              </w:rPr>
              <w:t>小车</w:t>
            </w:r>
          </w:p>
        </w:tc>
        <w:tc>
          <w:tcPr>
            <w:tcW w:w="633" w:type="pct"/>
            <w:vAlign w:val="center"/>
          </w:tcPr>
          <w:p>
            <w:pPr>
              <w:pStyle w:val="1132"/>
              <w:rPr>
                <w:sz w:val="21"/>
                <w:szCs w:val="21"/>
                <w:highlight w:val="none"/>
              </w:rPr>
            </w:pPr>
            <w:r>
              <w:rPr>
                <w:sz w:val="21"/>
                <w:szCs w:val="21"/>
                <w:highlight w:val="none"/>
              </w:rPr>
              <w:t>中车</w:t>
            </w:r>
          </w:p>
        </w:tc>
        <w:tc>
          <w:tcPr>
            <w:tcW w:w="644" w:type="pct"/>
            <w:vAlign w:val="center"/>
          </w:tcPr>
          <w:p>
            <w:pPr>
              <w:pStyle w:val="1132"/>
              <w:rPr>
                <w:sz w:val="21"/>
                <w:szCs w:val="21"/>
                <w:highlight w:val="none"/>
              </w:rPr>
            </w:pPr>
            <w:r>
              <w:rPr>
                <w:sz w:val="21"/>
                <w:szCs w:val="21"/>
                <w:highlight w:val="none"/>
              </w:rPr>
              <w:t>大车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restart"/>
            <w:vAlign w:val="center"/>
          </w:tcPr>
          <w:p>
            <w:pPr>
              <w:pStyle w:val="1132"/>
              <w:rPr>
                <w:sz w:val="21"/>
                <w:szCs w:val="21"/>
                <w:highlight w:val="none"/>
              </w:rPr>
            </w:pPr>
            <w:r>
              <w:rPr>
                <w:rFonts w:hint="eastAsia"/>
                <w:sz w:val="21"/>
                <w:szCs w:val="21"/>
                <w:highlight w:val="none"/>
              </w:rPr>
              <w:t>N</w:t>
            </w:r>
            <w:r>
              <w:rPr>
                <w:sz w:val="21"/>
                <w:szCs w:val="21"/>
                <w:highlight w:val="none"/>
              </w:rPr>
              <w:t>10</w:t>
            </w:r>
          </w:p>
        </w:tc>
        <w:tc>
          <w:tcPr>
            <w:tcW w:w="1051" w:type="pct"/>
            <w:vMerge w:val="restart"/>
            <w:vAlign w:val="center"/>
          </w:tcPr>
          <w:p>
            <w:pPr>
              <w:pStyle w:val="1132"/>
              <w:rPr>
                <w:sz w:val="21"/>
                <w:szCs w:val="21"/>
                <w:highlight w:val="none"/>
              </w:rPr>
            </w:pPr>
            <w:r>
              <w:rPr>
                <w:rFonts w:hint="eastAsia"/>
                <w:sz w:val="21"/>
                <w:szCs w:val="21"/>
                <w:highlight w:val="none"/>
              </w:rPr>
              <w:t>路肩处</w:t>
            </w:r>
          </w:p>
        </w:tc>
        <w:tc>
          <w:tcPr>
            <w:tcW w:w="724" w:type="pct"/>
            <w:vAlign w:val="center"/>
          </w:tcPr>
          <w:p>
            <w:pPr>
              <w:pStyle w:val="1132"/>
              <w:rPr>
                <w:sz w:val="21"/>
                <w:szCs w:val="21"/>
                <w:highlight w:val="none"/>
              </w:rPr>
            </w:pPr>
            <w:r>
              <w:rPr>
                <w:sz w:val="21"/>
                <w:szCs w:val="21"/>
                <w:highlight w:val="none"/>
              </w:rPr>
              <w:t>18:00</w:t>
            </w:r>
          </w:p>
        </w:tc>
        <w:tc>
          <w:tcPr>
            <w:tcW w:w="727" w:type="pct"/>
            <w:vAlign w:val="center"/>
          </w:tcPr>
          <w:p>
            <w:pPr>
              <w:pStyle w:val="119"/>
              <w:rPr>
                <w:sz w:val="21"/>
                <w:szCs w:val="21"/>
                <w:highlight w:val="none"/>
              </w:rPr>
            </w:pPr>
            <w:r>
              <w:rPr>
                <w:rFonts w:hint="eastAsia" w:eastAsia="仿宋"/>
                <w:sz w:val="21"/>
                <w:szCs w:val="21"/>
                <w:highlight w:val="none"/>
              </w:rPr>
              <w:t>60.8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72</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19:00</w:t>
            </w:r>
          </w:p>
        </w:tc>
        <w:tc>
          <w:tcPr>
            <w:tcW w:w="727" w:type="pct"/>
            <w:vAlign w:val="center"/>
          </w:tcPr>
          <w:p>
            <w:pPr>
              <w:pStyle w:val="119"/>
              <w:rPr>
                <w:sz w:val="21"/>
                <w:szCs w:val="21"/>
                <w:highlight w:val="none"/>
              </w:rPr>
            </w:pPr>
            <w:r>
              <w:rPr>
                <w:rFonts w:hint="eastAsia" w:eastAsia="仿宋"/>
                <w:sz w:val="21"/>
                <w:szCs w:val="21"/>
                <w:highlight w:val="none"/>
              </w:rPr>
              <w:t>59.1</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143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76</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20:00</w:t>
            </w:r>
          </w:p>
        </w:tc>
        <w:tc>
          <w:tcPr>
            <w:tcW w:w="727" w:type="pct"/>
            <w:vAlign w:val="center"/>
          </w:tcPr>
          <w:p>
            <w:pPr>
              <w:pStyle w:val="119"/>
              <w:rPr>
                <w:sz w:val="21"/>
                <w:szCs w:val="21"/>
                <w:highlight w:val="none"/>
              </w:rPr>
            </w:pPr>
            <w:r>
              <w:rPr>
                <w:rFonts w:hint="eastAsia" w:eastAsia="仿宋"/>
                <w:sz w:val="21"/>
                <w:szCs w:val="21"/>
                <w:highlight w:val="none"/>
              </w:rPr>
              <w:t>58.5</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135</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72</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21:00</w:t>
            </w:r>
          </w:p>
        </w:tc>
        <w:tc>
          <w:tcPr>
            <w:tcW w:w="727" w:type="pct"/>
            <w:vAlign w:val="center"/>
          </w:tcPr>
          <w:p>
            <w:pPr>
              <w:pStyle w:val="119"/>
              <w:rPr>
                <w:sz w:val="21"/>
                <w:szCs w:val="21"/>
                <w:highlight w:val="none"/>
              </w:rPr>
            </w:pPr>
            <w:r>
              <w:rPr>
                <w:rFonts w:hint="eastAsia" w:eastAsia="仿宋"/>
                <w:sz w:val="21"/>
                <w:szCs w:val="21"/>
                <w:highlight w:val="none"/>
              </w:rPr>
              <w:t>58.3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131</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67</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22:00</w:t>
            </w:r>
          </w:p>
        </w:tc>
        <w:tc>
          <w:tcPr>
            <w:tcW w:w="727" w:type="pct"/>
            <w:vAlign w:val="center"/>
          </w:tcPr>
          <w:p>
            <w:pPr>
              <w:pStyle w:val="119"/>
              <w:rPr>
                <w:sz w:val="21"/>
                <w:szCs w:val="21"/>
                <w:highlight w:val="none"/>
              </w:rPr>
            </w:pPr>
            <w:r>
              <w:rPr>
                <w:rFonts w:hint="eastAsia" w:eastAsia="仿宋"/>
                <w:sz w:val="21"/>
                <w:szCs w:val="21"/>
                <w:highlight w:val="none"/>
              </w:rPr>
              <w:t>57.3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65</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23:00</w:t>
            </w:r>
          </w:p>
        </w:tc>
        <w:tc>
          <w:tcPr>
            <w:tcW w:w="727" w:type="pct"/>
            <w:vAlign w:val="center"/>
          </w:tcPr>
          <w:p>
            <w:pPr>
              <w:pStyle w:val="119"/>
              <w:rPr>
                <w:sz w:val="21"/>
                <w:szCs w:val="21"/>
                <w:highlight w:val="none"/>
              </w:rPr>
            </w:pPr>
            <w:r>
              <w:rPr>
                <w:rFonts w:hint="eastAsia" w:eastAsia="仿宋"/>
                <w:sz w:val="21"/>
                <w:szCs w:val="21"/>
                <w:highlight w:val="none"/>
              </w:rPr>
              <w:t>56.0</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58</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0:00</w:t>
            </w:r>
          </w:p>
        </w:tc>
        <w:tc>
          <w:tcPr>
            <w:tcW w:w="727" w:type="pct"/>
            <w:vAlign w:val="center"/>
          </w:tcPr>
          <w:p>
            <w:pPr>
              <w:pStyle w:val="119"/>
              <w:rPr>
                <w:sz w:val="21"/>
                <w:szCs w:val="21"/>
                <w:highlight w:val="none"/>
              </w:rPr>
            </w:pPr>
            <w:r>
              <w:rPr>
                <w:rFonts w:hint="eastAsia" w:eastAsia="仿宋"/>
                <w:bCs/>
                <w:sz w:val="21"/>
                <w:szCs w:val="21"/>
                <w:highlight w:val="none"/>
              </w:rPr>
              <w:t>55.8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116</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63</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1:00</w:t>
            </w:r>
          </w:p>
        </w:tc>
        <w:tc>
          <w:tcPr>
            <w:tcW w:w="727" w:type="pct"/>
            <w:vAlign w:val="center"/>
          </w:tcPr>
          <w:p>
            <w:pPr>
              <w:pStyle w:val="119"/>
              <w:rPr>
                <w:sz w:val="21"/>
                <w:szCs w:val="21"/>
                <w:highlight w:val="none"/>
              </w:rPr>
            </w:pPr>
            <w:r>
              <w:rPr>
                <w:rFonts w:hint="eastAsia" w:eastAsia="仿宋"/>
                <w:bCs/>
                <w:sz w:val="21"/>
                <w:szCs w:val="21"/>
                <w:highlight w:val="none"/>
              </w:rPr>
              <w:t>54.6</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60</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2:00</w:t>
            </w:r>
          </w:p>
        </w:tc>
        <w:tc>
          <w:tcPr>
            <w:tcW w:w="727" w:type="pct"/>
            <w:vAlign w:val="center"/>
          </w:tcPr>
          <w:p>
            <w:pPr>
              <w:pStyle w:val="119"/>
              <w:rPr>
                <w:sz w:val="21"/>
                <w:szCs w:val="21"/>
                <w:highlight w:val="none"/>
              </w:rPr>
            </w:pPr>
            <w:r>
              <w:rPr>
                <w:rFonts w:hint="eastAsia" w:eastAsia="仿宋"/>
                <w:bCs/>
                <w:sz w:val="21"/>
                <w:szCs w:val="21"/>
                <w:highlight w:val="none"/>
              </w:rPr>
              <w:t>54.4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56</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3:00</w:t>
            </w:r>
          </w:p>
        </w:tc>
        <w:tc>
          <w:tcPr>
            <w:tcW w:w="727" w:type="pct"/>
            <w:vAlign w:val="center"/>
          </w:tcPr>
          <w:p>
            <w:pPr>
              <w:pStyle w:val="119"/>
              <w:rPr>
                <w:sz w:val="21"/>
                <w:szCs w:val="21"/>
                <w:highlight w:val="none"/>
              </w:rPr>
            </w:pPr>
            <w:r>
              <w:rPr>
                <w:rFonts w:hint="eastAsia" w:eastAsia="仿宋"/>
                <w:bCs/>
                <w:sz w:val="21"/>
                <w:szCs w:val="21"/>
                <w:highlight w:val="none"/>
              </w:rPr>
              <w:t>54.8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55</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4:00</w:t>
            </w:r>
          </w:p>
        </w:tc>
        <w:tc>
          <w:tcPr>
            <w:tcW w:w="727" w:type="pct"/>
            <w:vAlign w:val="center"/>
          </w:tcPr>
          <w:p>
            <w:pPr>
              <w:pStyle w:val="119"/>
              <w:rPr>
                <w:sz w:val="21"/>
                <w:szCs w:val="21"/>
                <w:highlight w:val="none"/>
              </w:rPr>
            </w:pPr>
            <w:r>
              <w:rPr>
                <w:rFonts w:hint="eastAsia" w:eastAsia="仿宋"/>
                <w:bCs/>
                <w:sz w:val="21"/>
                <w:szCs w:val="21"/>
                <w:highlight w:val="none"/>
              </w:rPr>
              <w:t>54.9</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102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44</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5:00</w:t>
            </w:r>
          </w:p>
        </w:tc>
        <w:tc>
          <w:tcPr>
            <w:tcW w:w="727" w:type="pct"/>
            <w:vAlign w:val="center"/>
          </w:tcPr>
          <w:p>
            <w:pPr>
              <w:pStyle w:val="119"/>
              <w:rPr>
                <w:sz w:val="21"/>
                <w:szCs w:val="21"/>
                <w:highlight w:val="none"/>
              </w:rPr>
            </w:pPr>
            <w:r>
              <w:rPr>
                <w:rFonts w:hint="eastAsia" w:eastAsia="仿宋"/>
                <w:bCs/>
                <w:sz w:val="21"/>
                <w:szCs w:val="21"/>
                <w:highlight w:val="none"/>
              </w:rPr>
              <w:t>55.7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56</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6:00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58.3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65</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7:00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61.7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57</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8:00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62.9</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65</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9:00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61.4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136</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57</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10:00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61.3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60</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11:00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61.5</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56</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12:00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61.1</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63</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13:00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60.9</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55</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14:00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60.6</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116</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58</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15:00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60.9</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63</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16:00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61.6</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66</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17:00</w:t>
            </w:r>
          </w:p>
        </w:tc>
        <w:tc>
          <w:tcPr>
            <w:tcW w:w="727" w:type="pct"/>
            <w:vAlign w:val="center"/>
          </w:tcPr>
          <w:p>
            <w:pPr>
              <w:spacing w:line="240" w:lineRule="atLeast"/>
              <w:jc w:val="center"/>
              <w:rPr>
                <w:sz w:val="21"/>
                <w:szCs w:val="21"/>
                <w:highlight w:val="none"/>
              </w:rPr>
            </w:pPr>
            <w:r>
              <w:rPr>
                <w:rFonts w:hint="eastAsia" w:eastAsia="仿宋"/>
                <w:bCs/>
                <w:sz w:val="21"/>
                <w:szCs w:val="21"/>
                <w:highlight w:val="none"/>
              </w:rPr>
              <w:t>61.3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68</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restart"/>
            <w:vAlign w:val="center"/>
          </w:tcPr>
          <w:p>
            <w:pPr>
              <w:pStyle w:val="1132"/>
              <w:rPr>
                <w:rFonts w:hint="eastAsia" w:eastAsia="宋体"/>
                <w:sz w:val="21"/>
                <w:szCs w:val="21"/>
                <w:highlight w:val="none"/>
                <w:lang w:val="en-US" w:eastAsia="zh-CN"/>
              </w:rPr>
            </w:pPr>
            <w:r>
              <w:rPr>
                <w:rFonts w:hint="eastAsia"/>
                <w:sz w:val="21"/>
                <w:szCs w:val="21"/>
                <w:highlight w:val="none"/>
              </w:rPr>
              <w:t>N</w:t>
            </w:r>
            <w:r>
              <w:rPr>
                <w:sz w:val="21"/>
                <w:szCs w:val="21"/>
                <w:highlight w:val="none"/>
              </w:rPr>
              <w:t>1</w:t>
            </w:r>
            <w:r>
              <w:rPr>
                <w:rFonts w:hint="eastAsia"/>
                <w:sz w:val="21"/>
                <w:szCs w:val="21"/>
                <w:highlight w:val="none"/>
                <w:lang w:val="en-US" w:eastAsia="zh-CN"/>
              </w:rPr>
              <w:t>1</w:t>
            </w:r>
          </w:p>
        </w:tc>
        <w:tc>
          <w:tcPr>
            <w:tcW w:w="1051" w:type="pct"/>
            <w:vMerge w:val="restart"/>
            <w:vAlign w:val="center"/>
          </w:tcPr>
          <w:p>
            <w:pPr>
              <w:pStyle w:val="1132"/>
              <w:rPr>
                <w:sz w:val="21"/>
                <w:szCs w:val="21"/>
                <w:highlight w:val="none"/>
              </w:rPr>
            </w:pPr>
            <w:r>
              <w:rPr>
                <w:rFonts w:hint="eastAsia"/>
                <w:sz w:val="21"/>
                <w:szCs w:val="21"/>
                <w:highlight w:val="none"/>
              </w:rPr>
              <w:t>路肩处</w:t>
            </w:r>
          </w:p>
        </w:tc>
        <w:tc>
          <w:tcPr>
            <w:tcW w:w="724" w:type="pct"/>
            <w:vAlign w:val="center"/>
          </w:tcPr>
          <w:p>
            <w:pPr>
              <w:pStyle w:val="1132"/>
              <w:rPr>
                <w:sz w:val="21"/>
                <w:szCs w:val="21"/>
                <w:highlight w:val="none"/>
              </w:rPr>
            </w:pPr>
            <w:r>
              <w:rPr>
                <w:sz w:val="21"/>
                <w:szCs w:val="21"/>
                <w:highlight w:val="none"/>
              </w:rPr>
              <w:t>18:00</w:t>
            </w:r>
          </w:p>
        </w:tc>
        <w:tc>
          <w:tcPr>
            <w:tcW w:w="727" w:type="pct"/>
            <w:vAlign w:val="center"/>
          </w:tcPr>
          <w:p>
            <w:pPr>
              <w:pStyle w:val="119"/>
              <w:rPr>
                <w:rFonts w:hint="eastAsia" w:eastAsia="仿宋"/>
                <w:bCs/>
                <w:sz w:val="21"/>
                <w:szCs w:val="21"/>
                <w:highlight w:val="none"/>
              </w:rPr>
            </w:pPr>
            <w:r>
              <w:rPr>
                <w:rFonts w:hint="eastAsia" w:eastAsia="仿宋"/>
                <w:sz w:val="21"/>
                <w:szCs w:val="21"/>
              </w:rPr>
              <w:t>61.3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68</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19:00</w:t>
            </w:r>
          </w:p>
        </w:tc>
        <w:tc>
          <w:tcPr>
            <w:tcW w:w="727" w:type="pct"/>
            <w:vAlign w:val="center"/>
          </w:tcPr>
          <w:p>
            <w:pPr>
              <w:pStyle w:val="119"/>
              <w:rPr>
                <w:rFonts w:hint="eastAsia" w:eastAsia="仿宋"/>
                <w:bCs/>
                <w:sz w:val="21"/>
                <w:szCs w:val="21"/>
                <w:highlight w:val="none"/>
              </w:rPr>
            </w:pPr>
            <w:r>
              <w:rPr>
                <w:rFonts w:hint="eastAsia" w:eastAsia="仿宋"/>
                <w:sz w:val="21"/>
                <w:szCs w:val="21"/>
              </w:rPr>
              <w:t>60.3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135</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76</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20:00</w:t>
            </w:r>
          </w:p>
        </w:tc>
        <w:tc>
          <w:tcPr>
            <w:tcW w:w="727" w:type="pct"/>
            <w:vAlign w:val="center"/>
          </w:tcPr>
          <w:p>
            <w:pPr>
              <w:pStyle w:val="119"/>
              <w:rPr>
                <w:rFonts w:hint="eastAsia" w:eastAsia="仿宋"/>
                <w:bCs/>
                <w:sz w:val="21"/>
                <w:szCs w:val="21"/>
                <w:highlight w:val="none"/>
              </w:rPr>
            </w:pPr>
            <w:r>
              <w:rPr>
                <w:rFonts w:hint="eastAsia" w:eastAsia="仿宋"/>
                <w:sz w:val="21"/>
                <w:szCs w:val="21"/>
              </w:rPr>
              <w:t>59.2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125</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65</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21:00</w:t>
            </w:r>
          </w:p>
        </w:tc>
        <w:tc>
          <w:tcPr>
            <w:tcW w:w="727" w:type="pct"/>
            <w:vAlign w:val="center"/>
          </w:tcPr>
          <w:p>
            <w:pPr>
              <w:pStyle w:val="119"/>
              <w:rPr>
                <w:rFonts w:hint="eastAsia" w:eastAsia="仿宋"/>
                <w:bCs/>
                <w:sz w:val="21"/>
                <w:szCs w:val="21"/>
                <w:highlight w:val="none"/>
              </w:rPr>
            </w:pPr>
            <w:r>
              <w:rPr>
                <w:rFonts w:hint="eastAsia" w:eastAsia="仿宋"/>
                <w:sz w:val="21"/>
                <w:szCs w:val="21"/>
              </w:rPr>
              <w:t>59.4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63</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22:00</w:t>
            </w:r>
          </w:p>
        </w:tc>
        <w:tc>
          <w:tcPr>
            <w:tcW w:w="727" w:type="pct"/>
            <w:vAlign w:val="center"/>
          </w:tcPr>
          <w:p>
            <w:pPr>
              <w:pStyle w:val="119"/>
              <w:rPr>
                <w:rFonts w:hint="eastAsia" w:eastAsia="仿宋"/>
                <w:bCs/>
                <w:sz w:val="21"/>
                <w:szCs w:val="21"/>
                <w:highlight w:val="none"/>
              </w:rPr>
            </w:pPr>
            <w:r>
              <w:rPr>
                <w:rFonts w:hint="eastAsia" w:eastAsia="仿宋"/>
                <w:sz w:val="21"/>
                <w:szCs w:val="21"/>
              </w:rPr>
              <w:t>58.7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54</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23:00</w:t>
            </w:r>
          </w:p>
        </w:tc>
        <w:tc>
          <w:tcPr>
            <w:tcW w:w="727" w:type="pct"/>
            <w:vAlign w:val="center"/>
          </w:tcPr>
          <w:p>
            <w:pPr>
              <w:pStyle w:val="119"/>
              <w:rPr>
                <w:rFonts w:hint="eastAsia" w:eastAsia="仿宋"/>
                <w:bCs/>
                <w:sz w:val="21"/>
                <w:szCs w:val="21"/>
                <w:highlight w:val="none"/>
              </w:rPr>
            </w:pPr>
            <w:r>
              <w:rPr>
                <w:rFonts w:hint="eastAsia" w:eastAsia="仿宋"/>
                <w:sz w:val="21"/>
                <w:szCs w:val="21"/>
              </w:rPr>
              <w:t>57.3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47</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0:00</w:t>
            </w:r>
          </w:p>
        </w:tc>
        <w:tc>
          <w:tcPr>
            <w:tcW w:w="727" w:type="pct"/>
            <w:vAlign w:val="center"/>
          </w:tcPr>
          <w:p>
            <w:pPr>
              <w:pStyle w:val="119"/>
              <w:rPr>
                <w:rFonts w:hint="eastAsia" w:eastAsia="仿宋"/>
                <w:bCs/>
                <w:sz w:val="21"/>
                <w:szCs w:val="21"/>
                <w:highlight w:val="none"/>
              </w:rPr>
            </w:pPr>
            <w:r>
              <w:rPr>
                <w:rFonts w:hint="eastAsia" w:eastAsia="仿宋"/>
                <w:bCs/>
                <w:sz w:val="21"/>
                <w:szCs w:val="21"/>
              </w:rPr>
              <w:t>57.5</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45</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1:00</w:t>
            </w:r>
          </w:p>
        </w:tc>
        <w:tc>
          <w:tcPr>
            <w:tcW w:w="727" w:type="pct"/>
            <w:vAlign w:val="center"/>
          </w:tcPr>
          <w:p>
            <w:pPr>
              <w:pStyle w:val="119"/>
              <w:rPr>
                <w:rFonts w:hint="eastAsia" w:eastAsia="仿宋"/>
                <w:bCs/>
                <w:sz w:val="21"/>
                <w:szCs w:val="21"/>
                <w:highlight w:val="none"/>
              </w:rPr>
            </w:pPr>
            <w:r>
              <w:rPr>
                <w:rFonts w:hint="eastAsia" w:eastAsia="仿宋"/>
                <w:bCs/>
                <w:sz w:val="21"/>
                <w:szCs w:val="21"/>
              </w:rPr>
              <w:t>56.7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107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43</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2:00</w:t>
            </w:r>
          </w:p>
        </w:tc>
        <w:tc>
          <w:tcPr>
            <w:tcW w:w="727" w:type="pct"/>
            <w:vAlign w:val="center"/>
          </w:tcPr>
          <w:p>
            <w:pPr>
              <w:pStyle w:val="119"/>
              <w:rPr>
                <w:rFonts w:hint="eastAsia" w:eastAsia="仿宋"/>
                <w:bCs/>
                <w:sz w:val="21"/>
                <w:szCs w:val="21"/>
                <w:highlight w:val="none"/>
              </w:rPr>
            </w:pPr>
            <w:r>
              <w:rPr>
                <w:rFonts w:hint="eastAsia" w:eastAsia="仿宋"/>
                <w:bCs/>
                <w:sz w:val="21"/>
                <w:szCs w:val="21"/>
              </w:rPr>
              <w:t>55.8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108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32</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3:00</w:t>
            </w:r>
          </w:p>
        </w:tc>
        <w:tc>
          <w:tcPr>
            <w:tcW w:w="727" w:type="pct"/>
            <w:vAlign w:val="center"/>
          </w:tcPr>
          <w:p>
            <w:pPr>
              <w:pStyle w:val="119"/>
              <w:rPr>
                <w:rFonts w:hint="eastAsia" w:eastAsia="仿宋"/>
                <w:bCs/>
                <w:sz w:val="21"/>
                <w:szCs w:val="21"/>
                <w:highlight w:val="none"/>
              </w:rPr>
            </w:pPr>
            <w:r>
              <w:rPr>
                <w:rFonts w:hint="eastAsia" w:eastAsia="仿宋"/>
                <w:bCs/>
                <w:sz w:val="21"/>
                <w:szCs w:val="21"/>
              </w:rPr>
              <w:t>56.3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102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21</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4:00</w:t>
            </w:r>
          </w:p>
        </w:tc>
        <w:tc>
          <w:tcPr>
            <w:tcW w:w="727" w:type="pct"/>
            <w:vAlign w:val="center"/>
          </w:tcPr>
          <w:p>
            <w:pPr>
              <w:pStyle w:val="119"/>
              <w:rPr>
                <w:rFonts w:hint="eastAsia" w:eastAsia="仿宋"/>
                <w:bCs/>
                <w:sz w:val="21"/>
                <w:szCs w:val="21"/>
                <w:highlight w:val="none"/>
              </w:rPr>
            </w:pPr>
            <w:r>
              <w:rPr>
                <w:rFonts w:hint="eastAsia" w:eastAsia="仿宋"/>
                <w:bCs/>
                <w:sz w:val="21"/>
                <w:szCs w:val="21"/>
              </w:rPr>
              <w:t>56.4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108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14</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5:00</w:t>
            </w:r>
          </w:p>
        </w:tc>
        <w:tc>
          <w:tcPr>
            <w:tcW w:w="727" w:type="pct"/>
            <w:vAlign w:val="center"/>
          </w:tcPr>
          <w:p>
            <w:pPr>
              <w:pStyle w:val="119"/>
              <w:rPr>
                <w:rFonts w:hint="eastAsia" w:eastAsia="仿宋"/>
                <w:bCs/>
                <w:sz w:val="21"/>
                <w:szCs w:val="21"/>
                <w:highlight w:val="none"/>
              </w:rPr>
            </w:pPr>
            <w:r>
              <w:rPr>
                <w:rFonts w:hint="eastAsia" w:eastAsia="仿宋"/>
                <w:bCs/>
                <w:sz w:val="21"/>
                <w:szCs w:val="21"/>
              </w:rPr>
              <w:t>57.9</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116</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6:00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60.2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121</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56</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7:00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62.3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65</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8:00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62.1</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143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66</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9:00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61.2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154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67</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10:00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61.5</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143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55</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11:00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61.7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65</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12:00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61.2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57</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13:00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60.6</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131</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54</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14:00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60.6</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128</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65</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15:00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61.0</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123</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66</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16:00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61.4</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127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68</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Merge w:val="continue"/>
            <w:vAlign w:val="center"/>
          </w:tcPr>
          <w:p>
            <w:pPr>
              <w:pStyle w:val="1132"/>
              <w:rPr>
                <w:sz w:val="21"/>
                <w:szCs w:val="21"/>
                <w:highlight w:val="none"/>
              </w:rPr>
            </w:pPr>
          </w:p>
        </w:tc>
        <w:tc>
          <w:tcPr>
            <w:tcW w:w="1051" w:type="pct"/>
            <w:vMerge w:val="continue"/>
            <w:vAlign w:val="center"/>
          </w:tcPr>
          <w:p>
            <w:pPr>
              <w:pStyle w:val="1132"/>
              <w:rPr>
                <w:sz w:val="21"/>
                <w:szCs w:val="21"/>
                <w:highlight w:val="none"/>
              </w:rPr>
            </w:pPr>
          </w:p>
        </w:tc>
        <w:tc>
          <w:tcPr>
            <w:tcW w:w="724" w:type="pct"/>
            <w:vAlign w:val="center"/>
          </w:tcPr>
          <w:p>
            <w:pPr>
              <w:pStyle w:val="1132"/>
              <w:rPr>
                <w:sz w:val="21"/>
                <w:szCs w:val="21"/>
                <w:highlight w:val="none"/>
              </w:rPr>
            </w:pPr>
            <w:r>
              <w:rPr>
                <w:sz w:val="21"/>
                <w:szCs w:val="21"/>
                <w:highlight w:val="none"/>
              </w:rPr>
              <w:t>17:00</w:t>
            </w:r>
          </w:p>
        </w:tc>
        <w:tc>
          <w:tcPr>
            <w:tcW w:w="727" w:type="pct"/>
            <w:vAlign w:val="center"/>
          </w:tcPr>
          <w:p>
            <w:pPr>
              <w:spacing w:line="240" w:lineRule="atLeast"/>
              <w:jc w:val="center"/>
              <w:rPr>
                <w:rFonts w:hint="eastAsia" w:eastAsia="仿宋"/>
                <w:bCs/>
                <w:sz w:val="21"/>
                <w:szCs w:val="21"/>
                <w:highlight w:val="none"/>
              </w:rPr>
            </w:pPr>
            <w:r>
              <w:rPr>
                <w:rFonts w:hint="eastAsia" w:eastAsia="仿宋"/>
                <w:bCs/>
                <w:sz w:val="21"/>
                <w:szCs w:val="21"/>
              </w:rPr>
              <w:t>61.7</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132</w:t>
            </w:r>
          </w:p>
        </w:tc>
        <w:tc>
          <w:tcPr>
            <w:tcW w:w="633"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76</w:t>
            </w:r>
          </w:p>
        </w:tc>
        <w:tc>
          <w:tcPr>
            <w:tcW w:w="644" w:type="pct"/>
            <w:vAlign w:val="center"/>
          </w:tcPr>
          <w:p>
            <w:pPr>
              <w:pStyle w:val="1132"/>
              <w:rPr>
                <w:rFonts w:hint="eastAsia" w:ascii="Times New Roman" w:hAnsi="Times New Roman" w:eastAsia="宋体" w:cs="Times New Roman"/>
                <w:color w:val="auto"/>
              </w:rPr>
            </w:pPr>
            <w:r>
              <w:rPr>
                <w:rFonts w:hint="eastAsia" w:ascii="Times New Roman" w:hAnsi="Times New Roman" w:eastAsia="宋体" w:cs="Times New Roman"/>
                <w:color w:val="auto"/>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84" w:type="pct"/>
            <w:vAlign w:val="center"/>
          </w:tcPr>
          <w:p>
            <w:pPr>
              <w:pStyle w:val="1132"/>
              <w:rPr>
                <w:sz w:val="21"/>
                <w:szCs w:val="21"/>
                <w:highlight w:val="none"/>
              </w:rPr>
            </w:pPr>
            <w:r>
              <w:rPr>
                <w:sz w:val="21"/>
                <w:szCs w:val="21"/>
                <w:highlight w:val="none"/>
              </w:rPr>
              <w:t>备注</w:t>
            </w:r>
          </w:p>
        </w:tc>
        <w:tc>
          <w:tcPr>
            <w:tcW w:w="4415" w:type="pct"/>
            <w:gridSpan w:val="6"/>
            <w:vAlign w:val="center"/>
          </w:tcPr>
          <w:p>
            <w:pPr>
              <w:pStyle w:val="1132"/>
              <w:jc w:val="left"/>
              <w:rPr>
                <w:rFonts w:ascii="Times New Roman" w:hAnsi="Times New Roman" w:eastAsia="宋体" w:cs="Times New Roman"/>
                <w:color w:val="auto"/>
              </w:rPr>
            </w:pPr>
            <w:r>
              <w:rPr>
                <w:rFonts w:hint="eastAsia"/>
                <w:sz w:val="21"/>
                <w:szCs w:val="21"/>
                <w:highlight w:val="none"/>
              </w:rPr>
              <w:t>气象参数：</w:t>
            </w:r>
            <w:r>
              <w:rPr>
                <w:rFonts w:ascii="Times New Roman" w:hAnsi="Times New Roman" w:eastAsia="宋体" w:cs="Times New Roman"/>
                <w:color w:val="auto"/>
              </w:rPr>
              <w:t>202</w:t>
            </w:r>
            <w:r>
              <w:rPr>
                <w:rFonts w:hint="eastAsia" w:ascii="Times New Roman" w:hAnsi="Times New Roman" w:eastAsia="宋体" w:cs="Times New Roman"/>
                <w:color w:val="auto"/>
              </w:rPr>
              <w:t>2</w:t>
            </w:r>
            <w:r>
              <w:rPr>
                <w:rFonts w:ascii="Times New Roman" w:hAnsi="Times New Roman" w:eastAsia="宋体" w:cs="Times New Roman"/>
                <w:color w:val="auto"/>
              </w:rPr>
              <w:t>.</w:t>
            </w:r>
            <w:r>
              <w:rPr>
                <w:rFonts w:hint="eastAsia" w:ascii="Times New Roman" w:hAnsi="Times New Roman" w:eastAsia="宋体" w:cs="Times New Roman"/>
                <w:color w:val="auto"/>
              </w:rPr>
              <w:t>10</w:t>
            </w:r>
            <w:r>
              <w:rPr>
                <w:rFonts w:ascii="Times New Roman" w:hAnsi="Times New Roman" w:eastAsia="宋体" w:cs="Times New Roman"/>
                <w:color w:val="auto"/>
              </w:rPr>
              <w:t>.</w:t>
            </w:r>
            <w:r>
              <w:rPr>
                <w:rFonts w:hint="eastAsia" w:ascii="Times New Roman" w:hAnsi="Times New Roman" w:eastAsia="宋体" w:cs="Times New Roman"/>
                <w:color w:val="auto"/>
              </w:rPr>
              <w:t>13</w:t>
            </w:r>
            <w:r>
              <w:rPr>
                <w:rFonts w:ascii="Times New Roman" w:hAnsi="Times New Roman" w:eastAsia="宋体" w:cs="Times New Roman"/>
                <w:color w:val="auto"/>
              </w:rPr>
              <w:t>：天气：</w:t>
            </w:r>
            <w:r>
              <w:rPr>
                <w:rFonts w:hint="eastAsia" w:ascii="Times New Roman" w:hAnsi="Times New Roman" w:eastAsia="宋体" w:cs="Times New Roman"/>
                <w:color w:val="auto"/>
              </w:rPr>
              <w:t>阴</w:t>
            </w:r>
            <w:r>
              <w:rPr>
                <w:rFonts w:ascii="Times New Roman" w:hAnsi="Times New Roman" w:eastAsia="宋体" w:cs="Times New Roman"/>
                <w:color w:val="auto"/>
              </w:rPr>
              <w:t>，风向</w:t>
            </w:r>
            <w:r>
              <w:rPr>
                <w:rFonts w:hint="eastAsia" w:ascii="Times New Roman" w:hAnsi="Times New Roman" w:eastAsia="宋体" w:cs="Times New Roman"/>
                <w:color w:val="auto"/>
              </w:rPr>
              <w:t>：北</w:t>
            </w:r>
            <w:r>
              <w:rPr>
                <w:rFonts w:ascii="Times New Roman" w:hAnsi="Times New Roman" w:eastAsia="宋体" w:cs="Times New Roman"/>
                <w:color w:val="auto"/>
              </w:rPr>
              <w:t>风</w:t>
            </w:r>
            <w:r>
              <w:rPr>
                <w:rFonts w:hint="eastAsia" w:ascii="Times New Roman" w:hAnsi="Times New Roman" w:eastAsia="宋体" w:cs="Times New Roman"/>
                <w:color w:val="auto"/>
              </w:rPr>
              <w:t>，</w:t>
            </w:r>
            <w:r>
              <w:rPr>
                <w:rFonts w:ascii="Times New Roman" w:hAnsi="Times New Roman" w:eastAsia="宋体" w:cs="Times New Roman"/>
                <w:color w:val="auto"/>
              </w:rPr>
              <w:t>风速：</w:t>
            </w:r>
            <w:r>
              <w:rPr>
                <w:rFonts w:hint="eastAsia" w:ascii="Times New Roman" w:hAnsi="Times New Roman" w:eastAsia="宋体" w:cs="Times New Roman"/>
                <w:color w:val="auto"/>
              </w:rPr>
              <w:t>2.1</w:t>
            </w:r>
            <w:r>
              <w:rPr>
                <w:rFonts w:ascii="Times New Roman" w:hAnsi="Times New Roman" w:eastAsia="宋体" w:cs="Times New Roman"/>
                <w:color w:val="auto"/>
              </w:rPr>
              <w:t>m/s；</w:t>
            </w:r>
          </w:p>
          <w:p>
            <w:pPr>
              <w:pStyle w:val="1132"/>
              <w:jc w:val="both"/>
              <w:rPr>
                <w:sz w:val="21"/>
                <w:szCs w:val="21"/>
                <w:highlight w:val="none"/>
              </w:rPr>
            </w:pPr>
            <w:r>
              <w:rPr>
                <w:rFonts w:ascii="Times New Roman" w:hAnsi="Times New Roman" w:eastAsia="宋体" w:cs="Times New Roman"/>
                <w:color w:val="auto"/>
              </w:rPr>
              <w:t xml:space="preserve">        </w:t>
            </w:r>
            <w:r>
              <w:rPr>
                <w:rFonts w:hint="eastAsia" w:ascii="Times New Roman" w:hAnsi="Times New Roman" w:eastAsia="宋体" w:cs="Times New Roman"/>
                <w:color w:val="auto"/>
                <w:lang w:val="en-US" w:eastAsia="zh-CN"/>
              </w:rPr>
              <w:t xml:space="preserve">          </w:t>
            </w:r>
            <w:r>
              <w:rPr>
                <w:rFonts w:ascii="Times New Roman" w:hAnsi="Times New Roman" w:eastAsia="宋体" w:cs="Times New Roman"/>
                <w:color w:val="auto"/>
              </w:rPr>
              <w:t xml:space="preserve">  202</w:t>
            </w:r>
            <w:r>
              <w:rPr>
                <w:rFonts w:hint="eastAsia" w:ascii="Times New Roman" w:hAnsi="Times New Roman" w:eastAsia="宋体" w:cs="Times New Roman"/>
                <w:color w:val="auto"/>
              </w:rPr>
              <w:t>2</w:t>
            </w:r>
            <w:r>
              <w:rPr>
                <w:rFonts w:ascii="Times New Roman" w:hAnsi="Times New Roman" w:eastAsia="宋体" w:cs="Times New Roman"/>
                <w:color w:val="auto"/>
              </w:rPr>
              <w:t>.</w:t>
            </w:r>
            <w:r>
              <w:rPr>
                <w:rFonts w:hint="eastAsia" w:ascii="Times New Roman" w:hAnsi="Times New Roman" w:eastAsia="宋体" w:cs="Times New Roman"/>
                <w:color w:val="auto"/>
              </w:rPr>
              <w:t>10</w:t>
            </w:r>
            <w:r>
              <w:rPr>
                <w:rFonts w:ascii="Times New Roman" w:hAnsi="Times New Roman" w:eastAsia="宋体" w:cs="Times New Roman"/>
                <w:color w:val="auto"/>
              </w:rPr>
              <w:t>.</w:t>
            </w:r>
            <w:r>
              <w:rPr>
                <w:rFonts w:hint="eastAsia" w:ascii="Times New Roman" w:hAnsi="Times New Roman" w:eastAsia="宋体" w:cs="Times New Roman"/>
                <w:color w:val="auto"/>
              </w:rPr>
              <w:t>14</w:t>
            </w:r>
            <w:r>
              <w:rPr>
                <w:rFonts w:ascii="Times New Roman" w:hAnsi="Times New Roman" w:eastAsia="宋体" w:cs="Times New Roman"/>
                <w:color w:val="auto"/>
              </w:rPr>
              <w:t>：天气：</w:t>
            </w:r>
            <w:r>
              <w:rPr>
                <w:rFonts w:hint="eastAsia" w:ascii="Times New Roman" w:hAnsi="Times New Roman" w:eastAsia="宋体" w:cs="Times New Roman"/>
                <w:color w:val="auto"/>
              </w:rPr>
              <w:t>多云</w:t>
            </w:r>
            <w:r>
              <w:rPr>
                <w:rFonts w:ascii="Times New Roman" w:hAnsi="Times New Roman" w:eastAsia="宋体" w:cs="Times New Roman"/>
                <w:color w:val="auto"/>
              </w:rPr>
              <w:t>，风向：</w:t>
            </w:r>
            <w:r>
              <w:rPr>
                <w:rFonts w:hint="eastAsia" w:ascii="Times New Roman" w:hAnsi="Times New Roman" w:eastAsia="宋体" w:cs="Times New Roman"/>
                <w:color w:val="auto"/>
              </w:rPr>
              <w:t>东北</w:t>
            </w:r>
            <w:r>
              <w:rPr>
                <w:rFonts w:ascii="Times New Roman" w:hAnsi="Times New Roman" w:eastAsia="宋体" w:cs="Times New Roman"/>
                <w:color w:val="auto"/>
              </w:rPr>
              <w:t>风，风速：</w:t>
            </w:r>
            <w:r>
              <w:rPr>
                <w:rFonts w:hint="eastAsia" w:ascii="Times New Roman" w:hAnsi="Times New Roman" w:eastAsia="宋体" w:cs="Times New Roman"/>
                <w:color w:val="auto"/>
              </w:rPr>
              <w:t>1.4</w:t>
            </w:r>
            <w:r>
              <w:rPr>
                <w:rFonts w:ascii="Times New Roman" w:hAnsi="Times New Roman" w:eastAsia="宋体" w:cs="Times New Roman"/>
                <w:color w:val="auto"/>
              </w:rPr>
              <w:t>m/s。</w:t>
            </w:r>
          </w:p>
        </w:tc>
      </w:tr>
    </w:tbl>
    <w:p>
      <w:pPr>
        <w:pStyle w:val="8"/>
        <w:rPr>
          <w:b/>
          <w:bCs/>
        </w:rPr>
      </w:pPr>
      <w:bookmarkStart w:id="281" w:name="_Toc1055"/>
      <w:r>
        <w:rPr>
          <w:b/>
          <w:bCs/>
        </w:rPr>
        <w:t>现状评价</w:t>
      </w:r>
      <w:bookmarkEnd w:id="281"/>
    </w:p>
    <w:p>
      <w:pPr>
        <w:pStyle w:val="9"/>
      </w:pPr>
      <w:bookmarkStart w:id="282" w:name="_Toc30804"/>
      <w:r>
        <w:rPr>
          <w:rFonts w:hint="eastAsia"/>
        </w:rPr>
        <w:t>评价标准</w:t>
      </w:r>
      <w:bookmarkEnd w:id="282"/>
    </w:p>
    <w:p>
      <w:pPr>
        <w:pStyle w:val="10"/>
        <w:ind w:firstLine="480"/>
      </w:pPr>
      <w:r>
        <w:t>项目区域</w:t>
      </w:r>
      <w:r>
        <w:rPr>
          <w:rFonts w:hint="eastAsia"/>
          <w:lang w:val="en-US" w:eastAsia="zh-CN"/>
        </w:rPr>
        <w:t>内既有</w:t>
      </w:r>
      <w:r>
        <w:t>道路两侧35m范围内噪声执行《声环境质量标准》（GB3096-2008）中4a类标准，其他区域执行2类标准。标准值见</w:t>
      </w:r>
      <w:r>
        <w:rPr>
          <w:rFonts w:hint="eastAsia"/>
        </w:rPr>
        <w:t>下</w:t>
      </w:r>
      <w:r>
        <w:t>表。</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5</w:t>
      </w:r>
      <w:r>
        <w:fldChar w:fldCharType="end"/>
      </w:r>
      <w:r>
        <w:t>声环境质量标准</w:t>
      </w:r>
    </w:p>
    <w:tbl>
      <w:tblPr>
        <w:tblStyle w:val="4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6"/>
        <w:gridCol w:w="2214"/>
        <w:gridCol w:w="2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7" w:type="pct"/>
            <w:vMerge w:val="restart"/>
            <w:vAlign w:val="center"/>
          </w:tcPr>
          <w:p>
            <w:pPr>
              <w:pStyle w:val="1132"/>
            </w:pPr>
            <w:r>
              <w:t>执行标准类别</w:t>
            </w:r>
          </w:p>
        </w:tc>
        <w:tc>
          <w:tcPr>
            <w:tcW w:w="2702" w:type="pct"/>
            <w:gridSpan w:val="2"/>
            <w:vAlign w:val="center"/>
          </w:tcPr>
          <w:p>
            <w:pPr>
              <w:pStyle w:val="1132"/>
            </w:pPr>
            <w:r>
              <w:t>标准值[dB(A)]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7" w:type="pct"/>
            <w:vMerge w:val="continue"/>
            <w:vAlign w:val="center"/>
          </w:tcPr>
          <w:p>
            <w:pPr>
              <w:pStyle w:val="1132"/>
            </w:pPr>
          </w:p>
        </w:tc>
        <w:tc>
          <w:tcPr>
            <w:tcW w:w="1192" w:type="pct"/>
            <w:vAlign w:val="center"/>
          </w:tcPr>
          <w:p>
            <w:pPr>
              <w:pStyle w:val="1132"/>
            </w:pPr>
            <w:r>
              <w:t>昼间</w:t>
            </w:r>
          </w:p>
        </w:tc>
        <w:tc>
          <w:tcPr>
            <w:tcW w:w="1509" w:type="pct"/>
            <w:vAlign w:val="center"/>
          </w:tcPr>
          <w:p>
            <w:pPr>
              <w:pStyle w:val="1132"/>
            </w:pPr>
            <w: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7" w:type="pct"/>
            <w:vAlign w:val="center"/>
          </w:tcPr>
          <w:p>
            <w:pPr>
              <w:pStyle w:val="1132"/>
            </w:pPr>
            <w:r>
              <w:t>GB3096-2008中2类标准</w:t>
            </w:r>
          </w:p>
        </w:tc>
        <w:tc>
          <w:tcPr>
            <w:tcW w:w="1192" w:type="pct"/>
            <w:vAlign w:val="center"/>
          </w:tcPr>
          <w:p>
            <w:pPr>
              <w:pStyle w:val="1132"/>
            </w:pPr>
            <w:r>
              <w:t>60</w:t>
            </w:r>
          </w:p>
        </w:tc>
        <w:tc>
          <w:tcPr>
            <w:tcW w:w="1509" w:type="pct"/>
            <w:vAlign w:val="center"/>
          </w:tcPr>
          <w:p>
            <w:pPr>
              <w:pStyle w:val="1132"/>
            </w:pPr>
            <w: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97" w:type="pct"/>
            <w:vAlign w:val="center"/>
          </w:tcPr>
          <w:p>
            <w:pPr>
              <w:pStyle w:val="1132"/>
            </w:pPr>
            <w:r>
              <w:t>GB3096-2008中4a类标准</w:t>
            </w:r>
          </w:p>
        </w:tc>
        <w:tc>
          <w:tcPr>
            <w:tcW w:w="1192" w:type="pct"/>
            <w:vAlign w:val="center"/>
          </w:tcPr>
          <w:p>
            <w:pPr>
              <w:pStyle w:val="1132"/>
            </w:pPr>
            <w:r>
              <w:t>70</w:t>
            </w:r>
          </w:p>
        </w:tc>
        <w:tc>
          <w:tcPr>
            <w:tcW w:w="1509" w:type="pct"/>
            <w:vAlign w:val="center"/>
          </w:tcPr>
          <w:p>
            <w:pPr>
              <w:pStyle w:val="1132"/>
            </w:pPr>
            <w:r>
              <w:t>55</w:t>
            </w:r>
          </w:p>
        </w:tc>
      </w:tr>
    </w:tbl>
    <w:p>
      <w:pPr>
        <w:pStyle w:val="10"/>
        <w:ind w:left="0" w:leftChars="0" w:firstLine="0" w:firstLineChars="0"/>
        <w:outlineLvl w:val="3"/>
        <w:rPr>
          <w:rFonts w:hint="default" w:eastAsia="宋体"/>
          <w:b/>
          <w:bCs/>
          <w:lang w:val="en-US" w:eastAsia="zh-CN"/>
        </w:rPr>
      </w:pPr>
      <w:bookmarkStart w:id="283" w:name="_Toc4457"/>
      <w:r>
        <w:rPr>
          <w:rFonts w:hint="eastAsia"/>
          <w:b/>
          <w:bCs/>
          <w:lang w:val="en-US" w:eastAsia="zh-CN"/>
        </w:rPr>
        <w:t>4.4.2.2 评价结果</w:t>
      </w:r>
      <w:bookmarkEnd w:id="283"/>
    </w:p>
    <w:p>
      <w:pPr>
        <w:pStyle w:val="10"/>
        <w:ind w:firstLine="480"/>
      </w:pPr>
      <w:r>
        <w:t>根据监测结果，位于4a类噪声功能区敏感点均满足《声环境质量标准》（GB3096-2008）中4a类标准，位于2类噪声功能区敏感点均满足《声环境质量标准》（GB3096-2008）中2类标准。</w:t>
      </w:r>
    </w:p>
    <w:p>
      <w:pPr>
        <w:pStyle w:val="7"/>
        <w:bidi w:val="0"/>
        <w:rPr>
          <w:rFonts w:hint="default" w:ascii="Times New Roman" w:hAnsi="Times New Roman" w:cs="Times New Roman"/>
          <w:b/>
          <w:bCs/>
          <w:sz w:val="28"/>
          <w:szCs w:val="28"/>
        </w:rPr>
      </w:pPr>
      <w:bookmarkStart w:id="284" w:name="_Toc29279"/>
      <w:bookmarkStart w:id="285" w:name="_Toc398908082"/>
      <w:bookmarkStart w:id="286" w:name="_Toc24702"/>
      <w:bookmarkStart w:id="287" w:name="_Toc30497"/>
      <w:bookmarkStart w:id="288" w:name="_Toc25131"/>
      <w:bookmarkStart w:id="289" w:name="_Toc480875996"/>
      <w:bookmarkStart w:id="290" w:name="_Toc26816"/>
      <w:bookmarkStart w:id="291" w:name="_Toc20620"/>
      <w:bookmarkStart w:id="292" w:name="_Toc10056"/>
      <w:bookmarkStart w:id="293" w:name="_Toc26380"/>
      <w:bookmarkStart w:id="294" w:name="_Toc6993"/>
      <w:bookmarkStart w:id="295" w:name="_Toc1974"/>
      <w:bookmarkStart w:id="296" w:name="_Toc26716"/>
      <w:bookmarkStart w:id="297" w:name="_Toc20529"/>
      <w:bookmarkStart w:id="298" w:name="_Toc16694"/>
      <w:r>
        <w:rPr>
          <w:rFonts w:hint="default" w:ascii="Times New Roman" w:hAnsi="Times New Roman" w:cs="Times New Roman"/>
          <w:b/>
          <w:bCs/>
          <w:sz w:val="28"/>
          <w:szCs w:val="28"/>
        </w:rPr>
        <w:t xml:space="preserve"> </w:t>
      </w:r>
      <w:bookmarkStart w:id="299" w:name="_Toc27000"/>
      <w:bookmarkStart w:id="300" w:name="_Toc2081"/>
      <w:r>
        <w:rPr>
          <w:rFonts w:hint="default" w:ascii="Times New Roman" w:hAnsi="Times New Roman" w:cs="Times New Roman"/>
          <w:b/>
          <w:bCs/>
          <w:sz w:val="28"/>
          <w:szCs w:val="28"/>
        </w:rPr>
        <w:t>生态环境现状调查与评价</w:t>
      </w:r>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p>
    <w:p>
      <w:pPr>
        <w:pStyle w:val="8"/>
        <w:ind w:firstLineChars="0"/>
        <w:rPr>
          <w:rFonts w:hint="default" w:ascii="Times New Roman" w:hAnsi="Times New Roman" w:cs="Times New Roman"/>
          <w:b/>
          <w:bCs/>
        </w:rPr>
      </w:pPr>
      <w:bookmarkStart w:id="301" w:name="_Toc467654805"/>
      <w:bookmarkStart w:id="302" w:name="_Toc10773"/>
      <w:r>
        <w:rPr>
          <w:rFonts w:hint="default" w:ascii="Times New Roman" w:hAnsi="Times New Roman" w:cs="Times New Roman"/>
          <w:b/>
          <w:bCs/>
        </w:rPr>
        <w:t>生态</w:t>
      </w:r>
      <w:bookmarkEnd w:id="301"/>
      <w:r>
        <w:rPr>
          <w:rFonts w:hint="default" w:ascii="Times New Roman" w:hAnsi="Times New Roman" w:cs="Times New Roman"/>
          <w:b/>
          <w:bCs/>
        </w:rPr>
        <w:t>现状调查与评价方法</w:t>
      </w:r>
      <w:bookmarkEnd w:id="302"/>
    </w:p>
    <w:p>
      <w:pPr>
        <w:pStyle w:val="9"/>
        <w:bidi w:val="0"/>
        <w:rPr>
          <w:rFonts w:hint="default" w:ascii="Times New Roman" w:hAnsi="Times New Roman" w:cs="Times New Roman"/>
        </w:rPr>
      </w:pPr>
      <w:bookmarkStart w:id="303" w:name="_Toc13779"/>
      <w:r>
        <w:rPr>
          <w:rFonts w:hint="default" w:ascii="Times New Roman" w:hAnsi="Times New Roman" w:cs="Times New Roman"/>
        </w:rPr>
        <w:t>调查范围</w:t>
      </w:r>
      <w:bookmarkEnd w:id="303"/>
    </w:p>
    <w:p>
      <w:pPr>
        <w:tabs>
          <w:tab w:val="left" w:pos="1251"/>
        </w:tabs>
        <w:ind w:firstLine="480"/>
        <w:jc w:val="left"/>
        <w:rPr>
          <w:rFonts w:hint="default" w:ascii="Times New Roman" w:hAnsi="Times New Roman" w:cs="Times New Roman"/>
        </w:rPr>
      </w:pPr>
      <w:r>
        <w:rPr>
          <w:rFonts w:hint="default" w:ascii="Times New Roman" w:hAnsi="Times New Roman" w:cs="Times New Roman"/>
        </w:rPr>
        <w:t>根据《环境影响评价技术导则</w:t>
      </w:r>
      <w:r>
        <w:rPr>
          <w:rFonts w:hint="eastAsia" w:cs="Times New Roman"/>
          <w:lang w:val="en-US" w:eastAsia="zh-CN"/>
        </w:rPr>
        <w:t xml:space="preserve"> </w:t>
      </w:r>
      <w:r>
        <w:rPr>
          <w:rFonts w:hint="default" w:ascii="Times New Roman" w:hAnsi="Times New Roman" w:cs="Times New Roman"/>
        </w:rPr>
        <w:t>生态影响》（HJ19-20</w:t>
      </w:r>
      <w:r>
        <w:rPr>
          <w:rFonts w:hint="eastAsia" w:cs="Times New Roman"/>
          <w:lang w:val="en-US" w:eastAsia="zh-CN"/>
        </w:rPr>
        <w:t>22</w:t>
      </w:r>
      <w:r>
        <w:rPr>
          <w:rFonts w:hint="default" w:ascii="Times New Roman" w:hAnsi="Times New Roman" w:cs="Times New Roman"/>
        </w:rPr>
        <w:t>），生态</w:t>
      </w:r>
      <w:r>
        <w:rPr>
          <w:rFonts w:hint="eastAsia" w:cs="Times New Roman"/>
          <w:lang w:val="en-US" w:eastAsia="zh-CN"/>
        </w:rPr>
        <w:t>影响</w:t>
      </w:r>
      <w:r>
        <w:rPr>
          <w:rFonts w:hint="default" w:ascii="Times New Roman" w:hAnsi="Times New Roman" w:cs="Times New Roman"/>
        </w:rPr>
        <w:t>评价应能够充分体现生态完整性</w:t>
      </w:r>
      <w:r>
        <w:rPr>
          <w:rFonts w:hint="eastAsia" w:cs="Times New Roman"/>
          <w:lang w:val="en-US" w:eastAsia="zh-CN"/>
        </w:rPr>
        <w:t>和生物多样性保护要求</w:t>
      </w:r>
      <w:r>
        <w:rPr>
          <w:rFonts w:hint="default" w:ascii="Times New Roman" w:hAnsi="Times New Roman" w:cs="Times New Roman"/>
        </w:rPr>
        <w:t>，涵盖评价项目全部活动的直接影响区域和间接影响区域。</w:t>
      </w:r>
    </w:p>
    <w:p>
      <w:pPr>
        <w:pStyle w:val="10"/>
        <w:ind w:left="0" w:leftChars="0" w:firstLine="480" w:firstLineChars="200"/>
        <w:rPr>
          <w:rFonts w:hint="eastAsia" w:cs="Times New Roman"/>
          <w:vertAlign w:val="baseline"/>
          <w:lang w:eastAsia="zh-CN"/>
        </w:rPr>
      </w:pPr>
      <w:r>
        <w:rPr>
          <w:rFonts w:hint="default" w:ascii="Times New Roman" w:hAnsi="Times New Roman" w:cs="Times New Roman"/>
        </w:rPr>
        <w:t>根据项目特点，</w:t>
      </w:r>
      <w:r>
        <w:rPr>
          <w:rFonts w:hint="eastAsia" w:cs="Times New Roman"/>
          <w:lang w:val="en-US" w:eastAsia="zh-CN"/>
        </w:rPr>
        <w:t>生态环境以</w:t>
      </w:r>
      <w:r>
        <w:rPr>
          <w:rFonts w:hint="default" w:ascii="Times New Roman" w:hAnsi="Times New Roman" w:cs="Times New Roman"/>
        </w:rPr>
        <w:t>拟建公路</w:t>
      </w:r>
      <w:r>
        <w:rPr>
          <w:rFonts w:hint="eastAsia" w:cs="Times New Roman"/>
          <w:lang w:val="en-US" w:eastAsia="zh-CN"/>
        </w:rPr>
        <w:t>中心线</w:t>
      </w:r>
      <w:r>
        <w:rPr>
          <w:rFonts w:hint="default" w:ascii="Times New Roman" w:hAnsi="Times New Roman" w:cs="Times New Roman"/>
        </w:rPr>
        <w:t>向</w:t>
      </w:r>
      <w:r>
        <w:rPr>
          <w:rFonts w:hint="eastAsia" w:cs="Times New Roman"/>
          <w:lang w:val="en-US" w:eastAsia="zh-CN"/>
        </w:rPr>
        <w:t>两侧</w:t>
      </w:r>
      <w:r>
        <w:rPr>
          <w:rFonts w:hint="default" w:ascii="Times New Roman" w:hAnsi="Times New Roman" w:cs="Times New Roman"/>
        </w:rPr>
        <w:t>外延</w:t>
      </w:r>
      <w:r>
        <w:rPr>
          <w:rFonts w:hint="eastAsia" w:cs="Times New Roman"/>
          <w:lang w:val="en-US" w:eastAsia="zh-CN"/>
        </w:rPr>
        <w:t>3</w:t>
      </w:r>
      <w:r>
        <w:rPr>
          <w:rFonts w:hint="default" w:ascii="Times New Roman" w:hAnsi="Times New Roman" w:cs="Times New Roman"/>
        </w:rPr>
        <w:t>00m范围</w:t>
      </w:r>
      <w:r>
        <w:rPr>
          <w:rFonts w:hint="eastAsia" w:cs="Times New Roman"/>
          <w:lang w:val="en-US" w:eastAsia="zh-CN"/>
        </w:rPr>
        <w:t>为参考评价范围</w:t>
      </w:r>
      <w:r>
        <w:rPr>
          <w:rFonts w:hint="default" w:ascii="Times New Roman" w:hAnsi="Times New Roman" w:cs="Times New Roman"/>
        </w:rPr>
        <w:t>，以及各临时工程用地范围，总面积约</w:t>
      </w:r>
      <w:r>
        <w:rPr>
          <w:rFonts w:hint="eastAsia" w:cs="Times New Roman"/>
          <w:lang w:val="en-US" w:eastAsia="zh-CN"/>
        </w:rPr>
        <w:t>4.79</w:t>
      </w:r>
      <w:r>
        <w:rPr>
          <w:rFonts w:hint="default" w:ascii="Times New Roman" w:hAnsi="Times New Roman" w:cs="Times New Roman"/>
        </w:rPr>
        <w:t>km</w:t>
      </w:r>
      <w:r>
        <w:rPr>
          <w:rFonts w:hint="default" w:ascii="Times New Roman" w:hAnsi="Times New Roman" w:cs="Times New Roman"/>
          <w:vertAlign w:val="superscript"/>
        </w:rPr>
        <w:t>2</w:t>
      </w:r>
      <w:r>
        <w:rPr>
          <w:rFonts w:hint="eastAsia" w:cs="Times New Roman"/>
          <w:vertAlign w:val="baseline"/>
          <w:lang w:eastAsia="zh-CN"/>
        </w:rPr>
        <w:t>。</w:t>
      </w:r>
    </w:p>
    <w:p>
      <w:pPr>
        <w:pStyle w:val="9"/>
        <w:bidi w:val="0"/>
        <w:rPr>
          <w:rFonts w:hint="default" w:ascii="Times New Roman" w:hAnsi="Times New Roman" w:cs="Times New Roman"/>
        </w:rPr>
      </w:pPr>
      <w:bookmarkStart w:id="304" w:name="_Toc29197"/>
      <w:r>
        <w:rPr>
          <w:rFonts w:hint="default" w:ascii="Times New Roman" w:hAnsi="Times New Roman" w:cs="Times New Roman"/>
        </w:rPr>
        <w:t>调查方法</w:t>
      </w:r>
      <w:bookmarkEnd w:id="304"/>
    </w:p>
    <w:p>
      <w:pPr>
        <w:bidi w:val="0"/>
        <w:ind w:firstLine="480" w:firstLineChars="200"/>
        <w:rPr>
          <w:rFonts w:hint="default" w:ascii="Times New Roman" w:hAnsi="Times New Roman" w:eastAsia="宋体" w:cs="Times New Roman"/>
          <w:lang w:val="en-US" w:eastAsia="zh-CN"/>
        </w:rPr>
      </w:pPr>
      <w:r>
        <w:rPr>
          <w:rFonts w:hint="default" w:ascii="Times New Roman" w:hAnsi="Times New Roman" w:cs="Times New Roman"/>
        </w:rPr>
        <w:t>（1）</w:t>
      </w:r>
      <w:r>
        <w:rPr>
          <w:rFonts w:hint="eastAsia" w:cs="Times New Roman"/>
          <w:lang w:val="en-US" w:eastAsia="zh-CN"/>
        </w:rPr>
        <w:t>资料收集法</w:t>
      </w:r>
    </w:p>
    <w:p>
      <w:pPr>
        <w:bidi w:val="0"/>
        <w:ind w:firstLine="480" w:firstLineChars="200"/>
        <w:rPr>
          <w:rFonts w:hint="default" w:ascii="Times New Roman" w:hAnsi="Times New Roman" w:cs="Times New Roman"/>
        </w:rPr>
      </w:pPr>
      <w:r>
        <w:rPr>
          <w:rFonts w:hint="default" w:ascii="Times New Roman" w:hAnsi="Times New Roman" w:cs="Times New Roman"/>
        </w:rPr>
        <w:t>收集整理评价范围及邻近地区内现有的能反映生态现状或生态本底的资料，在综合分析现有资料的基础上，确定实地考察的重点区域及考察路线。</w:t>
      </w:r>
    </w:p>
    <w:p>
      <w:pPr>
        <w:bidi w:val="0"/>
        <w:ind w:firstLine="480" w:firstLineChars="200"/>
        <w:rPr>
          <w:rFonts w:hint="eastAsia" w:ascii="Times New Roman" w:hAnsi="Times New Roman" w:eastAsia="宋体" w:cs="Times New Roman"/>
          <w:lang w:eastAsia="zh-CN"/>
        </w:rPr>
      </w:pPr>
      <w:r>
        <w:rPr>
          <w:rFonts w:hint="default" w:ascii="Times New Roman" w:hAnsi="Times New Roman" w:cs="Times New Roman"/>
        </w:rPr>
        <w:t>（2）</w:t>
      </w:r>
      <w:r>
        <w:rPr>
          <w:rFonts w:hint="eastAsia" w:cs="Times New Roman"/>
          <w:lang w:val="en-US" w:eastAsia="zh-CN"/>
        </w:rPr>
        <w:t>现场调查法</w:t>
      </w:r>
    </w:p>
    <w:p>
      <w:pPr>
        <w:bidi w:val="0"/>
        <w:ind w:firstLine="480" w:firstLineChars="200"/>
        <w:rPr>
          <w:rFonts w:hint="default" w:ascii="Times New Roman" w:hAnsi="Times New Roman" w:cs="Times New Roman"/>
        </w:rPr>
      </w:pPr>
      <w:r>
        <w:rPr>
          <w:rFonts w:hint="default" w:ascii="Times New Roman" w:hAnsi="Times New Roman" w:cs="Times New Roman"/>
        </w:rPr>
        <w:t>本项目</w:t>
      </w:r>
      <w:r>
        <w:rPr>
          <w:rFonts w:hint="default" w:ascii="Times New Roman" w:hAnsi="Times New Roman" w:cs="Times New Roman"/>
          <w:lang w:val="en-US" w:eastAsia="zh-CN"/>
        </w:rPr>
        <w:t>位于</w:t>
      </w:r>
      <w:r>
        <w:rPr>
          <w:rFonts w:hint="eastAsia" w:cs="Times New Roman"/>
          <w:lang w:val="en-US" w:eastAsia="zh-CN"/>
        </w:rPr>
        <w:t>蚌埠市</w:t>
      </w:r>
      <w:r>
        <w:rPr>
          <w:rFonts w:hint="default" w:ascii="Times New Roman" w:hAnsi="Times New Roman" w:cs="Times New Roman"/>
          <w:lang w:val="en-US" w:eastAsia="zh-CN"/>
        </w:rPr>
        <w:t>市</w:t>
      </w:r>
      <w:r>
        <w:rPr>
          <w:rFonts w:hint="eastAsia" w:cs="Times New Roman"/>
          <w:lang w:val="en-US" w:eastAsia="zh-CN"/>
        </w:rPr>
        <w:t>怀远</w:t>
      </w:r>
      <w:r>
        <w:rPr>
          <w:rFonts w:hint="default" w:ascii="Times New Roman" w:hAnsi="Times New Roman" w:cs="Times New Roman"/>
          <w:lang w:val="en-US" w:eastAsia="zh-CN"/>
        </w:rPr>
        <w:t>县境</w:t>
      </w:r>
      <w:r>
        <w:rPr>
          <w:rFonts w:hint="default" w:ascii="Times New Roman" w:hAnsi="Times New Roman" w:cs="Times New Roman"/>
        </w:rPr>
        <w:t>内，根据工程规划，结合自然环境特点，对评价区陆生生态进行详细的实地考察。</w:t>
      </w:r>
    </w:p>
    <w:p>
      <w:pPr>
        <w:pStyle w:val="10"/>
        <w:ind w:left="0" w:leftChars="0" w:firstLine="480" w:firstLineChars="200"/>
        <w:rPr>
          <w:rFonts w:hint="eastAsia" w:ascii="Times New Roman" w:hAnsi="Times New Roman" w:eastAsia="宋体" w:cs="Times New Roman"/>
          <w:lang w:eastAsia="zh-CN"/>
        </w:rPr>
      </w:pPr>
      <w:r>
        <w:rPr>
          <w:rFonts w:hint="default" w:ascii="Times New Roman" w:hAnsi="Times New Roman" w:cs="Times New Roman"/>
        </w:rPr>
        <w:t>陆生植物主要针对典型的植物群落、植物种类进行调查，陆生动物采用调查走访和野外调查相结合的方法，在评价区内通过走访居民等了解本区动物分布现状，并结合动物踪迹判断评价区动物种类。鸟类主要调查走访，调查评价区内的鸟类种类和数量，水生生物主要应用走访集贸市场、询问当地村民和查阅相关资料等方法</w:t>
      </w:r>
      <w:r>
        <w:rPr>
          <w:rFonts w:hint="eastAsia" w:cs="Times New Roman"/>
          <w:lang w:eastAsia="zh-CN"/>
        </w:rPr>
        <w:t>。</w:t>
      </w:r>
    </w:p>
    <w:p>
      <w:pPr>
        <w:pStyle w:val="8"/>
        <w:ind w:firstLineChars="0"/>
        <w:rPr>
          <w:rFonts w:hint="default" w:ascii="Times New Roman" w:hAnsi="Times New Roman" w:eastAsia="宋体" w:cs="Times New Roman"/>
          <w:b/>
          <w:bCs/>
          <w:lang w:val="en-US" w:eastAsia="zh-CN"/>
        </w:rPr>
      </w:pPr>
      <w:bookmarkStart w:id="305" w:name="_Toc1653"/>
      <w:r>
        <w:rPr>
          <w:rFonts w:hint="default" w:ascii="Times New Roman" w:hAnsi="Times New Roman" w:cs="Times New Roman"/>
          <w:b/>
          <w:bCs/>
        </w:rPr>
        <w:t>生态</w:t>
      </w:r>
      <w:r>
        <w:rPr>
          <w:rFonts w:hint="default" w:ascii="Times New Roman" w:hAnsi="Times New Roman" w:cs="Times New Roman"/>
          <w:b/>
          <w:bCs/>
          <w:lang w:val="en-US" w:eastAsia="zh-CN"/>
        </w:rPr>
        <w:t>系统类型</w:t>
      </w:r>
      <w:bookmarkEnd w:id="305"/>
    </w:p>
    <w:p>
      <w:pPr>
        <w:ind w:firstLine="480" w:firstLineChars="200"/>
        <w:rPr>
          <w:rFonts w:hint="default" w:ascii="Times New Roman" w:hAnsi="Times New Roman" w:cs="Times New Roman"/>
        </w:rPr>
      </w:pPr>
      <w:r>
        <w:rPr>
          <w:rFonts w:hint="default" w:ascii="Times New Roman" w:hAnsi="Times New Roman" w:cs="Times New Roman"/>
        </w:rPr>
        <w:t>根据现场调查，评价区内生态系统由下列组分组成：</w:t>
      </w:r>
    </w:p>
    <w:p>
      <w:pPr>
        <w:ind w:firstLine="480" w:firstLineChars="200"/>
        <w:rPr>
          <w:rFonts w:hint="default" w:ascii="Times New Roman" w:hAnsi="Times New Roman" w:cs="Times New Roman"/>
        </w:rPr>
      </w:pPr>
      <w:r>
        <w:rPr>
          <w:rFonts w:hint="default" w:ascii="Times New Roman" w:hAnsi="Times New Roman" w:cs="Times New Roman"/>
        </w:rPr>
        <w:t>（1）农田生态系统：在评价区内广泛分布，连通度极高，对本区环境质量具有重要的动态控制功能，农作物以</w:t>
      </w:r>
      <w:r>
        <w:rPr>
          <w:rFonts w:hint="default" w:ascii="Times New Roman" w:hAnsi="Times New Roman" w:cs="Times New Roman"/>
          <w:lang w:val="en-US" w:eastAsia="zh-CN"/>
        </w:rPr>
        <w:t>小麦、</w:t>
      </w:r>
      <w:r>
        <w:rPr>
          <w:rFonts w:hint="eastAsia" w:cs="Times New Roman"/>
          <w:lang w:val="en-US" w:eastAsia="zh-CN"/>
        </w:rPr>
        <w:t>玉米</w:t>
      </w:r>
      <w:r>
        <w:rPr>
          <w:rFonts w:hint="default" w:ascii="Times New Roman" w:hAnsi="Times New Roman" w:cs="Times New Roman"/>
        </w:rPr>
        <w:t>为主。</w:t>
      </w:r>
    </w:p>
    <w:p>
      <w:pPr>
        <w:ind w:firstLine="480" w:firstLineChars="200"/>
        <w:rPr>
          <w:rFonts w:hint="default" w:ascii="Times New Roman" w:hAnsi="Times New Roman" w:cs="Times New Roman"/>
        </w:rPr>
      </w:pPr>
      <w:r>
        <w:rPr>
          <w:rFonts w:hint="default" w:ascii="Times New Roman" w:hAnsi="Times New Roman" w:cs="Times New Roman"/>
        </w:rPr>
        <w:t>（2）河流生态系统：评价区内河流主要为</w:t>
      </w:r>
      <w:r>
        <w:rPr>
          <w:rFonts w:hint="eastAsia" w:cs="Times New Roman"/>
          <w:lang w:val="en-US" w:eastAsia="zh-CN"/>
        </w:rPr>
        <w:t>清沟河</w:t>
      </w:r>
      <w:r>
        <w:rPr>
          <w:rFonts w:hint="default" w:ascii="Times New Roman" w:hAnsi="Times New Roman" w:cs="Times New Roman"/>
        </w:rPr>
        <w:t>等，主要功能为农业灌溉。</w:t>
      </w:r>
    </w:p>
    <w:p>
      <w:pPr>
        <w:ind w:firstLine="480" w:firstLineChars="200"/>
        <w:rPr>
          <w:rFonts w:hint="default" w:ascii="Times New Roman" w:hAnsi="Times New Roman" w:cs="Times New Roman"/>
        </w:rPr>
      </w:pPr>
      <w:r>
        <w:rPr>
          <w:rFonts w:hint="default" w:ascii="Times New Roman" w:hAnsi="Times New Roman" w:cs="Times New Roman"/>
        </w:rPr>
        <w:t>（3）林地生态系统：零散分布于居民区周围，以人工林，果园和田间林带为主。</w:t>
      </w:r>
    </w:p>
    <w:p>
      <w:pPr>
        <w:ind w:firstLine="480" w:firstLineChars="200"/>
        <w:rPr>
          <w:rFonts w:hint="default" w:ascii="Times New Roman" w:hAnsi="Times New Roman" w:cs="Times New Roman"/>
        </w:rPr>
      </w:pPr>
      <w:r>
        <w:rPr>
          <w:rFonts w:hint="default" w:ascii="Times New Roman" w:hAnsi="Times New Roman" w:cs="Times New Roman"/>
        </w:rPr>
        <w:t>（4）村庄、城镇人工生态系统：是受人类干扰的景观中最为显著的成分，分布也比较密集，是人造的拼块类型，具有低的自然生产能力。</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6"/>
        <w:gridCol w:w="6"/>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266" w:type="dxa"/>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drawing>
                <wp:inline distT="0" distB="0" distL="114300" distR="114300">
                  <wp:extent cx="2552065" cy="1837690"/>
                  <wp:effectExtent l="0" t="0" r="8255" b="6350"/>
                  <wp:docPr id="5" name="图片 5" descr="5c4c7a039c2c8572f441d24e8b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c4c7a039c2c8572f441d24e8b12321"/>
                          <pic:cNvPicPr>
                            <a:picLocks noChangeAspect="1"/>
                          </pic:cNvPicPr>
                        </pic:nvPicPr>
                        <pic:blipFill>
                          <a:blip r:embed="rId84"/>
                          <a:stretch>
                            <a:fillRect/>
                          </a:stretch>
                        </pic:blipFill>
                        <pic:spPr>
                          <a:xfrm>
                            <a:off x="0" y="0"/>
                            <a:ext cx="2552065" cy="1837690"/>
                          </a:xfrm>
                          <a:prstGeom prst="rect">
                            <a:avLst/>
                          </a:prstGeom>
                        </pic:spPr>
                      </pic:pic>
                    </a:graphicData>
                  </a:graphic>
                </wp:inline>
              </w:drawing>
            </w:r>
          </w:p>
        </w:tc>
        <w:tc>
          <w:tcPr>
            <w:tcW w:w="4267" w:type="dxa"/>
            <w:gridSpan w:val="2"/>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drawing>
                <wp:inline distT="0" distB="0" distL="114300" distR="114300">
                  <wp:extent cx="2507615" cy="1880870"/>
                  <wp:effectExtent l="0" t="0" r="6985" b="8890"/>
                  <wp:docPr id="7" name="图片 7" descr="0f0df6004950d454f68c2c452940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f0df6004950d454f68c2c452940859"/>
                          <pic:cNvPicPr>
                            <a:picLocks noChangeAspect="1"/>
                          </pic:cNvPicPr>
                        </pic:nvPicPr>
                        <pic:blipFill>
                          <a:blip r:embed="rId85"/>
                          <a:stretch>
                            <a:fillRect/>
                          </a:stretch>
                        </pic:blipFill>
                        <pic:spPr>
                          <a:xfrm>
                            <a:off x="0" y="0"/>
                            <a:ext cx="2507615" cy="18808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266" w:type="dxa"/>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河流生态系统</w:t>
            </w:r>
          </w:p>
        </w:tc>
        <w:tc>
          <w:tcPr>
            <w:tcW w:w="4267" w:type="dxa"/>
            <w:gridSpan w:val="2"/>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农田生态系统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6" w:type="dxa"/>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drawing>
                <wp:inline distT="0" distB="0" distL="114300" distR="114300">
                  <wp:extent cx="2010410" cy="2311400"/>
                  <wp:effectExtent l="0" t="0" r="5080" b="1270"/>
                  <wp:docPr id="10" name="图片 10" descr="7be287fa5032f979816c1f08e611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be287fa5032f979816c1f08e6111b0"/>
                          <pic:cNvPicPr>
                            <a:picLocks noChangeAspect="1"/>
                          </pic:cNvPicPr>
                        </pic:nvPicPr>
                        <pic:blipFill>
                          <a:blip r:embed="rId86"/>
                          <a:stretch>
                            <a:fillRect/>
                          </a:stretch>
                        </pic:blipFill>
                        <pic:spPr>
                          <a:xfrm rot="5400000">
                            <a:off x="0" y="0"/>
                            <a:ext cx="2010410" cy="2311400"/>
                          </a:xfrm>
                          <a:prstGeom prst="rect">
                            <a:avLst/>
                          </a:prstGeom>
                        </pic:spPr>
                      </pic:pic>
                    </a:graphicData>
                  </a:graphic>
                </wp:inline>
              </w:drawing>
            </w:r>
          </w:p>
        </w:tc>
        <w:tc>
          <w:tcPr>
            <w:tcW w:w="4267" w:type="dxa"/>
            <w:gridSpan w:val="2"/>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drawing>
                <wp:inline distT="0" distB="0" distL="114300" distR="114300">
                  <wp:extent cx="2560320" cy="1920240"/>
                  <wp:effectExtent l="0" t="0" r="0" b="0"/>
                  <wp:docPr id="12" name="图片 12" descr="54dfe37600802a8fe355c292b248c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4dfe37600802a8fe355c292b248c25"/>
                          <pic:cNvPicPr>
                            <a:picLocks noChangeAspect="1"/>
                          </pic:cNvPicPr>
                        </pic:nvPicPr>
                        <pic:blipFill>
                          <a:blip r:embed="rId87"/>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2" w:type="dxa"/>
            <w:gridSpan w:val="2"/>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林地</w:t>
            </w:r>
            <w:r>
              <w:rPr>
                <w:rFonts w:hint="default" w:cs="Times New Roman"/>
                <w:sz w:val="21"/>
                <w:szCs w:val="21"/>
                <w:lang w:val="en-US" w:eastAsia="zh-CN"/>
              </w:rPr>
              <w:t>生态系统</w:t>
            </w:r>
          </w:p>
        </w:tc>
        <w:tc>
          <w:tcPr>
            <w:tcW w:w="4261" w:type="dxa"/>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z w:val="21"/>
                <w:szCs w:val="21"/>
                <w:lang w:val="en-US" w:eastAsia="zh-CN"/>
              </w:rPr>
            </w:pPr>
            <w:r>
              <w:rPr>
                <w:rFonts w:hint="default" w:cs="Times New Roman"/>
                <w:sz w:val="21"/>
                <w:szCs w:val="21"/>
                <w:lang w:val="en-US" w:eastAsia="zh-CN"/>
              </w:rPr>
              <w:t>村庄人工生态系统</w:t>
            </w:r>
          </w:p>
        </w:tc>
      </w:tr>
    </w:tbl>
    <w:p>
      <w:pPr>
        <w:widowControl/>
        <w:spacing w:line="240" w:lineRule="auto"/>
        <w:jc w:val="center"/>
        <w:rPr>
          <w:rFonts w:hint="default" w:ascii="Times New Roman" w:hAnsi="Times New Roman" w:cs="Times New Roman"/>
          <w:b/>
          <w:bCs/>
        </w:rPr>
      </w:pPr>
      <w:r>
        <w:rPr>
          <w:rFonts w:hint="default" w:ascii="Times New Roman" w:hAnsi="Times New Roman" w:cs="Times New Roman"/>
          <w:b/>
          <w:bCs/>
        </w:rPr>
        <w:t>图</w:t>
      </w:r>
      <w:r>
        <w:rPr>
          <w:rFonts w:hint="eastAsia" w:cs="Times New Roman"/>
          <w:b/>
          <w:bCs/>
          <w:lang w:val="en-US" w:eastAsia="zh-CN"/>
        </w:rPr>
        <w:t>4</w:t>
      </w:r>
      <w:r>
        <w:rPr>
          <w:rFonts w:hint="default" w:ascii="Times New Roman" w:hAnsi="Times New Roman" w:cs="Times New Roman"/>
          <w:b/>
          <w:bCs/>
        </w:rPr>
        <w:t>.5-1  评价区生态系统组成</w:t>
      </w:r>
    </w:p>
    <w:p>
      <w:pPr>
        <w:pStyle w:val="8"/>
        <w:bidi w:val="0"/>
        <w:rPr>
          <w:rFonts w:hint="default" w:ascii="Times New Roman" w:hAnsi="Times New Roman" w:cs="Times New Roman"/>
          <w:b/>
          <w:bCs/>
        </w:rPr>
      </w:pPr>
      <w:r>
        <w:rPr>
          <w:rFonts w:hint="default" w:ascii="Times New Roman" w:hAnsi="Times New Roman" w:cs="Times New Roman"/>
          <w:b/>
          <w:bCs/>
        </w:rPr>
        <w:t xml:space="preserve"> </w:t>
      </w:r>
      <w:bookmarkStart w:id="306" w:name="_Toc30632"/>
      <w:r>
        <w:rPr>
          <w:rFonts w:hint="default" w:ascii="Times New Roman" w:hAnsi="Times New Roman" w:cs="Times New Roman"/>
          <w:b/>
          <w:bCs/>
        </w:rPr>
        <w:t>生态环境现状</w:t>
      </w:r>
      <w:bookmarkEnd w:id="306"/>
    </w:p>
    <w:p>
      <w:pPr>
        <w:pStyle w:val="9"/>
        <w:bidi w:val="0"/>
        <w:rPr>
          <w:rFonts w:hint="default" w:ascii="Times New Roman" w:hAnsi="Times New Roman" w:cs="Times New Roman"/>
          <w:b/>
          <w:bCs/>
        </w:rPr>
      </w:pPr>
      <w:bookmarkStart w:id="307" w:name="_Toc15291"/>
      <w:r>
        <w:rPr>
          <w:rFonts w:hint="default" w:ascii="Times New Roman" w:hAnsi="Times New Roman" w:cs="Times New Roman"/>
          <w:b/>
          <w:bCs/>
        </w:rPr>
        <w:t>植被</w:t>
      </w:r>
      <w:bookmarkEnd w:id="307"/>
    </w:p>
    <w:p>
      <w:pPr>
        <w:pStyle w:val="112"/>
        <w:keepNext w:val="0"/>
        <w:keepLines w:val="0"/>
        <w:pageBreakBefore w:val="0"/>
        <w:widowControl/>
        <w:kinsoku/>
        <w:wordWrap/>
        <w:overflowPunct/>
        <w:topLinePunct w:val="0"/>
        <w:autoSpaceDE/>
        <w:autoSpaceDN/>
        <w:bidi w:val="0"/>
        <w:adjustRightInd w:val="0"/>
        <w:snapToGrid w:val="0"/>
        <w:spacing w:before="0" w:after="0"/>
        <w:ind w:firstLine="480"/>
        <w:textAlignment w:val="auto"/>
      </w:pPr>
      <w:r>
        <w:rPr>
          <w:rFonts w:hint="eastAsia" w:cs="Times New Roman"/>
          <w:lang w:val="en-US" w:eastAsia="zh-CN"/>
        </w:rPr>
        <w:t>评价区位于蚌埠市怀远县境内，区内农耕历史悠久，长期的农业生产活动已使典型的原生植被荡然无存，取而代之的是次生植被和人工植被，沿线植被以农田、人工及次生林为主，农田生境为主要的植被生境类型，主要为种植农作物。</w:t>
      </w:r>
      <w:r>
        <w:rPr>
          <w:rFonts w:hint="eastAsia" w:cs="Times New Roman"/>
          <w:lang w:val="en-US" w:eastAsia="zh-CN"/>
        </w:rPr>
        <w:br w:type="textWrapping"/>
      </w:r>
      <w:r>
        <w:rPr>
          <w:rFonts w:hint="eastAsia" w:cs="Times New Roman"/>
          <w:lang w:val="en-US" w:eastAsia="zh-CN"/>
        </w:rPr>
        <w:t xml:space="preserve">        </w:t>
      </w:r>
      <w:r>
        <w:t>（1）农田生境：主作物为小麦</w:t>
      </w:r>
      <w:r>
        <w:rPr>
          <w:rFonts w:hint="eastAsia"/>
          <w:lang w:eastAsia="zh-CN"/>
        </w:rPr>
        <w:t>（</w:t>
      </w:r>
      <w:r>
        <w:t>T</w:t>
      </w:r>
      <w:r>
        <w:rPr>
          <w:i/>
        </w:rPr>
        <w:t>riticum aestivum</w:t>
      </w:r>
      <w:r>
        <w:rPr>
          <w:rFonts w:hint="eastAsia"/>
          <w:lang w:eastAsia="zh-CN"/>
        </w:rPr>
        <w:t>）</w:t>
      </w:r>
      <w:r>
        <w:rPr>
          <w:i/>
        </w:rPr>
        <w:t xml:space="preserve"> </w:t>
      </w:r>
      <w:r>
        <w:t>、</w:t>
      </w:r>
      <w:r>
        <w:rPr>
          <w:rFonts w:hint="eastAsia"/>
          <w:lang w:val="en-US" w:eastAsia="zh-CN"/>
        </w:rPr>
        <w:t>玉米（</w:t>
      </w:r>
      <w:r>
        <w:rPr>
          <w:rFonts w:hint="eastAsia"/>
          <w:i/>
          <w:lang w:val="en-US" w:eastAsia="zh-CN"/>
        </w:rPr>
        <w:t>Zea mays</w:t>
      </w:r>
      <w:r>
        <w:rPr>
          <w:rFonts w:hint="eastAsia"/>
          <w:lang w:val="en-US" w:eastAsia="zh-CN"/>
        </w:rPr>
        <w:t>）、大豆（</w:t>
      </w:r>
      <w:r>
        <w:rPr>
          <w:rFonts w:hint="eastAsia"/>
          <w:i/>
          <w:iCs/>
          <w:lang w:val="en-US" w:eastAsia="zh-CN"/>
        </w:rPr>
        <w:t>Glycine max</w:t>
      </w:r>
      <w:r>
        <w:rPr>
          <w:rFonts w:hint="eastAsia"/>
          <w:lang w:val="en-US" w:eastAsia="zh-CN"/>
        </w:rPr>
        <w:t>）、油菜（</w:t>
      </w:r>
      <w:r>
        <w:rPr>
          <w:rFonts w:hint="eastAsia"/>
          <w:i/>
          <w:iCs/>
          <w:lang w:val="en-US" w:eastAsia="zh-CN"/>
        </w:rPr>
        <w:t>Brassica napus L.</w:t>
      </w:r>
      <w:r>
        <w:rPr>
          <w:rFonts w:hint="eastAsia"/>
          <w:lang w:val="en-US" w:eastAsia="zh-CN"/>
        </w:rPr>
        <w:t>）、红</w:t>
      </w:r>
      <w:r>
        <w:t>薯</w:t>
      </w:r>
      <w:r>
        <w:rPr>
          <w:rFonts w:hint="eastAsia"/>
          <w:lang w:eastAsia="zh-CN"/>
        </w:rPr>
        <w:t>（</w:t>
      </w:r>
      <w:r>
        <w:rPr>
          <w:i/>
        </w:rPr>
        <w:t>Ipomoea batatas</w:t>
      </w:r>
      <w:r>
        <w:rPr>
          <w:rFonts w:hint="eastAsia"/>
          <w:lang w:eastAsia="zh-CN"/>
        </w:rPr>
        <w:t>）</w:t>
      </w:r>
      <w:r>
        <w:t>等</w:t>
      </w:r>
      <w:r>
        <w:rPr>
          <w:rFonts w:hint="eastAsia"/>
          <w:lang w:val="en-US" w:eastAsia="zh-CN"/>
        </w:rPr>
        <w:t>粮食和经济作物及各种蔬菜</w:t>
      </w:r>
      <w:r>
        <w:t>。</w:t>
      </w:r>
    </w:p>
    <w:p>
      <w:pPr>
        <w:pStyle w:val="112"/>
        <w:keepNext w:val="0"/>
        <w:keepLines w:val="0"/>
        <w:pageBreakBefore w:val="0"/>
        <w:widowControl/>
        <w:numPr>
          <w:ilvl w:val="0"/>
          <w:numId w:val="12"/>
        </w:numPr>
        <w:kinsoku/>
        <w:wordWrap/>
        <w:overflowPunct/>
        <w:topLinePunct w:val="0"/>
        <w:autoSpaceDE/>
        <w:autoSpaceDN/>
        <w:bidi w:val="0"/>
        <w:adjustRightInd w:val="0"/>
        <w:snapToGrid w:val="0"/>
        <w:spacing w:before="0" w:after="0"/>
        <w:ind w:firstLine="480"/>
        <w:textAlignment w:val="auto"/>
      </w:pPr>
      <w:r>
        <w:rPr>
          <w:rFonts w:hint="eastAsia"/>
          <w:lang w:val="en-US" w:eastAsia="zh-CN"/>
        </w:rPr>
        <w:t>草丛植被</w:t>
      </w:r>
      <w:r>
        <w:t>：</w:t>
      </w:r>
      <w:r>
        <w:rPr>
          <w:rFonts w:hint="eastAsia"/>
          <w:lang w:val="en-US" w:eastAsia="zh-CN"/>
        </w:rPr>
        <w:t>草丛植被是比较常见的植被类型，主要分布在田埂、路旁和空旷地，主要优势种为禾本科、莎草科的白茅（</w:t>
      </w:r>
      <w:r>
        <w:rPr>
          <w:i/>
        </w:rPr>
        <w:t>Imperata cylindrica</w:t>
      </w:r>
      <w:r>
        <w:rPr>
          <w:rFonts w:hint="eastAsia"/>
          <w:lang w:val="en-US" w:eastAsia="zh-CN"/>
        </w:rPr>
        <w:t>）、狗尾草（</w:t>
      </w:r>
      <w:r>
        <w:rPr>
          <w:i/>
        </w:rPr>
        <w:t>Setaria vifidis</w:t>
      </w:r>
      <w:r>
        <w:rPr>
          <w:rFonts w:hint="eastAsia"/>
          <w:lang w:val="en-US" w:eastAsia="zh-CN"/>
        </w:rPr>
        <w:t>）等草本。</w:t>
      </w:r>
    </w:p>
    <w:p>
      <w:pPr>
        <w:pStyle w:val="112"/>
        <w:keepNext w:val="0"/>
        <w:keepLines w:val="0"/>
        <w:pageBreakBefore w:val="0"/>
        <w:widowControl/>
        <w:kinsoku/>
        <w:wordWrap/>
        <w:overflowPunct/>
        <w:topLinePunct w:val="0"/>
        <w:autoSpaceDE/>
        <w:autoSpaceDN/>
        <w:bidi w:val="0"/>
        <w:adjustRightInd w:val="0"/>
        <w:snapToGrid w:val="0"/>
        <w:spacing w:before="0" w:after="0"/>
        <w:ind w:firstLine="480"/>
        <w:textAlignment w:val="auto"/>
      </w:pPr>
      <w:r>
        <w:t>（3）灌</w:t>
      </w:r>
      <w:r>
        <w:rPr>
          <w:rFonts w:hint="eastAsia"/>
          <w:lang w:val="en-US" w:eastAsia="zh-CN"/>
        </w:rPr>
        <w:t>丛</w:t>
      </w:r>
      <w:r>
        <w:t>植被：</w:t>
      </w:r>
      <w:r>
        <w:rPr>
          <w:rFonts w:hint="eastAsia"/>
          <w:lang w:val="en-US" w:eastAsia="zh-CN"/>
        </w:rPr>
        <w:t>灌丛植被在评价区内呈零星分布，主要为构树（</w:t>
      </w:r>
      <w:r>
        <w:rPr>
          <w:i/>
        </w:rPr>
        <w:t>Broussonetia papyrifera</w:t>
      </w:r>
      <w:r>
        <w:rPr>
          <w:rFonts w:hint="eastAsia"/>
          <w:lang w:val="en-US" w:eastAsia="zh-CN"/>
        </w:rPr>
        <w:t>）、槐等，分布在人工林缘及村庄外围，群落一般呈点线状</w:t>
      </w:r>
      <w:r>
        <w:t>。</w:t>
      </w:r>
    </w:p>
    <w:p>
      <w:pPr>
        <w:ind w:firstLine="480" w:firstLineChars="200"/>
        <w:rPr>
          <w:rFonts w:hint="default" w:ascii="Times New Roman" w:hAnsi="Times New Roman" w:cs="Times New Roman"/>
        </w:rPr>
      </w:pPr>
      <w:r>
        <w:t>（4）</w:t>
      </w:r>
      <w:r>
        <w:rPr>
          <w:rFonts w:hint="eastAsia"/>
          <w:lang w:val="en-US" w:eastAsia="zh-CN"/>
        </w:rPr>
        <w:t>阔叶林</w:t>
      </w:r>
      <w:r>
        <w:t>：</w:t>
      </w:r>
      <w:r>
        <w:rPr>
          <w:rFonts w:hint="eastAsia"/>
          <w:lang w:val="en-US" w:eastAsia="zh-CN"/>
        </w:rPr>
        <w:t>工程评价范围内阔叶林为亚热带落叶阔叶林，主要有意杨林等，意杨林为评价区内沿线道路、农田、村庄以及附近广泛分布的人工林，群落结构较简单。此外也有部分垂柳（</w:t>
      </w:r>
      <w:r>
        <w:rPr>
          <w:i/>
        </w:rPr>
        <w:t>Salix</w:t>
      </w:r>
      <w:r>
        <w:rPr>
          <w:rFonts w:hint="eastAsia"/>
          <w:i/>
          <w:lang w:val="en-US" w:eastAsia="zh-CN"/>
        </w:rPr>
        <w:t xml:space="preserve"> babylonica</w:t>
      </w:r>
      <w:r>
        <w:rPr>
          <w:rFonts w:hint="eastAsia"/>
          <w:lang w:val="en-US" w:eastAsia="zh-CN"/>
        </w:rPr>
        <w:t>）、槐（</w:t>
      </w:r>
      <w:r>
        <w:rPr>
          <w:rFonts w:hint="eastAsia"/>
          <w:i/>
          <w:iCs/>
          <w:lang w:val="en-US" w:eastAsia="zh-CN"/>
        </w:rPr>
        <w:t>Styphnolobium japonicum</w:t>
      </w:r>
      <w:r>
        <w:rPr>
          <w:rFonts w:hint="eastAsia"/>
          <w:lang w:val="en-US" w:eastAsia="zh-CN"/>
        </w:rPr>
        <w:t>）。</w:t>
      </w:r>
    </w:p>
    <w:p>
      <w:pPr>
        <w:pStyle w:val="9"/>
        <w:bidi w:val="0"/>
        <w:rPr>
          <w:rFonts w:hint="default" w:ascii="Times New Roman" w:hAnsi="Times New Roman" w:cs="Times New Roman"/>
        </w:rPr>
      </w:pPr>
      <w:r>
        <w:rPr>
          <w:rFonts w:hint="default" w:ascii="Times New Roman" w:hAnsi="Times New Roman" w:cs="Times New Roman"/>
        </w:rPr>
        <w:t xml:space="preserve"> </w:t>
      </w:r>
      <w:bookmarkStart w:id="308" w:name="_Toc32686"/>
      <w:r>
        <w:rPr>
          <w:rFonts w:hint="default" w:ascii="Times New Roman" w:hAnsi="Times New Roman" w:cs="Times New Roman"/>
        </w:rPr>
        <w:t>动物</w:t>
      </w:r>
      <w:bookmarkEnd w:id="308"/>
    </w:p>
    <w:p>
      <w:pPr>
        <w:ind w:firstLine="480"/>
        <w:rPr>
          <w:rFonts w:hint="default" w:ascii="Times New Roman" w:hAnsi="Times New Roman" w:cs="Times New Roman"/>
        </w:rPr>
      </w:pPr>
      <w:r>
        <w:rPr>
          <w:rFonts w:hint="default" w:ascii="Times New Roman" w:hAnsi="Times New Roman" w:cs="Times New Roman"/>
        </w:rPr>
        <w:t>评价区域内土地利用程度较高，人类活动频繁，干扰较大，拟建道路两侧以人工植被为主，人为活动频繁，动物资源以家畜家禽为主，有牛、羊、猪、鸡、鸭、鹅、兔等。</w:t>
      </w:r>
    </w:p>
    <w:p>
      <w:pPr>
        <w:ind w:firstLine="480"/>
        <w:rPr>
          <w:rFonts w:hint="default" w:ascii="Times New Roman" w:hAnsi="Times New Roman" w:cs="Times New Roman"/>
        </w:rPr>
      </w:pPr>
      <w:r>
        <w:rPr>
          <w:rFonts w:hint="default" w:ascii="Times New Roman" w:hAnsi="Times New Roman" w:cs="Times New Roman"/>
        </w:rPr>
        <w:t>（1）两栖类动物调查</w:t>
      </w:r>
    </w:p>
    <w:p>
      <w:pPr>
        <w:ind w:firstLine="480"/>
        <w:rPr>
          <w:rFonts w:hint="default" w:ascii="Times New Roman" w:hAnsi="Times New Roman" w:cs="Times New Roman"/>
        </w:rPr>
      </w:pPr>
      <w:r>
        <w:rPr>
          <w:rFonts w:hint="default" w:ascii="Times New Roman" w:hAnsi="Times New Roman" w:cs="Times New Roman"/>
        </w:rPr>
        <w:t>根据现场调查及参考相关资料，项目沿线自然状态下两栖类动物主要包括青蛙、蟾蜍等。其中中华蟾蜍（Bufogargarizans）、黑斑蛙（Rana nigromaculata）、泽蛙 （Fejervaryalimnocharis）、等，这几种</w:t>
      </w:r>
      <w:r>
        <w:rPr>
          <w:rFonts w:hint="eastAsia" w:cs="Times New Roman"/>
          <w:lang w:val="en-US" w:eastAsia="zh-CN"/>
        </w:rPr>
        <w:t>两栖类</w:t>
      </w:r>
      <w:r>
        <w:rPr>
          <w:rFonts w:hint="default" w:ascii="Times New Roman" w:hAnsi="Times New Roman" w:cs="Times New Roman"/>
        </w:rPr>
        <w:t>动物在评价区的数量最多，分布最广。</w:t>
      </w:r>
    </w:p>
    <w:p>
      <w:pPr>
        <w:ind w:firstLine="480"/>
        <w:rPr>
          <w:rFonts w:hint="default" w:ascii="Times New Roman" w:hAnsi="Times New Roman" w:cs="Times New Roman"/>
        </w:rPr>
      </w:pPr>
      <w:r>
        <w:rPr>
          <w:rFonts w:hint="default" w:ascii="Times New Roman" w:hAnsi="Times New Roman" w:cs="Times New Roman"/>
        </w:rPr>
        <w:t>（2）爬行动物调查</w:t>
      </w:r>
    </w:p>
    <w:p>
      <w:pPr>
        <w:ind w:firstLine="480"/>
        <w:rPr>
          <w:rFonts w:hint="default" w:ascii="Times New Roman" w:hAnsi="Times New Roman" w:cs="Times New Roman"/>
        </w:rPr>
      </w:pPr>
      <w:r>
        <w:rPr>
          <w:rFonts w:hint="default" w:ascii="Times New Roman" w:hAnsi="Times New Roman" w:cs="Times New Roman"/>
        </w:rPr>
        <w:t>评价区内爬行类动物主要有：壁虎、鳖、赤练蛇、黑眉锦蛇、水蛇、乌梢蛇、蝮蛇等。其中蛇类以水蛇较普遍。</w:t>
      </w:r>
      <w:r>
        <w:rPr>
          <w:rFonts w:hint="eastAsia" w:cs="Times New Roman"/>
          <w:lang w:val="en-US" w:eastAsia="zh-CN"/>
        </w:rPr>
        <w:t>爬行类</w:t>
      </w:r>
      <w:r>
        <w:rPr>
          <w:rFonts w:hint="default" w:ascii="Times New Roman" w:hAnsi="Times New Roman" w:cs="Times New Roman"/>
        </w:rPr>
        <w:t>代表性种类有壁虎（Gekko）、水赤链游蛇（Natrixannularis）、虎斑游蛇（Natrix tigrina lateralis）等。</w:t>
      </w:r>
    </w:p>
    <w:p>
      <w:pPr>
        <w:ind w:firstLine="480"/>
        <w:rPr>
          <w:rFonts w:hint="default" w:ascii="Times New Roman" w:hAnsi="Times New Roman" w:cs="Times New Roman"/>
        </w:rPr>
      </w:pPr>
      <w:r>
        <w:rPr>
          <w:rFonts w:hint="default" w:ascii="Times New Roman" w:hAnsi="Times New Roman" w:cs="Times New Roman"/>
        </w:rPr>
        <w:t>（3）兽类动物调查</w:t>
      </w:r>
    </w:p>
    <w:p>
      <w:pPr>
        <w:ind w:firstLine="480"/>
        <w:rPr>
          <w:rFonts w:hint="default" w:ascii="Times New Roman" w:hAnsi="Times New Roman" w:cs="Times New Roman"/>
        </w:rPr>
      </w:pPr>
      <w:r>
        <w:rPr>
          <w:rFonts w:hint="default" w:ascii="Times New Roman" w:hAnsi="Times New Roman" w:cs="Times New Roman"/>
        </w:rPr>
        <w:t>根据调查、访问及参考相关文献资料，评价区内兽类动物主要有：野兔、黄鼬（黄鼠狼）、鼠、刺猥、蝙蝠、獾等。代表性种类有小家鼠（Musmusculus）、黄鼬（Mustela sibirica）等。评价范围内的兽类动物中没有国家重点保护动物。</w:t>
      </w:r>
    </w:p>
    <w:p>
      <w:pPr>
        <w:ind w:firstLine="480"/>
        <w:rPr>
          <w:rFonts w:hint="default" w:ascii="Times New Roman" w:hAnsi="Times New Roman" w:cs="Times New Roman"/>
        </w:rPr>
      </w:pPr>
      <w:r>
        <w:rPr>
          <w:rFonts w:hint="default" w:ascii="Times New Roman" w:hAnsi="Times New Roman" w:cs="Times New Roman"/>
        </w:rPr>
        <w:t>（4）禽类调查</w:t>
      </w:r>
    </w:p>
    <w:p>
      <w:pPr>
        <w:numPr>
          <w:ilvl w:val="0"/>
          <w:numId w:val="0"/>
        </w:numPr>
        <w:bidi w:val="0"/>
        <w:ind w:leftChars="0" w:firstLine="480" w:firstLineChars="200"/>
        <w:outlineLvl w:val="9"/>
        <w:rPr>
          <w:rFonts w:hint="eastAsia" w:cs="Times New Roman"/>
          <w:b w:val="0"/>
          <w:bCs w:val="0"/>
          <w:lang w:eastAsia="zh-CN"/>
        </w:rPr>
      </w:pPr>
      <w:r>
        <w:rPr>
          <w:rFonts w:hint="default" w:ascii="Times New Roman" w:hAnsi="Times New Roman" w:cs="Times New Roman"/>
          <w:b w:val="0"/>
          <w:bCs w:val="0"/>
        </w:rPr>
        <w:t>禽类主要有麻雀、喜鹊、灰喜鹊、乌鸦、燕子、鹌鹑、杜鹃、大雁、野鸡、野鸭、猫头鹰、啄木鸟、百灵鸟、白头翁、苦恶鸟、画眉、董鸡、珠颈斑鸠、山斑鸠、四声杜鹃、八哥、翠鸟、云雀等共30余种。其中猫头鹰渐少，在山林中偶尔可见，大雁、燕子、布谷定时来去。代表性种类有山斑鸠（Streptopelia orientalis）、家燕（Hirundo rustica）、画眉（Garrulax canorus）、小鸊鷉（Podiceps ruficullis）、白鹡鸰（Motacilla alba）、小云雀（Alauda gulgla）等</w:t>
      </w:r>
      <w:r>
        <w:rPr>
          <w:rFonts w:hint="eastAsia" w:cs="Times New Roman"/>
          <w:b w:val="0"/>
          <w:bCs w:val="0"/>
          <w:lang w:eastAsia="zh-CN"/>
        </w:rPr>
        <w:t>。</w:t>
      </w:r>
    </w:p>
    <w:p>
      <w:pPr>
        <w:pStyle w:val="9"/>
        <w:numPr>
          <w:ilvl w:val="3"/>
          <w:numId w:val="0"/>
        </w:numPr>
        <w:bidi w:val="0"/>
        <w:rPr>
          <w:rFonts w:hint="default" w:ascii="Times New Roman" w:hAnsi="Times New Roman" w:cs="Times New Roman"/>
        </w:rPr>
      </w:pPr>
      <w:bookmarkStart w:id="309" w:name="_Toc15810"/>
      <w:r>
        <w:rPr>
          <w:rFonts w:hint="eastAsia" w:ascii="Times New Roman" w:hAnsi="Times New Roman" w:cs="Times New Roman"/>
          <w:lang w:val="en-US" w:eastAsia="zh-CN"/>
        </w:rPr>
        <w:t>4</w:t>
      </w:r>
      <w:r>
        <w:rPr>
          <w:rFonts w:hint="default" w:ascii="Times New Roman" w:hAnsi="Times New Roman" w:cs="Times New Roman"/>
        </w:rPr>
        <w:t>.</w:t>
      </w:r>
      <w:r>
        <w:rPr>
          <w:rFonts w:hint="default" w:ascii="Times New Roman" w:hAnsi="Times New Roman" w:cs="Times New Roman"/>
          <w:lang w:val="en-US" w:eastAsia="zh-CN"/>
        </w:rPr>
        <w:t>5</w:t>
      </w:r>
      <w:r>
        <w:rPr>
          <w:rFonts w:hint="default" w:ascii="Times New Roman" w:hAnsi="Times New Roman" w:cs="Times New Roman"/>
        </w:rPr>
        <w:t>.</w:t>
      </w:r>
      <w:r>
        <w:rPr>
          <w:rFonts w:hint="default" w:ascii="Times New Roman" w:hAnsi="Times New Roman" w:cs="Times New Roman"/>
          <w:lang w:val="en-US" w:eastAsia="zh-CN"/>
        </w:rPr>
        <w:t>3</w:t>
      </w:r>
      <w:r>
        <w:rPr>
          <w:rFonts w:hint="default" w:ascii="Times New Roman" w:hAnsi="Times New Roman" w:cs="Times New Roman"/>
        </w:rPr>
        <w:t>.3水生生态</w:t>
      </w:r>
      <w:bookmarkEnd w:id="309"/>
    </w:p>
    <w:p>
      <w:pPr>
        <w:bidi w:val="0"/>
        <w:ind w:firstLine="480" w:firstLineChars="200"/>
        <w:rPr>
          <w:rFonts w:hint="default" w:ascii="Times New Roman" w:hAnsi="Times New Roman" w:cs="Times New Roman"/>
          <w:lang w:val="en-GB"/>
        </w:rPr>
      </w:pPr>
      <w:r>
        <w:rPr>
          <w:rFonts w:hint="default" w:ascii="Times New Roman" w:hAnsi="Times New Roman" w:cs="Times New Roman"/>
          <w:lang w:val="en-GB"/>
        </w:rPr>
        <w:t>本项目</w:t>
      </w:r>
      <w:r>
        <w:rPr>
          <w:rFonts w:hint="eastAsia" w:ascii="Times New Roman" w:hAnsi="Times New Roman" w:cs="Times New Roman"/>
          <w:lang w:val="en-US" w:eastAsia="zh-CN"/>
        </w:rPr>
        <w:t>不跨越河流</w:t>
      </w:r>
      <w:r>
        <w:rPr>
          <w:rFonts w:hint="default" w:ascii="Times New Roman" w:hAnsi="Times New Roman" w:cs="Times New Roman"/>
          <w:lang w:val="en-GB"/>
        </w:rPr>
        <w:t>，</w:t>
      </w:r>
      <w:r>
        <w:rPr>
          <w:rFonts w:hint="eastAsia" w:ascii="Times New Roman" w:hAnsi="Times New Roman" w:cs="Times New Roman"/>
          <w:lang w:val="en-US" w:eastAsia="zh-CN"/>
        </w:rPr>
        <w:t>区域地表水为清沟河。</w:t>
      </w:r>
      <w:r>
        <w:rPr>
          <w:rFonts w:hint="default" w:ascii="Times New Roman" w:hAnsi="Times New Roman" w:cs="Times New Roman"/>
          <w:lang w:val="en-GB"/>
        </w:rPr>
        <w:t>根据调查，</w:t>
      </w:r>
      <w:r>
        <w:rPr>
          <w:rFonts w:hint="eastAsia" w:ascii="Times New Roman" w:hAnsi="Times New Roman" w:cs="Times New Roman"/>
          <w:lang w:val="en-US" w:eastAsia="zh-CN"/>
        </w:rPr>
        <w:t>本项目不涉及鱼类产卵场、索饵场和越冬场。周边地表水</w:t>
      </w:r>
      <w:r>
        <w:rPr>
          <w:rFonts w:hint="default" w:ascii="Times New Roman" w:hAnsi="Times New Roman" w:cs="Times New Roman"/>
          <w:lang w:val="en-GB"/>
        </w:rPr>
        <w:t>主要水生生态现状为：</w:t>
      </w:r>
    </w:p>
    <w:p>
      <w:pPr>
        <w:bidi w:val="0"/>
        <w:ind w:firstLine="480" w:firstLineChars="200"/>
        <w:rPr>
          <w:rFonts w:hint="default" w:ascii="Times New Roman" w:hAnsi="Times New Roman" w:cs="Times New Roman"/>
          <w:lang w:val="en-GB"/>
        </w:rPr>
      </w:pPr>
      <w:r>
        <w:rPr>
          <w:rFonts w:hint="default" w:ascii="Times New Roman" w:hAnsi="Times New Roman" w:cs="Times New Roman"/>
          <w:lang w:val="en-GB"/>
        </w:rPr>
        <w:t>（1）浮游植物调查</w:t>
      </w:r>
    </w:p>
    <w:p>
      <w:pPr>
        <w:bidi w:val="0"/>
        <w:ind w:firstLine="480" w:firstLineChars="200"/>
        <w:rPr>
          <w:rFonts w:hint="default" w:ascii="Times New Roman" w:hAnsi="Times New Roman" w:cs="Times New Roman"/>
          <w:lang w:val="en-GB"/>
        </w:rPr>
      </w:pPr>
      <w:r>
        <w:rPr>
          <w:rFonts w:hint="default" w:ascii="Times New Roman" w:hAnsi="Times New Roman" w:cs="Times New Roman"/>
          <w:lang w:val="en-GB"/>
        </w:rPr>
        <w:t>根据查阅相关资料，评价区内浮游植物种类较为丰富，藻类各门类均有出现，主要优势种包括颗粒直链藻（Melosiragranulata）、颗粒直链藻极狭变种（Melosira granulata var. angustissima）、钝脆杆藻（Fragilaria capucina）、尖针杆藻（Synedra acus）等。总体上，调查区域浮游植物数量处于较高的水平，多样性也比较高。</w:t>
      </w:r>
    </w:p>
    <w:p>
      <w:pPr>
        <w:bidi w:val="0"/>
        <w:ind w:firstLine="480" w:firstLineChars="200"/>
        <w:rPr>
          <w:rFonts w:hint="default" w:ascii="Times New Roman" w:hAnsi="Times New Roman" w:cs="Times New Roman"/>
          <w:lang w:val="en-GB"/>
        </w:rPr>
      </w:pPr>
      <w:r>
        <w:rPr>
          <w:rFonts w:hint="default" w:ascii="Times New Roman" w:hAnsi="Times New Roman" w:cs="Times New Roman"/>
          <w:lang w:val="en-GB"/>
        </w:rPr>
        <w:t>（2）浮游动物调查</w:t>
      </w:r>
    </w:p>
    <w:p>
      <w:pPr>
        <w:bidi w:val="0"/>
        <w:ind w:firstLine="480" w:firstLineChars="200"/>
        <w:rPr>
          <w:rFonts w:hint="default" w:ascii="Times New Roman" w:hAnsi="Times New Roman" w:cs="Times New Roman"/>
          <w:lang w:val="en-GB"/>
        </w:rPr>
      </w:pPr>
      <w:r>
        <w:rPr>
          <w:rFonts w:hint="default" w:ascii="Times New Roman" w:hAnsi="Times New Roman" w:cs="Times New Roman"/>
          <w:lang w:val="en-GB"/>
        </w:rPr>
        <w:t>根据查阅相关资料，评价区内轮虫的种类数较多，枝角类和桡足类发现较少种。常见的浮游动物类群分别是螺形龟甲轮虫（Keratella cochlearis）、转轮虫（Rotaria rotatoria），均为轮虫，轮虫类群中的优势种是螺形龟甲轮虫、针簇多肢轮虫、转轮虫，以及无节幼体。</w:t>
      </w:r>
    </w:p>
    <w:p>
      <w:pPr>
        <w:bidi w:val="0"/>
        <w:ind w:firstLine="480" w:firstLineChars="200"/>
        <w:rPr>
          <w:rFonts w:hint="default" w:ascii="Times New Roman" w:hAnsi="Times New Roman" w:cs="Times New Roman"/>
          <w:lang w:val="en-GB"/>
        </w:rPr>
      </w:pPr>
      <w:r>
        <w:rPr>
          <w:rFonts w:hint="default" w:ascii="Times New Roman" w:hAnsi="Times New Roman" w:cs="Times New Roman"/>
          <w:lang w:val="en-GB"/>
        </w:rPr>
        <w:t>（</w:t>
      </w:r>
      <w:r>
        <w:rPr>
          <w:rFonts w:hint="eastAsia" w:ascii="Times New Roman" w:hAnsi="Times New Roman" w:cs="Times New Roman"/>
          <w:lang w:val="en-US" w:eastAsia="zh-CN"/>
        </w:rPr>
        <w:t>3</w:t>
      </w:r>
      <w:r>
        <w:rPr>
          <w:rFonts w:hint="default" w:ascii="Times New Roman" w:hAnsi="Times New Roman" w:cs="Times New Roman"/>
          <w:lang w:val="en-GB"/>
        </w:rPr>
        <w:t>）鱼类调查</w:t>
      </w:r>
    </w:p>
    <w:p>
      <w:pPr>
        <w:ind w:firstLine="480" w:firstLineChars="200"/>
        <w:rPr>
          <w:rFonts w:hint="eastAsia" w:eastAsia="宋体" w:cs="Times New Roman"/>
          <w:lang w:eastAsia="zh-CN"/>
        </w:rPr>
      </w:pPr>
      <w:r>
        <w:rPr>
          <w:rFonts w:hint="default" w:ascii="Times New Roman" w:hAnsi="Times New Roman" w:cs="Times New Roman"/>
          <w:lang w:val="en-GB"/>
        </w:rPr>
        <w:t>鱼类资源丰富，主要有青鱼、草鱼、鲢鱼、鳙鱼、鲤鱼、鲫鱼、团头鲂（武昌鱼）；凶猛鱼类主要有翘嘴红鲌、乌鱼(黑鱼)、鳜鱼、鲶鱼等；其它杂鱼类主要有鲹鲦、银鱼、青鲹、黄鳝、泥鳅、花鳅等</w:t>
      </w:r>
      <w:r>
        <w:rPr>
          <w:rFonts w:hint="eastAsia" w:ascii="Times New Roman" w:hAnsi="Times New Roman" w:cs="Times New Roman"/>
          <w:lang w:val="en-GB" w:eastAsia="zh-CN"/>
        </w:rPr>
        <w:t>。</w:t>
      </w:r>
    </w:p>
    <w:p>
      <w:pPr>
        <w:pStyle w:val="8"/>
        <w:bidi w:val="0"/>
        <w:ind w:left="0" w:leftChars="0" w:firstLine="0" w:firstLineChars="0"/>
        <w:rPr>
          <w:rFonts w:hint="eastAsia"/>
          <w:b/>
          <w:bCs/>
          <w:lang w:val="en-US" w:eastAsia="zh-CN"/>
        </w:rPr>
      </w:pPr>
      <w:bookmarkStart w:id="310" w:name="_Toc30321"/>
      <w:r>
        <w:rPr>
          <w:rFonts w:hint="eastAsia"/>
          <w:b/>
          <w:bCs/>
          <w:lang w:val="en-US" w:eastAsia="zh-CN"/>
        </w:rPr>
        <w:t>土地利用</w:t>
      </w:r>
      <w:bookmarkEnd w:id="310"/>
    </w:p>
    <w:p>
      <w:pPr>
        <w:pStyle w:val="9"/>
        <w:bidi w:val="0"/>
        <w:ind w:left="0" w:leftChars="0" w:firstLine="0" w:firstLineChars="0"/>
        <w:rPr>
          <w:rFonts w:hint="eastAsia"/>
          <w:lang w:val="en-US" w:eastAsia="zh-CN"/>
        </w:rPr>
      </w:pPr>
      <w:bookmarkStart w:id="311" w:name="_Toc403"/>
      <w:r>
        <w:rPr>
          <w:rFonts w:hint="eastAsia"/>
          <w:lang w:val="en-US" w:eastAsia="zh-CN"/>
        </w:rPr>
        <w:t>土地利用状况</w:t>
      </w:r>
      <w:bookmarkEnd w:id="311"/>
    </w:p>
    <w:p>
      <w:pPr>
        <w:ind w:firstLine="480"/>
        <w:outlineLvl w:val="9"/>
        <w:rPr>
          <w:rFonts w:hint="eastAsia" w:ascii="Times New Roman" w:hAnsi="Times New Roman" w:eastAsia="宋体" w:cs="Times New Roman"/>
          <w:szCs w:val="20"/>
        </w:rPr>
      </w:pPr>
      <w:r>
        <w:rPr>
          <w:rFonts w:hint="eastAsia" w:ascii="Times New Roman" w:hAnsi="Times New Roman" w:eastAsia="宋体" w:cs="Times New Roman"/>
          <w:szCs w:val="20"/>
          <w:lang w:val="en-US" w:eastAsia="zh-CN"/>
        </w:rPr>
        <w:t>本项目主要影响区域为</w:t>
      </w:r>
      <w:r>
        <w:rPr>
          <w:rFonts w:hint="eastAsia" w:cs="Times New Roman"/>
          <w:szCs w:val="20"/>
          <w:lang w:val="en-US" w:eastAsia="zh-CN"/>
        </w:rPr>
        <w:t>怀远县</w:t>
      </w:r>
      <w:r>
        <w:rPr>
          <w:rFonts w:hint="eastAsia" w:ascii="Times New Roman" w:hAnsi="Times New Roman" w:eastAsia="宋体" w:cs="Times New Roman"/>
          <w:szCs w:val="20"/>
          <w:lang w:val="en-US" w:eastAsia="zh-CN"/>
        </w:rPr>
        <w:t>，参照《安徽统计年鉴2020》，2020年影响区域内土地利用情况如表</w:t>
      </w:r>
      <w:r>
        <w:rPr>
          <w:rFonts w:hint="eastAsia" w:eastAsia="宋体" w:cs="Times New Roman"/>
          <w:szCs w:val="20"/>
          <w:lang w:val="en-US" w:eastAsia="zh-CN"/>
        </w:rPr>
        <w:t>4.5-1</w:t>
      </w:r>
      <w:r>
        <w:rPr>
          <w:rFonts w:hint="eastAsia" w:ascii="Times New Roman" w:hAnsi="Times New Roman" w:eastAsia="宋体" w:cs="Times New Roman"/>
          <w:szCs w:val="20"/>
          <w:lang w:val="en-US" w:eastAsia="zh-CN"/>
        </w:rPr>
        <w:t>所示：</w:t>
      </w:r>
    </w:p>
    <w:p>
      <w:pPr>
        <w:pStyle w:val="1300"/>
        <w:keepNext w:val="0"/>
        <w:keepLines w:val="0"/>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b/>
          <w:bCs/>
          <w:sz w:val="24"/>
          <w:szCs w:val="24"/>
          <w:lang w:bidi="he-IL"/>
        </w:rPr>
      </w:pPr>
      <w:r>
        <w:rPr>
          <w:rFonts w:hint="default" w:ascii="Times New Roman" w:hAnsi="Times New Roman" w:eastAsia="宋体" w:cs="Times New Roman"/>
          <w:b/>
          <w:bCs/>
          <w:sz w:val="24"/>
          <w:szCs w:val="24"/>
          <w:lang w:val="en-US" w:eastAsia="zh-CN" w:bidi="he-IL"/>
        </w:rPr>
        <w:t>表</w:t>
      </w:r>
      <w:r>
        <w:rPr>
          <w:rFonts w:hint="eastAsia" w:ascii="Times New Roman" w:hAnsi="Times New Roman" w:eastAsia="宋体" w:cs="Times New Roman"/>
          <w:b/>
          <w:bCs/>
          <w:sz w:val="24"/>
          <w:szCs w:val="24"/>
          <w:lang w:val="en-US" w:eastAsia="zh-CN" w:bidi="he-IL"/>
        </w:rPr>
        <w:t>4.5-</w:t>
      </w:r>
      <w:r>
        <w:rPr>
          <w:rFonts w:hint="default" w:ascii="Times New Roman" w:hAnsi="Times New Roman" w:eastAsia="宋体" w:cs="Times New Roman"/>
          <w:b/>
          <w:bCs/>
          <w:sz w:val="24"/>
          <w:szCs w:val="24"/>
          <w:lang w:val="en-US" w:eastAsia="zh-CN" w:bidi="he-IL"/>
        </w:rPr>
        <w:t>1项目影响区土地利用情况 单位：公顷</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0"/>
        <w:gridCol w:w="1595"/>
        <w:gridCol w:w="1042"/>
        <w:gridCol w:w="930"/>
        <w:gridCol w:w="2039"/>
        <w:gridCol w:w="1154"/>
        <w:gridCol w:w="15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地区</w:t>
            </w:r>
          </w:p>
        </w:tc>
        <w:tc>
          <w:tcPr>
            <w:tcW w:w="85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土地调查面积</w:t>
            </w:r>
          </w:p>
        </w:tc>
        <w:tc>
          <w:tcPr>
            <w:tcW w:w="56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农用地</w:t>
            </w:r>
          </w:p>
        </w:tc>
        <w:tc>
          <w:tcPr>
            <w:tcW w:w="3079"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trPr>
        <w:tc>
          <w:tcPr>
            <w:tcW w:w="50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p>
        </w:tc>
        <w:tc>
          <w:tcPr>
            <w:tcW w:w="85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p>
        </w:tc>
        <w:tc>
          <w:tcPr>
            <w:tcW w:w="56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p>
        </w:tc>
        <w:tc>
          <w:tcPr>
            <w:tcW w:w="50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合计</w:t>
            </w:r>
          </w:p>
        </w:tc>
        <w:tc>
          <w:tcPr>
            <w:tcW w:w="10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居民点及工矿用地</w:t>
            </w:r>
          </w:p>
        </w:tc>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交通用地</w:t>
            </w:r>
          </w:p>
        </w:tc>
        <w:tc>
          <w:tcPr>
            <w:tcW w:w="8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水利设施用地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蚌埠市</w:t>
            </w:r>
          </w:p>
        </w:tc>
        <w:tc>
          <w:tcPr>
            <w:tcW w:w="8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595213</w:t>
            </w:r>
          </w:p>
        </w:tc>
        <w:tc>
          <w:tcPr>
            <w:tcW w:w="56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454447</w:t>
            </w:r>
          </w:p>
        </w:tc>
        <w:tc>
          <w:tcPr>
            <w:tcW w:w="50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82371</w:t>
            </w:r>
          </w:p>
        </w:tc>
        <w:tc>
          <w:tcPr>
            <w:tcW w:w="109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68367</w:t>
            </w:r>
          </w:p>
        </w:tc>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4602</w:t>
            </w:r>
          </w:p>
        </w:tc>
        <w:tc>
          <w:tcPr>
            <w:tcW w:w="8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lang w:val="en-US" w:eastAsia="zh-CN"/>
              </w:rPr>
              <w:t>9403</w:t>
            </w:r>
          </w:p>
        </w:tc>
      </w:tr>
    </w:tbl>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outlineLvl w:val="9"/>
        <w:rPr>
          <w:rFonts w:hint="eastAsia"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蚌埠市和怀远县土地利用现状主要内容统计如下</w:t>
      </w:r>
      <w:r>
        <w:rPr>
          <w:rFonts w:hint="eastAsia" w:eastAsia="宋体" w:cs="Times New Roman"/>
          <w:szCs w:val="20"/>
          <w:lang w:val="en-US" w:eastAsia="zh-CN"/>
        </w:rPr>
        <w:t>：</w:t>
      </w:r>
    </w:p>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outlineLvl w:val="9"/>
        <w:rPr>
          <w:rFonts w:hint="eastAsia"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蚌埠市：2020年蚌埠市土地总面积为595213.14公顷，其中，农用地面积为454634.64公顷，占土地总面积的76.38%；建设用地面积为79861.51公顷，占土地总面积的13.42%；其他土地面积为60716.99公顷，占土地总面积的10.20%。</w:t>
      </w:r>
    </w:p>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outlineLvl w:val="9"/>
        <w:rPr>
          <w:rFonts w:hint="eastAsia" w:eastAsia="宋体" w:cs="Times New Roman"/>
          <w:szCs w:val="20"/>
          <w:lang w:val="en-US" w:eastAsia="zh-CN"/>
        </w:rPr>
      </w:pPr>
      <w:r>
        <w:rPr>
          <w:rFonts w:hint="eastAsia" w:ascii="Times New Roman" w:hAnsi="Times New Roman" w:eastAsia="宋体" w:cs="Times New Roman"/>
          <w:szCs w:val="20"/>
          <w:lang w:val="en-US" w:eastAsia="zh-CN"/>
        </w:rPr>
        <w:t>怀远县：2020年底，怀远县土地总面积238260.42公顷。其中，农用地面积189875.54公顷，占土地总面积的79.69%；建设用地面积为28627.77公顷，占土地总面积的12.02%；其他土地面积为19757.11公顷，占全县土地总面积的8.29</w:t>
      </w:r>
      <w:r>
        <w:rPr>
          <w:rFonts w:hint="eastAsia" w:eastAsia="宋体" w:cs="Times New Roman"/>
          <w:szCs w:val="20"/>
          <w:lang w:val="en-US" w:eastAsia="zh-CN"/>
        </w:rPr>
        <w:t>%。</w:t>
      </w:r>
    </w:p>
    <w:p>
      <w:pPr>
        <w:pStyle w:val="9"/>
        <w:bidi w:val="0"/>
        <w:ind w:left="0" w:leftChars="0" w:firstLine="0" w:firstLineChars="0"/>
        <w:rPr>
          <w:rFonts w:hint="eastAsia"/>
          <w:lang w:val="en-US" w:eastAsia="zh-CN"/>
        </w:rPr>
      </w:pPr>
      <w:bookmarkStart w:id="312" w:name="_Toc22220"/>
      <w:r>
        <w:rPr>
          <w:rFonts w:hint="eastAsia"/>
          <w:lang w:val="en-US" w:eastAsia="zh-CN"/>
        </w:rPr>
        <w:t>土地占用状况</w:t>
      </w:r>
      <w:bookmarkEnd w:id="312"/>
    </w:p>
    <w:p>
      <w:pPr>
        <w:ind w:firstLine="480"/>
        <w:rPr>
          <w:szCs w:val="20"/>
        </w:rPr>
      </w:pPr>
      <w:r>
        <w:rPr>
          <w:szCs w:val="20"/>
        </w:rPr>
        <w:t>根据《</w:t>
      </w:r>
      <w:r>
        <w:rPr>
          <w:rFonts w:hint="eastAsia"/>
          <w:szCs w:val="20"/>
          <w:lang w:eastAsia="zh-CN"/>
        </w:rPr>
        <w:t>公路路线设计规范</w:t>
      </w:r>
      <w:r>
        <w:rPr>
          <w:szCs w:val="20"/>
        </w:rPr>
        <w:t>》（</w:t>
      </w:r>
      <w:r>
        <w:rPr>
          <w:rFonts w:hint="eastAsia"/>
          <w:szCs w:val="20"/>
          <w:lang w:val="en-US" w:eastAsia="zh-CN"/>
        </w:rPr>
        <w:t>JTGD20-2017</w:t>
      </w:r>
      <w:r>
        <w:rPr>
          <w:szCs w:val="20"/>
        </w:rPr>
        <w:t>）要求，一级公路</w:t>
      </w:r>
      <w:r>
        <w:rPr>
          <w:rFonts w:hint="eastAsia"/>
          <w:szCs w:val="20"/>
          <w:lang w:eastAsia="zh-CN"/>
        </w:rPr>
        <w:t>用地范围为公路路堤两侧排水沟外边缘以外不小于</w:t>
      </w:r>
      <w:r>
        <w:rPr>
          <w:rFonts w:hint="eastAsia"/>
          <w:szCs w:val="20"/>
          <w:lang w:val="en-US" w:eastAsia="zh-CN"/>
        </w:rPr>
        <w:t>1m范围内的土地；在有条件的地段，高速公路和一级公路不小于3m。考虑本项目位于平原地区，建设条件较好</w:t>
      </w:r>
      <w:r>
        <w:rPr>
          <w:szCs w:val="20"/>
        </w:rPr>
        <w:t>，</w:t>
      </w:r>
      <w:r>
        <w:rPr>
          <w:rFonts w:hint="eastAsia"/>
          <w:szCs w:val="20"/>
          <w:lang w:eastAsia="zh-CN"/>
        </w:rPr>
        <w:t>项目公路用地范围按排水沟外边缘以外</w:t>
      </w:r>
      <w:r>
        <w:rPr>
          <w:rFonts w:hint="eastAsia"/>
          <w:szCs w:val="20"/>
          <w:lang w:val="en-US" w:eastAsia="zh-CN"/>
        </w:rPr>
        <w:t>3m范围内的土地为建设</w:t>
      </w:r>
      <w:r>
        <w:rPr>
          <w:szCs w:val="20"/>
        </w:rPr>
        <w:t>用地界。本项目</w:t>
      </w:r>
      <w:r>
        <w:rPr>
          <w:rFonts w:hint="eastAsia"/>
          <w:szCs w:val="20"/>
          <w:lang w:val="en-US" w:eastAsia="zh-CN"/>
        </w:rPr>
        <w:t>永久</w:t>
      </w:r>
      <w:r>
        <w:rPr>
          <w:szCs w:val="20"/>
        </w:rPr>
        <w:t>占地数量表见表</w:t>
      </w:r>
      <w:r>
        <w:rPr>
          <w:rFonts w:hint="eastAsia"/>
          <w:szCs w:val="20"/>
          <w:lang w:val="en-US" w:eastAsia="zh-CN"/>
        </w:rPr>
        <w:t>4.5-2</w:t>
      </w:r>
      <w:r>
        <w:rPr>
          <w:szCs w:val="20"/>
        </w:rPr>
        <w:t>。</w:t>
      </w:r>
    </w:p>
    <w:p>
      <w:pPr>
        <w:pStyle w:val="1300"/>
        <w:keepNext w:val="0"/>
        <w:keepLines w:val="0"/>
        <w:pageBreakBefore w:val="0"/>
        <w:widowControl w:val="0"/>
        <w:kinsoku/>
        <w:wordWrap/>
        <w:overflowPunct/>
        <w:topLinePunct w:val="0"/>
        <w:autoSpaceDE/>
        <w:autoSpaceDN/>
        <w:bidi w:val="0"/>
        <w:adjustRightInd w:val="0"/>
        <w:snapToGrid/>
        <w:spacing w:line="360" w:lineRule="auto"/>
        <w:textAlignment w:val="baseline"/>
        <w:rPr>
          <w:rFonts w:hint="eastAsia" w:ascii="Times New Roman" w:hAnsi="Times New Roman" w:eastAsia="宋体" w:cs="Times New Roman"/>
          <w:b/>
          <w:bCs/>
          <w:sz w:val="24"/>
          <w:szCs w:val="24"/>
          <w:lang w:val="en-US" w:eastAsia="zh-CN" w:bidi="he-IL"/>
        </w:rPr>
      </w:pPr>
      <w:r>
        <w:rPr>
          <w:rFonts w:hint="default" w:ascii="Times New Roman" w:hAnsi="Times New Roman" w:eastAsia="宋体" w:cs="Times New Roman"/>
          <w:b/>
          <w:bCs/>
          <w:sz w:val="24"/>
          <w:szCs w:val="24"/>
          <w:lang w:val="en-US" w:eastAsia="zh-CN" w:bidi="he-IL"/>
        </w:rPr>
        <w:t>表</w:t>
      </w:r>
      <w:r>
        <w:rPr>
          <w:rFonts w:hint="eastAsia" w:ascii="Times New Roman" w:hAnsi="Times New Roman" w:eastAsia="宋体" w:cs="Times New Roman"/>
          <w:b/>
          <w:bCs/>
          <w:sz w:val="24"/>
          <w:szCs w:val="24"/>
          <w:lang w:val="en-US" w:eastAsia="zh-CN" w:bidi="he-IL"/>
        </w:rPr>
        <w:t>4.5</w:t>
      </w:r>
      <w:r>
        <w:rPr>
          <w:rFonts w:hint="default" w:ascii="Times New Roman" w:hAnsi="Times New Roman" w:eastAsia="宋体" w:cs="Times New Roman"/>
          <w:b/>
          <w:bCs/>
          <w:sz w:val="24"/>
          <w:szCs w:val="24"/>
          <w:lang w:val="en-US" w:eastAsia="zh-CN" w:bidi="he-IL"/>
        </w:rPr>
        <w:t>-</w:t>
      </w:r>
      <w:r>
        <w:rPr>
          <w:rFonts w:hint="eastAsia" w:ascii="Times New Roman" w:hAnsi="Times New Roman" w:eastAsia="宋体" w:cs="Times New Roman"/>
          <w:b/>
          <w:bCs/>
          <w:sz w:val="24"/>
          <w:szCs w:val="24"/>
          <w:lang w:val="en-US" w:eastAsia="zh-CN" w:bidi="he-IL"/>
        </w:rPr>
        <w:t>2</w:t>
      </w:r>
      <w:r>
        <w:rPr>
          <w:rFonts w:hint="default" w:ascii="Times New Roman" w:hAnsi="Times New Roman" w:eastAsia="宋体" w:cs="Times New Roman"/>
          <w:b/>
          <w:bCs/>
          <w:sz w:val="24"/>
          <w:szCs w:val="24"/>
          <w:lang w:val="en-US" w:eastAsia="zh-CN" w:bidi="he-IL"/>
        </w:rPr>
        <w:t xml:space="preserve"> </w:t>
      </w:r>
      <w:r>
        <w:rPr>
          <w:rFonts w:hint="eastAsia" w:ascii="Times New Roman" w:hAnsi="Times New Roman" w:eastAsia="宋体" w:cs="Times New Roman"/>
          <w:b/>
          <w:bCs/>
          <w:sz w:val="24"/>
          <w:szCs w:val="24"/>
          <w:lang w:val="en-US" w:eastAsia="zh-CN" w:bidi="he-IL"/>
        </w:rPr>
        <w:t xml:space="preserve"> 本项目推荐方案占地数量表 </w:t>
      </w:r>
      <w:r>
        <w:rPr>
          <w:rFonts w:hint="default" w:ascii="Times New Roman" w:hAnsi="Times New Roman" w:eastAsia="宋体" w:cs="Times New Roman"/>
          <w:b/>
          <w:bCs/>
          <w:sz w:val="24"/>
          <w:szCs w:val="24"/>
          <w:lang w:val="en-US" w:eastAsia="zh-CN" w:bidi="he-IL"/>
        </w:rPr>
        <w:t>(单位：</w:t>
      </w:r>
      <w:r>
        <w:rPr>
          <w:rFonts w:hint="eastAsia" w:ascii="Times New Roman" w:hAnsi="Times New Roman" w:eastAsia="宋体" w:cs="Times New Roman"/>
          <w:b/>
          <w:bCs/>
          <w:sz w:val="24"/>
          <w:szCs w:val="24"/>
          <w:lang w:val="en-US" w:eastAsia="zh-CN" w:bidi="he-IL"/>
        </w:rPr>
        <w:t>亩</w:t>
      </w:r>
      <w:r>
        <w:rPr>
          <w:rFonts w:hint="default" w:ascii="Times New Roman" w:hAnsi="Times New Roman" w:eastAsia="宋体" w:cs="Times New Roman"/>
          <w:b/>
          <w:bCs/>
          <w:sz w:val="24"/>
          <w:szCs w:val="24"/>
          <w:lang w:val="en-US" w:eastAsia="zh-CN" w:bidi="he-IL"/>
        </w:rPr>
        <w:t>)</w:t>
      </w:r>
    </w:p>
    <w:tbl>
      <w:tblPr>
        <w:tblStyle w:val="47"/>
        <w:tblW w:w="497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3"/>
        <w:gridCol w:w="1620"/>
        <w:gridCol w:w="911"/>
        <w:gridCol w:w="941"/>
        <w:gridCol w:w="944"/>
        <w:gridCol w:w="979"/>
        <w:gridCol w:w="898"/>
        <w:gridCol w:w="9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1088" w:type="pct"/>
            <w:noWrap w:val="0"/>
            <w:vAlign w:val="center"/>
          </w:tcPr>
          <w:p>
            <w:pPr>
              <w:spacing w:line="240" w:lineRule="auto"/>
              <w:ind w:firstLine="0" w:firstLineChars="0"/>
              <w:jc w:val="center"/>
              <w:rPr>
                <w:spacing w:val="-6"/>
                <w:sz w:val="21"/>
                <w:szCs w:val="21"/>
              </w:rPr>
            </w:pPr>
            <w:r>
              <w:rPr>
                <w:spacing w:val="-6"/>
                <w:sz w:val="21"/>
                <w:szCs w:val="21"/>
              </w:rPr>
              <w:t>桩号</w:t>
            </w:r>
          </w:p>
        </w:tc>
        <w:tc>
          <w:tcPr>
            <w:tcW w:w="875" w:type="pct"/>
            <w:noWrap w:val="0"/>
            <w:vAlign w:val="center"/>
          </w:tcPr>
          <w:p>
            <w:pPr>
              <w:spacing w:line="240" w:lineRule="auto"/>
              <w:ind w:firstLine="0" w:firstLineChars="0"/>
              <w:jc w:val="center"/>
              <w:rPr>
                <w:spacing w:val="-6"/>
                <w:sz w:val="21"/>
                <w:szCs w:val="21"/>
              </w:rPr>
            </w:pPr>
            <w:r>
              <w:rPr>
                <w:spacing w:val="-6"/>
                <w:sz w:val="21"/>
                <w:szCs w:val="21"/>
              </w:rPr>
              <w:t>项目</w:t>
            </w:r>
          </w:p>
          <w:p>
            <w:pPr>
              <w:spacing w:line="240" w:lineRule="auto"/>
              <w:ind w:firstLine="0" w:firstLineChars="0"/>
              <w:jc w:val="center"/>
              <w:rPr>
                <w:spacing w:val="-6"/>
                <w:sz w:val="21"/>
                <w:szCs w:val="21"/>
              </w:rPr>
            </w:pPr>
            <w:r>
              <w:rPr>
                <w:spacing w:val="-6"/>
                <w:sz w:val="21"/>
                <w:szCs w:val="21"/>
              </w:rPr>
              <w:t>涉及区域</w:t>
            </w:r>
          </w:p>
        </w:tc>
        <w:tc>
          <w:tcPr>
            <w:tcW w:w="492" w:type="pct"/>
            <w:noWrap w:val="0"/>
            <w:vAlign w:val="center"/>
          </w:tcPr>
          <w:p>
            <w:pPr>
              <w:spacing w:line="240" w:lineRule="auto"/>
              <w:ind w:firstLine="0" w:firstLineChars="0"/>
              <w:jc w:val="center"/>
              <w:rPr>
                <w:spacing w:val="-6"/>
                <w:sz w:val="21"/>
                <w:szCs w:val="21"/>
              </w:rPr>
            </w:pPr>
            <w:r>
              <w:rPr>
                <w:spacing w:val="-6"/>
                <w:sz w:val="21"/>
                <w:szCs w:val="21"/>
              </w:rPr>
              <w:t>农用地</w:t>
            </w:r>
          </w:p>
        </w:tc>
        <w:tc>
          <w:tcPr>
            <w:tcW w:w="509" w:type="pct"/>
            <w:noWrap w:val="0"/>
            <w:vAlign w:val="center"/>
          </w:tcPr>
          <w:p>
            <w:pPr>
              <w:spacing w:line="240" w:lineRule="auto"/>
              <w:ind w:firstLine="0" w:firstLineChars="0"/>
              <w:jc w:val="center"/>
              <w:rPr>
                <w:spacing w:val="-6"/>
                <w:sz w:val="21"/>
                <w:szCs w:val="21"/>
              </w:rPr>
            </w:pPr>
            <w:r>
              <w:rPr>
                <w:spacing w:val="-6"/>
                <w:sz w:val="21"/>
                <w:szCs w:val="21"/>
              </w:rPr>
              <w:t>耕地</w:t>
            </w:r>
          </w:p>
        </w:tc>
        <w:tc>
          <w:tcPr>
            <w:tcW w:w="510" w:type="pct"/>
            <w:noWrap w:val="0"/>
            <w:vAlign w:val="center"/>
          </w:tcPr>
          <w:p>
            <w:pPr>
              <w:spacing w:line="240" w:lineRule="auto"/>
              <w:ind w:firstLine="0" w:firstLineChars="0"/>
              <w:jc w:val="center"/>
              <w:rPr>
                <w:spacing w:val="-6"/>
                <w:sz w:val="21"/>
                <w:szCs w:val="21"/>
              </w:rPr>
            </w:pPr>
            <w:r>
              <w:rPr>
                <w:spacing w:val="-6"/>
                <w:sz w:val="21"/>
                <w:szCs w:val="21"/>
              </w:rPr>
              <w:t>基本</w:t>
            </w:r>
          </w:p>
          <w:p>
            <w:pPr>
              <w:spacing w:line="240" w:lineRule="auto"/>
              <w:ind w:firstLine="0" w:firstLineChars="0"/>
              <w:jc w:val="center"/>
              <w:rPr>
                <w:spacing w:val="-6"/>
                <w:sz w:val="21"/>
                <w:szCs w:val="21"/>
              </w:rPr>
            </w:pPr>
            <w:r>
              <w:rPr>
                <w:spacing w:val="-6"/>
                <w:sz w:val="21"/>
                <w:szCs w:val="21"/>
              </w:rPr>
              <w:t>农田</w:t>
            </w:r>
          </w:p>
        </w:tc>
        <w:tc>
          <w:tcPr>
            <w:tcW w:w="529" w:type="pct"/>
            <w:noWrap w:val="0"/>
            <w:vAlign w:val="center"/>
          </w:tcPr>
          <w:p>
            <w:pPr>
              <w:spacing w:line="240" w:lineRule="auto"/>
              <w:ind w:firstLine="0" w:firstLineChars="0"/>
              <w:jc w:val="center"/>
              <w:rPr>
                <w:rFonts w:hint="eastAsia" w:eastAsia="宋体"/>
                <w:spacing w:val="-6"/>
                <w:sz w:val="21"/>
                <w:szCs w:val="21"/>
                <w:lang w:eastAsia="zh-CN"/>
              </w:rPr>
            </w:pPr>
            <w:r>
              <w:rPr>
                <w:spacing w:val="-6"/>
                <w:sz w:val="21"/>
                <w:szCs w:val="21"/>
              </w:rPr>
              <w:t>建设用地</w:t>
            </w:r>
            <w:r>
              <w:rPr>
                <w:rFonts w:hint="eastAsia"/>
                <w:spacing w:val="-6"/>
                <w:sz w:val="21"/>
                <w:szCs w:val="21"/>
                <w:lang w:eastAsia="zh-CN"/>
              </w:rPr>
              <w:t>及未利用地</w:t>
            </w:r>
          </w:p>
        </w:tc>
        <w:tc>
          <w:tcPr>
            <w:tcW w:w="485" w:type="pct"/>
            <w:noWrap w:val="0"/>
            <w:vAlign w:val="center"/>
          </w:tcPr>
          <w:p>
            <w:pPr>
              <w:spacing w:line="240" w:lineRule="auto"/>
              <w:ind w:firstLine="0" w:firstLineChars="0"/>
              <w:jc w:val="center"/>
              <w:rPr>
                <w:rFonts w:hint="eastAsia"/>
                <w:spacing w:val="-6"/>
                <w:sz w:val="21"/>
                <w:szCs w:val="21"/>
                <w:lang w:eastAsia="zh-CN"/>
              </w:rPr>
            </w:pPr>
            <w:r>
              <w:rPr>
                <w:rFonts w:hint="eastAsia"/>
                <w:spacing w:val="-6"/>
                <w:sz w:val="21"/>
                <w:szCs w:val="21"/>
                <w:lang w:eastAsia="zh-CN"/>
              </w:rPr>
              <w:t>老路</w:t>
            </w:r>
          </w:p>
          <w:p>
            <w:pPr>
              <w:spacing w:line="240" w:lineRule="auto"/>
              <w:ind w:firstLine="0" w:firstLineChars="0"/>
              <w:jc w:val="center"/>
              <w:rPr>
                <w:rFonts w:hint="eastAsia" w:eastAsia="宋体"/>
                <w:spacing w:val="-6"/>
                <w:sz w:val="21"/>
                <w:szCs w:val="21"/>
                <w:lang w:eastAsia="zh-CN"/>
              </w:rPr>
            </w:pPr>
            <w:r>
              <w:rPr>
                <w:rFonts w:hint="eastAsia"/>
                <w:spacing w:val="-6"/>
                <w:sz w:val="21"/>
                <w:szCs w:val="21"/>
                <w:lang w:eastAsia="zh-CN"/>
              </w:rPr>
              <w:t>占地</w:t>
            </w:r>
          </w:p>
        </w:tc>
        <w:tc>
          <w:tcPr>
            <w:tcW w:w="509" w:type="pct"/>
            <w:noWrap w:val="0"/>
            <w:vAlign w:val="center"/>
          </w:tcPr>
          <w:p>
            <w:pPr>
              <w:spacing w:line="240" w:lineRule="auto"/>
              <w:ind w:firstLine="0" w:firstLineChars="0"/>
              <w:jc w:val="center"/>
              <w:rPr>
                <w:spacing w:val="-6"/>
                <w:sz w:val="21"/>
                <w:szCs w:val="21"/>
              </w:rPr>
            </w:pPr>
            <w:r>
              <w:rPr>
                <w:spacing w:val="-6"/>
                <w:sz w:val="21"/>
                <w:szCs w:val="21"/>
              </w:rPr>
              <w:t>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88" w:type="pct"/>
            <w:noWrap w:val="0"/>
            <w:vAlign w:val="center"/>
          </w:tcPr>
          <w:p>
            <w:pPr>
              <w:spacing w:line="240" w:lineRule="auto"/>
              <w:ind w:firstLine="0" w:firstLineChars="0"/>
              <w:jc w:val="center"/>
              <w:rPr>
                <w:rFonts w:hint="default" w:eastAsia="宋体"/>
                <w:sz w:val="21"/>
                <w:szCs w:val="21"/>
                <w:lang w:val="en-US" w:eastAsia="zh-CN"/>
              </w:rPr>
            </w:pPr>
            <w:r>
              <w:rPr>
                <w:sz w:val="21"/>
                <w:szCs w:val="21"/>
              </w:rPr>
              <w:t>K0+000</w:t>
            </w:r>
            <w:r>
              <w:rPr>
                <w:rFonts w:hint="eastAsia" w:ascii="黑体" w:hAnsi="黑体" w:cs="黑体"/>
                <w:b w:val="0"/>
                <w:bCs w:val="0"/>
                <w:i w:val="0"/>
                <w:color w:val="000000"/>
                <w:sz w:val="21"/>
                <w:szCs w:val="21"/>
                <w:highlight w:val="none"/>
                <w:u w:val="none"/>
                <w:lang w:val="en-US" w:eastAsia="zh-CN"/>
              </w:rPr>
              <w:t>～</w:t>
            </w:r>
            <w:r>
              <w:rPr>
                <w:sz w:val="21"/>
                <w:szCs w:val="21"/>
              </w:rPr>
              <w:t>K</w:t>
            </w:r>
            <w:r>
              <w:rPr>
                <w:rFonts w:hint="eastAsia"/>
                <w:sz w:val="21"/>
                <w:szCs w:val="21"/>
                <w:lang w:val="en-US" w:eastAsia="zh-CN"/>
              </w:rPr>
              <w:t>7</w:t>
            </w:r>
            <w:r>
              <w:rPr>
                <w:sz w:val="21"/>
                <w:szCs w:val="21"/>
              </w:rPr>
              <w:t>+</w:t>
            </w:r>
            <w:r>
              <w:rPr>
                <w:rFonts w:hint="eastAsia"/>
                <w:sz w:val="21"/>
                <w:szCs w:val="21"/>
                <w:lang w:val="en-US" w:eastAsia="zh-CN"/>
              </w:rPr>
              <w:t>700.604</w:t>
            </w:r>
          </w:p>
        </w:tc>
        <w:tc>
          <w:tcPr>
            <w:tcW w:w="875" w:type="pct"/>
            <w:noWrap w:val="0"/>
            <w:vAlign w:val="center"/>
          </w:tcPr>
          <w:p>
            <w:pPr>
              <w:spacing w:line="240" w:lineRule="auto"/>
              <w:ind w:firstLine="0" w:firstLineChars="0"/>
              <w:jc w:val="center"/>
              <w:rPr>
                <w:rFonts w:hint="eastAsia" w:eastAsia="宋体"/>
                <w:spacing w:val="-6"/>
                <w:sz w:val="21"/>
                <w:szCs w:val="21"/>
                <w:lang w:eastAsia="zh-CN"/>
              </w:rPr>
            </w:pPr>
            <w:r>
              <w:rPr>
                <w:rFonts w:hint="eastAsia" w:eastAsia="宋体"/>
                <w:spacing w:val="-6"/>
                <w:sz w:val="21"/>
                <w:szCs w:val="21"/>
                <w:lang w:eastAsia="zh-CN"/>
              </w:rPr>
              <w:t>蚌埠市怀远县</w:t>
            </w:r>
          </w:p>
        </w:tc>
        <w:tc>
          <w:tcPr>
            <w:tcW w:w="855" w:type="dxa"/>
            <w:noWrap w:val="0"/>
            <w:vAlign w:val="center"/>
          </w:tcPr>
          <w:p>
            <w:pPr>
              <w:spacing w:line="240" w:lineRule="auto"/>
              <w:ind w:firstLine="0" w:firstLineChars="0"/>
              <w:jc w:val="center"/>
              <w:rPr>
                <w:rFonts w:hint="default" w:eastAsia="宋体"/>
                <w:sz w:val="21"/>
                <w:szCs w:val="21"/>
                <w:lang w:val="en-US" w:eastAsia="zh-CN"/>
              </w:rPr>
            </w:pPr>
            <w:r>
              <w:rPr>
                <w:rFonts w:hint="eastAsia" w:eastAsia="宋体"/>
                <w:sz w:val="21"/>
                <w:szCs w:val="21"/>
                <w:lang w:val="en-US" w:eastAsia="zh-CN"/>
              </w:rPr>
              <w:t>412.51</w:t>
            </w:r>
          </w:p>
        </w:tc>
        <w:tc>
          <w:tcPr>
            <w:tcW w:w="884" w:type="dxa"/>
            <w:noWrap w:val="0"/>
            <w:vAlign w:val="center"/>
          </w:tcPr>
          <w:p>
            <w:pPr>
              <w:spacing w:line="240" w:lineRule="auto"/>
              <w:ind w:firstLine="0" w:firstLineChars="0"/>
              <w:jc w:val="center"/>
              <w:rPr>
                <w:rFonts w:hint="default" w:eastAsia="宋体"/>
                <w:sz w:val="21"/>
                <w:szCs w:val="21"/>
                <w:lang w:val="en-US" w:eastAsia="zh-CN"/>
              </w:rPr>
            </w:pPr>
            <w:r>
              <w:rPr>
                <w:rFonts w:hint="eastAsia" w:eastAsia="宋体"/>
                <w:sz w:val="21"/>
                <w:szCs w:val="21"/>
                <w:lang w:val="en-US" w:eastAsia="zh-CN"/>
              </w:rPr>
              <w:t>340.01</w:t>
            </w:r>
          </w:p>
        </w:tc>
        <w:tc>
          <w:tcPr>
            <w:tcW w:w="886" w:type="dxa"/>
            <w:noWrap w:val="0"/>
            <w:vAlign w:val="center"/>
          </w:tcPr>
          <w:p>
            <w:pPr>
              <w:spacing w:line="240" w:lineRule="auto"/>
              <w:ind w:firstLine="0" w:firstLineChars="0"/>
              <w:jc w:val="center"/>
              <w:rPr>
                <w:rFonts w:hint="default" w:eastAsia="宋体"/>
                <w:sz w:val="21"/>
                <w:szCs w:val="21"/>
                <w:lang w:val="en-US" w:eastAsia="zh-CN"/>
              </w:rPr>
            </w:pPr>
            <w:r>
              <w:rPr>
                <w:rFonts w:hint="eastAsia"/>
                <w:sz w:val="21"/>
                <w:szCs w:val="21"/>
                <w:lang w:val="en-US" w:eastAsia="zh-CN"/>
              </w:rPr>
              <w:t>0</w:t>
            </w:r>
          </w:p>
        </w:tc>
        <w:tc>
          <w:tcPr>
            <w:tcW w:w="919" w:type="dxa"/>
            <w:noWrap w:val="0"/>
            <w:vAlign w:val="center"/>
          </w:tcPr>
          <w:p>
            <w:pPr>
              <w:spacing w:line="240" w:lineRule="auto"/>
              <w:ind w:firstLine="0" w:firstLineChars="0"/>
              <w:jc w:val="center"/>
              <w:rPr>
                <w:rFonts w:hint="default" w:eastAsia="宋体"/>
                <w:sz w:val="21"/>
                <w:szCs w:val="21"/>
                <w:lang w:val="en-US" w:eastAsia="zh-CN"/>
              </w:rPr>
            </w:pPr>
            <w:r>
              <w:rPr>
                <w:rFonts w:hint="eastAsia"/>
                <w:sz w:val="21"/>
                <w:szCs w:val="21"/>
                <w:lang w:val="en-US" w:eastAsia="zh-CN"/>
              </w:rPr>
              <w:t>179.58</w:t>
            </w:r>
          </w:p>
        </w:tc>
        <w:tc>
          <w:tcPr>
            <w:tcW w:w="843" w:type="dxa"/>
            <w:noWrap w:val="0"/>
            <w:vAlign w:val="center"/>
          </w:tcPr>
          <w:p>
            <w:pPr>
              <w:spacing w:line="240" w:lineRule="auto"/>
              <w:ind w:firstLine="0" w:firstLineChars="0"/>
              <w:jc w:val="center"/>
              <w:rPr>
                <w:rFonts w:hint="default" w:eastAsia="宋体"/>
                <w:sz w:val="21"/>
                <w:szCs w:val="21"/>
                <w:lang w:val="en-US" w:eastAsia="zh-CN"/>
              </w:rPr>
            </w:pPr>
            <w:r>
              <w:rPr>
                <w:rFonts w:hint="eastAsia"/>
                <w:sz w:val="21"/>
                <w:szCs w:val="21"/>
                <w:lang w:val="en-US" w:eastAsia="zh-CN"/>
              </w:rPr>
              <w:t>11.02</w:t>
            </w:r>
          </w:p>
        </w:tc>
        <w:tc>
          <w:tcPr>
            <w:tcW w:w="885" w:type="dxa"/>
            <w:noWrap w:val="0"/>
            <w:vAlign w:val="center"/>
          </w:tcPr>
          <w:p>
            <w:pPr>
              <w:spacing w:line="240" w:lineRule="auto"/>
              <w:ind w:firstLine="0" w:firstLineChars="0"/>
              <w:jc w:val="center"/>
              <w:rPr>
                <w:rFonts w:hint="default" w:eastAsia="宋体"/>
                <w:sz w:val="21"/>
                <w:szCs w:val="21"/>
                <w:lang w:val="en-US" w:eastAsia="zh-CN"/>
              </w:rPr>
            </w:pPr>
            <w:r>
              <w:rPr>
                <w:rFonts w:hint="eastAsia"/>
                <w:sz w:val="21"/>
                <w:szCs w:val="21"/>
                <w:lang w:val="en-US" w:eastAsia="zh-CN"/>
              </w:rPr>
              <w:t>592.09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88" w:type="pct"/>
            <w:noWrap w:val="0"/>
            <w:vAlign w:val="center"/>
          </w:tcPr>
          <w:p>
            <w:pPr>
              <w:spacing w:line="240" w:lineRule="auto"/>
              <w:ind w:firstLine="0" w:firstLineChars="0"/>
              <w:jc w:val="center"/>
              <w:rPr>
                <w:rFonts w:hint="eastAsia" w:eastAsia="宋体"/>
                <w:sz w:val="21"/>
                <w:szCs w:val="21"/>
                <w:lang w:val="en-US" w:eastAsia="zh-CN"/>
              </w:rPr>
            </w:pPr>
            <w:bookmarkStart w:id="313" w:name="_Toc306365640"/>
            <w:bookmarkStart w:id="314" w:name="_Toc306365414"/>
            <w:r>
              <w:rPr>
                <w:rFonts w:hint="eastAsia"/>
                <w:sz w:val="21"/>
                <w:szCs w:val="21"/>
                <w:lang w:val="en-US" w:eastAsia="zh-CN"/>
              </w:rPr>
              <w:t>合计</w:t>
            </w:r>
          </w:p>
        </w:tc>
        <w:tc>
          <w:tcPr>
            <w:tcW w:w="875" w:type="pct"/>
            <w:noWrap w:val="0"/>
            <w:vAlign w:val="center"/>
          </w:tcPr>
          <w:p>
            <w:pPr>
              <w:spacing w:line="240" w:lineRule="auto"/>
              <w:ind w:firstLine="0" w:firstLineChars="0"/>
              <w:jc w:val="center"/>
              <w:rPr>
                <w:rFonts w:hint="eastAsia"/>
                <w:spacing w:val="-6"/>
                <w:sz w:val="21"/>
                <w:szCs w:val="21"/>
                <w:lang w:eastAsia="zh-CN"/>
              </w:rPr>
            </w:pPr>
            <w:r>
              <w:rPr>
                <w:rFonts w:hint="eastAsia" w:eastAsia="宋体"/>
                <w:spacing w:val="-6"/>
                <w:sz w:val="21"/>
                <w:szCs w:val="21"/>
                <w:lang w:eastAsia="zh-CN"/>
              </w:rPr>
              <w:t>蚌埠市怀远县</w:t>
            </w:r>
          </w:p>
        </w:tc>
        <w:tc>
          <w:tcPr>
            <w:tcW w:w="855" w:type="dxa"/>
            <w:noWrap w:val="0"/>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eastAsia="宋体"/>
                <w:sz w:val="21"/>
                <w:szCs w:val="21"/>
                <w:lang w:val="en-US" w:eastAsia="zh-CN"/>
              </w:rPr>
              <w:t>412.51</w:t>
            </w:r>
          </w:p>
        </w:tc>
        <w:tc>
          <w:tcPr>
            <w:tcW w:w="884" w:type="dxa"/>
            <w:noWrap w:val="0"/>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eastAsia="宋体"/>
                <w:sz w:val="21"/>
                <w:szCs w:val="21"/>
                <w:lang w:val="en-US" w:eastAsia="zh-CN"/>
              </w:rPr>
              <w:t>340.01</w:t>
            </w:r>
          </w:p>
        </w:tc>
        <w:tc>
          <w:tcPr>
            <w:tcW w:w="886" w:type="dxa"/>
            <w:noWrap w:val="0"/>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sz w:val="21"/>
                <w:szCs w:val="21"/>
                <w:lang w:val="en-US" w:eastAsia="zh-CN"/>
              </w:rPr>
              <w:t>0</w:t>
            </w:r>
          </w:p>
        </w:tc>
        <w:tc>
          <w:tcPr>
            <w:tcW w:w="919" w:type="dxa"/>
            <w:noWrap w:val="0"/>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sz w:val="21"/>
                <w:szCs w:val="21"/>
                <w:lang w:val="en-US" w:eastAsia="zh-CN"/>
              </w:rPr>
              <w:t>179.58</w:t>
            </w:r>
          </w:p>
        </w:tc>
        <w:tc>
          <w:tcPr>
            <w:tcW w:w="843" w:type="dxa"/>
            <w:noWrap w:val="0"/>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sz w:val="21"/>
                <w:szCs w:val="21"/>
                <w:lang w:val="en-US" w:eastAsia="zh-CN"/>
              </w:rPr>
              <w:t>11.02</w:t>
            </w:r>
          </w:p>
        </w:tc>
        <w:tc>
          <w:tcPr>
            <w:tcW w:w="885" w:type="dxa"/>
            <w:noWrap w:val="0"/>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sz w:val="21"/>
                <w:szCs w:val="21"/>
                <w:lang w:val="en-US" w:eastAsia="zh-CN"/>
              </w:rPr>
              <w:t>592.09</w:t>
            </w:r>
          </w:p>
        </w:tc>
      </w:tr>
      <w:bookmarkEnd w:id="313"/>
      <w:bookmarkEnd w:id="314"/>
    </w:tbl>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outlineLvl w:val="9"/>
      </w:pPr>
      <w:r>
        <w:br w:type="page"/>
      </w:r>
    </w:p>
    <w:p>
      <w:pPr>
        <w:pStyle w:val="5"/>
      </w:pPr>
      <w:bookmarkStart w:id="315" w:name="_Toc9073"/>
      <w:bookmarkStart w:id="316" w:name="_Toc28848"/>
      <w:bookmarkStart w:id="317" w:name="_Toc32080"/>
      <w:r>
        <w:t>环境影响预测与评价</w:t>
      </w:r>
      <w:bookmarkEnd w:id="219"/>
      <w:bookmarkEnd w:id="315"/>
      <w:bookmarkEnd w:id="316"/>
      <w:bookmarkEnd w:id="317"/>
    </w:p>
    <w:p>
      <w:pPr>
        <w:pStyle w:val="7"/>
        <w:rPr>
          <w:b/>
          <w:bCs/>
          <w:sz w:val="28"/>
          <w:szCs w:val="28"/>
        </w:rPr>
      </w:pPr>
      <w:bookmarkStart w:id="318" w:name="_Toc7690"/>
      <w:bookmarkStart w:id="319" w:name="_Toc28416"/>
      <w:bookmarkStart w:id="320" w:name="_Toc471329428"/>
      <w:r>
        <w:rPr>
          <w:b/>
          <w:bCs/>
          <w:sz w:val="28"/>
          <w:szCs w:val="28"/>
        </w:rPr>
        <w:t>声环境影响分析</w:t>
      </w:r>
      <w:bookmarkEnd w:id="318"/>
      <w:bookmarkEnd w:id="319"/>
    </w:p>
    <w:p>
      <w:pPr>
        <w:pStyle w:val="8"/>
        <w:rPr>
          <w:b/>
          <w:bCs/>
        </w:rPr>
      </w:pPr>
      <w:bookmarkStart w:id="321" w:name="_Toc3546"/>
      <w:r>
        <w:rPr>
          <w:b/>
          <w:bCs/>
        </w:rPr>
        <w:t>施工期</w:t>
      </w:r>
      <w:bookmarkEnd w:id="321"/>
    </w:p>
    <w:p>
      <w:pPr>
        <w:pStyle w:val="10"/>
        <w:ind w:firstLine="480"/>
      </w:pPr>
      <w:r>
        <w:t>公路建设施工阶段的主要噪声源来自于施工机械的施工噪声和运输车辆的辐射噪声，这部分噪声虽然是暂时的，但由于拟建项目施工工期长，施工机械较多，这些施工机械一般都具有高噪声、无规则等特点，如不加以控制，往往会对附近的声环境敏感点产生较大的噪声污染。</w:t>
      </w:r>
    </w:p>
    <w:p>
      <w:pPr>
        <w:pStyle w:val="9"/>
      </w:pPr>
      <w:bookmarkStart w:id="322" w:name="_Toc23547"/>
      <w:r>
        <w:t>施工期的主要噪声源</w:t>
      </w:r>
      <w:bookmarkEnd w:id="322"/>
    </w:p>
    <w:p>
      <w:pPr>
        <w:pStyle w:val="10"/>
        <w:ind w:firstLine="480"/>
      </w:pPr>
      <w:r>
        <w:t>施工期噪声影响主要表现为材料运输车辆行驶、施工作业机械产生的施工道路交通噪声以及施工机械噪声；施工单元主要在基础工程、基础部分的挖土作业、挖泥作业等。</w:t>
      </w:r>
    </w:p>
    <w:p>
      <w:pPr>
        <w:pStyle w:val="10"/>
        <w:ind w:firstLine="480"/>
      </w:pPr>
      <w:r>
        <w:t>常见的施工机械主要有装载机、挖掘机、推土机、道路破拆等机械，根据常用机械的实测资料，其源强分别见表3.6-2。</w:t>
      </w:r>
    </w:p>
    <w:p>
      <w:pPr>
        <w:pStyle w:val="10"/>
        <w:ind w:firstLine="480"/>
      </w:pPr>
      <w:r>
        <w:t>此外在实际施工过程中，各类施工机械同时工作，各类噪声源辐射的相互叠加，噪声级将会更高，辐射面也会更大，远远高于《建筑施工场界环境噪声排放标准》（GB12523-2011）。由此施工期产生的噪声强度较大，尽管影响时间较短，但也要重视。</w:t>
      </w:r>
    </w:p>
    <w:p>
      <w:pPr>
        <w:pStyle w:val="9"/>
        <w:rPr>
          <w:snapToGrid w:val="0"/>
        </w:rPr>
      </w:pPr>
      <w:bookmarkStart w:id="323" w:name="_Toc18772"/>
      <w:r>
        <w:rPr>
          <w:snapToGrid w:val="0"/>
        </w:rPr>
        <w:t>施工期噪声预测结果及影响分析</w:t>
      </w:r>
      <w:bookmarkEnd w:id="323"/>
    </w:p>
    <w:p>
      <w:pPr>
        <w:pStyle w:val="10"/>
        <w:ind w:firstLine="480"/>
        <w:rPr>
          <w:snapToGrid w:val="0"/>
        </w:rPr>
      </w:pPr>
      <w:r>
        <w:rPr>
          <w:rFonts w:hint="eastAsia"/>
          <w:snapToGrid w:val="0"/>
        </w:rPr>
        <w:t>（1）</w:t>
      </w:r>
      <w:r>
        <w:rPr>
          <w:snapToGrid w:val="0"/>
        </w:rPr>
        <w:t>预测模式</w:t>
      </w:r>
    </w:p>
    <w:p>
      <w:pPr>
        <w:pStyle w:val="10"/>
        <w:ind w:firstLine="480"/>
      </w:pPr>
      <w:r>
        <w:t>工程施工机械噪声主要属于中低频噪声，噪声源均在地面产生，可只考虑扩散衰减，将声源看成点声源，若在距离声源r</w:t>
      </w:r>
      <w:r>
        <w:rPr>
          <w:vertAlign w:val="subscript"/>
        </w:rPr>
        <w:t>0</w:t>
      </w:r>
      <w:r>
        <w:t>处的声压级为L</w:t>
      </w:r>
      <w:r>
        <w:rPr>
          <w:vertAlign w:val="subscript"/>
        </w:rPr>
        <w:t>A</w:t>
      </w:r>
      <w:r>
        <w:t>(r</w:t>
      </w:r>
      <w:r>
        <w:rPr>
          <w:vertAlign w:val="subscript"/>
        </w:rPr>
        <w:t>0</w:t>
      </w:r>
      <w:r>
        <w:t>)时，则在r处的噪声为（忽略空气吸收的作用）：</w:t>
      </w:r>
    </w:p>
    <w:p>
      <w:pPr>
        <w:pStyle w:val="10"/>
        <w:ind w:firstLine="480"/>
        <w:jc w:val="center"/>
      </w:pPr>
      <w:r>
        <w:rPr>
          <w:rFonts w:hint="eastAsia"/>
        </w:rPr>
        <w:t>L</w:t>
      </w:r>
      <w:r>
        <w:rPr>
          <w:vertAlign w:val="subscript"/>
        </w:rPr>
        <w:t>A</w:t>
      </w:r>
      <w:r>
        <w:t>(</w:t>
      </w:r>
      <w:r>
        <w:rPr>
          <w:rFonts w:hint="eastAsia"/>
        </w:rPr>
        <w:t>r</w:t>
      </w:r>
      <w:r>
        <w:t>)=L</w:t>
      </w:r>
      <w:r>
        <w:rPr>
          <w:vertAlign w:val="subscript"/>
        </w:rPr>
        <w:t>A</w:t>
      </w:r>
      <w:r>
        <w:t>(r</w:t>
      </w:r>
      <w:r>
        <w:rPr>
          <w:vertAlign w:val="subscript"/>
        </w:rPr>
        <w:t>0</w:t>
      </w:r>
      <w:r>
        <w:t>)-20lg(r/r</w:t>
      </w:r>
      <w:r>
        <w:rPr>
          <w:rFonts w:hint="eastAsia"/>
          <w:vertAlign w:val="subscript"/>
        </w:rPr>
        <w:t>0</w:t>
      </w:r>
      <w:r>
        <w:t>)</w:t>
      </w:r>
    </w:p>
    <w:p>
      <w:pPr>
        <w:pStyle w:val="10"/>
        <w:ind w:firstLine="480"/>
      </w:pPr>
      <w:r>
        <w:t>式中：L</w:t>
      </w:r>
      <w:r>
        <w:rPr>
          <w:vertAlign w:val="subscript"/>
        </w:rPr>
        <w:t>A</w:t>
      </w:r>
      <w:r>
        <w:t>（r）——距声源 r 处的声级，dB（A）；</w:t>
      </w:r>
    </w:p>
    <w:p>
      <w:pPr>
        <w:pStyle w:val="10"/>
        <w:ind w:firstLine="480"/>
      </w:pPr>
      <w:r>
        <w:t xml:space="preserve">      L</w:t>
      </w:r>
      <w:r>
        <w:rPr>
          <w:vertAlign w:val="subscript"/>
        </w:rPr>
        <w:t>A</w:t>
      </w:r>
      <w:r>
        <w:t>（r</w:t>
      </w:r>
      <w:r>
        <w:rPr>
          <w:vertAlign w:val="subscript"/>
        </w:rPr>
        <w:t>0</w:t>
      </w:r>
      <w:r>
        <w:t>）——参考位置r</w:t>
      </w:r>
      <w:r>
        <w:rPr>
          <w:vertAlign w:val="subscript"/>
        </w:rPr>
        <w:t>0</w:t>
      </w:r>
      <w:r>
        <w:t>处的声级，dB（A）；</w:t>
      </w:r>
    </w:p>
    <w:p>
      <w:pPr>
        <w:pStyle w:val="10"/>
        <w:ind w:firstLine="480"/>
      </w:pPr>
      <w:r>
        <w:t xml:space="preserve">      r——预测点与点声源之间的距离（m）；</w:t>
      </w:r>
    </w:p>
    <w:p>
      <w:pPr>
        <w:pStyle w:val="10"/>
        <w:ind w:firstLine="480"/>
      </w:pPr>
      <w:r>
        <w:t xml:space="preserve">      r</w:t>
      </w:r>
      <w:r>
        <w:rPr>
          <w:vertAlign w:val="subscript"/>
        </w:rPr>
        <w:t>0</w:t>
      </w:r>
      <w:r>
        <w:t>——参考位置与点声源之间的距离（m）；</w:t>
      </w:r>
    </w:p>
    <w:p>
      <w:pPr>
        <w:pStyle w:val="10"/>
        <w:ind w:firstLine="480"/>
      </w:pPr>
      <w:r>
        <w:t>多个噪声源</w:t>
      </w:r>
      <w:r>
        <w:rPr>
          <w:snapToGrid w:val="0"/>
        </w:rPr>
        <w:t>在预测点</w:t>
      </w:r>
      <w:r>
        <w:t>叠加声压级计算公式：</w:t>
      </w:r>
    </w:p>
    <w:p>
      <w:pPr>
        <w:pStyle w:val="112"/>
        <w:ind w:firstLine="480"/>
        <w:jc w:val="center"/>
        <w:rPr>
          <w:color w:val="0070C0"/>
        </w:rPr>
      </w:pPr>
      <w:r>
        <w:rPr>
          <w:color w:val="0070C0"/>
        </w:rPr>
        <w:drawing>
          <wp:inline distT="0" distB="0" distL="0" distR="0">
            <wp:extent cx="1788160" cy="266065"/>
            <wp:effectExtent l="0" t="0" r="0" b="0"/>
            <wp:docPr id="12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图片 2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1788160" cy="266065"/>
                    </a:xfrm>
                    <a:prstGeom prst="rect">
                      <a:avLst/>
                    </a:prstGeom>
                    <a:noFill/>
                    <a:ln>
                      <a:noFill/>
                    </a:ln>
                  </pic:spPr>
                </pic:pic>
              </a:graphicData>
            </a:graphic>
          </wp:inline>
        </w:drawing>
      </w:r>
    </w:p>
    <w:p>
      <w:pPr>
        <w:pStyle w:val="10"/>
        <w:ind w:firstLine="480"/>
        <w:rPr>
          <w:snapToGrid w:val="0"/>
        </w:rPr>
      </w:pPr>
      <w:r>
        <w:rPr>
          <w:rFonts w:hint="eastAsia"/>
          <w:snapToGrid w:val="0"/>
        </w:rPr>
        <w:t>（2）</w:t>
      </w:r>
      <w:r>
        <w:rPr>
          <w:snapToGrid w:val="0"/>
        </w:rPr>
        <w:t>噪声预测</w:t>
      </w:r>
    </w:p>
    <w:p>
      <w:pPr>
        <w:pStyle w:val="10"/>
        <w:ind w:firstLine="480"/>
      </w:pPr>
      <w:r>
        <w:t>项目施工过程可以分为路基施工阶段和路面平整阶段</w:t>
      </w:r>
      <w:r>
        <w:rPr>
          <w:rFonts w:hint="eastAsia"/>
        </w:rPr>
        <w:t>以及建筑拆迁阶段</w:t>
      </w:r>
      <w:r>
        <w:t>。决定施工阶段声源的是同时在场地中运行的施工机械，可以认为在同一施工阶段的单一工作日中使用的工程机械的种类和数量大致相同。</w:t>
      </w:r>
    </w:p>
    <w:p>
      <w:pPr>
        <w:pStyle w:val="10"/>
        <w:ind w:firstLine="480"/>
      </w:pPr>
      <w:r>
        <w:rPr>
          <w:rFonts w:hint="eastAsia"/>
        </w:rPr>
        <w:t>①</w:t>
      </w:r>
      <w:r>
        <w:t>不同施工机械噪声预测结果</w:t>
      </w:r>
    </w:p>
    <w:p>
      <w:pPr>
        <w:pStyle w:val="10"/>
        <w:ind w:firstLine="480"/>
      </w:pPr>
      <w:r>
        <w:t>根据表3.5-2中施工机械满负荷运行单机噪声值，采用上述公式，计算得到施工期主要施工机械满负荷运行时不同距离处的噪声影响预测结果，见</w:t>
      </w:r>
      <w:r>
        <w:rPr>
          <w:rFonts w:hint="eastAsia"/>
        </w:rPr>
        <w:t>下</w:t>
      </w:r>
      <w:r>
        <w:t>表。</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主要施工机械噪声预测结果  单位：Leq[dB(A)]</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765"/>
        <w:gridCol w:w="1603"/>
        <w:gridCol w:w="449"/>
        <w:gridCol w:w="449"/>
        <w:gridCol w:w="618"/>
        <w:gridCol w:w="618"/>
        <w:gridCol w:w="618"/>
        <w:gridCol w:w="598"/>
        <w:gridCol w:w="618"/>
        <w:gridCol w:w="619"/>
        <w:gridCol w:w="619"/>
        <w:gridCol w:w="619"/>
        <w:gridCol w:w="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Merge w:val="restart"/>
            <w:vAlign w:val="center"/>
          </w:tcPr>
          <w:p>
            <w:pPr>
              <w:pStyle w:val="1132"/>
            </w:pPr>
            <w:r>
              <w:t>序号</w:t>
            </w:r>
          </w:p>
        </w:tc>
        <w:tc>
          <w:tcPr>
            <w:tcW w:w="412" w:type="pct"/>
            <w:vMerge w:val="restart"/>
            <w:vAlign w:val="center"/>
          </w:tcPr>
          <w:p>
            <w:pPr>
              <w:pStyle w:val="1132"/>
            </w:pPr>
            <w:r>
              <w:t>施工阶段</w:t>
            </w:r>
          </w:p>
        </w:tc>
        <w:tc>
          <w:tcPr>
            <w:tcW w:w="863" w:type="pct"/>
            <w:vMerge w:val="restart"/>
            <w:vAlign w:val="center"/>
          </w:tcPr>
          <w:p>
            <w:pPr>
              <w:pStyle w:val="1132"/>
            </w:pPr>
            <w:r>
              <w:t>机械类型</w:t>
            </w:r>
          </w:p>
        </w:tc>
        <w:tc>
          <w:tcPr>
            <w:tcW w:w="3481" w:type="pct"/>
            <w:gridSpan w:val="11"/>
            <w:vAlign w:val="center"/>
          </w:tcPr>
          <w:p>
            <w:pPr>
              <w:pStyle w:val="1132"/>
            </w:pPr>
            <w:r>
              <w:t>距施工点距离(m)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Merge w:val="continue"/>
            <w:vAlign w:val="center"/>
          </w:tcPr>
          <w:p>
            <w:pPr>
              <w:pStyle w:val="1132"/>
            </w:pPr>
          </w:p>
        </w:tc>
        <w:tc>
          <w:tcPr>
            <w:tcW w:w="412" w:type="pct"/>
            <w:vMerge w:val="continue"/>
            <w:vAlign w:val="center"/>
          </w:tcPr>
          <w:p>
            <w:pPr>
              <w:pStyle w:val="1132"/>
            </w:pPr>
          </w:p>
        </w:tc>
        <w:tc>
          <w:tcPr>
            <w:tcW w:w="863" w:type="pct"/>
            <w:vMerge w:val="continue"/>
            <w:vAlign w:val="center"/>
          </w:tcPr>
          <w:p>
            <w:pPr>
              <w:pStyle w:val="1132"/>
            </w:pPr>
          </w:p>
        </w:tc>
        <w:tc>
          <w:tcPr>
            <w:tcW w:w="242" w:type="pct"/>
            <w:vAlign w:val="center"/>
          </w:tcPr>
          <w:p>
            <w:pPr>
              <w:pStyle w:val="1132"/>
            </w:pPr>
            <w:r>
              <w:rPr>
                <w:rFonts w:eastAsia="等线"/>
              </w:rPr>
              <w:t>5</w:t>
            </w:r>
          </w:p>
        </w:tc>
        <w:tc>
          <w:tcPr>
            <w:tcW w:w="242" w:type="pct"/>
            <w:vAlign w:val="center"/>
          </w:tcPr>
          <w:p>
            <w:pPr>
              <w:pStyle w:val="1132"/>
            </w:pPr>
            <w:r>
              <w:rPr>
                <w:rFonts w:eastAsia="等线"/>
              </w:rPr>
              <w:t>10</w:t>
            </w:r>
          </w:p>
        </w:tc>
        <w:tc>
          <w:tcPr>
            <w:tcW w:w="333" w:type="pct"/>
            <w:vAlign w:val="center"/>
          </w:tcPr>
          <w:p>
            <w:pPr>
              <w:pStyle w:val="1132"/>
            </w:pPr>
            <w:r>
              <w:rPr>
                <w:rFonts w:eastAsia="等线"/>
              </w:rPr>
              <w:t>30</w:t>
            </w:r>
          </w:p>
        </w:tc>
        <w:tc>
          <w:tcPr>
            <w:tcW w:w="333" w:type="pct"/>
            <w:vAlign w:val="center"/>
          </w:tcPr>
          <w:p>
            <w:pPr>
              <w:pStyle w:val="1132"/>
            </w:pPr>
            <w:r>
              <w:rPr>
                <w:rFonts w:eastAsia="等线"/>
              </w:rPr>
              <w:t>40</w:t>
            </w:r>
          </w:p>
        </w:tc>
        <w:tc>
          <w:tcPr>
            <w:tcW w:w="333" w:type="pct"/>
            <w:vAlign w:val="center"/>
          </w:tcPr>
          <w:p>
            <w:pPr>
              <w:pStyle w:val="1132"/>
            </w:pPr>
            <w:r>
              <w:rPr>
                <w:rFonts w:eastAsia="等线"/>
              </w:rPr>
              <w:t>50</w:t>
            </w:r>
          </w:p>
        </w:tc>
        <w:tc>
          <w:tcPr>
            <w:tcW w:w="322" w:type="pct"/>
            <w:vAlign w:val="center"/>
          </w:tcPr>
          <w:p>
            <w:pPr>
              <w:pStyle w:val="1132"/>
            </w:pPr>
            <w:r>
              <w:rPr>
                <w:rFonts w:eastAsia="等线"/>
              </w:rPr>
              <w:t>80</w:t>
            </w:r>
          </w:p>
        </w:tc>
        <w:tc>
          <w:tcPr>
            <w:tcW w:w="333" w:type="pct"/>
            <w:vAlign w:val="center"/>
          </w:tcPr>
          <w:p>
            <w:pPr>
              <w:pStyle w:val="1132"/>
            </w:pPr>
            <w:r>
              <w:rPr>
                <w:rFonts w:eastAsia="等线"/>
              </w:rPr>
              <w:t>100</w:t>
            </w:r>
          </w:p>
        </w:tc>
        <w:tc>
          <w:tcPr>
            <w:tcW w:w="333" w:type="pct"/>
            <w:vAlign w:val="center"/>
          </w:tcPr>
          <w:p>
            <w:pPr>
              <w:pStyle w:val="1132"/>
            </w:pPr>
            <w:r>
              <w:rPr>
                <w:rFonts w:eastAsia="等线"/>
              </w:rPr>
              <w:t>150</w:t>
            </w:r>
          </w:p>
        </w:tc>
        <w:tc>
          <w:tcPr>
            <w:tcW w:w="333" w:type="pct"/>
            <w:vAlign w:val="center"/>
          </w:tcPr>
          <w:p>
            <w:pPr>
              <w:pStyle w:val="1132"/>
            </w:pPr>
            <w:r>
              <w:rPr>
                <w:rFonts w:eastAsia="等线"/>
              </w:rPr>
              <w:t>200</w:t>
            </w:r>
          </w:p>
        </w:tc>
        <w:tc>
          <w:tcPr>
            <w:tcW w:w="333" w:type="pct"/>
            <w:vAlign w:val="center"/>
          </w:tcPr>
          <w:p>
            <w:pPr>
              <w:pStyle w:val="1132"/>
            </w:pPr>
            <w:r>
              <w:rPr>
                <w:rFonts w:eastAsia="等线"/>
              </w:rPr>
              <w:t>300</w:t>
            </w:r>
          </w:p>
        </w:tc>
        <w:tc>
          <w:tcPr>
            <w:tcW w:w="345" w:type="pct"/>
            <w:vAlign w:val="center"/>
          </w:tcPr>
          <w:p>
            <w:pPr>
              <w:pStyle w:val="1132"/>
            </w:pPr>
            <w:r>
              <w:rPr>
                <w:rFonts w:eastAsia="等线"/>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1</w:t>
            </w:r>
          </w:p>
        </w:tc>
        <w:tc>
          <w:tcPr>
            <w:tcW w:w="412" w:type="pct"/>
            <w:vMerge w:val="restart"/>
            <w:vAlign w:val="center"/>
          </w:tcPr>
          <w:p>
            <w:pPr>
              <w:pStyle w:val="1132"/>
            </w:pPr>
            <w:r>
              <w:t>路基施工阶段</w:t>
            </w:r>
          </w:p>
        </w:tc>
        <w:tc>
          <w:tcPr>
            <w:tcW w:w="863" w:type="pct"/>
            <w:vAlign w:val="center"/>
          </w:tcPr>
          <w:p>
            <w:pPr>
              <w:pStyle w:val="1132"/>
            </w:pPr>
            <w:r>
              <w:t>轮式装载机</w:t>
            </w:r>
          </w:p>
        </w:tc>
        <w:tc>
          <w:tcPr>
            <w:tcW w:w="242" w:type="pct"/>
            <w:vAlign w:val="center"/>
          </w:tcPr>
          <w:p>
            <w:pPr>
              <w:pStyle w:val="1132"/>
            </w:pPr>
            <w:r>
              <w:rPr>
                <w:rFonts w:eastAsia="等线"/>
              </w:rPr>
              <w:t>90</w:t>
            </w:r>
          </w:p>
        </w:tc>
        <w:tc>
          <w:tcPr>
            <w:tcW w:w="242" w:type="pct"/>
            <w:vAlign w:val="center"/>
          </w:tcPr>
          <w:p>
            <w:pPr>
              <w:pStyle w:val="1132"/>
            </w:pPr>
            <w:r>
              <w:rPr>
                <w:rFonts w:eastAsia="等线"/>
              </w:rPr>
              <w:t>84</w:t>
            </w:r>
          </w:p>
        </w:tc>
        <w:tc>
          <w:tcPr>
            <w:tcW w:w="333" w:type="pct"/>
            <w:vAlign w:val="center"/>
          </w:tcPr>
          <w:p>
            <w:pPr>
              <w:pStyle w:val="1132"/>
            </w:pPr>
            <w:r>
              <w:rPr>
                <w:rFonts w:eastAsia="等线"/>
              </w:rPr>
              <w:t>74</w:t>
            </w:r>
          </w:p>
        </w:tc>
        <w:tc>
          <w:tcPr>
            <w:tcW w:w="333" w:type="pct"/>
            <w:vAlign w:val="center"/>
          </w:tcPr>
          <w:p>
            <w:pPr>
              <w:pStyle w:val="1132"/>
            </w:pPr>
            <w:r>
              <w:rPr>
                <w:rFonts w:eastAsia="等线"/>
              </w:rPr>
              <w:t>72</w:t>
            </w:r>
          </w:p>
        </w:tc>
        <w:tc>
          <w:tcPr>
            <w:tcW w:w="333" w:type="pct"/>
            <w:vAlign w:val="center"/>
          </w:tcPr>
          <w:p>
            <w:pPr>
              <w:pStyle w:val="1132"/>
            </w:pPr>
            <w:r>
              <w:rPr>
                <w:rFonts w:eastAsia="等线"/>
              </w:rPr>
              <w:t>70</w:t>
            </w:r>
          </w:p>
        </w:tc>
        <w:tc>
          <w:tcPr>
            <w:tcW w:w="322" w:type="pct"/>
            <w:vAlign w:val="center"/>
          </w:tcPr>
          <w:p>
            <w:pPr>
              <w:pStyle w:val="1132"/>
            </w:pPr>
            <w:r>
              <w:rPr>
                <w:rFonts w:eastAsia="等线"/>
              </w:rPr>
              <w:t>66</w:t>
            </w:r>
          </w:p>
        </w:tc>
        <w:tc>
          <w:tcPr>
            <w:tcW w:w="333" w:type="pct"/>
            <w:vAlign w:val="center"/>
          </w:tcPr>
          <w:p>
            <w:pPr>
              <w:pStyle w:val="1132"/>
            </w:pPr>
            <w:r>
              <w:rPr>
                <w:rFonts w:eastAsia="等线"/>
              </w:rPr>
              <w:t>64</w:t>
            </w:r>
          </w:p>
        </w:tc>
        <w:tc>
          <w:tcPr>
            <w:tcW w:w="333" w:type="pct"/>
            <w:vAlign w:val="center"/>
          </w:tcPr>
          <w:p>
            <w:pPr>
              <w:pStyle w:val="1132"/>
            </w:pPr>
            <w:r>
              <w:rPr>
                <w:rFonts w:eastAsia="等线"/>
              </w:rPr>
              <w:t>61</w:t>
            </w:r>
          </w:p>
        </w:tc>
        <w:tc>
          <w:tcPr>
            <w:tcW w:w="333" w:type="pct"/>
            <w:vAlign w:val="center"/>
          </w:tcPr>
          <w:p>
            <w:pPr>
              <w:pStyle w:val="1132"/>
            </w:pPr>
            <w:r>
              <w:rPr>
                <w:rFonts w:eastAsia="等线"/>
              </w:rPr>
              <w:t>58</w:t>
            </w:r>
          </w:p>
        </w:tc>
        <w:tc>
          <w:tcPr>
            <w:tcW w:w="333" w:type="pct"/>
            <w:vAlign w:val="center"/>
          </w:tcPr>
          <w:p>
            <w:pPr>
              <w:pStyle w:val="1132"/>
            </w:pPr>
            <w:r>
              <w:rPr>
                <w:rFonts w:eastAsia="等线"/>
              </w:rPr>
              <w:t>54</w:t>
            </w:r>
          </w:p>
        </w:tc>
        <w:tc>
          <w:tcPr>
            <w:tcW w:w="345" w:type="pct"/>
            <w:vAlign w:val="center"/>
          </w:tcPr>
          <w:p>
            <w:pPr>
              <w:pStyle w:val="1132"/>
            </w:pPr>
            <w:r>
              <w:rPr>
                <w:rFonts w:eastAsia="等线"/>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2</w:t>
            </w:r>
          </w:p>
        </w:tc>
        <w:tc>
          <w:tcPr>
            <w:tcW w:w="412" w:type="pct"/>
            <w:vMerge w:val="continue"/>
            <w:vAlign w:val="center"/>
          </w:tcPr>
          <w:p>
            <w:pPr>
              <w:pStyle w:val="1132"/>
            </w:pPr>
          </w:p>
        </w:tc>
        <w:tc>
          <w:tcPr>
            <w:tcW w:w="863" w:type="pct"/>
            <w:vAlign w:val="center"/>
          </w:tcPr>
          <w:p>
            <w:pPr>
              <w:pStyle w:val="1132"/>
            </w:pPr>
            <w:r>
              <w:t>推土机</w:t>
            </w:r>
          </w:p>
        </w:tc>
        <w:tc>
          <w:tcPr>
            <w:tcW w:w="242" w:type="pct"/>
            <w:vAlign w:val="center"/>
          </w:tcPr>
          <w:p>
            <w:pPr>
              <w:pStyle w:val="1132"/>
            </w:pPr>
            <w:r>
              <w:rPr>
                <w:rFonts w:eastAsia="等线"/>
              </w:rPr>
              <w:t>86</w:t>
            </w:r>
          </w:p>
        </w:tc>
        <w:tc>
          <w:tcPr>
            <w:tcW w:w="242" w:type="pct"/>
            <w:vAlign w:val="center"/>
          </w:tcPr>
          <w:p>
            <w:pPr>
              <w:pStyle w:val="1132"/>
            </w:pPr>
            <w:r>
              <w:rPr>
                <w:rFonts w:eastAsia="等线"/>
              </w:rPr>
              <w:t>80</w:t>
            </w:r>
          </w:p>
        </w:tc>
        <w:tc>
          <w:tcPr>
            <w:tcW w:w="333" w:type="pct"/>
            <w:vAlign w:val="center"/>
          </w:tcPr>
          <w:p>
            <w:pPr>
              <w:pStyle w:val="1132"/>
            </w:pPr>
            <w:r>
              <w:rPr>
                <w:rFonts w:eastAsia="等线"/>
              </w:rPr>
              <w:t>70</w:t>
            </w:r>
          </w:p>
        </w:tc>
        <w:tc>
          <w:tcPr>
            <w:tcW w:w="333" w:type="pct"/>
            <w:vAlign w:val="center"/>
          </w:tcPr>
          <w:p>
            <w:pPr>
              <w:pStyle w:val="1132"/>
            </w:pPr>
            <w:r>
              <w:rPr>
                <w:rFonts w:eastAsia="等线"/>
              </w:rPr>
              <w:t>68</w:t>
            </w:r>
          </w:p>
        </w:tc>
        <w:tc>
          <w:tcPr>
            <w:tcW w:w="333" w:type="pct"/>
            <w:vAlign w:val="center"/>
          </w:tcPr>
          <w:p>
            <w:pPr>
              <w:pStyle w:val="1132"/>
            </w:pPr>
            <w:r>
              <w:rPr>
                <w:rFonts w:eastAsia="等线"/>
              </w:rPr>
              <w:t>66</w:t>
            </w:r>
          </w:p>
        </w:tc>
        <w:tc>
          <w:tcPr>
            <w:tcW w:w="322" w:type="pct"/>
            <w:vAlign w:val="center"/>
          </w:tcPr>
          <w:p>
            <w:pPr>
              <w:pStyle w:val="1132"/>
            </w:pPr>
            <w:r>
              <w:rPr>
                <w:rFonts w:eastAsia="等线"/>
              </w:rPr>
              <w:t>62</w:t>
            </w:r>
          </w:p>
        </w:tc>
        <w:tc>
          <w:tcPr>
            <w:tcW w:w="333" w:type="pct"/>
            <w:vAlign w:val="center"/>
          </w:tcPr>
          <w:p>
            <w:pPr>
              <w:pStyle w:val="1132"/>
            </w:pPr>
            <w:r>
              <w:rPr>
                <w:rFonts w:eastAsia="等线"/>
              </w:rPr>
              <w:t>60</w:t>
            </w:r>
          </w:p>
        </w:tc>
        <w:tc>
          <w:tcPr>
            <w:tcW w:w="333" w:type="pct"/>
            <w:vAlign w:val="center"/>
          </w:tcPr>
          <w:p>
            <w:pPr>
              <w:pStyle w:val="1132"/>
            </w:pPr>
            <w:r>
              <w:rPr>
                <w:rFonts w:eastAsia="等线"/>
              </w:rPr>
              <w:t>57</w:t>
            </w:r>
          </w:p>
        </w:tc>
        <w:tc>
          <w:tcPr>
            <w:tcW w:w="333" w:type="pct"/>
            <w:vAlign w:val="center"/>
          </w:tcPr>
          <w:p>
            <w:pPr>
              <w:pStyle w:val="1132"/>
            </w:pPr>
            <w:r>
              <w:rPr>
                <w:rFonts w:eastAsia="等线"/>
              </w:rPr>
              <w:t>54</w:t>
            </w:r>
          </w:p>
        </w:tc>
        <w:tc>
          <w:tcPr>
            <w:tcW w:w="333" w:type="pct"/>
            <w:vAlign w:val="center"/>
          </w:tcPr>
          <w:p>
            <w:pPr>
              <w:pStyle w:val="1132"/>
            </w:pPr>
            <w:r>
              <w:rPr>
                <w:rFonts w:eastAsia="等线"/>
              </w:rPr>
              <w:t>50</w:t>
            </w:r>
          </w:p>
        </w:tc>
        <w:tc>
          <w:tcPr>
            <w:tcW w:w="345" w:type="pct"/>
            <w:vAlign w:val="center"/>
          </w:tcPr>
          <w:p>
            <w:pPr>
              <w:pStyle w:val="1132"/>
            </w:pPr>
            <w:r>
              <w:rPr>
                <w:rFonts w:eastAsia="等线"/>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3</w:t>
            </w:r>
          </w:p>
        </w:tc>
        <w:tc>
          <w:tcPr>
            <w:tcW w:w="412" w:type="pct"/>
            <w:vMerge w:val="continue"/>
            <w:vAlign w:val="center"/>
          </w:tcPr>
          <w:p>
            <w:pPr>
              <w:pStyle w:val="1132"/>
            </w:pPr>
          </w:p>
        </w:tc>
        <w:tc>
          <w:tcPr>
            <w:tcW w:w="863" w:type="pct"/>
            <w:vAlign w:val="center"/>
          </w:tcPr>
          <w:p>
            <w:pPr>
              <w:pStyle w:val="1132"/>
            </w:pPr>
            <w:r>
              <w:t>轮胎式液压挖掘机</w:t>
            </w:r>
          </w:p>
        </w:tc>
        <w:tc>
          <w:tcPr>
            <w:tcW w:w="242" w:type="pct"/>
            <w:vAlign w:val="center"/>
          </w:tcPr>
          <w:p>
            <w:pPr>
              <w:pStyle w:val="1132"/>
            </w:pPr>
            <w:r>
              <w:rPr>
                <w:rFonts w:eastAsia="等线"/>
              </w:rPr>
              <w:t>84</w:t>
            </w:r>
          </w:p>
        </w:tc>
        <w:tc>
          <w:tcPr>
            <w:tcW w:w="242" w:type="pct"/>
            <w:vAlign w:val="center"/>
          </w:tcPr>
          <w:p>
            <w:pPr>
              <w:pStyle w:val="1132"/>
            </w:pPr>
            <w:r>
              <w:rPr>
                <w:rFonts w:eastAsia="等线"/>
              </w:rPr>
              <w:t>78</w:t>
            </w:r>
          </w:p>
        </w:tc>
        <w:tc>
          <w:tcPr>
            <w:tcW w:w="333" w:type="pct"/>
            <w:vAlign w:val="center"/>
          </w:tcPr>
          <w:p>
            <w:pPr>
              <w:pStyle w:val="1132"/>
            </w:pPr>
            <w:r>
              <w:rPr>
                <w:rFonts w:eastAsia="等线"/>
              </w:rPr>
              <w:t>68</w:t>
            </w:r>
          </w:p>
        </w:tc>
        <w:tc>
          <w:tcPr>
            <w:tcW w:w="333" w:type="pct"/>
            <w:vAlign w:val="center"/>
          </w:tcPr>
          <w:p>
            <w:pPr>
              <w:pStyle w:val="1132"/>
            </w:pPr>
            <w:r>
              <w:rPr>
                <w:rFonts w:eastAsia="等线"/>
              </w:rPr>
              <w:t>66</w:t>
            </w:r>
          </w:p>
        </w:tc>
        <w:tc>
          <w:tcPr>
            <w:tcW w:w="333" w:type="pct"/>
            <w:vAlign w:val="center"/>
          </w:tcPr>
          <w:p>
            <w:pPr>
              <w:pStyle w:val="1132"/>
            </w:pPr>
            <w:r>
              <w:rPr>
                <w:rFonts w:eastAsia="等线"/>
              </w:rPr>
              <w:t>64</w:t>
            </w:r>
          </w:p>
        </w:tc>
        <w:tc>
          <w:tcPr>
            <w:tcW w:w="322" w:type="pct"/>
            <w:vAlign w:val="center"/>
          </w:tcPr>
          <w:p>
            <w:pPr>
              <w:pStyle w:val="1132"/>
            </w:pPr>
            <w:r>
              <w:rPr>
                <w:rFonts w:eastAsia="等线"/>
              </w:rPr>
              <w:t>60</w:t>
            </w:r>
          </w:p>
        </w:tc>
        <w:tc>
          <w:tcPr>
            <w:tcW w:w="333" w:type="pct"/>
            <w:vAlign w:val="center"/>
          </w:tcPr>
          <w:p>
            <w:pPr>
              <w:pStyle w:val="1132"/>
            </w:pPr>
            <w:r>
              <w:rPr>
                <w:rFonts w:eastAsia="等线"/>
              </w:rPr>
              <w:t>58</w:t>
            </w:r>
          </w:p>
        </w:tc>
        <w:tc>
          <w:tcPr>
            <w:tcW w:w="333" w:type="pct"/>
            <w:vAlign w:val="center"/>
          </w:tcPr>
          <w:p>
            <w:pPr>
              <w:pStyle w:val="1132"/>
            </w:pPr>
            <w:r>
              <w:rPr>
                <w:rFonts w:eastAsia="等线"/>
              </w:rPr>
              <w:t>55</w:t>
            </w:r>
          </w:p>
        </w:tc>
        <w:tc>
          <w:tcPr>
            <w:tcW w:w="333" w:type="pct"/>
            <w:vAlign w:val="center"/>
          </w:tcPr>
          <w:p>
            <w:pPr>
              <w:pStyle w:val="1132"/>
            </w:pPr>
            <w:r>
              <w:rPr>
                <w:rFonts w:eastAsia="等线"/>
              </w:rPr>
              <w:t>52</w:t>
            </w:r>
          </w:p>
        </w:tc>
        <w:tc>
          <w:tcPr>
            <w:tcW w:w="333" w:type="pct"/>
            <w:vAlign w:val="center"/>
          </w:tcPr>
          <w:p>
            <w:pPr>
              <w:pStyle w:val="1132"/>
            </w:pPr>
            <w:r>
              <w:rPr>
                <w:rFonts w:eastAsia="等线"/>
              </w:rPr>
              <w:t>48</w:t>
            </w:r>
          </w:p>
        </w:tc>
        <w:tc>
          <w:tcPr>
            <w:tcW w:w="345" w:type="pct"/>
            <w:vAlign w:val="center"/>
          </w:tcPr>
          <w:p>
            <w:pPr>
              <w:pStyle w:val="1132"/>
            </w:pPr>
            <w:r>
              <w:rPr>
                <w:rFonts w:eastAsia="等线"/>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4</w:t>
            </w:r>
          </w:p>
        </w:tc>
        <w:tc>
          <w:tcPr>
            <w:tcW w:w="412" w:type="pct"/>
            <w:vMerge w:val="continue"/>
            <w:vAlign w:val="center"/>
          </w:tcPr>
          <w:p>
            <w:pPr>
              <w:pStyle w:val="1132"/>
            </w:pPr>
          </w:p>
        </w:tc>
        <w:tc>
          <w:tcPr>
            <w:tcW w:w="863" w:type="pct"/>
            <w:vAlign w:val="center"/>
          </w:tcPr>
          <w:p>
            <w:pPr>
              <w:pStyle w:val="1132"/>
            </w:pPr>
            <w:r>
              <w:t>冲击式钻井机</w:t>
            </w:r>
          </w:p>
        </w:tc>
        <w:tc>
          <w:tcPr>
            <w:tcW w:w="242" w:type="pct"/>
            <w:vAlign w:val="center"/>
          </w:tcPr>
          <w:p>
            <w:pPr>
              <w:pStyle w:val="1132"/>
            </w:pPr>
            <w:r>
              <w:rPr>
                <w:rFonts w:eastAsia="等线"/>
              </w:rPr>
              <w:t>84</w:t>
            </w:r>
          </w:p>
        </w:tc>
        <w:tc>
          <w:tcPr>
            <w:tcW w:w="242" w:type="pct"/>
            <w:vAlign w:val="center"/>
          </w:tcPr>
          <w:p>
            <w:pPr>
              <w:pStyle w:val="1132"/>
            </w:pPr>
            <w:r>
              <w:rPr>
                <w:rFonts w:eastAsia="等线"/>
              </w:rPr>
              <w:t>78</w:t>
            </w:r>
          </w:p>
        </w:tc>
        <w:tc>
          <w:tcPr>
            <w:tcW w:w="333" w:type="pct"/>
            <w:vAlign w:val="center"/>
          </w:tcPr>
          <w:p>
            <w:pPr>
              <w:pStyle w:val="1132"/>
            </w:pPr>
            <w:r>
              <w:rPr>
                <w:rFonts w:eastAsia="等线"/>
              </w:rPr>
              <w:t>68</w:t>
            </w:r>
          </w:p>
        </w:tc>
        <w:tc>
          <w:tcPr>
            <w:tcW w:w="333" w:type="pct"/>
            <w:vAlign w:val="center"/>
          </w:tcPr>
          <w:p>
            <w:pPr>
              <w:pStyle w:val="1132"/>
            </w:pPr>
            <w:r>
              <w:rPr>
                <w:rFonts w:eastAsia="等线"/>
              </w:rPr>
              <w:t>66</w:t>
            </w:r>
          </w:p>
        </w:tc>
        <w:tc>
          <w:tcPr>
            <w:tcW w:w="333" w:type="pct"/>
            <w:vAlign w:val="center"/>
          </w:tcPr>
          <w:p>
            <w:pPr>
              <w:pStyle w:val="1132"/>
            </w:pPr>
            <w:r>
              <w:rPr>
                <w:rFonts w:eastAsia="等线"/>
              </w:rPr>
              <w:t>64</w:t>
            </w:r>
          </w:p>
        </w:tc>
        <w:tc>
          <w:tcPr>
            <w:tcW w:w="322" w:type="pct"/>
            <w:vAlign w:val="center"/>
          </w:tcPr>
          <w:p>
            <w:pPr>
              <w:pStyle w:val="1132"/>
            </w:pPr>
            <w:r>
              <w:rPr>
                <w:rFonts w:eastAsia="等线"/>
              </w:rPr>
              <w:t>60</w:t>
            </w:r>
          </w:p>
        </w:tc>
        <w:tc>
          <w:tcPr>
            <w:tcW w:w="333" w:type="pct"/>
            <w:vAlign w:val="center"/>
          </w:tcPr>
          <w:p>
            <w:pPr>
              <w:pStyle w:val="1132"/>
            </w:pPr>
            <w:r>
              <w:rPr>
                <w:rFonts w:eastAsia="等线"/>
              </w:rPr>
              <w:t>58</w:t>
            </w:r>
          </w:p>
        </w:tc>
        <w:tc>
          <w:tcPr>
            <w:tcW w:w="333" w:type="pct"/>
            <w:vAlign w:val="center"/>
          </w:tcPr>
          <w:p>
            <w:pPr>
              <w:pStyle w:val="1132"/>
            </w:pPr>
            <w:r>
              <w:rPr>
                <w:rFonts w:eastAsia="等线"/>
              </w:rPr>
              <w:t>55</w:t>
            </w:r>
          </w:p>
        </w:tc>
        <w:tc>
          <w:tcPr>
            <w:tcW w:w="333" w:type="pct"/>
            <w:vAlign w:val="center"/>
          </w:tcPr>
          <w:p>
            <w:pPr>
              <w:pStyle w:val="1132"/>
            </w:pPr>
            <w:r>
              <w:rPr>
                <w:rFonts w:eastAsia="等线"/>
              </w:rPr>
              <w:t>52</w:t>
            </w:r>
          </w:p>
        </w:tc>
        <w:tc>
          <w:tcPr>
            <w:tcW w:w="333" w:type="pct"/>
            <w:vAlign w:val="center"/>
          </w:tcPr>
          <w:p>
            <w:pPr>
              <w:pStyle w:val="1132"/>
            </w:pPr>
            <w:r>
              <w:rPr>
                <w:rFonts w:eastAsia="等线"/>
              </w:rPr>
              <w:t>48</w:t>
            </w:r>
          </w:p>
        </w:tc>
        <w:tc>
          <w:tcPr>
            <w:tcW w:w="345" w:type="pct"/>
            <w:vAlign w:val="center"/>
          </w:tcPr>
          <w:p>
            <w:pPr>
              <w:pStyle w:val="1132"/>
            </w:pPr>
            <w:r>
              <w:rPr>
                <w:rFonts w:eastAsia="等线"/>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5</w:t>
            </w:r>
          </w:p>
        </w:tc>
        <w:tc>
          <w:tcPr>
            <w:tcW w:w="412" w:type="pct"/>
            <w:vMerge w:val="restart"/>
            <w:vAlign w:val="center"/>
          </w:tcPr>
          <w:p>
            <w:pPr>
              <w:pStyle w:val="1132"/>
            </w:pPr>
            <w:r>
              <w:t>路面施工阶段</w:t>
            </w:r>
          </w:p>
        </w:tc>
        <w:tc>
          <w:tcPr>
            <w:tcW w:w="863" w:type="pct"/>
            <w:vAlign w:val="center"/>
          </w:tcPr>
          <w:p>
            <w:pPr>
              <w:pStyle w:val="1132"/>
            </w:pPr>
            <w:r>
              <w:t>摊铺机</w:t>
            </w:r>
          </w:p>
        </w:tc>
        <w:tc>
          <w:tcPr>
            <w:tcW w:w="242" w:type="pct"/>
            <w:vAlign w:val="center"/>
          </w:tcPr>
          <w:p>
            <w:pPr>
              <w:pStyle w:val="1132"/>
            </w:pPr>
            <w:r>
              <w:rPr>
                <w:rFonts w:eastAsia="等线"/>
              </w:rPr>
              <w:t>82</w:t>
            </w:r>
          </w:p>
        </w:tc>
        <w:tc>
          <w:tcPr>
            <w:tcW w:w="242" w:type="pct"/>
            <w:vAlign w:val="center"/>
          </w:tcPr>
          <w:p>
            <w:pPr>
              <w:pStyle w:val="1132"/>
            </w:pPr>
            <w:r>
              <w:rPr>
                <w:rFonts w:eastAsia="等线"/>
              </w:rPr>
              <w:t>76</w:t>
            </w:r>
          </w:p>
        </w:tc>
        <w:tc>
          <w:tcPr>
            <w:tcW w:w="333" w:type="pct"/>
            <w:vAlign w:val="center"/>
          </w:tcPr>
          <w:p>
            <w:pPr>
              <w:pStyle w:val="1132"/>
            </w:pPr>
            <w:r>
              <w:rPr>
                <w:rFonts w:eastAsia="等线"/>
              </w:rPr>
              <w:t>66</w:t>
            </w:r>
          </w:p>
        </w:tc>
        <w:tc>
          <w:tcPr>
            <w:tcW w:w="333" w:type="pct"/>
            <w:vAlign w:val="center"/>
          </w:tcPr>
          <w:p>
            <w:pPr>
              <w:pStyle w:val="1132"/>
            </w:pPr>
            <w:r>
              <w:rPr>
                <w:rFonts w:eastAsia="等线"/>
              </w:rPr>
              <w:t>65</w:t>
            </w:r>
          </w:p>
        </w:tc>
        <w:tc>
          <w:tcPr>
            <w:tcW w:w="333" w:type="pct"/>
            <w:vAlign w:val="center"/>
          </w:tcPr>
          <w:p>
            <w:pPr>
              <w:pStyle w:val="1132"/>
            </w:pPr>
            <w:r>
              <w:rPr>
                <w:rFonts w:eastAsia="等线"/>
              </w:rPr>
              <w:t>62</w:t>
            </w:r>
          </w:p>
        </w:tc>
        <w:tc>
          <w:tcPr>
            <w:tcW w:w="322" w:type="pct"/>
            <w:vAlign w:val="center"/>
          </w:tcPr>
          <w:p>
            <w:pPr>
              <w:pStyle w:val="1132"/>
            </w:pPr>
            <w:r>
              <w:rPr>
                <w:rFonts w:eastAsia="等线"/>
              </w:rPr>
              <w:t>58</w:t>
            </w:r>
          </w:p>
        </w:tc>
        <w:tc>
          <w:tcPr>
            <w:tcW w:w="333" w:type="pct"/>
            <w:vAlign w:val="center"/>
          </w:tcPr>
          <w:p>
            <w:pPr>
              <w:pStyle w:val="1132"/>
            </w:pPr>
            <w:r>
              <w:rPr>
                <w:rFonts w:eastAsia="等线"/>
              </w:rPr>
              <w:t>56</w:t>
            </w:r>
          </w:p>
        </w:tc>
        <w:tc>
          <w:tcPr>
            <w:tcW w:w="333" w:type="pct"/>
            <w:vAlign w:val="center"/>
          </w:tcPr>
          <w:p>
            <w:pPr>
              <w:pStyle w:val="1132"/>
            </w:pPr>
            <w:r>
              <w:rPr>
                <w:rFonts w:eastAsia="等线"/>
              </w:rPr>
              <w:t>53</w:t>
            </w:r>
          </w:p>
        </w:tc>
        <w:tc>
          <w:tcPr>
            <w:tcW w:w="333" w:type="pct"/>
            <w:vAlign w:val="center"/>
          </w:tcPr>
          <w:p>
            <w:pPr>
              <w:pStyle w:val="1132"/>
            </w:pPr>
            <w:r>
              <w:rPr>
                <w:rFonts w:eastAsia="等线"/>
              </w:rPr>
              <w:t>47</w:t>
            </w:r>
          </w:p>
        </w:tc>
        <w:tc>
          <w:tcPr>
            <w:tcW w:w="333" w:type="pct"/>
            <w:vAlign w:val="center"/>
          </w:tcPr>
          <w:p>
            <w:pPr>
              <w:pStyle w:val="1132"/>
            </w:pPr>
            <w:r>
              <w:rPr>
                <w:rFonts w:eastAsia="等线"/>
              </w:rPr>
              <w:t>46</w:t>
            </w:r>
          </w:p>
        </w:tc>
        <w:tc>
          <w:tcPr>
            <w:tcW w:w="345" w:type="pct"/>
            <w:vAlign w:val="center"/>
          </w:tcPr>
          <w:p>
            <w:pPr>
              <w:pStyle w:val="1132"/>
            </w:pPr>
            <w:r>
              <w:rPr>
                <w:rFonts w:eastAsia="等线"/>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6</w:t>
            </w:r>
          </w:p>
        </w:tc>
        <w:tc>
          <w:tcPr>
            <w:tcW w:w="412" w:type="pct"/>
            <w:vMerge w:val="continue"/>
            <w:vAlign w:val="center"/>
          </w:tcPr>
          <w:p>
            <w:pPr>
              <w:pStyle w:val="1132"/>
            </w:pPr>
          </w:p>
        </w:tc>
        <w:tc>
          <w:tcPr>
            <w:tcW w:w="863" w:type="pct"/>
            <w:vAlign w:val="center"/>
          </w:tcPr>
          <w:p>
            <w:pPr>
              <w:pStyle w:val="1132"/>
            </w:pPr>
            <w:r>
              <w:t>摊铺机</w:t>
            </w:r>
          </w:p>
        </w:tc>
        <w:tc>
          <w:tcPr>
            <w:tcW w:w="242" w:type="pct"/>
            <w:vAlign w:val="center"/>
          </w:tcPr>
          <w:p>
            <w:pPr>
              <w:pStyle w:val="1132"/>
            </w:pPr>
            <w:r>
              <w:rPr>
                <w:rFonts w:eastAsia="等线"/>
              </w:rPr>
              <w:t>87</w:t>
            </w:r>
          </w:p>
        </w:tc>
        <w:tc>
          <w:tcPr>
            <w:tcW w:w="242" w:type="pct"/>
            <w:vAlign w:val="center"/>
          </w:tcPr>
          <w:p>
            <w:pPr>
              <w:pStyle w:val="1132"/>
            </w:pPr>
            <w:r>
              <w:rPr>
                <w:rFonts w:eastAsia="等线"/>
              </w:rPr>
              <w:t>81</w:t>
            </w:r>
          </w:p>
        </w:tc>
        <w:tc>
          <w:tcPr>
            <w:tcW w:w="333" w:type="pct"/>
            <w:vAlign w:val="center"/>
          </w:tcPr>
          <w:p>
            <w:pPr>
              <w:pStyle w:val="1132"/>
            </w:pPr>
            <w:r>
              <w:rPr>
                <w:rFonts w:eastAsia="等线"/>
              </w:rPr>
              <w:t>71</w:t>
            </w:r>
          </w:p>
        </w:tc>
        <w:tc>
          <w:tcPr>
            <w:tcW w:w="333" w:type="pct"/>
            <w:vAlign w:val="center"/>
          </w:tcPr>
          <w:p>
            <w:pPr>
              <w:pStyle w:val="1132"/>
            </w:pPr>
            <w:r>
              <w:rPr>
                <w:rFonts w:eastAsia="等线"/>
              </w:rPr>
              <w:t>69</w:t>
            </w:r>
          </w:p>
        </w:tc>
        <w:tc>
          <w:tcPr>
            <w:tcW w:w="333" w:type="pct"/>
            <w:vAlign w:val="center"/>
          </w:tcPr>
          <w:p>
            <w:pPr>
              <w:pStyle w:val="1132"/>
            </w:pPr>
            <w:r>
              <w:rPr>
                <w:rFonts w:eastAsia="等线"/>
              </w:rPr>
              <w:t>67</w:t>
            </w:r>
          </w:p>
        </w:tc>
        <w:tc>
          <w:tcPr>
            <w:tcW w:w="322" w:type="pct"/>
            <w:vAlign w:val="center"/>
          </w:tcPr>
          <w:p>
            <w:pPr>
              <w:pStyle w:val="1132"/>
            </w:pPr>
            <w:r>
              <w:rPr>
                <w:rFonts w:eastAsia="等线"/>
              </w:rPr>
              <w:t>63</w:t>
            </w:r>
          </w:p>
        </w:tc>
        <w:tc>
          <w:tcPr>
            <w:tcW w:w="333" w:type="pct"/>
            <w:vAlign w:val="center"/>
          </w:tcPr>
          <w:p>
            <w:pPr>
              <w:pStyle w:val="1132"/>
            </w:pPr>
            <w:r>
              <w:rPr>
                <w:rFonts w:eastAsia="等线"/>
              </w:rPr>
              <w:t>61</w:t>
            </w:r>
          </w:p>
        </w:tc>
        <w:tc>
          <w:tcPr>
            <w:tcW w:w="333" w:type="pct"/>
            <w:vAlign w:val="center"/>
          </w:tcPr>
          <w:p>
            <w:pPr>
              <w:pStyle w:val="1132"/>
            </w:pPr>
            <w:r>
              <w:rPr>
                <w:rFonts w:eastAsia="等线"/>
              </w:rPr>
              <w:t>58</w:t>
            </w:r>
          </w:p>
        </w:tc>
        <w:tc>
          <w:tcPr>
            <w:tcW w:w="333" w:type="pct"/>
            <w:vAlign w:val="center"/>
          </w:tcPr>
          <w:p>
            <w:pPr>
              <w:pStyle w:val="1132"/>
            </w:pPr>
            <w:r>
              <w:rPr>
                <w:rFonts w:eastAsia="等线"/>
              </w:rPr>
              <w:t>52</w:t>
            </w:r>
          </w:p>
        </w:tc>
        <w:tc>
          <w:tcPr>
            <w:tcW w:w="333" w:type="pct"/>
            <w:vAlign w:val="center"/>
          </w:tcPr>
          <w:p>
            <w:pPr>
              <w:pStyle w:val="1132"/>
            </w:pPr>
            <w:r>
              <w:rPr>
                <w:rFonts w:eastAsia="等线"/>
              </w:rPr>
              <w:t>51</w:t>
            </w:r>
          </w:p>
        </w:tc>
        <w:tc>
          <w:tcPr>
            <w:tcW w:w="345" w:type="pct"/>
            <w:vAlign w:val="center"/>
          </w:tcPr>
          <w:p>
            <w:pPr>
              <w:pStyle w:val="1132"/>
            </w:pPr>
            <w:r>
              <w:rPr>
                <w:rFonts w:eastAsia="等线"/>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7</w:t>
            </w:r>
          </w:p>
        </w:tc>
        <w:tc>
          <w:tcPr>
            <w:tcW w:w="412" w:type="pct"/>
            <w:vMerge w:val="continue"/>
            <w:vAlign w:val="center"/>
          </w:tcPr>
          <w:p>
            <w:pPr>
              <w:pStyle w:val="1132"/>
            </w:pPr>
          </w:p>
        </w:tc>
        <w:tc>
          <w:tcPr>
            <w:tcW w:w="863" w:type="pct"/>
            <w:vAlign w:val="center"/>
          </w:tcPr>
          <w:p>
            <w:pPr>
              <w:pStyle w:val="1132"/>
            </w:pPr>
            <w:r>
              <w:t>平地机</w:t>
            </w:r>
          </w:p>
        </w:tc>
        <w:tc>
          <w:tcPr>
            <w:tcW w:w="242" w:type="pct"/>
            <w:vAlign w:val="center"/>
          </w:tcPr>
          <w:p>
            <w:pPr>
              <w:pStyle w:val="1132"/>
            </w:pPr>
            <w:r>
              <w:rPr>
                <w:rFonts w:eastAsia="等线"/>
              </w:rPr>
              <w:t>90</w:t>
            </w:r>
          </w:p>
        </w:tc>
        <w:tc>
          <w:tcPr>
            <w:tcW w:w="242" w:type="pct"/>
            <w:vAlign w:val="center"/>
          </w:tcPr>
          <w:p>
            <w:pPr>
              <w:pStyle w:val="1132"/>
            </w:pPr>
            <w:r>
              <w:rPr>
                <w:rFonts w:eastAsia="等线"/>
              </w:rPr>
              <w:t>84</w:t>
            </w:r>
          </w:p>
        </w:tc>
        <w:tc>
          <w:tcPr>
            <w:tcW w:w="333" w:type="pct"/>
            <w:vAlign w:val="center"/>
          </w:tcPr>
          <w:p>
            <w:pPr>
              <w:pStyle w:val="1132"/>
            </w:pPr>
            <w:r>
              <w:rPr>
                <w:rFonts w:eastAsia="等线"/>
              </w:rPr>
              <w:t>74</w:t>
            </w:r>
          </w:p>
        </w:tc>
        <w:tc>
          <w:tcPr>
            <w:tcW w:w="333" w:type="pct"/>
            <w:vAlign w:val="center"/>
          </w:tcPr>
          <w:p>
            <w:pPr>
              <w:pStyle w:val="1132"/>
            </w:pPr>
            <w:r>
              <w:rPr>
                <w:rFonts w:eastAsia="等线"/>
              </w:rPr>
              <w:t>72</w:t>
            </w:r>
          </w:p>
        </w:tc>
        <w:tc>
          <w:tcPr>
            <w:tcW w:w="333" w:type="pct"/>
            <w:vAlign w:val="center"/>
          </w:tcPr>
          <w:p>
            <w:pPr>
              <w:pStyle w:val="1132"/>
            </w:pPr>
            <w:r>
              <w:rPr>
                <w:rFonts w:eastAsia="等线"/>
              </w:rPr>
              <w:t>70</w:t>
            </w:r>
          </w:p>
        </w:tc>
        <w:tc>
          <w:tcPr>
            <w:tcW w:w="322" w:type="pct"/>
            <w:vAlign w:val="center"/>
          </w:tcPr>
          <w:p>
            <w:pPr>
              <w:pStyle w:val="1132"/>
            </w:pPr>
            <w:r>
              <w:rPr>
                <w:rFonts w:eastAsia="等线"/>
              </w:rPr>
              <w:t>66</w:t>
            </w:r>
          </w:p>
        </w:tc>
        <w:tc>
          <w:tcPr>
            <w:tcW w:w="333" w:type="pct"/>
            <w:vAlign w:val="center"/>
          </w:tcPr>
          <w:p>
            <w:pPr>
              <w:pStyle w:val="1132"/>
            </w:pPr>
            <w:r>
              <w:rPr>
                <w:rFonts w:eastAsia="等线"/>
              </w:rPr>
              <w:t>64</w:t>
            </w:r>
          </w:p>
        </w:tc>
        <w:tc>
          <w:tcPr>
            <w:tcW w:w="333" w:type="pct"/>
            <w:vAlign w:val="center"/>
          </w:tcPr>
          <w:p>
            <w:pPr>
              <w:pStyle w:val="1132"/>
            </w:pPr>
            <w:r>
              <w:rPr>
                <w:rFonts w:eastAsia="等线"/>
              </w:rPr>
              <w:t>61</w:t>
            </w:r>
          </w:p>
        </w:tc>
        <w:tc>
          <w:tcPr>
            <w:tcW w:w="333" w:type="pct"/>
            <w:vAlign w:val="center"/>
          </w:tcPr>
          <w:p>
            <w:pPr>
              <w:pStyle w:val="1132"/>
            </w:pPr>
            <w:r>
              <w:rPr>
                <w:rFonts w:eastAsia="等线"/>
              </w:rPr>
              <w:t>58</w:t>
            </w:r>
          </w:p>
        </w:tc>
        <w:tc>
          <w:tcPr>
            <w:tcW w:w="333" w:type="pct"/>
            <w:vAlign w:val="center"/>
          </w:tcPr>
          <w:p>
            <w:pPr>
              <w:pStyle w:val="1132"/>
            </w:pPr>
            <w:r>
              <w:rPr>
                <w:rFonts w:eastAsia="等线"/>
              </w:rPr>
              <w:t>54</w:t>
            </w:r>
          </w:p>
        </w:tc>
        <w:tc>
          <w:tcPr>
            <w:tcW w:w="345" w:type="pct"/>
            <w:vAlign w:val="center"/>
          </w:tcPr>
          <w:p>
            <w:pPr>
              <w:pStyle w:val="1132"/>
            </w:pPr>
            <w:r>
              <w:rPr>
                <w:rFonts w:eastAsia="等线"/>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8</w:t>
            </w:r>
          </w:p>
        </w:tc>
        <w:tc>
          <w:tcPr>
            <w:tcW w:w="412" w:type="pct"/>
            <w:vMerge w:val="continue"/>
            <w:vAlign w:val="center"/>
          </w:tcPr>
          <w:p>
            <w:pPr>
              <w:pStyle w:val="1132"/>
            </w:pPr>
          </w:p>
        </w:tc>
        <w:tc>
          <w:tcPr>
            <w:tcW w:w="863" w:type="pct"/>
            <w:vAlign w:val="center"/>
          </w:tcPr>
          <w:p>
            <w:pPr>
              <w:pStyle w:val="1132"/>
            </w:pPr>
            <w:r>
              <w:t>振动式压路机</w:t>
            </w:r>
          </w:p>
        </w:tc>
        <w:tc>
          <w:tcPr>
            <w:tcW w:w="242" w:type="pct"/>
            <w:vAlign w:val="center"/>
          </w:tcPr>
          <w:p>
            <w:pPr>
              <w:pStyle w:val="1132"/>
            </w:pPr>
            <w:r>
              <w:rPr>
                <w:rFonts w:eastAsia="等线"/>
              </w:rPr>
              <w:t>86</w:t>
            </w:r>
          </w:p>
        </w:tc>
        <w:tc>
          <w:tcPr>
            <w:tcW w:w="242" w:type="pct"/>
            <w:vAlign w:val="center"/>
          </w:tcPr>
          <w:p>
            <w:pPr>
              <w:pStyle w:val="1132"/>
            </w:pPr>
            <w:r>
              <w:rPr>
                <w:rFonts w:eastAsia="等线"/>
              </w:rPr>
              <w:t>80</w:t>
            </w:r>
          </w:p>
        </w:tc>
        <w:tc>
          <w:tcPr>
            <w:tcW w:w="333" w:type="pct"/>
            <w:vAlign w:val="center"/>
          </w:tcPr>
          <w:p>
            <w:pPr>
              <w:pStyle w:val="1132"/>
            </w:pPr>
            <w:r>
              <w:rPr>
                <w:rFonts w:eastAsia="等线"/>
              </w:rPr>
              <w:t>70</w:t>
            </w:r>
          </w:p>
        </w:tc>
        <w:tc>
          <w:tcPr>
            <w:tcW w:w="333" w:type="pct"/>
            <w:vAlign w:val="center"/>
          </w:tcPr>
          <w:p>
            <w:pPr>
              <w:pStyle w:val="1132"/>
            </w:pPr>
            <w:r>
              <w:rPr>
                <w:rFonts w:eastAsia="等线"/>
              </w:rPr>
              <w:t>68</w:t>
            </w:r>
          </w:p>
        </w:tc>
        <w:tc>
          <w:tcPr>
            <w:tcW w:w="333" w:type="pct"/>
            <w:vAlign w:val="center"/>
          </w:tcPr>
          <w:p>
            <w:pPr>
              <w:pStyle w:val="1132"/>
            </w:pPr>
            <w:r>
              <w:rPr>
                <w:rFonts w:eastAsia="等线"/>
              </w:rPr>
              <w:t>66</w:t>
            </w:r>
          </w:p>
        </w:tc>
        <w:tc>
          <w:tcPr>
            <w:tcW w:w="322" w:type="pct"/>
            <w:vAlign w:val="center"/>
          </w:tcPr>
          <w:p>
            <w:pPr>
              <w:pStyle w:val="1132"/>
            </w:pPr>
            <w:r>
              <w:rPr>
                <w:rFonts w:eastAsia="等线"/>
              </w:rPr>
              <w:t>62</w:t>
            </w:r>
          </w:p>
        </w:tc>
        <w:tc>
          <w:tcPr>
            <w:tcW w:w="333" w:type="pct"/>
            <w:vAlign w:val="center"/>
          </w:tcPr>
          <w:p>
            <w:pPr>
              <w:pStyle w:val="1132"/>
            </w:pPr>
            <w:r>
              <w:rPr>
                <w:rFonts w:eastAsia="等线"/>
              </w:rPr>
              <w:t>60</w:t>
            </w:r>
          </w:p>
        </w:tc>
        <w:tc>
          <w:tcPr>
            <w:tcW w:w="333" w:type="pct"/>
            <w:vAlign w:val="center"/>
          </w:tcPr>
          <w:p>
            <w:pPr>
              <w:pStyle w:val="1132"/>
            </w:pPr>
            <w:r>
              <w:rPr>
                <w:rFonts w:eastAsia="等线"/>
              </w:rPr>
              <w:t>57</w:t>
            </w:r>
          </w:p>
        </w:tc>
        <w:tc>
          <w:tcPr>
            <w:tcW w:w="333" w:type="pct"/>
            <w:vAlign w:val="center"/>
          </w:tcPr>
          <w:p>
            <w:pPr>
              <w:pStyle w:val="1132"/>
            </w:pPr>
            <w:r>
              <w:rPr>
                <w:rFonts w:eastAsia="等线"/>
              </w:rPr>
              <w:t>54</w:t>
            </w:r>
          </w:p>
        </w:tc>
        <w:tc>
          <w:tcPr>
            <w:tcW w:w="333" w:type="pct"/>
            <w:vAlign w:val="center"/>
          </w:tcPr>
          <w:p>
            <w:pPr>
              <w:pStyle w:val="1132"/>
            </w:pPr>
            <w:r>
              <w:rPr>
                <w:rFonts w:eastAsia="等线"/>
              </w:rPr>
              <w:t>50</w:t>
            </w:r>
          </w:p>
        </w:tc>
        <w:tc>
          <w:tcPr>
            <w:tcW w:w="345" w:type="pct"/>
            <w:vAlign w:val="center"/>
          </w:tcPr>
          <w:p>
            <w:pPr>
              <w:pStyle w:val="1132"/>
            </w:pPr>
            <w:r>
              <w:rPr>
                <w:rFonts w:eastAsia="等线"/>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9</w:t>
            </w:r>
          </w:p>
        </w:tc>
        <w:tc>
          <w:tcPr>
            <w:tcW w:w="412" w:type="pct"/>
            <w:vMerge w:val="continue"/>
            <w:vAlign w:val="center"/>
          </w:tcPr>
          <w:p>
            <w:pPr>
              <w:pStyle w:val="1132"/>
            </w:pPr>
          </w:p>
        </w:tc>
        <w:tc>
          <w:tcPr>
            <w:tcW w:w="863" w:type="pct"/>
            <w:vAlign w:val="center"/>
          </w:tcPr>
          <w:p>
            <w:pPr>
              <w:pStyle w:val="1132"/>
            </w:pPr>
            <w:r>
              <w:t>双轮双振压路机</w:t>
            </w:r>
          </w:p>
        </w:tc>
        <w:tc>
          <w:tcPr>
            <w:tcW w:w="242" w:type="pct"/>
            <w:vAlign w:val="center"/>
          </w:tcPr>
          <w:p>
            <w:pPr>
              <w:pStyle w:val="1132"/>
            </w:pPr>
            <w:r>
              <w:rPr>
                <w:rFonts w:eastAsia="等线"/>
              </w:rPr>
              <w:t>81</w:t>
            </w:r>
          </w:p>
        </w:tc>
        <w:tc>
          <w:tcPr>
            <w:tcW w:w="242" w:type="pct"/>
            <w:vAlign w:val="center"/>
          </w:tcPr>
          <w:p>
            <w:pPr>
              <w:pStyle w:val="1132"/>
            </w:pPr>
            <w:r>
              <w:rPr>
                <w:rFonts w:eastAsia="等线"/>
              </w:rPr>
              <w:t>75</w:t>
            </w:r>
          </w:p>
        </w:tc>
        <w:tc>
          <w:tcPr>
            <w:tcW w:w="333" w:type="pct"/>
            <w:vAlign w:val="center"/>
          </w:tcPr>
          <w:p>
            <w:pPr>
              <w:pStyle w:val="1132"/>
            </w:pPr>
            <w:r>
              <w:rPr>
                <w:rFonts w:eastAsia="等线"/>
              </w:rPr>
              <w:t>65</w:t>
            </w:r>
          </w:p>
        </w:tc>
        <w:tc>
          <w:tcPr>
            <w:tcW w:w="333" w:type="pct"/>
            <w:vAlign w:val="center"/>
          </w:tcPr>
          <w:p>
            <w:pPr>
              <w:pStyle w:val="1132"/>
            </w:pPr>
            <w:r>
              <w:rPr>
                <w:rFonts w:eastAsia="等线"/>
              </w:rPr>
              <w:t>63</w:t>
            </w:r>
          </w:p>
        </w:tc>
        <w:tc>
          <w:tcPr>
            <w:tcW w:w="333" w:type="pct"/>
            <w:vAlign w:val="center"/>
          </w:tcPr>
          <w:p>
            <w:pPr>
              <w:pStyle w:val="1132"/>
            </w:pPr>
            <w:r>
              <w:rPr>
                <w:rFonts w:eastAsia="等线"/>
              </w:rPr>
              <w:t>61</w:t>
            </w:r>
          </w:p>
        </w:tc>
        <w:tc>
          <w:tcPr>
            <w:tcW w:w="322" w:type="pct"/>
            <w:vAlign w:val="center"/>
          </w:tcPr>
          <w:p>
            <w:pPr>
              <w:pStyle w:val="1132"/>
            </w:pPr>
            <w:r>
              <w:rPr>
                <w:rFonts w:eastAsia="等线"/>
              </w:rPr>
              <w:t>57</w:t>
            </w:r>
          </w:p>
        </w:tc>
        <w:tc>
          <w:tcPr>
            <w:tcW w:w="333" w:type="pct"/>
            <w:vAlign w:val="center"/>
          </w:tcPr>
          <w:p>
            <w:pPr>
              <w:pStyle w:val="1132"/>
            </w:pPr>
            <w:r>
              <w:rPr>
                <w:rFonts w:eastAsia="等线"/>
              </w:rPr>
              <w:t>55</w:t>
            </w:r>
          </w:p>
        </w:tc>
        <w:tc>
          <w:tcPr>
            <w:tcW w:w="333" w:type="pct"/>
            <w:vAlign w:val="center"/>
          </w:tcPr>
          <w:p>
            <w:pPr>
              <w:pStyle w:val="1132"/>
            </w:pPr>
            <w:r>
              <w:rPr>
                <w:rFonts w:eastAsia="等线"/>
              </w:rPr>
              <w:t>52</w:t>
            </w:r>
          </w:p>
        </w:tc>
        <w:tc>
          <w:tcPr>
            <w:tcW w:w="333" w:type="pct"/>
            <w:vAlign w:val="center"/>
          </w:tcPr>
          <w:p>
            <w:pPr>
              <w:pStyle w:val="1132"/>
            </w:pPr>
            <w:r>
              <w:rPr>
                <w:rFonts w:eastAsia="等线"/>
              </w:rPr>
              <w:t>49</w:t>
            </w:r>
          </w:p>
        </w:tc>
        <w:tc>
          <w:tcPr>
            <w:tcW w:w="333" w:type="pct"/>
            <w:vAlign w:val="center"/>
          </w:tcPr>
          <w:p>
            <w:pPr>
              <w:pStyle w:val="1132"/>
            </w:pPr>
            <w:r>
              <w:rPr>
                <w:rFonts w:eastAsia="等线"/>
              </w:rPr>
              <w:t>45</w:t>
            </w:r>
          </w:p>
        </w:tc>
        <w:tc>
          <w:tcPr>
            <w:tcW w:w="345" w:type="pct"/>
            <w:vAlign w:val="center"/>
          </w:tcPr>
          <w:p>
            <w:pPr>
              <w:pStyle w:val="1132"/>
            </w:pPr>
            <w:r>
              <w:rPr>
                <w:rFonts w:eastAsia="等线"/>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10</w:t>
            </w:r>
          </w:p>
        </w:tc>
        <w:tc>
          <w:tcPr>
            <w:tcW w:w="412" w:type="pct"/>
            <w:vMerge w:val="continue"/>
            <w:vAlign w:val="center"/>
          </w:tcPr>
          <w:p>
            <w:pPr>
              <w:pStyle w:val="1132"/>
            </w:pPr>
          </w:p>
        </w:tc>
        <w:tc>
          <w:tcPr>
            <w:tcW w:w="863" w:type="pct"/>
            <w:vAlign w:val="center"/>
          </w:tcPr>
          <w:p>
            <w:pPr>
              <w:pStyle w:val="1132"/>
            </w:pPr>
            <w:r>
              <w:t>三轮压路机</w:t>
            </w:r>
          </w:p>
        </w:tc>
        <w:tc>
          <w:tcPr>
            <w:tcW w:w="242" w:type="pct"/>
            <w:vAlign w:val="center"/>
          </w:tcPr>
          <w:p>
            <w:pPr>
              <w:pStyle w:val="1132"/>
            </w:pPr>
            <w:r>
              <w:rPr>
                <w:rFonts w:eastAsia="等线"/>
              </w:rPr>
              <w:t>81</w:t>
            </w:r>
          </w:p>
        </w:tc>
        <w:tc>
          <w:tcPr>
            <w:tcW w:w="242" w:type="pct"/>
            <w:vAlign w:val="center"/>
          </w:tcPr>
          <w:p>
            <w:pPr>
              <w:pStyle w:val="1132"/>
            </w:pPr>
            <w:r>
              <w:rPr>
                <w:rFonts w:eastAsia="等线"/>
              </w:rPr>
              <w:t>75</w:t>
            </w:r>
          </w:p>
        </w:tc>
        <w:tc>
          <w:tcPr>
            <w:tcW w:w="333" w:type="pct"/>
            <w:vAlign w:val="center"/>
          </w:tcPr>
          <w:p>
            <w:pPr>
              <w:pStyle w:val="1132"/>
            </w:pPr>
            <w:r>
              <w:rPr>
                <w:rFonts w:eastAsia="等线"/>
              </w:rPr>
              <w:t>65</w:t>
            </w:r>
          </w:p>
        </w:tc>
        <w:tc>
          <w:tcPr>
            <w:tcW w:w="333" w:type="pct"/>
            <w:vAlign w:val="center"/>
          </w:tcPr>
          <w:p>
            <w:pPr>
              <w:pStyle w:val="1132"/>
            </w:pPr>
            <w:r>
              <w:rPr>
                <w:rFonts w:eastAsia="等线"/>
              </w:rPr>
              <w:t>63</w:t>
            </w:r>
          </w:p>
        </w:tc>
        <w:tc>
          <w:tcPr>
            <w:tcW w:w="333" w:type="pct"/>
            <w:vAlign w:val="center"/>
          </w:tcPr>
          <w:p>
            <w:pPr>
              <w:pStyle w:val="1132"/>
            </w:pPr>
            <w:r>
              <w:rPr>
                <w:rFonts w:eastAsia="等线"/>
              </w:rPr>
              <w:t>61</w:t>
            </w:r>
          </w:p>
        </w:tc>
        <w:tc>
          <w:tcPr>
            <w:tcW w:w="322" w:type="pct"/>
            <w:vAlign w:val="center"/>
          </w:tcPr>
          <w:p>
            <w:pPr>
              <w:pStyle w:val="1132"/>
            </w:pPr>
            <w:r>
              <w:rPr>
                <w:rFonts w:eastAsia="等线"/>
              </w:rPr>
              <w:t>57</w:t>
            </w:r>
          </w:p>
        </w:tc>
        <w:tc>
          <w:tcPr>
            <w:tcW w:w="333" w:type="pct"/>
            <w:vAlign w:val="center"/>
          </w:tcPr>
          <w:p>
            <w:pPr>
              <w:pStyle w:val="1132"/>
            </w:pPr>
            <w:r>
              <w:rPr>
                <w:rFonts w:eastAsia="等线"/>
              </w:rPr>
              <w:t>55</w:t>
            </w:r>
          </w:p>
        </w:tc>
        <w:tc>
          <w:tcPr>
            <w:tcW w:w="333" w:type="pct"/>
            <w:vAlign w:val="center"/>
          </w:tcPr>
          <w:p>
            <w:pPr>
              <w:pStyle w:val="1132"/>
            </w:pPr>
            <w:r>
              <w:rPr>
                <w:rFonts w:eastAsia="等线"/>
              </w:rPr>
              <w:t>52</w:t>
            </w:r>
          </w:p>
        </w:tc>
        <w:tc>
          <w:tcPr>
            <w:tcW w:w="333" w:type="pct"/>
            <w:vAlign w:val="center"/>
          </w:tcPr>
          <w:p>
            <w:pPr>
              <w:pStyle w:val="1132"/>
            </w:pPr>
            <w:r>
              <w:rPr>
                <w:rFonts w:eastAsia="等线"/>
              </w:rPr>
              <w:t>49</w:t>
            </w:r>
          </w:p>
        </w:tc>
        <w:tc>
          <w:tcPr>
            <w:tcW w:w="333" w:type="pct"/>
            <w:vAlign w:val="center"/>
          </w:tcPr>
          <w:p>
            <w:pPr>
              <w:pStyle w:val="1132"/>
            </w:pPr>
            <w:r>
              <w:rPr>
                <w:rFonts w:eastAsia="等线"/>
              </w:rPr>
              <w:t>45</w:t>
            </w:r>
          </w:p>
        </w:tc>
        <w:tc>
          <w:tcPr>
            <w:tcW w:w="345" w:type="pct"/>
            <w:vAlign w:val="center"/>
          </w:tcPr>
          <w:p>
            <w:pPr>
              <w:pStyle w:val="1132"/>
            </w:pPr>
            <w:r>
              <w:rPr>
                <w:rFonts w:eastAsia="等线"/>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11</w:t>
            </w:r>
          </w:p>
        </w:tc>
        <w:tc>
          <w:tcPr>
            <w:tcW w:w="412" w:type="pct"/>
            <w:vMerge w:val="continue"/>
            <w:vAlign w:val="center"/>
          </w:tcPr>
          <w:p>
            <w:pPr>
              <w:pStyle w:val="1132"/>
            </w:pPr>
          </w:p>
        </w:tc>
        <w:tc>
          <w:tcPr>
            <w:tcW w:w="863" w:type="pct"/>
            <w:vAlign w:val="center"/>
          </w:tcPr>
          <w:p>
            <w:pPr>
              <w:pStyle w:val="1132"/>
            </w:pPr>
            <w:r>
              <w:t>轮胎压路机</w:t>
            </w:r>
          </w:p>
        </w:tc>
        <w:tc>
          <w:tcPr>
            <w:tcW w:w="242" w:type="pct"/>
            <w:vAlign w:val="center"/>
          </w:tcPr>
          <w:p>
            <w:pPr>
              <w:pStyle w:val="1132"/>
            </w:pPr>
            <w:r>
              <w:rPr>
                <w:rFonts w:eastAsia="等线"/>
              </w:rPr>
              <w:t>76</w:t>
            </w:r>
          </w:p>
        </w:tc>
        <w:tc>
          <w:tcPr>
            <w:tcW w:w="242" w:type="pct"/>
            <w:vAlign w:val="center"/>
          </w:tcPr>
          <w:p>
            <w:pPr>
              <w:pStyle w:val="1132"/>
            </w:pPr>
            <w:r>
              <w:rPr>
                <w:rFonts w:eastAsia="等线"/>
              </w:rPr>
              <w:t>70</w:t>
            </w:r>
          </w:p>
        </w:tc>
        <w:tc>
          <w:tcPr>
            <w:tcW w:w="333" w:type="pct"/>
            <w:vAlign w:val="center"/>
          </w:tcPr>
          <w:p>
            <w:pPr>
              <w:pStyle w:val="1132"/>
            </w:pPr>
            <w:r>
              <w:rPr>
                <w:rFonts w:eastAsia="等线"/>
              </w:rPr>
              <w:t>60</w:t>
            </w:r>
          </w:p>
        </w:tc>
        <w:tc>
          <w:tcPr>
            <w:tcW w:w="333" w:type="pct"/>
            <w:vAlign w:val="center"/>
          </w:tcPr>
          <w:p>
            <w:pPr>
              <w:pStyle w:val="1132"/>
            </w:pPr>
            <w:r>
              <w:rPr>
                <w:rFonts w:eastAsia="等线"/>
              </w:rPr>
              <w:t>58</w:t>
            </w:r>
          </w:p>
        </w:tc>
        <w:tc>
          <w:tcPr>
            <w:tcW w:w="333" w:type="pct"/>
            <w:vAlign w:val="center"/>
          </w:tcPr>
          <w:p>
            <w:pPr>
              <w:pStyle w:val="1132"/>
            </w:pPr>
            <w:r>
              <w:rPr>
                <w:rFonts w:eastAsia="等线"/>
              </w:rPr>
              <w:t>56</w:t>
            </w:r>
          </w:p>
        </w:tc>
        <w:tc>
          <w:tcPr>
            <w:tcW w:w="322" w:type="pct"/>
            <w:vAlign w:val="center"/>
          </w:tcPr>
          <w:p>
            <w:pPr>
              <w:pStyle w:val="1132"/>
            </w:pPr>
            <w:r>
              <w:rPr>
                <w:rFonts w:eastAsia="等线"/>
              </w:rPr>
              <w:t>52</w:t>
            </w:r>
          </w:p>
        </w:tc>
        <w:tc>
          <w:tcPr>
            <w:tcW w:w="333" w:type="pct"/>
            <w:vAlign w:val="center"/>
          </w:tcPr>
          <w:p>
            <w:pPr>
              <w:pStyle w:val="1132"/>
            </w:pPr>
            <w:r>
              <w:rPr>
                <w:rFonts w:eastAsia="等线"/>
              </w:rPr>
              <w:t>50</w:t>
            </w:r>
          </w:p>
        </w:tc>
        <w:tc>
          <w:tcPr>
            <w:tcW w:w="333" w:type="pct"/>
            <w:vAlign w:val="center"/>
          </w:tcPr>
          <w:p>
            <w:pPr>
              <w:pStyle w:val="1132"/>
            </w:pPr>
            <w:r>
              <w:rPr>
                <w:rFonts w:eastAsia="等线"/>
              </w:rPr>
              <w:t>47</w:t>
            </w:r>
          </w:p>
        </w:tc>
        <w:tc>
          <w:tcPr>
            <w:tcW w:w="333" w:type="pct"/>
            <w:vAlign w:val="center"/>
          </w:tcPr>
          <w:p>
            <w:pPr>
              <w:pStyle w:val="1132"/>
            </w:pPr>
            <w:r>
              <w:rPr>
                <w:rFonts w:eastAsia="等线"/>
              </w:rPr>
              <w:t>44</w:t>
            </w:r>
          </w:p>
        </w:tc>
        <w:tc>
          <w:tcPr>
            <w:tcW w:w="333" w:type="pct"/>
            <w:vAlign w:val="center"/>
          </w:tcPr>
          <w:p>
            <w:pPr>
              <w:pStyle w:val="1132"/>
            </w:pPr>
            <w:r>
              <w:rPr>
                <w:rFonts w:eastAsia="等线"/>
              </w:rPr>
              <w:t>40</w:t>
            </w:r>
          </w:p>
        </w:tc>
        <w:tc>
          <w:tcPr>
            <w:tcW w:w="345" w:type="pct"/>
            <w:vAlign w:val="center"/>
          </w:tcPr>
          <w:p>
            <w:pPr>
              <w:pStyle w:val="1132"/>
            </w:pPr>
            <w:r>
              <w:rPr>
                <w:rFonts w:eastAsia="等线"/>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12</w:t>
            </w:r>
          </w:p>
        </w:tc>
        <w:tc>
          <w:tcPr>
            <w:tcW w:w="412" w:type="pct"/>
            <w:vMerge w:val="continue"/>
            <w:vAlign w:val="center"/>
          </w:tcPr>
          <w:p>
            <w:pPr>
              <w:pStyle w:val="1132"/>
            </w:pPr>
          </w:p>
        </w:tc>
        <w:tc>
          <w:tcPr>
            <w:tcW w:w="863" w:type="pct"/>
            <w:vAlign w:val="center"/>
          </w:tcPr>
          <w:p>
            <w:pPr>
              <w:pStyle w:val="1132"/>
            </w:pPr>
            <w:r>
              <w:t>泵</w:t>
            </w:r>
          </w:p>
        </w:tc>
        <w:tc>
          <w:tcPr>
            <w:tcW w:w="242" w:type="pct"/>
            <w:vAlign w:val="center"/>
          </w:tcPr>
          <w:p>
            <w:pPr>
              <w:pStyle w:val="1132"/>
            </w:pPr>
            <w:r>
              <w:rPr>
                <w:rFonts w:eastAsia="等线"/>
              </w:rPr>
              <w:t>85</w:t>
            </w:r>
          </w:p>
        </w:tc>
        <w:tc>
          <w:tcPr>
            <w:tcW w:w="242" w:type="pct"/>
            <w:vAlign w:val="center"/>
          </w:tcPr>
          <w:p>
            <w:pPr>
              <w:pStyle w:val="1132"/>
            </w:pPr>
            <w:r>
              <w:rPr>
                <w:rFonts w:eastAsia="等线"/>
              </w:rPr>
              <w:t>79</w:t>
            </w:r>
          </w:p>
        </w:tc>
        <w:tc>
          <w:tcPr>
            <w:tcW w:w="333" w:type="pct"/>
            <w:vAlign w:val="center"/>
          </w:tcPr>
          <w:p>
            <w:pPr>
              <w:pStyle w:val="1132"/>
            </w:pPr>
            <w:r>
              <w:rPr>
                <w:rFonts w:eastAsia="等线"/>
              </w:rPr>
              <w:t>69</w:t>
            </w:r>
          </w:p>
        </w:tc>
        <w:tc>
          <w:tcPr>
            <w:tcW w:w="333" w:type="pct"/>
            <w:vAlign w:val="center"/>
          </w:tcPr>
          <w:p>
            <w:pPr>
              <w:pStyle w:val="1132"/>
            </w:pPr>
            <w:r>
              <w:rPr>
                <w:rFonts w:eastAsia="等线"/>
              </w:rPr>
              <w:t>67</w:t>
            </w:r>
          </w:p>
        </w:tc>
        <w:tc>
          <w:tcPr>
            <w:tcW w:w="333" w:type="pct"/>
            <w:vAlign w:val="center"/>
          </w:tcPr>
          <w:p>
            <w:pPr>
              <w:pStyle w:val="1132"/>
            </w:pPr>
            <w:r>
              <w:rPr>
                <w:rFonts w:eastAsia="等线"/>
              </w:rPr>
              <w:t>65</w:t>
            </w:r>
          </w:p>
        </w:tc>
        <w:tc>
          <w:tcPr>
            <w:tcW w:w="322" w:type="pct"/>
            <w:vAlign w:val="center"/>
          </w:tcPr>
          <w:p>
            <w:pPr>
              <w:pStyle w:val="1132"/>
            </w:pPr>
            <w:r>
              <w:rPr>
                <w:rFonts w:eastAsia="等线"/>
              </w:rPr>
              <w:t>61</w:t>
            </w:r>
          </w:p>
        </w:tc>
        <w:tc>
          <w:tcPr>
            <w:tcW w:w="333" w:type="pct"/>
            <w:vAlign w:val="center"/>
          </w:tcPr>
          <w:p>
            <w:pPr>
              <w:pStyle w:val="1132"/>
            </w:pPr>
            <w:r>
              <w:rPr>
                <w:rFonts w:eastAsia="等线"/>
              </w:rPr>
              <w:t>59</w:t>
            </w:r>
          </w:p>
        </w:tc>
        <w:tc>
          <w:tcPr>
            <w:tcW w:w="333" w:type="pct"/>
            <w:vAlign w:val="center"/>
          </w:tcPr>
          <w:p>
            <w:pPr>
              <w:pStyle w:val="1132"/>
            </w:pPr>
            <w:r>
              <w:rPr>
                <w:rFonts w:eastAsia="等线"/>
              </w:rPr>
              <w:t>56</w:t>
            </w:r>
          </w:p>
        </w:tc>
        <w:tc>
          <w:tcPr>
            <w:tcW w:w="333" w:type="pct"/>
            <w:vAlign w:val="center"/>
          </w:tcPr>
          <w:p>
            <w:pPr>
              <w:pStyle w:val="1132"/>
            </w:pPr>
            <w:r>
              <w:rPr>
                <w:rFonts w:eastAsia="等线"/>
              </w:rPr>
              <w:t>53</w:t>
            </w:r>
          </w:p>
        </w:tc>
        <w:tc>
          <w:tcPr>
            <w:tcW w:w="333" w:type="pct"/>
            <w:vAlign w:val="center"/>
          </w:tcPr>
          <w:p>
            <w:pPr>
              <w:pStyle w:val="1132"/>
            </w:pPr>
            <w:r>
              <w:rPr>
                <w:rFonts w:eastAsia="等线"/>
              </w:rPr>
              <w:t>49</w:t>
            </w:r>
          </w:p>
        </w:tc>
        <w:tc>
          <w:tcPr>
            <w:tcW w:w="345" w:type="pct"/>
            <w:vAlign w:val="center"/>
          </w:tcPr>
          <w:p>
            <w:pPr>
              <w:pStyle w:val="1132"/>
            </w:pPr>
            <w:r>
              <w:rPr>
                <w:rFonts w:eastAsia="等线"/>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t>13</w:t>
            </w:r>
          </w:p>
        </w:tc>
        <w:tc>
          <w:tcPr>
            <w:tcW w:w="412" w:type="pct"/>
            <w:vMerge w:val="continue"/>
          </w:tcPr>
          <w:p>
            <w:pPr>
              <w:pStyle w:val="1132"/>
            </w:pPr>
          </w:p>
        </w:tc>
        <w:tc>
          <w:tcPr>
            <w:tcW w:w="863" w:type="pct"/>
            <w:vAlign w:val="center"/>
          </w:tcPr>
          <w:p>
            <w:pPr>
              <w:pStyle w:val="1132"/>
            </w:pPr>
            <w:r>
              <w:t>振捣机</w:t>
            </w:r>
          </w:p>
        </w:tc>
        <w:tc>
          <w:tcPr>
            <w:tcW w:w="242" w:type="pct"/>
            <w:vAlign w:val="center"/>
          </w:tcPr>
          <w:p>
            <w:pPr>
              <w:pStyle w:val="1132"/>
            </w:pPr>
            <w:r>
              <w:rPr>
                <w:rFonts w:eastAsia="等线"/>
              </w:rPr>
              <w:t>84</w:t>
            </w:r>
          </w:p>
        </w:tc>
        <w:tc>
          <w:tcPr>
            <w:tcW w:w="242" w:type="pct"/>
            <w:vAlign w:val="center"/>
          </w:tcPr>
          <w:p>
            <w:pPr>
              <w:pStyle w:val="1132"/>
            </w:pPr>
            <w:r>
              <w:rPr>
                <w:rFonts w:eastAsia="等线"/>
              </w:rPr>
              <w:t>78</w:t>
            </w:r>
          </w:p>
        </w:tc>
        <w:tc>
          <w:tcPr>
            <w:tcW w:w="333" w:type="pct"/>
            <w:vAlign w:val="center"/>
          </w:tcPr>
          <w:p>
            <w:pPr>
              <w:pStyle w:val="1132"/>
            </w:pPr>
            <w:r>
              <w:rPr>
                <w:rFonts w:eastAsia="等线"/>
              </w:rPr>
              <w:t>68</w:t>
            </w:r>
          </w:p>
        </w:tc>
        <w:tc>
          <w:tcPr>
            <w:tcW w:w="333" w:type="pct"/>
            <w:vAlign w:val="center"/>
          </w:tcPr>
          <w:p>
            <w:pPr>
              <w:pStyle w:val="1132"/>
            </w:pPr>
            <w:r>
              <w:rPr>
                <w:rFonts w:eastAsia="等线"/>
              </w:rPr>
              <w:t>66</w:t>
            </w:r>
          </w:p>
        </w:tc>
        <w:tc>
          <w:tcPr>
            <w:tcW w:w="333" w:type="pct"/>
            <w:vAlign w:val="center"/>
          </w:tcPr>
          <w:p>
            <w:pPr>
              <w:pStyle w:val="1132"/>
            </w:pPr>
            <w:r>
              <w:rPr>
                <w:rFonts w:eastAsia="等线"/>
              </w:rPr>
              <w:t>64</w:t>
            </w:r>
          </w:p>
        </w:tc>
        <w:tc>
          <w:tcPr>
            <w:tcW w:w="322" w:type="pct"/>
            <w:vAlign w:val="center"/>
          </w:tcPr>
          <w:p>
            <w:pPr>
              <w:pStyle w:val="1132"/>
            </w:pPr>
            <w:r>
              <w:rPr>
                <w:rFonts w:eastAsia="等线"/>
              </w:rPr>
              <w:t>60</w:t>
            </w:r>
          </w:p>
        </w:tc>
        <w:tc>
          <w:tcPr>
            <w:tcW w:w="333" w:type="pct"/>
            <w:vAlign w:val="center"/>
          </w:tcPr>
          <w:p>
            <w:pPr>
              <w:pStyle w:val="1132"/>
            </w:pPr>
            <w:r>
              <w:rPr>
                <w:rFonts w:eastAsia="等线"/>
              </w:rPr>
              <w:t>58</w:t>
            </w:r>
          </w:p>
        </w:tc>
        <w:tc>
          <w:tcPr>
            <w:tcW w:w="333" w:type="pct"/>
            <w:vAlign w:val="center"/>
          </w:tcPr>
          <w:p>
            <w:pPr>
              <w:pStyle w:val="1132"/>
            </w:pPr>
            <w:r>
              <w:rPr>
                <w:rFonts w:eastAsia="等线"/>
              </w:rPr>
              <w:t>55</w:t>
            </w:r>
          </w:p>
        </w:tc>
        <w:tc>
          <w:tcPr>
            <w:tcW w:w="333" w:type="pct"/>
            <w:vAlign w:val="center"/>
          </w:tcPr>
          <w:p>
            <w:pPr>
              <w:pStyle w:val="1132"/>
            </w:pPr>
            <w:r>
              <w:rPr>
                <w:rFonts w:eastAsia="等线"/>
              </w:rPr>
              <w:t>52</w:t>
            </w:r>
          </w:p>
        </w:tc>
        <w:tc>
          <w:tcPr>
            <w:tcW w:w="333" w:type="pct"/>
            <w:vAlign w:val="center"/>
          </w:tcPr>
          <w:p>
            <w:pPr>
              <w:pStyle w:val="1132"/>
            </w:pPr>
            <w:r>
              <w:rPr>
                <w:rFonts w:eastAsia="等线"/>
              </w:rPr>
              <w:t>48</w:t>
            </w:r>
          </w:p>
        </w:tc>
        <w:tc>
          <w:tcPr>
            <w:tcW w:w="345" w:type="pct"/>
            <w:vAlign w:val="center"/>
          </w:tcPr>
          <w:p>
            <w:pPr>
              <w:pStyle w:val="1132"/>
            </w:pPr>
            <w:r>
              <w:rPr>
                <w:rFonts w:eastAsia="等线"/>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rPr>
                <w:rFonts w:hint="eastAsia"/>
              </w:rPr>
              <w:t>1</w:t>
            </w:r>
            <w:r>
              <w:t>4</w:t>
            </w:r>
          </w:p>
        </w:tc>
        <w:tc>
          <w:tcPr>
            <w:tcW w:w="412" w:type="pct"/>
            <w:vMerge w:val="restart"/>
          </w:tcPr>
          <w:p>
            <w:pPr>
              <w:pStyle w:val="1132"/>
            </w:pPr>
            <w:r>
              <w:rPr>
                <w:rFonts w:hint="eastAsia"/>
              </w:rPr>
              <w:t>房屋拆迁</w:t>
            </w:r>
          </w:p>
        </w:tc>
        <w:tc>
          <w:tcPr>
            <w:tcW w:w="863" w:type="pct"/>
            <w:vAlign w:val="center"/>
          </w:tcPr>
          <w:p>
            <w:pPr>
              <w:pStyle w:val="1132"/>
            </w:pPr>
            <w:r>
              <w:rPr>
                <w:rFonts w:hint="eastAsia"/>
              </w:rPr>
              <w:t>破碎锤</w:t>
            </w:r>
          </w:p>
        </w:tc>
        <w:tc>
          <w:tcPr>
            <w:tcW w:w="242" w:type="pct"/>
            <w:vAlign w:val="center"/>
          </w:tcPr>
          <w:p>
            <w:pPr>
              <w:pStyle w:val="1132"/>
            </w:pPr>
            <w:r>
              <w:rPr>
                <w:rFonts w:eastAsia="等线"/>
              </w:rPr>
              <w:t>77</w:t>
            </w:r>
          </w:p>
        </w:tc>
        <w:tc>
          <w:tcPr>
            <w:tcW w:w="242" w:type="pct"/>
            <w:vAlign w:val="center"/>
          </w:tcPr>
          <w:p>
            <w:pPr>
              <w:pStyle w:val="1132"/>
            </w:pPr>
            <w:r>
              <w:rPr>
                <w:rFonts w:eastAsia="等线"/>
              </w:rPr>
              <w:t>71</w:t>
            </w:r>
          </w:p>
        </w:tc>
        <w:tc>
          <w:tcPr>
            <w:tcW w:w="333" w:type="pct"/>
            <w:vAlign w:val="center"/>
          </w:tcPr>
          <w:p>
            <w:pPr>
              <w:pStyle w:val="1132"/>
            </w:pPr>
            <w:r>
              <w:rPr>
                <w:rFonts w:eastAsia="等线"/>
              </w:rPr>
              <w:t>61</w:t>
            </w:r>
          </w:p>
        </w:tc>
        <w:tc>
          <w:tcPr>
            <w:tcW w:w="333" w:type="pct"/>
            <w:vAlign w:val="center"/>
          </w:tcPr>
          <w:p>
            <w:pPr>
              <w:pStyle w:val="1132"/>
            </w:pPr>
            <w:r>
              <w:rPr>
                <w:rFonts w:eastAsia="等线"/>
              </w:rPr>
              <w:t>59</w:t>
            </w:r>
          </w:p>
        </w:tc>
        <w:tc>
          <w:tcPr>
            <w:tcW w:w="333" w:type="pct"/>
            <w:vAlign w:val="center"/>
          </w:tcPr>
          <w:p>
            <w:pPr>
              <w:pStyle w:val="1132"/>
            </w:pPr>
            <w:r>
              <w:rPr>
                <w:rFonts w:eastAsia="等线"/>
              </w:rPr>
              <w:t>57</w:t>
            </w:r>
          </w:p>
        </w:tc>
        <w:tc>
          <w:tcPr>
            <w:tcW w:w="322" w:type="pct"/>
            <w:vAlign w:val="center"/>
          </w:tcPr>
          <w:p>
            <w:pPr>
              <w:pStyle w:val="1132"/>
            </w:pPr>
            <w:r>
              <w:rPr>
                <w:rFonts w:eastAsia="等线"/>
              </w:rPr>
              <w:t>53</w:t>
            </w:r>
          </w:p>
        </w:tc>
        <w:tc>
          <w:tcPr>
            <w:tcW w:w="333" w:type="pct"/>
            <w:vAlign w:val="center"/>
          </w:tcPr>
          <w:p>
            <w:pPr>
              <w:pStyle w:val="1132"/>
            </w:pPr>
            <w:r>
              <w:rPr>
                <w:rFonts w:eastAsia="等线"/>
              </w:rPr>
              <w:t>51</w:t>
            </w:r>
          </w:p>
        </w:tc>
        <w:tc>
          <w:tcPr>
            <w:tcW w:w="333" w:type="pct"/>
            <w:vAlign w:val="center"/>
          </w:tcPr>
          <w:p>
            <w:pPr>
              <w:pStyle w:val="1132"/>
            </w:pPr>
            <w:r>
              <w:rPr>
                <w:rFonts w:eastAsia="等线"/>
              </w:rPr>
              <w:t>48</w:t>
            </w:r>
          </w:p>
        </w:tc>
        <w:tc>
          <w:tcPr>
            <w:tcW w:w="333" w:type="pct"/>
            <w:vAlign w:val="center"/>
          </w:tcPr>
          <w:p>
            <w:pPr>
              <w:pStyle w:val="1132"/>
            </w:pPr>
            <w:r>
              <w:rPr>
                <w:rFonts w:eastAsia="等线"/>
              </w:rPr>
              <w:t>45</w:t>
            </w:r>
          </w:p>
        </w:tc>
        <w:tc>
          <w:tcPr>
            <w:tcW w:w="333" w:type="pct"/>
            <w:vAlign w:val="center"/>
          </w:tcPr>
          <w:p>
            <w:pPr>
              <w:pStyle w:val="1132"/>
            </w:pPr>
            <w:r>
              <w:rPr>
                <w:rFonts w:eastAsia="等线"/>
              </w:rPr>
              <w:t>41</w:t>
            </w:r>
          </w:p>
        </w:tc>
        <w:tc>
          <w:tcPr>
            <w:tcW w:w="345" w:type="pct"/>
            <w:vAlign w:val="center"/>
          </w:tcPr>
          <w:p>
            <w:pPr>
              <w:pStyle w:val="1132"/>
            </w:pPr>
            <w:r>
              <w:rPr>
                <w:rFonts w:eastAsia="等线"/>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pStyle w:val="1132"/>
            </w:pPr>
            <w:r>
              <w:rPr>
                <w:rFonts w:hint="eastAsia"/>
              </w:rPr>
              <w:t>1</w:t>
            </w:r>
            <w:r>
              <w:t>5</w:t>
            </w:r>
          </w:p>
        </w:tc>
        <w:tc>
          <w:tcPr>
            <w:tcW w:w="412" w:type="pct"/>
            <w:vMerge w:val="continue"/>
          </w:tcPr>
          <w:p>
            <w:pPr>
              <w:pStyle w:val="1132"/>
            </w:pPr>
          </w:p>
        </w:tc>
        <w:tc>
          <w:tcPr>
            <w:tcW w:w="863" w:type="pct"/>
            <w:vAlign w:val="center"/>
          </w:tcPr>
          <w:p>
            <w:pPr>
              <w:pStyle w:val="1132"/>
            </w:pPr>
            <w:r>
              <w:rPr>
                <w:rFonts w:hint="eastAsia"/>
              </w:rPr>
              <w:t>液压挖掘机</w:t>
            </w:r>
          </w:p>
        </w:tc>
        <w:tc>
          <w:tcPr>
            <w:tcW w:w="242" w:type="pct"/>
            <w:vAlign w:val="center"/>
          </w:tcPr>
          <w:p>
            <w:pPr>
              <w:pStyle w:val="1132"/>
            </w:pPr>
            <w:r>
              <w:rPr>
                <w:rFonts w:eastAsia="等线"/>
              </w:rPr>
              <w:t>84</w:t>
            </w:r>
          </w:p>
        </w:tc>
        <w:tc>
          <w:tcPr>
            <w:tcW w:w="242" w:type="pct"/>
            <w:vAlign w:val="center"/>
          </w:tcPr>
          <w:p>
            <w:pPr>
              <w:pStyle w:val="1132"/>
            </w:pPr>
            <w:r>
              <w:rPr>
                <w:rFonts w:eastAsia="等线"/>
              </w:rPr>
              <w:t>78</w:t>
            </w:r>
          </w:p>
        </w:tc>
        <w:tc>
          <w:tcPr>
            <w:tcW w:w="333" w:type="pct"/>
            <w:vAlign w:val="center"/>
          </w:tcPr>
          <w:p>
            <w:pPr>
              <w:pStyle w:val="1132"/>
            </w:pPr>
            <w:r>
              <w:rPr>
                <w:rFonts w:eastAsia="等线"/>
              </w:rPr>
              <w:t>68</w:t>
            </w:r>
          </w:p>
        </w:tc>
        <w:tc>
          <w:tcPr>
            <w:tcW w:w="333" w:type="pct"/>
            <w:vAlign w:val="center"/>
          </w:tcPr>
          <w:p>
            <w:pPr>
              <w:pStyle w:val="1132"/>
            </w:pPr>
            <w:r>
              <w:rPr>
                <w:rFonts w:eastAsia="等线"/>
              </w:rPr>
              <w:t>66</w:t>
            </w:r>
          </w:p>
        </w:tc>
        <w:tc>
          <w:tcPr>
            <w:tcW w:w="333" w:type="pct"/>
            <w:vAlign w:val="center"/>
          </w:tcPr>
          <w:p>
            <w:pPr>
              <w:pStyle w:val="1132"/>
            </w:pPr>
            <w:r>
              <w:rPr>
                <w:rFonts w:eastAsia="等线"/>
              </w:rPr>
              <w:t>64</w:t>
            </w:r>
          </w:p>
        </w:tc>
        <w:tc>
          <w:tcPr>
            <w:tcW w:w="322" w:type="pct"/>
            <w:vAlign w:val="center"/>
          </w:tcPr>
          <w:p>
            <w:pPr>
              <w:pStyle w:val="1132"/>
            </w:pPr>
            <w:r>
              <w:rPr>
                <w:rFonts w:eastAsia="等线"/>
              </w:rPr>
              <w:t>60</w:t>
            </w:r>
          </w:p>
        </w:tc>
        <w:tc>
          <w:tcPr>
            <w:tcW w:w="333" w:type="pct"/>
            <w:vAlign w:val="center"/>
          </w:tcPr>
          <w:p>
            <w:pPr>
              <w:pStyle w:val="1132"/>
            </w:pPr>
            <w:r>
              <w:rPr>
                <w:rFonts w:eastAsia="等线"/>
              </w:rPr>
              <w:t>58</w:t>
            </w:r>
          </w:p>
        </w:tc>
        <w:tc>
          <w:tcPr>
            <w:tcW w:w="333" w:type="pct"/>
            <w:vAlign w:val="center"/>
          </w:tcPr>
          <w:p>
            <w:pPr>
              <w:pStyle w:val="1132"/>
            </w:pPr>
            <w:r>
              <w:rPr>
                <w:rFonts w:eastAsia="等线"/>
              </w:rPr>
              <w:t>55</w:t>
            </w:r>
          </w:p>
        </w:tc>
        <w:tc>
          <w:tcPr>
            <w:tcW w:w="333" w:type="pct"/>
            <w:vAlign w:val="center"/>
          </w:tcPr>
          <w:p>
            <w:pPr>
              <w:pStyle w:val="1132"/>
            </w:pPr>
            <w:r>
              <w:rPr>
                <w:rFonts w:eastAsia="等线"/>
              </w:rPr>
              <w:t>52</w:t>
            </w:r>
          </w:p>
        </w:tc>
        <w:tc>
          <w:tcPr>
            <w:tcW w:w="333" w:type="pct"/>
            <w:vAlign w:val="center"/>
          </w:tcPr>
          <w:p>
            <w:pPr>
              <w:pStyle w:val="1132"/>
            </w:pPr>
            <w:r>
              <w:rPr>
                <w:rFonts w:eastAsia="等线"/>
              </w:rPr>
              <w:t>48</w:t>
            </w:r>
          </w:p>
        </w:tc>
        <w:tc>
          <w:tcPr>
            <w:tcW w:w="345" w:type="pct"/>
            <w:vAlign w:val="center"/>
          </w:tcPr>
          <w:p>
            <w:pPr>
              <w:pStyle w:val="1132"/>
            </w:pPr>
            <w:r>
              <w:rPr>
                <w:rFonts w:eastAsia="等线"/>
              </w:rPr>
              <w:t>47</w:t>
            </w:r>
          </w:p>
        </w:tc>
      </w:tr>
    </w:tbl>
    <w:p>
      <w:pPr>
        <w:pStyle w:val="10"/>
        <w:ind w:firstLine="480"/>
      </w:pPr>
      <w:r>
        <w:t>根据表5.1-1的计算结果，如果使用单台施工机械作业时，昼间施工在距离施工机械50m处，夜间施工在距离施工机械300m处，噪声值分别可满足《建筑施工场界环境噪声排放标准》（GB12523-2011）。</w:t>
      </w:r>
    </w:p>
    <w:p>
      <w:pPr>
        <w:pStyle w:val="10"/>
        <w:ind w:firstLine="480"/>
      </w:pPr>
      <w:r>
        <w:rPr>
          <w:rFonts w:hint="eastAsia"/>
        </w:rPr>
        <w:t>②</w:t>
      </w:r>
      <w:r>
        <w:t>多台施工机械施工场界噪声预测</w:t>
      </w:r>
    </w:p>
    <w:p>
      <w:pPr>
        <w:pStyle w:val="10"/>
        <w:ind w:firstLine="480"/>
        <w:rPr>
          <w:color w:val="0070C0"/>
        </w:rPr>
      </w:pPr>
      <w:r>
        <w:t>现场施工时有多台设备同时运转，其噪声情况应是这些设备总叠加，则本项目将所产生噪声叠加后预测对某个距离的总声压级，计算结果见表5.1-2。</w:t>
      </w:r>
    </w:p>
    <w:p>
      <w:pPr>
        <w:pStyle w:val="19"/>
        <w:rPr>
          <w:rFonts w:hint="eastAsia"/>
        </w:rPr>
      </w:pPr>
    </w:p>
    <w:p>
      <w:pPr>
        <w:pStyle w:val="19"/>
        <w:rPr>
          <w:rFonts w:hint="eastAsia"/>
        </w:rPr>
      </w:pPr>
    </w:p>
    <w:p>
      <w:pPr>
        <w:pStyle w:val="19"/>
        <w:rPr>
          <w:rFonts w:hint="eastAsia"/>
        </w:rPr>
      </w:pPr>
    </w:p>
    <w:p>
      <w:pPr>
        <w:pStyle w:val="19"/>
        <w:rPr>
          <w:rFonts w:hint="eastAsia"/>
        </w:rPr>
      </w:pP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各施工阶段的噪声预测结果（未叠加本底值） 单位：dB(A)</w:t>
      </w:r>
    </w:p>
    <w:tbl>
      <w:tblPr>
        <w:tblStyle w:val="47"/>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1504"/>
        <w:gridCol w:w="544"/>
        <w:gridCol w:w="544"/>
        <w:gridCol w:w="544"/>
        <w:gridCol w:w="544"/>
        <w:gridCol w:w="546"/>
        <w:gridCol w:w="544"/>
        <w:gridCol w:w="544"/>
        <w:gridCol w:w="544"/>
        <w:gridCol w:w="544"/>
        <w:gridCol w:w="546"/>
        <w:gridCol w:w="544"/>
        <w:gridCol w:w="544"/>
        <w:gridCol w:w="544"/>
        <w:gridCol w:w="54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jc w:val="center"/>
        </w:trPr>
        <w:tc>
          <w:tcPr>
            <w:tcW w:w="824" w:type="pct"/>
            <w:tcBorders>
              <w:top w:val="single" w:color="auto" w:sz="4" w:space="0"/>
              <w:tl2br w:val="single" w:color="auto" w:sz="4" w:space="0"/>
            </w:tcBorders>
            <w:vAlign w:val="center"/>
          </w:tcPr>
          <w:p>
            <w:pPr>
              <w:pStyle w:val="1132"/>
            </w:pPr>
            <w:r>
              <w:rPr>
                <w:rFonts w:hint="eastAsia"/>
                <w:lang w:val="en-US" w:eastAsia="zh-CN"/>
              </w:rPr>
              <w:t xml:space="preserve">         </w:t>
            </w:r>
            <w:r>
              <w:t>距离r/m</w:t>
            </w:r>
          </w:p>
          <w:p>
            <w:pPr>
              <w:pStyle w:val="1132"/>
              <w:jc w:val="both"/>
            </w:pPr>
            <w:r>
              <w:t>施工阶段</w:t>
            </w:r>
          </w:p>
        </w:tc>
        <w:tc>
          <w:tcPr>
            <w:tcW w:w="298" w:type="pct"/>
            <w:tcBorders>
              <w:top w:val="single" w:color="auto" w:sz="4" w:space="0"/>
            </w:tcBorders>
            <w:vAlign w:val="center"/>
          </w:tcPr>
          <w:p>
            <w:pPr>
              <w:pStyle w:val="1132"/>
            </w:pPr>
            <w:r>
              <w:t>10</w:t>
            </w:r>
          </w:p>
        </w:tc>
        <w:tc>
          <w:tcPr>
            <w:tcW w:w="298" w:type="pct"/>
            <w:tcBorders>
              <w:top w:val="single" w:color="auto" w:sz="4" w:space="0"/>
            </w:tcBorders>
            <w:vAlign w:val="center"/>
          </w:tcPr>
          <w:p>
            <w:pPr>
              <w:pStyle w:val="1132"/>
            </w:pPr>
            <w:r>
              <w:rPr>
                <w:rFonts w:hint="eastAsia"/>
              </w:rPr>
              <w:t>2</w:t>
            </w:r>
            <w:r>
              <w:t>7</w:t>
            </w:r>
          </w:p>
        </w:tc>
        <w:tc>
          <w:tcPr>
            <w:tcW w:w="298" w:type="pct"/>
            <w:tcBorders>
              <w:top w:val="single" w:color="auto" w:sz="4" w:space="0"/>
              <w:left w:val="single" w:color="auto" w:sz="4" w:space="0"/>
              <w:right w:val="single" w:color="auto" w:sz="4" w:space="0"/>
            </w:tcBorders>
            <w:vAlign w:val="center"/>
          </w:tcPr>
          <w:p>
            <w:pPr>
              <w:pStyle w:val="1132"/>
            </w:pPr>
            <w:r>
              <w:t>30</w:t>
            </w:r>
          </w:p>
        </w:tc>
        <w:tc>
          <w:tcPr>
            <w:tcW w:w="298" w:type="pct"/>
            <w:tcBorders>
              <w:top w:val="single" w:color="auto" w:sz="4" w:space="0"/>
              <w:left w:val="single" w:color="auto" w:sz="4" w:space="0"/>
              <w:right w:val="single" w:color="auto" w:sz="4" w:space="0"/>
            </w:tcBorders>
            <w:vAlign w:val="center"/>
          </w:tcPr>
          <w:p>
            <w:pPr>
              <w:pStyle w:val="1132"/>
            </w:pPr>
            <w:r>
              <w:t>40</w:t>
            </w:r>
          </w:p>
        </w:tc>
        <w:tc>
          <w:tcPr>
            <w:tcW w:w="299" w:type="pct"/>
            <w:tcBorders>
              <w:left w:val="single" w:color="auto" w:sz="4" w:space="0"/>
              <w:right w:val="single" w:color="auto" w:sz="4" w:space="0"/>
            </w:tcBorders>
            <w:vAlign w:val="center"/>
          </w:tcPr>
          <w:p>
            <w:pPr>
              <w:pStyle w:val="1132"/>
            </w:pPr>
            <w:r>
              <w:t>50</w:t>
            </w:r>
          </w:p>
        </w:tc>
        <w:tc>
          <w:tcPr>
            <w:tcW w:w="298" w:type="pct"/>
            <w:tcBorders>
              <w:left w:val="single" w:color="auto" w:sz="4" w:space="0"/>
              <w:right w:val="single" w:color="auto" w:sz="4" w:space="0"/>
            </w:tcBorders>
            <w:vAlign w:val="center"/>
          </w:tcPr>
          <w:p>
            <w:pPr>
              <w:pStyle w:val="1132"/>
            </w:pPr>
            <w:r>
              <w:t>69</w:t>
            </w:r>
          </w:p>
        </w:tc>
        <w:tc>
          <w:tcPr>
            <w:tcW w:w="298" w:type="pct"/>
            <w:tcBorders>
              <w:left w:val="single" w:color="auto" w:sz="4" w:space="0"/>
            </w:tcBorders>
            <w:vAlign w:val="center"/>
          </w:tcPr>
          <w:p>
            <w:pPr>
              <w:pStyle w:val="1132"/>
            </w:pPr>
            <w:r>
              <w:t>80</w:t>
            </w:r>
          </w:p>
        </w:tc>
        <w:tc>
          <w:tcPr>
            <w:tcW w:w="298" w:type="pct"/>
            <w:tcBorders>
              <w:left w:val="single" w:color="auto" w:sz="4" w:space="0"/>
            </w:tcBorders>
            <w:vAlign w:val="center"/>
          </w:tcPr>
          <w:p>
            <w:pPr>
              <w:pStyle w:val="1132"/>
            </w:pPr>
            <w:r>
              <w:t>86</w:t>
            </w:r>
          </w:p>
        </w:tc>
        <w:tc>
          <w:tcPr>
            <w:tcW w:w="298" w:type="pct"/>
            <w:tcBorders>
              <w:left w:val="single" w:color="auto" w:sz="4" w:space="0"/>
              <w:right w:val="single" w:color="auto" w:sz="4" w:space="0"/>
            </w:tcBorders>
            <w:vAlign w:val="center"/>
          </w:tcPr>
          <w:p>
            <w:pPr>
              <w:pStyle w:val="1132"/>
            </w:pPr>
            <w:r>
              <w:t>100</w:t>
            </w:r>
          </w:p>
        </w:tc>
        <w:tc>
          <w:tcPr>
            <w:tcW w:w="299" w:type="pct"/>
            <w:tcBorders>
              <w:left w:val="single" w:color="auto" w:sz="4" w:space="0"/>
            </w:tcBorders>
            <w:vAlign w:val="center"/>
          </w:tcPr>
          <w:p>
            <w:pPr>
              <w:pStyle w:val="1132"/>
            </w:pPr>
            <w:r>
              <w:t>150</w:t>
            </w:r>
          </w:p>
        </w:tc>
        <w:tc>
          <w:tcPr>
            <w:tcW w:w="298" w:type="pct"/>
            <w:vAlign w:val="center"/>
          </w:tcPr>
          <w:p>
            <w:pPr>
              <w:pStyle w:val="1132"/>
            </w:pPr>
            <w:r>
              <w:rPr>
                <w:rFonts w:hint="eastAsia"/>
              </w:rPr>
              <w:t>1</w:t>
            </w:r>
            <w:r>
              <w:t>55</w:t>
            </w:r>
          </w:p>
        </w:tc>
        <w:tc>
          <w:tcPr>
            <w:tcW w:w="298" w:type="pct"/>
            <w:tcBorders>
              <w:right w:val="single" w:color="auto" w:sz="4" w:space="0"/>
            </w:tcBorders>
            <w:vAlign w:val="center"/>
          </w:tcPr>
          <w:p>
            <w:pPr>
              <w:pStyle w:val="1132"/>
            </w:pPr>
            <w:r>
              <w:t>200</w:t>
            </w:r>
          </w:p>
        </w:tc>
        <w:tc>
          <w:tcPr>
            <w:tcW w:w="298" w:type="pct"/>
            <w:tcBorders>
              <w:left w:val="single" w:color="auto" w:sz="4" w:space="0"/>
            </w:tcBorders>
            <w:vAlign w:val="center"/>
          </w:tcPr>
          <w:p>
            <w:pPr>
              <w:pStyle w:val="1132"/>
            </w:pPr>
            <w:r>
              <w:t>300</w:t>
            </w:r>
          </w:p>
        </w:tc>
        <w:tc>
          <w:tcPr>
            <w:tcW w:w="299" w:type="pct"/>
            <w:tcBorders>
              <w:right w:val="single" w:color="auto" w:sz="4" w:space="0"/>
            </w:tcBorders>
            <w:vAlign w:val="center"/>
          </w:tcPr>
          <w:p>
            <w:pPr>
              <w:pStyle w:val="1132"/>
            </w:pPr>
            <w:r>
              <w:t>350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jc w:val="center"/>
        </w:trPr>
        <w:tc>
          <w:tcPr>
            <w:tcW w:w="824" w:type="pct"/>
            <w:vAlign w:val="center"/>
          </w:tcPr>
          <w:p>
            <w:pPr>
              <w:pStyle w:val="1132"/>
            </w:pPr>
            <w:r>
              <w:t>路基施工阶段</w:t>
            </w:r>
          </w:p>
        </w:tc>
        <w:tc>
          <w:tcPr>
            <w:tcW w:w="298" w:type="pct"/>
            <w:vAlign w:val="center"/>
          </w:tcPr>
          <w:p>
            <w:pPr>
              <w:pStyle w:val="1132"/>
            </w:pPr>
            <w:r>
              <w:rPr>
                <w:rFonts w:eastAsia="等线"/>
              </w:rPr>
              <w:t>87</w:t>
            </w:r>
          </w:p>
        </w:tc>
        <w:tc>
          <w:tcPr>
            <w:tcW w:w="298" w:type="pct"/>
            <w:vAlign w:val="center"/>
          </w:tcPr>
          <w:p>
            <w:pPr>
              <w:pStyle w:val="1132"/>
            </w:pPr>
            <w:r>
              <w:rPr>
                <w:rFonts w:eastAsia="等线"/>
              </w:rPr>
              <w:t>78</w:t>
            </w:r>
          </w:p>
        </w:tc>
        <w:tc>
          <w:tcPr>
            <w:tcW w:w="298" w:type="pct"/>
            <w:tcBorders>
              <w:left w:val="single" w:color="auto" w:sz="4" w:space="0"/>
              <w:right w:val="single" w:color="auto" w:sz="4" w:space="0"/>
            </w:tcBorders>
            <w:vAlign w:val="center"/>
          </w:tcPr>
          <w:p>
            <w:pPr>
              <w:pStyle w:val="1132"/>
            </w:pPr>
            <w:r>
              <w:rPr>
                <w:rFonts w:eastAsia="等线"/>
              </w:rPr>
              <w:t>77</w:t>
            </w:r>
          </w:p>
        </w:tc>
        <w:tc>
          <w:tcPr>
            <w:tcW w:w="298" w:type="pct"/>
            <w:tcBorders>
              <w:left w:val="single" w:color="auto" w:sz="4" w:space="0"/>
              <w:right w:val="single" w:color="auto" w:sz="4" w:space="0"/>
            </w:tcBorders>
            <w:vAlign w:val="center"/>
          </w:tcPr>
          <w:p>
            <w:pPr>
              <w:pStyle w:val="1132"/>
            </w:pPr>
            <w:r>
              <w:rPr>
                <w:rFonts w:eastAsia="等线"/>
              </w:rPr>
              <w:t>75</w:t>
            </w:r>
          </w:p>
        </w:tc>
        <w:tc>
          <w:tcPr>
            <w:tcW w:w="299" w:type="pct"/>
            <w:tcBorders>
              <w:left w:val="single" w:color="auto" w:sz="4" w:space="0"/>
              <w:right w:val="single" w:color="auto" w:sz="4" w:space="0"/>
            </w:tcBorders>
            <w:vAlign w:val="center"/>
          </w:tcPr>
          <w:p>
            <w:pPr>
              <w:pStyle w:val="1132"/>
            </w:pPr>
            <w:r>
              <w:rPr>
                <w:rFonts w:eastAsia="等线"/>
              </w:rPr>
              <w:t>73</w:t>
            </w:r>
          </w:p>
        </w:tc>
        <w:tc>
          <w:tcPr>
            <w:tcW w:w="298" w:type="pct"/>
            <w:tcBorders>
              <w:left w:val="single" w:color="auto" w:sz="4" w:space="0"/>
              <w:right w:val="single" w:color="auto" w:sz="4" w:space="0"/>
            </w:tcBorders>
            <w:vAlign w:val="center"/>
          </w:tcPr>
          <w:p>
            <w:pPr>
              <w:pStyle w:val="1132"/>
            </w:pPr>
            <w:r>
              <w:rPr>
                <w:rFonts w:eastAsia="等线"/>
              </w:rPr>
              <w:t>70</w:t>
            </w:r>
          </w:p>
        </w:tc>
        <w:tc>
          <w:tcPr>
            <w:tcW w:w="298" w:type="pct"/>
            <w:tcBorders>
              <w:left w:val="single" w:color="auto" w:sz="4" w:space="0"/>
            </w:tcBorders>
            <w:vAlign w:val="center"/>
          </w:tcPr>
          <w:p>
            <w:pPr>
              <w:pStyle w:val="1132"/>
            </w:pPr>
            <w:r>
              <w:rPr>
                <w:rFonts w:eastAsia="等线"/>
              </w:rPr>
              <w:t>69</w:t>
            </w:r>
          </w:p>
        </w:tc>
        <w:tc>
          <w:tcPr>
            <w:tcW w:w="298" w:type="pct"/>
            <w:tcBorders>
              <w:left w:val="single" w:color="auto" w:sz="4" w:space="0"/>
            </w:tcBorders>
            <w:vAlign w:val="center"/>
          </w:tcPr>
          <w:p>
            <w:pPr>
              <w:pStyle w:val="1132"/>
            </w:pPr>
            <w:r>
              <w:rPr>
                <w:rFonts w:eastAsia="等线"/>
              </w:rPr>
              <w:t>68</w:t>
            </w:r>
          </w:p>
        </w:tc>
        <w:tc>
          <w:tcPr>
            <w:tcW w:w="298" w:type="pct"/>
            <w:tcBorders>
              <w:left w:val="single" w:color="auto" w:sz="4" w:space="0"/>
              <w:right w:val="single" w:color="auto" w:sz="4" w:space="0"/>
            </w:tcBorders>
            <w:vAlign w:val="center"/>
          </w:tcPr>
          <w:p>
            <w:pPr>
              <w:pStyle w:val="1132"/>
            </w:pPr>
            <w:r>
              <w:rPr>
                <w:rFonts w:eastAsia="等线"/>
              </w:rPr>
              <w:t>67</w:t>
            </w:r>
          </w:p>
        </w:tc>
        <w:tc>
          <w:tcPr>
            <w:tcW w:w="299" w:type="pct"/>
            <w:tcBorders>
              <w:left w:val="single" w:color="auto" w:sz="4" w:space="0"/>
            </w:tcBorders>
            <w:vAlign w:val="center"/>
          </w:tcPr>
          <w:p>
            <w:pPr>
              <w:pStyle w:val="1132"/>
            </w:pPr>
            <w:r>
              <w:rPr>
                <w:rFonts w:eastAsia="等线"/>
              </w:rPr>
              <w:t>63</w:t>
            </w:r>
          </w:p>
        </w:tc>
        <w:tc>
          <w:tcPr>
            <w:tcW w:w="298" w:type="pct"/>
            <w:vAlign w:val="center"/>
          </w:tcPr>
          <w:p>
            <w:pPr>
              <w:pStyle w:val="1132"/>
            </w:pPr>
            <w:r>
              <w:rPr>
                <w:rFonts w:eastAsia="等线"/>
              </w:rPr>
              <w:t>62</w:t>
            </w:r>
          </w:p>
        </w:tc>
        <w:tc>
          <w:tcPr>
            <w:tcW w:w="298" w:type="pct"/>
            <w:tcBorders>
              <w:right w:val="single" w:color="auto" w:sz="4" w:space="0"/>
            </w:tcBorders>
            <w:vAlign w:val="center"/>
          </w:tcPr>
          <w:p>
            <w:pPr>
              <w:pStyle w:val="1132"/>
            </w:pPr>
            <w:r>
              <w:rPr>
                <w:rFonts w:eastAsia="等线"/>
              </w:rPr>
              <w:t>61</w:t>
            </w:r>
          </w:p>
        </w:tc>
        <w:tc>
          <w:tcPr>
            <w:tcW w:w="298" w:type="pct"/>
            <w:tcBorders>
              <w:left w:val="single" w:color="auto" w:sz="4" w:space="0"/>
            </w:tcBorders>
            <w:vAlign w:val="center"/>
          </w:tcPr>
          <w:p>
            <w:pPr>
              <w:pStyle w:val="1132"/>
            </w:pPr>
            <w:r>
              <w:rPr>
                <w:rFonts w:eastAsia="等线"/>
              </w:rPr>
              <w:t>57</w:t>
            </w:r>
          </w:p>
        </w:tc>
        <w:tc>
          <w:tcPr>
            <w:tcW w:w="299" w:type="pct"/>
            <w:tcBorders>
              <w:right w:val="single" w:color="auto" w:sz="4" w:space="0"/>
            </w:tcBorders>
            <w:vAlign w:val="center"/>
          </w:tcPr>
          <w:p>
            <w:pPr>
              <w:pStyle w:val="1132"/>
            </w:pPr>
            <w:r>
              <w:rPr>
                <w:rFonts w:eastAsia="等线"/>
              </w:rPr>
              <w:t>56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jc w:val="center"/>
        </w:trPr>
        <w:tc>
          <w:tcPr>
            <w:tcW w:w="824" w:type="pct"/>
            <w:vAlign w:val="center"/>
          </w:tcPr>
          <w:p>
            <w:pPr>
              <w:pStyle w:val="1132"/>
            </w:pPr>
            <w:r>
              <w:t>路面施工阶段</w:t>
            </w:r>
          </w:p>
        </w:tc>
        <w:tc>
          <w:tcPr>
            <w:tcW w:w="298" w:type="pct"/>
            <w:vAlign w:val="center"/>
          </w:tcPr>
          <w:p>
            <w:pPr>
              <w:pStyle w:val="1132"/>
            </w:pPr>
            <w:r>
              <w:rPr>
                <w:rFonts w:eastAsia="等线"/>
              </w:rPr>
              <w:t>89</w:t>
            </w:r>
          </w:p>
        </w:tc>
        <w:tc>
          <w:tcPr>
            <w:tcW w:w="298" w:type="pct"/>
            <w:vAlign w:val="center"/>
          </w:tcPr>
          <w:p>
            <w:pPr>
              <w:pStyle w:val="1132"/>
            </w:pPr>
            <w:r>
              <w:rPr>
                <w:rFonts w:eastAsia="等线"/>
              </w:rPr>
              <w:t>80</w:t>
            </w:r>
          </w:p>
        </w:tc>
        <w:tc>
          <w:tcPr>
            <w:tcW w:w="298" w:type="pct"/>
            <w:tcBorders>
              <w:left w:val="single" w:color="auto" w:sz="4" w:space="0"/>
              <w:right w:val="single" w:color="auto" w:sz="4" w:space="0"/>
            </w:tcBorders>
            <w:vAlign w:val="center"/>
          </w:tcPr>
          <w:p>
            <w:pPr>
              <w:pStyle w:val="1132"/>
            </w:pPr>
            <w:r>
              <w:rPr>
                <w:rFonts w:eastAsia="等线"/>
              </w:rPr>
              <w:t>79</w:t>
            </w:r>
          </w:p>
        </w:tc>
        <w:tc>
          <w:tcPr>
            <w:tcW w:w="298" w:type="pct"/>
            <w:tcBorders>
              <w:left w:val="single" w:color="auto" w:sz="4" w:space="0"/>
              <w:right w:val="single" w:color="auto" w:sz="4" w:space="0"/>
            </w:tcBorders>
            <w:vAlign w:val="center"/>
          </w:tcPr>
          <w:p>
            <w:pPr>
              <w:pStyle w:val="1132"/>
            </w:pPr>
            <w:r>
              <w:rPr>
                <w:rFonts w:eastAsia="等线"/>
              </w:rPr>
              <w:t>77</w:t>
            </w:r>
          </w:p>
        </w:tc>
        <w:tc>
          <w:tcPr>
            <w:tcW w:w="299" w:type="pct"/>
            <w:tcBorders>
              <w:left w:val="single" w:color="auto" w:sz="4" w:space="0"/>
              <w:right w:val="single" w:color="auto" w:sz="4" w:space="0"/>
            </w:tcBorders>
            <w:vAlign w:val="center"/>
          </w:tcPr>
          <w:p>
            <w:pPr>
              <w:pStyle w:val="1132"/>
            </w:pPr>
            <w:r>
              <w:rPr>
                <w:rFonts w:eastAsia="等线"/>
              </w:rPr>
              <w:t>75</w:t>
            </w:r>
          </w:p>
        </w:tc>
        <w:tc>
          <w:tcPr>
            <w:tcW w:w="298" w:type="pct"/>
            <w:tcBorders>
              <w:left w:val="single" w:color="auto" w:sz="4" w:space="0"/>
              <w:right w:val="single" w:color="auto" w:sz="4" w:space="0"/>
            </w:tcBorders>
            <w:vAlign w:val="center"/>
          </w:tcPr>
          <w:p>
            <w:pPr>
              <w:pStyle w:val="1132"/>
            </w:pPr>
            <w:r>
              <w:rPr>
                <w:rFonts w:eastAsia="等线"/>
              </w:rPr>
              <w:t>72</w:t>
            </w:r>
          </w:p>
        </w:tc>
        <w:tc>
          <w:tcPr>
            <w:tcW w:w="298" w:type="pct"/>
            <w:tcBorders>
              <w:left w:val="single" w:color="auto" w:sz="4" w:space="0"/>
            </w:tcBorders>
            <w:vAlign w:val="center"/>
          </w:tcPr>
          <w:p>
            <w:pPr>
              <w:pStyle w:val="1132"/>
            </w:pPr>
            <w:r>
              <w:rPr>
                <w:rFonts w:eastAsia="等线"/>
              </w:rPr>
              <w:t>71</w:t>
            </w:r>
          </w:p>
        </w:tc>
        <w:tc>
          <w:tcPr>
            <w:tcW w:w="298" w:type="pct"/>
            <w:tcBorders>
              <w:left w:val="single" w:color="auto" w:sz="4" w:space="0"/>
            </w:tcBorders>
            <w:vAlign w:val="center"/>
          </w:tcPr>
          <w:p>
            <w:pPr>
              <w:pStyle w:val="1132"/>
            </w:pPr>
            <w:r>
              <w:rPr>
                <w:rFonts w:eastAsia="等线"/>
              </w:rPr>
              <w:t>70</w:t>
            </w:r>
          </w:p>
        </w:tc>
        <w:tc>
          <w:tcPr>
            <w:tcW w:w="298" w:type="pct"/>
            <w:tcBorders>
              <w:left w:val="single" w:color="auto" w:sz="4" w:space="0"/>
              <w:right w:val="single" w:color="auto" w:sz="4" w:space="0"/>
            </w:tcBorders>
            <w:vAlign w:val="center"/>
          </w:tcPr>
          <w:p>
            <w:pPr>
              <w:pStyle w:val="1132"/>
            </w:pPr>
            <w:r>
              <w:rPr>
                <w:rFonts w:eastAsia="等线"/>
              </w:rPr>
              <w:t>69</w:t>
            </w:r>
          </w:p>
        </w:tc>
        <w:tc>
          <w:tcPr>
            <w:tcW w:w="299" w:type="pct"/>
            <w:tcBorders>
              <w:left w:val="single" w:color="auto" w:sz="4" w:space="0"/>
            </w:tcBorders>
            <w:vAlign w:val="center"/>
          </w:tcPr>
          <w:p>
            <w:pPr>
              <w:pStyle w:val="1132"/>
            </w:pPr>
            <w:r>
              <w:rPr>
                <w:rFonts w:eastAsia="等线"/>
              </w:rPr>
              <w:t>65</w:t>
            </w:r>
          </w:p>
        </w:tc>
        <w:tc>
          <w:tcPr>
            <w:tcW w:w="298" w:type="pct"/>
            <w:vAlign w:val="center"/>
          </w:tcPr>
          <w:p>
            <w:pPr>
              <w:pStyle w:val="1132"/>
            </w:pPr>
            <w:r>
              <w:rPr>
                <w:rFonts w:eastAsia="等线"/>
              </w:rPr>
              <w:t>65</w:t>
            </w:r>
          </w:p>
        </w:tc>
        <w:tc>
          <w:tcPr>
            <w:tcW w:w="298" w:type="pct"/>
            <w:tcBorders>
              <w:right w:val="single" w:color="auto" w:sz="4" w:space="0"/>
            </w:tcBorders>
            <w:vAlign w:val="center"/>
          </w:tcPr>
          <w:p>
            <w:pPr>
              <w:pStyle w:val="1132"/>
            </w:pPr>
            <w:r>
              <w:rPr>
                <w:rFonts w:eastAsia="等线"/>
              </w:rPr>
              <w:t>63</w:t>
            </w:r>
          </w:p>
        </w:tc>
        <w:tc>
          <w:tcPr>
            <w:tcW w:w="298" w:type="pct"/>
            <w:tcBorders>
              <w:left w:val="single" w:color="auto" w:sz="4" w:space="0"/>
            </w:tcBorders>
            <w:vAlign w:val="center"/>
          </w:tcPr>
          <w:p>
            <w:pPr>
              <w:pStyle w:val="1132"/>
            </w:pPr>
            <w:r>
              <w:rPr>
                <w:rFonts w:eastAsia="等线"/>
              </w:rPr>
              <w:t>59</w:t>
            </w:r>
          </w:p>
        </w:tc>
        <w:tc>
          <w:tcPr>
            <w:tcW w:w="299" w:type="pct"/>
            <w:tcBorders>
              <w:right w:val="single" w:color="auto" w:sz="4" w:space="0"/>
            </w:tcBorders>
            <w:vAlign w:val="center"/>
          </w:tcPr>
          <w:p>
            <w:pPr>
              <w:pStyle w:val="1132"/>
            </w:pPr>
            <w:r>
              <w:rPr>
                <w:rFonts w:eastAsia="等线"/>
              </w:rPr>
              <w:t>58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jc w:val="center"/>
        </w:trPr>
        <w:tc>
          <w:tcPr>
            <w:tcW w:w="824" w:type="pct"/>
            <w:vAlign w:val="center"/>
          </w:tcPr>
          <w:p>
            <w:pPr>
              <w:pStyle w:val="1132"/>
            </w:pPr>
            <w:r>
              <w:rPr>
                <w:rFonts w:hint="eastAsia"/>
              </w:rPr>
              <w:t>房屋拆迁</w:t>
            </w:r>
          </w:p>
          <w:p>
            <w:pPr>
              <w:pStyle w:val="1132"/>
            </w:pPr>
            <w:r>
              <w:rPr>
                <w:rFonts w:hint="eastAsia"/>
              </w:rPr>
              <w:t>施工阶段</w:t>
            </w:r>
          </w:p>
        </w:tc>
        <w:tc>
          <w:tcPr>
            <w:tcW w:w="298" w:type="pct"/>
            <w:vAlign w:val="center"/>
          </w:tcPr>
          <w:p>
            <w:pPr>
              <w:pStyle w:val="1132"/>
            </w:pPr>
            <w:r>
              <w:rPr>
                <w:rFonts w:eastAsia="等线"/>
              </w:rPr>
              <w:t>79</w:t>
            </w:r>
          </w:p>
        </w:tc>
        <w:tc>
          <w:tcPr>
            <w:tcW w:w="298" w:type="pct"/>
            <w:vAlign w:val="center"/>
          </w:tcPr>
          <w:p>
            <w:pPr>
              <w:pStyle w:val="1132"/>
              <w:rPr>
                <w:rFonts w:eastAsia="等线"/>
              </w:rPr>
            </w:pPr>
            <w:r>
              <w:rPr>
                <w:rFonts w:eastAsia="等线"/>
              </w:rPr>
              <w:t>70</w:t>
            </w:r>
          </w:p>
        </w:tc>
        <w:tc>
          <w:tcPr>
            <w:tcW w:w="298" w:type="pct"/>
            <w:tcBorders>
              <w:left w:val="single" w:color="auto" w:sz="4" w:space="0"/>
              <w:right w:val="single" w:color="auto" w:sz="4" w:space="0"/>
            </w:tcBorders>
            <w:vAlign w:val="center"/>
          </w:tcPr>
          <w:p>
            <w:pPr>
              <w:pStyle w:val="1132"/>
            </w:pPr>
            <w:r>
              <w:rPr>
                <w:rFonts w:eastAsia="等线"/>
              </w:rPr>
              <w:t>69</w:t>
            </w:r>
          </w:p>
        </w:tc>
        <w:tc>
          <w:tcPr>
            <w:tcW w:w="298" w:type="pct"/>
            <w:tcBorders>
              <w:left w:val="single" w:color="auto" w:sz="4" w:space="0"/>
              <w:right w:val="single" w:color="auto" w:sz="4" w:space="0"/>
            </w:tcBorders>
            <w:vAlign w:val="center"/>
          </w:tcPr>
          <w:p>
            <w:pPr>
              <w:pStyle w:val="1132"/>
            </w:pPr>
            <w:r>
              <w:rPr>
                <w:rFonts w:eastAsia="等线"/>
              </w:rPr>
              <w:t>67</w:t>
            </w:r>
          </w:p>
        </w:tc>
        <w:tc>
          <w:tcPr>
            <w:tcW w:w="299" w:type="pct"/>
            <w:tcBorders>
              <w:left w:val="single" w:color="auto" w:sz="4" w:space="0"/>
              <w:right w:val="single" w:color="auto" w:sz="4" w:space="0"/>
            </w:tcBorders>
            <w:vAlign w:val="center"/>
          </w:tcPr>
          <w:p>
            <w:pPr>
              <w:pStyle w:val="1132"/>
            </w:pPr>
            <w:r>
              <w:rPr>
                <w:rFonts w:eastAsia="等线"/>
              </w:rPr>
              <w:t>65</w:t>
            </w:r>
          </w:p>
        </w:tc>
        <w:tc>
          <w:tcPr>
            <w:tcW w:w="298" w:type="pct"/>
            <w:tcBorders>
              <w:left w:val="single" w:color="auto" w:sz="4" w:space="0"/>
              <w:right w:val="single" w:color="auto" w:sz="4" w:space="0"/>
            </w:tcBorders>
            <w:vAlign w:val="center"/>
          </w:tcPr>
          <w:p>
            <w:pPr>
              <w:pStyle w:val="1132"/>
            </w:pPr>
            <w:r>
              <w:rPr>
                <w:rFonts w:eastAsia="等线"/>
              </w:rPr>
              <w:t>62</w:t>
            </w:r>
          </w:p>
        </w:tc>
        <w:tc>
          <w:tcPr>
            <w:tcW w:w="298" w:type="pct"/>
            <w:tcBorders>
              <w:left w:val="single" w:color="auto" w:sz="4" w:space="0"/>
            </w:tcBorders>
            <w:vAlign w:val="center"/>
          </w:tcPr>
          <w:p>
            <w:pPr>
              <w:pStyle w:val="1132"/>
            </w:pPr>
            <w:r>
              <w:rPr>
                <w:rFonts w:eastAsia="等线"/>
              </w:rPr>
              <w:t>61</w:t>
            </w:r>
          </w:p>
        </w:tc>
        <w:tc>
          <w:tcPr>
            <w:tcW w:w="298" w:type="pct"/>
            <w:tcBorders>
              <w:left w:val="single" w:color="auto" w:sz="4" w:space="0"/>
            </w:tcBorders>
            <w:vAlign w:val="center"/>
          </w:tcPr>
          <w:p>
            <w:pPr>
              <w:pStyle w:val="1132"/>
            </w:pPr>
            <w:r>
              <w:rPr>
                <w:rFonts w:eastAsia="等线"/>
              </w:rPr>
              <w:t>60</w:t>
            </w:r>
          </w:p>
        </w:tc>
        <w:tc>
          <w:tcPr>
            <w:tcW w:w="298" w:type="pct"/>
            <w:tcBorders>
              <w:left w:val="single" w:color="auto" w:sz="4" w:space="0"/>
              <w:right w:val="single" w:color="auto" w:sz="4" w:space="0"/>
            </w:tcBorders>
            <w:vAlign w:val="center"/>
          </w:tcPr>
          <w:p>
            <w:pPr>
              <w:pStyle w:val="1132"/>
            </w:pPr>
            <w:r>
              <w:rPr>
                <w:rFonts w:eastAsia="等线"/>
              </w:rPr>
              <w:t>59</w:t>
            </w:r>
          </w:p>
        </w:tc>
        <w:tc>
          <w:tcPr>
            <w:tcW w:w="299" w:type="pct"/>
            <w:tcBorders>
              <w:left w:val="single" w:color="auto" w:sz="4" w:space="0"/>
            </w:tcBorders>
            <w:vAlign w:val="center"/>
          </w:tcPr>
          <w:p>
            <w:pPr>
              <w:pStyle w:val="1132"/>
            </w:pPr>
            <w:r>
              <w:rPr>
                <w:rFonts w:eastAsia="等线"/>
              </w:rPr>
              <w:t>55</w:t>
            </w:r>
          </w:p>
        </w:tc>
        <w:tc>
          <w:tcPr>
            <w:tcW w:w="298" w:type="pct"/>
            <w:vAlign w:val="center"/>
          </w:tcPr>
          <w:p>
            <w:pPr>
              <w:pStyle w:val="1132"/>
              <w:rPr>
                <w:rFonts w:eastAsia="等线"/>
              </w:rPr>
            </w:pPr>
            <w:r>
              <w:rPr>
                <w:rFonts w:eastAsia="等线"/>
              </w:rPr>
              <w:t>55</w:t>
            </w:r>
          </w:p>
        </w:tc>
        <w:tc>
          <w:tcPr>
            <w:tcW w:w="298" w:type="pct"/>
            <w:tcBorders>
              <w:right w:val="single" w:color="auto" w:sz="4" w:space="0"/>
            </w:tcBorders>
            <w:vAlign w:val="center"/>
          </w:tcPr>
          <w:p>
            <w:pPr>
              <w:pStyle w:val="1132"/>
            </w:pPr>
            <w:r>
              <w:rPr>
                <w:rFonts w:eastAsia="等线"/>
              </w:rPr>
              <w:t>53</w:t>
            </w:r>
          </w:p>
        </w:tc>
        <w:tc>
          <w:tcPr>
            <w:tcW w:w="298" w:type="pct"/>
            <w:tcBorders>
              <w:left w:val="single" w:color="auto" w:sz="4" w:space="0"/>
            </w:tcBorders>
            <w:vAlign w:val="center"/>
          </w:tcPr>
          <w:p>
            <w:pPr>
              <w:pStyle w:val="1132"/>
            </w:pPr>
            <w:r>
              <w:rPr>
                <w:rFonts w:eastAsia="等线"/>
              </w:rPr>
              <w:t>49</w:t>
            </w:r>
          </w:p>
        </w:tc>
        <w:tc>
          <w:tcPr>
            <w:tcW w:w="299" w:type="pct"/>
            <w:tcBorders>
              <w:right w:val="single" w:color="auto" w:sz="4" w:space="0"/>
            </w:tcBorders>
            <w:vAlign w:val="center"/>
          </w:tcPr>
          <w:p>
            <w:pPr>
              <w:pStyle w:val="1132"/>
            </w:pPr>
            <w:r>
              <w:rPr>
                <w:rFonts w:eastAsia="等线"/>
              </w:rPr>
              <w:t>48</w:t>
            </w:r>
          </w:p>
        </w:tc>
      </w:tr>
    </w:tbl>
    <w:p>
      <w:pPr>
        <w:pStyle w:val="10"/>
        <w:ind w:firstLine="480"/>
      </w:pPr>
      <w:r>
        <w:t>从表5.1-2结果可看出：在主要施工机械同时运行且未采取任何降噪措施的情况下各施工阶段噪声影响比较大。若将道路的红线范围认为是施工的场界，施工不同阶段，多台设备同时运转时，在不考虑其他衰减因素和不叠加本底值作用的情况下，路基施工阶段昼间噪声值分别在场界外69m处衰减到《建筑施工场界环境噪声排放标准》（GB12523-2011）昼间70dB(A)的标准，夜间场界外350m外仍不能满足《建筑施工场界环境噪声排放标准》（GB12523-2011）夜间55dB(A)；路面施工阶段，昼间噪声值分别在场界外86m处衰减到《建筑施工场界环境噪声排放标准》（GB12523-2011）昼间70dB(A)的标准，夜间场界外350m外仍不能满足《建筑施工场界环境噪声排放标准》（GB12523-2011）夜间55dB(A)</w:t>
      </w:r>
      <w:r>
        <w:rPr>
          <w:rFonts w:hint="eastAsia"/>
        </w:rPr>
        <w:t>；房屋拆迁施工阶段，</w:t>
      </w:r>
      <w:r>
        <w:t>昼间噪声值分别在场界外27m处衰减到《建筑施工场界环境噪声排放标准》（GB12523-2011）昼间70dB(A)的标准，夜间场界外155m外</w:t>
      </w:r>
      <w:r>
        <w:rPr>
          <w:rFonts w:hint="eastAsia"/>
        </w:rPr>
        <w:t>衰减到</w:t>
      </w:r>
      <w:r>
        <w:t>《建筑施工场界环境噪声排放标准》（GB12523-2011）夜间55dB(A)</w:t>
      </w:r>
      <w:r>
        <w:rPr>
          <w:rFonts w:hint="eastAsia"/>
        </w:rPr>
        <w:t>。</w:t>
      </w:r>
    </w:p>
    <w:p>
      <w:pPr>
        <w:pStyle w:val="10"/>
        <w:ind w:firstLine="480"/>
      </w:pPr>
      <w:r>
        <w:rPr>
          <w:rFonts w:hint="eastAsia"/>
        </w:rPr>
        <w:t>③</w:t>
      </w:r>
      <w:r>
        <w:t>对敏感目标的噪声影响</w:t>
      </w:r>
    </w:p>
    <w:p>
      <w:pPr>
        <w:pStyle w:val="10"/>
        <w:ind w:firstLine="480"/>
      </w:pPr>
      <w:r>
        <w:t>各施工阶段多台设备运转噪声叠加现状值后对工程沿线敏感点的预测结果见表5.1-3。预测点背景值采用现状监测数据，部分预测点背景值根据现状监测数据进行类比。</w:t>
      </w:r>
      <w:r>
        <w:rPr>
          <w:rFonts w:hint="eastAsia"/>
        </w:rPr>
        <w:t>拟建线路敏感点按照</w:t>
      </w:r>
      <w:r>
        <w:t>《声环境质量标准》（GB3096-2008）</w:t>
      </w:r>
      <w:r>
        <w:rPr>
          <w:rFonts w:hint="eastAsia"/>
        </w:rPr>
        <w:t>执行相应4a</w:t>
      </w:r>
      <w:r>
        <w:t>/2</w:t>
      </w:r>
      <w:r>
        <w:rPr>
          <w:rFonts w:hint="eastAsia"/>
        </w:rPr>
        <w:t>类标准。</w:t>
      </w:r>
    </w:p>
    <w:p>
      <w:pPr>
        <w:pStyle w:val="10"/>
        <w:ind w:firstLine="480"/>
      </w:pPr>
      <w:r>
        <w:t>从表5.1-3</w:t>
      </w:r>
      <w:r>
        <w:rPr>
          <w:rFonts w:hint="eastAsia"/>
        </w:rPr>
        <w:t>和</w:t>
      </w:r>
      <w:r>
        <w:t>5.1</w:t>
      </w:r>
      <w:r>
        <w:rPr>
          <w:rFonts w:hint="eastAsia"/>
        </w:rPr>
        <w:t>-</w:t>
      </w:r>
      <w:r>
        <w:t>4的预测结果来看，在路基施工阶段、路面施工阶段</w:t>
      </w:r>
      <w:r>
        <w:rPr>
          <w:rFonts w:hint="eastAsia"/>
        </w:rPr>
        <w:t>和拆迁施工阶段</w:t>
      </w:r>
      <w:r>
        <w:t>噪声对本项目周边敏感目标居民建筑的噪声预测值基本上均超过《声环境质量标准》（GB3096-2008）中</w:t>
      </w:r>
      <w:r>
        <w:rPr>
          <w:rFonts w:hint="eastAsia"/>
        </w:rPr>
        <w:t>4a</w:t>
      </w:r>
      <w:r>
        <w:t>/2类环境噪声标准的要求（</w:t>
      </w:r>
      <w:r>
        <w:rPr>
          <w:rFonts w:hint="eastAsia"/>
        </w:rPr>
        <w:t>4a类：昼间7</w:t>
      </w:r>
      <w:r>
        <w:t>0 dB</w:t>
      </w:r>
      <w:r>
        <w:rPr>
          <w:rFonts w:hint="eastAsia"/>
        </w:rPr>
        <w:t>（A）夜间</w:t>
      </w:r>
      <w:r>
        <w:t>55 dB</w:t>
      </w:r>
      <w:r>
        <w:rPr>
          <w:rFonts w:hint="eastAsia"/>
        </w:rPr>
        <w:t>（A）；</w:t>
      </w:r>
      <w:r>
        <w:t>2</w:t>
      </w:r>
      <w:r>
        <w:rPr>
          <w:rFonts w:hint="eastAsia"/>
        </w:rPr>
        <w:t>类：</w:t>
      </w:r>
      <w:r>
        <w:t>昼间60dB</w:t>
      </w:r>
      <w:r>
        <w:rPr>
          <w:rFonts w:hint="eastAsia"/>
        </w:rPr>
        <w:t>（A）</w:t>
      </w:r>
      <w:r>
        <w:t>，夜间50dB</w:t>
      </w:r>
      <w:r>
        <w:rPr>
          <w:rFonts w:hint="eastAsia"/>
        </w:rPr>
        <w:t>（A）</w:t>
      </w:r>
      <w:r>
        <w:t>），对周围声环境的影响较大，超标严重，将干扰附近居民生活和学习的安静环境；若不采取措施，该敏感点目标昼夜间声环境在本工程各施工阶段均不能达到其声功能区标准要求。</w:t>
      </w:r>
    </w:p>
    <w:p>
      <w:pPr>
        <w:pStyle w:val="10"/>
        <w:ind w:firstLine="480"/>
      </w:pPr>
      <w:r>
        <w:t>因此，施工单位应重视施工过程噪声对敏感点的影响，夜间必须禁止施工；如必须连续施工作业的工点，施工单位应视具体情况及时向当地环保部门取得联系，按规定申领夜间施工证，同时发布公告最大限度地争取民众支持。严格采取措施，最大限度地降低施工噪声对环境保护目标的影响；道路穿越、临近的村庄需设置必要的移动声屏障，采用低噪声设备，严格控制施工器械的噪声级，同时要加强施工作业管理，避免多台设备同时施工，且设备设置位置尽量远离敏感点。本工程施工期较短，随着施工结束，项目的噪声对周边敏感点的影响也将消失。</w:t>
      </w:r>
    </w:p>
    <w:p>
      <w:pPr>
        <w:pStyle w:val="112"/>
        <w:ind w:firstLine="480"/>
        <w:jc w:val="left"/>
        <w:rPr>
          <w:color w:val="0070C0"/>
        </w:rPr>
      </w:pPr>
    </w:p>
    <w:p>
      <w:pPr>
        <w:pStyle w:val="112"/>
        <w:ind w:firstLine="480"/>
        <w:jc w:val="left"/>
        <w:rPr>
          <w:color w:val="0070C0"/>
        </w:rPr>
        <w:sectPr>
          <w:pgSz w:w="11906" w:h="16838"/>
          <w:pgMar w:top="1418" w:right="1418" w:bottom="1418" w:left="1418" w:header="850" w:footer="992" w:gutter="0"/>
          <w:cols w:space="720" w:num="1"/>
          <w:docGrid w:linePitch="312" w:charSpace="0"/>
        </w:sectPr>
      </w:pP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r>
        <w:t xml:space="preserve">  多台施工机械噪声对敏感目标的影响结果</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83"/>
        <w:gridCol w:w="1084"/>
        <w:gridCol w:w="1143"/>
        <w:gridCol w:w="864"/>
        <w:gridCol w:w="751"/>
        <w:gridCol w:w="751"/>
        <w:gridCol w:w="751"/>
        <w:gridCol w:w="751"/>
        <w:gridCol w:w="751"/>
        <w:gridCol w:w="751"/>
        <w:gridCol w:w="751"/>
        <w:gridCol w:w="751"/>
        <w:gridCol w:w="751"/>
        <w:gridCol w:w="751"/>
        <w:gridCol w:w="751"/>
        <w:gridCol w:w="751"/>
        <w:gridCol w:w="785"/>
        <w:gridCol w:w="7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71" w:type="pct"/>
            <w:vMerge w:val="restart"/>
            <w:vAlign w:val="center"/>
          </w:tcPr>
          <w:p>
            <w:pPr>
              <w:pStyle w:val="1132"/>
            </w:pPr>
            <w:r>
              <w:t>序号</w:t>
            </w:r>
          </w:p>
        </w:tc>
        <w:tc>
          <w:tcPr>
            <w:tcW w:w="384" w:type="pct"/>
            <w:vMerge w:val="restart"/>
            <w:vAlign w:val="center"/>
          </w:tcPr>
          <w:p>
            <w:pPr>
              <w:pStyle w:val="1132"/>
            </w:pPr>
            <w:r>
              <w:t>敏感点名称</w:t>
            </w:r>
          </w:p>
        </w:tc>
        <w:tc>
          <w:tcPr>
            <w:tcW w:w="405" w:type="pct"/>
            <w:vMerge w:val="restart"/>
            <w:vAlign w:val="center"/>
          </w:tcPr>
          <w:p>
            <w:pPr>
              <w:pStyle w:val="1132"/>
            </w:pPr>
            <w:r>
              <w:t>距道路边界线最近距离（m）</w:t>
            </w:r>
          </w:p>
        </w:tc>
        <w:tc>
          <w:tcPr>
            <w:tcW w:w="306" w:type="pct"/>
            <w:vMerge w:val="restart"/>
            <w:vAlign w:val="center"/>
          </w:tcPr>
          <w:p>
            <w:pPr>
              <w:pStyle w:val="1132"/>
            </w:pPr>
            <w:r>
              <w:t>执行标准</w:t>
            </w:r>
          </w:p>
        </w:tc>
        <w:tc>
          <w:tcPr>
            <w:tcW w:w="532" w:type="pct"/>
            <w:gridSpan w:val="2"/>
            <w:vMerge w:val="restart"/>
            <w:vAlign w:val="center"/>
          </w:tcPr>
          <w:p>
            <w:pPr>
              <w:pStyle w:val="1132"/>
            </w:pPr>
            <w:r>
              <w:t>噪声背景值（dB（A））</w:t>
            </w:r>
          </w:p>
        </w:tc>
        <w:tc>
          <w:tcPr>
            <w:tcW w:w="1064" w:type="pct"/>
            <w:gridSpan w:val="4"/>
            <w:vAlign w:val="center"/>
          </w:tcPr>
          <w:p>
            <w:pPr>
              <w:pStyle w:val="1132"/>
            </w:pPr>
            <w:r>
              <w:t>施工阶段贡献值</w:t>
            </w:r>
            <w:r>
              <w:rPr>
                <w:rFonts w:hint="eastAsia"/>
              </w:rPr>
              <w:t>/</w:t>
            </w:r>
            <w:r>
              <w:t>dB(A)</w:t>
            </w:r>
          </w:p>
        </w:tc>
        <w:tc>
          <w:tcPr>
            <w:tcW w:w="1064" w:type="pct"/>
            <w:gridSpan w:val="4"/>
            <w:vAlign w:val="center"/>
          </w:tcPr>
          <w:p>
            <w:pPr>
              <w:pStyle w:val="1132"/>
            </w:pPr>
            <w:r>
              <w:t>叠加背景噪声后预测值</w:t>
            </w:r>
            <w:r>
              <w:rPr>
                <w:rFonts w:hint="eastAsia"/>
              </w:rPr>
              <w:t>/</w:t>
            </w:r>
            <w:r>
              <w:t>dB(A)</w:t>
            </w:r>
          </w:p>
        </w:tc>
        <w:tc>
          <w:tcPr>
            <w:tcW w:w="1074" w:type="pct"/>
            <w:gridSpan w:val="4"/>
            <w:vAlign w:val="center"/>
          </w:tcPr>
          <w:p>
            <w:pPr>
              <w:pStyle w:val="1132"/>
            </w:pPr>
            <w:r>
              <w:t>超标量</w:t>
            </w:r>
            <w:r>
              <w:rPr>
                <w:rFonts w:hint="eastAsia"/>
              </w:rPr>
              <w:t>/</w:t>
            </w:r>
            <w: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71" w:type="pct"/>
            <w:vMerge w:val="continue"/>
            <w:vAlign w:val="center"/>
          </w:tcPr>
          <w:p>
            <w:pPr>
              <w:pStyle w:val="1132"/>
            </w:pPr>
          </w:p>
        </w:tc>
        <w:tc>
          <w:tcPr>
            <w:tcW w:w="384" w:type="pct"/>
            <w:vMerge w:val="continue"/>
            <w:vAlign w:val="center"/>
          </w:tcPr>
          <w:p>
            <w:pPr>
              <w:pStyle w:val="1132"/>
            </w:pPr>
          </w:p>
        </w:tc>
        <w:tc>
          <w:tcPr>
            <w:tcW w:w="405" w:type="pct"/>
            <w:vMerge w:val="continue"/>
            <w:vAlign w:val="center"/>
          </w:tcPr>
          <w:p>
            <w:pPr>
              <w:pStyle w:val="1132"/>
            </w:pPr>
          </w:p>
        </w:tc>
        <w:tc>
          <w:tcPr>
            <w:tcW w:w="306" w:type="pct"/>
            <w:vMerge w:val="continue"/>
            <w:vAlign w:val="center"/>
          </w:tcPr>
          <w:p>
            <w:pPr>
              <w:pStyle w:val="1132"/>
            </w:pPr>
          </w:p>
        </w:tc>
        <w:tc>
          <w:tcPr>
            <w:tcW w:w="532" w:type="pct"/>
            <w:gridSpan w:val="2"/>
            <w:vMerge w:val="continue"/>
            <w:vAlign w:val="center"/>
          </w:tcPr>
          <w:p>
            <w:pPr>
              <w:pStyle w:val="1132"/>
            </w:pPr>
          </w:p>
        </w:tc>
        <w:tc>
          <w:tcPr>
            <w:tcW w:w="532" w:type="pct"/>
            <w:gridSpan w:val="2"/>
            <w:vAlign w:val="center"/>
          </w:tcPr>
          <w:p>
            <w:pPr>
              <w:pStyle w:val="1132"/>
            </w:pPr>
            <w:r>
              <w:t>路基施工阶段</w:t>
            </w:r>
          </w:p>
        </w:tc>
        <w:tc>
          <w:tcPr>
            <w:tcW w:w="532" w:type="pct"/>
            <w:gridSpan w:val="2"/>
            <w:vAlign w:val="center"/>
          </w:tcPr>
          <w:p>
            <w:pPr>
              <w:pStyle w:val="1132"/>
            </w:pPr>
            <w:r>
              <w:t>路面铺设阶段</w:t>
            </w:r>
          </w:p>
        </w:tc>
        <w:tc>
          <w:tcPr>
            <w:tcW w:w="532" w:type="pct"/>
            <w:gridSpan w:val="2"/>
            <w:vAlign w:val="center"/>
          </w:tcPr>
          <w:p>
            <w:pPr>
              <w:pStyle w:val="1132"/>
            </w:pPr>
            <w:r>
              <w:t>路基施工阶段</w:t>
            </w:r>
          </w:p>
        </w:tc>
        <w:tc>
          <w:tcPr>
            <w:tcW w:w="532" w:type="pct"/>
            <w:gridSpan w:val="2"/>
            <w:vAlign w:val="center"/>
          </w:tcPr>
          <w:p>
            <w:pPr>
              <w:pStyle w:val="1132"/>
            </w:pPr>
            <w:r>
              <w:t>路面铺设阶段</w:t>
            </w:r>
          </w:p>
        </w:tc>
        <w:tc>
          <w:tcPr>
            <w:tcW w:w="532" w:type="pct"/>
            <w:gridSpan w:val="2"/>
            <w:vAlign w:val="center"/>
          </w:tcPr>
          <w:p>
            <w:pPr>
              <w:pStyle w:val="1132"/>
            </w:pPr>
            <w:r>
              <w:t>路基施工阶段</w:t>
            </w:r>
          </w:p>
        </w:tc>
        <w:tc>
          <w:tcPr>
            <w:tcW w:w="542" w:type="pct"/>
            <w:gridSpan w:val="2"/>
            <w:vAlign w:val="center"/>
          </w:tcPr>
          <w:p>
            <w:pPr>
              <w:pStyle w:val="1132"/>
            </w:pPr>
            <w:r>
              <w:t>路面铺设阶段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71" w:type="pct"/>
            <w:vMerge w:val="continue"/>
            <w:vAlign w:val="center"/>
          </w:tcPr>
          <w:p>
            <w:pPr>
              <w:pStyle w:val="1132"/>
            </w:pPr>
          </w:p>
        </w:tc>
        <w:tc>
          <w:tcPr>
            <w:tcW w:w="384" w:type="pct"/>
            <w:vMerge w:val="continue"/>
            <w:vAlign w:val="center"/>
          </w:tcPr>
          <w:p>
            <w:pPr>
              <w:pStyle w:val="1132"/>
            </w:pPr>
          </w:p>
        </w:tc>
        <w:tc>
          <w:tcPr>
            <w:tcW w:w="405" w:type="pct"/>
            <w:vMerge w:val="continue"/>
            <w:vAlign w:val="center"/>
          </w:tcPr>
          <w:p>
            <w:pPr>
              <w:pStyle w:val="1132"/>
            </w:pPr>
          </w:p>
        </w:tc>
        <w:tc>
          <w:tcPr>
            <w:tcW w:w="306" w:type="pct"/>
            <w:vMerge w:val="continue"/>
            <w:vAlign w:val="center"/>
          </w:tcPr>
          <w:p>
            <w:pPr>
              <w:pStyle w:val="1132"/>
            </w:pPr>
          </w:p>
        </w:tc>
        <w:tc>
          <w:tcPr>
            <w:tcW w:w="266" w:type="pct"/>
            <w:vAlign w:val="center"/>
          </w:tcPr>
          <w:p>
            <w:pPr>
              <w:pStyle w:val="1132"/>
            </w:pPr>
            <w:r>
              <w:t>昼</w:t>
            </w:r>
          </w:p>
        </w:tc>
        <w:tc>
          <w:tcPr>
            <w:tcW w:w="266" w:type="pct"/>
            <w:vAlign w:val="center"/>
          </w:tcPr>
          <w:p>
            <w:pPr>
              <w:pStyle w:val="1132"/>
            </w:pPr>
            <w:r>
              <w:t>夜</w:t>
            </w:r>
          </w:p>
        </w:tc>
        <w:tc>
          <w:tcPr>
            <w:tcW w:w="266" w:type="pct"/>
            <w:vAlign w:val="center"/>
          </w:tcPr>
          <w:p>
            <w:pPr>
              <w:pStyle w:val="1132"/>
            </w:pPr>
            <w:r>
              <w:t>昼</w:t>
            </w:r>
          </w:p>
        </w:tc>
        <w:tc>
          <w:tcPr>
            <w:tcW w:w="266" w:type="pct"/>
            <w:vAlign w:val="center"/>
          </w:tcPr>
          <w:p>
            <w:pPr>
              <w:pStyle w:val="1132"/>
            </w:pPr>
            <w:r>
              <w:t>夜</w:t>
            </w:r>
          </w:p>
        </w:tc>
        <w:tc>
          <w:tcPr>
            <w:tcW w:w="266" w:type="pct"/>
            <w:vAlign w:val="center"/>
          </w:tcPr>
          <w:p>
            <w:pPr>
              <w:pStyle w:val="1132"/>
            </w:pPr>
            <w:r>
              <w:t>昼</w:t>
            </w:r>
          </w:p>
        </w:tc>
        <w:tc>
          <w:tcPr>
            <w:tcW w:w="266" w:type="pct"/>
            <w:vAlign w:val="center"/>
          </w:tcPr>
          <w:p>
            <w:pPr>
              <w:pStyle w:val="1132"/>
            </w:pPr>
            <w:r>
              <w:t>夜</w:t>
            </w:r>
          </w:p>
        </w:tc>
        <w:tc>
          <w:tcPr>
            <w:tcW w:w="266" w:type="pct"/>
            <w:vAlign w:val="center"/>
          </w:tcPr>
          <w:p>
            <w:pPr>
              <w:pStyle w:val="1132"/>
            </w:pPr>
            <w:r>
              <w:t>昼</w:t>
            </w:r>
          </w:p>
        </w:tc>
        <w:tc>
          <w:tcPr>
            <w:tcW w:w="266" w:type="pct"/>
            <w:vAlign w:val="center"/>
          </w:tcPr>
          <w:p>
            <w:pPr>
              <w:pStyle w:val="1132"/>
            </w:pPr>
            <w:r>
              <w:t>夜</w:t>
            </w:r>
          </w:p>
        </w:tc>
        <w:tc>
          <w:tcPr>
            <w:tcW w:w="266" w:type="pct"/>
            <w:vAlign w:val="center"/>
          </w:tcPr>
          <w:p>
            <w:pPr>
              <w:pStyle w:val="1132"/>
            </w:pPr>
            <w:r>
              <w:t>昼</w:t>
            </w:r>
          </w:p>
        </w:tc>
        <w:tc>
          <w:tcPr>
            <w:tcW w:w="266" w:type="pct"/>
            <w:vAlign w:val="center"/>
          </w:tcPr>
          <w:p>
            <w:pPr>
              <w:pStyle w:val="1132"/>
            </w:pPr>
            <w:r>
              <w:t>夜</w:t>
            </w:r>
          </w:p>
        </w:tc>
        <w:tc>
          <w:tcPr>
            <w:tcW w:w="266" w:type="pct"/>
            <w:vAlign w:val="center"/>
          </w:tcPr>
          <w:p>
            <w:pPr>
              <w:pStyle w:val="1132"/>
            </w:pPr>
            <w:r>
              <w:t>昼</w:t>
            </w:r>
          </w:p>
        </w:tc>
        <w:tc>
          <w:tcPr>
            <w:tcW w:w="266" w:type="pct"/>
            <w:vAlign w:val="center"/>
          </w:tcPr>
          <w:p>
            <w:pPr>
              <w:pStyle w:val="1132"/>
            </w:pPr>
            <w:r>
              <w:t>夜</w:t>
            </w:r>
          </w:p>
        </w:tc>
        <w:tc>
          <w:tcPr>
            <w:tcW w:w="278" w:type="pct"/>
            <w:vAlign w:val="center"/>
          </w:tcPr>
          <w:p>
            <w:pPr>
              <w:pStyle w:val="1132"/>
            </w:pPr>
            <w:r>
              <w:t>昼</w:t>
            </w:r>
          </w:p>
        </w:tc>
        <w:tc>
          <w:tcPr>
            <w:tcW w:w="264" w:type="pct"/>
            <w:vAlign w:val="center"/>
          </w:tcPr>
          <w:p>
            <w:pPr>
              <w:pStyle w:val="1132"/>
            </w:pPr>
            <w:r>
              <w:t>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94" w:hRule="atLeast"/>
          <w:jc w:val="center"/>
        </w:trPr>
        <w:tc>
          <w:tcPr>
            <w:tcW w:w="171" w:type="pct"/>
            <w:vAlign w:val="center"/>
          </w:tcPr>
          <w:p>
            <w:pPr>
              <w:pStyle w:val="1132"/>
            </w:pPr>
            <w:r>
              <w:rPr>
                <w:rFonts w:hint="eastAsia"/>
              </w:rPr>
              <w:t>1</w:t>
            </w:r>
          </w:p>
        </w:tc>
        <w:tc>
          <w:tcPr>
            <w:tcW w:w="384" w:type="pct"/>
            <w:vAlign w:val="center"/>
          </w:tcPr>
          <w:p>
            <w:pPr>
              <w:pStyle w:val="1132"/>
            </w:pPr>
            <w:r>
              <w:rPr>
                <w:rFonts w:hint="eastAsia"/>
              </w:rPr>
              <w:t>宋小庄</w:t>
            </w:r>
          </w:p>
        </w:tc>
        <w:tc>
          <w:tcPr>
            <w:tcW w:w="405" w:type="pct"/>
            <w:vAlign w:val="center"/>
          </w:tcPr>
          <w:p>
            <w:pPr>
              <w:pStyle w:val="1132"/>
              <w:rPr>
                <w:rFonts w:hint="default" w:eastAsia="宋体"/>
                <w:lang w:val="en-US" w:eastAsia="zh-CN"/>
              </w:rPr>
            </w:pPr>
            <w:r>
              <w:rPr>
                <w:rFonts w:hint="eastAsia" w:eastAsia="等线"/>
                <w:color w:val="000000"/>
                <w:szCs w:val="21"/>
                <w:lang w:val="en-US" w:eastAsia="zh-CN"/>
              </w:rPr>
              <w:t>176</w:t>
            </w:r>
          </w:p>
        </w:tc>
        <w:tc>
          <w:tcPr>
            <w:tcW w:w="306" w:type="pct"/>
            <w:vAlign w:val="center"/>
          </w:tcPr>
          <w:p>
            <w:pPr>
              <w:pStyle w:val="1132"/>
            </w:pPr>
            <w:r>
              <w:rPr>
                <w:rFonts w:hint="eastAsia"/>
              </w:rPr>
              <w:t>2</w:t>
            </w:r>
          </w:p>
        </w:tc>
        <w:tc>
          <w:tcPr>
            <w:tcW w:w="266" w:type="pct"/>
            <w:vAlign w:val="center"/>
          </w:tcPr>
          <w:p>
            <w:pPr>
              <w:pStyle w:val="1132"/>
            </w:pPr>
            <w:r>
              <w:rPr>
                <w:rFonts w:eastAsia="等线"/>
                <w:color w:val="000000"/>
                <w:szCs w:val="21"/>
              </w:rPr>
              <w:t>58</w:t>
            </w:r>
          </w:p>
        </w:tc>
        <w:tc>
          <w:tcPr>
            <w:tcW w:w="266" w:type="pct"/>
            <w:vAlign w:val="center"/>
          </w:tcPr>
          <w:p>
            <w:pPr>
              <w:pStyle w:val="1132"/>
            </w:pPr>
            <w:r>
              <w:rPr>
                <w:rFonts w:eastAsia="等线"/>
                <w:color w:val="000000"/>
                <w:szCs w:val="21"/>
              </w:rPr>
              <w:t>49</w:t>
            </w:r>
          </w:p>
        </w:tc>
        <w:tc>
          <w:tcPr>
            <w:tcW w:w="266" w:type="pct"/>
            <w:vAlign w:val="center"/>
          </w:tcPr>
          <w:p>
            <w:pPr>
              <w:pStyle w:val="1132"/>
            </w:pPr>
            <w:r>
              <w:rPr>
                <w:rFonts w:eastAsia="等线"/>
                <w:sz w:val="22"/>
                <w:szCs w:val="22"/>
              </w:rPr>
              <w:t>61</w:t>
            </w:r>
          </w:p>
        </w:tc>
        <w:tc>
          <w:tcPr>
            <w:tcW w:w="266" w:type="pct"/>
            <w:vAlign w:val="center"/>
          </w:tcPr>
          <w:p>
            <w:pPr>
              <w:pStyle w:val="1132"/>
            </w:pPr>
            <w:r>
              <w:rPr>
                <w:rFonts w:eastAsia="等线"/>
                <w:sz w:val="22"/>
                <w:szCs w:val="22"/>
              </w:rPr>
              <w:t>61</w:t>
            </w:r>
          </w:p>
        </w:tc>
        <w:tc>
          <w:tcPr>
            <w:tcW w:w="266" w:type="pct"/>
            <w:vAlign w:val="center"/>
          </w:tcPr>
          <w:p>
            <w:pPr>
              <w:pStyle w:val="1132"/>
            </w:pPr>
            <w:r>
              <w:rPr>
                <w:rFonts w:eastAsia="等线"/>
                <w:sz w:val="22"/>
                <w:szCs w:val="22"/>
              </w:rPr>
              <w:t>63</w:t>
            </w:r>
          </w:p>
        </w:tc>
        <w:tc>
          <w:tcPr>
            <w:tcW w:w="266" w:type="pct"/>
            <w:vAlign w:val="center"/>
          </w:tcPr>
          <w:p>
            <w:pPr>
              <w:pStyle w:val="1132"/>
            </w:pPr>
            <w:r>
              <w:rPr>
                <w:rFonts w:eastAsia="等线"/>
                <w:sz w:val="22"/>
                <w:szCs w:val="22"/>
              </w:rPr>
              <w:t>63</w:t>
            </w:r>
          </w:p>
        </w:tc>
        <w:tc>
          <w:tcPr>
            <w:tcW w:w="266" w:type="pct"/>
            <w:vAlign w:val="center"/>
          </w:tcPr>
          <w:p>
            <w:pPr>
              <w:pStyle w:val="1132"/>
            </w:pPr>
            <w:r>
              <w:rPr>
                <w:rFonts w:eastAsia="等线"/>
                <w:szCs w:val="21"/>
              </w:rPr>
              <w:t>63</w:t>
            </w:r>
          </w:p>
        </w:tc>
        <w:tc>
          <w:tcPr>
            <w:tcW w:w="266" w:type="pct"/>
            <w:vAlign w:val="center"/>
          </w:tcPr>
          <w:p>
            <w:pPr>
              <w:pStyle w:val="1132"/>
            </w:pPr>
            <w:r>
              <w:rPr>
                <w:rFonts w:eastAsia="等线"/>
                <w:szCs w:val="21"/>
              </w:rPr>
              <w:t>61</w:t>
            </w:r>
          </w:p>
        </w:tc>
        <w:tc>
          <w:tcPr>
            <w:tcW w:w="266" w:type="pct"/>
            <w:vAlign w:val="center"/>
          </w:tcPr>
          <w:p>
            <w:pPr>
              <w:pStyle w:val="1132"/>
            </w:pPr>
            <w:r>
              <w:rPr>
                <w:rFonts w:eastAsia="等线"/>
                <w:szCs w:val="21"/>
              </w:rPr>
              <w:t>64</w:t>
            </w:r>
          </w:p>
        </w:tc>
        <w:tc>
          <w:tcPr>
            <w:tcW w:w="266" w:type="pct"/>
            <w:vAlign w:val="center"/>
          </w:tcPr>
          <w:p>
            <w:pPr>
              <w:pStyle w:val="1132"/>
            </w:pPr>
            <w:r>
              <w:rPr>
                <w:rFonts w:eastAsia="等线"/>
                <w:szCs w:val="21"/>
              </w:rPr>
              <w:t>63</w:t>
            </w:r>
          </w:p>
        </w:tc>
        <w:tc>
          <w:tcPr>
            <w:tcW w:w="266" w:type="pct"/>
            <w:vAlign w:val="center"/>
          </w:tcPr>
          <w:p>
            <w:pPr>
              <w:pStyle w:val="1132"/>
            </w:pPr>
            <w:r>
              <w:rPr>
                <w:rFonts w:eastAsia="等线"/>
                <w:sz w:val="22"/>
                <w:szCs w:val="22"/>
              </w:rPr>
              <w:t xml:space="preserve">3 </w:t>
            </w:r>
          </w:p>
        </w:tc>
        <w:tc>
          <w:tcPr>
            <w:tcW w:w="266" w:type="pct"/>
            <w:vAlign w:val="center"/>
          </w:tcPr>
          <w:p>
            <w:pPr>
              <w:pStyle w:val="1132"/>
            </w:pPr>
            <w:r>
              <w:rPr>
                <w:rFonts w:eastAsia="等线"/>
                <w:sz w:val="22"/>
                <w:szCs w:val="22"/>
              </w:rPr>
              <w:t xml:space="preserve">11 </w:t>
            </w:r>
          </w:p>
        </w:tc>
        <w:tc>
          <w:tcPr>
            <w:tcW w:w="278" w:type="pct"/>
            <w:vAlign w:val="center"/>
          </w:tcPr>
          <w:p>
            <w:pPr>
              <w:pStyle w:val="1132"/>
            </w:pPr>
            <w:r>
              <w:rPr>
                <w:rFonts w:eastAsia="等线"/>
                <w:sz w:val="22"/>
                <w:szCs w:val="22"/>
              </w:rPr>
              <w:t xml:space="preserve">4 </w:t>
            </w:r>
          </w:p>
        </w:tc>
        <w:tc>
          <w:tcPr>
            <w:tcW w:w="264" w:type="pct"/>
            <w:vAlign w:val="center"/>
          </w:tcPr>
          <w:p>
            <w:pPr>
              <w:pStyle w:val="1132"/>
            </w:pPr>
            <w:r>
              <w:rPr>
                <w:rFonts w:eastAsia="等线"/>
                <w:sz w:val="22"/>
                <w:szCs w:val="22"/>
              </w:rPr>
              <w:t xml:space="preserve">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71" w:type="pct"/>
            <w:vAlign w:val="center"/>
          </w:tcPr>
          <w:p>
            <w:pPr>
              <w:pStyle w:val="1132"/>
            </w:pPr>
            <w:r>
              <w:rPr>
                <w:rFonts w:hint="eastAsia"/>
              </w:rPr>
              <w:t>2</w:t>
            </w:r>
          </w:p>
        </w:tc>
        <w:tc>
          <w:tcPr>
            <w:tcW w:w="384" w:type="pct"/>
            <w:vAlign w:val="center"/>
          </w:tcPr>
          <w:p>
            <w:pPr>
              <w:pStyle w:val="1132"/>
            </w:pPr>
            <w:r>
              <w:rPr>
                <w:rFonts w:hint="eastAsia"/>
              </w:rPr>
              <w:t>路圩村</w:t>
            </w:r>
          </w:p>
        </w:tc>
        <w:tc>
          <w:tcPr>
            <w:tcW w:w="405" w:type="pct"/>
            <w:vAlign w:val="center"/>
          </w:tcPr>
          <w:p>
            <w:pPr>
              <w:pStyle w:val="1132"/>
              <w:rPr>
                <w:rFonts w:hint="default" w:eastAsia="等线"/>
                <w:lang w:val="en-US" w:eastAsia="zh-CN"/>
              </w:rPr>
            </w:pPr>
            <w:r>
              <w:rPr>
                <w:rFonts w:eastAsia="等线"/>
                <w:color w:val="000000"/>
                <w:szCs w:val="21"/>
              </w:rPr>
              <w:t>1</w:t>
            </w:r>
            <w:r>
              <w:rPr>
                <w:rFonts w:hint="eastAsia" w:eastAsia="等线"/>
                <w:color w:val="000000"/>
                <w:szCs w:val="21"/>
                <w:lang w:val="en-US" w:eastAsia="zh-CN"/>
              </w:rPr>
              <w:t>18</w:t>
            </w:r>
          </w:p>
        </w:tc>
        <w:tc>
          <w:tcPr>
            <w:tcW w:w="306" w:type="pct"/>
            <w:vAlign w:val="center"/>
          </w:tcPr>
          <w:p>
            <w:pPr>
              <w:pStyle w:val="1132"/>
            </w:pPr>
            <w:r>
              <w:rPr>
                <w:rFonts w:hint="eastAsia"/>
              </w:rPr>
              <w:t>2</w:t>
            </w:r>
          </w:p>
        </w:tc>
        <w:tc>
          <w:tcPr>
            <w:tcW w:w="266" w:type="pct"/>
            <w:vAlign w:val="center"/>
          </w:tcPr>
          <w:p>
            <w:pPr>
              <w:pStyle w:val="1132"/>
            </w:pPr>
            <w:r>
              <w:rPr>
                <w:rFonts w:eastAsia="等线"/>
                <w:color w:val="000000"/>
                <w:szCs w:val="21"/>
              </w:rPr>
              <w:t>48</w:t>
            </w:r>
          </w:p>
        </w:tc>
        <w:tc>
          <w:tcPr>
            <w:tcW w:w="266" w:type="pct"/>
            <w:vAlign w:val="center"/>
          </w:tcPr>
          <w:p>
            <w:pPr>
              <w:pStyle w:val="1132"/>
            </w:pPr>
            <w:r>
              <w:rPr>
                <w:rFonts w:eastAsia="等线"/>
                <w:color w:val="000000"/>
                <w:szCs w:val="21"/>
              </w:rPr>
              <w:t>43</w:t>
            </w:r>
          </w:p>
        </w:tc>
        <w:tc>
          <w:tcPr>
            <w:tcW w:w="266" w:type="pct"/>
            <w:vAlign w:val="center"/>
          </w:tcPr>
          <w:p>
            <w:pPr>
              <w:pStyle w:val="1132"/>
            </w:pPr>
            <w:r>
              <w:rPr>
                <w:rFonts w:eastAsia="等线"/>
                <w:sz w:val="22"/>
                <w:szCs w:val="22"/>
              </w:rPr>
              <w:t>64</w:t>
            </w:r>
          </w:p>
        </w:tc>
        <w:tc>
          <w:tcPr>
            <w:tcW w:w="266" w:type="pct"/>
            <w:vAlign w:val="center"/>
          </w:tcPr>
          <w:p>
            <w:pPr>
              <w:pStyle w:val="1132"/>
            </w:pPr>
            <w:r>
              <w:rPr>
                <w:rFonts w:eastAsia="等线"/>
                <w:sz w:val="22"/>
                <w:szCs w:val="22"/>
              </w:rPr>
              <w:t>64</w:t>
            </w:r>
          </w:p>
        </w:tc>
        <w:tc>
          <w:tcPr>
            <w:tcW w:w="266" w:type="pct"/>
            <w:vAlign w:val="center"/>
          </w:tcPr>
          <w:p>
            <w:pPr>
              <w:pStyle w:val="1132"/>
            </w:pPr>
            <w:r>
              <w:rPr>
                <w:rFonts w:eastAsia="等线"/>
                <w:sz w:val="22"/>
                <w:szCs w:val="22"/>
              </w:rPr>
              <w:t>66</w:t>
            </w:r>
          </w:p>
        </w:tc>
        <w:tc>
          <w:tcPr>
            <w:tcW w:w="266" w:type="pct"/>
            <w:vAlign w:val="center"/>
          </w:tcPr>
          <w:p>
            <w:pPr>
              <w:pStyle w:val="1132"/>
            </w:pPr>
            <w:r>
              <w:rPr>
                <w:rFonts w:eastAsia="等线"/>
                <w:sz w:val="22"/>
                <w:szCs w:val="22"/>
              </w:rPr>
              <w:t>66</w:t>
            </w:r>
          </w:p>
        </w:tc>
        <w:tc>
          <w:tcPr>
            <w:tcW w:w="266" w:type="pct"/>
            <w:vAlign w:val="center"/>
          </w:tcPr>
          <w:p>
            <w:pPr>
              <w:pStyle w:val="1132"/>
            </w:pPr>
            <w:r>
              <w:rPr>
                <w:rFonts w:eastAsia="等线"/>
                <w:szCs w:val="21"/>
              </w:rPr>
              <w:t>64</w:t>
            </w:r>
          </w:p>
        </w:tc>
        <w:tc>
          <w:tcPr>
            <w:tcW w:w="266" w:type="pct"/>
            <w:vAlign w:val="center"/>
          </w:tcPr>
          <w:p>
            <w:pPr>
              <w:pStyle w:val="1132"/>
            </w:pPr>
            <w:r>
              <w:rPr>
                <w:rFonts w:eastAsia="等线"/>
                <w:szCs w:val="21"/>
              </w:rPr>
              <w:t>64</w:t>
            </w:r>
          </w:p>
        </w:tc>
        <w:tc>
          <w:tcPr>
            <w:tcW w:w="266" w:type="pct"/>
            <w:vAlign w:val="center"/>
          </w:tcPr>
          <w:p>
            <w:pPr>
              <w:pStyle w:val="1132"/>
            </w:pPr>
            <w:r>
              <w:rPr>
                <w:rFonts w:eastAsia="等线"/>
                <w:szCs w:val="21"/>
              </w:rPr>
              <w:t>66</w:t>
            </w:r>
          </w:p>
        </w:tc>
        <w:tc>
          <w:tcPr>
            <w:tcW w:w="266" w:type="pct"/>
            <w:vAlign w:val="center"/>
          </w:tcPr>
          <w:p>
            <w:pPr>
              <w:pStyle w:val="1132"/>
            </w:pPr>
            <w:r>
              <w:rPr>
                <w:rFonts w:eastAsia="等线"/>
                <w:szCs w:val="21"/>
              </w:rPr>
              <w:t>66</w:t>
            </w:r>
          </w:p>
        </w:tc>
        <w:tc>
          <w:tcPr>
            <w:tcW w:w="266" w:type="pct"/>
            <w:vAlign w:val="center"/>
          </w:tcPr>
          <w:p>
            <w:pPr>
              <w:pStyle w:val="1132"/>
            </w:pPr>
            <w:r>
              <w:rPr>
                <w:rFonts w:eastAsia="等线"/>
                <w:sz w:val="22"/>
                <w:szCs w:val="22"/>
              </w:rPr>
              <w:t xml:space="preserve">4 </w:t>
            </w:r>
          </w:p>
        </w:tc>
        <w:tc>
          <w:tcPr>
            <w:tcW w:w="266" w:type="pct"/>
            <w:vAlign w:val="center"/>
          </w:tcPr>
          <w:p>
            <w:pPr>
              <w:pStyle w:val="1132"/>
            </w:pPr>
            <w:r>
              <w:rPr>
                <w:rFonts w:eastAsia="等线"/>
                <w:sz w:val="22"/>
                <w:szCs w:val="22"/>
              </w:rPr>
              <w:t xml:space="preserve">14 </w:t>
            </w:r>
          </w:p>
        </w:tc>
        <w:tc>
          <w:tcPr>
            <w:tcW w:w="278" w:type="pct"/>
            <w:vAlign w:val="center"/>
          </w:tcPr>
          <w:p>
            <w:pPr>
              <w:pStyle w:val="1132"/>
            </w:pPr>
            <w:r>
              <w:rPr>
                <w:rFonts w:eastAsia="等线"/>
                <w:sz w:val="22"/>
                <w:szCs w:val="22"/>
              </w:rPr>
              <w:t xml:space="preserve">6 </w:t>
            </w:r>
          </w:p>
        </w:tc>
        <w:tc>
          <w:tcPr>
            <w:tcW w:w="264" w:type="pct"/>
            <w:vAlign w:val="center"/>
          </w:tcPr>
          <w:p>
            <w:pPr>
              <w:pStyle w:val="1132"/>
            </w:pPr>
            <w:r>
              <w:rPr>
                <w:rFonts w:eastAsia="等线"/>
                <w:sz w:val="22"/>
                <w:szCs w:val="22"/>
              </w:rPr>
              <w:t xml:space="preserve">16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71" w:type="pct"/>
            <w:vAlign w:val="center"/>
          </w:tcPr>
          <w:p>
            <w:pPr>
              <w:pStyle w:val="1132"/>
            </w:pPr>
            <w:r>
              <w:rPr>
                <w:rFonts w:hint="eastAsia"/>
              </w:rPr>
              <w:t>3</w:t>
            </w:r>
          </w:p>
        </w:tc>
        <w:tc>
          <w:tcPr>
            <w:tcW w:w="384" w:type="pct"/>
            <w:vAlign w:val="center"/>
          </w:tcPr>
          <w:p>
            <w:pPr>
              <w:pStyle w:val="1132"/>
            </w:pPr>
            <w:r>
              <w:rPr>
                <w:rFonts w:hint="eastAsia"/>
              </w:rPr>
              <w:t>汤庄（原）</w:t>
            </w:r>
          </w:p>
        </w:tc>
        <w:tc>
          <w:tcPr>
            <w:tcW w:w="405" w:type="pct"/>
            <w:vAlign w:val="center"/>
          </w:tcPr>
          <w:p>
            <w:pPr>
              <w:pStyle w:val="1132"/>
              <w:rPr>
                <w:rFonts w:hint="default" w:eastAsia="等线"/>
                <w:lang w:val="en-US" w:eastAsia="zh-CN"/>
              </w:rPr>
            </w:pPr>
            <w:r>
              <w:rPr>
                <w:rFonts w:eastAsia="等线"/>
                <w:color w:val="000000"/>
                <w:szCs w:val="21"/>
              </w:rPr>
              <w:t>1</w:t>
            </w:r>
            <w:r>
              <w:rPr>
                <w:rFonts w:hint="eastAsia" w:eastAsia="等线"/>
                <w:color w:val="000000"/>
                <w:szCs w:val="21"/>
                <w:lang w:val="en-US" w:eastAsia="zh-CN"/>
              </w:rPr>
              <w:t>36</w:t>
            </w:r>
          </w:p>
        </w:tc>
        <w:tc>
          <w:tcPr>
            <w:tcW w:w="306" w:type="pct"/>
            <w:vAlign w:val="center"/>
          </w:tcPr>
          <w:p>
            <w:pPr>
              <w:pStyle w:val="1132"/>
            </w:pPr>
            <w:r>
              <w:rPr>
                <w:rFonts w:hint="eastAsia"/>
              </w:rPr>
              <w:t>2</w:t>
            </w:r>
          </w:p>
        </w:tc>
        <w:tc>
          <w:tcPr>
            <w:tcW w:w="266" w:type="pct"/>
            <w:vAlign w:val="center"/>
          </w:tcPr>
          <w:p>
            <w:pPr>
              <w:pStyle w:val="1132"/>
            </w:pPr>
            <w:r>
              <w:rPr>
                <w:rFonts w:eastAsia="等线"/>
                <w:color w:val="000000"/>
                <w:szCs w:val="21"/>
              </w:rPr>
              <w:t>53</w:t>
            </w:r>
          </w:p>
        </w:tc>
        <w:tc>
          <w:tcPr>
            <w:tcW w:w="266" w:type="pct"/>
            <w:vAlign w:val="center"/>
          </w:tcPr>
          <w:p>
            <w:pPr>
              <w:pStyle w:val="1132"/>
            </w:pPr>
            <w:r>
              <w:rPr>
                <w:rFonts w:eastAsia="等线"/>
                <w:color w:val="000000"/>
                <w:szCs w:val="21"/>
              </w:rPr>
              <w:t>48</w:t>
            </w:r>
          </w:p>
        </w:tc>
        <w:tc>
          <w:tcPr>
            <w:tcW w:w="266" w:type="pct"/>
            <w:vAlign w:val="center"/>
          </w:tcPr>
          <w:p>
            <w:pPr>
              <w:pStyle w:val="1132"/>
            </w:pPr>
            <w:r>
              <w:rPr>
                <w:rFonts w:eastAsia="等线"/>
                <w:sz w:val="22"/>
                <w:szCs w:val="22"/>
              </w:rPr>
              <w:t>63</w:t>
            </w:r>
          </w:p>
        </w:tc>
        <w:tc>
          <w:tcPr>
            <w:tcW w:w="266" w:type="pct"/>
            <w:vAlign w:val="center"/>
          </w:tcPr>
          <w:p>
            <w:pPr>
              <w:pStyle w:val="1132"/>
            </w:pPr>
            <w:r>
              <w:rPr>
                <w:rFonts w:eastAsia="等线"/>
                <w:sz w:val="22"/>
                <w:szCs w:val="22"/>
              </w:rPr>
              <w:t>63</w:t>
            </w:r>
          </w:p>
        </w:tc>
        <w:tc>
          <w:tcPr>
            <w:tcW w:w="266" w:type="pct"/>
            <w:vAlign w:val="center"/>
          </w:tcPr>
          <w:p>
            <w:pPr>
              <w:pStyle w:val="1132"/>
            </w:pPr>
            <w:r>
              <w:rPr>
                <w:rFonts w:eastAsia="等线"/>
                <w:sz w:val="22"/>
                <w:szCs w:val="22"/>
              </w:rPr>
              <w:t>65</w:t>
            </w:r>
          </w:p>
        </w:tc>
        <w:tc>
          <w:tcPr>
            <w:tcW w:w="266" w:type="pct"/>
            <w:vAlign w:val="center"/>
          </w:tcPr>
          <w:p>
            <w:pPr>
              <w:pStyle w:val="1132"/>
            </w:pPr>
            <w:r>
              <w:rPr>
                <w:rFonts w:eastAsia="等线"/>
                <w:sz w:val="22"/>
                <w:szCs w:val="22"/>
              </w:rPr>
              <w:t>65</w:t>
            </w:r>
          </w:p>
        </w:tc>
        <w:tc>
          <w:tcPr>
            <w:tcW w:w="266" w:type="pct"/>
            <w:vAlign w:val="center"/>
          </w:tcPr>
          <w:p>
            <w:pPr>
              <w:pStyle w:val="1132"/>
            </w:pPr>
            <w:r>
              <w:rPr>
                <w:rFonts w:eastAsia="等线"/>
                <w:szCs w:val="21"/>
              </w:rPr>
              <w:t>64</w:t>
            </w:r>
          </w:p>
        </w:tc>
        <w:tc>
          <w:tcPr>
            <w:tcW w:w="266" w:type="pct"/>
            <w:vAlign w:val="center"/>
          </w:tcPr>
          <w:p>
            <w:pPr>
              <w:pStyle w:val="1132"/>
            </w:pPr>
            <w:r>
              <w:rPr>
                <w:rFonts w:eastAsia="等线"/>
                <w:szCs w:val="21"/>
              </w:rPr>
              <w:t>63</w:t>
            </w:r>
          </w:p>
        </w:tc>
        <w:tc>
          <w:tcPr>
            <w:tcW w:w="266" w:type="pct"/>
            <w:vAlign w:val="center"/>
          </w:tcPr>
          <w:p>
            <w:pPr>
              <w:pStyle w:val="1132"/>
            </w:pPr>
            <w:r>
              <w:rPr>
                <w:rFonts w:eastAsia="等线"/>
                <w:szCs w:val="21"/>
              </w:rPr>
              <w:t>65</w:t>
            </w:r>
          </w:p>
        </w:tc>
        <w:tc>
          <w:tcPr>
            <w:tcW w:w="266" w:type="pct"/>
            <w:vAlign w:val="center"/>
          </w:tcPr>
          <w:p>
            <w:pPr>
              <w:pStyle w:val="1132"/>
            </w:pPr>
            <w:r>
              <w:rPr>
                <w:rFonts w:eastAsia="等线"/>
                <w:szCs w:val="21"/>
              </w:rPr>
              <w:t>65</w:t>
            </w:r>
          </w:p>
        </w:tc>
        <w:tc>
          <w:tcPr>
            <w:tcW w:w="266" w:type="pct"/>
            <w:vAlign w:val="center"/>
          </w:tcPr>
          <w:p>
            <w:pPr>
              <w:pStyle w:val="1132"/>
            </w:pPr>
            <w:r>
              <w:rPr>
                <w:rFonts w:eastAsia="等线"/>
                <w:sz w:val="22"/>
                <w:szCs w:val="22"/>
              </w:rPr>
              <w:t xml:space="preserve">4 </w:t>
            </w:r>
          </w:p>
        </w:tc>
        <w:tc>
          <w:tcPr>
            <w:tcW w:w="266" w:type="pct"/>
            <w:vAlign w:val="center"/>
          </w:tcPr>
          <w:p>
            <w:pPr>
              <w:pStyle w:val="1132"/>
            </w:pPr>
            <w:r>
              <w:rPr>
                <w:rFonts w:eastAsia="等线"/>
                <w:sz w:val="22"/>
                <w:szCs w:val="22"/>
              </w:rPr>
              <w:t xml:space="preserve">13 </w:t>
            </w:r>
          </w:p>
        </w:tc>
        <w:tc>
          <w:tcPr>
            <w:tcW w:w="278" w:type="pct"/>
            <w:vAlign w:val="center"/>
          </w:tcPr>
          <w:p>
            <w:pPr>
              <w:pStyle w:val="1132"/>
            </w:pPr>
            <w:r>
              <w:rPr>
                <w:rFonts w:eastAsia="等线"/>
                <w:sz w:val="22"/>
                <w:szCs w:val="22"/>
              </w:rPr>
              <w:t xml:space="preserve">5 </w:t>
            </w:r>
          </w:p>
        </w:tc>
        <w:tc>
          <w:tcPr>
            <w:tcW w:w="264" w:type="pct"/>
            <w:vAlign w:val="center"/>
          </w:tcPr>
          <w:p>
            <w:pPr>
              <w:pStyle w:val="1132"/>
            </w:pPr>
            <w:r>
              <w:rPr>
                <w:rFonts w:eastAsia="等线"/>
                <w:sz w:val="22"/>
                <w:szCs w:val="22"/>
              </w:rPr>
              <w:t xml:space="preserve">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71" w:type="pct"/>
            <w:vAlign w:val="center"/>
          </w:tcPr>
          <w:p>
            <w:pPr>
              <w:pStyle w:val="1132"/>
            </w:pPr>
            <w:r>
              <w:rPr>
                <w:rFonts w:hint="eastAsia"/>
              </w:rPr>
              <w:t>4</w:t>
            </w:r>
          </w:p>
        </w:tc>
        <w:tc>
          <w:tcPr>
            <w:tcW w:w="384" w:type="pct"/>
            <w:vAlign w:val="center"/>
          </w:tcPr>
          <w:p>
            <w:pPr>
              <w:pStyle w:val="1132"/>
            </w:pPr>
            <w:r>
              <w:rPr>
                <w:rFonts w:hint="eastAsia"/>
              </w:rPr>
              <w:t>汤庄</w:t>
            </w:r>
          </w:p>
        </w:tc>
        <w:tc>
          <w:tcPr>
            <w:tcW w:w="405" w:type="pct"/>
            <w:vAlign w:val="center"/>
          </w:tcPr>
          <w:p>
            <w:pPr>
              <w:pStyle w:val="1132"/>
              <w:rPr>
                <w:rFonts w:hint="eastAsia" w:eastAsia="宋体"/>
                <w:lang w:eastAsia="zh-CN"/>
              </w:rPr>
            </w:pPr>
            <w:r>
              <w:rPr>
                <w:rFonts w:hint="eastAsia" w:eastAsia="等线"/>
                <w:color w:val="000000"/>
                <w:szCs w:val="21"/>
                <w:lang w:val="en-US" w:eastAsia="zh-CN"/>
              </w:rPr>
              <w:t>8</w:t>
            </w:r>
          </w:p>
        </w:tc>
        <w:tc>
          <w:tcPr>
            <w:tcW w:w="306" w:type="pct"/>
            <w:vAlign w:val="center"/>
          </w:tcPr>
          <w:p>
            <w:pPr>
              <w:pStyle w:val="1132"/>
            </w:pPr>
            <w:r>
              <w:rPr>
                <w:rFonts w:hint="eastAsia"/>
              </w:rPr>
              <w:t>4a</w:t>
            </w:r>
          </w:p>
        </w:tc>
        <w:tc>
          <w:tcPr>
            <w:tcW w:w="266" w:type="pct"/>
            <w:vAlign w:val="center"/>
          </w:tcPr>
          <w:p>
            <w:pPr>
              <w:pStyle w:val="1132"/>
            </w:pPr>
            <w:r>
              <w:rPr>
                <w:rFonts w:eastAsia="等线"/>
                <w:color w:val="000000"/>
                <w:szCs w:val="21"/>
              </w:rPr>
              <w:t>51</w:t>
            </w:r>
          </w:p>
        </w:tc>
        <w:tc>
          <w:tcPr>
            <w:tcW w:w="266" w:type="pct"/>
            <w:vAlign w:val="center"/>
          </w:tcPr>
          <w:p>
            <w:pPr>
              <w:pStyle w:val="1132"/>
            </w:pPr>
            <w:r>
              <w:rPr>
                <w:rFonts w:eastAsia="等线"/>
                <w:color w:val="000000"/>
                <w:szCs w:val="21"/>
              </w:rPr>
              <w:t>46</w:t>
            </w:r>
          </w:p>
        </w:tc>
        <w:tc>
          <w:tcPr>
            <w:tcW w:w="266" w:type="pct"/>
            <w:vAlign w:val="center"/>
          </w:tcPr>
          <w:p>
            <w:pPr>
              <w:pStyle w:val="1132"/>
            </w:pPr>
            <w:r>
              <w:rPr>
                <w:rFonts w:eastAsia="等线"/>
                <w:sz w:val="22"/>
                <w:szCs w:val="22"/>
              </w:rPr>
              <w:t>79</w:t>
            </w:r>
          </w:p>
        </w:tc>
        <w:tc>
          <w:tcPr>
            <w:tcW w:w="266" w:type="pct"/>
            <w:vAlign w:val="center"/>
          </w:tcPr>
          <w:p>
            <w:pPr>
              <w:pStyle w:val="1132"/>
            </w:pPr>
            <w:r>
              <w:rPr>
                <w:rFonts w:eastAsia="等线"/>
                <w:sz w:val="22"/>
                <w:szCs w:val="22"/>
              </w:rPr>
              <w:t>79</w:t>
            </w:r>
          </w:p>
        </w:tc>
        <w:tc>
          <w:tcPr>
            <w:tcW w:w="266" w:type="pct"/>
            <w:vAlign w:val="center"/>
          </w:tcPr>
          <w:p>
            <w:pPr>
              <w:pStyle w:val="1132"/>
            </w:pPr>
            <w:r>
              <w:rPr>
                <w:rFonts w:eastAsia="等线"/>
                <w:sz w:val="22"/>
                <w:szCs w:val="22"/>
              </w:rPr>
              <w:t>81</w:t>
            </w:r>
          </w:p>
        </w:tc>
        <w:tc>
          <w:tcPr>
            <w:tcW w:w="266" w:type="pct"/>
            <w:vAlign w:val="center"/>
          </w:tcPr>
          <w:p>
            <w:pPr>
              <w:pStyle w:val="1132"/>
            </w:pPr>
            <w:r>
              <w:rPr>
                <w:rFonts w:eastAsia="等线"/>
                <w:sz w:val="22"/>
                <w:szCs w:val="22"/>
              </w:rPr>
              <w:t>81</w:t>
            </w:r>
          </w:p>
        </w:tc>
        <w:tc>
          <w:tcPr>
            <w:tcW w:w="266" w:type="pct"/>
            <w:vAlign w:val="center"/>
          </w:tcPr>
          <w:p>
            <w:pPr>
              <w:pStyle w:val="1132"/>
            </w:pPr>
            <w:r>
              <w:rPr>
                <w:rFonts w:eastAsia="等线"/>
                <w:szCs w:val="21"/>
              </w:rPr>
              <w:t>79</w:t>
            </w:r>
          </w:p>
        </w:tc>
        <w:tc>
          <w:tcPr>
            <w:tcW w:w="266" w:type="pct"/>
            <w:vAlign w:val="center"/>
          </w:tcPr>
          <w:p>
            <w:pPr>
              <w:pStyle w:val="1132"/>
            </w:pPr>
            <w:r>
              <w:rPr>
                <w:rFonts w:eastAsia="等线"/>
                <w:szCs w:val="21"/>
              </w:rPr>
              <w:t>79</w:t>
            </w:r>
          </w:p>
        </w:tc>
        <w:tc>
          <w:tcPr>
            <w:tcW w:w="266" w:type="pct"/>
            <w:vAlign w:val="center"/>
          </w:tcPr>
          <w:p>
            <w:pPr>
              <w:pStyle w:val="1132"/>
            </w:pPr>
            <w:r>
              <w:rPr>
                <w:rFonts w:eastAsia="等线"/>
                <w:szCs w:val="21"/>
              </w:rPr>
              <w:t>81</w:t>
            </w:r>
          </w:p>
        </w:tc>
        <w:tc>
          <w:tcPr>
            <w:tcW w:w="266" w:type="pct"/>
            <w:vAlign w:val="center"/>
          </w:tcPr>
          <w:p>
            <w:pPr>
              <w:pStyle w:val="1132"/>
            </w:pPr>
            <w:r>
              <w:rPr>
                <w:rFonts w:eastAsia="等线"/>
                <w:szCs w:val="21"/>
              </w:rPr>
              <w:t>81</w:t>
            </w:r>
          </w:p>
        </w:tc>
        <w:tc>
          <w:tcPr>
            <w:tcW w:w="266" w:type="pct"/>
            <w:vAlign w:val="center"/>
          </w:tcPr>
          <w:p>
            <w:pPr>
              <w:pStyle w:val="1132"/>
            </w:pPr>
            <w:r>
              <w:rPr>
                <w:rFonts w:eastAsia="等线"/>
                <w:sz w:val="22"/>
                <w:szCs w:val="22"/>
              </w:rPr>
              <w:t xml:space="preserve">9 </w:t>
            </w:r>
          </w:p>
        </w:tc>
        <w:tc>
          <w:tcPr>
            <w:tcW w:w="266" w:type="pct"/>
            <w:vAlign w:val="center"/>
          </w:tcPr>
          <w:p>
            <w:pPr>
              <w:pStyle w:val="1132"/>
            </w:pPr>
            <w:r>
              <w:rPr>
                <w:rFonts w:eastAsia="等线"/>
                <w:sz w:val="22"/>
                <w:szCs w:val="22"/>
              </w:rPr>
              <w:t xml:space="preserve">24 </w:t>
            </w:r>
          </w:p>
        </w:tc>
        <w:tc>
          <w:tcPr>
            <w:tcW w:w="278" w:type="pct"/>
            <w:vAlign w:val="center"/>
          </w:tcPr>
          <w:p>
            <w:pPr>
              <w:pStyle w:val="1132"/>
            </w:pPr>
            <w:r>
              <w:rPr>
                <w:rFonts w:eastAsia="等线"/>
                <w:sz w:val="22"/>
                <w:szCs w:val="22"/>
              </w:rPr>
              <w:t xml:space="preserve">11 </w:t>
            </w:r>
          </w:p>
        </w:tc>
        <w:tc>
          <w:tcPr>
            <w:tcW w:w="264" w:type="pct"/>
            <w:vAlign w:val="center"/>
          </w:tcPr>
          <w:p>
            <w:pPr>
              <w:pStyle w:val="1132"/>
            </w:pPr>
            <w:r>
              <w:rPr>
                <w:rFonts w:eastAsia="等线"/>
                <w:sz w:val="22"/>
                <w:szCs w:val="22"/>
              </w:rPr>
              <w:t xml:space="preserve">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71" w:type="pct"/>
            <w:vAlign w:val="center"/>
          </w:tcPr>
          <w:p>
            <w:pPr>
              <w:pStyle w:val="1132"/>
            </w:pPr>
            <w:r>
              <w:rPr>
                <w:rFonts w:hint="eastAsia"/>
              </w:rPr>
              <w:t>5</w:t>
            </w:r>
          </w:p>
        </w:tc>
        <w:tc>
          <w:tcPr>
            <w:tcW w:w="384" w:type="pct"/>
            <w:vAlign w:val="center"/>
          </w:tcPr>
          <w:p>
            <w:pPr>
              <w:pStyle w:val="1132"/>
            </w:pPr>
            <w:r>
              <w:rPr>
                <w:rFonts w:hint="eastAsia"/>
              </w:rPr>
              <w:t>仁和村</w:t>
            </w:r>
          </w:p>
        </w:tc>
        <w:tc>
          <w:tcPr>
            <w:tcW w:w="405" w:type="pct"/>
            <w:vAlign w:val="center"/>
          </w:tcPr>
          <w:p>
            <w:pPr>
              <w:pStyle w:val="1132"/>
            </w:pPr>
            <w:r>
              <w:rPr>
                <w:rFonts w:eastAsia="等线"/>
                <w:color w:val="000000"/>
                <w:szCs w:val="21"/>
              </w:rPr>
              <w:t>5</w:t>
            </w:r>
          </w:p>
        </w:tc>
        <w:tc>
          <w:tcPr>
            <w:tcW w:w="306" w:type="pct"/>
            <w:vAlign w:val="center"/>
          </w:tcPr>
          <w:p>
            <w:pPr>
              <w:pStyle w:val="1132"/>
            </w:pPr>
            <w:r>
              <w:rPr>
                <w:rFonts w:hint="eastAsia"/>
              </w:rPr>
              <w:t>4a</w:t>
            </w:r>
          </w:p>
        </w:tc>
        <w:tc>
          <w:tcPr>
            <w:tcW w:w="266" w:type="pct"/>
            <w:vAlign w:val="center"/>
          </w:tcPr>
          <w:p>
            <w:pPr>
              <w:pStyle w:val="1132"/>
            </w:pPr>
            <w:r>
              <w:rPr>
                <w:rFonts w:eastAsia="等线"/>
                <w:color w:val="000000"/>
                <w:szCs w:val="21"/>
              </w:rPr>
              <w:t>48</w:t>
            </w:r>
          </w:p>
        </w:tc>
        <w:tc>
          <w:tcPr>
            <w:tcW w:w="266" w:type="pct"/>
            <w:vAlign w:val="center"/>
          </w:tcPr>
          <w:p>
            <w:pPr>
              <w:pStyle w:val="1132"/>
            </w:pPr>
            <w:r>
              <w:rPr>
                <w:rFonts w:eastAsia="等线"/>
                <w:color w:val="000000"/>
                <w:szCs w:val="21"/>
              </w:rPr>
              <w:t>41</w:t>
            </w:r>
          </w:p>
        </w:tc>
        <w:tc>
          <w:tcPr>
            <w:tcW w:w="266" w:type="pct"/>
            <w:vAlign w:val="center"/>
          </w:tcPr>
          <w:p>
            <w:pPr>
              <w:pStyle w:val="1132"/>
            </w:pPr>
            <w:r>
              <w:rPr>
                <w:rFonts w:eastAsia="等线"/>
                <w:sz w:val="22"/>
                <w:szCs w:val="22"/>
              </w:rPr>
              <w:t>79</w:t>
            </w:r>
          </w:p>
        </w:tc>
        <w:tc>
          <w:tcPr>
            <w:tcW w:w="266" w:type="pct"/>
            <w:vAlign w:val="center"/>
          </w:tcPr>
          <w:p>
            <w:pPr>
              <w:pStyle w:val="1132"/>
            </w:pPr>
            <w:r>
              <w:rPr>
                <w:rFonts w:eastAsia="等线"/>
                <w:sz w:val="22"/>
                <w:szCs w:val="22"/>
              </w:rPr>
              <w:t>79</w:t>
            </w:r>
          </w:p>
        </w:tc>
        <w:tc>
          <w:tcPr>
            <w:tcW w:w="266" w:type="pct"/>
            <w:vAlign w:val="center"/>
          </w:tcPr>
          <w:p>
            <w:pPr>
              <w:pStyle w:val="1132"/>
            </w:pPr>
            <w:r>
              <w:rPr>
                <w:rFonts w:eastAsia="等线"/>
                <w:sz w:val="22"/>
                <w:szCs w:val="22"/>
              </w:rPr>
              <w:t>81</w:t>
            </w:r>
          </w:p>
        </w:tc>
        <w:tc>
          <w:tcPr>
            <w:tcW w:w="266" w:type="pct"/>
            <w:vAlign w:val="center"/>
          </w:tcPr>
          <w:p>
            <w:pPr>
              <w:pStyle w:val="1132"/>
            </w:pPr>
            <w:r>
              <w:rPr>
                <w:rFonts w:eastAsia="等线"/>
                <w:sz w:val="22"/>
                <w:szCs w:val="22"/>
              </w:rPr>
              <w:t>81</w:t>
            </w:r>
          </w:p>
        </w:tc>
        <w:tc>
          <w:tcPr>
            <w:tcW w:w="266" w:type="pct"/>
            <w:vAlign w:val="center"/>
          </w:tcPr>
          <w:p>
            <w:pPr>
              <w:pStyle w:val="1132"/>
            </w:pPr>
            <w:r>
              <w:rPr>
                <w:rFonts w:eastAsia="等线"/>
                <w:szCs w:val="21"/>
              </w:rPr>
              <w:t>79</w:t>
            </w:r>
          </w:p>
        </w:tc>
        <w:tc>
          <w:tcPr>
            <w:tcW w:w="266" w:type="pct"/>
            <w:vAlign w:val="center"/>
          </w:tcPr>
          <w:p>
            <w:pPr>
              <w:pStyle w:val="1132"/>
            </w:pPr>
            <w:r>
              <w:rPr>
                <w:rFonts w:eastAsia="等线"/>
                <w:szCs w:val="21"/>
              </w:rPr>
              <w:t>79</w:t>
            </w:r>
          </w:p>
        </w:tc>
        <w:tc>
          <w:tcPr>
            <w:tcW w:w="266" w:type="pct"/>
            <w:vAlign w:val="center"/>
          </w:tcPr>
          <w:p>
            <w:pPr>
              <w:pStyle w:val="1132"/>
            </w:pPr>
            <w:r>
              <w:rPr>
                <w:rFonts w:eastAsia="等线"/>
                <w:szCs w:val="21"/>
              </w:rPr>
              <w:t>81</w:t>
            </w:r>
          </w:p>
        </w:tc>
        <w:tc>
          <w:tcPr>
            <w:tcW w:w="266" w:type="pct"/>
            <w:vAlign w:val="center"/>
          </w:tcPr>
          <w:p>
            <w:pPr>
              <w:pStyle w:val="1132"/>
            </w:pPr>
            <w:r>
              <w:rPr>
                <w:rFonts w:eastAsia="等线"/>
                <w:szCs w:val="21"/>
              </w:rPr>
              <w:t>81</w:t>
            </w:r>
          </w:p>
        </w:tc>
        <w:tc>
          <w:tcPr>
            <w:tcW w:w="266" w:type="pct"/>
            <w:vAlign w:val="center"/>
          </w:tcPr>
          <w:p>
            <w:pPr>
              <w:pStyle w:val="1132"/>
            </w:pPr>
            <w:r>
              <w:rPr>
                <w:rFonts w:eastAsia="等线"/>
                <w:sz w:val="22"/>
                <w:szCs w:val="22"/>
              </w:rPr>
              <w:t xml:space="preserve">9 </w:t>
            </w:r>
          </w:p>
        </w:tc>
        <w:tc>
          <w:tcPr>
            <w:tcW w:w="266" w:type="pct"/>
            <w:vAlign w:val="center"/>
          </w:tcPr>
          <w:p>
            <w:pPr>
              <w:pStyle w:val="1132"/>
            </w:pPr>
            <w:r>
              <w:rPr>
                <w:rFonts w:eastAsia="等线"/>
                <w:sz w:val="22"/>
                <w:szCs w:val="22"/>
              </w:rPr>
              <w:t xml:space="preserve">24 </w:t>
            </w:r>
          </w:p>
        </w:tc>
        <w:tc>
          <w:tcPr>
            <w:tcW w:w="278" w:type="pct"/>
            <w:vAlign w:val="center"/>
          </w:tcPr>
          <w:p>
            <w:pPr>
              <w:pStyle w:val="1132"/>
            </w:pPr>
            <w:r>
              <w:rPr>
                <w:rFonts w:eastAsia="等线"/>
                <w:sz w:val="22"/>
                <w:szCs w:val="22"/>
              </w:rPr>
              <w:t xml:space="preserve">11 </w:t>
            </w:r>
          </w:p>
        </w:tc>
        <w:tc>
          <w:tcPr>
            <w:tcW w:w="264" w:type="pct"/>
            <w:vAlign w:val="center"/>
          </w:tcPr>
          <w:p>
            <w:pPr>
              <w:pStyle w:val="1132"/>
            </w:pPr>
            <w:r>
              <w:rPr>
                <w:rFonts w:eastAsia="等线"/>
                <w:sz w:val="22"/>
                <w:szCs w:val="22"/>
              </w:rPr>
              <w:t xml:space="preserve">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71" w:type="pct"/>
            <w:vAlign w:val="center"/>
          </w:tcPr>
          <w:p>
            <w:pPr>
              <w:pStyle w:val="1132"/>
            </w:pPr>
            <w:r>
              <w:rPr>
                <w:rFonts w:hint="eastAsia"/>
              </w:rPr>
              <w:t>6</w:t>
            </w:r>
          </w:p>
        </w:tc>
        <w:tc>
          <w:tcPr>
            <w:tcW w:w="384" w:type="pct"/>
            <w:vAlign w:val="center"/>
          </w:tcPr>
          <w:p>
            <w:pPr>
              <w:pStyle w:val="1132"/>
            </w:pPr>
            <w:r>
              <w:rPr>
                <w:rFonts w:hint="eastAsia"/>
              </w:rPr>
              <w:t>王庄</w:t>
            </w:r>
          </w:p>
        </w:tc>
        <w:tc>
          <w:tcPr>
            <w:tcW w:w="405" w:type="pct"/>
            <w:vAlign w:val="center"/>
          </w:tcPr>
          <w:p>
            <w:pPr>
              <w:pStyle w:val="1132"/>
              <w:rPr>
                <w:rFonts w:hint="eastAsia" w:eastAsia="宋体"/>
                <w:lang w:eastAsia="zh-CN"/>
              </w:rPr>
            </w:pPr>
            <w:r>
              <w:rPr>
                <w:rFonts w:hint="eastAsia" w:eastAsia="等线"/>
                <w:color w:val="000000"/>
                <w:szCs w:val="21"/>
                <w:lang w:val="en-US" w:eastAsia="zh-CN"/>
              </w:rPr>
              <w:t>6</w:t>
            </w:r>
          </w:p>
        </w:tc>
        <w:tc>
          <w:tcPr>
            <w:tcW w:w="306" w:type="pct"/>
            <w:vAlign w:val="center"/>
          </w:tcPr>
          <w:p>
            <w:pPr>
              <w:pStyle w:val="1132"/>
            </w:pPr>
            <w:r>
              <w:rPr>
                <w:rFonts w:hint="eastAsia"/>
              </w:rPr>
              <w:t>4a</w:t>
            </w:r>
          </w:p>
        </w:tc>
        <w:tc>
          <w:tcPr>
            <w:tcW w:w="266" w:type="pct"/>
            <w:vAlign w:val="center"/>
          </w:tcPr>
          <w:p>
            <w:pPr>
              <w:pStyle w:val="1132"/>
            </w:pPr>
            <w:r>
              <w:rPr>
                <w:rFonts w:eastAsia="等线"/>
                <w:color w:val="000000"/>
                <w:szCs w:val="21"/>
              </w:rPr>
              <w:t>56</w:t>
            </w:r>
          </w:p>
        </w:tc>
        <w:tc>
          <w:tcPr>
            <w:tcW w:w="266" w:type="pct"/>
            <w:vAlign w:val="center"/>
          </w:tcPr>
          <w:p>
            <w:pPr>
              <w:pStyle w:val="1132"/>
            </w:pPr>
            <w:r>
              <w:rPr>
                <w:rFonts w:eastAsia="等线"/>
                <w:color w:val="000000"/>
                <w:szCs w:val="21"/>
              </w:rPr>
              <w:t>42</w:t>
            </w:r>
          </w:p>
        </w:tc>
        <w:tc>
          <w:tcPr>
            <w:tcW w:w="266" w:type="pct"/>
            <w:vAlign w:val="center"/>
          </w:tcPr>
          <w:p>
            <w:pPr>
              <w:pStyle w:val="1132"/>
            </w:pPr>
            <w:r>
              <w:rPr>
                <w:rFonts w:eastAsia="等线"/>
                <w:sz w:val="22"/>
                <w:szCs w:val="22"/>
              </w:rPr>
              <w:t>79</w:t>
            </w:r>
          </w:p>
        </w:tc>
        <w:tc>
          <w:tcPr>
            <w:tcW w:w="266" w:type="pct"/>
            <w:vAlign w:val="center"/>
          </w:tcPr>
          <w:p>
            <w:pPr>
              <w:pStyle w:val="1132"/>
            </w:pPr>
            <w:r>
              <w:rPr>
                <w:rFonts w:eastAsia="等线"/>
                <w:sz w:val="22"/>
                <w:szCs w:val="22"/>
              </w:rPr>
              <w:t>79</w:t>
            </w:r>
          </w:p>
        </w:tc>
        <w:tc>
          <w:tcPr>
            <w:tcW w:w="266" w:type="pct"/>
            <w:vAlign w:val="center"/>
          </w:tcPr>
          <w:p>
            <w:pPr>
              <w:pStyle w:val="1132"/>
            </w:pPr>
            <w:r>
              <w:rPr>
                <w:rFonts w:eastAsia="等线"/>
                <w:sz w:val="22"/>
                <w:szCs w:val="22"/>
              </w:rPr>
              <w:t>81</w:t>
            </w:r>
          </w:p>
        </w:tc>
        <w:tc>
          <w:tcPr>
            <w:tcW w:w="266" w:type="pct"/>
            <w:vAlign w:val="center"/>
          </w:tcPr>
          <w:p>
            <w:pPr>
              <w:pStyle w:val="1132"/>
            </w:pPr>
            <w:r>
              <w:rPr>
                <w:rFonts w:eastAsia="等线"/>
                <w:sz w:val="22"/>
                <w:szCs w:val="22"/>
              </w:rPr>
              <w:t>81</w:t>
            </w:r>
          </w:p>
        </w:tc>
        <w:tc>
          <w:tcPr>
            <w:tcW w:w="266" w:type="pct"/>
            <w:vAlign w:val="center"/>
          </w:tcPr>
          <w:p>
            <w:pPr>
              <w:pStyle w:val="1132"/>
            </w:pPr>
            <w:r>
              <w:rPr>
                <w:rFonts w:eastAsia="等线"/>
                <w:szCs w:val="21"/>
              </w:rPr>
              <w:t>79</w:t>
            </w:r>
          </w:p>
        </w:tc>
        <w:tc>
          <w:tcPr>
            <w:tcW w:w="266" w:type="pct"/>
            <w:vAlign w:val="center"/>
          </w:tcPr>
          <w:p>
            <w:pPr>
              <w:pStyle w:val="1132"/>
            </w:pPr>
            <w:r>
              <w:rPr>
                <w:rFonts w:eastAsia="等线"/>
                <w:szCs w:val="21"/>
              </w:rPr>
              <w:t>79</w:t>
            </w:r>
          </w:p>
        </w:tc>
        <w:tc>
          <w:tcPr>
            <w:tcW w:w="266" w:type="pct"/>
            <w:vAlign w:val="center"/>
          </w:tcPr>
          <w:p>
            <w:pPr>
              <w:pStyle w:val="1132"/>
            </w:pPr>
            <w:r>
              <w:rPr>
                <w:rFonts w:eastAsia="等线"/>
                <w:szCs w:val="21"/>
              </w:rPr>
              <w:t>81</w:t>
            </w:r>
          </w:p>
        </w:tc>
        <w:tc>
          <w:tcPr>
            <w:tcW w:w="266" w:type="pct"/>
            <w:vAlign w:val="center"/>
          </w:tcPr>
          <w:p>
            <w:pPr>
              <w:pStyle w:val="1132"/>
            </w:pPr>
            <w:r>
              <w:rPr>
                <w:rFonts w:eastAsia="等线"/>
                <w:szCs w:val="21"/>
              </w:rPr>
              <w:t>81</w:t>
            </w:r>
          </w:p>
        </w:tc>
        <w:tc>
          <w:tcPr>
            <w:tcW w:w="266" w:type="pct"/>
            <w:vAlign w:val="center"/>
          </w:tcPr>
          <w:p>
            <w:pPr>
              <w:pStyle w:val="1132"/>
            </w:pPr>
            <w:r>
              <w:rPr>
                <w:rFonts w:eastAsia="等线"/>
                <w:sz w:val="22"/>
                <w:szCs w:val="22"/>
              </w:rPr>
              <w:t xml:space="preserve">9 </w:t>
            </w:r>
          </w:p>
        </w:tc>
        <w:tc>
          <w:tcPr>
            <w:tcW w:w="266" w:type="pct"/>
            <w:vAlign w:val="center"/>
          </w:tcPr>
          <w:p>
            <w:pPr>
              <w:pStyle w:val="1132"/>
            </w:pPr>
            <w:r>
              <w:rPr>
                <w:rFonts w:eastAsia="等线"/>
                <w:sz w:val="22"/>
                <w:szCs w:val="22"/>
              </w:rPr>
              <w:t xml:space="preserve">24 </w:t>
            </w:r>
          </w:p>
        </w:tc>
        <w:tc>
          <w:tcPr>
            <w:tcW w:w="278" w:type="pct"/>
            <w:vAlign w:val="center"/>
          </w:tcPr>
          <w:p>
            <w:pPr>
              <w:pStyle w:val="1132"/>
            </w:pPr>
            <w:r>
              <w:rPr>
                <w:rFonts w:eastAsia="等线"/>
                <w:sz w:val="22"/>
                <w:szCs w:val="22"/>
              </w:rPr>
              <w:t xml:space="preserve">11 </w:t>
            </w:r>
          </w:p>
        </w:tc>
        <w:tc>
          <w:tcPr>
            <w:tcW w:w="264" w:type="pct"/>
            <w:vAlign w:val="center"/>
          </w:tcPr>
          <w:p>
            <w:pPr>
              <w:pStyle w:val="1132"/>
            </w:pPr>
            <w:r>
              <w:rPr>
                <w:rFonts w:eastAsia="等线"/>
                <w:sz w:val="22"/>
                <w:szCs w:val="22"/>
              </w:rPr>
              <w:t xml:space="preserve">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71" w:type="pct"/>
            <w:vAlign w:val="center"/>
          </w:tcPr>
          <w:p>
            <w:pPr>
              <w:pStyle w:val="1132"/>
            </w:pPr>
            <w:r>
              <w:rPr>
                <w:rFonts w:hint="eastAsia"/>
              </w:rPr>
              <w:t>7</w:t>
            </w:r>
          </w:p>
        </w:tc>
        <w:tc>
          <w:tcPr>
            <w:tcW w:w="384" w:type="pct"/>
            <w:vAlign w:val="center"/>
          </w:tcPr>
          <w:p>
            <w:pPr>
              <w:pStyle w:val="1132"/>
            </w:pPr>
            <w:r>
              <w:rPr>
                <w:rFonts w:hint="eastAsia"/>
              </w:rPr>
              <w:t>张园</w:t>
            </w:r>
          </w:p>
        </w:tc>
        <w:tc>
          <w:tcPr>
            <w:tcW w:w="405" w:type="pct"/>
            <w:vAlign w:val="center"/>
          </w:tcPr>
          <w:p>
            <w:pPr>
              <w:pStyle w:val="1132"/>
            </w:pPr>
            <w:r>
              <w:rPr>
                <w:rFonts w:hint="eastAsia" w:eastAsia="等线"/>
                <w:color w:val="000000"/>
                <w:szCs w:val="21"/>
                <w:lang w:val="en-US" w:eastAsia="zh-CN"/>
              </w:rPr>
              <w:t>2</w:t>
            </w:r>
            <w:r>
              <w:rPr>
                <w:rFonts w:eastAsia="等线"/>
                <w:color w:val="000000"/>
                <w:szCs w:val="21"/>
              </w:rPr>
              <w:t>0</w:t>
            </w:r>
          </w:p>
        </w:tc>
        <w:tc>
          <w:tcPr>
            <w:tcW w:w="306" w:type="pct"/>
            <w:vAlign w:val="center"/>
          </w:tcPr>
          <w:p>
            <w:pPr>
              <w:pStyle w:val="1132"/>
            </w:pPr>
            <w:r>
              <w:rPr>
                <w:rFonts w:hint="eastAsia"/>
              </w:rPr>
              <w:t>4a</w:t>
            </w:r>
          </w:p>
        </w:tc>
        <w:tc>
          <w:tcPr>
            <w:tcW w:w="266" w:type="pct"/>
            <w:vAlign w:val="center"/>
          </w:tcPr>
          <w:p>
            <w:pPr>
              <w:pStyle w:val="1132"/>
            </w:pPr>
            <w:r>
              <w:rPr>
                <w:rFonts w:eastAsia="等线"/>
                <w:color w:val="000000"/>
                <w:szCs w:val="21"/>
              </w:rPr>
              <w:t>49</w:t>
            </w:r>
          </w:p>
        </w:tc>
        <w:tc>
          <w:tcPr>
            <w:tcW w:w="266" w:type="pct"/>
            <w:vAlign w:val="center"/>
          </w:tcPr>
          <w:p>
            <w:pPr>
              <w:pStyle w:val="1132"/>
            </w:pPr>
            <w:r>
              <w:rPr>
                <w:rFonts w:eastAsia="等线"/>
                <w:color w:val="000000"/>
                <w:szCs w:val="21"/>
              </w:rPr>
              <w:t>41</w:t>
            </w:r>
          </w:p>
        </w:tc>
        <w:tc>
          <w:tcPr>
            <w:tcW w:w="266" w:type="pct"/>
            <w:vAlign w:val="center"/>
          </w:tcPr>
          <w:p>
            <w:pPr>
              <w:pStyle w:val="1132"/>
            </w:pPr>
            <w:r>
              <w:rPr>
                <w:rFonts w:eastAsia="等线"/>
                <w:sz w:val="22"/>
                <w:szCs w:val="22"/>
              </w:rPr>
              <w:t>75</w:t>
            </w:r>
          </w:p>
        </w:tc>
        <w:tc>
          <w:tcPr>
            <w:tcW w:w="266" w:type="pct"/>
            <w:vAlign w:val="center"/>
          </w:tcPr>
          <w:p>
            <w:pPr>
              <w:pStyle w:val="1132"/>
            </w:pPr>
            <w:r>
              <w:rPr>
                <w:rFonts w:eastAsia="等线"/>
                <w:sz w:val="22"/>
                <w:szCs w:val="22"/>
              </w:rPr>
              <w:t>75</w:t>
            </w:r>
          </w:p>
        </w:tc>
        <w:tc>
          <w:tcPr>
            <w:tcW w:w="266" w:type="pct"/>
            <w:vAlign w:val="center"/>
          </w:tcPr>
          <w:p>
            <w:pPr>
              <w:pStyle w:val="1132"/>
            </w:pPr>
            <w:r>
              <w:rPr>
                <w:rFonts w:eastAsia="等线"/>
                <w:sz w:val="22"/>
                <w:szCs w:val="22"/>
              </w:rPr>
              <w:t>77</w:t>
            </w:r>
          </w:p>
        </w:tc>
        <w:tc>
          <w:tcPr>
            <w:tcW w:w="266" w:type="pct"/>
            <w:vAlign w:val="center"/>
          </w:tcPr>
          <w:p>
            <w:pPr>
              <w:pStyle w:val="1132"/>
            </w:pPr>
            <w:r>
              <w:rPr>
                <w:rFonts w:eastAsia="等线"/>
                <w:sz w:val="22"/>
                <w:szCs w:val="22"/>
              </w:rPr>
              <w:t>77</w:t>
            </w:r>
          </w:p>
        </w:tc>
        <w:tc>
          <w:tcPr>
            <w:tcW w:w="266" w:type="pct"/>
            <w:vAlign w:val="center"/>
          </w:tcPr>
          <w:p>
            <w:pPr>
              <w:pStyle w:val="1132"/>
            </w:pPr>
            <w:r>
              <w:rPr>
                <w:rFonts w:eastAsia="等线"/>
                <w:szCs w:val="21"/>
              </w:rPr>
              <w:t>75</w:t>
            </w:r>
          </w:p>
        </w:tc>
        <w:tc>
          <w:tcPr>
            <w:tcW w:w="266" w:type="pct"/>
            <w:vAlign w:val="center"/>
          </w:tcPr>
          <w:p>
            <w:pPr>
              <w:pStyle w:val="1132"/>
            </w:pPr>
            <w:r>
              <w:rPr>
                <w:rFonts w:eastAsia="等线"/>
                <w:szCs w:val="21"/>
              </w:rPr>
              <w:t>75</w:t>
            </w:r>
          </w:p>
        </w:tc>
        <w:tc>
          <w:tcPr>
            <w:tcW w:w="266" w:type="pct"/>
            <w:vAlign w:val="center"/>
          </w:tcPr>
          <w:p>
            <w:pPr>
              <w:pStyle w:val="1132"/>
            </w:pPr>
            <w:r>
              <w:rPr>
                <w:rFonts w:eastAsia="等线"/>
                <w:szCs w:val="21"/>
              </w:rPr>
              <w:t>77</w:t>
            </w:r>
          </w:p>
        </w:tc>
        <w:tc>
          <w:tcPr>
            <w:tcW w:w="266" w:type="pct"/>
            <w:vAlign w:val="center"/>
          </w:tcPr>
          <w:p>
            <w:pPr>
              <w:pStyle w:val="1132"/>
            </w:pPr>
            <w:r>
              <w:rPr>
                <w:rFonts w:eastAsia="等线"/>
                <w:szCs w:val="21"/>
              </w:rPr>
              <w:t>77</w:t>
            </w:r>
          </w:p>
        </w:tc>
        <w:tc>
          <w:tcPr>
            <w:tcW w:w="266" w:type="pct"/>
            <w:vAlign w:val="center"/>
          </w:tcPr>
          <w:p>
            <w:pPr>
              <w:pStyle w:val="1132"/>
            </w:pPr>
            <w:r>
              <w:rPr>
                <w:rFonts w:eastAsia="等线"/>
                <w:sz w:val="22"/>
                <w:szCs w:val="22"/>
              </w:rPr>
              <w:t xml:space="preserve">5 </w:t>
            </w:r>
          </w:p>
        </w:tc>
        <w:tc>
          <w:tcPr>
            <w:tcW w:w="266" w:type="pct"/>
            <w:vAlign w:val="center"/>
          </w:tcPr>
          <w:p>
            <w:pPr>
              <w:pStyle w:val="1132"/>
            </w:pPr>
            <w:r>
              <w:rPr>
                <w:rFonts w:eastAsia="等线"/>
                <w:sz w:val="22"/>
                <w:szCs w:val="22"/>
              </w:rPr>
              <w:t xml:space="preserve">20 </w:t>
            </w:r>
          </w:p>
        </w:tc>
        <w:tc>
          <w:tcPr>
            <w:tcW w:w="278" w:type="pct"/>
            <w:vAlign w:val="center"/>
          </w:tcPr>
          <w:p>
            <w:pPr>
              <w:pStyle w:val="1132"/>
            </w:pPr>
            <w:r>
              <w:rPr>
                <w:rFonts w:eastAsia="等线"/>
                <w:sz w:val="22"/>
                <w:szCs w:val="22"/>
              </w:rPr>
              <w:t xml:space="preserve">7 </w:t>
            </w:r>
          </w:p>
        </w:tc>
        <w:tc>
          <w:tcPr>
            <w:tcW w:w="264" w:type="pct"/>
            <w:vAlign w:val="center"/>
          </w:tcPr>
          <w:p>
            <w:pPr>
              <w:pStyle w:val="1132"/>
            </w:pPr>
            <w:r>
              <w:rPr>
                <w:rFonts w:eastAsia="等线"/>
                <w:sz w:val="22"/>
                <w:szCs w:val="22"/>
              </w:rPr>
              <w:t xml:space="preserve">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71" w:type="pct"/>
            <w:vAlign w:val="center"/>
          </w:tcPr>
          <w:p>
            <w:pPr>
              <w:pStyle w:val="1132"/>
            </w:pPr>
            <w:r>
              <w:rPr>
                <w:rFonts w:hint="eastAsia"/>
              </w:rPr>
              <w:t>8</w:t>
            </w:r>
          </w:p>
        </w:tc>
        <w:tc>
          <w:tcPr>
            <w:tcW w:w="384" w:type="pct"/>
            <w:vAlign w:val="center"/>
          </w:tcPr>
          <w:p>
            <w:pPr>
              <w:pStyle w:val="1132"/>
            </w:pPr>
            <w:r>
              <w:rPr>
                <w:rFonts w:hint="eastAsia"/>
              </w:rPr>
              <w:t>邵楼村</w:t>
            </w:r>
          </w:p>
        </w:tc>
        <w:tc>
          <w:tcPr>
            <w:tcW w:w="405" w:type="pct"/>
            <w:vAlign w:val="center"/>
          </w:tcPr>
          <w:p>
            <w:pPr>
              <w:pStyle w:val="1132"/>
              <w:rPr>
                <w:rFonts w:hint="eastAsia" w:eastAsia="宋体"/>
                <w:lang w:eastAsia="zh-CN"/>
              </w:rPr>
            </w:pPr>
            <w:r>
              <w:rPr>
                <w:rFonts w:hint="eastAsia" w:eastAsia="等线"/>
                <w:color w:val="000000"/>
                <w:szCs w:val="21"/>
                <w:lang w:val="en-US" w:eastAsia="zh-CN"/>
              </w:rPr>
              <w:t>5</w:t>
            </w:r>
          </w:p>
        </w:tc>
        <w:tc>
          <w:tcPr>
            <w:tcW w:w="306" w:type="pct"/>
            <w:vAlign w:val="center"/>
          </w:tcPr>
          <w:p>
            <w:pPr>
              <w:pStyle w:val="1132"/>
            </w:pPr>
            <w:r>
              <w:rPr>
                <w:rFonts w:hint="eastAsia"/>
              </w:rPr>
              <w:t>2</w:t>
            </w:r>
          </w:p>
        </w:tc>
        <w:tc>
          <w:tcPr>
            <w:tcW w:w="266" w:type="pct"/>
            <w:vAlign w:val="center"/>
          </w:tcPr>
          <w:p>
            <w:pPr>
              <w:pStyle w:val="1132"/>
            </w:pPr>
            <w:r>
              <w:rPr>
                <w:rFonts w:eastAsia="等线"/>
                <w:color w:val="000000"/>
                <w:szCs w:val="21"/>
              </w:rPr>
              <w:t>51</w:t>
            </w:r>
          </w:p>
        </w:tc>
        <w:tc>
          <w:tcPr>
            <w:tcW w:w="266" w:type="pct"/>
            <w:vAlign w:val="center"/>
          </w:tcPr>
          <w:p>
            <w:pPr>
              <w:pStyle w:val="1132"/>
            </w:pPr>
            <w:r>
              <w:rPr>
                <w:rFonts w:eastAsia="等线"/>
                <w:color w:val="000000"/>
                <w:szCs w:val="21"/>
              </w:rPr>
              <w:t>42</w:t>
            </w:r>
          </w:p>
        </w:tc>
        <w:tc>
          <w:tcPr>
            <w:tcW w:w="266" w:type="pct"/>
            <w:vAlign w:val="center"/>
          </w:tcPr>
          <w:p>
            <w:pPr>
              <w:pStyle w:val="1132"/>
            </w:pPr>
            <w:r>
              <w:rPr>
                <w:rFonts w:eastAsia="等线"/>
                <w:sz w:val="22"/>
                <w:szCs w:val="22"/>
              </w:rPr>
              <w:t>80</w:t>
            </w:r>
          </w:p>
        </w:tc>
        <w:tc>
          <w:tcPr>
            <w:tcW w:w="266" w:type="pct"/>
            <w:vAlign w:val="center"/>
          </w:tcPr>
          <w:p>
            <w:pPr>
              <w:pStyle w:val="1132"/>
            </w:pPr>
            <w:r>
              <w:rPr>
                <w:rFonts w:eastAsia="等线"/>
                <w:sz w:val="22"/>
                <w:szCs w:val="22"/>
              </w:rPr>
              <w:t>80</w:t>
            </w:r>
          </w:p>
        </w:tc>
        <w:tc>
          <w:tcPr>
            <w:tcW w:w="266" w:type="pct"/>
            <w:vAlign w:val="center"/>
          </w:tcPr>
          <w:p>
            <w:pPr>
              <w:pStyle w:val="1132"/>
            </w:pPr>
            <w:r>
              <w:rPr>
                <w:rFonts w:eastAsia="等线"/>
                <w:sz w:val="22"/>
                <w:szCs w:val="22"/>
              </w:rPr>
              <w:t>81</w:t>
            </w:r>
          </w:p>
        </w:tc>
        <w:tc>
          <w:tcPr>
            <w:tcW w:w="266" w:type="pct"/>
            <w:vAlign w:val="center"/>
          </w:tcPr>
          <w:p>
            <w:pPr>
              <w:pStyle w:val="1132"/>
            </w:pPr>
            <w:r>
              <w:rPr>
                <w:rFonts w:eastAsia="等线"/>
                <w:sz w:val="22"/>
                <w:szCs w:val="22"/>
              </w:rPr>
              <w:t>81</w:t>
            </w:r>
          </w:p>
        </w:tc>
        <w:tc>
          <w:tcPr>
            <w:tcW w:w="266" w:type="pct"/>
            <w:vAlign w:val="center"/>
          </w:tcPr>
          <w:p>
            <w:pPr>
              <w:pStyle w:val="1132"/>
            </w:pPr>
            <w:r>
              <w:rPr>
                <w:rFonts w:eastAsia="等线"/>
                <w:szCs w:val="21"/>
              </w:rPr>
              <w:t>80</w:t>
            </w:r>
          </w:p>
        </w:tc>
        <w:tc>
          <w:tcPr>
            <w:tcW w:w="266" w:type="pct"/>
            <w:vAlign w:val="center"/>
          </w:tcPr>
          <w:p>
            <w:pPr>
              <w:pStyle w:val="1132"/>
            </w:pPr>
            <w:r>
              <w:rPr>
                <w:rFonts w:eastAsia="等线"/>
                <w:szCs w:val="21"/>
              </w:rPr>
              <w:t>80</w:t>
            </w:r>
          </w:p>
        </w:tc>
        <w:tc>
          <w:tcPr>
            <w:tcW w:w="266" w:type="pct"/>
            <w:vAlign w:val="center"/>
          </w:tcPr>
          <w:p>
            <w:pPr>
              <w:pStyle w:val="1132"/>
            </w:pPr>
            <w:r>
              <w:rPr>
                <w:rFonts w:eastAsia="等线"/>
                <w:szCs w:val="21"/>
              </w:rPr>
              <w:t>81</w:t>
            </w:r>
          </w:p>
        </w:tc>
        <w:tc>
          <w:tcPr>
            <w:tcW w:w="266" w:type="pct"/>
            <w:vAlign w:val="center"/>
          </w:tcPr>
          <w:p>
            <w:pPr>
              <w:pStyle w:val="1132"/>
            </w:pPr>
            <w:r>
              <w:rPr>
                <w:rFonts w:eastAsia="等线"/>
                <w:szCs w:val="21"/>
              </w:rPr>
              <w:t>81</w:t>
            </w:r>
          </w:p>
        </w:tc>
        <w:tc>
          <w:tcPr>
            <w:tcW w:w="266" w:type="pct"/>
            <w:vAlign w:val="center"/>
          </w:tcPr>
          <w:p>
            <w:pPr>
              <w:pStyle w:val="1132"/>
            </w:pPr>
            <w:r>
              <w:rPr>
                <w:rFonts w:eastAsia="等线"/>
                <w:sz w:val="22"/>
                <w:szCs w:val="22"/>
              </w:rPr>
              <w:t xml:space="preserve">20 </w:t>
            </w:r>
          </w:p>
        </w:tc>
        <w:tc>
          <w:tcPr>
            <w:tcW w:w="266" w:type="pct"/>
            <w:vAlign w:val="center"/>
          </w:tcPr>
          <w:p>
            <w:pPr>
              <w:pStyle w:val="1132"/>
            </w:pPr>
            <w:r>
              <w:rPr>
                <w:rFonts w:eastAsia="等线"/>
                <w:sz w:val="22"/>
                <w:szCs w:val="22"/>
              </w:rPr>
              <w:t xml:space="preserve">30 </w:t>
            </w:r>
          </w:p>
        </w:tc>
        <w:tc>
          <w:tcPr>
            <w:tcW w:w="278" w:type="pct"/>
            <w:vAlign w:val="center"/>
          </w:tcPr>
          <w:p>
            <w:pPr>
              <w:pStyle w:val="1132"/>
            </w:pPr>
            <w:r>
              <w:rPr>
                <w:rFonts w:eastAsia="等线"/>
                <w:sz w:val="22"/>
                <w:szCs w:val="22"/>
              </w:rPr>
              <w:t xml:space="preserve">21 </w:t>
            </w:r>
          </w:p>
        </w:tc>
        <w:tc>
          <w:tcPr>
            <w:tcW w:w="264" w:type="pct"/>
            <w:vAlign w:val="center"/>
          </w:tcPr>
          <w:p>
            <w:pPr>
              <w:pStyle w:val="1132"/>
            </w:pPr>
            <w:r>
              <w:rPr>
                <w:rFonts w:eastAsia="等线"/>
                <w:sz w:val="22"/>
                <w:szCs w:val="22"/>
              </w:rPr>
              <w:t xml:space="preserve">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71" w:type="pct"/>
            <w:vAlign w:val="center"/>
          </w:tcPr>
          <w:p>
            <w:pPr>
              <w:pStyle w:val="1132"/>
            </w:pPr>
            <w:r>
              <w:rPr>
                <w:rFonts w:hint="eastAsia"/>
              </w:rPr>
              <w:t>9</w:t>
            </w:r>
          </w:p>
        </w:tc>
        <w:tc>
          <w:tcPr>
            <w:tcW w:w="384" w:type="pct"/>
            <w:vAlign w:val="center"/>
          </w:tcPr>
          <w:p>
            <w:pPr>
              <w:pStyle w:val="1132"/>
            </w:pPr>
            <w:r>
              <w:rPr>
                <w:rFonts w:hint="eastAsia"/>
              </w:rPr>
              <w:t>小沟沿</w:t>
            </w:r>
          </w:p>
        </w:tc>
        <w:tc>
          <w:tcPr>
            <w:tcW w:w="405" w:type="pct"/>
            <w:vAlign w:val="center"/>
          </w:tcPr>
          <w:p>
            <w:pPr>
              <w:pStyle w:val="1132"/>
              <w:rPr>
                <w:rFonts w:hint="default" w:eastAsia="宋体"/>
                <w:lang w:val="en-US" w:eastAsia="zh-CN"/>
              </w:rPr>
            </w:pPr>
            <w:r>
              <w:rPr>
                <w:rFonts w:hint="eastAsia" w:eastAsia="等线"/>
                <w:color w:val="000000"/>
                <w:szCs w:val="21"/>
                <w:lang w:val="en-US" w:eastAsia="zh-CN"/>
              </w:rPr>
              <w:t>17</w:t>
            </w:r>
          </w:p>
        </w:tc>
        <w:tc>
          <w:tcPr>
            <w:tcW w:w="306" w:type="pct"/>
            <w:vAlign w:val="center"/>
          </w:tcPr>
          <w:p>
            <w:pPr>
              <w:pStyle w:val="1132"/>
            </w:pPr>
            <w:r>
              <w:rPr>
                <w:rFonts w:hint="eastAsia"/>
              </w:rPr>
              <w:t>2</w:t>
            </w:r>
          </w:p>
        </w:tc>
        <w:tc>
          <w:tcPr>
            <w:tcW w:w="266" w:type="pct"/>
            <w:vAlign w:val="center"/>
          </w:tcPr>
          <w:p>
            <w:pPr>
              <w:pStyle w:val="1132"/>
            </w:pPr>
            <w:r>
              <w:rPr>
                <w:rFonts w:eastAsia="等线"/>
                <w:color w:val="000000"/>
                <w:szCs w:val="21"/>
              </w:rPr>
              <w:t>53</w:t>
            </w:r>
          </w:p>
        </w:tc>
        <w:tc>
          <w:tcPr>
            <w:tcW w:w="266" w:type="pct"/>
            <w:vAlign w:val="center"/>
          </w:tcPr>
          <w:p>
            <w:pPr>
              <w:pStyle w:val="1132"/>
            </w:pPr>
            <w:r>
              <w:rPr>
                <w:rFonts w:eastAsia="等线"/>
                <w:color w:val="000000"/>
                <w:szCs w:val="21"/>
              </w:rPr>
              <w:t>42</w:t>
            </w:r>
          </w:p>
        </w:tc>
        <w:tc>
          <w:tcPr>
            <w:tcW w:w="266" w:type="pct"/>
            <w:vAlign w:val="center"/>
          </w:tcPr>
          <w:p>
            <w:pPr>
              <w:pStyle w:val="1132"/>
            </w:pPr>
            <w:r>
              <w:rPr>
                <w:rFonts w:eastAsia="等线"/>
                <w:sz w:val="22"/>
                <w:szCs w:val="22"/>
              </w:rPr>
              <w:t>76</w:t>
            </w:r>
          </w:p>
        </w:tc>
        <w:tc>
          <w:tcPr>
            <w:tcW w:w="266" w:type="pct"/>
            <w:vAlign w:val="center"/>
          </w:tcPr>
          <w:p>
            <w:pPr>
              <w:pStyle w:val="1132"/>
            </w:pPr>
            <w:r>
              <w:rPr>
                <w:rFonts w:eastAsia="等线"/>
                <w:sz w:val="22"/>
                <w:szCs w:val="22"/>
              </w:rPr>
              <w:t>76</w:t>
            </w:r>
          </w:p>
        </w:tc>
        <w:tc>
          <w:tcPr>
            <w:tcW w:w="266" w:type="pct"/>
            <w:vAlign w:val="center"/>
          </w:tcPr>
          <w:p>
            <w:pPr>
              <w:pStyle w:val="1132"/>
            </w:pPr>
            <w:r>
              <w:rPr>
                <w:rFonts w:eastAsia="等线"/>
                <w:sz w:val="22"/>
                <w:szCs w:val="22"/>
              </w:rPr>
              <w:t>78</w:t>
            </w:r>
          </w:p>
        </w:tc>
        <w:tc>
          <w:tcPr>
            <w:tcW w:w="266" w:type="pct"/>
            <w:vAlign w:val="center"/>
          </w:tcPr>
          <w:p>
            <w:pPr>
              <w:pStyle w:val="1132"/>
            </w:pPr>
            <w:r>
              <w:rPr>
                <w:rFonts w:eastAsia="等线"/>
                <w:sz w:val="22"/>
                <w:szCs w:val="22"/>
              </w:rPr>
              <w:t>78</w:t>
            </w:r>
          </w:p>
        </w:tc>
        <w:tc>
          <w:tcPr>
            <w:tcW w:w="266" w:type="pct"/>
            <w:vAlign w:val="center"/>
          </w:tcPr>
          <w:p>
            <w:pPr>
              <w:pStyle w:val="1132"/>
            </w:pPr>
            <w:r>
              <w:rPr>
                <w:rFonts w:eastAsia="等线"/>
                <w:szCs w:val="21"/>
              </w:rPr>
              <w:t>76</w:t>
            </w:r>
          </w:p>
        </w:tc>
        <w:tc>
          <w:tcPr>
            <w:tcW w:w="266" w:type="pct"/>
            <w:vAlign w:val="center"/>
          </w:tcPr>
          <w:p>
            <w:pPr>
              <w:pStyle w:val="1132"/>
            </w:pPr>
            <w:r>
              <w:rPr>
                <w:rFonts w:eastAsia="等线"/>
                <w:szCs w:val="21"/>
              </w:rPr>
              <w:t>76</w:t>
            </w:r>
          </w:p>
        </w:tc>
        <w:tc>
          <w:tcPr>
            <w:tcW w:w="266" w:type="pct"/>
            <w:vAlign w:val="center"/>
          </w:tcPr>
          <w:p>
            <w:pPr>
              <w:pStyle w:val="1132"/>
            </w:pPr>
            <w:r>
              <w:rPr>
                <w:rFonts w:eastAsia="等线"/>
                <w:szCs w:val="21"/>
              </w:rPr>
              <w:t>78</w:t>
            </w:r>
          </w:p>
        </w:tc>
        <w:tc>
          <w:tcPr>
            <w:tcW w:w="266" w:type="pct"/>
            <w:vAlign w:val="center"/>
          </w:tcPr>
          <w:p>
            <w:pPr>
              <w:pStyle w:val="1132"/>
            </w:pPr>
            <w:r>
              <w:rPr>
                <w:rFonts w:eastAsia="等线"/>
                <w:szCs w:val="21"/>
              </w:rPr>
              <w:t>78</w:t>
            </w:r>
          </w:p>
        </w:tc>
        <w:tc>
          <w:tcPr>
            <w:tcW w:w="266" w:type="pct"/>
            <w:vAlign w:val="center"/>
          </w:tcPr>
          <w:p>
            <w:pPr>
              <w:pStyle w:val="1132"/>
            </w:pPr>
            <w:r>
              <w:rPr>
                <w:rFonts w:eastAsia="等线"/>
                <w:sz w:val="22"/>
                <w:szCs w:val="22"/>
              </w:rPr>
              <w:t xml:space="preserve">16 </w:t>
            </w:r>
          </w:p>
        </w:tc>
        <w:tc>
          <w:tcPr>
            <w:tcW w:w="266" w:type="pct"/>
            <w:vAlign w:val="center"/>
          </w:tcPr>
          <w:p>
            <w:pPr>
              <w:pStyle w:val="1132"/>
            </w:pPr>
            <w:r>
              <w:rPr>
                <w:rFonts w:eastAsia="等线"/>
                <w:sz w:val="22"/>
                <w:szCs w:val="22"/>
              </w:rPr>
              <w:t xml:space="preserve">26 </w:t>
            </w:r>
          </w:p>
        </w:tc>
        <w:tc>
          <w:tcPr>
            <w:tcW w:w="278" w:type="pct"/>
            <w:vAlign w:val="center"/>
          </w:tcPr>
          <w:p>
            <w:pPr>
              <w:pStyle w:val="1132"/>
            </w:pPr>
            <w:r>
              <w:rPr>
                <w:rFonts w:eastAsia="等线"/>
                <w:sz w:val="22"/>
                <w:szCs w:val="22"/>
              </w:rPr>
              <w:t xml:space="preserve">18 </w:t>
            </w:r>
          </w:p>
        </w:tc>
        <w:tc>
          <w:tcPr>
            <w:tcW w:w="264" w:type="pct"/>
            <w:vAlign w:val="center"/>
          </w:tcPr>
          <w:p>
            <w:pPr>
              <w:pStyle w:val="1132"/>
            </w:pPr>
            <w:r>
              <w:rPr>
                <w:rFonts w:eastAsia="等线"/>
                <w:sz w:val="22"/>
                <w:szCs w:val="22"/>
              </w:rPr>
              <w:t xml:space="preserve">28 </w:t>
            </w:r>
          </w:p>
        </w:tc>
      </w:tr>
    </w:tbl>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t xml:space="preserve">  </w:t>
      </w:r>
      <w:r>
        <w:rPr>
          <w:rFonts w:hint="eastAsia"/>
        </w:rPr>
        <w:t>拆迁施工噪声对敏感目标的影响结果</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11"/>
        <w:gridCol w:w="855"/>
        <w:gridCol w:w="1143"/>
        <w:gridCol w:w="864"/>
        <w:gridCol w:w="751"/>
        <w:gridCol w:w="751"/>
        <w:gridCol w:w="1502"/>
        <w:gridCol w:w="1502"/>
        <w:gridCol w:w="1502"/>
        <w:gridCol w:w="1502"/>
        <w:gridCol w:w="1502"/>
        <w:gridCol w:w="15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45" w:hRule="atLeast"/>
          <w:jc w:val="center"/>
        </w:trPr>
        <w:tc>
          <w:tcPr>
            <w:tcW w:w="252" w:type="pct"/>
            <w:vMerge w:val="restart"/>
            <w:vAlign w:val="center"/>
          </w:tcPr>
          <w:p>
            <w:pPr>
              <w:pStyle w:val="1132"/>
            </w:pPr>
            <w:r>
              <w:t>序号</w:t>
            </w:r>
          </w:p>
        </w:tc>
        <w:tc>
          <w:tcPr>
            <w:tcW w:w="303" w:type="pct"/>
            <w:vMerge w:val="restart"/>
            <w:vAlign w:val="center"/>
          </w:tcPr>
          <w:p>
            <w:pPr>
              <w:pStyle w:val="1132"/>
            </w:pPr>
            <w:r>
              <w:t>敏感点名称</w:t>
            </w:r>
          </w:p>
        </w:tc>
        <w:tc>
          <w:tcPr>
            <w:tcW w:w="405" w:type="pct"/>
            <w:vMerge w:val="restart"/>
            <w:vAlign w:val="center"/>
          </w:tcPr>
          <w:p>
            <w:pPr>
              <w:pStyle w:val="1132"/>
            </w:pPr>
            <w:r>
              <w:t>距</w:t>
            </w:r>
            <w:r>
              <w:rPr>
                <w:rFonts w:hint="eastAsia"/>
              </w:rPr>
              <w:t>拆迁施工</w:t>
            </w:r>
            <w:r>
              <w:t>最近距离（m）</w:t>
            </w:r>
          </w:p>
        </w:tc>
        <w:tc>
          <w:tcPr>
            <w:tcW w:w="306" w:type="pct"/>
            <w:vMerge w:val="restart"/>
            <w:vAlign w:val="center"/>
          </w:tcPr>
          <w:p>
            <w:pPr>
              <w:pStyle w:val="1132"/>
            </w:pPr>
            <w:r>
              <w:t>执行标准</w:t>
            </w:r>
          </w:p>
        </w:tc>
        <w:tc>
          <w:tcPr>
            <w:tcW w:w="532" w:type="pct"/>
            <w:gridSpan w:val="2"/>
            <w:vAlign w:val="center"/>
          </w:tcPr>
          <w:p>
            <w:pPr>
              <w:pStyle w:val="1132"/>
            </w:pPr>
            <w:r>
              <w:t>噪声背景值（dB（A））</w:t>
            </w:r>
          </w:p>
        </w:tc>
        <w:tc>
          <w:tcPr>
            <w:tcW w:w="1064" w:type="pct"/>
            <w:gridSpan w:val="2"/>
            <w:vAlign w:val="center"/>
          </w:tcPr>
          <w:p>
            <w:pPr>
              <w:pStyle w:val="1132"/>
            </w:pPr>
            <w:r>
              <w:t>施工阶段贡献值</w:t>
            </w:r>
            <w:r>
              <w:rPr>
                <w:rFonts w:hint="eastAsia"/>
              </w:rPr>
              <w:t>/</w:t>
            </w:r>
            <w:r>
              <w:t>dB(A)</w:t>
            </w:r>
          </w:p>
        </w:tc>
        <w:tc>
          <w:tcPr>
            <w:tcW w:w="1064" w:type="pct"/>
            <w:gridSpan w:val="2"/>
            <w:vAlign w:val="center"/>
          </w:tcPr>
          <w:p>
            <w:pPr>
              <w:pStyle w:val="1132"/>
            </w:pPr>
            <w:r>
              <w:t>叠加背景噪声后预测值</w:t>
            </w:r>
            <w:r>
              <w:rPr>
                <w:rFonts w:hint="eastAsia"/>
              </w:rPr>
              <w:t>/</w:t>
            </w:r>
            <w:r>
              <w:t>dB(A)</w:t>
            </w:r>
          </w:p>
        </w:tc>
        <w:tc>
          <w:tcPr>
            <w:tcW w:w="1074" w:type="pct"/>
            <w:gridSpan w:val="2"/>
            <w:vAlign w:val="center"/>
          </w:tcPr>
          <w:p>
            <w:pPr>
              <w:pStyle w:val="1132"/>
            </w:pPr>
            <w:r>
              <w:t>超标量</w:t>
            </w:r>
            <w:r>
              <w:rPr>
                <w:rFonts w:hint="eastAsia"/>
              </w:rPr>
              <w:t>/</w:t>
            </w:r>
            <w: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52" w:type="pct"/>
            <w:vMerge w:val="continue"/>
            <w:vAlign w:val="center"/>
          </w:tcPr>
          <w:p>
            <w:pPr>
              <w:pStyle w:val="1132"/>
            </w:pPr>
          </w:p>
        </w:tc>
        <w:tc>
          <w:tcPr>
            <w:tcW w:w="303" w:type="pct"/>
            <w:vMerge w:val="continue"/>
            <w:vAlign w:val="center"/>
          </w:tcPr>
          <w:p>
            <w:pPr>
              <w:pStyle w:val="1132"/>
            </w:pPr>
          </w:p>
        </w:tc>
        <w:tc>
          <w:tcPr>
            <w:tcW w:w="405" w:type="pct"/>
            <w:vMerge w:val="continue"/>
            <w:vAlign w:val="center"/>
          </w:tcPr>
          <w:p>
            <w:pPr>
              <w:pStyle w:val="1132"/>
            </w:pPr>
          </w:p>
        </w:tc>
        <w:tc>
          <w:tcPr>
            <w:tcW w:w="306" w:type="pct"/>
            <w:vMerge w:val="continue"/>
            <w:vAlign w:val="center"/>
          </w:tcPr>
          <w:p>
            <w:pPr>
              <w:pStyle w:val="1132"/>
            </w:pPr>
          </w:p>
        </w:tc>
        <w:tc>
          <w:tcPr>
            <w:tcW w:w="266" w:type="pct"/>
            <w:vAlign w:val="center"/>
          </w:tcPr>
          <w:p>
            <w:pPr>
              <w:pStyle w:val="1132"/>
            </w:pPr>
            <w:r>
              <w:t>昼</w:t>
            </w:r>
          </w:p>
        </w:tc>
        <w:tc>
          <w:tcPr>
            <w:tcW w:w="266" w:type="pct"/>
            <w:vAlign w:val="center"/>
          </w:tcPr>
          <w:p>
            <w:pPr>
              <w:pStyle w:val="1132"/>
            </w:pPr>
            <w:r>
              <w:t>夜</w:t>
            </w:r>
          </w:p>
        </w:tc>
        <w:tc>
          <w:tcPr>
            <w:tcW w:w="532" w:type="pct"/>
            <w:vAlign w:val="center"/>
          </w:tcPr>
          <w:p>
            <w:pPr>
              <w:pStyle w:val="1132"/>
            </w:pPr>
            <w:r>
              <w:t>昼</w:t>
            </w:r>
          </w:p>
        </w:tc>
        <w:tc>
          <w:tcPr>
            <w:tcW w:w="532" w:type="pct"/>
            <w:vAlign w:val="center"/>
          </w:tcPr>
          <w:p>
            <w:pPr>
              <w:pStyle w:val="1132"/>
            </w:pPr>
            <w:r>
              <w:t>夜</w:t>
            </w:r>
          </w:p>
        </w:tc>
        <w:tc>
          <w:tcPr>
            <w:tcW w:w="532" w:type="pct"/>
            <w:vAlign w:val="center"/>
          </w:tcPr>
          <w:p>
            <w:pPr>
              <w:pStyle w:val="1132"/>
            </w:pPr>
            <w:r>
              <w:t>昼</w:t>
            </w:r>
          </w:p>
        </w:tc>
        <w:tc>
          <w:tcPr>
            <w:tcW w:w="532" w:type="pct"/>
            <w:vAlign w:val="center"/>
          </w:tcPr>
          <w:p>
            <w:pPr>
              <w:pStyle w:val="1132"/>
            </w:pPr>
            <w:r>
              <w:t>夜</w:t>
            </w:r>
          </w:p>
        </w:tc>
        <w:tc>
          <w:tcPr>
            <w:tcW w:w="532" w:type="pct"/>
            <w:vAlign w:val="center"/>
          </w:tcPr>
          <w:p>
            <w:pPr>
              <w:pStyle w:val="1132"/>
            </w:pPr>
            <w:r>
              <w:t>昼</w:t>
            </w:r>
          </w:p>
        </w:tc>
        <w:tc>
          <w:tcPr>
            <w:tcW w:w="542" w:type="pct"/>
            <w:vAlign w:val="center"/>
          </w:tcPr>
          <w:p>
            <w:pPr>
              <w:pStyle w:val="1132"/>
            </w:pPr>
            <w:r>
              <w:rPr>
                <w:rFonts w:hint="eastAsia"/>
              </w:rPr>
              <w:t>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52" w:type="pct"/>
            <w:vAlign w:val="center"/>
          </w:tcPr>
          <w:p>
            <w:pPr>
              <w:pStyle w:val="1132"/>
            </w:pPr>
            <w:r>
              <w:rPr>
                <w:rFonts w:hint="eastAsia"/>
              </w:rPr>
              <w:t>1</w:t>
            </w:r>
          </w:p>
        </w:tc>
        <w:tc>
          <w:tcPr>
            <w:tcW w:w="303" w:type="pct"/>
            <w:vAlign w:val="center"/>
          </w:tcPr>
          <w:p>
            <w:pPr>
              <w:pStyle w:val="1132"/>
            </w:pPr>
            <w:r>
              <w:rPr>
                <w:rFonts w:hint="eastAsia"/>
              </w:rPr>
              <w:t>仁和村</w:t>
            </w:r>
          </w:p>
        </w:tc>
        <w:tc>
          <w:tcPr>
            <w:tcW w:w="1143" w:type="dxa"/>
            <w:vAlign w:val="center"/>
          </w:tcPr>
          <w:p>
            <w:pPr>
              <w:pStyle w:val="1132"/>
            </w:pPr>
            <w:r>
              <w:rPr>
                <w:rFonts w:eastAsia="等线"/>
                <w:color w:val="000000"/>
                <w:szCs w:val="21"/>
              </w:rPr>
              <w:t>5</w:t>
            </w:r>
          </w:p>
        </w:tc>
        <w:tc>
          <w:tcPr>
            <w:tcW w:w="306" w:type="pct"/>
            <w:vAlign w:val="center"/>
          </w:tcPr>
          <w:p>
            <w:pPr>
              <w:pStyle w:val="1132"/>
            </w:pPr>
            <w:r>
              <w:rPr>
                <w:rFonts w:eastAsia="等线"/>
                <w:color w:val="000000"/>
                <w:szCs w:val="21"/>
              </w:rPr>
              <w:t>4a</w:t>
            </w:r>
          </w:p>
        </w:tc>
        <w:tc>
          <w:tcPr>
            <w:tcW w:w="266" w:type="pct"/>
            <w:vAlign w:val="center"/>
          </w:tcPr>
          <w:p>
            <w:pPr>
              <w:pStyle w:val="1132"/>
            </w:pPr>
            <w:r>
              <w:rPr>
                <w:rFonts w:eastAsia="等线"/>
                <w:color w:val="000000"/>
                <w:szCs w:val="21"/>
              </w:rPr>
              <w:t>48</w:t>
            </w:r>
          </w:p>
        </w:tc>
        <w:tc>
          <w:tcPr>
            <w:tcW w:w="266" w:type="pct"/>
            <w:vAlign w:val="center"/>
          </w:tcPr>
          <w:p>
            <w:pPr>
              <w:pStyle w:val="1132"/>
            </w:pPr>
            <w:r>
              <w:rPr>
                <w:rFonts w:eastAsia="等线"/>
                <w:color w:val="000000"/>
                <w:szCs w:val="21"/>
              </w:rPr>
              <w:t>41</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1</w:t>
            </w:r>
          </w:p>
        </w:tc>
        <w:tc>
          <w:tcPr>
            <w:tcW w:w="542" w:type="pct"/>
            <w:vAlign w:val="center"/>
          </w:tcPr>
          <w:p>
            <w:pPr>
              <w:pStyle w:val="1132"/>
            </w:pPr>
            <w:r>
              <w:rPr>
                <w:rFonts w:eastAsia="等线"/>
                <w:color w:val="000000"/>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52" w:type="pct"/>
            <w:vAlign w:val="center"/>
          </w:tcPr>
          <w:p>
            <w:pPr>
              <w:pStyle w:val="1132"/>
            </w:pPr>
            <w:r>
              <w:rPr>
                <w:rFonts w:hint="eastAsia"/>
              </w:rPr>
              <w:t>2</w:t>
            </w:r>
          </w:p>
        </w:tc>
        <w:tc>
          <w:tcPr>
            <w:tcW w:w="303" w:type="pct"/>
            <w:vAlign w:val="center"/>
          </w:tcPr>
          <w:p>
            <w:pPr>
              <w:pStyle w:val="1132"/>
            </w:pPr>
            <w:r>
              <w:rPr>
                <w:rFonts w:hint="eastAsia"/>
              </w:rPr>
              <w:t>王庄</w:t>
            </w:r>
          </w:p>
        </w:tc>
        <w:tc>
          <w:tcPr>
            <w:tcW w:w="1143" w:type="dxa"/>
            <w:vAlign w:val="center"/>
          </w:tcPr>
          <w:p>
            <w:pPr>
              <w:pStyle w:val="1132"/>
            </w:pPr>
            <w:r>
              <w:rPr>
                <w:rFonts w:hint="eastAsia" w:eastAsia="等线"/>
                <w:color w:val="000000"/>
                <w:szCs w:val="21"/>
                <w:lang w:val="en-US" w:eastAsia="zh-CN"/>
              </w:rPr>
              <w:t>6</w:t>
            </w:r>
          </w:p>
        </w:tc>
        <w:tc>
          <w:tcPr>
            <w:tcW w:w="306" w:type="pct"/>
            <w:vAlign w:val="center"/>
          </w:tcPr>
          <w:p>
            <w:pPr>
              <w:pStyle w:val="1132"/>
            </w:pPr>
            <w:r>
              <w:rPr>
                <w:rFonts w:eastAsia="等线"/>
                <w:color w:val="000000"/>
                <w:szCs w:val="21"/>
              </w:rPr>
              <w:t>4a</w:t>
            </w:r>
          </w:p>
        </w:tc>
        <w:tc>
          <w:tcPr>
            <w:tcW w:w="266" w:type="pct"/>
            <w:vAlign w:val="center"/>
          </w:tcPr>
          <w:p>
            <w:pPr>
              <w:pStyle w:val="1132"/>
            </w:pPr>
            <w:r>
              <w:rPr>
                <w:rFonts w:eastAsia="等线"/>
                <w:color w:val="000000"/>
                <w:szCs w:val="21"/>
              </w:rPr>
              <w:t>56</w:t>
            </w:r>
          </w:p>
        </w:tc>
        <w:tc>
          <w:tcPr>
            <w:tcW w:w="266" w:type="pct"/>
            <w:vAlign w:val="center"/>
          </w:tcPr>
          <w:p>
            <w:pPr>
              <w:pStyle w:val="1132"/>
            </w:pPr>
            <w:r>
              <w:rPr>
                <w:rFonts w:eastAsia="等线"/>
                <w:color w:val="000000"/>
                <w:szCs w:val="21"/>
              </w:rPr>
              <w:t>42</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1</w:t>
            </w:r>
          </w:p>
        </w:tc>
        <w:tc>
          <w:tcPr>
            <w:tcW w:w="542" w:type="pct"/>
            <w:vAlign w:val="center"/>
          </w:tcPr>
          <w:p>
            <w:pPr>
              <w:pStyle w:val="1132"/>
            </w:pPr>
            <w:r>
              <w:rPr>
                <w:rFonts w:eastAsia="等线"/>
                <w:color w:val="000000"/>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52" w:type="pct"/>
            <w:vAlign w:val="center"/>
          </w:tcPr>
          <w:p>
            <w:pPr>
              <w:pStyle w:val="1132"/>
            </w:pPr>
            <w:r>
              <w:rPr>
                <w:rFonts w:hint="eastAsia"/>
              </w:rPr>
              <w:t>3</w:t>
            </w:r>
          </w:p>
        </w:tc>
        <w:tc>
          <w:tcPr>
            <w:tcW w:w="303" w:type="pct"/>
            <w:vAlign w:val="center"/>
          </w:tcPr>
          <w:p>
            <w:pPr>
              <w:pStyle w:val="1132"/>
            </w:pPr>
            <w:r>
              <w:rPr>
                <w:rFonts w:hint="eastAsia"/>
              </w:rPr>
              <w:t>张园</w:t>
            </w:r>
          </w:p>
        </w:tc>
        <w:tc>
          <w:tcPr>
            <w:tcW w:w="1143" w:type="dxa"/>
            <w:vAlign w:val="center"/>
          </w:tcPr>
          <w:p>
            <w:pPr>
              <w:pStyle w:val="1132"/>
            </w:pPr>
            <w:r>
              <w:rPr>
                <w:rFonts w:hint="eastAsia" w:eastAsia="等线"/>
                <w:color w:val="000000"/>
                <w:szCs w:val="21"/>
                <w:lang w:val="en-US" w:eastAsia="zh-CN"/>
              </w:rPr>
              <w:t>2</w:t>
            </w:r>
            <w:r>
              <w:rPr>
                <w:rFonts w:eastAsia="等线"/>
                <w:color w:val="000000"/>
                <w:szCs w:val="21"/>
              </w:rPr>
              <w:t>0</w:t>
            </w:r>
          </w:p>
        </w:tc>
        <w:tc>
          <w:tcPr>
            <w:tcW w:w="306" w:type="pct"/>
            <w:vAlign w:val="center"/>
          </w:tcPr>
          <w:p>
            <w:pPr>
              <w:pStyle w:val="1132"/>
            </w:pPr>
            <w:r>
              <w:rPr>
                <w:rFonts w:eastAsia="等线"/>
                <w:color w:val="000000"/>
                <w:szCs w:val="21"/>
              </w:rPr>
              <w:t>4a</w:t>
            </w:r>
          </w:p>
        </w:tc>
        <w:tc>
          <w:tcPr>
            <w:tcW w:w="266" w:type="pct"/>
            <w:vAlign w:val="center"/>
          </w:tcPr>
          <w:p>
            <w:pPr>
              <w:pStyle w:val="1132"/>
            </w:pPr>
            <w:r>
              <w:rPr>
                <w:rFonts w:eastAsia="等线"/>
                <w:color w:val="000000"/>
                <w:szCs w:val="21"/>
              </w:rPr>
              <w:t>49</w:t>
            </w:r>
          </w:p>
        </w:tc>
        <w:tc>
          <w:tcPr>
            <w:tcW w:w="266" w:type="pct"/>
            <w:vAlign w:val="center"/>
          </w:tcPr>
          <w:p>
            <w:pPr>
              <w:pStyle w:val="1132"/>
            </w:pPr>
            <w:r>
              <w:rPr>
                <w:rFonts w:eastAsia="等线"/>
                <w:color w:val="000000"/>
                <w:szCs w:val="21"/>
              </w:rPr>
              <w:t>41</w:t>
            </w:r>
          </w:p>
        </w:tc>
        <w:tc>
          <w:tcPr>
            <w:tcW w:w="532" w:type="pct"/>
            <w:vAlign w:val="center"/>
          </w:tcPr>
          <w:p>
            <w:pPr>
              <w:pStyle w:val="1132"/>
            </w:pPr>
            <w:r>
              <w:rPr>
                <w:rFonts w:eastAsia="等线"/>
                <w:color w:val="000000"/>
                <w:szCs w:val="21"/>
              </w:rPr>
              <w:t>66</w:t>
            </w:r>
          </w:p>
        </w:tc>
        <w:tc>
          <w:tcPr>
            <w:tcW w:w="532" w:type="pct"/>
            <w:vAlign w:val="center"/>
          </w:tcPr>
          <w:p>
            <w:pPr>
              <w:pStyle w:val="1132"/>
            </w:pPr>
            <w:r>
              <w:rPr>
                <w:rFonts w:eastAsia="等线"/>
                <w:color w:val="000000"/>
                <w:szCs w:val="21"/>
              </w:rPr>
              <w:t>66</w:t>
            </w:r>
          </w:p>
        </w:tc>
        <w:tc>
          <w:tcPr>
            <w:tcW w:w="532" w:type="pct"/>
            <w:vAlign w:val="center"/>
          </w:tcPr>
          <w:p>
            <w:pPr>
              <w:pStyle w:val="1132"/>
            </w:pPr>
            <w:r>
              <w:rPr>
                <w:rFonts w:eastAsia="等线"/>
                <w:color w:val="000000"/>
                <w:szCs w:val="21"/>
              </w:rPr>
              <w:t>66</w:t>
            </w:r>
          </w:p>
        </w:tc>
        <w:tc>
          <w:tcPr>
            <w:tcW w:w="532" w:type="pct"/>
            <w:vAlign w:val="center"/>
          </w:tcPr>
          <w:p>
            <w:pPr>
              <w:pStyle w:val="1132"/>
            </w:pPr>
            <w:r>
              <w:rPr>
                <w:rFonts w:eastAsia="等线"/>
                <w:color w:val="000000"/>
                <w:szCs w:val="21"/>
              </w:rPr>
              <w:t>66</w:t>
            </w:r>
          </w:p>
        </w:tc>
        <w:tc>
          <w:tcPr>
            <w:tcW w:w="532" w:type="pct"/>
            <w:vAlign w:val="center"/>
          </w:tcPr>
          <w:p>
            <w:pPr>
              <w:pStyle w:val="1132"/>
            </w:pPr>
            <w:r>
              <w:rPr>
                <w:rFonts w:eastAsia="等线"/>
                <w:color w:val="000000"/>
                <w:szCs w:val="21"/>
              </w:rPr>
              <w:t>0</w:t>
            </w:r>
          </w:p>
        </w:tc>
        <w:tc>
          <w:tcPr>
            <w:tcW w:w="542" w:type="pct"/>
            <w:vAlign w:val="center"/>
          </w:tcPr>
          <w:p>
            <w:pPr>
              <w:pStyle w:val="1132"/>
            </w:pPr>
            <w:r>
              <w:rPr>
                <w:rFonts w:eastAsia="等线"/>
                <w:color w:val="000000"/>
                <w:szCs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52" w:type="pct"/>
            <w:vAlign w:val="center"/>
          </w:tcPr>
          <w:p>
            <w:pPr>
              <w:pStyle w:val="1132"/>
            </w:pPr>
            <w:r>
              <w:rPr>
                <w:rFonts w:hint="eastAsia"/>
              </w:rPr>
              <w:t>4</w:t>
            </w:r>
          </w:p>
        </w:tc>
        <w:tc>
          <w:tcPr>
            <w:tcW w:w="303" w:type="pct"/>
            <w:vAlign w:val="center"/>
          </w:tcPr>
          <w:p>
            <w:pPr>
              <w:pStyle w:val="1132"/>
            </w:pPr>
            <w:r>
              <w:rPr>
                <w:rFonts w:hint="eastAsia"/>
              </w:rPr>
              <w:t>邵楼村</w:t>
            </w:r>
          </w:p>
        </w:tc>
        <w:tc>
          <w:tcPr>
            <w:tcW w:w="1143" w:type="dxa"/>
            <w:vAlign w:val="center"/>
          </w:tcPr>
          <w:p>
            <w:pPr>
              <w:pStyle w:val="1132"/>
            </w:pPr>
            <w:r>
              <w:rPr>
                <w:rFonts w:hint="eastAsia" w:eastAsia="等线"/>
                <w:color w:val="000000"/>
                <w:szCs w:val="21"/>
                <w:lang w:val="en-US" w:eastAsia="zh-CN"/>
              </w:rPr>
              <w:t>5</w:t>
            </w:r>
          </w:p>
        </w:tc>
        <w:tc>
          <w:tcPr>
            <w:tcW w:w="306" w:type="pct"/>
            <w:vAlign w:val="center"/>
          </w:tcPr>
          <w:p>
            <w:pPr>
              <w:pStyle w:val="1132"/>
            </w:pPr>
            <w:r>
              <w:rPr>
                <w:rFonts w:eastAsia="等线"/>
                <w:color w:val="000000"/>
                <w:szCs w:val="21"/>
              </w:rPr>
              <w:t>2</w:t>
            </w:r>
          </w:p>
        </w:tc>
        <w:tc>
          <w:tcPr>
            <w:tcW w:w="266" w:type="pct"/>
            <w:vAlign w:val="center"/>
          </w:tcPr>
          <w:p>
            <w:pPr>
              <w:pStyle w:val="1132"/>
            </w:pPr>
            <w:r>
              <w:rPr>
                <w:rFonts w:eastAsia="等线"/>
                <w:color w:val="000000"/>
                <w:szCs w:val="21"/>
              </w:rPr>
              <w:t>51</w:t>
            </w:r>
          </w:p>
        </w:tc>
        <w:tc>
          <w:tcPr>
            <w:tcW w:w="266" w:type="pct"/>
            <w:vAlign w:val="center"/>
          </w:tcPr>
          <w:p>
            <w:pPr>
              <w:pStyle w:val="1132"/>
            </w:pPr>
            <w:r>
              <w:rPr>
                <w:rFonts w:eastAsia="等线"/>
                <w:color w:val="000000"/>
                <w:szCs w:val="21"/>
              </w:rPr>
              <w:t>42</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71</w:t>
            </w:r>
          </w:p>
        </w:tc>
        <w:tc>
          <w:tcPr>
            <w:tcW w:w="532" w:type="pct"/>
            <w:vAlign w:val="center"/>
          </w:tcPr>
          <w:p>
            <w:pPr>
              <w:pStyle w:val="1132"/>
            </w:pPr>
            <w:r>
              <w:rPr>
                <w:rFonts w:eastAsia="等线"/>
                <w:color w:val="000000"/>
                <w:szCs w:val="21"/>
              </w:rPr>
              <w:t>11</w:t>
            </w:r>
          </w:p>
        </w:tc>
        <w:tc>
          <w:tcPr>
            <w:tcW w:w="542" w:type="pct"/>
            <w:vAlign w:val="center"/>
          </w:tcPr>
          <w:p>
            <w:pPr>
              <w:pStyle w:val="1132"/>
            </w:pPr>
            <w:r>
              <w:rPr>
                <w:rFonts w:eastAsia="等线"/>
                <w:color w:val="000000"/>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52" w:type="pct"/>
            <w:vAlign w:val="center"/>
          </w:tcPr>
          <w:p>
            <w:pPr>
              <w:pStyle w:val="1132"/>
            </w:pPr>
            <w:r>
              <w:rPr>
                <w:rFonts w:hint="eastAsia"/>
              </w:rPr>
              <w:t>5</w:t>
            </w:r>
          </w:p>
        </w:tc>
        <w:tc>
          <w:tcPr>
            <w:tcW w:w="303" w:type="pct"/>
            <w:vAlign w:val="center"/>
          </w:tcPr>
          <w:p>
            <w:pPr>
              <w:pStyle w:val="1132"/>
            </w:pPr>
            <w:r>
              <w:rPr>
                <w:rFonts w:hint="eastAsia"/>
              </w:rPr>
              <w:t>小沟沿</w:t>
            </w:r>
          </w:p>
        </w:tc>
        <w:tc>
          <w:tcPr>
            <w:tcW w:w="1143" w:type="dxa"/>
            <w:vAlign w:val="center"/>
          </w:tcPr>
          <w:p>
            <w:pPr>
              <w:pStyle w:val="1132"/>
            </w:pPr>
            <w:r>
              <w:rPr>
                <w:rFonts w:hint="eastAsia" w:eastAsia="等线"/>
                <w:color w:val="000000"/>
                <w:szCs w:val="21"/>
                <w:lang w:val="en-US" w:eastAsia="zh-CN"/>
              </w:rPr>
              <w:t>17</w:t>
            </w:r>
          </w:p>
        </w:tc>
        <w:tc>
          <w:tcPr>
            <w:tcW w:w="306" w:type="pct"/>
            <w:vAlign w:val="center"/>
          </w:tcPr>
          <w:p>
            <w:pPr>
              <w:pStyle w:val="1132"/>
            </w:pPr>
            <w:r>
              <w:rPr>
                <w:rFonts w:eastAsia="等线"/>
                <w:color w:val="000000"/>
                <w:szCs w:val="21"/>
              </w:rPr>
              <w:t>2</w:t>
            </w:r>
          </w:p>
        </w:tc>
        <w:tc>
          <w:tcPr>
            <w:tcW w:w="266" w:type="pct"/>
            <w:vAlign w:val="center"/>
          </w:tcPr>
          <w:p>
            <w:pPr>
              <w:pStyle w:val="1132"/>
            </w:pPr>
            <w:r>
              <w:rPr>
                <w:rFonts w:eastAsia="等线"/>
                <w:color w:val="000000"/>
                <w:szCs w:val="21"/>
              </w:rPr>
              <w:t>53</w:t>
            </w:r>
          </w:p>
        </w:tc>
        <w:tc>
          <w:tcPr>
            <w:tcW w:w="266" w:type="pct"/>
            <w:vAlign w:val="center"/>
          </w:tcPr>
          <w:p>
            <w:pPr>
              <w:pStyle w:val="1132"/>
            </w:pPr>
            <w:r>
              <w:rPr>
                <w:rFonts w:eastAsia="等线"/>
                <w:color w:val="000000"/>
                <w:szCs w:val="21"/>
              </w:rPr>
              <w:t>42</w:t>
            </w:r>
          </w:p>
        </w:tc>
        <w:tc>
          <w:tcPr>
            <w:tcW w:w="532" w:type="pct"/>
            <w:vAlign w:val="center"/>
          </w:tcPr>
          <w:p>
            <w:pPr>
              <w:pStyle w:val="1132"/>
            </w:pPr>
            <w:r>
              <w:rPr>
                <w:rFonts w:eastAsia="等线"/>
                <w:color w:val="000000"/>
                <w:szCs w:val="21"/>
              </w:rPr>
              <w:t>68</w:t>
            </w:r>
          </w:p>
        </w:tc>
        <w:tc>
          <w:tcPr>
            <w:tcW w:w="532" w:type="pct"/>
            <w:vAlign w:val="center"/>
          </w:tcPr>
          <w:p>
            <w:pPr>
              <w:pStyle w:val="1132"/>
            </w:pPr>
            <w:r>
              <w:rPr>
                <w:rFonts w:eastAsia="等线"/>
                <w:color w:val="000000"/>
                <w:szCs w:val="21"/>
              </w:rPr>
              <w:t>68</w:t>
            </w:r>
          </w:p>
        </w:tc>
        <w:tc>
          <w:tcPr>
            <w:tcW w:w="532" w:type="pct"/>
            <w:vAlign w:val="center"/>
          </w:tcPr>
          <w:p>
            <w:pPr>
              <w:pStyle w:val="1132"/>
            </w:pPr>
            <w:r>
              <w:rPr>
                <w:rFonts w:eastAsia="等线"/>
                <w:color w:val="000000"/>
                <w:szCs w:val="21"/>
              </w:rPr>
              <w:t>68</w:t>
            </w:r>
          </w:p>
        </w:tc>
        <w:tc>
          <w:tcPr>
            <w:tcW w:w="532" w:type="pct"/>
            <w:vAlign w:val="center"/>
          </w:tcPr>
          <w:p>
            <w:pPr>
              <w:pStyle w:val="1132"/>
            </w:pPr>
            <w:r>
              <w:rPr>
                <w:rFonts w:eastAsia="等线"/>
                <w:color w:val="000000"/>
                <w:szCs w:val="21"/>
              </w:rPr>
              <w:t>68</w:t>
            </w:r>
          </w:p>
        </w:tc>
        <w:tc>
          <w:tcPr>
            <w:tcW w:w="532" w:type="pct"/>
            <w:vAlign w:val="center"/>
          </w:tcPr>
          <w:p>
            <w:pPr>
              <w:pStyle w:val="1132"/>
            </w:pPr>
            <w:r>
              <w:rPr>
                <w:rFonts w:eastAsia="等线"/>
                <w:color w:val="000000"/>
                <w:szCs w:val="21"/>
              </w:rPr>
              <w:t>8</w:t>
            </w:r>
          </w:p>
        </w:tc>
        <w:tc>
          <w:tcPr>
            <w:tcW w:w="542" w:type="pct"/>
            <w:vAlign w:val="center"/>
          </w:tcPr>
          <w:p>
            <w:pPr>
              <w:pStyle w:val="1132"/>
            </w:pPr>
            <w:r>
              <w:rPr>
                <w:rFonts w:eastAsia="等线"/>
                <w:color w:val="000000"/>
                <w:szCs w:val="21"/>
              </w:rPr>
              <w:t>18</w:t>
            </w:r>
          </w:p>
        </w:tc>
      </w:tr>
    </w:tbl>
    <w:p>
      <w:pPr>
        <w:ind w:firstLine="480"/>
        <w:rPr>
          <w:color w:val="0070C0"/>
        </w:rPr>
      </w:pPr>
    </w:p>
    <w:p>
      <w:pPr>
        <w:pStyle w:val="112"/>
        <w:ind w:firstLine="480"/>
        <w:rPr>
          <w:color w:val="0070C0"/>
        </w:rPr>
      </w:pPr>
    </w:p>
    <w:p>
      <w:pPr>
        <w:pStyle w:val="112"/>
        <w:ind w:firstLine="480"/>
        <w:rPr>
          <w:color w:val="0070C0"/>
        </w:rPr>
        <w:sectPr>
          <w:pgSz w:w="16838" w:h="11906" w:orient="landscape"/>
          <w:pgMar w:top="1418" w:right="1418" w:bottom="1418" w:left="1418" w:header="850" w:footer="992" w:gutter="0"/>
          <w:cols w:space="720" w:num="1"/>
          <w:docGrid w:linePitch="326" w:charSpace="0"/>
        </w:sectPr>
      </w:pPr>
    </w:p>
    <w:p>
      <w:pPr>
        <w:pStyle w:val="8"/>
        <w:rPr>
          <w:b/>
          <w:bCs/>
        </w:rPr>
      </w:pPr>
      <w:bookmarkStart w:id="324" w:name="_Toc10438"/>
      <w:r>
        <w:rPr>
          <w:b/>
          <w:bCs/>
        </w:rPr>
        <w:t>运营期</w:t>
      </w:r>
      <w:bookmarkEnd w:id="324"/>
    </w:p>
    <w:p>
      <w:pPr>
        <w:pStyle w:val="10"/>
        <w:ind w:firstLine="480"/>
      </w:pPr>
      <w:r>
        <w:t>运营期的交通噪声等级L</w:t>
      </w:r>
      <w:r>
        <w:rPr>
          <w:vertAlign w:val="subscript"/>
        </w:rPr>
        <w:t>Aeq</w:t>
      </w:r>
      <w:r>
        <w:t>取决于运营期的交通量、车型、车速、车辆辐射声功率及道路的路面状况、坡度等因素。</w:t>
      </w:r>
    </w:p>
    <w:p>
      <w:pPr>
        <w:pStyle w:val="10"/>
        <w:ind w:firstLine="480"/>
      </w:pPr>
      <w:r>
        <w:t>根据现场调查，项目所在区域建筑屋以</w:t>
      </w:r>
      <w:r>
        <w:rPr>
          <w:rFonts w:hint="eastAsia"/>
        </w:rPr>
        <w:t>2~</w:t>
      </w:r>
      <w:r>
        <w:t>3层建筑为主。声环境保护目标为道路中心线两侧200m范围内。</w:t>
      </w:r>
    </w:p>
    <w:p>
      <w:pPr>
        <w:pStyle w:val="9"/>
      </w:pPr>
      <w:bookmarkStart w:id="325" w:name="_Toc18412"/>
      <w:r>
        <w:t>预测模式</w:t>
      </w:r>
      <w:bookmarkEnd w:id="325"/>
    </w:p>
    <w:p>
      <w:pPr>
        <w:pStyle w:val="10"/>
        <w:ind w:firstLine="480"/>
      </w:pPr>
      <w:r>
        <w:t>本道路建成后，对周边环境的影响主要是车辆通过时产生的交通噪声对周边敏感点的影响。道路上行驶的机动车包括启动、加速、刹车等过程，产生的噪声各有差异，本评价在预测中将视为匀速行驶，且同一条道路中的每个行车道中的车流量及车型比例均相同。</w:t>
      </w:r>
    </w:p>
    <w:p>
      <w:pPr>
        <w:pStyle w:val="10"/>
        <w:ind w:firstLine="480"/>
      </w:pPr>
      <w:r>
        <w:t>根据《环境影响评价技术导则 声环境》（HJ 2.4-2021）附录A公路（道路）交通运输噪声预测模式，本项目预计2023年</w:t>
      </w:r>
      <w:r>
        <w:rPr>
          <w:rFonts w:hint="eastAsia"/>
        </w:rPr>
        <w:t>1</w:t>
      </w:r>
      <w:r>
        <w:t>2</w:t>
      </w:r>
      <w:r>
        <w:rPr>
          <w:rFonts w:hint="eastAsia"/>
        </w:rPr>
        <w:t>月</w:t>
      </w:r>
      <w:r>
        <w:t>竣工，因此初期评价时段、中期评价时段和远期评价时段分别为2024年、2030年</w:t>
      </w:r>
      <w:r>
        <w:rPr>
          <w:rFonts w:hint="eastAsia"/>
          <w:lang w:val="en-US" w:eastAsia="zh-CN"/>
        </w:rPr>
        <w:t>和</w:t>
      </w:r>
      <w:r>
        <w:t>2038年。预测时需将各种车辆按其噪声大小分成大型车、中型车、小型车，分别预测某一类车辆的等效声级，然后把三类车辆的等效声级迭加得到总声级。</w:t>
      </w:r>
    </w:p>
    <w:p>
      <w:pPr>
        <w:pStyle w:val="10"/>
        <w:ind w:firstLine="480"/>
      </w:pPr>
      <w:r>
        <w:rPr>
          <w:rFonts w:hint="eastAsia"/>
        </w:rPr>
        <w:t>（1）</w:t>
      </w:r>
      <w:r>
        <w:t>第i类车等效声级的预测模式：</w:t>
      </w:r>
    </w:p>
    <w:p>
      <w:pPr>
        <w:pStyle w:val="112"/>
        <w:ind w:firstLine="480"/>
        <w:rPr>
          <w:color w:val="0070C0"/>
        </w:rPr>
      </w:pPr>
      <w:r>
        <w:rPr>
          <w:color w:val="0070C0"/>
        </w:rPr>
        <w:object>
          <v:shape id="_x0000_i1026" o:spt="75" type="#_x0000_t75" style="height:36.55pt;width:339.5pt;" o:ole="t" filled="f" o:preferrelative="t" stroked="f" coordsize="21600,21600">
            <v:path/>
            <v:fill on="f" focussize="0,0"/>
            <v:stroke on="f" joinstyle="miter"/>
            <v:imagedata r:id="rId90" o:title=""/>
            <o:lock v:ext="edit" aspectratio="t"/>
            <w10:wrap type="none"/>
            <w10:anchorlock/>
          </v:shape>
          <o:OLEObject Type="Embed" ProgID="Equation.3" ShapeID="_x0000_i1026" DrawAspect="Content" ObjectID="_1468075727" r:id="rId89">
            <o:LockedField>false</o:LockedField>
          </o:OLEObject>
        </w:object>
      </w:r>
    </w:p>
    <w:p>
      <w:pPr>
        <w:pStyle w:val="10"/>
        <w:ind w:firstLine="480"/>
      </w:pPr>
      <w:r>
        <w:t>式中：</w:t>
      </w:r>
    </w:p>
    <w:p>
      <w:pPr>
        <w:pStyle w:val="10"/>
        <w:ind w:firstLine="480"/>
      </w:pPr>
      <w:r>
        <w:t>Leq(h)</w:t>
      </w:r>
      <w:r>
        <w:rPr>
          <w:vertAlign w:val="subscript"/>
        </w:rPr>
        <w:t xml:space="preserve">i </w:t>
      </w:r>
      <w:r>
        <w:t>—— 第i类车的小时等效声级，dB(A)；</w:t>
      </w:r>
    </w:p>
    <w:p>
      <w:pPr>
        <w:pStyle w:val="10"/>
        <w:ind w:firstLine="480"/>
      </w:pPr>
      <w:r>
        <w:object>
          <v:shape id="_x0000_i1027" o:spt="75" type="#_x0000_t75" style="height:20.5pt;width:31pt;" o:ole="t" filled="f" o:preferrelative="t" stroked="f" coordsize="21600,21600">
            <v:path/>
            <v:fill on="f" focussize="0,0"/>
            <v:stroke on="f" joinstyle="miter"/>
            <v:imagedata r:id="rId92" o:title=""/>
            <o:lock v:ext="edit" aspectratio="t"/>
            <w10:wrap type="none"/>
            <w10:anchorlock/>
          </v:shape>
          <o:OLEObject Type="Embed" ProgID="Equation.3" ShapeID="_x0000_i1027" DrawAspect="Content" ObjectID="_1468075728" r:id="rId91">
            <o:LockedField>false</o:LockedField>
          </o:OLEObject>
        </w:object>
      </w:r>
      <w:r>
        <w:t xml:space="preserve"> —— 第i类车速度为Vi，km/h；水平距离为7.5米处的能量平均A声级，dB(A)；</w:t>
      </w:r>
    </w:p>
    <w:p>
      <w:pPr>
        <w:pStyle w:val="10"/>
        <w:ind w:firstLine="480"/>
      </w:pPr>
      <w:r>
        <w:t>N</w:t>
      </w:r>
      <w:r>
        <w:rPr>
          <w:vertAlign w:val="subscript"/>
        </w:rPr>
        <w:t>i</w:t>
      </w:r>
      <w:r>
        <w:t xml:space="preserve"> —— 昼间，夜间通过某个预测点的第i类车平均小时车流量，辆/h；</w:t>
      </w:r>
    </w:p>
    <w:p>
      <w:pPr>
        <w:pStyle w:val="10"/>
        <w:ind w:firstLine="480"/>
      </w:pPr>
      <w:r>
        <w:t>r—— 从车道中心线到预测点的距离，m；适用于r＞7.5m预测点的噪声预测；</w:t>
      </w:r>
    </w:p>
    <w:p>
      <w:pPr>
        <w:pStyle w:val="10"/>
        <w:ind w:firstLine="480"/>
      </w:pPr>
      <w:r>
        <w:t>V</w:t>
      </w:r>
      <w:r>
        <w:rPr>
          <w:vertAlign w:val="subscript"/>
        </w:rPr>
        <w:t xml:space="preserve">i </w:t>
      </w:r>
      <w:r>
        <w:t>—— 第i类车的平均车速，km/h；</w:t>
      </w:r>
    </w:p>
    <w:p>
      <w:pPr>
        <w:pStyle w:val="10"/>
        <w:ind w:firstLine="480"/>
      </w:pPr>
      <w:r>
        <w:t>T —— 计算等效声级的时间，1h；</w:t>
      </w:r>
    </w:p>
    <w:p>
      <w:pPr>
        <w:pStyle w:val="10"/>
        <w:ind w:firstLine="480"/>
      </w:pPr>
      <w:r>
        <w:t>Ψ</w:t>
      </w:r>
      <w:r>
        <w:rPr>
          <w:vertAlign w:val="subscript"/>
        </w:rPr>
        <w:t>1</w:t>
      </w:r>
      <w:r>
        <w:t>、Ψ</w:t>
      </w:r>
      <w:r>
        <w:rPr>
          <w:vertAlign w:val="subscript"/>
        </w:rPr>
        <w:t>2</w:t>
      </w:r>
      <w:r>
        <w:t xml:space="preserve"> —— 预测点到有限长路段两端的张角，弧度，见图5.1-1所示；</w:t>
      </w:r>
    </w:p>
    <w:p>
      <w:pPr>
        <w:widowControl/>
        <w:ind w:firstLine="480" w:firstLineChars="200"/>
        <w:jc w:val="left"/>
        <w:rPr>
          <w:color w:val="0070C0"/>
        </w:rPr>
      </w:pPr>
    </w:p>
    <w:p>
      <w:pPr>
        <w:widowControl/>
        <w:ind w:firstLine="480"/>
        <w:jc w:val="center"/>
        <w:rPr>
          <w:color w:val="0070C0"/>
        </w:rPr>
      </w:pPr>
      <w:r>
        <w:rPr>
          <w:color w:val="0070C0"/>
        </w:rPr>
        <w:drawing>
          <wp:inline distT="0" distB="0" distL="0" distR="0">
            <wp:extent cx="1869440" cy="1360170"/>
            <wp:effectExtent l="0" t="0" r="0" b="0"/>
            <wp:docPr id="1238" name="图片 24"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图片 24" descr="未标题-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1869440" cy="1360170"/>
                    </a:xfrm>
                    <a:prstGeom prst="rect">
                      <a:avLst/>
                    </a:prstGeom>
                    <a:noFill/>
                    <a:ln>
                      <a:noFill/>
                    </a:ln>
                  </pic:spPr>
                </pic:pic>
              </a:graphicData>
            </a:graphic>
          </wp:inline>
        </w:drawing>
      </w:r>
    </w:p>
    <w:p>
      <w:pPr>
        <w:pStyle w:val="19"/>
        <w:ind w:firstLine="482"/>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t xml:space="preserve">  有限路段的修正函数，A—B为路段，P为预测点</w:t>
      </w:r>
    </w:p>
    <w:p>
      <w:pPr>
        <w:pStyle w:val="112"/>
        <w:spacing w:line="240" w:lineRule="auto"/>
        <w:ind w:firstLine="480"/>
      </w:pPr>
      <w:r>
        <w:rPr>
          <w:rFonts w:ascii="Cambria Math" w:hAnsi="Cambria Math" w:cs="Cambria Math"/>
        </w:rPr>
        <w:t>△</w:t>
      </w:r>
      <w:r>
        <w:t>L——由其他因素引起的修正量，dB(A)，可按下式计算：</w:t>
      </w:r>
    </w:p>
    <w:p>
      <w:pPr>
        <w:pStyle w:val="112"/>
        <w:ind w:firstLine="0" w:firstLineChars="0"/>
        <w:jc w:val="center"/>
        <w:rPr>
          <w:color w:val="0070C0"/>
        </w:rPr>
      </w:pPr>
      <w:r>
        <w:rPr>
          <w:color w:val="0070C0"/>
        </w:rPr>
        <w:object>
          <v:shape id="_x0000_i1028" o:spt="75" type="#_x0000_t75" style="height:20.5pt;width:107.45pt;" o:ole="t" filled="f" o:preferrelative="t" stroked="f" coordsize="21600,21600">
            <v:path/>
            <v:fill on="f" focussize="0,0"/>
            <v:stroke on="f" joinstyle="miter"/>
            <v:imagedata r:id="rId95" o:title=""/>
            <o:lock v:ext="edit" aspectratio="t"/>
            <w10:wrap type="none"/>
            <w10:anchorlock/>
          </v:shape>
          <o:OLEObject Type="Embed" ProgID="Equation.3" ShapeID="_x0000_i1028" DrawAspect="Content" ObjectID="_1468075729" r:id="rId94">
            <o:LockedField>false</o:LockedField>
          </o:OLEObject>
        </w:object>
      </w:r>
    </w:p>
    <w:p>
      <w:pPr>
        <w:pStyle w:val="112"/>
        <w:ind w:firstLine="0" w:firstLineChars="0"/>
        <w:jc w:val="center"/>
        <w:rPr>
          <w:color w:val="0070C0"/>
        </w:rPr>
      </w:pPr>
      <w:r>
        <w:rPr>
          <w:color w:val="0070C0"/>
        </w:rPr>
        <w:object>
          <v:shape id="_x0000_i1029" o:spt="75" type="#_x0000_t75" style="height:20.5pt;width:108.55pt;" o:ole="t" filled="f" o:preferrelative="t" stroked="f" coordsize="21600,21600">
            <v:path/>
            <v:fill on="f" focussize="0,0"/>
            <v:stroke on="f" joinstyle="miter"/>
            <v:imagedata r:id="rId97" o:title=""/>
            <o:lock v:ext="edit" aspectratio="t"/>
            <w10:wrap type="none"/>
            <w10:anchorlock/>
          </v:shape>
          <o:OLEObject Type="Embed" ProgID="Equation.3" ShapeID="_x0000_i1029" DrawAspect="Content" ObjectID="_1468075730" r:id="rId96">
            <o:LockedField>false</o:LockedField>
          </o:OLEObject>
        </w:object>
      </w:r>
    </w:p>
    <w:p>
      <w:pPr>
        <w:pStyle w:val="112"/>
        <w:ind w:firstLine="0" w:firstLineChars="0"/>
        <w:jc w:val="center"/>
        <w:rPr>
          <w:color w:val="0070C0"/>
        </w:rPr>
      </w:pPr>
      <w:r>
        <w:rPr>
          <w:color w:val="0070C0"/>
        </w:rPr>
        <w:object>
          <v:shape id="_x0000_i1030" o:spt="75" type="#_x0000_t75" style="height:20.5pt;width:154.5pt;" o:ole="t" filled="f" o:preferrelative="t" stroked="f" coordsize="21600,21600">
            <v:path/>
            <v:fill on="f" focussize="0,0"/>
            <v:stroke on="f" joinstyle="miter"/>
            <v:imagedata r:id="rId99" o:title=""/>
            <o:lock v:ext="edit" aspectratio="t"/>
            <w10:wrap type="none"/>
            <w10:anchorlock/>
          </v:shape>
          <o:OLEObject Type="Embed" ProgID="Equation.3" ShapeID="_x0000_i1030" DrawAspect="Content" ObjectID="_1468075731" r:id="rId98">
            <o:LockedField>false</o:LockedField>
          </o:OLEObject>
        </w:object>
      </w:r>
    </w:p>
    <w:p>
      <w:pPr>
        <w:pStyle w:val="112"/>
        <w:ind w:firstLine="480"/>
      </w:pPr>
      <w:r>
        <w:t>式中：</w:t>
      </w:r>
    </w:p>
    <w:p>
      <w:pPr>
        <w:pStyle w:val="112"/>
        <w:ind w:firstLine="480"/>
      </w:pPr>
      <w:r>
        <w:t>ΔL</w:t>
      </w:r>
      <w:r>
        <w:rPr>
          <w:vertAlign w:val="subscript"/>
        </w:rPr>
        <w:t>1</w:t>
      </w:r>
      <w:r>
        <w:t xml:space="preserve"> —— 线路因素引起的修正量，dB(A)；</w:t>
      </w:r>
    </w:p>
    <w:p>
      <w:pPr>
        <w:pStyle w:val="112"/>
        <w:ind w:firstLine="480"/>
      </w:pPr>
      <w:r>
        <w:t>ΔL坡度——公路纵坡修正量，dB(A)；</w:t>
      </w:r>
    </w:p>
    <w:p>
      <w:pPr>
        <w:pStyle w:val="112"/>
        <w:ind w:firstLine="480"/>
      </w:pPr>
      <w:r>
        <w:t>ΔL路面——公路路面材料引起的修正量，dB(A)；</w:t>
      </w:r>
    </w:p>
    <w:p>
      <w:pPr>
        <w:pStyle w:val="112"/>
        <w:ind w:firstLine="480"/>
      </w:pPr>
      <w:r>
        <w:t>ΔL</w:t>
      </w:r>
      <w:r>
        <w:rPr>
          <w:vertAlign w:val="subscript"/>
        </w:rPr>
        <w:t>2</w:t>
      </w:r>
      <w:r>
        <w:t xml:space="preserve"> ——声波传播途径中引起的衰减量，dB(A)；</w:t>
      </w:r>
    </w:p>
    <w:p>
      <w:pPr>
        <w:pStyle w:val="112"/>
        <w:ind w:firstLine="480"/>
      </w:pPr>
      <w:r>
        <w:t>ΔL</w:t>
      </w:r>
      <w:r>
        <w:rPr>
          <w:vertAlign w:val="subscript"/>
        </w:rPr>
        <w:t>3</w:t>
      </w:r>
      <w:r>
        <w:t xml:space="preserve"> ——由反射等引起的修正量，dB(A)。</w:t>
      </w:r>
    </w:p>
    <w:p>
      <w:pPr>
        <w:pStyle w:val="112"/>
        <w:ind w:firstLine="480"/>
      </w:pPr>
      <w:r>
        <w:rPr>
          <w:rFonts w:hint="eastAsia"/>
        </w:rPr>
        <w:t>（2）</w:t>
      </w:r>
      <w:r>
        <w:t>总车流等效声级为：</w:t>
      </w:r>
    </w:p>
    <w:p>
      <w:pPr>
        <w:pStyle w:val="112"/>
        <w:ind w:firstLine="0" w:firstLineChars="0"/>
        <w:jc w:val="center"/>
      </w:pPr>
      <w:r>
        <w:object>
          <v:shape id="_x0000_i1031" o:spt="75" type="#_x0000_t75" style="height:20.5pt;width:247pt;" o:ole="t" fillcolor="#6D6D6D" filled="f" o:preferrelative="t" stroked="f" coordsize="21600,21600">
            <v:path/>
            <v:fill on="f" focussize="0,0"/>
            <v:stroke on="f" joinstyle="miter"/>
            <v:imagedata r:id="rId101" o:title=""/>
            <o:lock v:ext="edit" aspectratio="t"/>
            <w10:wrap type="none"/>
            <w10:anchorlock/>
          </v:shape>
          <o:OLEObject Type="Embed" ProgID="Equation.3" ShapeID="_x0000_i1031" DrawAspect="Content" ObjectID="_1468075732" r:id="rId100">
            <o:LockedField>false</o:LockedField>
          </o:OLEObject>
        </w:object>
      </w:r>
    </w:p>
    <w:p>
      <w:pPr>
        <w:pStyle w:val="112"/>
        <w:ind w:firstLine="480"/>
      </w:pPr>
      <w:r>
        <w:t>如某个预测点受多条线路交通噪声影响（如交叉路口的影响，路边高层建筑预测点受地面多条车道的影响），应分别计算每条车道对该预测点的声级后，经叠加后得到贡献值。</w:t>
      </w:r>
    </w:p>
    <w:p>
      <w:pPr>
        <w:pStyle w:val="112"/>
        <w:ind w:firstLine="480"/>
      </w:pPr>
      <w:r>
        <w:t>式中：</w:t>
      </w:r>
    </w:p>
    <w:p>
      <w:pPr>
        <w:pStyle w:val="112"/>
        <w:ind w:firstLine="480"/>
      </w:pPr>
      <w:r>
        <w:drawing>
          <wp:inline distT="0" distB="0" distL="0" distR="0">
            <wp:extent cx="422275" cy="231775"/>
            <wp:effectExtent l="0" t="0" r="0" b="0"/>
            <wp:docPr id="124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图片 2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422275" cy="231775"/>
                    </a:xfrm>
                    <a:prstGeom prst="rect">
                      <a:avLst/>
                    </a:prstGeom>
                    <a:noFill/>
                    <a:ln>
                      <a:noFill/>
                    </a:ln>
                  </pic:spPr>
                </pic:pic>
              </a:graphicData>
            </a:graphic>
          </wp:inline>
        </w:drawing>
      </w:r>
      <w:r>
        <w:t>—总车流小时等效声级，dB(A)；</w:t>
      </w:r>
    </w:p>
    <w:p>
      <w:pPr>
        <w:pStyle w:val="112"/>
        <w:ind w:firstLine="480"/>
      </w:pPr>
      <w:r>
        <w:drawing>
          <wp:inline distT="0" distB="0" distL="0" distR="0">
            <wp:extent cx="1666875" cy="231775"/>
            <wp:effectExtent l="0" t="0" r="0" b="0"/>
            <wp:docPr id="12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图片 2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1666875" cy="231775"/>
                    </a:xfrm>
                    <a:prstGeom prst="rect">
                      <a:avLst/>
                    </a:prstGeom>
                    <a:noFill/>
                    <a:ln>
                      <a:noFill/>
                    </a:ln>
                  </pic:spPr>
                </pic:pic>
              </a:graphicData>
            </a:graphic>
          </wp:inline>
        </w:drawing>
      </w:r>
      <w:r>
        <w:t>—大、中、小型车的小时等效声级，dB(A)；</w:t>
      </w:r>
    </w:p>
    <w:p>
      <w:pPr>
        <w:pStyle w:val="112"/>
        <w:ind w:firstLine="480"/>
        <w:rPr>
          <w:color w:val="0070C0"/>
        </w:rPr>
      </w:pPr>
    </w:p>
    <w:p>
      <w:pPr>
        <w:pStyle w:val="112"/>
        <w:ind w:firstLine="480"/>
        <w:rPr>
          <w:color w:val="0070C0"/>
        </w:rPr>
      </w:pPr>
    </w:p>
    <w:p>
      <w:pPr>
        <w:pStyle w:val="112"/>
        <w:ind w:firstLine="480"/>
        <w:rPr>
          <w:color w:val="0070C0"/>
        </w:rPr>
      </w:pPr>
    </w:p>
    <w:p>
      <w:pPr>
        <w:pStyle w:val="112"/>
        <w:ind w:firstLine="480"/>
        <w:rPr>
          <w:color w:val="0070C0"/>
        </w:rPr>
      </w:pPr>
    </w:p>
    <w:p>
      <w:pPr>
        <w:pStyle w:val="112"/>
        <w:ind w:firstLine="480"/>
        <w:rPr>
          <w:color w:val="0070C0"/>
        </w:rPr>
      </w:pPr>
    </w:p>
    <w:p>
      <w:pPr>
        <w:pStyle w:val="9"/>
      </w:pPr>
      <w:bookmarkStart w:id="326" w:name="_Toc22072"/>
      <w:r>
        <w:t>预测参数</w:t>
      </w:r>
      <w:bookmarkEnd w:id="326"/>
    </w:p>
    <w:p>
      <w:pPr>
        <w:pStyle w:val="10"/>
        <w:ind w:firstLine="480"/>
      </w:pPr>
      <w:r>
        <w:t>预测模式中参数的确定具体如下：</w:t>
      </w:r>
    </w:p>
    <w:p>
      <w:pPr>
        <w:pStyle w:val="10"/>
        <w:ind w:firstLine="480"/>
      </w:pPr>
      <w:r>
        <w:t>（1）交通量</w:t>
      </w:r>
    </w:p>
    <w:p>
      <w:pPr>
        <w:pStyle w:val="10"/>
        <w:ind w:firstLine="480"/>
      </w:pPr>
      <w:r>
        <w:t>根据工可报告，本项目拟于202</w:t>
      </w:r>
      <w:r>
        <w:rPr>
          <w:rFonts w:hint="eastAsia"/>
          <w:lang w:val="en-US" w:eastAsia="zh-CN"/>
        </w:rPr>
        <w:t>3</w:t>
      </w:r>
      <w:r>
        <w:t>年</w:t>
      </w:r>
      <w:r>
        <w:rPr>
          <w:rFonts w:hint="eastAsia"/>
          <w:lang w:val="en-US" w:eastAsia="zh-CN"/>
        </w:rPr>
        <w:t>1</w:t>
      </w:r>
      <w:r>
        <w:rPr>
          <w:rFonts w:hint="eastAsia"/>
        </w:rPr>
        <w:t>月</w:t>
      </w:r>
      <w:r>
        <w:t>开工，202</w:t>
      </w:r>
      <w:r>
        <w:rPr>
          <w:rFonts w:hint="eastAsia"/>
          <w:lang w:val="en-US" w:eastAsia="zh-CN"/>
        </w:rPr>
        <w:t>3</w:t>
      </w:r>
      <w:r>
        <w:t>年</w:t>
      </w:r>
      <w:r>
        <w:rPr>
          <w:rFonts w:hint="eastAsia"/>
          <w:lang w:val="en-US" w:eastAsia="zh-CN"/>
        </w:rPr>
        <w:t>12</w:t>
      </w:r>
      <w:r>
        <w:rPr>
          <w:rFonts w:hint="eastAsia"/>
        </w:rPr>
        <w:t>月</w:t>
      </w:r>
      <w:r>
        <w:t>建成通车，工期</w:t>
      </w:r>
      <w:r>
        <w:rPr>
          <w:rFonts w:hint="eastAsia"/>
          <w:lang w:val="en-US" w:eastAsia="zh-CN"/>
        </w:rPr>
        <w:t>1</w:t>
      </w:r>
      <w:r>
        <w:t>年。根据《公路建设项目环境影响评价规范》（JTG B03-2006），结合项目各预测年交通流量变化情况，本次评价环境预测年份选定为2024年、2030年、2038年。</w:t>
      </w:r>
    </w:p>
    <w:p>
      <w:pPr>
        <w:pStyle w:val="10"/>
        <w:ind w:firstLine="480"/>
      </w:pPr>
      <w:r>
        <w:t>根据《公路建设项目环境影响评价规范》中的车型分类标准，将小型货车、小型客车作为小型车，中型货车、中型客车和大型客车作为中型车，大型货车和</w:t>
      </w:r>
      <w:r>
        <w:rPr>
          <w:rFonts w:hint="eastAsia"/>
        </w:rPr>
        <w:t>拖挂车</w:t>
      </w:r>
      <w:r>
        <w:t>作为大型车，各预测年份车型比如表3.</w:t>
      </w:r>
      <w:r>
        <w:rPr>
          <w:rFonts w:hint="eastAsia"/>
          <w:lang w:val="en-US" w:eastAsia="zh-CN"/>
        </w:rPr>
        <w:t>4</w:t>
      </w:r>
      <w:r>
        <w:t>-4所示</w:t>
      </w:r>
      <w:r>
        <w:rPr>
          <w:rFonts w:hint="eastAsia"/>
        </w:rPr>
        <w:t>。</w:t>
      </w:r>
    </w:p>
    <w:p>
      <w:pPr>
        <w:ind w:firstLine="480" w:firstLineChars="200"/>
      </w:pPr>
      <w:r>
        <w:t>根据工可设计</w:t>
      </w:r>
      <w:r>
        <w:rPr>
          <w:rFonts w:hint="eastAsia"/>
        </w:rPr>
        <w:t>预测</w:t>
      </w:r>
      <w:r>
        <w:t>，昼间16小时与夜间8小时车流量的比为</w:t>
      </w:r>
      <w:r>
        <w:rPr>
          <w:rFonts w:hint="eastAsia"/>
          <w:lang w:val="en-US" w:eastAsia="zh-CN"/>
        </w:rPr>
        <w:t>4:1</w:t>
      </w:r>
      <w:r>
        <w:t>，根据表3.</w:t>
      </w:r>
      <w:r>
        <w:rPr>
          <w:rFonts w:hint="eastAsia"/>
          <w:lang w:val="en-US" w:eastAsia="zh-CN"/>
        </w:rPr>
        <w:t>4</w:t>
      </w:r>
      <w:r>
        <w:t>-1、表3.</w:t>
      </w:r>
      <w:r>
        <w:rPr>
          <w:rFonts w:hint="eastAsia"/>
          <w:lang w:val="en-US" w:eastAsia="zh-CN"/>
        </w:rPr>
        <w:t>4</w:t>
      </w:r>
      <w:r>
        <w:t>-2预测的交通量及表3.</w:t>
      </w:r>
      <w:r>
        <w:rPr>
          <w:rFonts w:hint="eastAsia"/>
          <w:lang w:val="en-US" w:eastAsia="zh-CN"/>
        </w:rPr>
        <w:t>4</w:t>
      </w:r>
      <w:r>
        <w:t>-3。不同路段不同车型车流量预测详见表3.</w:t>
      </w:r>
      <w:r>
        <w:rPr>
          <w:rFonts w:hint="eastAsia"/>
          <w:lang w:val="en-US" w:eastAsia="zh-CN"/>
        </w:rPr>
        <w:t>4</w:t>
      </w:r>
      <w:r>
        <w:t>-</w:t>
      </w:r>
      <w:r>
        <w:rPr>
          <w:rFonts w:hint="eastAsia"/>
          <w:lang w:val="en-US" w:eastAsia="zh-CN"/>
        </w:rPr>
        <w:t>5</w:t>
      </w:r>
      <w:r>
        <w:t>。</w:t>
      </w:r>
    </w:p>
    <w:p>
      <w:pPr>
        <w:pStyle w:val="10"/>
        <w:ind w:firstLine="480"/>
      </w:pPr>
      <w:r>
        <w:t>（2）汽车平均行驶速度</w:t>
      </w:r>
    </w:p>
    <w:p>
      <w:pPr>
        <w:pStyle w:val="10"/>
        <w:ind w:firstLine="480"/>
      </w:pPr>
      <w:r>
        <w:rPr>
          <w:rFonts w:hint="eastAsia"/>
        </w:rPr>
        <w:t>本工程</w:t>
      </w:r>
      <w:r>
        <w:rPr>
          <w:rFonts w:hint="eastAsia"/>
          <w:lang w:val="en-US" w:eastAsia="zh-CN"/>
        </w:rPr>
        <w:t>道路</w:t>
      </w:r>
      <w:r>
        <w:rPr>
          <w:rFonts w:hint="eastAsia"/>
        </w:rPr>
        <w:t>设计时速为</w:t>
      </w:r>
      <w:r>
        <w:t>60</w:t>
      </w:r>
      <w:r>
        <w:rPr>
          <w:rFonts w:hint="eastAsia"/>
        </w:rPr>
        <w:t>km/h，</w:t>
      </w:r>
      <w:r>
        <w:t>夜间时速按照昼间的</w:t>
      </w:r>
      <w:r>
        <w:rPr>
          <w:rFonts w:hint="eastAsia"/>
        </w:rPr>
        <w:t>9</w:t>
      </w:r>
      <w:r>
        <w:t>0%进行预测。</w:t>
      </w:r>
    </w:p>
    <w:p>
      <w:pPr>
        <w:pStyle w:val="10"/>
        <w:ind w:firstLine="480"/>
      </w:pPr>
      <w:r>
        <w:t>（3）交通噪声源强</w:t>
      </w:r>
    </w:p>
    <w:p>
      <w:pPr>
        <w:pStyle w:val="10"/>
        <w:ind w:firstLine="480"/>
      </w:pPr>
      <w:r>
        <w:t>车辆距行驶路面中心7.5m处的平均辐射声级</w:t>
      </w:r>
      <w:r>
        <w:rPr>
          <w:position w:val="-12"/>
        </w:rPr>
        <w:object>
          <v:shape id="_x0000_i1032" o:spt="75" type="#_x0000_t75" style="height:20.5pt;width:20.5pt;" o:ole="t" filled="f" o:preferrelative="t" stroked="f" coordsize="21600,21600">
            <v:path/>
            <v:fill on="f" focussize="0,0"/>
            <v:stroke on="f" joinstyle="miter"/>
            <v:imagedata r:id="rId105" o:title=""/>
            <o:lock v:ext="edit" aspectratio="t"/>
            <w10:wrap type="none"/>
            <w10:anchorlock/>
          </v:shape>
          <o:OLEObject Type="Embed" ProgID="Equation.3" ShapeID="_x0000_i1032" DrawAspect="Content" ObjectID="_1468075733" r:id="rId104">
            <o:LockedField>false</o:LockedField>
          </o:OLEObject>
        </w:object>
      </w:r>
      <w:r>
        <w:t>，见表3.6-6。</w:t>
      </w:r>
    </w:p>
    <w:p>
      <w:pPr>
        <w:pStyle w:val="10"/>
        <w:ind w:firstLine="480"/>
      </w:pPr>
      <w:r>
        <w:t>（4）Ψ1、Ψ2取值</w:t>
      </w:r>
    </w:p>
    <w:p>
      <w:pPr>
        <w:pStyle w:val="10"/>
        <w:ind w:firstLine="480"/>
      </w:pPr>
      <w:r>
        <w:t>按预防原则，预测时Ψ1+Ψ2＝π</w:t>
      </w:r>
    </w:p>
    <w:p>
      <w:pPr>
        <w:pStyle w:val="10"/>
        <w:ind w:firstLine="480"/>
        <w:rPr>
          <w:rFonts w:hint="default" w:eastAsia="宋体"/>
          <w:lang w:val="en-US" w:eastAsia="zh-CN"/>
        </w:rPr>
      </w:pPr>
      <w:r>
        <w:t>（5）道路纵坡与路面引起的交通噪声修正量</w:t>
      </w:r>
    </w:p>
    <w:p>
      <w:pPr>
        <w:pStyle w:val="112"/>
        <w:ind w:firstLine="480" w:firstLineChars="200"/>
        <w:jc w:val="both"/>
        <w:rPr>
          <w:color w:val="0070C0"/>
        </w:rPr>
      </w:pPr>
      <w:r>
        <w:rPr>
          <w:color w:val="0070C0"/>
        </w:rPr>
        <w:drawing>
          <wp:inline distT="0" distB="0" distL="0" distR="0">
            <wp:extent cx="2754630" cy="2057400"/>
            <wp:effectExtent l="0" t="0" r="3810" b="0"/>
            <wp:docPr id="1246" name="图片 167" descr="]SNQYCTUE2SW50{EX$AR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图片 167" descr="]SNQYCTUE2SW50{EX$AR7]K"/>
                    <pic:cNvPicPr>
                      <a:picLocks noChangeAspect="1" noChangeArrowheads="1"/>
                    </pic:cNvPicPr>
                  </pic:nvPicPr>
                  <pic:blipFill>
                    <a:blip r:embed="rId106" cstate="print">
                      <a:extLst>
                        <a:ext uri="{28A0092B-C50C-407E-A947-70E740481C1C}">
                          <a14:useLocalDpi xmlns:a14="http://schemas.microsoft.com/office/drawing/2010/main" val="0"/>
                        </a:ext>
                      </a:extLst>
                    </a:blip>
                    <a:srcRect b="13508"/>
                    <a:stretch>
                      <a:fillRect/>
                    </a:stretch>
                  </pic:blipFill>
                  <pic:spPr>
                    <a:xfrm>
                      <a:off x="0" y="0"/>
                      <a:ext cx="2754630" cy="2057400"/>
                    </a:xfrm>
                    <a:prstGeom prst="rect">
                      <a:avLst/>
                    </a:prstGeom>
                    <a:noFill/>
                    <a:ln>
                      <a:noFill/>
                    </a:ln>
                  </pic:spPr>
                </pic:pic>
              </a:graphicData>
            </a:graphic>
          </wp:inline>
        </w:drawing>
      </w:r>
    </w:p>
    <w:p>
      <w:pPr>
        <w:pStyle w:val="112"/>
        <w:ind w:firstLine="480" w:firstLineChars="200"/>
        <w:jc w:val="both"/>
        <w:rPr>
          <w:rFonts w:hint="default"/>
          <w:color w:val="0070C0"/>
          <w:lang w:val="en-US"/>
        </w:rPr>
      </w:pPr>
      <w:r>
        <w:rPr>
          <w:rFonts w:hint="eastAsia"/>
          <w:lang w:val="en-US" w:eastAsia="zh-CN"/>
        </w:rPr>
        <w:t>本项目平均纵坡坡度为0.9%，即</w:t>
      </w:r>
      <w:r>
        <w:rPr>
          <w:rFonts w:hint="default" w:ascii="Times New Roman" w:hAnsi="Times New Roman" w:cs="Times New Roman"/>
          <w:lang w:val="en-US" w:eastAsia="zh-CN"/>
        </w:rPr>
        <w:t>β取值0.9%</w:t>
      </w:r>
      <w:r>
        <w:rPr>
          <w:rFonts w:hint="eastAsia" w:cs="Times New Roman"/>
          <w:lang w:val="en-US" w:eastAsia="zh-CN"/>
        </w:rPr>
        <w:t>，则不同车型纵坡修正量为：</w:t>
      </w:r>
    </w:p>
    <w:p>
      <w:pPr>
        <w:pStyle w:val="112"/>
        <w:ind w:firstLine="480" w:firstLineChars="200"/>
        <w:jc w:val="both"/>
        <w:rPr>
          <w:color w:val="0070C0"/>
        </w:rPr>
      </w:pPr>
      <w:r>
        <w:rPr>
          <w:rFonts w:hint="eastAsia"/>
          <w:color w:val="auto"/>
          <w:lang w:val="en-US" w:eastAsia="zh-CN"/>
        </w:rPr>
        <w:t>大型车</w:t>
      </w:r>
      <w:r>
        <w:rPr>
          <w:rFonts w:hint="eastAsia" w:ascii="宋体" w:hAnsi="宋体" w:eastAsia="宋体" w:cs="宋体"/>
          <w:color w:val="auto"/>
          <w:lang w:val="en-US" w:eastAsia="zh-CN"/>
        </w:rPr>
        <w:t>Δ</w:t>
      </w:r>
      <w:r>
        <w:rPr>
          <w:rFonts w:hint="eastAsia"/>
          <w:color w:val="auto"/>
          <w:lang w:val="en-US" w:eastAsia="zh-CN"/>
        </w:rPr>
        <w:t>L</w:t>
      </w:r>
      <w:r>
        <w:rPr>
          <w:rFonts w:hint="eastAsia"/>
          <w:color w:val="auto"/>
          <w:vertAlign w:val="subscript"/>
          <w:lang w:val="en-US" w:eastAsia="zh-CN"/>
        </w:rPr>
        <w:t>坡度</w:t>
      </w:r>
      <w:r>
        <w:rPr>
          <w:rFonts w:hint="eastAsia"/>
          <w:color w:val="auto"/>
          <w:lang w:val="en-US" w:eastAsia="zh-CN"/>
        </w:rPr>
        <w:t>=0.882dB(A)；中型车</w:t>
      </w:r>
      <w:r>
        <w:rPr>
          <w:rFonts w:hint="eastAsia" w:ascii="宋体" w:hAnsi="宋体" w:eastAsia="宋体" w:cs="宋体"/>
          <w:color w:val="auto"/>
          <w:lang w:val="en-US" w:eastAsia="zh-CN"/>
        </w:rPr>
        <w:t>Δ</w:t>
      </w:r>
      <w:r>
        <w:rPr>
          <w:rFonts w:hint="eastAsia"/>
          <w:color w:val="auto"/>
          <w:lang w:val="en-US" w:eastAsia="zh-CN"/>
        </w:rPr>
        <w:t>L</w:t>
      </w:r>
      <w:r>
        <w:rPr>
          <w:rFonts w:hint="eastAsia"/>
          <w:color w:val="auto"/>
          <w:vertAlign w:val="subscript"/>
          <w:lang w:val="en-US" w:eastAsia="zh-CN"/>
        </w:rPr>
        <w:t>坡度</w:t>
      </w:r>
      <w:r>
        <w:rPr>
          <w:rFonts w:hint="eastAsia"/>
          <w:color w:val="auto"/>
          <w:lang w:val="en-US" w:eastAsia="zh-CN"/>
        </w:rPr>
        <w:t>=0.657dB(A)；大型车</w:t>
      </w:r>
      <w:r>
        <w:rPr>
          <w:rFonts w:hint="eastAsia" w:ascii="宋体" w:hAnsi="宋体" w:eastAsia="宋体" w:cs="宋体"/>
          <w:color w:val="auto"/>
          <w:lang w:val="en-US" w:eastAsia="zh-CN"/>
        </w:rPr>
        <w:t>Δ</w:t>
      </w:r>
      <w:r>
        <w:rPr>
          <w:rFonts w:hint="eastAsia"/>
          <w:color w:val="auto"/>
          <w:lang w:val="en-US" w:eastAsia="zh-CN"/>
        </w:rPr>
        <w:t>L</w:t>
      </w:r>
      <w:r>
        <w:rPr>
          <w:rFonts w:hint="eastAsia"/>
          <w:color w:val="auto"/>
          <w:vertAlign w:val="subscript"/>
          <w:lang w:val="en-US" w:eastAsia="zh-CN"/>
        </w:rPr>
        <w:t>坡度</w:t>
      </w:r>
      <w:r>
        <w:rPr>
          <w:rFonts w:hint="eastAsia"/>
          <w:color w:val="auto"/>
          <w:lang w:val="en-US" w:eastAsia="zh-CN"/>
        </w:rPr>
        <w:t>=0.45dB(A)</w:t>
      </w:r>
    </w:p>
    <w:p>
      <w:pPr>
        <w:pStyle w:val="19"/>
        <w:ind w:firstLine="480" w:firstLineChars="200"/>
        <w:jc w:val="both"/>
        <w:rPr>
          <w:rFonts w:hint="default" w:eastAsia="宋体"/>
          <w:b w:val="0"/>
          <w:bCs/>
          <w:lang w:val="en-US" w:eastAsia="zh-CN"/>
        </w:rPr>
      </w:pPr>
      <w:r>
        <w:rPr>
          <w:rFonts w:hint="eastAsia"/>
          <w:b w:val="0"/>
          <w:bCs/>
          <w:lang w:val="en-US" w:eastAsia="zh-CN"/>
        </w:rPr>
        <w:t>不同路面修正量如下表所示：</w:t>
      </w:r>
    </w:p>
    <w:p>
      <w:pPr>
        <w:pStyle w:val="19"/>
        <w:rPr>
          <w:rFonts w:hint="eastAsia"/>
        </w:rPr>
      </w:pP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5</w:t>
      </w:r>
      <w:r>
        <w:fldChar w:fldCharType="end"/>
      </w:r>
      <w:r>
        <w:t xml:space="preserve">  </w:t>
      </w:r>
      <w:r>
        <w:rPr>
          <w:rFonts w:hint="eastAsia"/>
        </w:rPr>
        <w:t>不同路面类型修正量</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2321"/>
        <w:gridCol w:w="2322"/>
        <w:gridCol w:w="2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vMerge w:val="restart"/>
            <w:vAlign w:val="center"/>
          </w:tcPr>
          <w:p>
            <w:pPr>
              <w:pStyle w:val="1132"/>
            </w:pPr>
            <w:r>
              <w:t>路面类型</w:t>
            </w:r>
          </w:p>
        </w:tc>
        <w:tc>
          <w:tcPr>
            <w:tcW w:w="3750" w:type="pct"/>
            <w:gridSpan w:val="3"/>
            <w:vAlign w:val="center"/>
          </w:tcPr>
          <w:p>
            <w:pPr>
              <w:pStyle w:val="1132"/>
            </w:pPr>
            <w:r>
              <w:rPr>
                <w:rFonts w:hint="eastAsia"/>
              </w:rPr>
              <w:t>不同行驶速度修正量/（km/h）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vMerge w:val="continue"/>
            <w:vAlign w:val="center"/>
          </w:tcPr>
          <w:p>
            <w:pPr>
              <w:pStyle w:val="1132"/>
            </w:pPr>
          </w:p>
        </w:tc>
        <w:tc>
          <w:tcPr>
            <w:tcW w:w="1250" w:type="pct"/>
            <w:vAlign w:val="center"/>
          </w:tcPr>
          <w:p>
            <w:pPr>
              <w:pStyle w:val="1132"/>
            </w:pPr>
            <w:r>
              <w:rPr>
                <w:rFonts w:hint="eastAsia"/>
              </w:rPr>
              <w:t>3</w:t>
            </w:r>
            <w:r>
              <w:t>0</w:t>
            </w:r>
          </w:p>
        </w:tc>
        <w:tc>
          <w:tcPr>
            <w:tcW w:w="1250" w:type="pct"/>
          </w:tcPr>
          <w:p>
            <w:pPr>
              <w:pStyle w:val="1132"/>
            </w:pPr>
            <w:r>
              <w:rPr>
                <w:rFonts w:hint="eastAsia"/>
              </w:rPr>
              <w:t>4</w:t>
            </w:r>
            <w:r>
              <w:t>0</w:t>
            </w:r>
          </w:p>
        </w:tc>
        <w:tc>
          <w:tcPr>
            <w:tcW w:w="1250" w:type="pct"/>
          </w:tcPr>
          <w:p>
            <w:pPr>
              <w:pStyle w:val="1132"/>
            </w:pPr>
            <w:r>
              <w:rPr>
                <w:rFonts w:hint="eastAsia"/>
              </w:rPr>
              <w:t>≥</w:t>
            </w:r>
            <w: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vAlign w:val="center"/>
          </w:tcPr>
          <w:p>
            <w:pPr>
              <w:pStyle w:val="1132"/>
            </w:pPr>
            <w:r>
              <w:t>沥青混凝土</w:t>
            </w:r>
            <w:r>
              <w:rPr>
                <w:rFonts w:hint="eastAsia"/>
              </w:rPr>
              <w:t>d</w:t>
            </w:r>
            <w:r>
              <w:t>B</w:t>
            </w:r>
            <w:r>
              <w:rPr>
                <w:rFonts w:hint="eastAsia"/>
              </w:rPr>
              <w:t>（A）</w:t>
            </w:r>
          </w:p>
        </w:tc>
        <w:tc>
          <w:tcPr>
            <w:tcW w:w="1250" w:type="pct"/>
            <w:vAlign w:val="center"/>
          </w:tcPr>
          <w:p>
            <w:pPr>
              <w:pStyle w:val="1132"/>
            </w:pPr>
            <w:r>
              <w:t>0</w:t>
            </w:r>
          </w:p>
        </w:tc>
        <w:tc>
          <w:tcPr>
            <w:tcW w:w="1250" w:type="pct"/>
          </w:tcPr>
          <w:p>
            <w:pPr>
              <w:pStyle w:val="1132"/>
            </w:pPr>
            <w:r>
              <w:rPr>
                <w:rFonts w:hint="eastAsia"/>
              </w:rPr>
              <w:t>0</w:t>
            </w:r>
          </w:p>
        </w:tc>
        <w:tc>
          <w:tcPr>
            <w:tcW w:w="1250" w:type="pct"/>
          </w:tcPr>
          <w:p>
            <w:pPr>
              <w:pStyle w:val="1132"/>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vAlign w:val="center"/>
          </w:tcPr>
          <w:p>
            <w:pPr>
              <w:pStyle w:val="1132"/>
            </w:pPr>
            <w:r>
              <w:t>水泥混凝土</w:t>
            </w:r>
            <w:r>
              <w:rPr>
                <w:rFonts w:hint="eastAsia"/>
              </w:rPr>
              <w:t>d</w:t>
            </w:r>
            <w:r>
              <w:t>B</w:t>
            </w:r>
            <w:r>
              <w:rPr>
                <w:rFonts w:hint="eastAsia"/>
              </w:rPr>
              <w:t>（A）</w:t>
            </w:r>
          </w:p>
        </w:tc>
        <w:tc>
          <w:tcPr>
            <w:tcW w:w="1250" w:type="pct"/>
            <w:vAlign w:val="center"/>
          </w:tcPr>
          <w:p>
            <w:pPr>
              <w:pStyle w:val="1132"/>
            </w:pPr>
            <w:r>
              <w:rPr>
                <w:rFonts w:hint="eastAsia"/>
              </w:rPr>
              <w:t>1</w:t>
            </w:r>
            <w:r>
              <w:t>.0</w:t>
            </w:r>
          </w:p>
        </w:tc>
        <w:tc>
          <w:tcPr>
            <w:tcW w:w="1250" w:type="pct"/>
          </w:tcPr>
          <w:p>
            <w:pPr>
              <w:pStyle w:val="1132"/>
            </w:pPr>
            <w:r>
              <w:rPr>
                <w:rFonts w:hint="eastAsia"/>
              </w:rPr>
              <w:t>1</w:t>
            </w:r>
            <w:r>
              <w:t>.5</w:t>
            </w:r>
          </w:p>
        </w:tc>
        <w:tc>
          <w:tcPr>
            <w:tcW w:w="1250" w:type="pct"/>
          </w:tcPr>
          <w:p>
            <w:pPr>
              <w:pStyle w:val="1132"/>
            </w:pPr>
            <w:r>
              <w:rPr>
                <w:rFonts w:hint="eastAsia"/>
              </w:rPr>
              <w:t>2</w:t>
            </w:r>
            <w:r>
              <w:t>.0</w:t>
            </w:r>
          </w:p>
        </w:tc>
      </w:tr>
    </w:tbl>
    <w:p>
      <w:pPr>
        <w:pStyle w:val="112"/>
        <w:ind w:firstLine="480"/>
        <w:rPr>
          <w:sz w:val="28"/>
        </w:rPr>
      </w:pPr>
      <w:r>
        <w:t>（6）声波传播途径中引起的衰减量</w:t>
      </w:r>
      <w:r>
        <w:rPr>
          <w:rFonts w:ascii="Cambria Math" w:hAnsi="Cambria Math" w:cs="Cambria Math"/>
        </w:rPr>
        <w:t>△</w:t>
      </w:r>
      <w:r>
        <w:t>L</w:t>
      </w:r>
      <w:r>
        <w:rPr>
          <w:vertAlign w:val="subscript"/>
        </w:rPr>
        <w:t>2</w:t>
      </w:r>
    </w:p>
    <w:p>
      <w:pPr>
        <w:pStyle w:val="112"/>
        <w:ind w:firstLine="480"/>
      </w:pPr>
      <w:r>
        <w:rPr>
          <w:rFonts w:hint="eastAsia" w:ascii="宋体" w:hAnsi="宋体" w:cs="宋体"/>
        </w:rPr>
        <w:t>①</w:t>
      </w:r>
      <w:r>
        <w:t>地面吸收衰减量</w:t>
      </w:r>
      <w:r>
        <w:rPr>
          <w:i/>
        </w:rPr>
        <w:t>Agr</w:t>
      </w:r>
    </w:p>
    <w:p>
      <w:pPr>
        <w:pStyle w:val="112"/>
        <w:ind w:firstLine="480"/>
      </w:pPr>
      <w:r>
        <w:t>当声波越过疏松地面传播时，或大部分为疏松地面的混合地面，且在接受点仅计算A声级前提下，</w:t>
      </w:r>
      <w:r>
        <w:rPr>
          <w:i/>
        </w:rPr>
        <w:t>A</w:t>
      </w:r>
      <w:r>
        <w:rPr>
          <w:i/>
          <w:vertAlign w:val="subscript"/>
        </w:rPr>
        <w:t>gr</w:t>
      </w:r>
      <w:r>
        <w:t>可用下式计算:</w:t>
      </w:r>
    </w:p>
    <w:p>
      <w:pPr>
        <w:pStyle w:val="112"/>
        <w:ind w:firstLine="480"/>
      </w:pPr>
      <w:r>
        <w:t>A</w:t>
      </w:r>
      <w:r>
        <w:rPr>
          <w:vertAlign w:val="subscript"/>
        </w:rPr>
        <w:t>gr</w:t>
      </w:r>
      <w:r>
        <w:t>=4.8-（2hm/r）[17+（300/r）]</w:t>
      </w:r>
    </w:p>
    <w:p>
      <w:pPr>
        <w:pStyle w:val="112"/>
        <w:ind w:firstLine="480"/>
      </w:pPr>
      <w:r>
        <w:rPr>
          <w:i/>
        </w:rPr>
        <w:t>A</w:t>
      </w:r>
      <w:r>
        <w:rPr>
          <w:i/>
          <w:vertAlign w:val="subscript"/>
        </w:rPr>
        <w:t>gr</w:t>
      </w:r>
      <w:r>
        <w:t>——地面效应引起的衰减值，dB（A）</w:t>
      </w:r>
    </w:p>
    <w:p>
      <w:pPr>
        <w:pStyle w:val="112"/>
        <w:ind w:firstLine="480"/>
      </w:pPr>
      <w:r>
        <w:rPr>
          <w:i/>
        </w:rPr>
        <w:t>r</w:t>
      </w:r>
      <w:r>
        <w:t>——声源到接受点的距离，</w:t>
      </w:r>
      <w:r>
        <w:rPr>
          <w:i/>
        </w:rPr>
        <w:t>m</w:t>
      </w:r>
    </w:p>
    <w:p>
      <w:pPr>
        <w:pStyle w:val="112"/>
        <w:ind w:firstLine="480"/>
      </w:pPr>
      <w:r>
        <w:rPr>
          <w:i/>
        </w:rPr>
        <w:t>hm</w:t>
      </w:r>
      <w:r>
        <w:t>——传播路径的平均离地高度，</w:t>
      </w:r>
      <w:r>
        <w:rPr>
          <w:i/>
        </w:rPr>
        <w:t>m</w:t>
      </w:r>
      <w:r>
        <w:t>；</w:t>
      </w:r>
    </w:p>
    <w:p>
      <w:pPr>
        <w:pStyle w:val="112"/>
        <w:ind w:firstLine="480"/>
      </w:pPr>
      <w:r>
        <w:rPr>
          <w:i/>
        </w:rPr>
        <w:t>hm</w:t>
      </w:r>
      <w:r>
        <w:t>=面积</w:t>
      </w:r>
      <w:r>
        <w:rPr>
          <w:i/>
        </w:rPr>
        <w:t>F/r</w:t>
      </w:r>
      <w:r>
        <w:t>，可近似等于（h+h</w:t>
      </w:r>
      <w:r>
        <w:rPr>
          <w:vertAlign w:val="subscript"/>
        </w:rPr>
        <w:t>1</w:t>
      </w:r>
      <w:r>
        <w:t>）/2；</w:t>
      </w:r>
    </w:p>
    <w:p>
      <w:pPr>
        <w:pStyle w:val="112"/>
        <w:ind w:firstLine="480"/>
      </w:pPr>
      <w:r>
        <w:t>按图5.1-2进行计算：</w:t>
      </w:r>
    </w:p>
    <w:p>
      <w:pPr>
        <w:pStyle w:val="112"/>
        <w:ind w:firstLine="480"/>
      </w:pPr>
      <w:r>
        <w:t>若</w:t>
      </w:r>
      <w:r>
        <w:rPr>
          <w:i/>
        </w:rPr>
        <w:t>A</w:t>
      </w:r>
      <w:r>
        <w:rPr>
          <w:i/>
          <w:vertAlign w:val="subscript"/>
        </w:rPr>
        <w:t>gr</w:t>
      </w:r>
      <w:r>
        <w:t>计算出负值，</w:t>
      </w:r>
      <w:r>
        <w:rPr>
          <w:i/>
        </w:rPr>
        <w:t>A</w:t>
      </w:r>
      <w:r>
        <w:rPr>
          <w:i/>
          <w:vertAlign w:val="subscript"/>
        </w:rPr>
        <w:t>gr</w:t>
      </w:r>
      <w:r>
        <w:t>可用“0”代替。</w:t>
      </w:r>
    </w:p>
    <w:p>
      <w:pPr>
        <w:pStyle w:val="112"/>
        <w:ind w:firstLine="480"/>
        <w:jc w:val="center"/>
        <w:rPr>
          <w:b/>
          <w:color w:val="0070C0"/>
        </w:rPr>
      </w:pPr>
      <w:r>
        <w:rPr>
          <w:color w:val="0070C0"/>
        </w:rPr>
        <w:drawing>
          <wp:inline distT="0" distB="0" distL="0" distR="0">
            <wp:extent cx="4785995" cy="2112645"/>
            <wp:effectExtent l="0" t="0" r="0" b="0"/>
            <wp:docPr id="1247"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图片 49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4785995" cy="2112645"/>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t xml:space="preserve">  估计平均高度hm的方法</w:t>
      </w:r>
    </w:p>
    <w:p>
      <w:pPr>
        <w:pStyle w:val="10"/>
        <w:ind w:firstLine="480"/>
      </w:pPr>
      <w:r>
        <w:t>涉及敏感点的A</w:t>
      </w:r>
      <w:r>
        <w:rPr>
          <w:vertAlign w:val="subscript"/>
        </w:rPr>
        <w:t>gr</w:t>
      </w:r>
      <w:r>
        <w:t>参数修正</w:t>
      </w:r>
    </w:p>
    <w:p>
      <w:pPr>
        <w:pStyle w:val="10"/>
        <w:ind w:firstLine="480"/>
      </w:pPr>
      <w:r>
        <w:t>声源点离路面h按1.0m，根据实际h</w:t>
      </w:r>
      <w:r>
        <w:rPr>
          <w:vertAlign w:val="subscript"/>
        </w:rPr>
        <w:t>1</w:t>
      </w:r>
      <w:r>
        <w:t>和r，并结合上述计算公式计算涉及疏松地面的敏感点地面效应衰减量（A</w:t>
      </w:r>
      <w:r>
        <w:rPr>
          <w:vertAlign w:val="subscript"/>
        </w:rPr>
        <w:t>gr</w:t>
      </w:r>
      <w:r>
        <w:t>）。</w:t>
      </w:r>
    </w:p>
    <w:p>
      <w:pPr>
        <w:pStyle w:val="10"/>
        <w:ind w:firstLine="480"/>
        <w:rPr>
          <w:bCs/>
        </w:rPr>
      </w:pPr>
      <w:r>
        <w:rPr>
          <w:rFonts w:hint="eastAsia" w:ascii="宋体" w:hAnsi="宋体" w:cs="宋体"/>
          <w:bCs/>
        </w:rPr>
        <w:t>②</w:t>
      </w:r>
      <w:r>
        <w:rPr>
          <w:bCs/>
        </w:rPr>
        <w:t>声影区引起的绕射声衰减量A</w:t>
      </w:r>
      <w:r>
        <w:rPr>
          <w:bCs/>
          <w:vertAlign w:val="subscript"/>
        </w:rPr>
        <w:t>bar</w:t>
      </w:r>
    </w:p>
    <w:p>
      <w:pPr>
        <w:pStyle w:val="10"/>
        <w:ind w:firstLine="480"/>
      </w:pPr>
      <w:r>
        <w:t>本项目声影区引起的绕射声衰减量Abar主要考虑声影区的影响。其声影区的衰减量取决于声程差δ的大小，当预测点位于声影区时，由图5.1-3计算δ，δ＝a+b-c。再由图5.1-4查出敏感点声影区引起的衰减量（A</w:t>
      </w:r>
      <w:r>
        <w:rPr>
          <w:vertAlign w:val="subscript"/>
        </w:rPr>
        <w:t>bar</w:t>
      </w:r>
      <w:r>
        <w:t>）</w:t>
      </w:r>
      <w:r>
        <w:rPr>
          <w:b/>
        </w:rPr>
        <w:t>。</w:t>
      </w:r>
    </w:p>
    <w:p>
      <w:pPr>
        <w:jc w:val="center"/>
      </w:pPr>
      <w:r>
        <w:drawing>
          <wp:inline distT="0" distB="0" distL="0" distR="0">
            <wp:extent cx="5168265" cy="2465705"/>
            <wp:effectExtent l="0" t="0" r="0" b="0"/>
            <wp:docPr id="1248" name="图片 170" descr="XJ6SVRAO5SIAHW_[$(4U7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70" descr="XJ6SVRAO5SIAHW_[$(4U7E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5168265" cy="2465705"/>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t xml:space="preserve">  声程差δ计算示意图</w:t>
      </w:r>
    </w:p>
    <w:p>
      <w:pPr>
        <w:jc w:val="center"/>
      </w:pPr>
      <w:r>
        <w:drawing>
          <wp:inline distT="0" distB="0" distL="0" distR="0">
            <wp:extent cx="5104130" cy="2922905"/>
            <wp:effectExtent l="0" t="0" r="0" b="0"/>
            <wp:docPr id="1249"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116"/>
                    <pic:cNvPicPr>
                      <a:picLocks noChangeAspect="1" noChangeArrowheads="1"/>
                    </pic:cNvPicPr>
                  </pic:nvPicPr>
                  <pic:blipFill>
                    <a:blip r:embed="rId109" cstate="print">
                      <a:lum contrast="10000"/>
                      <a:extLst>
                        <a:ext uri="{28A0092B-C50C-407E-A947-70E740481C1C}">
                          <a14:useLocalDpi xmlns:a14="http://schemas.microsoft.com/office/drawing/2010/main" val="0"/>
                        </a:ext>
                      </a:extLst>
                    </a:blip>
                    <a:srcRect/>
                    <a:stretch>
                      <a:fillRect/>
                    </a:stretch>
                  </pic:blipFill>
                  <pic:spPr>
                    <a:xfrm>
                      <a:off x="0" y="0"/>
                      <a:ext cx="5104130" cy="2922905"/>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r>
        <w:t xml:space="preserve">  声程差δ与Abar关系曲线（f＝500Hz）</w:t>
      </w:r>
    </w:p>
    <w:p>
      <w:pPr>
        <w:pStyle w:val="10"/>
        <w:ind w:firstLine="480"/>
      </w:pPr>
      <w:r>
        <w:rPr>
          <w:rFonts w:hint="eastAsia" w:ascii="宋体" w:hAnsi="宋体" w:cs="宋体"/>
        </w:rPr>
        <w:t>③</w:t>
      </w:r>
      <w:r>
        <w:t>Aatm、Amisc及</w:t>
      </w:r>
      <w:r>
        <w:rPr>
          <w:rFonts w:ascii="Cambria Math" w:hAnsi="Cambria Math" w:cs="Cambria Math"/>
        </w:rPr>
        <w:t>△</w:t>
      </w:r>
      <w:r>
        <w:t>L3取值</w:t>
      </w:r>
    </w:p>
    <w:p>
      <w:pPr>
        <w:pStyle w:val="10"/>
        <w:ind w:firstLine="480"/>
      </w:pPr>
      <w:r>
        <w:t>按照预防原则，大气吸收引起的衰减（A</w:t>
      </w:r>
      <w:r>
        <w:rPr>
          <w:vertAlign w:val="subscript"/>
        </w:rPr>
        <w:t>atm</w:t>
      </w:r>
      <w:r>
        <w:t>）、其他多方面原因引起的衰减（A</w:t>
      </w:r>
      <w:r>
        <w:rPr>
          <w:vertAlign w:val="subscript"/>
        </w:rPr>
        <w:t>misc</w:t>
      </w:r>
      <w:r>
        <w:t>）及由反射等引起的修正量（L</w:t>
      </w:r>
      <w:r>
        <w:rPr>
          <w:vertAlign w:val="subscript"/>
        </w:rPr>
        <w:t>3</w:t>
      </w:r>
      <w:r>
        <w:t>）可以不考虑，即在预测时A</w:t>
      </w:r>
      <w:r>
        <w:rPr>
          <w:vertAlign w:val="subscript"/>
        </w:rPr>
        <w:t>atm</w:t>
      </w:r>
      <w:r>
        <w:t>、A</w:t>
      </w:r>
      <w:r>
        <w:rPr>
          <w:vertAlign w:val="subscript"/>
        </w:rPr>
        <w:t>misc</w:t>
      </w:r>
      <w:r>
        <w:t>及</w:t>
      </w:r>
      <w:r>
        <w:rPr>
          <w:rFonts w:ascii="Cambria Math" w:hAnsi="Cambria Math" w:cs="Cambria Math"/>
        </w:rPr>
        <w:t>△</w:t>
      </w:r>
      <w:r>
        <w:t>L3取值均为0。</w:t>
      </w:r>
    </w:p>
    <w:p>
      <w:pPr>
        <w:pStyle w:val="10"/>
        <w:ind w:firstLine="480"/>
      </w:pPr>
      <w:r>
        <w:fldChar w:fldCharType="begin"/>
      </w:r>
      <w:r>
        <w:instrText xml:space="preserve"> = 4 \* GB3 </w:instrText>
      </w:r>
      <w:r>
        <w:fldChar w:fldCharType="separate"/>
      </w:r>
      <w:r>
        <w:rPr>
          <w:rFonts w:hint="eastAsia" w:ascii="宋体" w:hAnsi="宋体" w:cs="宋体"/>
        </w:rPr>
        <w:t>④</w:t>
      </w:r>
      <w:r>
        <w:fldChar w:fldCharType="end"/>
      </w:r>
      <w:r>
        <w:t>绿化林带噪声衰减计算</w:t>
      </w:r>
    </w:p>
    <w:p>
      <w:pPr>
        <w:pStyle w:val="10"/>
        <w:ind w:firstLine="480"/>
      </w:pPr>
      <w:r>
        <w:t>绿化林带的附加衰减与树种、林带结构和密度等因素有关。在声源附近的绿化林带，或在预测点附近的绿化林带，或两者均有的情况下都可以使声波衰减，如图5.1-5。</w:t>
      </w:r>
    </w:p>
    <w:p>
      <w:pPr>
        <w:pStyle w:val="1122"/>
        <w:spacing w:before="156"/>
        <w:ind w:firstLine="0" w:firstLineChars="0"/>
        <w:jc w:val="center"/>
        <w:rPr>
          <w:color w:val="0070C0"/>
        </w:rPr>
      </w:pPr>
      <w:r>
        <w:rPr>
          <w:color w:val="0070C0"/>
        </w:rPr>
        <w:drawing>
          <wp:inline distT="0" distB="0" distL="0" distR="0">
            <wp:extent cx="5173980" cy="1180465"/>
            <wp:effectExtent l="0" t="0" r="0" b="0"/>
            <wp:docPr id="1250" name="图片 147" descr="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图片 147" descr="333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173980" cy="1180465"/>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r>
        <w:t xml:space="preserve">  通过树和灌木时噪声衰减示意图</w:t>
      </w:r>
    </w:p>
    <w:p>
      <w:pPr>
        <w:pStyle w:val="10"/>
        <w:ind w:firstLine="480"/>
      </w:pPr>
      <w:r>
        <w:t>通过树叶传播噪声的噪声衰减随通过树叶传播距离df的增加而增加，其中df=d</w:t>
      </w:r>
      <w:r>
        <w:rPr>
          <w:vertAlign w:val="subscript"/>
        </w:rPr>
        <w:t>1</w:t>
      </w:r>
      <w:r>
        <w:t>+d</w:t>
      </w:r>
      <w:r>
        <w:rPr>
          <w:vertAlign w:val="subscript"/>
        </w:rPr>
        <w:t>2</w:t>
      </w:r>
      <w:r>
        <w:t>，为了计算d</w:t>
      </w:r>
      <w:r>
        <w:rPr>
          <w:vertAlign w:val="subscript"/>
        </w:rPr>
        <w:t>1</w:t>
      </w:r>
      <w:r>
        <w:t>和d</w:t>
      </w:r>
      <w:r>
        <w:rPr>
          <w:vertAlign w:val="subscript"/>
        </w:rPr>
        <w:t>2</w:t>
      </w:r>
      <w:r>
        <w:t>，可假设弯曲路径的半径为5km。</w:t>
      </w:r>
    </w:p>
    <w:p>
      <w:pPr>
        <w:pStyle w:val="10"/>
        <w:ind w:firstLine="480"/>
      </w:pPr>
      <w:r>
        <w:t>下表中的第一行给出通过总长度为10m到20m之间的密叶时，由密叶引起的衰减；第二行为通过总长度20m到200m之间密叶时的衰减系数；当通过密叶的路径长度大于200m时，可使用200m的衰减值。</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6</w:t>
      </w:r>
      <w:r>
        <w:fldChar w:fldCharType="end"/>
      </w:r>
      <w:r>
        <w:t xml:space="preserve">  倍频带噪声通过密叶传播时产生的衰减</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7"/>
        <w:gridCol w:w="1861"/>
        <w:gridCol w:w="663"/>
        <w:gridCol w:w="663"/>
        <w:gridCol w:w="663"/>
        <w:gridCol w:w="663"/>
        <w:gridCol w:w="722"/>
        <w:gridCol w:w="722"/>
        <w:gridCol w:w="722"/>
        <w:gridCol w:w="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6" w:type="pct"/>
            <w:vMerge w:val="restart"/>
            <w:vAlign w:val="center"/>
          </w:tcPr>
          <w:p>
            <w:pPr>
              <w:pStyle w:val="1132"/>
            </w:pPr>
            <w:r>
              <w:t>项目</w:t>
            </w:r>
          </w:p>
        </w:tc>
        <w:tc>
          <w:tcPr>
            <w:tcW w:w="1002" w:type="pct"/>
            <w:vMerge w:val="restart"/>
            <w:vAlign w:val="center"/>
          </w:tcPr>
          <w:p>
            <w:pPr>
              <w:pStyle w:val="1132"/>
            </w:pPr>
            <w:r>
              <w:t>传播距离（m）</w:t>
            </w:r>
          </w:p>
        </w:tc>
        <w:tc>
          <w:tcPr>
            <w:tcW w:w="2982" w:type="pct"/>
            <w:gridSpan w:val="8"/>
            <w:vAlign w:val="center"/>
          </w:tcPr>
          <w:p>
            <w:pPr>
              <w:pStyle w:val="1132"/>
            </w:pPr>
            <w:r>
              <w:t>倍频带中心频率（Hz）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6" w:type="pct"/>
            <w:vMerge w:val="continue"/>
            <w:vAlign w:val="center"/>
          </w:tcPr>
          <w:p>
            <w:pPr>
              <w:pStyle w:val="1132"/>
            </w:pPr>
          </w:p>
        </w:tc>
        <w:tc>
          <w:tcPr>
            <w:tcW w:w="1002" w:type="pct"/>
            <w:vMerge w:val="continue"/>
            <w:vAlign w:val="center"/>
          </w:tcPr>
          <w:p>
            <w:pPr>
              <w:pStyle w:val="1132"/>
            </w:pPr>
          </w:p>
        </w:tc>
        <w:tc>
          <w:tcPr>
            <w:tcW w:w="357" w:type="pct"/>
            <w:vAlign w:val="center"/>
          </w:tcPr>
          <w:p>
            <w:pPr>
              <w:pStyle w:val="1132"/>
            </w:pPr>
            <w:r>
              <w:t>63</w:t>
            </w:r>
          </w:p>
        </w:tc>
        <w:tc>
          <w:tcPr>
            <w:tcW w:w="357" w:type="pct"/>
            <w:vAlign w:val="center"/>
          </w:tcPr>
          <w:p>
            <w:pPr>
              <w:pStyle w:val="1132"/>
            </w:pPr>
            <w:r>
              <w:t>125</w:t>
            </w:r>
          </w:p>
        </w:tc>
        <w:tc>
          <w:tcPr>
            <w:tcW w:w="357" w:type="pct"/>
            <w:vAlign w:val="center"/>
          </w:tcPr>
          <w:p>
            <w:pPr>
              <w:pStyle w:val="1132"/>
            </w:pPr>
            <w:r>
              <w:t>250</w:t>
            </w:r>
          </w:p>
        </w:tc>
        <w:tc>
          <w:tcPr>
            <w:tcW w:w="357" w:type="pct"/>
            <w:vAlign w:val="center"/>
          </w:tcPr>
          <w:p>
            <w:pPr>
              <w:pStyle w:val="1132"/>
            </w:pPr>
            <w:r>
              <w:t>500</w:t>
            </w:r>
          </w:p>
        </w:tc>
        <w:tc>
          <w:tcPr>
            <w:tcW w:w="389" w:type="pct"/>
            <w:vAlign w:val="center"/>
          </w:tcPr>
          <w:p>
            <w:pPr>
              <w:pStyle w:val="1132"/>
            </w:pPr>
            <w:r>
              <w:t>1000</w:t>
            </w:r>
          </w:p>
        </w:tc>
        <w:tc>
          <w:tcPr>
            <w:tcW w:w="389" w:type="pct"/>
            <w:vAlign w:val="center"/>
          </w:tcPr>
          <w:p>
            <w:pPr>
              <w:pStyle w:val="1132"/>
            </w:pPr>
            <w:r>
              <w:t>2000</w:t>
            </w:r>
          </w:p>
        </w:tc>
        <w:tc>
          <w:tcPr>
            <w:tcW w:w="389" w:type="pct"/>
            <w:vAlign w:val="center"/>
          </w:tcPr>
          <w:p>
            <w:pPr>
              <w:pStyle w:val="1132"/>
            </w:pPr>
            <w:r>
              <w:t>4000</w:t>
            </w:r>
          </w:p>
        </w:tc>
        <w:tc>
          <w:tcPr>
            <w:tcW w:w="389" w:type="pct"/>
            <w:vAlign w:val="center"/>
          </w:tcPr>
          <w:p>
            <w:pPr>
              <w:pStyle w:val="1132"/>
            </w:pPr>
            <w: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6" w:type="pct"/>
            <w:vAlign w:val="center"/>
          </w:tcPr>
          <w:p>
            <w:pPr>
              <w:pStyle w:val="1132"/>
            </w:pPr>
            <w:r>
              <w:t>衰减（dB）</w:t>
            </w:r>
          </w:p>
        </w:tc>
        <w:tc>
          <w:tcPr>
            <w:tcW w:w="1002" w:type="pct"/>
            <w:vAlign w:val="center"/>
          </w:tcPr>
          <w:p>
            <w:pPr>
              <w:pStyle w:val="1132"/>
            </w:pPr>
            <w:r>
              <w:t>10≤df＜20</w:t>
            </w:r>
          </w:p>
        </w:tc>
        <w:tc>
          <w:tcPr>
            <w:tcW w:w="357" w:type="pct"/>
            <w:vAlign w:val="center"/>
          </w:tcPr>
          <w:p>
            <w:pPr>
              <w:pStyle w:val="1132"/>
            </w:pPr>
            <w:r>
              <w:t>0</w:t>
            </w:r>
          </w:p>
        </w:tc>
        <w:tc>
          <w:tcPr>
            <w:tcW w:w="357" w:type="pct"/>
            <w:vAlign w:val="center"/>
          </w:tcPr>
          <w:p>
            <w:pPr>
              <w:pStyle w:val="1132"/>
            </w:pPr>
            <w:r>
              <w:t>0</w:t>
            </w:r>
          </w:p>
        </w:tc>
        <w:tc>
          <w:tcPr>
            <w:tcW w:w="357" w:type="pct"/>
            <w:vAlign w:val="center"/>
          </w:tcPr>
          <w:p>
            <w:pPr>
              <w:pStyle w:val="1132"/>
            </w:pPr>
            <w:r>
              <w:t>1</w:t>
            </w:r>
          </w:p>
        </w:tc>
        <w:tc>
          <w:tcPr>
            <w:tcW w:w="357" w:type="pct"/>
            <w:vAlign w:val="center"/>
          </w:tcPr>
          <w:p>
            <w:pPr>
              <w:pStyle w:val="1132"/>
            </w:pPr>
            <w:r>
              <w:t>1</w:t>
            </w:r>
          </w:p>
        </w:tc>
        <w:tc>
          <w:tcPr>
            <w:tcW w:w="389" w:type="pct"/>
            <w:vAlign w:val="center"/>
          </w:tcPr>
          <w:p>
            <w:pPr>
              <w:pStyle w:val="1132"/>
            </w:pPr>
            <w:r>
              <w:t>1</w:t>
            </w:r>
          </w:p>
        </w:tc>
        <w:tc>
          <w:tcPr>
            <w:tcW w:w="389" w:type="pct"/>
            <w:vAlign w:val="center"/>
          </w:tcPr>
          <w:p>
            <w:pPr>
              <w:pStyle w:val="1132"/>
            </w:pPr>
            <w:r>
              <w:t>1</w:t>
            </w:r>
          </w:p>
        </w:tc>
        <w:tc>
          <w:tcPr>
            <w:tcW w:w="389" w:type="pct"/>
            <w:vAlign w:val="center"/>
          </w:tcPr>
          <w:p>
            <w:pPr>
              <w:pStyle w:val="1132"/>
            </w:pPr>
            <w:r>
              <w:t>2</w:t>
            </w:r>
          </w:p>
        </w:tc>
        <w:tc>
          <w:tcPr>
            <w:tcW w:w="389" w:type="pct"/>
            <w:vAlign w:val="center"/>
          </w:tcPr>
          <w:p>
            <w:pPr>
              <w:pStyle w:val="1132"/>
            </w:pPr>
            <w: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6" w:type="pct"/>
            <w:vAlign w:val="center"/>
          </w:tcPr>
          <w:p>
            <w:pPr>
              <w:pStyle w:val="1132"/>
            </w:pPr>
            <w:r>
              <w:t>衰减系数(dB/m)</w:t>
            </w:r>
          </w:p>
        </w:tc>
        <w:tc>
          <w:tcPr>
            <w:tcW w:w="1002" w:type="pct"/>
            <w:vAlign w:val="center"/>
          </w:tcPr>
          <w:p>
            <w:pPr>
              <w:pStyle w:val="1132"/>
            </w:pPr>
            <w:r>
              <w:t>20≤df＜200</w:t>
            </w:r>
          </w:p>
        </w:tc>
        <w:tc>
          <w:tcPr>
            <w:tcW w:w="357" w:type="pct"/>
            <w:vAlign w:val="center"/>
          </w:tcPr>
          <w:p>
            <w:pPr>
              <w:pStyle w:val="1132"/>
            </w:pPr>
            <w:r>
              <w:t>0.02</w:t>
            </w:r>
          </w:p>
        </w:tc>
        <w:tc>
          <w:tcPr>
            <w:tcW w:w="357" w:type="pct"/>
            <w:vAlign w:val="center"/>
          </w:tcPr>
          <w:p>
            <w:pPr>
              <w:pStyle w:val="1132"/>
            </w:pPr>
            <w:r>
              <w:t>0.03</w:t>
            </w:r>
          </w:p>
        </w:tc>
        <w:tc>
          <w:tcPr>
            <w:tcW w:w="357" w:type="pct"/>
            <w:vAlign w:val="center"/>
          </w:tcPr>
          <w:p>
            <w:pPr>
              <w:pStyle w:val="1132"/>
            </w:pPr>
            <w:r>
              <w:t>0.04</w:t>
            </w:r>
          </w:p>
        </w:tc>
        <w:tc>
          <w:tcPr>
            <w:tcW w:w="357" w:type="pct"/>
            <w:vAlign w:val="center"/>
          </w:tcPr>
          <w:p>
            <w:pPr>
              <w:pStyle w:val="1132"/>
            </w:pPr>
            <w:r>
              <w:t>0.05</w:t>
            </w:r>
          </w:p>
        </w:tc>
        <w:tc>
          <w:tcPr>
            <w:tcW w:w="389" w:type="pct"/>
            <w:vAlign w:val="center"/>
          </w:tcPr>
          <w:p>
            <w:pPr>
              <w:pStyle w:val="1132"/>
            </w:pPr>
            <w:r>
              <w:t>0.06</w:t>
            </w:r>
          </w:p>
        </w:tc>
        <w:tc>
          <w:tcPr>
            <w:tcW w:w="389" w:type="pct"/>
            <w:vAlign w:val="center"/>
          </w:tcPr>
          <w:p>
            <w:pPr>
              <w:pStyle w:val="1132"/>
            </w:pPr>
            <w:r>
              <w:t>0.08</w:t>
            </w:r>
          </w:p>
        </w:tc>
        <w:tc>
          <w:tcPr>
            <w:tcW w:w="389" w:type="pct"/>
            <w:vAlign w:val="center"/>
          </w:tcPr>
          <w:p>
            <w:pPr>
              <w:pStyle w:val="1132"/>
            </w:pPr>
            <w:r>
              <w:t>0.09</w:t>
            </w:r>
          </w:p>
        </w:tc>
        <w:tc>
          <w:tcPr>
            <w:tcW w:w="389" w:type="pct"/>
            <w:vAlign w:val="center"/>
          </w:tcPr>
          <w:p>
            <w:pPr>
              <w:pStyle w:val="1132"/>
            </w:pPr>
            <w:r>
              <w:t>0.12</w:t>
            </w:r>
          </w:p>
        </w:tc>
      </w:tr>
    </w:tbl>
    <w:p>
      <w:pPr>
        <w:pStyle w:val="10"/>
        <w:ind w:firstLine="480"/>
      </w:pPr>
      <w:r>
        <w:rPr>
          <w:rFonts w:hint="eastAsia" w:ascii="宋体" w:hAnsi="宋体" w:cs="宋体"/>
        </w:rPr>
        <w:t>⑤</w:t>
      </w:r>
      <w:r>
        <w:t>房屋附加衰减量估算值</w:t>
      </w:r>
    </w:p>
    <w:p>
      <w:pPr>
        <w:pStyle w:val="10"/>
        <w:ind w:firstLine="480"/>
      </w:pPr>
      <w:r>
        <w:t>房屋衰减量可参照GB/T17247.2附录A进行计算，在沿道路第一排房屋影声区范围内，近似计算可按下图和表取值。</w:t>
      </w:r>
    </w:p>
    <w:p>
      <w:pPr>
        <w:ind w:firstLine="480"/>
        <w:jc w:val="center"/>
        <w:rPr>
          <w:color w:val="0070C0"/>
        </w:rPr>
      </w:pPr>
      <w:r>
        <w:rPr>
          <w:color w:val="0070C0"/>
        </w:rPr>
        <w:drawing>
          <wp:inline distT="0" distB="0" distL="0" distR="0">
            <wp:extent cx="3923665" cy="1435100"/>
            <wp:effectExtent l="0" t="0" r="0" b="0"/>
            <wp:docPr id="1251" name="图片 88" descr="未标题-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88" descr="未标题-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3923665" cy="1435100"/>
                    </a:xfrm>
                    <a:prstGeom prst="rect">
                      <a:avLst/>
                    </a:prstGeom>
                    <a:noFill/>
                    <a:ln>
                      <a:noFill/>
                    </a:ln>
                  </pic:spPr>
                </pic:pic>
              </a:graphicData>
            </a:graphic>
          </wp:inline>
        </w:drawing>
      </w:r>
    </w:p>
    <w:p>
      <w:pPr>
        <w:pStyle w:val="19"/>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6</w:t>
      </w:r>
      <w:r>
        <w:fldChar w:fldCharType="end"/>
      </w:r>
      <w:r>
        <w:t xml:space="preserve">  房屋降噪量估算示意图</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7</w:t>
      </w:r>
      <w:r>
        <w:fldChar w:fldCharType="end"/>
      </w:r>
      <w:r>
        <w:t xml:space="preserve">  房屋噪声附加衰减量估算量</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50"/>
        <w:gridCol w:w="2885"/>
        <w:gridCol w:w="3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1803" w:type="pct"/>
            <w:vAlign w:val="center"/>
          </w:tcPr>
          <w:p>
            <w:pPr>
              <w:pStyle w:val="1132"/>
            </w:pPr>
            <w:r>
              <w:t>房屋状况</w:t>
            </w:r>
          </w:p>
        </w:tc>
        <w:tc>
          <w:tcPr>
            <w:tcW w:w="1553" w:type="pct"/>
            <w:vAlign w:val="center"/>
          </w:tcPr>
          <w:p>
            <w:pPr>
              <w:pStyle w:val="1132"/>
              <w:rPr>
                <w:vertAlign w:val="subscript"/>
              </w:rPr>
            </w:pPr>
            <w:r>
              <w:t>衰减量ΔL</w:t>
            </w:r>
            <w:r>
              <w:rPr>
                <w:vertAlign w:val="subscript"/>
              </w:rPr>
              <w:t>Bar</w:t>
            </w:r>
            <w:r>
              <w:t>dB（A）</w:t>
            </w:r>
          </w:p>
        </w:tc>
        <w:tc>
          <w:tcPr>
            <w:tcW w:w="1642" w:type="pct"/>
            <w:vAlign w:val="center"/>
          </w:tcPr>
          <w:p>
            <w:pPr>
              <w:pStyle w:val="1132"/>
            </w:pPr>
            <w: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803" w:type="pct"/>
            <w:vAlign w:val="center"/>
          </w:tcPr>
          <w:p>
            <w:pPr>
              <w:pStyle w:val="1132"/>
            </w:pPr>
            <w:r>
              <w:t>第一排房屋占地面积40～60%</w:t>
            </w:r>
          </w:p>
        </w:tc>
        <w:tc>
          <w:tcPr>
            <w:tcW w:w="1553" w:type="pct"/>
            <w:vAlign w:val="center"/>
          </w:tcPr>
          <w:p>
            <w:pPr>
              <w:pStyle w:val="1132"/>
            </w:pPr>
            <w:r>
              <w:t xml:space="preserve">3 </w:t>
            </w:r>
          </w:p>
        </w:tc>
        <w:tc>
          <w:tcPr>
            <w:tcW w:w="1642" w:type="pct"/>
            <w:vMerge w:val="restart"/>
            <w:vAlign w:val="center"/>
          </w:tcPr>
          <w:p>
            <w:pPr>
              <w:pStyle w:val="1132"/>
            </w:pPr>
            <w:r>
              <w:t>房屋占地面积按图5.1</w:t>
            </w:r>
            <w:r>
              <w:rPr>
                <w:rFonts w:hint="eastAsia"/>
              </w:rPr>
              <w:t>-</w:t>
            </w:r>
            <w:r>
              <w:t>6计算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83" w:hRule="atLeast"/>
          <w:jc w:val="center"/>
        </w:trPr>
        <w:tc>
          <w:tcPr>
            <w:tcW w:w="1803" w:type="pct"/>
            <w:vAlign w:val="center"/>
          </w:tcPr>
          <w:p>
            <w:pPr>
              <w:pStyle w:val="1132"/>
            </w:pPr>
            <w:r>
              <w:t>第一排房屋占地面积70～90%</w:t>
            </w:r>
          </w:p>
        </w:tc>
        <w:tc>
          <w:tcPr>
            <w:tcW w:w="1553" w:type="pct"/>
            <w:vAlign w:val="center"/>
          </w:tcPr>
          <w:p>
            <w:pPr>
              <w:pStyle w:val="1132"/>
            </w:pPr>
            <w:r>
              <w:t xml:space="preserve">5 </w:t>
            </w:r>
          </w:p>
        </w:tc>
        <w:tc>
          <w:tcPr>
            <w:tcW w:w="1642" w:type="pct"/>
            <w:vMerge w:val="continue"/>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803" w:type="pct"/>
            <w:vAlign w:val="center"/>
          </w:tcPr>
          <w:p>
            <w:pPr>
              <w:pStyle w:val="1132"/>
            </w:pPr>
            <w:r>
              <w:t>每增加一排房屋</w:t>
            </w:r>
          </w:p>
        </w:tc>
        <w:tc>
          <w:tcPr>
            <w:tcW w:w="1553" w:type="pct"/>
            <w:vAlign w:val="center"/>
          </w:tcPr>
          <w:p>
            <w:pPr>
              <w:pStyle w:val="1132"/>
            </w:pPr>
            <w:r>
              <w:t xml:space="preserve">1.5 最大衰减量≤10 </w:t>
            </w:r>
          </w:p>
        </w:tc>
        <w:tc>
          <w:tcPr>
            <w:tcW w:w="1642" w:type="pct"/>
            <w:vMerge w:val="continue"/>
            <w:vAlign w:val="center"/>
          </w:tcPr>
          <w:p>
            <w:pPr>
              <w:pStyle w:val="1132"/>
            </w:pPr>
          </w:p>
        </w:tc>
      </w:tr>
    </w:tbl>
    <w:p>
      <w:pPr>
        <w:ind w:firstLine="480"/>
        <w:rPr>
          <w:color w:val="0070C0"/>
        </w:rPr>
      </w:pPr>
    </w:p>
    <w:p>
      <w:pPr>
        <w:ind w:firstLine="480"/>
        <w:rPr>
          <w:color w:val="0070C0"/>
        </w:rPr>
      </w:pPr>
    </w:p>
    <w:p>
      <w:pPr>
        <w:ind w:firstLine="480"/>
        <w:rPr>
          <w:color w:val="0070C0"/>
        </w:rPr>
      </w:pPr>
    </w:p>
    <w:p>
      <w:pPr>
        <w:pStyle w:val="9"/>
        <w:rPr>
          <w:snapToGrid w:val="0"/>
        </w:rPr>
      </w:pPr>
      <w:bookmarkStart w:id="327" w:name="_Toc15243"/>
      <w:r>
        <w:rPr>
          <w:snapToGrid w:val="0"/>
        </w:rPr>
        <w:t>声环境预测值</w:t>
      </w:r>
      <w:bookmarkEnd w:id="327"/>
    </w:p>
    <w:p>
      <w:pPr>
        <w:pStyle w:val="112"/>
        <w:ind w:firstLine="480"/>
      </w:pPr>
      <w:r>
        <w:rPr>
          <w:rFonts w:hint="eastAsia"/>
        </w:rPr>
        <w:t>（1）</w:t>
      </w:r>
      <w:r>
        <w:t>预测内容</w:t>
      </w:r>
    </w:p>
    <w:p>
      <w:pPr>
        <w:pStyle w:val="112"/>
        <w:ind w:firstLine="480"/>
      </w:pPr>
      <w:r>
        <w:rPr>
          <w:rFonts w:hint="eastAsia"/>
          <w:lang w:val="en-US" w:eastAsia="zh-CN"/>
        </w:rPr>
        <w:t>1）</w:t>
      </w:r>
      <w:r>
        <w:t>根据预测模式以及实际情况确定的有关参数，对拟建道路选取典型路段，对两侧运营期2024年、2030年、2038年的交通噪声衰减情况进行预测，并绘制等声值线示意图。</w:t>
      </w:r>
    </w:p>
    <w:p>
      <w:pPr>
        <w:pStyle w:val="112"/>
        <w:ind w:firstLine="480"/>
      </w:pPr>
      <w:r>
        <w:rPr>
          <w:rFonts w:hint="eastAsia"/>
          <w:lang w:val="en-US" w:eastAsia="zh-CN"/>
        </w:rPr>
        <w:t>2）</w:t>
      </w:r>
      <w:r>
        <w:t>预测在不同时期（2024年、2030年、2038年）时项目车流产生的交通噪声对周边敏感目标的影响程度。预测中考虑建筑物等遮挡作用、地形因素的影响。</w:t>
      </w:r>
    </w:p>
    <w:p>
      <w:pPr>
        <w:pStyle w:val="112"/>
        <w:ind w:firstLine="480"/>
      </w:pPr>
      <w:r>
        <w:rPr>
          <w:rFonts w:hint="eastAsia"/>
        </w:rPr>
        <w:t>（2）</w:t>
      </w:r>
      <w:r>
        <w:t>预测结果</w:t>
      </w:r>
    </w:p>
    <w:p>
      <w:pPr>
        <w:pStyle w:val="112"/>
        <w:ind w:firstLine="480"/>
      </w:pPr>
      <w:r>
        <w:rPr>
          <w:rFonts w:hint="eastAsia"/>
          <w:lang w:val="en-US" w:eastAsia="zh-CN"/>
        </w:rPr>
        <w:t>1）</w:t>
      </w:r>
      <w:r>
        <w:t>道路两侧交通噪声分布预测结果及评价</w:t>
      </w:r>
    </w:p>
    <w:p>
      <w:pPr>
        <w:pStyle w:val="112"/>
        <w:ind w:firstLine="480"/>
        <w:jc w:val="left"/>
        <w:rPr>
          <w:rFonts w:hint="default" w:eastAsia="宋体"/>
          <w:lang w:val="en-US" w:eastAsia="zh-CN"/>
        </w:rPr>
      </w:pPr>
      <w:r>
        <w:rPr>
          <w:rFonts w:hint="eastAsia"/>
          <w:lang w:val="en-US" w:eastAsia="zh-CN"/>
        </w:rPr>
        <w:t>本项目源强调查清单见表5.1-8。</w:t>
      </w:r>
    </w:p>
    <w:p>
      <w:pPr>
        <w:pStyle w:val="112"/>
        <w:ind w:firstLine="480"/>
        <w:jc w:val="left"/>
        <w:sectPr>
          <w:pgSz w:w="11906" w:h="16838"/>
          <w:pgMar w:top="1418" w:right="1418" w:bottom="1418" w:left="1418" w:header="850" w:footer="992" w:gutter="0"/>
          <w:cols w:space="720" w:num="1"/>
          <w:docGrid w:linePitch="312" w:charSpace="0"/>
        </w:sectPr>
      </w:pPr>
      <w:r>
        <w:rPr>
          <w:rFonts w:hint="eastAsia"/>
        </w:rPr>
        <w:t>为</w:t>
      </w:r>
      <w:r>
        <w:t>确定道路沿线规划未建成区最小防护距离</w:t>
      </w:r>
      <w:r>
        <w:rPr>
          <w:rFonts w:hint="eastAsia"/>
        </w:rPr>
        <w:t>，项目</w:t>
      </w:r>
      <w:r>
        <w:t>道路两侧交通噪声分布预测结果及评价计算结果见表5.1-</w:t>
      </w:r>
      <w:r>
        <w:rPr>
          <w:rFonts w:hint="eastAsia"/>
          <w:lang w:val="en-US" w:eastAsia="zh-CN"/>
        </w:rPr>
        <w:t>9</w:t>
      </w:r>
      <w:r>
        <w:t>。</w:t>
      </w:r>
    </w:p>
    <w:p>
      <w:pPr>
        <w:pStyle w:val="112"/>
        <w:ind w:left="0" w:leftChars="0" w:firstLine="0" w:firstLineChars="0"/>
        <w:jc w:val="center"/>
        <w:rPr>
          <w:rFonts w:hint="eastAsia"/>
          <w:b/>
          <w:bCs/>
          <w:lang w:val="en-US" w:eastAsia="zh-CN"/>
        </w:rPr>
      </w:pPr>
      <w:r>
        <w:rPr>
          <w:rFonts w:hint="eastAsia"/>
          <w:b/>
          <w:bCs/>
          <w:lang w:val="en-US" w:eastAsia="zh-CN"/>
        </w:rPr>
        <w:t>表5.1-8 道路噪声源强调查清单</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714"/>
        <w:gridCol w:w="642"/>
        <w:gridCol w:w="642"/>
        <w:gridCol w:w="642"/>
        <w:gridCol w:w="642"/>
        <w:gridCol w:w="642"/>
        <w:gridCol w:w="642"/>
        <w:gridCol w:w="642"/>
        <w:gridCol w:w="642"/>
        <w:gridCol w:w="642"/>
        <w:gridCol w:w="642"/>
        <w:gridCol w:w="642"/>
        <w:gridCol w:w="642"/>
        <w:gridCol w:w="642"/>
        <w:gridCol w:w="642"/>
        <w:gridCol w:w="642"/>
        <w:gridCol w:w="642"/>
        <w:gridCol w:w="642"/>
        <w:gridCol w:w="642"/>
        <w:gridCol w:w="642"/>
        <w:gridCol w:w="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9" w:type="dxa"/>
            <w:vMerge w:val="restart"/>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路段</w:t>
            </w:r>
          </w:p>
        </w:tc>
        <w:tc>
          <w:tcPr>
            <w:tcW w:w="714" w:type="dxa"/>
            <w:vMerge w:val="restart"/>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时期</w:t>
            </w:r>
          </w:p>
        </w:tc>
        <w:tc>
          <w:tcPr>
            <w:tcW w:w="5136" w:type="dxa"/>
            <w:gridSpan w:val="8"/>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车流量/（辆/h）</w:t>
            </w:r>
          </w:p>
        </w:tc>
        <w:tc>
          <w:tcPr>
            <w:tcW w:w="3852" w:type="dxa"/>
            <w:gridSpan w:val="6"/>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车速/（km/h）</w:t>
            </w:r>
          </w:p>
        </w:tc>
        <w:tc>
          <w:tcPr>
            <w:tcW w:w="3857" w:type="dxa"/>
            <w:gridSpan w:val="6"/>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源强/dB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9" w:type="dxa"/>
            <w:vMerge w:val="continue"/>
            <w:vAlign w:val="center"/>
          </w:tcPr>
          <w:p>
            <w:pPr>
              <w:pStyle w:val="112"/>
              <w:spacing w:line="240" w:lineRule="auto"/>
              <w:ind w:left="0" w:leftChars="0" w:firstLine="0" w:firstLineChars="0"/>
              <w:jc w:val="center"/>
              <w:rPr>
                <w:rFonts w:hint="eastAsia"/>
                <w:b w:val="0"/>
                <w:bCs w:val="0"/>
                <w:sz w:val="21"/>
                <w:szCs w:val="21"/>
                <w:vertAlign w:val="baseline"/>
                <w:lang w:val="en-US" w:eastAsia="zh-CN"/>
              </w:rPr>
            </w:pPr>
          </w:p>
        </w:tc>
        <w:tc>
          <w:tcPr>
            <w:tcW w:w="714" w:type="dxa"/>
            <w:vMerge w:val="continue"/>
            <w:vAlign w:val="center"/>
          </w:tcPr>
          <w:p>
            <w:pPr>
              <w:pStyle w:val="112"/>
              <w:spacing w:line="240" w:lineRule="auto"/>
              <w:ind w:left="0" w:leftChars="0" w:firstLine="0" w:firstLineChars="0"/>
              <w:jc w:val="center"/>
              <w:rPr>
                <w:rFonts w:hint="eastAsia"/>
                <w:b w:val="0"/>
                <w:bCs w:val="0"/>
                <w:sz w:val="21"/>
                <w:szCs w:val="21"/>
                <w:vertAlign w:val="baseline"/>
                <w:lang w:val="en-US" w:eastAsia="zh-CN"/>
              </w:rPr>
            </w:pPr>
          </w:p>
        </w:tc>
        <w:tc>
          <w:tcPr>
            <w:tcW w:w="1284" w:type="dxa"/>
            <w:gridSpan w:val="2"/>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小型车</w:t>
            </w:r>
          </w:p>
        </w:tc>
        <w:tc>
          <w:tcPr>
            <w:tcW w:w="1284" w:type="dxa"/>
            <w:gridSpan w:val="2"/>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中型车</w:t>
            </w:r>
          </w:p>
        </w:tc>
        <w:tc>
          <w:tcPr>
            <w:tcW w:w="1284" w:type="dxa"/>
            <w:gridSpan w:val="2"/>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大型车</w:t>
            </w:r>
          </w:p>
        </w:tc>
        <w:tc>
          <w:tcPr>
            <w:tcW w:w="1284" w:type="dxa"/>
            <w:gridSpan w:val="2"/>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合计</w:t>
            </w:r>
          </w:p>
        </w:tc>
        <w:tc>
          <w:tcPr>
            <w:tcW w:w="1284" w:type="dxa"/>
            <w:gridSpan w:val="2"/>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小型车</w:t>
            </w:r>
          </w:p>
        </w:tc>
        <w:tc>
          <w:tcPr>
            <w:tcW w:w="1284" w:type="dxa"/>
            <w:gridSpan w:val="2"/>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中型车</w:t>
            </w:r>
          </w:p>
        </w:tc>
        <w:tc>
          <w:tcPr>
            <w:tcW w:w="1284" w:type="dxa"/>
            <w:gridSpan w:val="2"/>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大型车</w:t>
            </w:r>
          </w:p>
        </w:tc>
        <w:tc>
          <w:tcPr>
            <w:tcW w:w="1284" w:type="dxa"/>
            <w:gridSpan w:val="2"/>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小型车</w:t>
            </w:r>
          </w:p>
        </w:tc>
        <w:tc>
          <w:tcPr>
            <w:tcW w:w="1284" w:type="dxa"/>
            <w:gridSpan w:val="2"/>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中型车</w:t>
            </w:r>
          </w:p>
        </w:tc>
        <w:tc>
          <w:tcPr>
            <w:tcW w:w="1289" w:type="dxa"/>
            <w:gridSpan w:val="2"/>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大型车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9" w:type="dxa"/>
            <w:vMerge w:val="continue"/>
            <w:vAlign w:val="center"/>
          </w:tcPr>
          <w:p>
            <w:pPr>
              <w:pStyle w:val="112"/>
              <w:spacing w:line="240" w:lineRule="auto"/>
              <w:ind w:left="0" w:leftChars="0" w:firstLine="0" w:firstLineChars="0"/>
              <w:jc w:val="center"/>
              <w:rPr>
                <w:rFonts w:hint="eastAsia"/>
                <w:b w:val="0"/>
                <w:bCs w:val="0"/>
                <w:sz w:val="21"/>
                <w:szCs w:val="21"/>
                <w:vertAlign w:val="baseline"/>
                <w:lang w:val="en-US" w:eastAsia="zh-CN"/>
              </w:rPr>
            </w:pPr>
          </w:p>
        </w:tc>
        <w:tc>
          <w:tcPr>
            <w:tcW w:w="714" w:type="dxa"/>
            <w:vMerge w:val="continue"/>
            <w:vAlign w:val="center"/>
          </w:tcPr>
          <w:p>
            <w:pPr>
              <w:pStyle w:val="112"/>
              <w:spacing w:line="240" w:lineRule="auto"/>
              <w:ind w:left="0" w:leftChars="0" w:firstLine="0" w:firstLineChars="0"/>
              <w:jc w:val="center"/>
              <w:rPr>
                <w:rFonts w:hint="eastAsia"/>
                <w:b w:val="0"/>
                <w:bCs w:val="0"/>
                <w:sz w:val="21"/>
                <w:szCs w:val="21"/>
                <w:vertAlign w:val="baseline"/>
                <w:lang w:val="en-US" w:eastAsia="zh-CN"/>
              </w:rPr>
            </w:pP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昼间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夜间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昼间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夜间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昼间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夜间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昼间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夜间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昼间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夜间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昼间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夜间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昼间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夜间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昼间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夜间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昼间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夜间</w:t>
            </w:r>
          </w:p>
        </w:tc>
        <w:tc>
          <w:tcPr>
            <w:tcW w:w="642"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昼间</w:t>
            </w:r>
          </w:p>
        </w:tc>
        <w:tc>
          <w:tcPr>
            <w:tcW w:w="647" w:type="dxa"/>
            <w:vAlign w:val="center"/>
          </w:tcPr>
          <w:p>
            <w:pPr>
              <w:pStyle w:val="112"/>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9" w:type="dxa"/>
            <w:vMerge w:val="restart"/>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全路段</w:t>
            </w:r>
          </w:p>
        </w:tc>
        <w:tc>
          <w:tcPr>
            <w:tcW w:w="71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近期</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428</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107</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642</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160</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978</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245</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581</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146</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60</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54</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60</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54</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60</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54</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74.4</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72.8</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80.8</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78.9</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86.6</w:t>
            </w:r>
          </w:p>
        </w:tc>
        <w:tc>
          <w:tcPr>
            <w:tcW w:w="647"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84.9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9" w:type="dxa"/>
            <w:vMerge w:val="continue"/>
            <w:vAlign w:val="center"/>
          </w:tcPr>
          <w:p>
            <w:pPr>
              <w:pStyle w:val="112"/>
              <w:spacing w:line="240" w:lineRule="auto"/>
              <w:ind w:left="0" w:leftChars="0" w:firstLine="0" w:firstLineChars="0"/>
              <w:jc w:val="center"/>
              <w:rPr>
                <w:rFonts w:hint="eastAsia"/>
                <w:sz w:val="21"/>
                <w:szCs w:val="21"/>
                <w:vertAlign w:val="baseline"/>
                <w:lang w:val="en-US" w:eastAsia="zh-CN"/>
              </w:rPr>
            </w:pPr>
          </w:p>
        </w:tc>
        <w:tc>
          <w:tcPr>
            <w:tcW w:w="71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中期</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119</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30</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179</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45</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270</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67</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869</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217</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60</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54</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60</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54</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60</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54</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74.4</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72.8</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80.8</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78.9</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86.6</w:t>
            </w:r>
          </w:p>
        </w:tc>
        <w:tc>
          <w:tcPr>
            <w:tcW w:w="647"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84.9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9" w:type="dxa"/>
            <w:vMerge w:val="continue"/>
            <w:vAlign w:val="center"/>
          </w:tcPr>
          <w:p>
            <w:pPr>
              <w:pStyle w:val="112"/>
              <w:spacing w:line="240" w:lineRule="auto"/>
              <w:ind w:left="0" w:leftChars="0" w:firstLine="0" w:firstLineChars="0"/>
              <w:jc w:val="center"/>
              <w:rPr>
                <w:rFonts w:hint="eastAsia"/>
                <w:sz w:val="21"/>
                <w:szCs w:val="21"/>
                <w:vertAlign w:val="baseline"/>
                <w:lang w:val="en-US" w:eastAsia="zh-CN"/>
              </w:rPr>
            </w:pPr>
          </w:p>
        </w:tc>
        <w:tc>
          <w:tcPr>
            <w:tcW w:w="71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远期</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34</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9</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48</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12</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64</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16</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1312</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328</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60</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54</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60</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54</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60</w:t>
            </w:r>
          </w:p>
        </w:tc>
        <w:tc>
          <w:tcPr>
            <w:tcW w:w="642" w:type="dxa"/>
            <w:vAlign w:val="center"/>
          </w:tcPr>
          <w:p>
            <w:pPr>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54</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74.4</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72.8</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80.8</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78.9</w:t>
            </w:r>
          </w:p>
        </w:tc>
        <w:tc>
          <w:tcPr>
            <w:tcW w:w="642"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86.6</w:t>
            </w:r>
          </w:p>
        </w:tc>
        <w:tc>
          <w:tcPr>
            <w:tcW w:w="647"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84.9</w:t>
            </w:r>
          </w:p>
        </w:tc>
      </w:tr>
    </w:tbl>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rPr>
          <w:rFonts w:hint="eastAsia"/>
          <w:lang w:val="en-US" w:eastAsia="zh-CN"/>
        </w:rPr>
        <w:t>9</w:t>
      </w:r>
      <w:r>
        <w:t xml:space="preserve">  交通噪声预测结果   </w:t>
      </w:r>
      <w:r>
        <w:rPr>
          <w:bCs/>
        </w:rPr>
        <w:t>单位：dB(A)</w:t>
      </w:r>
    </w:p>
    <w:tbl>
      <w:tblPr>
        <w:tblStyle w:val="4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636"/>
        <w:gridCol w:w="753"/>
        <w:gridCol w:w="644"/>
        <w:gridCol w:w="644"/>
        <w:gridCol w:w="644"/>
        <w:gridCol w:w="644"/>
        <w:gridCol w:w="644"/>
        <w:gridCol w:w="644"/>
        <w:gridCol w:w="644"/>
        <w:gridCol w:w="644"/>
        <w:gridCol w:w="644"/>
        <w:gridCol w:w="644"/>
        <w:gridCol w:w="644"/>
        <w:gridCol w:w="644"/>
        <w:gridCol w:w="644"/>
        <w:gridCol w:w="644"/>
        <w:gridCol w:w="644"/>
        <w:gridCol w:w="645"/>
        <w:gridCol w:w="645"/>
        <w:gridCol w:w="645"/>
        <w:gridCol w:w="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8" w:type="pct"/>
            <w:vMerge w:val="restart"/>
            <w:tcBorders>
              <w:right w:val="single" w:color="000000" w:sz="4" w:space="0"/>
            </w:tcBorders>
            <w:vAlign w:val="center"/>
          </w:tcPr>
          <w:p>
            <w:pPr>
              <w:pStyle w:val="1132"/>
            </w:pPr>
            <w:r>
              <w:t>路段</w:t>
            </w:r>
          </w:p>
        </w:tc>
        <w:tc>
          <w:tcPr>
            <w:tcW w:w="212" w:type="pct"/>
            <w:vMerge w:val="restart"/>
            <w:tcBorders>
              <w:left w:val="single" w:color="000000" w:sz="4" w:space="0"/>
            </w:tcBorders>
            <w:vAlign w:val="center"/>
          </w:tcPr>
          <w:p>
            <w:pPr>
              <w:pStyle w:val="1132"/>
            </w:pPr>
            <w:r>
              <w:t>年份</w:t>
            </w:r>
          </w:p>
        </w:tc>
        <w:tc>
          <w:tcPr>
            <w:tcW w:w="247" w:type="pct"/>
            <w:vMerge w:val="restart"/>
            <w:vAlign w:val="center"/>
          </w:tcPr>
          <w:p>
            <w:pPr>
              <w:pStyle w:val="1132"/>
            </w:pPr>
            <w:r>
              <w:t>预测值</w:t>
            </w:r>
          </w:p>
          <w:p>
            <w:pPr>
              <w:pStyle w:val="1132"/>
            </w:pPr>
            <w:r>
              <w:t>dB</w:t>
            </w:r>
            <w:r>
              <w:rPr>
                <w:rFonts w:hint="eastAsia"/>
              </w:rPr>
              <w:t>(</w:t>
            </w:r>
            <w:r>
              <w:t>A)</w:t>
            </w:r>
          </w:p>
        </w:tc>
        <w:tc>
          <w:tcPr>
            <w:tcW w:w="4351" w:type="pct"/>
            <w:gridSpan w:val="19"/>
            <w:vAlign w:val="center"/>
          </w:tcPr>
          <w:p>
            <w:pPr>
              <w:pStyle w:val="1132"/>
            </w:pPr>
            <w:r>
              <w:t>距地面道路中心线距离（m）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8" w:type="pct"/>
            <w:vMerge w:val="continue"/>
            <w:tcBorders>
              <w:right w:val="single" w:color="000000" w:sz="4" w:space="0"/>
            </w:tcBorders>
            <w:vAlign w:val="center"/>
          </w:tcPr>
          <w:p>
            <w:pPr>
              <w:pStyle w:val="1132"/>
            </w:pPr>
          </w:p>
        </w:tc>
        <w:tc>
          <w:tcPr>
            <w:tcW w:w="212" w:type="pct"/>
            <w:vMerge w:val="continue"/>
            <w:tcBorders>
              <w:left w:val="single" w:color="000000" w:sz="4" w:space="0"/>
            </w:tcBorders>
            <w:vAlign w:val="center"/>
          </w:tcPr>
          <w:p>
            <w:pPr>
              <w:pStyle w:val="1132"/>
            </w:pPr>
          </w:p>
        </w:tc>
        <w:tc>
          <w:tcPr>
            <w:tcW w:w="247" w:type="pct"/>
            <w:vMerge w:val="continue"/>
            <w:vAlign w:val="center"/>
          </w:tcPr>
          <w:p>
            <w:pPr>
              <w:pStyle w:val="1132"/>
            </w:pPr>
          </w:p>
        </w:tc>
        <w:tc>
          <w:tcPr>
            <w:tcW w:w="228" w:type="pct"/>
            <w:vAlign w:val="center"/>
          </w:tcPr>
          <w:p>
            <w:pPr>
              <w:pStyle w:val="1132"/>
            </w:pPr>
            <w:r>
              <w:t>20</w:t>
            </w:r>
          </w:p>
        </w:tc>
        <w:tc>
          <w:tcPr>
            <w:tcW w:w="228" w:type="pct"/>
            <w:vAlign w:val="center"/>
          </w:tcPr>
          <w:p>
            <w:pPr>
              <w:pStyle w:val="1132"/>
            </w:pPr>
            <w:r>
              <w:t>30</w:t>
            </w:r>
          </w:p>
        </w:tc>
        <w:tc>
          <w:tcPr>
            <w:tcW w:w="228" w:type="pct"/>
            <w:vAlign w:val="center"/>
          </w:tcPr>
          <w:p>
            <w:pPr>
              <w:pStyle w:val="1132"/>
            </w:pPr>
            <w:r>
              <w:t>40</w:t>
            </w:r>
          </w:p>
        </w:tc>
        <w:tc>
          <w:tcPr>
            <w:tcW w:w="228" w:type="pct"/>
            <w:vAlign w:val="center"/>
          </w:tcPr>
          <w:p>
            <w:pPr>
              <w:pStyle w:val="1132"/>
            </w:pPr>
            <w:r>
              <w:t>50</w:t>
            </w:r>
          </w:p>
        </w:tc>
        <w:tc>
          <w:tcPr>
            <w:tcW w:w="228" w:type="pct"/>
            <w:vAlign w:val="center"/>
          </w:tcPr>
          <w:p>
            <w:pPr>
              <w:pStyle w:val="1132"/>
            </w:pPr>
            <w:r>
              <w:t>60</w:t>
            </w:r>
          </w:p>
        </w:tc>
        <w:tc>
          <w:tcPr>
            <w:tcW w:w="228" w:type="pct"/>
            <w:vAlign w:val="center"/>
          </w:tcPr>
          <w:p>
            <w:pPr>
              <w:pStyle w:val="1132"/>
            </w:pPr>
            <w:r>
              <w:t>70</w:t>
            </w:r>
          </w:p>
        </w:tc>
        <w:tc>
          <w:tcPr>
            <w:tcW w:w="228" w:type="pct"/>
            <w:vAlign w:val="center"/>
          </w:tcPr>
          <w:p>
            <w:pPr>
              <w:pStyle w:val="1132"/>
            </w:pPr>
            <w:r>
              <w:t>80</w:t>
            </w:r>
          </w:p>
        </w:tc>
        <w:tc>
          <w:tcPr>
            <w:tcW w:w="228" w:type="pct"/>
            <w:vAlign w:val="center"/>
          </w:tcPr>
          <w:p>
            <w:pPr>
              <w:pStyle w:val="1132"/>
            </w:pPr>
            <w:r>
              <w:t>90</w:t>
            </w:r>
          </w:p>
        </w:tc>
        <w:tc>
          <w:tcPr>
            <w:tcW w:w="228" w:type="pct"/>
            <w:vAlign w:val="center"/>
          </w:tcPr>
          <w:p>
            <w:pPr>
              <w:pStyle w:val="1132"/>
            </w:pPr>
            <w:r>
              <w:t>100</w:t>
            </w:r>
          </w:p>
        </w:tc>
        <w:tc>
          <w:tcPr>
            <w:tcW w:w="228" w:type="pct"/>
            <w:vAlign w:val="center"/>
          </w:tcPr>
          <w:p>
            <w:pPr>
              <w:pStyle w:val="1132"/>
            </w:pPr>
            <w:r>
              <w:t>110</w:t>
            </w:r>
          </w:p>
        </w:tc>
        <w:tc>
          <w:tcPr>
            <w:tcW w:w="228" w:type="pct"/>
            <w:vAlign w:val="center"/>
          </w:tcPr>
          <w:p>
            <w:pPr>
              <w:pStyle w:val="1132"/>
            </w:pPr>
            <w:r>
              <w:t>120</w:t>
            </w:r>
          </w:p>
        </w:tc>
        <w:tc>
          <w:tcPr>
            <w:tcW w:w="228" w:type="pct"/>
            <w:vAlign w:val="center"/>
          </w:tcPr>
          <w:p>
            <w:pPr>
              <w:pStyle w:val="1132"/>
            </w:pPr>
            <w:r>
              <w:t>130</w:t>
            </w:r>
          </w:p>
        </w:tc>
        <w:tc>
          <w:tcPr>
            <w:tcW w:w="228" w:type="pct"/>
            <w:vAlign w:val="center"/>
          </w:tcPr>
          <w:p>
            <w:pPr>
              <w:pStyle w:val="1132"/>
            </w:pPr>
            <w:r>
              <w:t>140</w:t>
            </w:r>
          </w:p>
        </w:tc>
        <w:tc>
          <w:tcPr>
            <w:tcW w:w="228" w:type="pct"/>
            <w:vAlign w:val="center"/>
          </w:tcPr>
          <w:p>
            <w:pPr>
              <w:pStyle w:val="1132"/>
            </w:pPr>
            <w:r>
              <w:t>150</w:t>
            </w:r>
          </w:p>
        </w:tc>
        <w:tc>
          <w:tcPr>
            <w:tcW w:w="228" w:type="pct"/>
            <w:vAlign w:val="center"/>
          </w:tcPr>
          <w:p>
            <w:pPr>
              <w:pStyle w:val="1132"/>
            </w:pPr>
            <w:r>
              <w:t>160</w:t>
            </w:r>
          </w:p>
        </w:tc>
        <w:tc>
          <w:tcPr>
            <w:tcW w:w="228" w:type="pct"/>
            <w:vAlign w:val="center"/>
          </w:tcPr>
          <w:p>
            <w:pPr>
              <w:pStyle w:val="1132"/>
            </w:pPr>
            <w:r>
              <w:t>170</w:t>
            </w:r>
          </w:p>
        </w:tc>
        <w:tc>
          <w:tcPr>
            <w:tcW w:w="228" w:type="pct"/>
            <w:vAlign w:val="center"/>
          </w:tcPr>
          <w:p>
            <w:pPr>
              <w:pStyle w:val="1132"/>
            </w:pPr>
            <w:r>
              <w:t>180</w:t>
            </w:r>
          </w:p>
        </w:tc>
        <w:tc>
          <w:tcPr>
            <w:tcW w:w="228" w:type="pct"/>
            <w:vAlign w:val="center"/>
          </w:tcPr>
          <w:p>
            <w:pPr>
              <w:pStyle w:val="1132"/>
            </w:pPr>
            <w:r>
              <w:t>190</w:t>
            </w:r>
          </w:p>
        </w:tc>
        <w:tc>
          <w:tcPr>
            <w:tcW w:w="236" w:type="pct"/>
            <w:vAlign w:val="center"/>
          </w:tcPr>
          <w:p>
            <w:pPr>
              <w:pStyle w:val="1132"/>
            </w:pPr>
            <w: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8" w:type="pct"/>
            <w:vMerge w:val="restart"/>
            <w:tcBorders>
              <w:right w:val="single" w:color="000000" w:sz="4" w:space="0"/>
            </w:tcBorders>
            <w:vAlign w:val="center"/>
          </w:tcPr>
          <w:p>
            <w:pPr>
              <w:pStyle w:val="1132"/>
            </w:pPr>
            <w:r>
              <w:rPr>
                <w:rFonts w:hint="eastAsia"/>
              </w:rPr>
              <w:t>全路段</w:t>
            </w:r>
          </w:p>
        </w:tc>
        <w:tc>
          <w:tcPr>
            <w:tcW w:w="212" w:type="pct"/>
            <w:vMerge w:val="restart"/>
            <w:tcBorders>
              <w:left w:val="single" w:color="000000" w:sz="4" w:space="0"/>
            </w:tcBorders>
            <w:vAlign w:val="center"/>
          </w:tcPr>
          <w:p>
            <w:pPr>
              <w:pStyle w:val="1132"/>
            </w:pPr>
            <w:r>
              <w:t>2024年</w:t>
            </w:r>
          </w:p>
        </w:tc>
        <w:tc>
          <w:tcPr>
            <w:tcW w:w="247" w:type="pct"/>
            <w:vAlign w:val="center"/>
          </w:tcPr>
          <w:p>
            <w:pPr>
              <w:pStyle w:val="1132"/>
            </w:pPr>
            <w:r>
              <w:t>昼间</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54.6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52.4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50.7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49.4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48.4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47.5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46.8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46.0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45.4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44.9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44.4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44.0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43.6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43.3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42.9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42.6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42.3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42.0 </w:t>
            </w:r>
          </w:p>
        </w:tc>
        <w:tc>
          <w:tcPr>
            <w:tcW w:w="700"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41.8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8" w:type="pct"/>
            <w:vMerge w:val="continue"/>
            <w:tcBorders>
              <w:right w:val="single" w:color="000000" w:sz="4" w:space="0"/>
            </w:tcBorders>
            <w:vAlign w:val="center"/>
          </w:tcPr>
          <w:p>
            <w:pPr>
              <w:pStyle w:val="1132"/>
            </w:pPr>
          </w:p>
        </w:tc>
        <w:tc>
          <w:tcPr>
            <w:tcW w:w="212" w:type="pct"/>
            <w:vMerge w:val="continue"/>
            <w:tcBorders>
              <w:left w:val="single" w:color="000000" w:sz="4" w:space="0"/>
            </w:tcBorders>
            <w:vAlign w:val="center"/>
          </w:tcPr>
          <w:p>
            <w:pPr>
              <w:pStyle w:val="1132"/>
            </w:pPr>
          </w:p>
        </w:tc>
        <w:tc>
          <w:tcPr>
            <w:tcW w:w="247" w:type="pct"/>
            <w:vAlign w:val="center"/>
          </w:tcPr>
          <w:p>
            <w:pPr>
              <w:pStyle w:val="1132"/>
            </w:pPr>
            <w:r>
              <w:t>夜间</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48.9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46.9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44.9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43.4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42.1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41.1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40.2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39.4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38.8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38.1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37.5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37.0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36.5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36.1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35.7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35.3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34.9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34.5 </w:t>
            </w:r>
          </w:p>
        </w:tc>
        <w:tc>
          <w:tcPr>
            <w:tcW w:w="700"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8" w:type="pct"/>
            <w:vMerge w:val="continue"/>
            <w:tcBorders>
              <w:right w:val="single" w:color="000000" w:sz="4" w:space="0"/>
            </w:tcBorders>
            <w:vAlign w:val="center"/>
          </w:tcPr>
          <w:p>
            <w:pPr>
              <w:pStyle w:val="1132"/>
            </w:pPr>
          </w:p>
        </w:tc>
        <w:tc>
          <w:tcPr>
            <w:tcW w:w="212" w:type="pct"/>
            <w:vMerge w:val="restart"/>
            <w:tcBorders>
              <w:left w:val="single" w:color="000000" w:sz="4" w:space="0"/>
            </w:tcBorders>
            <w:vAlign w:val="center"/>
          </w:tcPr>
          <w:p>
            <w:pPr>
              <w:pStyle w:val="1132"/>
            </w:pPr>
            <w:r>
              <w:t>2030年</w:t>
            </w:r>
          </w:p>
        </w:tc>
        <w:tc>
          <w:tcPr>
            <w:tcW w:w="247" w:type="pct"/>
            <w:vAlign w:val="center"/>
          </w:tcPr>
          <w:p>
            <w:pPr>
              <w:pStyle w:val="1132"/>
            </w:pPr>
            <w:r>
              <w:t>昼间</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56.1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53.9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52.2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50.9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49.9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49.0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48.3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47.6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47.1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46.6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46.1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45.7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45.3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44.9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44.6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44.3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44.0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43.7 </w:t>
            </w:r>
          </w:p>
        </w:tc>
        <w:tc>
          <w:tcPr>
            <w:tcW w:w="700"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43.4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8" w:type="pct"/>
            <w:vMerge w:val="continue"/>
            <w:tcBorders>
              <w:right w:val="single" w:color="000000" w:sz="4" w:space="0"/>
            </w:tcBorders>
            <w:vAlign w:val="center"/>
          </w:tcPr>
          <w:p>
            <w:pPr>
              <w:pStyle w:val="1132"/>
            </w:pPr>
          </w:p>
        </w:tc>
        <w:tc>
          <w:tcPr>
            <w:tcW w:w="212" w:type="pct"/>
            <w:vMerge w:val="continue"/>
            <w:tcBorders>
              <w:left w:val="single" w:color="000000" w:sz="4" w:space="0"/>
            </w:tcBorders>
            <w:vAlign w:val="center"/>
          </w:tcPr>
          <w:p>
            <w:pPr>
              <w:pStyle w:val="1132"/>
            </w:pPr>
          </w:p>
        </w:tc>
        <w:tc>
          <w:tcPr>
            <w:tcW w:w="247" w:type="pct"/>
            <w:vAlign w:val="center"/>
          </w:tcPr>
          <w:p>
            <w:pPr>
              <w:pStyle w:val="1132"/>
            </w:pPr>
            <w:r>
              <w:t>夜间</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51.1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48.5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46.5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45.0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43.8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42.8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41.9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41.1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40.4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39.8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39.2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38.7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38.2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37.7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37.3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36.9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36.5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36.2 </w:t>
            </w:r>
          </w:p>
        </w:tc>
        <w:tc>
          <w:tcPr>
            <w:tcW w:w="700"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35.8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8" w:type="pct"/>
            <w:vMerge w:val="continue"/>
            <w:tcBorders>
              <w:right w:val="single" w:color="000000" w:sz="4" w:space="0"/>
            </w:tcBorders>
            <w:vAlign w:val="center"/>
          </w:tcPr>
          <w:p>
            <w:pPr>
              <w:pStyle w:val="1132"/>
            </w:pPr>
          </w:p>
        </w:tc>
        <w:tc>
          <w:tcPr>
            <w:tcW w:w="212" w:type="pct"/>
            <w:vMerge w:val="restart"/>
            <w:tcBorders>
              <w:left w:val="single" w:color="000000" w:sz="4" w:space="0"/>
            </w:tcBorders>
            <w:vAlign w:val="center"/>
          </w:tcPr>
          <w:p>
            <w:pPr>
              <w:pStyle w:val="1132"/>
            </w:pPr>
            <w:r>
              <w:t>2038年</w:t>
            </w:r>
          </w:p>
        </w:tc>
        <w:tc>
          <w:tcPr>
            <w:tcW w:w="247" w:type="pct"/>
            <w:vAlign w:val="center"/>
          </w:tcPr>
          <w:p>
            <w:pPr>
              <w:pStyle w:val="1132"/>
            </w:pPr>
            <w:r>
              <w:t>昼间</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57.8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55.6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53.9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52.6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51.6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50.7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50.0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49.4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48.8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48.3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47.8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47.4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47.0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46.7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46.4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46.0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45.7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45.5 </w:t>
            </w:r>
          </w:p>
        </w:tc>
        <w:tc>
          <w:tcPr>
            <w:tcW w:w="700"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45.2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8" w:type="pct"/>
            <w:vMerge w:val="continue"/>
            <w:tcBorders>
              <w:right w:val="single" w:color="000000" w:sz="4" w:space="0"/>
            </w:tcBorders>
            <w:vAlign w:val="center"/>
          </w:tcPr>
          <w:p>
            <w:pPr>
              <w:pStyle w:val="1132"/>
            </w:pPr>
          </w:p>
        </w:tc>
        <w:tc>
          <w:tcPr>
            <w:tcW w:w="212" w:type="pct"/>
            <w:vMerge w:val="continue"/>
            <w:tcBorders>
              <w:left w:val="single" w:color="000000" w:sz="4" w:space="0"/>
            </w:tcBorders>
            <w:vAlign w:val="center"/>
          </w:tcPr>
          <w:p>
            <w:pPr>
              <w:pStyle w:val="1132"/>
            </w:pPr>
          </w:p>
        </w:tc>
        <w:tc>
          <w:tcPr>
            <w:tcW w:w="247" w:type="pct"/>
            <w:vAlign w:val="center"/>
          </w:tcPr>
          <w:p>
            <w:pPr>
              <w:pStyle w:val="1132"/>
            </w:pPr>
            <w:r>
              <w:t>夜间</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52.7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50.1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48.2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46.6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45.4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44.4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43.5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42.7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42.0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41.4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40.8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40.3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39.8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39.3 </w:t>
            </w:r>
          </w:p>
        </w:tc>
        <w:tc>
          <w:tcPr>
            <w:tcW w:w="644"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38.9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38.5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38.2 </w:t>
            </w:r>
          </w:p>
        </w:tc>
        <w:tc>
          <w:tcPr>
            <w:tcW w:w="645"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37.8 </w:t>
            </w:r>
          </w:p>
        </w:tc>
        <w:tc>
          <w:tcPr>
            <w:tcW w:w="700" w:type="dxa"/>
            <w:vAlign w:val="center"/>
          </w:tcPr>
          <w:p>
            <w:pPr>
              <w:pStyle w:val="112"/>
              <w:spacing w:line="240" w:lineRule="auto"/>
              <w:ind w:left="0" w:leftChars="0" w:firstLine="0" w:firstLineChars="0"/>
              <w:jc w:val="center"/>
              <w:rPr>
                <w:rFonts w:hint="default"/>
                <w:sz w:val="21"/>
                <w:szCs w:val="21"/>
                <w:vertAlign w:val="baseline"/>
                <w:lang w:val="en-US" w:eastAsia="zh-CN"/>
              </w:rPr>
            </w:pPr>
            <w:r>
              <w:rPr>
                <w:rFonts w:hint="default"/>
                <w:sz w:val="21"/>
                <w:szCs w:val="21"/>
                <w:vertAlign w:val="baseline"/>
                <w:lang w:val="en-US" w:eastAsia="zh-CN"/>
              </w:rPr>
              <w:t xml:space="preserve">37.5 </w:t>
            </w:r>
          </w:p>
        </w:tc>
      </w:tr>
    </w:tbl>
    <w:p>
      <w:pPr>
        <w:pStyle w:val="112"/>
        <w:ind w:left="0" w:leftChars="0" w:firstLine="0" w:firstLineChars="0"/>
        <w:jc w:val="left"/>
        <w:rPr>
          <w:rFonts w:hint="default"/>
          <w:lang w:val="en-US" w:eastAsia="zh-CN"/>
        </w:rPr>
        <w:sectPr>
          <w:pgSz w:w="16838" w:h="11906" w:orient="landscape"/>
          <w:pgMar w:top="1418" w:right="1418" w:bottom="1418" w:left="1418" w:header="850" w:footer="992" w:gutter="0"/>
          <w:cols w:space="720" w:num="1"/>
          <w:docGrid w:linePitch="312" w:charSpace="0"/>
        </w:sectPr>
      </w:pPr>
    </w:p>
    <w:p>
      <w:pPr>
        <w:pStyle w:val="10"/>
        <w:ind w:firstLine="480"/>
      </w:pPr>
      <w:r>
        <w:t>从上表可看出：随着运营期的增长，车流量的增大，交通噪声声级值也随之增强；另一方面，随着距道路边界线距离的增加，交通噪声的影响逐渐减小。</w:t>
      </w:r>
    </w:p>
    <w:p>
      <w:pPr>
        <w:pStyle w:val="10"/>
        <w:ind w:firstLine="480"/>
      </w:pPr>
      <w:r>
        <w:t>根据《声环境质量标准》（GB3096-2008），评价道路运营期边界线35m以内的区域执行4a类标准、边界线35m以外的区域执行2类标准。拟建道路两侧执行不同标准交通噪声达标距离见</w:t>
      </w:r>
      <w:r>
        <w:rPr>
          <w:rFonts w:hint="eastAsia"/>
        </w:rPr>
        <w:t>下</w:t>
      </w:r>
      <w:r>
        <w:t>表</w:t>
      </w:r>
      <w:r>
        <w:rPr>
          <w:rFonts w:hint="eastAsia"/>
        </w:rPr>
        <w:t>。</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9</w:t>
      </w:r>
      <w:r>
        <w:fldChar w:fldCharType="end"/>
      </w:r>
      <w:r>
        <w:t xml:space="preserve">  拟建道路预测达标距离一览表       单位：m</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8"/>
        <w:gridCol w:w="579"/>
        <w:gridCol w:w="1213"/>
        <w:gridCol w:w="786"/>
        <w:gridCol w:w="1151"/>
        <w:gridCol w:w="1151"/>
        <w:gridCol w:w="1153"/>
        <w:gridCol w:w="1151"/>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pct"/>
            <w:vMerge w:val="restart"/>
            <w:vAlign w:val="center"/>
          </w:tcPr>
          <w:p>
            <w:pPr>
              <w:pStyle w:val="1132"/>
            </w:pPr>
            <w:r>
              <w:t>路段</w:t>
            </w:r>
          </w:p>
        </w:tc>
        <w:tc>
          <w:tcPr>
            <w:tcW w:w="965" w:type="pct"/>
            <w:gridSpan w:val="2"/>
            <w:vMerge w:val="restart"/>
            <w:vAlign w:val="center"/>
          </w:tcPr>
          <w:p>
            <w:pPr>
              <w:pStyle w:val="1132"/>
            </w:pPr>
            <w:r>
              <w:t>项目</w:t>
            </w:r>
          </w:p>
        </w:tc>
        <w:tc>
          <w:tcPr>
            <w:tcW w:w="1043" w:type="pct"/>
            <w:gridSpan w:val="2"/>
            <w:vAlign w:val="center"/>
          </w:tcPr>
          <w:p>
            <w:pPr>
              <w:pStyle w:val="1132"/>
              <w:rPr>
                <w:kern w:val="0"/>
              </w:rPr>
            </w:pPr>
            <w:r>
              <w:rPr>
                <w:kern w:val="0"/>
              </w:rPr>
              <w:t>2024年</w:t>
            </w:r>
          </w:p>
        </w:tc>
        <w:tc>
          <w:tcPr>
            <w:tcW w:w="1241" w:type="pct"/>
            <w:gridSpan w:val="2"/>
            <w:vAlign w:val="center"/>
          </w:tcPr>
          <w:p>
            <w:pPr>
              <w:pStyle w:val="1132"/>
              <w:rPr>
                <w:kern w:val="0"/>
              </w:rPr>
            </w:pPr>
            <w:r>
              <w:rPr>
                <w:kern w:val="0"/>
              </w:rPr>
              <w:t>20</w:t>
            </w:r>
            <w:r>
              <w:rPr>
                <w:rFonts w:hint="eastAsia"/>
                <w:kern w:val="0"/>
              </w:rPr>
              <w:t>3</w:t>
            </w:r>
            <w:r>
              <w:rPr>
                <w:kern w:val="0"/>
              </w:rPr>
              <w:t>0年</w:t>
            </w:r>
          </w:p>
        </w:tc>
        <w:tc>
          <w:tcPr>
            <w:tcW w:w="1231" w:type="pct"/>
            <w:gridSpan w:val="2"/>
            <w:vAlign w:val="center"/>
          </w:tcPr>
          <w:p>
            <w:pPr>
              <w:pStyle w:val="1132"/>
              <w:rPr>
                <w:kern w:val="0"/>
              </w:rPr>
            </w:pPr>
            <w:r>
              <w:rPr>
                <w:kern w:val="0"/>
              </w:rPr>
              <w:t>2038年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pct"/>
            <w:vMerge w:val="continue"/>
            <w:vAlign w:val="center"/>
          </w:tcPr>
          <w:p>
            <w:pPr>
              <w:pStyle w:val="1132"/>
            </w:pPr>
          </w:p>
        </w:tc>
        <w:tc>
          <w:tcPr>
            <w:tcW w:w="965" w:type="pct"/>
            <w:gridSpan w:val="2"/>
            <w:vMerge w:val="continue"/>
            <w:vAlign w:val="center"/>
          </w:tcPr>
          <w:p>
            <w:pPr>
              <w:pStyle w:val="1132"/>
            </w:pPr>
          </w:p>
        </w:tc>
        <w:tc>
          <w:tcPr>
            <w:tcW w:w="423" w:type="pct"/>
            <w:vAlign w:val="center"/>
          </w:tcPr>
          <w:p>
            <w:pPr>
              <w:pStyle w:val="1132"/>
            </w:pPr>
            <w:r>
              <w:t>昼间</w:t>
            </w:r>
          </w:p>
        </w:tc>
        <w:tc>
          <w:tcPr>
            <w:tcW w:w="620" w:type="pct"/>
            <w:vAlign w:val="center"/>
          </w:tcPr>
          <w:p>
            <w:pPr>
              <w:pStyle w:val="1132"/>
            </w:pPr>
            <w:r>
              <w:t>夜间</w:t>
            </w:r>
          </w:p>
        </w:tc>
        <w:tc>
          <w:tcPr>
            <w:tcW w:w="620" w:type="pct"/>
            <w:vAlign w:val="center"/>
          </w:tcPr>
          <w:p>
            <w:pPr>
              <w:pStyle w:val="1132"/>
            </w:pPr>
            <w:r>
              <w:t>昼间</w:t>
            </w:r>
          </w:p>
        </w:tc>
        <w:tc>
          <w:tcPr>
            <w:tcW w:w="621" w:type="pct"/>
            <w:vAlign w:val="center"/>
          </w:tcPr>
          <w:p>
            <w:pPr>
              <w:pStyle w:val="1132"/>
            </w:pPr>
            <w:r>
              <w:t>夜间</w:t>
            </w:r>
          </w:p>
        </w:tc>
        <w:tc>
          <w:tcPr>
            <w:tcW w:w="620" w:type="pct"/>
            <w:vAlign w:val="center"/>
          </w:tcPr>
          <w:p>
            <w:pPr>
              <w:pStyle w:val="1132"/>
            </w:pPr>
            <w:r>
              <w:t>昼间</w:t>
            </w:r>
          </w:p>
        </w:tc>
        <w:tc>
          <w:tcPr>
            <w:tcW w:w="611" w:type="pct"/>
            <w:vAlign w:val="center"/>
          </w:tcPr>
          <w:p>
            <w:pPr>
              <w:pStyle w:val="1132"/>
            </w:pPr>
            <w: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pct"/>
            <w:vMerge w:val="restart"/>
            <w:vAlign w:val="center"/>
          </w:tcPr>
          <w:p>
            <w:pPr>
              <w:pStyle w:val="1132"/>
            </w:pPr>
            <w:r>
              <w:rPr>
                <w:rFonts w:hint="eastAsia"/>
              </w:rPr>
              <w:t>全路段</w:t>
            </w:r>
          </w:p>
        </w:tc>
        <w:tc>
          <w:tcPr>
            <w:tcW w:w="312" w:type="pct"/>
            <w:vMerge w:val="restart"/>
            <w:vAlign w:val="center"/>
          </w:tcPr>
          <w:p>
            <w:pPr>
              <w:pStyle w:val="1132"/>
            </w:pPr>
            <w:r>
              <w:t>两侧</w:t>
            </w:r>
          </w:p>
        </w:tc>
        <w:tc>
          <w:tcPr>
            <w:tcW w:w="653" w:type="pct"/>
            <w:vAlign w:val="center"/>
          </w:tcPr>
          <w:p>
            <w:pPr>
              <w:pStyle w:val="1132"/>
            </w:pPr>
            <w:r>
              <w:t>4a类标准</w:t>
            </w:r>
          </w:p>
        </w:tc>
        <w:tc>
          <w:tcPr>
            <w:tcW w:w="423" w:type="pct"/>
            <w:vAlign w:val="center"/>
          </w:tcPr>
          <w:p>
            <w:pPr>
              <w:pStyle w:val="1132"/>
              <w:rPr>
                <w:rFonts w:hint="default" w:eastAsia="宋体"/>
                <w:lang w:val="en-US" w:eastAsia="zh-CN"/>
              </w:rPr>
            </w:pPr>
            <w:r>
              <w:rPr>
                <w:rFonts w:hint="eastAsia"/>
                <w:lang w:val="en-US" w:eastAsia="zh-CN"/>
              </w:rPr>
              <w:t>0.5</w:t>
            </w:r>
          </w:p>
        </w:tc>
        <w:tc>
          <w:tcPr>
            <w:tcW w:w="620" w:type="pct"/>
            <w:vAlign w:val="center"/>
          </w:tcPr>
          <w:p>
            <w:pPr>
              <w:pStyle w:val="1132"/>
              <w:rPr>
                <w:rFonts w:hint="eastAsia" w:eastAsia="宋体"/>
                <w:lang w:eastAsia="zh-CN"/>
              </w:rPr>
            </w:pPr>
            <w:r>
              <w:rPr>
                <w:rFonts w:hint="eastAsia"/>
                <w:lang w:val="en-US" w:eastAsia="zh-CN"/>
              </w:rPr>
              <w:t>9</w:t>
            </w:r>
          </w:p>
        </w:tc>
        <w:tc>
          <w:tcPr>
            <w:tcW w:w="620" w:type="pct"/>
            <w:vAlign w:val="center"/>
          </w:tcPr>
          <w:p>
            <w:pPr>
              <w:pStyle w:val="1132"/>
              <w:rPr>
                <w:rFonts w:hint="default" w:eastAsia="宋体"/>
                <w:lang w:val="en-US" w:eastAsia="zh-CN"/>
              </w:rPr>
            </w:pPr>
            <w:r>
              <w:rPr>
                <w:rFonts w:hint="eastAsia"/>
                <w:lang w:val="en-US" w:eastAsia="zh-CN"/>
              </w:rPr>
              <w:t>0.9</w:t>
            </w:r>
          </w:p>
        </w:tc>
        <w:tc>
          <w:tcPr>
            <w:tcW w:w="621" w:type="pct"/>
            <w:vAlign w:val="center"/>
          </w:tcPr>
          <w:p>
            <w:pPr>
              <w:pStyle w:val="1132"/>
              <w:rPr>
                <w:rFonts w:hint="default" w:eastAsia="宋体"/>
                <w:lang w:val="en-US" w:eastAsia="zh-CN"/>
              </w:rPr>
            </w:pPr>
            <w:r>
              <w:rPr>
                <w:rFonts w:hint="eastAsia"/>
                <w:lang w:val="en-US" w:eastAsia="zh-CN"/>
              </w:rPr>
              <w:t>12</w:t>
            </w:r>
          </w:p>
        </w:tc>
        <w:tc>
          <w:tcPr>
            <w:tcW w:w="620" w:type="pct"/>
            <w:vAlign w:val="center"/>
          </w:tcPr>
          <w:p>
            <w:pPr>
              <w:pStyle w:val="1132"/>
              <w:rPr>
                <w:rFonts w:hint="eastAsia" w:eastAsia="宋体"/>
                <w:lang w:val="en-US" w:eastAsia="zh-CN"/>
              </w:rPr>
            </w:pPr>
            <w:r>
              <w:rPr>
                <w:rFonts w:hint="eastAsia"/>
                <w:lang w:val="en-US" w:eastAsia="zh-CN"/>
              </w:rPr>
              <w:t>2</w:t>
            </w:r>
          </w:p>
        </w:tc>
        <w:tc>
          <w:tcPr>
            <w:tcW w:w="611" w:type="pct"/>
            <w:vAlign w:val="center"/>
          </w:tcPr>
          <w:p>
            <w:pPr>
              <w:pStyle w:val="1132"/>
              <w:rPr>
                <w:rFonts w:hint="default" w:eastAsia="宋体"/>
                <w:lang w:val="en-US" w:eastAsia="zh-CN"/>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21" w:type="pct"/>
            <w:vMerge w:val="continue"/>
            <w:vAlign w:val="center"/>
          </w:tcPr>
          <w:p>
            <w:pPr>
              <w:pStyle w:val="1132"/>
            </w:pPr>
          </w:p>
        </w:tc>
        <w:tc>
          <w:tcPr>
            <w:tcW w:w="312" w:type="pct"/>
            <w:vMerge w:val="continue"/>
            <w:vAlign w:val="center"/>
          </w:tcPr>
          <w:p>
            <w:pPr>
              <w:pStyle w:val="1132"/>
            </w:pPr>
          </w:p>
        </w:tc>
        <w:tc>
          <w:tcPr>
            <w:tcW w:w="653" w:type="pct"/>
            <w:vAlign w:val="center"/>
          </w:tcPr>
          <w:p>
            <w:pPr>
              <w:pStyle w:val="1132"/>
            </w:pPr>
            <w:r>
              <w:t>2类标准</w:t>
            </w:r>
          </w:p>
        </w:tc>
        <w:tc>
          <w:tcPr>
            <w:tcW w:w="423" w:type="pct"/>
            <w:vAlign w:val="center"/>
          </w:tcPr>
          <w:p>
            <w:pPr>
              <w:pStyle w:val="1132"/>
              <w:rPr>
                <w:rFonts w:hint="eastAsia" w:eastAsia="宋体"/>
                <w:lang w:eastAsia="zh-CN"/>
              </w:rPr>
            </w:pPr>
            <w:r>
              <w:rPr>
                <w:rFonts w:hint="eastAsia"/>
                <w:lang w:val="en-US" w:eastAsia="zh-CN"/>
              </w:rPr>
              <w:t>8</w:t>
            </w:r>
          </w:p>
        </w:tc>
        <w:tc>
          <w:tcPr>
            <w:tcW w:w="620" w:type="pct"/>
            <w:vAlign w:val="center"/>
          </w:tcPr>
          <w:p>
            <w:pPr>
              <w:pStyle w:val="1132"/>
              <w:rPr>
                <w:rFonts w:hint="default" w:eastAsia="宋体"/>
                <w:lang w:val="en-US" w:eastAsia="zh-CN"/>
              </w:rPr>
            </w:pPr>
            <w:r>
              <w:rPr>
                <w:rFonts w:hint="eastAsia"/>
                <w:lang w:val="en-US" w:eastAsia="zh-CN"/>
              </w:rPr>
              <w:t>19</w:t>
            </w:r>
          </w:p>
        </w:tc>
        <w:tc>
          <w:tcPr>
            <w:tcW w:w="620" w:type="pct"/>
            <w:vAlign w:val="center"/>
          </w:tcPr>
          <w:p>
            <w:pPr>
              <w:pStyle w:val="1132"/>
              <w:rPr>
                <w:rFonts w:hint="eastAsia" w:eastAsia="宋体"/>
                <w:lang w:eastAsia="zh-CN"/>
              </w:rPr>
            </w:pPr>
            <w:r>
              <w:rPr>
                <w:rFonts w:hint="eastAsia"/>
              </w:rPr>
              <w:t>1</w:t>
            </w:r>
            <w:r>
              <w:rPr>
                <w:rFonts w:hint="eastAsia"/>
                <w:lang w:val="en-US" w:eastAsia="zh-CN"/>
              </w:rPr>
              <w:t>1</w:t>
            </w:r>
          </w:p>
        </w:tc>
        <w:tc>
          <w:tcPr>
            <w:tcW w:w="621" w:type="pct"/>
            <w:vAlign w:val="center"/>
          </w:tcPr>
          <w:p>
            <w:pPr>
              <w:pStyle w:val="1132"/>
              <w:rPr>
                <w:rFonts w:hint="default" w:eastAsia="宋体"/>
                <w:lang w:val="en-US" w:eastAsia="zh-CN"/>
              </w:rPr>
            </w:pPr>
            <w:r>
              <w:rPr>
                <w:rFonts w:hint="eastAsia"/>
                <w:lang w:val="en-US" w:eastAsia="zh-CN"/>
              </w:rPr>
              <w:t>24</w:t>
            </w:r>
          </w:p>
        </w:tc>
        <w:tc>
          <w:tcPr>
            <w:tcW w:w="620" w:type="pct"/>
            <w:vAlign w:val="center"/>
          </w:tcPr>
          <w:p>
            <w:pPr>
              <w:pStyle w:val="1132"/>
              <w:rPr>
                <w:rFonts w:hint="default" w:eastAsia="宋体"/>
                <w:lang w:val="en-US" w:eastAsia="zh-CN"/>
              </w:rPr>
            </w:pPr>
            <w:r>
              <w:rPr>
                <w:rFonts w:hint="eastAsia"/>
                <w:lang w:val="en-US" w:eastAsia="zh-CN"/>
              </w:rPr>
              <w:t>14</w:t>
            </w:r>
          </w:p>
        </w:tc>
        <w:tc>
          <w:tcPr>
            <w:tcW w:w="611" w:type="pct"/>
            <w:vAlign w:val="center"/>
          </w:tcPr>
          <w:p>
            <w:pPr>
              <w:pStyle w:val="1132"/>
              <w:rPr>
                <w:rFonts w:hint="default" w:eastAsia="宋体"/>
                <w:lang w:val="en-US" w:eastAsia="zh-CN"/>
              </w:rPr>
            </w:pPr>
            <w:r>
              <w:rPr>
                <w:rFonts w:hint="eastAsia"/>
                <w:lang w:val="en-US" w:eastAsia="zh-CN"/>
              </w:rPr>
              <w:t>31</w:t>
            </w:r>
          </w:p>
        </w:tc>
      </w:tr>
    </w:tbl>
    <w:p>
      <w:pPr>
        <w:pStyle w:val="10"/>
        <w:ind w:firstLine="480"/>
      </w:pPr>
      <w:r>
        <w:t>根据《环境影响评价技术导则—声环境》（HJ2.4-2021）</w:t>
      </w:r>
      <w:r>
        <w:rPr>
          <w:rFonts w:hint="eastAsia"/>
        </w:rPr>
        <w:t>8</w:t>
      </w:r>
      <w:r>
        <w:t>.6.2</w:t>
      </w:r>
      <w:r>
        <w:rPr>
          <w:rFonts w:hint="eastAsia"/>
        </w:rPr>
        <w:t>判定为一级评价的地面交通建设项目应结合现有或规划保护目标给出典型路段的噪声贡献值等声级线图</w:t>
      </w:r>
      <w:r>
        <w:t>，因此选取本项目所涉及的路段绘制等声级线图。</w:t>
      </w:r>
    </w:p>
    <w:p>
      <w:pPr>
        <w:pStyle w:val="10"/>
        <w:ind w:firstLine="480"/>
        <w:rPr>
          <w:rFonts w:hint="default" w:eastAsia="宋体"/>
          <w:lang w:val="en-US" w:eastAsia="zh-CN"/>
        </w:rPr>
      </w:pPr>
      <w:r>
        <w:t>但实际情况中，考虑到地形、建筑物遮挡、植被吸收甚至空气衰减等各种因素，实际的噪声达标距离要小于上述理论值。</w:t>
      </w:r>
      <w:r>
        <w:rPr>
          <w:rFonts w:hint="eastAsia"/>
          <w:lang w:val="en-US" w:eastAsia="zh-CN"/>
        </w:rPr>
        <w:t xml:space="preserve">  </w:t>
      </w:r>
    </w:p>
    <w:p>
      <w:pPr>
        <w:pStyle w:val="10"/>
        <w:ind w:firstLine="480"/>
      </w:pPr>
      <w:r>
        <w:t>上述噪声防护距离内的土地，可视具体情况进行绿化或建设非噪声敏感类型的建筑物，如门面房、企事业单位生产、办公用房、商业用房等对声环境不敏感的建筑，不宜新建居民楼、医院、学校、敬老院等敏感场所。在未采取噪声防治措施情况下，上述路段对应2类功能区达标距离以内范围不宜新建学校、医院、敬老院和居民居住点等敏感建筑物。同时应加强道路沿线的合理规划和建筑布局，建议规划管理部门合理规划道路两侧区域，尽量避免在噪声达标距离内规划集中居民区、医院和学校等敏感点。</w:t>
      </w:r>
    </w:p>
    <w:p>
      <w:pPr>
        <w:pStyle w:val="10"/>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5029835" cy="2364740"/>
            <wp:effectExtent l="0" t="0" r="0" b="0"/>
            <wp:docPr id="55" name="图片 55" descr="2024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024d(1)"/>
                    <pic:cNvPicPr>
                      <a:picLocks noChangeAspect="1"/>
                    </pic:cNvPicPr>
                  </pic:nvPicPr>
                  <pic:blipFill>
                    <a:blip r:embed="rId112"/>
                    <a:srcRect r="16229" b="15530"/>
                    <a:stretch>
                      <a:fillRect/>
                    </a:stretch>
                  </pic:blipFill>
                  <pic:spPr>
                    <a:xfrm>
                      <a:off x="0" y="0"/>
                      <a:ext cx="5029835" cy="2364740"/>
                    </a:xfrm>
                    <a:prstGeom prst="rect">
                      <a:avLst/>
                    </a:prstGeom>
                  </pic:spPr>
                </pic:pic>
              </a:graphicData>
            </a:graphic>
          </wp:inline>
        </w:drawing>
      </w:r>
    </w:p>
    <w:p>
      <w:pPr>
        <w:pStyle w:val="10"/>
        <w:ind w:left="0" w:leftChars="0" w:firstLine="0" w:firstLineChars="0"/>
        <w:jc w:val="center"/>
        <w:rPr>
          <w:rFonts w:hint="default" w:eastAsia="宋体"/>
          <w:b/>
          <w:bCs/>
          <w:lang w:val="en-US" w:eastAsia="zh-CN"/>
        </w:rPr>
      </w:pPr>
      <w:r>
        <w:rPr>
          <w:rFonts w:hint="eastAsia"/>
          <w:b/>
          <w:bCs/>
          <w:lang w:val="en-US" w:eastAsia="zh-CN"/>
        </w:rPr>
        <w:t>图5.1-7 2024年昼间噪声等值线图</w:t>
      </w:r>
    </w:p>
    <w:p>
      <w:pPr>
        <w:pStyle w:val="10"/>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4974590" cy="2322195"/>
            <wp:effectExtent l="0" t="0" r="0" b="0"/>
            <wp:docPr id="48" name="图片 48" descr="2024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024n"/>
                    <pic:cNvPicPr>
                      <a:picLocks noChangeAspect="1"/>
                    </pic:cNvPicPr>
                  </pic:nvPicPr>
                  <pic:blipFill>
                    <a:blip r:embed="rId113"/>
                    <a:srcRect r="16737" b="16596"/>
                    <a:stretch>
                      <a:fillRect/>
                    </a:stretch>
                  </pic:blipFill>
                  <pic:spPr>
                    <a:xfrm>
                      <a:off x="0" y="0"/>
                      <a:ext cx="4974590" cy="2322195"/>
                    </a:xfrm>
                    <a:prstGeom prst="rect">
                      <a:avLst/>
                    </a:prstGeom>
                  </pic:spPr>
                </pic:pic>
              </a:graphicData>
            </a:graphic>
          </wp:inline>
        </w:drawing>
      </w:r>
    </w:p>
    <w:p>
      <w:pPr>
        <w:pStyle w:val="10"/>
        <w:ind w:left="0" w:leftChars="0" w:firstLine="0" w:firstLineChars="0"/>
        <w:jc w:val="center"/>
        <w:rPr>
          <w:rFonts w:hint="eastAsia"/>
          <w:b/>
          <w:bCs/>
          <w:lang w:val="en-US" w:eastAsia="zh-CN"/>
        </w:rPr>
      </w:pPr>
      <w:r>
        <w:rPr>
          <w:rFonts w:hint="eastAsia"/>
          <w:b/>
          <w:bCs/>
          <w:lang w:val="en-US" w:eastAsia="zh-CN"/>
        </w:rPr>
        <w:t>图5.1-8 2024年夜间噪声等值线图</w:t>
      </w:r>
    </w:p>
    <w:p>
      <w:pPr>
        <w:pStyle w:val="10"/>
        <w:ind w:left="0" w:leftChars="0" w:firstLine="0" w:firstLineChars="0"/>
        <w:jc w:val="center"/>
        <w:rPr>
          <w:rFonts w:hint="default"/>
          <w:b/>
          <w:bCs/>
          <w:lang w:val="en-US" w:eastAsia="zh-CN"/>
        </w:rPr>
      </w:pPr>
      <w:r>
        <w:rPr>
          <w:rFonts w:hint="default"/>
          <w:b/>
          <w:bCs/>
          <w:lang w:val="en-US" w:eastAsia="zh-CN"/>
        </w:rPr>
        <w:drawing>
          <wp:inline distT="0" distB="0" distL="114300" distR="114300">
            <wp:extent cx="5044440" cy="2387600"/>
            <wp:effectExtent l="0" t="0" r="0" b="0"/>
            <wp:docPr id="49" name="图片 49" descr="203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030d"/>
                    <pic:cNvPicPr>
                      <a:picLocks noChangeAspect="1"/>
                    </pic:cNvPicPr>
                  </pic:nvPicPr>
                  <pic:blipFill>
                    <a:blip r:embed="rId114"/>
                    <a:srcRect r="17619" b="16335"/>
                    <a:stretch>
                      <a:fillRect/>
                    </a:stretch>
                  </pic:blipFill>
                  <pic:spPr>
                    <a:xfrm>
                      <a:off x="0" y="0"/>
                      <a:ext cx="5044440" cy="2387600"/>
                    </a:xfrm>
                    <a:prstGeom prst="rect">
                      <a:avLst/>
                    </a:prstGeom>
                  </pic:spPr>
                </pic:pic>
              </a:graphicData>
            </a:graphic>
          </wp:inline>
        </w:drawing>
      </w:r>
    </w:p>
    <w:p>
      <w:pPr>
        <w:pStyle w:val="10"/>
        <w:ind w:left="0" w:leftChars="0" w:firstLine="0" w:firstLineChars="0"/>
        <w:jc w:val="center"/>
        <w:rPr>
          <w:rFonts w:hint="eastAsia"/>
          <w:b/>
          <w:bCs/>
          <w:lang w:val="en-US" w:eastAsia="zh-CN"/>
        </w:rPr>
      </w:pPr>
      <w:r>
        <w:rPr>
          <w:rFonts w:hint="eastAsia"/>
          <w:b/>
          <w:bCs/>
          <w:lang w:val="en-US" w:eastAsia="zh-CN"/>
        </w:rPr>
        <w:t>图5.1-9 2030年昼间噪声等值线图</w:t>
      </w:r>
    </w:p>
    <w:p>
      <w:pPr>
        <w:pStyle w:val="10"/>
        <w:ind w:left="0" w:leftChars="0" w:firstLine="0" w:firstLineChars="0"/>
        <w:jc w:val="center"/>
        <w:rPr>
          <w:rFonts w:hint="default"/>
          <w:b/>
          <w:bCs/>
          <w:lang w:val="en-US" w:eastAsia="zh-CN"/>
        </w:rPr>
      </w:pPr>
      <w:r>
        <w:rPr>
          <w:rFonts w:hint="default"/>
          <w:b/>
          <w:bCs/>
          <w:lang w:val="en-US" w:eastAsia="zh-CN"/>
        </w:rPr>
        <w:drawing>
          <wp:inline distT="0" distB="0" distL="114300" distR="114300">
            <wp:extent cx="5165725" cy="2401570"/>
            <wp:effectExtent l="0" t="0" r="0" b="0"/>
            <wp:docPr id="51" name="图片 51" descr="2030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030n"/>
                    <pic:cNvPicPr>
                      <a:picLocks noChangeAspect="1"/>
                    </pic:cNvPicPr>
                  </pic:nvPicPr>
                  <pic:blipFill>
                    <a:blip r:embed="rId115"/>
                    <a:srcRect r="17741" b="17945"/>
                    <a:stretch>
                      <a:fillRect/>
                    </a:stretch>
                  </pic:blipFill>
                  <pic:spPr>
                    <a:xfrm>
                      <a:off x="0" y="0"/>
                      <a:ext cx="5165725" cy="2401570"/>
                    </a:xfrm>
                    <a:prstGeom prst="rect">
                      <a:avLst/>
                    </a:prstGeom>
                  </pic:spPr>
                </pic:pic>
              </a:graphicData>
            </a:graphic>
          </wp:inline>
        </w:drawing>
      </w:r>
    </w:p>
    <w:p>
      <w:pPr>
        <w:pStyle w:val="10"/>
        <w:ind w:left="0" w:leftChars="0" w:firstLine="0" w:firstLineChars="0"/>
        <w:jc w:val="center"/>
        <w:rPr>
          <w:rFonts w:hint="eastAsia"/>
          <w:b/>
          <w:bCs/>
          <w:lang w:val="en-US" w:eastAsia="zh-CN"/>
        </w:rPr>
      </w:pPr>
      <w:r>
        <w:rPr>
          <w:rFonts w:hint="eastAsia"/>
          <w:b/>
          <w:bCs/>
          <w:lang w:val="en-US" w:eastAsia="zh-CN"/>
        </w:rPr>
        <w:t>图5.1-10 2030年夜间噪声等值线图</w:t>
      </w:r>
    </w:p>
    <w:p>
      <w:pPr>
        <w:pStyle w:val="10"/>
        <w:ind w:left="0" w:leftChars="0" w:firstLine="0" w:firstLineChars="0"/>
        <w:jc w:val="center"/>
        <w:rPr>
          <w:rFonts w:hint="default"/>
          <w:b/>
          <w:bCs/>
          <w:lang w:val="en-US" w:eastAsia="zh-CN"/>
        </w:rPr>
      </w:pPr>
      <w:r>
        <w:rPr>
          <w:rFonts w:hint="default"/>
          <w:b/>
          <w:bCs/>
          <w:lang w:val="en-US" w:eastAsia="zh-CN"/>
        </w:rPr>
        <w:drawing>
          <wp:inline distT="0" distB="0" distL="114300" distR="114300">
            <wp:extent cx="5111115" cy="2409190"/>
            <wp:effectExtent l="0" t="0" r="0" b="0"/>
            <wp:docPr id="52" name="图片 52" descr="203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38d"/>
                    <pic:cNvPicPr>
                      <a:picLocks noChangeAspect="1"/>
                    </pic:cNvPicPr>
                  </pic:nvPicPr>
                  <pic:blipFill>
                    <a:blip r:embed="rId116"/>
                    <a:srcRect r="18612" b="17685"/>
                    <a:stretch>
                      <a:fillRect/>
                    </a:stretch>
                  </pic:blipFill>
                  <pic:spPr>
                    <a:xfrm>
                      <a:off x="0" y="0"/>
                      <a:ext cx="5111115" cy="2409190"/>
                    </a:xfrm>
                    <a:prstGeom prst="rect">
                      <a:avLst/>
                    </a:prstGeom>
                  </pic:spPr>
                </pic:pic>
              </a:graphicData>
            </a:graphic>
          </wp:inline>
        </w:drawing>
      </w:r>
    </w:p>
    <w:p>
      <w:pPr>
        <w:pStyle w:val="10"/>
        <w:ind w:left="0" w:leftChars="0" w:firstLine="0" w:firstLineChars="0"/>
        <w:jc w:val="center"/>
        <w:rPr>
          <w:rFonts w:hint="eastAsia"/>
          <w:b/>
          <w:bCs/>
          <w:lang w:val="en-US" w:eastAsia="zh-CN"/>
        </w:rPr>
      </w:pPr>
      <w:r>
        <w:rPr>
          <w:rFonts w:hint="eastAsia"/>
          <w:b/>
          <w:bCs/>
          <w:lang w:val="en-US" w:eastAsia="zh-CN"/>
        </w:rPr>
        <w:t>图5.1-11 2038年昼间噪声等值线图</w:t>
      </w:r>
    </w:p>
    <w:p>
      <w:pPr>
        <w:pStyle w:val="10"/>
        <w:ind w:left="0" w:leftChars="0" w:firstLine="0" w:firstLineChars="0"/>
        <w:jc w:val="center"/>
        <w:rPr>
          <w:rFonts w:hint="default"/>
          <w:b/>
          <w:bCs/>
          <w:lang w:val="en-US" w:eastAsia="zh-CN"/>
        </w:rPr>
      </w:pPr>
      <w:r>
        <w:rPr>
          <w:rFonts w:hint="default"/>
          <w:b/>
          <w:bCs/>
          <w:lang w:val="en-US" w:eastAsia="zh-CN"/>
        </w:rPr>
        <w:drawing>
          <wp:inline distT="0" distB="0" distL="114300" distR="114300">
            <wp:extent cx="5316855" cy="2508885"/>
            <wp:effectExtent l="0" t="0" r="0" b="0"/>
            <wp:docPr id="53" name="图片 53" descr="2038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038n"/>
                    <pic:cNvPicPr>
                      <a:picLocks noChangeAspect="1"/>
                    </pic:cNvPicPr>
                  </pic:nvPicPr>
                  <pic:blipFill>
                    <a:blip r:embed="rId117"/>
                    <a:srcRect r="17112" b="16075"/>
                    <a:stretch>
                      <a:fillRect/>
                    </a:stretch>
                  </pic:blipFill>
                  <pic:spPr>
                    <a:xfrm>
                      <a:off x="0" y="0"/>
                      <a:ext cx="5316855" cy="2508885"/>
                    </a:xfrm>
                    <a:prstGeom prst="rect">
                      <a:avLst/>
                    </a:prstGeom>
                  </pic:spPr>
                </pic:pic>
              </a:graphicData>
            </a:graphic>
          </wp:inline>
        </w:drawing>
      </w:r>
    </w:p>
    <w:p>
      <w:pPr>
        <w:pStyle w:val="10"/>
        <w:ind w:left="0" w:leftChars="0" w:firstLine="0" w:firstLineChars="0"/>
        <w:jc w:val="center"/>
        <w:rPr>
          <w:rFonts w:hint="default"/>
          <w:b/>
          <w:bCs/>
          <w:lang w:val="en-US" w:eastAsia="zh-CN"/>
        </w:rPr>
      </w:pPr>
      <w:r>
        <w:rPr>
          <w:rFonts w:hint="eastAsia"/>
          <w:b/>
          <w:bCs/>
          <w:lang w:val="en-US" w:eastAsia="zh-CN"/>
        </w:rPr>
        <w:t>图5.1-12 2038年夜间噪声等值线图</w:t>
      </w:r>
    </w:p>
    <w:p>
      <w:pPr>
        <w:pStyle w:val="10"/>
        <w:numPr>
          <w:ilvl w:val="0"/>
          <w:numId w:val="13"/>
        </w:numPr>
        <w:ind w:firstLine="480"/>
      </w:pPr>
      <w:r>
        <w:rPr>
          <w:rFonts w:hint="eastAsia"/>
        </w:rPr>
        <w:t>项目</w:t>
      </w:r>
      <w:r>
        <w:t>交通噪声分布预测结果及评价</w:t>
      </w:r>
    </w:p>
    <w:p>
      <w:pPr>
        <w:pStyle w:val="10"/>
        <w:numPr>
          <w:ilvl w:val="0"/>
          <w:numId w:val="0"/>
        </w:numPr>
        <w:ind w:firstLine="480" w:firstLineChars="200"/>
        <w:rPr>
          <w:rFonts w:hint="eastAsia"/>
          <w:lang w:eastAsia="zh-CN"/>
        </w:rPr>
      </w:pPr>
      <w:r>
        <w:rPr>
          <w:rFonts w:hint="eastAsia" w:ascii="宋体" w:hAnsi="宋体" w:eastAsia="宋体" w:cs="宋体"/>
        </w:rPr>
        <w:t>①</w:t>
      </w:r>
      <w:r>
        <w:rPr>
          <w:rFonts w:hint="eastAsia" w:cs="Times New Roman"/>
          <w:lang w:val="en-US" w:eastAsia="zh-CN"/>
        </w:rPr>
        <w:t>道路</w:t>
      </w:r>
      <w:r>
        <w:rPr>
          <w:rFonts w:hint="default" w:ascii="Times New Roman" w:hAnsi="Times New Roman" w:cs="Times New Roman"/>
        </w:rPr>
        <w:t>两侧35米内执行《声环境质量标准》（GB3096-2008）中4a类标准</w:t>
      </w:r>
      <w:r>
        <w:rPr>
          <w:rFonts w:hint="eastAsia" w:cs="Times New Roman"/>
          <w:lang w:val="en-US" w:eastAsia="zh-CN"/>
        </w:rPr>
        <w:t>区域：</w:t>
      </w:r>
      <w:r>
        <w:rPr>
          <w:rFonts w:hint="eastAsia"/>
        </w:rPr>
        <w:t>在营运近期，昼间预测值范围：</w:t>
      </w:r>
      <w:r>
        <w:rPr>
          <w:rFonts w:hint="eastAsia"/>
          <w:lang w:val="en-US" w:eastAsia="zh-CN"/>
        </w:rPr>
        <w:t>51.3~53.6</w:t>
      </w:r>
      <w:r>
        <w:rPr>
          <w:rFonts w:hint="eastAsia"/>
        </w:rPr>
        <w:t>dB(A)，夜间预测值范围：</w:t>
      </w:r>
      <w:r>
        <w:rPr>
          <w:rFonts w:hint="eastAsia"/>
          <w:lang w:val="en-US" w:eastAsia="zh-CN"/>
        </w:rPr>
        <w:t>48.6~51.0</w:t>
      </w:r>
      <w:r>
        <w:rPr>
          <w:rFonts w:hint="eastAsia"/>
        </w:rPr>
        <w:t>dB(A)；至营运中期，昼间预测值范围：</w:t>
      </w:r>
      <w:r>
        <w:rPr>
          <w:rFonts w:hint="eastAsia"/>
          <w:lang w:val="en-US" w:eastAsia="zh-CN"/>
        </w:rPr>
        <w:t>53.2~55.5</w:t>
      </w:r>
      <w:r>
        <w:rPr>
          <w:rFonts w:hint="eastAsia"/>
        </w:rPr>
        <w:t>dB(A)，夜间预测值范围：5</w:t>
      </w:r>
      <w:r>
        <w:rPr>
          <w:rFonts w:hint="eastAsia"/>
          <w:lang w:val="en-US" w:eastAsia="zh-CN"/>
        </w:rPr>
        <w:t>0.3~52.7</w:t>
      </w:r>
      <w:r>
        <w:rPr>
          <w:rFonts w:hint="eastAsia"/>
        </w:rPr>
        <w:t>dB(A)；至营运远期，昼间预测值范围：</w:t>
      </w:r>
      <w:r>
        <w:rPr>
          <w:rFonts w:hint="eastAsia"/>
          <w:lang w:val="en-US" w:eastAsia="zh-CN"/>
        </w:rPr>
        <w:t>55.2~57.6</w:t>
      </w:r>
      <w:r>
        <w:rPr>
          <w:rFonts w:hint="eastAsia"/>
        </w:rPr>
        <w:t>dB(A)，夜间预测值范围：5</w:t>
      </w:r>
      <w:r>
        <w:rPr>
          <w:rFonts w:hint="eastAsia"/>
          <w:lang w:val="en-US" w:eastAsia="zh-CN"/>
        </w:rPr>
        <w:t>2.1~54.4</w:t>
      </w:r>
      <w:r>
        <w:rPr>
          <w:rFonts w:hint="eastAsia"/>
        </w:rPr>
        <w:t>dB(A)</w:t>
      </w:r>
      <w:r>
        <w:rPr>
          <w:rFonts w:hint="eastAsia"/>
          <w:lang w:eastAsia="zh-CN"/>
        </w:rPr>
        <w:t>。</w:t>
      </w:r>
    </w:p>
    <w:p>
      <w:pPr>
        <w:bidi w:val="0"/>
        <w:ind w:firstLine="480" w:firstLineChars="200"/>
        <w:rPr>
          <w:rFonts w:hint="eastAsia" w:eastAsia="宋体"/>
          <w:lang w:val="en-US" w:eastAsia="zh-CN"/>
        </w:rPr>
        <w:sectPr>
          <w:pgSz w:w="11906" w:h="16838"/>
          <w:pgMar w:top="1418" w:right="1418" w:bottom="1418" w:left="1418" w:header="850" w:footer="992" w:gutter="0"/>
          <w:cols w:space="720" w:num="1"/>
          <w:docGrid w:linePitch="312" w:charSpace="0"/>
        </w:sectPr>
      </w:pPr>
      <w:r>
        <w:rPr>
          <w:rFonts w:hint="eastAsia" w:ascii="宋体" w:hAnsi="宋体" w:eastAsia="宋体" w:cs="宋体"/>
          <w:lang w:eastAsia="zh-CN"/>
        </w:rPr>
        <w:t>②</w:t>
      </w:r>
      <w:r>
        <w:rPr>
          <w:rFonts w:hint="eastAsia" w:cs="Times New Roman"/>
          <w:lang w:val="en-US" w:eastAsia="zh-CN"/>
        </w:rPr>
        <w:t>道路</w:t>
      </w:r>
      <w:r>
        <w:rPr>
          <w:rFonts w:hint="default" w:ascii="Times New Roman" w:hAnsi="Times New Roman" w:cs="Times New Roman"/>
        </w:rPr>
        <w:t>两侧35米</w:t>
      </w:r>
      <w:r>
        <w:rPr>
          <w:rFonts w:hint="eastAsia" w:cs="Times New Roman"/>
          <w:lang w:val="en-US" w:eastAsia="zh-CN"/>
        </w:rPr>
        <w:t>外</w:t>
      </w:r>
      <w:r>
        <w:rPr>
          <w:rFonts w:hint="default" w:ascii="Times New Roman" w:hAnsi="Times New Roman" w:cs="Times New Roman"/>
        </w:rPr>
        <w:t>执行《声环境质量标准》（GB3096-2008）中</w:t>
      </w:r>
      <w:r>
        <w:rPr>
          <w:rFonts w:hint="eastAsia" w:cs="Times New Roman"/>
          <w:lang w:val="en-US" w:eastAsia="zh-CN"/>
        </w:rPr>
        <w:t>2</w:t>
      </w:r>
      <w:r>
        <w:rPr>
          <w:rFonts w:hint="default" w:ascii="Times New Roman" w:hAnsi="Times New Roman" w:cs="Times New Roman"/>
        </w:rPr>
        <w:t>类标准</w:t>
      </w:r>
      <w:r>
        <w:rPr>
          <w:rFonts w:hint="eastAsia" w:cs="Times New Roman"/>
          <w:lang w:val="en-US" w:eastAsia="zh-CN"/>
        </w:rPr>
        <w:t>区域：</w:t>
      </w:r>
      <w:r>
        <w:rPr>
          <w:rFonts w:hint="eastAsia"/>
        </w:rPr>
        <w:t>在营运近期，昼间预测值范围：</w:t>
      </w:r>
      <w:r>
        <w:rPr>
          <w:rFonts w:hint="eastAsia"/>
          <w:lang w:val="en-US" w:eastAsia="zh-CN"/>
        </w:rPr>
        <w:t>40.7~49.7</w:t>
      </w:r>
      <w:r>
        <w:rPr>
          <w:rFonts w:hint="eastAsia"/>
        </w:rPr>
        <w:t>dB(A)，夜间预测值范围：</w:t>
      </w:r>
      <w:r>
        <w:rPr>
          <w:rFonts w:hint="eastAsia"/>
          <w:lang w:val="en-US" w:eastAsia="zh-CN"/>
        </w:rPr>
        <w:t>38.1~47.1</w:t>
      </w:r>
      <w:r>
        <w:rPr>
          <w:rFonts w:hint="eastAsia"/>
        </w:rPr>
        <w:t>dB(A)；至营运中期，昼间预测值范围：</w:t>
      </w:r>
      <w:r>
        <w:rPr>
          <w:rFonts w:hint="eastAsia"/>
          <w:lang w:val="en-US" w:eastAsia="zh-CN"/>
        </w:rPr>
        <w:t>42.6~51.6</w:t>
      </w:r>
      <w:r>
        <w:rPr>
          <w:rFonts w:hint="eastAsia"/>
        </w:rPr>
        <w:t>dB(A)，夜间预测值范围：</w:t>
      </w:r>
      <w:r>
        <w:rPr>
          <w:rFonts w:hint="eastAsia"/>
          <w:lang w:val="en-US" w:eastAsia="zh-CN"/>
        </w:rPr>
        <w:t>39.8~48.8</w:t>
      </w:r>
      <w:r>
        <w:rPr>
          <w:rFonts w:hint="eastAsia"/>
        </w:rPr>
        <w:t>dB(A)；至营运远期，昼间预测值范围：</w:t>
      </w:r>
      <w:r>
        <w:rPr>
          <w:rFonts w:hint="eastAsia"/>
          <w:lang w:val="en-US" w:eastAsia="zh-CN"/>
        </w:rPr>
        <w:t>44.7~53.7</w:t>
      </w:r>
      <w:r>
        <w:rPr>
          <w:rFonts w:hint="eastAsia"/>
        </w:rPr>
        <w:t>dB(A)，夜间预测值范围：</w:t>
      </w:r>
      <w:r>
        <w:rPr>
          <w:rFonts w:hint="eastAsia"/>
          <w:lang w:val="en-US" w:eastAsia="zh-CN"/>
        </w:rPr>
        <w:t>41.6~50.6</w:t>
      </w:r>
      <w:r>
        <w:rPr>
          <w:rFonts w:hint="eastAsia"/>
        </w:rPr>
        <w:t>dB(A)</w:t>
      </w:r>
      <w:r>
        <w:rPr>
          <w:rFonts w:hint="eastAsia"/>
          <w:lang w:eastAsia="zh-CN"/>
        </w:rPr>
        <w:t>。</w:t>
      </w:r>
    </w:p>
    <w:p>
      <w:pPr>
        <w:pStyle w:val="9"/>
        <w:rPr>
          <w:snapToGrid w:val="0"/>
        </w:rPr>
      </w:pPr>
      <w:bookmarkStart w:id="328" w:name="_Toc8351"/>
      <w:r>
        <w:rPr>
          <w:snapToGrid w:val="0"/>
        </w:rPr>
        <w:t>声环境</w:t>
      </w:r>
      <w:r>
        <w:rPr>
          <w:rFonts w:hint="eastAsia"/>
          <w:snapToGrid w:val="0"/>
        </w:rPr>
        <w:t>保护目标</w:t>
      </w:r>
      <w:r>
        <w:rPr>
          <w:snapToGrid w:val="0"/>
        </w:rPr>
        <w:t>环境噪声预测</w:t>
      </w:r>
      <w:bookmarkEnd w:id="328"/>
    </w:p>
    <w:p>
      <w:pPr>
        <w:pStyle w:val="10"/>
        <w:ind w:firstLine="480"/>
        <w:rPr>
          <w:b/>
        </w:rPr>
      </w:pPr>
      <w:r>
        <w:t>拟建道路两侧边界线外35m范围内区域执行《声环境质量标准》（GB3096-2008）中4a类标准；35m范围外区域执行《声环境质量标准》（GB3096-2008）中2类标准。以此为依据，对各声环境敏感点声功能区进行划分，声功能区划分、人口分布及相关特征。</w:t>
      </w:r>
    </w:p>
    <w:p>
      <w:pPr>
        <w:pStyle w:val="10"/>
        <w:ind w:firstLine="480"/>
      </w:pPr>
      <w:r>
        <w:t>本次评价采用EIAP</w:t>
      </w:r>
      <w:r>
        <w:rPr>
          <w:rFonts w:hint="eastAsia"/>
        </w:rPr>
        <w:t>ro</w:t>
      </w:r>
      <w:r>
        <w:t>N噪声预测软件对交通噪声进行预测和评价。本次预测对各敏感点在不同时间段的交通噪声影响值进行预测，并</w:t>
      </w:r>
      <w:r>
        <w:rPr>
          <w:rFonts w:hint="eastAsia"/>
        </w:rPr>
        <w:t>与</w:t>
      </w:r>
      <w:r>
        <w:t>现状监测环境噪声</w:t>
      </w:r>
      <w:r>
        <w:rPr>
          <w:rFonts w:hint="eastAsia"/>
        </w:rPr>
        <w:t>背景</w:t>
      </w:r>
      <w:r>
        <w:t>值进行叠加，各敏感点</w:t>
      </w:r>
      <w:r>
        <w:rPr>
          <w:rFonts w:hint="eastAsia"/>
        </w:rPr>
        <w:t>背景值</w:t>
      </w:r>
      <w:r>
        <w:t>见</w:t>
      </w:r>
      <w:r>
        <w:rPr>
          <w:rFonts w:hint="eastAsia"/>
          <w:lang w:val="en-US" w:eastAsia="zh-CN"/>
        </w:rPr>
        <w:t>声环境现状评价章节</w:t>
      </w:r>
      <w:r>
        <w:t>表</w:t>
      </w:r>
      <w:r>
        <w:rPr>
          <w:rFonts w:hint="eastAsia"/>
          <w:lang w:val="en-US" w:eastAsia="zh-CN"/>
        </w:rPr>
        <w:t>4.4-3</w:t>
      </w:r>
      <w:r>
        <w:t>，各敏感点计算参数见表5.1-1</w:t>
      </w:r>
      <w:r>
        <w:rPr>
          <w:rFonts w:hint="eastAsia"/>
          <w:lang w:val="en-US" w:eastAsia="zh-CN"/>
        </w:rPr>
        <w:t>0</w:t>
      </w:r>
      <w:r>
        <w:rPr>
          <w:rFonts w:hint="eastAsia"/>
        </w:rPr>
        <w:t>，</w:t>
      </w:r>
      <w:r>
        <w:t>结合</w:t>
      </w:r>
      <w:r>
        <w:rPr>
          <w:rFonts w:hint="eastAsia"/>
        </w:rPr>
        <w:t>项目</w:t>
      </w:r>
      <w:r>
        <w:t>交通噪声预测，得出敏感点预测结果见表5.1-1</w:t>
      </w:r>
      <w:r>
        <w:rPr>
          <w:rFonts w:hint="eastAsia"/>
          <w:lang w:val="en-US" w:eastAsia="zh-CN"/>
        </w:rPr>
        <w:t>1</w:t>
      </w:r>
      <w:r>
        <w:rPr>
          <w:rFonts w:hint="eastAsia"/>
        </w:rPr>
        <w:t>。</w:t>
      </w:r>
    </w:p>
    <w:p>
      <w:pPr>
        <w:ind w:firstLine="480" w:firstLineChars="200"/>
        <w:rPr>
          <w:color w:val="0070C0"/>
        </w:rPr>
      </w:pPr>
    </w:p>
    <w:p>
      <w:pPr>
        <w:ind w:firstLine="480" w:firstLineChars="200"/>
        <w:rPr>
          <w:color w:val="0070C0"/>
        </w:rPr>
        <w:sectPr>
          <w:pgSz w:w="11906" w:h="16838"/>
          <w:pgMar w:top="1418" w:right="1418" w:bottom="1418" w:left="1418" w:header="850" w:footer="992" w:gutter="0"/>
          <w:cols w:space="720" w:num="1"/>
          <w:docGrid w:linePitch="312" w:charSpace="0"/>
        </w:sectPr>
      </w:pP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rPr>
          <w:rFonts w:hint="eastAsia"/>
          <w:lang w:val="en-US" w:eastAsia="zh-CN"/>
        </w:rPr>
        <w:t>0</w:t>
      </w:r>
      <w:r>
        <w:fldChar w:fldCharType="end"/>
      </w:r>
      <w:r>
        <w:t xml:space="preserve">  预测点计算参数汇总表</w:t>
      </w:r>
    </w:p>
    <w:tbl>
      <w:tblPr>
        <w:tblStyle w:val="4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28" w:type="dxa"/>
          <w:left w:w="57" w:type="dxa"/>
          <w:bottom w:w="15" w:type="dxa"/>
          <w:right w:w="57" w:type="dxa"/>
        </w:tblCellMar>
      </w:tblPr>
      <w:tblGrid>
        <w:gridCol w:w="675"/>
        <w:gridCol w:w="1744"/>
        <w:gridCol w:w="1283"/>
        <w:gridCol w:w="753"/>
        <w:gridCol w:w="1283"/>
        <w:gridCol w:w="1142"/>
        <w:gridCol w:w="1139"/>
        <w:gridCol w:w="1713"/>
        <w:gridCol w:w="1297"/>
        <w:gridCol w:w="684"/>
        <w:gridCol w:w="1032"/>
        <w:gridCol w:w="13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57" w:type="dxa"/>
            <w:bottom w:w="15" w:type="dxa"/>
            <w:right w:w="57" w:type="dxa"/>
          </w:tblCellMar>
        </w:tblPrEx>
        <w:trPr>
          <w:jc w:val="center"/>
        </w:trPr>
        <w:tc>
          <w:tcPr>
            <w:tcW w:w="239" w:type="pct"/>
            <w:vAlign w:val="center"/>
          </w:tcPr>
          <w:p>
            <w:pPr>
              <w:pStyle w:val="1132"/>
              <w:rPr>
                <w:b/>
                <w:bCs w:val="0"/>
                <w:color w:val="auto"/>
              </w:rPr>
            </w:pPr>
            <w:r>
              <w:rPr>
                <w:b/>
                <w:bCs w:val="0"/>
                <w:color w:val="auto"/>
              </w:rPr>
              <w:t>序号</w:t>
            </w:r>
          </w:p>
        </w:tc>
        <w:tc>
          <w:tcPr>
            <w:tcW w:w="617" w:type="pct"/>
            <w:vAlign w:val="center"/>
          </w:tcPr>
          <w:p>
            <w:pPr>
              <w:pStyle w:val="1132"/>
              <w:rPr>
                <w:b/>
                <w:bCs w:val="0"/>
                <w:color w:val="auto"/>
              </w:rPr>
            </w:pPr>
            <w:r>
              <w:rPr>
                <w:b/>
                <w:bCs w:val="0"/>
                <w:color w:val="auto"/>
              </w:rPr>
              <w:t>桩号范围</w:t>
            </w:r>
          </w:p>
        </w:tc>
        <w:tc>
          <w:tcPr>
            <w:tcW w:w="454" w:type="pct"/>
            <w:vAlign w:val="center"/>
          </w:tcPr>
          <w:p>
            <w:pPr>
              <w:pStyle w:val="1132"/>
              <w:rPr>
                <w:b/>
                <w:bCs w:val="0"/>
                <w:color w:val="auto"/>
              </w:rPr>
            </w:pPr>
            <w:r>
              <w:rPr>
                <w:b/>
                <w:bCs w:val="0"/>
                <w:color w:val="auto"/>
              </w:rPr>
              <w:t>敏感点名称</w:t>
            </w:r>
          </w:p>
        </w:tc>
        <w:tc>
          <w:tcPr>
            <w:tcW w:w="266" w:type="pct"/>
            <w:vAlign w:val="center"/>
          </w:tcPr>
          <w:p>
            <w:pPr>
              <w:pStyle w:val="1132"/>
              <w:rPr>
                <w:b/>
                <w:bCs w:val="0"/>
                <w:color w:val="auto"/>
              </w:rPr>
            </w:pPr>
            <w:r>
              <w:rPr>
                <w:b/>
                <w:bCs w:val="0"/>
                <w:color w:val="auto"/>
              </w:rPr>
              <w:t>高差</w:t>
            </w:r>
            <w:r>
              <w:rPr>
                <w:rFonts w:hint="eastAsia"/>
                <w:b/>
                <w:bCs w:val="0"/>
                <w:color w:val="auto"/>
              </w:rPr>
              <w:t>/m</w:t>
            </w:r>
          </w:p>
        </w:tc>
        <w:tc>
          <w:tcPr>
            <w:tcW w:w="454" w:type="pct"/>
            <w:vAlign w:val="center"/>
          </w:tcPr>
          <w:p>
            <w:pPr>
              <w:pStyle w:val="1132"/>
              <w:rPr>
                <w:b/>
                <w:bCs w:val="0"/>
                <w:color w:val="auto"/>
              </w:rPr>
            </w:pPr>
            <w:r>
              <w:rPr>
                <w:b/>
                <w:bCs w:val="0"/>
                <w:color w:val="auto"/>
              </w:rPr>
              <w:t>与线路位置关系</w:t>
            </w:r>
          </w:p>
        </w:tc>
        <w:tc>
          <w:tcPr>
            <w:tcW w:w="404" w:type="pct"/>
            <w:vAlign w:val="center"/>
          </w:tcPr>
          <w:p>
            <w:pPr>
              <w:pStyle w:val="1132"/>
              <w:rPr>
                <w:b/>
                <w:bCs w:val="0"/>
                <w:color w:val="auto"/>
              </w:rPr>
            </w:pPr>
            <w:r>
              <w:rPr>
                <w:b/>
                <w:bCs w:val="0"/>
                <w:color w:val="auto"/>
              </w:rPr>
              <w:t>路基形式</w:t>
            </w:r>
          </w:p>
        </w:tc>
        <w:tc>
          <w:tcPr>
            <w:tcW w:w="403" w:type="pct"/>
            <w:vAlign w:val="center"/>
          </w:tcPr>
          <w:p>
            <w:pPr>
              <w:pStyle w:val="1132"/>
              <w:rPr>
                <w:b/>
                <w:bCs w:val="0"/>
                <w:color w:val="auto"/>
              </w:rPr>
            </w:pPr>
            <w:r>
              <w:rPr>
                <w:b/>
                <w:bCs w:val="0"/>
                <w:color w:val="auto"/>
              </w:rPr>
              <w:t>沿程</w:t>
            </w:r>
          </w:p>
          <w:p>
            <w:pPr>
              <w:pStyle w:val="1132"/>
              <w:rPr>
                <w:b/>
                <w:bCs w:val="0"/>
                <w:color w:val="auto"/>
              </w:rPr>
            </w:pPr>
            <w:r>
              <w:rPr>
                <w:b/>
                <w:bCs w:val="0"/>
                <w:color w:val="auto"/>
              </w:rPr>
              <w:t>长度</w:t>
            </w:r>
            <w:r>
              <w:rPr>
                <w:rFonts w:hint="eastAsia"/>
                <w:b/>
                <w:bCs w:val="0"/>
                <w:color w:val="auto"/>
              </w:rPr>
              <w:t>/</w:t>
            </w:r>
            <w:r>
              <w:rPr>
                <w:b/>
                <w:bCs w:val="0"/>
                <w:color w:val="auto"/>
              </w:rPr>
              <w:t>m</w:t>
            </w:r>
          </w:p>
        </w:tc>
        <w:tc>
          <w:tcPr>
            <w:tcW w:w="606" w:type="pct"/>
            <w:vAlign w:val="center"/>
          </w:tcPr>
          <w:p>
            <w:pPr>
              <w:pStyle w:val="1132"/>
              <w:rPr>
                <w:b/>
                <w:bCs w:val="0"/>
                <w:color w:val="auto"/>
              </w:rPr>
            </w:pPr>
            <w:r>
              <w:rPr>
                <w:b/>
                <w:bCs w:val="0"/>
                <w:color w:val="auto"/>
              </w:rPr>
              <w:t>距拟建</w:t>
            </w:r>
            <w:r>
              <w:rPr>
                <w:rFonts w:hint="eastAsia"/>
                <w:b/>
                <w:bCs w:val="0"/>
                <w:color w:val="auto"/>
              </w:rPr>
              <w:t>道路中心线距离/m</w:t>
            </w:r>
          </w:p>
        </w:tc>
        <w:tc>
          <w:tcPr>
            <w:tcW w:w="459" w:type="pct"/>
            <w:vAlign w:val="center"/>
          </w:tcPr>
          <w:p>
            <w:pPr>
              <w:pStyle w:val="1132"/>
              <w:rPr>
                <w:b/>
                <w:bCs w:val="0"/>
                <w:color w:val="auto"/>
              </w:rPr>
            </w:pPr>
            <w:r>
              <w:rPr>
                <w:b/>
                <w:bCs w:val="0"/>
                <w:color w:val="auto"/>
              </w:rPr>
              <w:t>Ψ1+Ψ2</w:t>
            </w:r>
          </w:p>
        </w:tc>
        <w:tc>
          <w:tcPr>
            <w:tcW w:w="242" w:type="pct"/>
            <w:vAlign w:val="center"/>
          </w:tcPr>
          <w:p>
            <w:pPr>
              <w:pStyle w:val="1132"/>
              <w:rPr>
                <w:b/>
                <w:bCs w:val="0"/>
                <w:color w:val="auto"/>
              </w:rPr>
            </w:pPr>
            <w:r>
              <w:rPr>
                <w:b/>
                <w:bCs w:val="0"/>
                <w:color w:val="auto"/>
              </w:rPr>
              <w:t>δ</w:t>
            </w:r>
          </w:p>
        </w:tc>
        <w:tc>
          <w:tcPr>
            <w:tcW w:w="365" w:type="pct"/>
            <w:vAlign w:val="center"/>
          </w:tcPr>
          <w:p>
            <w:pPr>
              <w:pStyle w:val="1132"/>
              <w:rPr>
                <w:b/>
                <w:bCs w:val="0"/>
                <w:color w:val="auto"/>
              </w:rPr>
            </w:pPr>
            <w:r>
              <w:rPr>
                <w:rFonts w:hint="eastAsia"/>
                <w:b/>
                <w:bCs w:val="0"/>
                <w:color w:val="auto"/>
              </w:rPr>
              <w:t>声阴影区衰减</w:t>
            </w:r>
          </w:p>
        </w:tc>
        <w:tc>
          <w:tcPr>
            <w:tcW w:w="485" w:type="pct"/>
            <w:vAlign w:val="center"/>
          </w:tcPr>
          <w:p>
            <w:pPr>
              <w:pStyle w:val="1132"/>
              <w:rPr>
                <w:b/>
                <w:bCs w:val="0"/>
                <w:color w:val="auto"/>
              </w:rPr>
            </w:pPr>
            <w:r>
              <w:rPr>
                <w:b/>
                <w:bCs w:val="0"/>
                <w:color w:val="auto"/>
              </w:rPr>
              <w:t>运营期评价标准</w:t>
            </w:r>
            <w:r>
              <w:rPr>
                <w:rFonts w:hint="eastAsia"/>
                <w:b/>
                <w:bCs w:val="0"/>
                <w:color w:val="auto"/>
              </w:rPr>
              <w:t>/</w:t>
            </w:r>
            <w:r>
              <w:rPr>
                <w:b/>
                <w:bCs w:val="0"/>
                <w:color w:val="auto"/>
              </w:rPr>
              <w:t>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57" w:type="dxa"/>
            <w:bottom w:w="15" w:type="dxa"/>
            <w:right w:w="57" w:type="dxa"/>
          </w:tblCellMar>
        </w:tblPrEx>
        <w:trPr>
          <w:trHeight w:val="286" w:hRule="atLeast"/>
          <w:jc w:val="center"/>
        </w:trPr>
        <w:tc>
          <w:tcPr>
            <w:tcW w:w="239" w:type="pct"/>
            <w:tcBorders>
              <w:top w:val="single" w:color="auto" w:sz="4" w:space="0"/>
            </w:tcBorders>
            <w:vAlign w:val="center"/>
          </w:tcPr>
          <w:p>
            <w:pPr>
              <w:pStyle w:val="1132"/>
              <w:rPr>
                <w:color w:val="auto"/>
              </w:rPr>
            </w:pPr>
            <w:r>
              <w:rPr>
                <w:rFonts w:hint="eastAsia"/>
                <w:color w:val="auto"/>
              </w:rPr>
              <w:t>1</w:t>
            </w:r>
          </w:p>
        </w:tc>
        <w:tc>
          <w:tcPr>
            <w:tcW w:w="617" w:type="pct"/>
            <w:vAlign w:val="center"/>
          </w:tcPr>
          <w:p>
            <w:pPr>
              <w:pStyle w:val="1132"/>
              <w:rPr>
                <w:color w:val="auto"/>
              </w:rPr>
            </w:pPr>
            <w:r>
              <w:rPr>
                <w:rFonts w:hint="default" w:ascii="Times New Roman" w:hAnsi="Times New Roman" w:cs="Times New Roman"/>
                <w:color w:val="auto"/>
                <w:sz w:val="21"/>
                <w:szCs w:val="21"/>
              </w:rPr>
              <w:t>K</w:t>
            </w:r>
            <w:r>
              <w:rPr>
                <w:rFonts w:hint="eastAsia" w:cs="Times New Roman"/>
                <w:color w:val="auto"/>
                <w:sz w:val="21"/>
                <w:szCs w:val="21"/>
                <w:lang w:val="en-US" w:eastAsia="zh-CN"/>
              </w:rPr>
              <w:t>0</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0</w:t>
            </w:r>
            <w:r>
              <w:rPr>
                <w:rFonts w:hint="eastAsia" w:cs="Times New Roman"/>
                <w:color w:val="auto"/>
                <w:sz w:val="21"/>
                <w:szCs w:val="21"/>
                <w:lang w:val="en-US" w:eastAsia="zh-CN"/>
              </w:rPr>
              <w:t>0</w:t>
            </w:r>
            <w:r>
              <w:rPr>
                <w:rFonts w:hint="default" w:ascii="Times New Roman" w:hAnsi="Times New Roman" w:cs="Times New Roman"/>
                <w:color w:val="auto"/>
                <w:sz w:val="21"/>
                <w:szCs w:val="21"/>
              </w:rPr>
              <w:t>0~K</w:t>
            </w:r>
            <w:r>
              <w:rPr>
                <w:rFonts w:hint="eastAsia" w:cs="Times New Roman"/>
                <w:color w:val="auto"/>
                <w:sz w:val="21"/>
                <w:szCs w:val="21"/>
                <w:lang w:val="en-US" w:eastAsia="zh-CN"/>
              </w:rPr>
              <w:t>0</w:t>
            </w:r>
            <w:r>
              <w:rPr>
                <w:rFonts w:hint="default" w:ascii="Times New Roman" w:hAnsi="Times New Roman" w:cs="Times New Roman"/>
                <w:color w:val="auto"/>
                <w:sz w:val="21"/>
                <w:szCs w:val="21"/>
              </w:rPr>
              <w:t>+</w:t>
            </w:r>
            <w:r>
              <w:rPr>
                <w:rFonts w:hint="eastAsia" w:cs="Times New Roman"/>
                <w:color w:val="auto"/>
                <w:sz w:val="21"/>
                <w:szCs w:val="21"/>
                <w:lang w:val="en-US" w:eastAsia="zh-CN"/>
              </w:rPr>
              <w:t>0</w:t>
            </w: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0</w:t>
            </w:r>
          </w:p>
        </w:tc>
        <w:tc>
          <w:tcPr>
            <w:tcW w:w="454" w:type="pct"/>
            <w:vAlign w:val="center"/>
          </w:tcPr>
          <w:p>
            <w:pPr>
              <w:pStyle w:val="1132"/>
              <w:rPr>
                <w:color w:val="auto"/>
              </w:rPr>
            </w:pPr>
            <w:r>
              <w:rPr>
                <w:rFonts w:hint="eastAsia"/>
                <w:color w:val="auto"/>
              </w:rPr>
              <w:t>宋小庄</w:t>
            </w:r>
          </w:p>
        </w:tc>
        <w:tc>
          <w:tcPr>
            <w:tcW w:w="266" w:type="pct"/>
            <w:vAlign w:val="center"/>
          </w:tcPr>
          <w:p>
            <w:pPr>
              <w:pStyle w:val="1132"/>
              <w:rPr>
                <w:color w:val="auto"/>
              </w:rPr>
            </w:pPr>
            <w:r>
              <w:rPr>
                <w:rFonts w:hint="default" w:ascii="Times New Roman" w:hAnsi="Times New Roman" w:cs="Times New Roman"/>
                <w:color w:val="auto"/>
                <w:sz w:val="21"/>
                <w:szCs w:val="21"/>
                <w:lang w:val="en-US" w:eastAsia="zh-CN"/>
              </w:rPr>
              <w:t>0~0.7</w:t>
            </w:r>
          </w:p>
        </w:tc>
        <w:tc>
          <w:tcPr>
            <w:tcW w:w="454" w:type="pct"/>
            <w:vAlign w:val="center"/>
          </w:tcPr>
          <w:p>
            <w:pPr>
              <w:pStyle w:val="1132"/>
              <w:rPr>
                <w:color w:val="auto"/>
              </w:rPr>
            </w:pPr>
            <w:r>
              <w:rPr>
                <w:rFonts w:hint="eastAsia"/>
                <w:color w:val="auto"/>
              </w:rPr>
              <w:t>路右</w:t>
            </w:r>
            <w:r>
              <w:rPr>
                <w:rFonts w:hint="eastAsia"/>
                <w:color w:val="auto"/>
                <w:lang w:val="en-US" w:eastAsia="zh-CN"/>
              </w:rPr>
              <w:t>背</w:t>
            </w:r>
            <w:r>
              <w:rPr>
                <w:rFonts w:hint="eastAsia"/>
                <w:color w:val="auto"/>
              </w:rPr>
              <w:t>对</w:t>
            </w:r>
          </w:p>
        </w:tc>
        <w:tc>
          <w:tcPr>
            <w:tcW w:w="404" w:type="pc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default" w:ascii="Times New Roman" w:hAnsi="Times New Roman" w:cs="Times New Roman"/>
                <w:color w:val="auto"/>
                <w:sz w:val="21"/>
                <w:szCs w:val="21"/>
                <w:lang w:val="en-US" w:eastAsia="zh-CN"/>
              </w:rPr>
              <w:t>路</w:t>
            </w:r>
            <w:r>
              <w:rPr>
                <w:rFonts w:hint="eastAsia" w:cs="Times New Roman"/>
                <w:color w:val="auto"/>
                <w:sz w:val="21"/>
                <w:szCs w:val="21"/>
                <w:lang w:val="en-US" w:eastAsia="zh-CN"/>
              </w:rPr>
              <w:t>堤</w:t>
            </w:r>
          </w:p>
        </w:tc>
        <w:tc>
          <w:tcPr>
            <w:tcW w:w="403" w:type="pc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0</w:t>
            </w:r>
          </w:p>
        </w:tc>
        <w:tc>
          <w:tcPr>
            <w:tcW w:w="606" w:type="pct"/>
            <w:vAlign w:val="center"/>
          </w:tcPr>
          <w:p>
            <w:pPr>
              <w:pStyle w:val="1132"/>
              <w:rPr>
                <w:rFonts w:hint="default" w:eastAsia="宋体"/>
                <w:color w:val="auto"/>
                <w:lang w:val="en-US" w:eastAsia="zh-CN"/>
              </w:rPr>
            </w:pPr>
            <w:r>
              <w:rPr>
                <w:rFonts w:hint="eastAsia"/>
                <w:color w:val="auto"/>
                <w:lang w:val="en-US" w:eastAsia="zh-CN"/>
              </w:rPr>
              <w:t>176</w:t>
            </w:r>
          </w:p>
        </w:tc>
        <w:tc>
          <w:tcPr>
            <w:tcW w:w="459" w:type="pct"/>
            <w:tcBorders>
              <w:bottom w:val="single" w:color="auto" w:sz="4" w:space="0"/>
            </w:tcBorders>
            <w:vAlign w:val="center"/>
          </w:tcPr>
          <w:p>
            <w:pPr>
              <w:pStyle w:val="1132"/>
              <w:rPr>
                <w:color w:val="auto"/>
              </w:rPr>
            </w:pPr>
            <w:r>
              <w:rPr>
                <w:color w:val="auto"/>
                <w:sz w:val="22"/>
                <w:szCs w:val="22"/>
              </w:rPr>
              <w:t>π</w:t>
            </w:r>
          </w:p>
        </w:tc>
        <w:tc>
          <w:tcPr>
            <w:tcW w:w="242" w:type="pct"/>
            <w:tcBorders>
              <w:bottom w:val="single" w:color="auto" w:sz="4" w:space="0"/>
            </w:tcBorders>
            <w:vAlign w:val="center"/>
          </w:tcPr>
          <w:p>
            <w:pPr>
              <w:pStyle w:val="1132"/>
              <w:rPr>
                <w:rFonts w:hint="default" w:eastAsia="宋体"/>
                <w:color w:val="auto"/>
                <w:lang w:val="en-US" w:eastAsia="zh-CN"/>
              </w:rPr>
            </w:pPr>
            <w:r>
              <w:rPr>
                <w:rFonts w:hint="eastAsia"/>
                <w:color w:val="auto"/>
              </w:rPr>
              <w:t>0</w:t>
            </w:r>
            <w:r>
              <w:rPr>
                <w:color w:val="auto"/>
              </w:rPr>
              <w:t>.</w:t>
            </w:r>
            <w:r>
              <w:rPr>
                <w:rFonts w:hint="eastAsia"/>
                <w:color w:val="auto"/>
                <w:lang w:val="en-US" w:eastAsia="zh-CN"/>
              </w:rPr>
              <w:t>10</w:t>
            </w:r>
          </w:p>
        </w:tc>
        <w:tc>
          <w:tcPr>
            <w:tcW w:w="365" w:type="pct"/>
            <w:tcBorders>
              <w:bottom w:val="single" w:color="auto" w:sz="4" w:space="0"/>
            </w:tcBorders>
            <w:vAlign w:val="center"/>
          </w:tcPr>
          <w:p>
            <w:pPr>
              <w:pStyle w:val="1132"/>
              <w:rPr>
                <w:rFonts w:hint="default" w:eastAsia="宋体"/>
                <w:color w:val="auto"/>
                <w:lang w:val="en-US" w:eastAsia="zh-CN"/>
              </w:rPr>
            </w:pPr>
            <w:r>
              <w:rPr>
                <w:rFonts w:hint="eastAsia"/>
                <w:color w:val="auto"/>
                <w:lang w:val="en-US" w:eastAsia="zh-CN"/>
              </w:rPr>
              <w:t>7.6</w:t>
            </w:r>
          </w:p>
        </w:tc>
        <w:tc>
          <w:tcPr>
            <w:tcW w:w="485" w:type="pct"/>
            <w:vAlign w:val="center"/>
          </w:tcPr>
          <w:p>
            <w:pPr>
              <w:pStyle w:val="1132"/>
              <w:rPr>
                <w:color w:val="auto"/>
              </w:rPr>
            </w:pPr>
            <w:r>
              <w:rPr>
                <w:rFonts w:hint="default" w:ascii="Times New Roman" w:hAnsi="Times New Roman" w:cs="Times New Roman"/>
                <w:color w:val="auto"/>
                <w:sz w:val="21"/>
                <w:szCs w:val="21"/>
              </w:rPr>
              <w:t>4a/2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57" w:type="dxa"/>
            <w:bottom w:w="15" w:type="dxa"/>
            <w:right w:w="57" w:type="dxa"/>
          </w:tblCellMar>
        </w:tblPrEx>
        <w:trPr>
          <w:trHeight w:val="268" w:hRule="atLeast"/>
          <w:jc w:val="center"/>
        </w:trPr>
        <w:tc>
          <w:tcPr>
            <w:tcW w:w="239" w:type="pct"/>
            <w:tcBorders>
              <w:bottom w:val="single" w:color="auto" w:sz="4" w:space="0"/>
            </w:tcBorders>
            <w:vAlign w:val="center"/>
          </w:tcPr>
          <w:p>
            <w:pPr>
              <w:pStyle w:val="1132"/>
              <w:rPr>
                <w:color w:val="auto"/>
              </w:rPr>
            </w:pPr>
            <w:r>
              <w:rPr>
                <w:rFonts w:hint="eastAsia"/>
                <w:color w:val="auto"/>
              </w:rPr>
              <w:t>2</w:t>
            </w:r>
          </w:p>
        </w:tc>
        <w:tc>
          <w:tcPr>
            <w:tcW w:w="617" w:type="pct"/>
            <w:tcBorders>
              <w:bottom w:val="single" w:color="auto" w:sz="4" w:space="0"/>
            </w:tcBorders>
            <w:vAlign w:val="center"/>
          </w:tcPr>
          <w:p>
            <w:pPr>
              <w:pStyle w:val="1132"/>
              <w:rPr>
                <w:color w:val="auto"/>
              </w:rPr>
            </w:pPr>
            <w:r>
              <w:rPr>
                <w:rFonts w:hint="eastAsia" w:cs="Times New Roman"/>
                <w:color w:val="auto"/>
                <w:sz w:val="21"/>
                <w:szCs w:val="21"/>
                <w:lang w:val="en-US" w:eastAsia="zh-CN"/>
              </w:rPr>
              <w:t>K1+402~K1+720</w:t>
            </w:r>
          </w:p>
        </w:tc>
        <w:tc>
          <w:tcPr>
            <w:tcW w:w="454" w:type="pct"/>
            <w:tcBorders>
              <w:bottom w:val="single" w:color="auto" w:sz="4" w:space="0"/>
            </w:tcBorders>
            <w:vAlign w:val="center"/>
          </w:tcPr>
          <w:p>
            <w:pPr>
              <w:pStyle w:val="1132"/>
              <w:rPr>
                <w:color w:val="auto"/>
              </w:rPr>
            </w:pPr>
            <w:r>
              <w:rPr>
                <w:rFonts w:hint="eastAsia"/>
                <w:color w:val="auto"/>
              </w:rPr>
              <w:t>路圩村</w:t>
            </w:r>
          </w:p>
        </w:tc>
        <w:tc>
          <w:tcPr>
            <w:tcW w:w="266" w:type="pct"/>
            <w:tcBorders>
              <w:bottom w:val="single" w:color="auto" w:sz="4" w:space="0"/>
            </w:tcBorders>
            <w:vAlign w:val="center"/>
          </w:tcPr>
          <w:p>
            <w:pPr>
              <w:pStyle w:val="1132"/>
              <w:rPr>
                <w:color w:val="auto"/>
              </w:rPr>
            </w:pPr>
            <w:r>
              <w:rPr>
                <w:rFonts w:hint="default" w:ascii="Times New Roman" w:hAnsi="Times New Roman" w:cs="Times New Roman"/>
                <w:color w:val="auto"/>
                <w:sz w:val="21"/>
                <w:szCs w:val="21"/>
                <w:lang w:val="en-US" w:eastAsia="zh-CN"/>
              </w:rPr>
              <w:t>0~1.2</w:t>
            </w:r>
          </w:p>
        </w:tc>
        <w:tc>
          <w:tcPr>
            <w:tcW w:w="454" w:type="pct"/>
            <w:tcBorders>
              <w:bottom w:val="single" w:color="auto" w:sz="4" w:space="0"/>
            </w:tcBorders>
            <w:vAlign w:val="center"/>
          </w:tcPr>
          <w:p>
            <w:pPr>
              <w:pStyle w:val="1132"/>
              <w:rPr>
                <w:rFonts w:hint="eastAsia" w:eastAsia="宋体"/>
                <w:color w:val="auto"/>
                <w:lang w:val="en-US" w:eastAsia="zh-CN"/>
              </w:rPr>
            </w:pPr>
            <w:r>
              <w:rPr>
                <w:rFonts w:hint="eastAsia"/>
                <w:color w:val="auto"/>
                <w:lang w:val="en-US" w:eastAsia="zh-CN"/>
              </w:rPr>
              <w:t>路右正对</w:t>
            </w:r>
          </w:p>
        </w:tc>
        <w:tc>
          <w:tcPr>
            <w:tcW w:w="404" w:type="pct"/>
            <w:tcBorders>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路堤</w:t>
            </w:r>
          </w:p>
        </w:tc>
        <w:tc>
          <w:tcPr>
            <w:tcW w:w="403" w:type="pct"/>
            <w:tcBorders>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318</w:t>
            </w:r>
          </w:p>
        </w:tc>
        <w:tc>
          <w:tcPr>
            <w:tcW w:w="606" w:type="pct"/>
            <w:tcBorders>
              <w:bottom w:val="single" w:color="auto" w:sz="4" w:space="0"/>
            </w:tcBorders>
            <w:vAlign w:val="center"/>
          </w:tcPr>
          <w:p>
            <w:pPr>
              <w:pStyle w:val="1132"/>
              <w:rPr>
                <w:rFonts w:hint="default" w:eastAsia="宋体"/>
                <w:color w:val="auto"/>
                <w:lang w:val="en-US" w:eastAsia="zh-CN"/>
              </w:rPr>
            </w:pPr>
            <w:r>
              <w:rPr>
                <w:rFonts w:hint="eastAsia"/>
                <w:color w:val="auto"/>
                <w:lang w:val="en-US" w:eastAsia="zh-CN"/>
              </w:rPr>
              <w:t>118</w:t>
            </w:r>
          </w:p>
        </w:tc>
        <w:tc>
          <w:tcPr>
            <w:tcW w:w="459" w:type="pct"/>
            <w:tcBorders>
              <w:bottom w:val="single" w:color="auto" w:sz="4" w:space="0"/>
            </w:tcBorders>
            <w:vAlign w:val="center"/>
          </w:tcPr>
          <w:p>
            <w:pPr>
              <w:pStyle w:val="1132"/>
              <w:jc w:val="center"/>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π</w:t>
            </w:r>
          </w:p>
        </w:tc>
        <w:tc>
          <w:tcPr>
            <w:tcW w:w="242" w:type="pct"/>
            <w:tcBorders>
              <w:bottom w:val="single" w:color="auto" w:sz="4" w:space="0"/>
            </w:tcBorders>
            <w:vAlign w:val="center"/>
          </w:tcPr>
          <w:p>
            <w:pPr>
              <w:pStyle w:val="1132"/>
              <w:rPr>
                <w:rFonts w:hint="default" w:eastAsia="宋体"/>
                <w:color w:val="auto"/>
                <w:lang w:val="en-US" w:eastAsia="zh-CN"/>
              </w:rPr>
            </w:pPr>
            <w:r>
              <w:rPr>
                <w:rFonts w:hint="eastAsia"/>
                <w:color w:val="auto"/>
                <w:lang w:val="en-US" w:eastAsia="zh-CN"/>
              </w:rPr>
              <w:t>0.12</w:t>
            </w:r>
          </w:p>
        </w:tc>
        <w:tc>
          <w:tcPr>
            <w:tcW w:w="365" w:type="pct"/>
            <w:tcBorders>
              <w:bottom w:val="single" w:color="auto" w:sz="4" w:space="0"/>
            </w:tcBorders>
            <w:vAlign w:val="center"/>
          </w:tcPr>
          <w:p>
            <w:pPr>
              <w:pStyle w:val="1132"/>
              <w:rPr>
                <w:rFonts w:hint="default" w:eastAsia="宋体"/>
                <w:color w:val="auto"/>
                <w:lang w:val="en-US" w:eastAsia="zh-CN"/>
              </w:rPr>
            </w:pPr>
            <w:r>
              <w:rPr>
                <w:rFonts w:hint="eastAsia"/>
                <w:color w:val="auto"/>
                <w:lang w:val="en-US" w:eastAsia="zh-CN"/>
              </w:rPr>
              <w:t>7.6</w:t>
            </w:r>
          </w:p>
        </w:tc>
        <w:tc>
          <w:tcPr>
            <w:tcW w:w="485" w:type="pct"/>
            <w:tcBorders>
              <w:bottom w:val="single" w:color="auto" w:sz="4" w:space="0"/>
            </w:tcBorders>
            <w:vAlign w:val="center"/>
          </w:tcPr>
          <w:p>
            <w:pPr>
              <w:pStyle w:val="113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57" w:type="dxa"/>
            <w:bottom w:w="15" w:type="dxa"/>
            <w:right w:w="57" w:type="dxa"/>
          </w:tblCellMar>
        </w:tblPrEx>
        <w:trPr>
          <w:trHeight w:val="249" w:hRule="atLeast"/>
          <w:jc w:val="center"/>
        </w:trPr>
        <w:tc>
          <w:tcPr>
            <w:tcW w:w="239" w:type="pct"/>
            <w:tcBorders>
              <w:top w:val="single" w:color="auto" w:sz="4" w:space="0"/>
              <w:bottom w:val="single" w:color="auto" w:sz="4" w:space="0"/>
            </w:tcBorders>
            <w:vAlign w:val="center"/>
          </w:tcPr>
          <w:p>
            <w:pPr>
              <w:pStyle w:val="1132"/>
              <w:rPr>
                <w:color w:val="auto"/>
              </w:rPr>
            </w:pPr>
            <w:r>
              <w:rPr>
                <w:rFonts w:hint="eastAsia"/>
                <w:color w:val="auto"/>
              </w:rPr>
              <w:t>3</w:t>
            </w:r>
          </w:p>
        </w:tc>
        <w:tc>
          <w:tcPr>
            <w:tcW w:w="617" w:type="pct"/>
            <w:tcBorders>
              <w:top w:val="single" w:color="auto" w:sz="4" w:space="0"/>
              <w:bottom w:val="single" w:color="auto" w:sz="4" w:space="0"/>
            </w:tcBorders>
            <w:vAlign w:val="center"/>
          </w:tcPr>
          <w:p>
            <w:pPr>
              <w:pStyle w:val="1132"/>
              <w:rPr>
                <w:color w:val="auto"/>
                <w:szCs w:val="21"/>
              </w:rPr>
            </w:pPr>
            <w:r>
              <w:rPr>
                <w:rFonts w:hint="eastAsia" w:cs="Times New Roman"/>
                <w:color w:val="auto"/>
                <w:sz w:val="21"/>
                <w:szCs w:val="21"/>
                <w:lang w:val="en-US" w:eastAsia="zh-CN"/>
              </w:rPr>
              <w:t>K2+600~K2+800</w:t>
            </w:r>
          </w:p>
        </w:tc>
        <w:tc>
          <w:tcPr>
            <w:tcW w:w="454" w:type="pct"/>
            <w:tcBorders>
              <w:top w:val="single" w:color="auto" w:sz="4" w:space="0"/>
              <w:bottom w:val="single" w:color="auto" w:sz="4" w:space="0"/>
            </w:tcBorders>
            <w:vAlign w:val="center"/>
          </w:tcPr>
          <w:p>
            <w:pPr>
              <w:pStyle w:val="1132"/>
              <w:rPr>
                <w:color w:val="auto"/>
              </w:rPr>
            </w:pPr>
            <w:r>
              <w:rPr>
                <w:rFonts w:hint="eastAsia"/>
                <w:color w:val="auto"/>
              </w:rPr>
              <w:t>汤庄（原）</w:t>
            </w:r>
          </w:p>
        </w:tc>
        <w:tc>
          <w:tcPr>
            <w:tcW w:w="266" w:type="pct"/>
            <w:tcBorders>
              <w:top w:val="single" w:color="auto" w:sz="4" w:space="0"/>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default" w:ascii="Times New Roman" w:hAnsi="Times New Roman" w:cs="Times New Roman"/>
                <w:color w:val="auto"/>
                <w:sz w:val="21"/>
                <w:szCs w:val="21"/>
                <w:lang w:val="en-US" w:eastAsia="zh-CN"/>
              </w:rPr>
              <w:t>0~1.2</w:t>
            </w:r>
          </w:p>
        </w:tc>
        <w:tc>
          <w:tcPr>
            <w:tcW w:w="454" w:type="pct"/>
            <w:tcBorders>
              <w:top w:val="single" w:color="auto" w:sz="4" w:space="0"/>
              <w:bottom w:val="single" w:color="auto" w:sz="4" w:space="0"/>
            </w:tcBorders>
            <w:vAlign w:val="center"/>
          </w:tcPr>
          <w:p>
            <w:pPr>
              <w:pStyle w:val="1132"/>
              <w:rPr>
                <w:rFonts w:hint="default" w:eastAsia="宋体"/>
                <w:color w:val="auto"/>
                <w:lang w:val="en-US" w:eastAsia="zh-CN"/>
              </w:rPr>
            </w:pPr>
            <w:r>
              <w:rPr>
                <w:rFonts w:hint="eastAsia"/>
                <w:color w:val="auto"/>
                <w:lang w:val="en-US" w:eastAsia="zh-CN"/>
              </w:rPr>
              <w:t>路右正对</w:t>
            </w:r>
          </w:p>
        </w:tc>
        <w:tc>
          <w:tcPr>
            <w:tcW w:w="404" w:type="pct"/>
            <w:tcBorders>
              <w:top w:val="single" w:color="auto" w:sz="4" w:space="0"/>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路堤</w:t>
            </w:r>
          </w:p>
        </w:tc>
        <w:tc>
          <w:tcPr>
            <w:tcW w:w="403" w:type="pct"/>
            <w:tcBorders>
              <w:top w:val="single" w:color="auto" w:sz="4" w:space="0"/>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200</w:t>
            </w:r>
          </w:p>
        </w:tc>
        <w:tc>
          <w:tcPr>
            <w:tcW w:w="606" w:type="pct"/>
            <w:tcBorders>
              <w:top w:val="single" w:color="auto" w:sz="4" w:space="0"/>
              <w:bottom w:val="single" w:color="auto" w:sz="4" w:space="0"/>
            </w:tcBorders>
            <w:vAlign w:val="center"/>
          </w:tcPr>
          <w:p>
            <w:pPr>
              <w:pStyle w:val="1132"/>
              <w:rPr>
                <w:rFonts w:hint="default" w:eastAsia="宋体"/>
                <w:color w:val="auto"/>
                <w:szCs w:val="21"/>
                <w:lang w:val="en-US" w:eastAsia="zh-CN"/>
              </w:rPr>
            </w:pPr>
            <w:r>
              <w:rPr>
                <w:rFonts w:hint="eastAsia"/>
                <w:color w:val="auto"/>
                <w:szCs w:val="21"/>
                <w:lang w:val="en-US" w:eastAsia="zh-CN"/>
              </w:rPr>
              <w:t>136</w:t>
            </w:r>
          </w:p>
        </w:tc>
        <w:tc>
          <w:tcPr>
            <w:tcW w:w="459" w:type="pct"/>
            <w:tcBorders>
              <w:top w:val="single" w:color="auto" w:sz="4" w:space="0"/>
              <w:bottom w:val="single" w:color="auto" w:sz="4" w:space="0"/>
            </w:tcBorders>
            <w:vAlign w:val="center"/>
          </w:tcPr>
          <w:p>
            <w:pPr>
              <w:pStyle w:val="1132"/>
              <w:jc w:val="center"/>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π</w:t>
            </w:r>
          </w:p>
        </w:tc>
        <w:tc>
          <w:tcPr>
            <w:tcW w:w="242" w:type="pct"/>
            <w:tcBorders>
              <w:top w:val="single" w:color="auto" w:sz="4" w:space="0"/>
              <w:bottom w:val="single" w:color="auto" w:sz="4" w:space="0"/>
            </w:tcBorders>
            <w:vAlign w:val="center"/>
          </w:tcPr>
          <w:p>
            <w:pPr>
              <w:pStyle w:val="1132"/>
              <w:rPr>
                <w:rFonts w:hint="default" w:eastAsia="宋体"/>
                <w:color w:val="auto"/>
                <w:lang w:val="en-US" w:eastAsia="zh-CN"/>
              </w:rPr>
            </w:pPr>
            <w:r>
              <w:rPr>
                <w:rFonts w:hint="eastAsia"/>
                <w:color w:val="auto"/>
                <w:lang w:val="en-US" w:eastAsia="zh-CN"/>
              </w:rPr>
              <w:t>0.15</w:t>
            </w:r>
          </w:p>
        </w:tc>
        <w:tc>
          <w:tcPr>
            <w:tcW w:w="365" w:type="pct"/>
            <w:tcBorders>
              <w:top w:val="single" w:color="auto" w:sz="4" w:space="0"/>
              <w:bottom w:val="single" w:color="auto" w:sz="4" w:space="0"/>
            </w:tcBorders>
            <w:vAlign w:val="center"/>
          </w:tcPr>
          <w:p>
            <w:pPr>
              <w:pStyle w:val="1132"/>
              <w:rPr>
                <w:rFonts w:hint="default" w:eastAsia="宋体"/>
                <w:color w:val="auto"/>
                <w:lang w:val="en-US" w:eastAsia="zh-CN"/>
              </w:rPr>
            </w:pPr>
            <w:r>
              <w:rPr>
                <w:rFonts w:hint="eastAsia"/>
                <w:color w:val="auto"/>
                <w:lang w:val="en-US" w:eastAsia="zh-CN"/>
              </w:rPr>
              <w:t>8.1</w:t>
            </w:r>
          </w:p>
        </w:tc>
        <w:tc>
          <w:tcPr>
            <w:tcW w:w="485" w:type="pct"/>
            <w:tcBorders>
              <w:top w:val="single" w:color="auto" w:sz="4" w:space="0"/>
              <w:bottom w:val="single" w:color="auto" w:sz="4" w:space="0"/>
            </w:tcBorders>
            <w:vAlign w:val="center"/>
          </w:tcPr>
          <w:p>
            <w:pPr>
              <w:pStyle w:val="113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57" w:type="dxa"/>
            <w:bottom w:w="15" w:type="dxa"/>
            <w:right w:w="57" w:type="dxa"/>
          </w:tblCellMar>
        </w:tblPrEx>
        <w:trPr>
          <w:trHeight w:val="273" w:hRule="atLeast"/>
          <w:jc w:val="center"/>
        </w:trPr>
        <w:tc>
          <w:tcPr>
            <w:tcW w:w="239" w:type="pct"/>
            <w:tcBorders>
              <w:top w:val="single" w:color="auto" w:sz="4" w:space="0"/>
              <w:bottom w:val="single" w:color="auto" w:sz="4" w:space="0"/>
            </w:tcBorders>
            <w:vAlign w:val="center"/>
          </w:tcPr>
          <w:p>
            <w:pPr>
              <w:pStyle w:val="1132"/>
              <w:rPr>
                <w:color w:val="auto"/>
              </w:rPr>
            </w:pPr>
            <w:r>
              <w:rPr>
                <w:rFonts w:hint="eastAsia"/>
                <w:color w:val="auto"/>
              </w:rPr>
              <w:t>4</w:t>
            </w:r>
          </w:p>
        </w:tc>
        <w:tc>
          <w:tcPr>
            <w:tcW w:w="617" w:type="pct"/>
            <w:tcBorders>
              <w:top w:val="single" w:color="auto" w:sz="4" w:space="0"/>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szCs w:val="21"/>
              </w:rPr>
            </w:pPr>
            <w:r>
              <w:rPr>
                <w:rFonts w:hint="eastAsia" w:cs="Times New Roman"/>
                <w:color w:val="auto"/>
                <w:sz w:val="21"/>
                <w:szCs w:val="21"/>
                <w:lang w:val="en-US" w:eastAsia="zh-CN"/>
              </w:rPr>
              <w:t>K3+350~K3+430</w:t>
            </w:r>
          </w:p>
        </w:tc>
        <w:tc>
          <w:tcPr>
            <w:tcW w:w="454" w:type="pct"/>
            <w:tcBorders>
              <w:top w:val="single" w:color="auto" w:sz="4" w:space="0"/>
              <w:bottom w:val="single" w:color="auto" w:sz="4" w:space="0"/>
            </w:tcBorders>
            <w:vAlign w:val="center"/>
          </w:tcPr>
          <w:p>
            <w:pPr>
              <w:pStyle w:val="1132"/>
              <w:rPr>
                <w:color w:val="auto"/>
              </w:rPr>
            </w:pPr>
            <w:r>
              <w:rPr>
                <w:rFonts w:hint="eastAsia"/>
                <w:color w:val="auto"/>
              </w:rPr>
              <w:t>汤庄</w:t>
            </w:r>
          </w:p>
        </w:tc>
        <w:tc>
          <w:tcPr>
            <w:tcW w:w="266" w:type="pct"/>
            <w:tcBorders>
              <w:top w:val="single" w:color="auto" w:sz="4" w:space="0"/>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default" w:ascii="Times New Roman" w:hAnsi="Times New Roman" w:cs="Times New Roman"/>
                <w:color w:val="auto"/>
                <w:sz w:val="21"/>
                <w:szCs w:val="21"/>
                <w:lang w:val="en-US" w:eastAsia="zh-CN"/>
              </w:rPr>
              <w:t>1.1~1.5</w:t>
            </w:r>
          </w:p>
        </w:tc>
        <w:tc>
          <w:tcPr>
            <w:tcW w:w="454" w:type="pct"/>
            <w:tcBorders>
              <w:top w:val="single" w:color="auto" w:sz="4" w:space="0"/>
              <w:bottom w:val="single" w:color="auto" w:sz="4" w:space="0"/>
            </w:tcBorders>
            <w:vAlign w:val="center"/>
          </w:tcPr>
          <w:p>
            <w:pPr>
              <w:pStyle w:val="1132"/>
              <w:rPr>
                <w:rFonts w:hint="default" w:eastAsia="宋体"/>
                <w:color w:val="auto"/>
                <w:lang w:val="en-US" w:eastAsia="zh-CN"/>
              </w:rPr>
            </w:pPr>
            <w:r>
              <w:rPr>
                <w:rFonts w:hint="eastAsia"/>
                <w:color w:val="auto"/>
                <w:lang w:val="en-US" w:eastAsia="zh-CN"/>
              </w:rPr>
              <w:t>路右侧对</w:t>
            </w:r>
          </w:p>
        </w:tc>
        <w:tc>
          <w:tcPr>
            <w:tcW w:w="404" w:type="pct"/>
            <w:tcBorders>
              <w:top w:val="single" w:color="auto" w:sz="4" w:space="0"/>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路堤</w:t>
            </w:r>
          </w:p>
        </w:tc>
        <w:tc>
          <w:tcPr>
            <w:tcW w:w="403" w:type="pct"/>
            <w:tcBorders>
              <w:top w:val="single" w:color="auto" w:sz="4" w:space="0"/>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80</w:t>
            </w:r>
          </w:p>
        </w:tc>
        <w:tc>
          <w:tcPr>
            <w:tcW w:w="606" w:type="pct"/>
            <w:tcBorders>
              <w:top w:val="single" w:color="auto" w:sz="4" w:space="0"/>
              <w:bottom w:val="single" w:color="auto" w:sz="4" w:space="0"/>
            </w:tcBorders>
            <w:vAlign w:val="center"/>
          </w:tcPr>
          <w:p>
            <w:pPr>
              <w:pStyle w:val="1132"/>
              <w:rPr>
                <w:rFonts w:hint="eastAsia" w:eastAsia="宋体"/>
                <w:color w:val="auto"/>
                <w:lang w:val="en-US" w:eastAsia="zh-CN"/>
              </w:rPr>
            </w:pPr>
            <w:r>
              <w:rPr>
                <w:rFonts w:hint="eastAsia"/>
                <w:color w:val="auto"/>
                <w:lang w:val="en-US" w:eastAsia="zh-CN"/>
              </w:rPr>
              <w:t>8</w:t>
            </w:r>
          </w:p>
        </w:tc>
        <w:tc>
          <w:tcPr>
            <w:tcW w:w="459" w:type="pct"/>
            <w:tcBorders>
              <w:top w:val="single" w:color="auto" w:sz="4" w:space="0"/>
              <w:bottom w:val="single" w:color="auto" w:sz="4" w:space="0"/>
            </w:tcBorders>
            <w:vAlign w:val="center"/>
          </w:tcPr>
          <w:p>
            <w:pPr>
              <w:pStyle w:val="1132"/>
              <w:jc w:val="center"/>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π</w:t>
            </w:r>
          </w:p>
        </w:tc>
        <w:tc>
          <w:tcPr>
            <w:tcW w:w="242" w:type="pct"/>
            <w:tcBorders>
              <w:top w:val="single" w:color="auto" w:sz="4" w:space="0"/>
              <w:bottom w:val="single" w:color="auto" w:sz="4" w:space="0"/>
            </w:tcBorders>
            <w:vAlign w:val="center"/>
          </w:tcPr>
          <w:p>
            <w:pPr>
              <w:pStyle w:val="1132"/>
              <w:rPr>
                <w:rFonts w:hint="default" w:eastAsia="宋体"/>
                <w:color w:val="auto"/>
                <w:lang w:val="en-US" w:eastAsia="zh-CN"/>
              </w:rPr>
            </w:pPr>
            <w:r>
              <w:rPr>
                <w:rFonts w:hint="eastAsia"/>
                <w:color w:val="auto"/>
                <w:lang w:val="en-US" w:eastAsia="zh-CN"/>
              </w:rPr>
              <w:t>0.11</w:t>
            </w:r>
          </w:p>
        </w:tc>
        <w:tc>
          <w:tcPr>
            <w:tcW w:w="365" w:type="pct"/>
            <w:tcBorders>
              <w:top w:val="single" w:color="auto" w:sz="4" w:space="0"/>
              <w:bottom w:val="single" w:color="auto" w:sz="4" w:space="0"/>
            </w:tcBorders>
            <w:vAlign w:val="center"/>
          </w:tcPr>
          <w:p>
            <w:pPr>
              <w:pStyle w:val="1132"/>
              <w:rPr>
                <w:rFonts w:hint="default" w:eastAsia="宋体"/>
                <w:color w:val="auto"/>
                <w:lang w:val="en-US" w:eastAsia="zh-CN"/>
              </w:rPr>
            </w:pPr>
            <w:r>
              <w:rPr>
                <w:rFonts w:hint="eastAsia"/>
                <w:color w:val="auto"/>
                <w:lang w:val="en-US" w:eastAsia="zh-CN"/>
              </w:rPr>
              <w:t>7.6</w:t>
            </w:r>
          </w:p>
        </w:tc>
        <w:tc>
          <w:tcPr>
            <w:tcW w:w="485" w:type="pct"/>
            <w:tcBorders>
              <w:top w:val="single" w:color="auto" w:sz="4" w:space="0"/>
              <w:bottom w:val="single" w:color="auto" w:sz="4" w:space="0"/>
            </w:tcBorders>
            <w:vAlign w:val="center"/>
          </w:tcPr>
          <w:p>
            <w:pPr>
              <w:pStyle w:val="113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4a/2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57" w:type="dxa"/>
            <w:bottom w:w="15" w:type="dxa"/>
            <w:right w:w="57" w:type="dxa"/>
          </w:tblCellMar>
        </w:tblPrEx>
        <w:trPr>
          <w:trHeight w:val="268" w:hRule="atLeast"/>
          <w:jc w:val="center"/>
        </w:trPr>
        <w:tc>
          <w:tcPr>
            <w:tcW w:w="239" w:type="pct"/>
            <w:tcBorders>
              <w:top w:val="single" w:color="auto" w:sz="4" w:space="0"/>
            </w:tcBorders>
            <w:vAlign w:val="center"/>
          </w:tcPr>
          <w:p>
            <w:pPr>
              <w:pStyle w:val="1132"/>
              <w:rPr>
                <w:color w:val="auto"/>
              </w:rPr>
            </w:pPr>
            <w:r>
              <w:rPr>
                <w:rFonts w:hint="eastAsia"/>
                <w:color w:val="auto"/>
              </w:rPr>
              <w:t>5</w:t>
            </w:r>
          </w:p>
        </w:tc>
        <w:tc>
          <w:tcPr>
            <w:tcW w:w="617" w:type="pct"/>
            <w:tcBorders>
              <w:top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szCs w:val="21"/>
              </w:rPr>
            </w:pPr>
            <w:r>
              <w:rPr>
                <w:rFonts w:hint="eastAsia" w:cs="Times New Roman"/>
                <w:color w:val="auto"/>
                <w:sz w:val="21"/>
                <w:szCs w:val="21"/>
                <w:lang w:val="en-US" w:eastAsia="zh-CN"/>
              </w:rPr>
              <w:t>K3+210~K3+450</w:t>
            </w:r>
          </w:p>
        </w:tc>
        <w:tc>
          <w:tcPr>
            <w:tcW w:w="454" w:type="pct"/>
            <w:tcBorders>
              <w:top w:val="single" w:color="auto" w:sz="4" w:space="0"/>
            </w:tcBorders>
            <w:vAlign w:val="center"/>
          </w:tcPr>
          <w:p>
            <w:pPr>
              <w:pStyle w:val="1132"/>
              <w:rPr>
                <w:color w:val="auto"/>
              </w:rPr>
            </w:pPr>
            <w:r>
              <w:rPr>
                <w:rFonts w:hint="eastAsia"/>
                <w:color w:val="auto"/>
              </w:rPr>
              <w:t>仁和村</w:t>
            </w:r>
          </w:p>
        </w:tc>
        <w:tc>
          <w:tcPr>
            <w:tcW w:w="266" w:type="pct"/>
            <w:tcBorders>
              <w:top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default" w:ascii="Times New Roman" w:hAnsi="Times New Roman" w:cs="Times New Roman"/>
                <w:color w:val="auto"/>
                <w:sz w:val="21"/>
                <w:szCs w:val="21"/>
                <w:lang w:val="en-US" w:eastAsia="zh-CN"/>
              </w:rPr>
              <w:t>1.1~1.5</w:t>
            </w:r>
          </w:p>
        </w:tc>
        <w:tc>
          <w:tcPr>
            <w:tcW w:w="454" w:type="pct"/>
            <w:tcBorders>
              <w:top w:val="single" w:color="auto" w:sz="4" w:space="0"/>
            </w:tcBorders>
            <w:vAlign w:val="center"/>
          </w:tcPr>
          <w:p>
            <w:pPr>
              <w:pStyle w:val="1132"/>
              <w:rPr>
                <w:rFonts w:hint="default" w:eastAsia="宋体"/>
                <w:color w:val="auto"/>
                <w:lang w:val="en-US" w:eastAsia="zh-CN"/>
              </w:rPr>
            </w:pPr>
            <w:r>
              <w:rPr>
                <w:rFonts w:hint="eastAsia"/>
                <w:color w:val="auto"/>
                <w:lang w:val="en-US" w:eastAsia="zh-CN"/>
              </w:rPr>
              <w:t>路左侧对</w:t>
            </w:r>
          </w:p>
        </w:tc>
        <w:tc>
          <w:tcPr>
            <w:tcW w:w="404" w:type="pct"/>
            <w:tcBorders>
              <w:top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路堤</w:t>
            </w:r>
          </w:p>
        </w:tc>
        <w:tc>
          <w:tcPr>
            <w:tcW w:w="403" w:type="pct"/>
            <w:tcBorders>
              <w:top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240</w:t>
            </w:r>
          </w:p>
        </w:tc>
        <w:tc>
          <w:tcPr>
            <w:tcW w:w="606" w:type="pct"/>
            <w:tcBorders>
              <w:top w:val="single" w:color="auto" w:sz="4" w:space="0"/>
            </w:tcBorders>
            <w:vAlign w:val="center"/>
          </w:tcPr>
          <w:p>
            <w:pPr>
              <w:pStyle w:val="1132"/>
              <w:rPr>
                <w:rFonts w:hint="eastAsia" w:eastAsia="宋体"/>
                <w:color w:val="auto"/>
                <w:lang w:val="en-US" w:eastAsia="zh-CN"/>
              </w:rPr>
            </w:pPr>
            <w:r>
              <w:rPr>
                <w:rFonts w:hint="eastAsia"/>
                <w:color w:val="auto"/>
                <w:lang w:val="en-US" w:eastAsia="zh-CN"/>
              </w:rPr>
              <w:t>5</w:t>
            </w:r>
          </w:p>
        </w:tc>
        <w:tc>
          <w:tcPr>
            <w:tcW w:w="459" w:type="pct"/>
            <w:tcBorders>
              <w:top w:val="single" w:color="auto" w:sz="4" w:space="0"/>
            </w:tcBorders>
            <w:vAlign w:val="center"/>
          </w:tcPr>
          <w:p>
            <w:pPr>
              <w:pStyle w:val="1132"/>
              <w:jc w:val="center"/>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π</w:t>
            </w:r>
          </w:p>
        </w:tc>
        <w:tc>
          <w:tcPr>
            <w:tcW w:w="242" w:type="pct"/>
            <w:tcBorders>
              <w:top w:val="single" w:color="auto" w:sz="4" w:space="0"/>
            </w:tcBorders>
            <w:vAlign w:val="center"/>
          </w:tcPr>
          <w:p>
            <w:pPr>
              <w:pStyle w:val="1132"/>
              <w:rPr>
                <w:rFonts w:hint="default" w:eastAsia="宋体"/>
                <w:color w:val="auto"/>
                <w:lang w:val="en-US" w:eastAsia="zh-CN"/>
              </w:rPr>
            </w:pPr>
            <w:r>
              <w:rPr>
                <w:rFonts w:hint="eastAsia"/>
                <w:color w:val="auto"/>
                <w:lang w:val="en-US" w:eastAsia="zh-CN"/>
              </w:rPr>
              <w:t>0.20</w:t>
            </w:r>
          </w:p>
        </w:tc>
        <w:tc>
          <w:tcPr>
            <w:tcW w:w="365" w:type="pct"/>
            <w:tcBorders>
              <w:top w:val="single" w:color="auto" w:sz="4" w:space="0"/>
            </w:tcBorders>
            <w:vAlign w:val="center"/>
          </w:tcPr>
          <w:p>
            <w:pPr>
              <w:pStyle w:val="1132"/>
              <w:rPr>
                <w:rFonts w:hint="default" w:eastAsia="宋体"/>
                <w:color w:val="auto"/>
                <w:lang w:val="en-US" w:eastAsia="zh-CN"/>
              </w:rPr>
            </w:pPr>
            <w:r>
              <w:rPr>
                <w:rFonts w:hint="eastAsia"/>
                <w:color w:val="auto"/>
                <w:lang w:val="en-US" w:eastAsia="zh-CN"/>
              </w:rPr>
              <w:t>9.4</w:t>
            </w:r>
          </w:p>
        </w:tc>
        <w:tc>
          <w:tcPr>
            <w:tcW w:w="485" w:type="pct"/>
            <w:tcBorders>
              <w:top w:val="single" w:color="auto" w:sz="4" w:space="0"/>
            </w:tcBorders>
            <w:vAlign w:val="center"/>
          </w:tcPr>
          <w:p>
            <w:pPr>
              <w:pStyle w:val="113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4a/2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57" w:type="dxa"/>
            <w:bottom w:w="15" w:type="dxa"/>
            <w:right w:w="57" w:type="dxa"/>
          </w:tblCellMar>
        </w:tblPrEx>
        <w:trPr>
          <w:jc w:val="center"/>
        </w:trPr>
        <w:tc>
          <w:tcPr>
            <w:tcW w:w="239" w:type="pct"/>
            <w:vAlign w:val="center"/>
          </w:tcPr>
          <w:p>
            <w:pPr>
              <w:pStyle w:val="1132"/>
              <w:rPr>
                <w:color w:val="auto"/>
                <w:sz w:val="22"/>
                <w:szCs w:val="22"/>
              </w:rPr>
            </w:pPr>
            <w:r>
              <w:rPr>
                <w:rFonts w:hint="eastAsia"/>
                <w:color w:val="auto"/>
                <w:sz w:val="22"/>
                <w:szCs w:val="22"/>
              </w:rPr>
              <w:t>6</w:t>
            </w:r>
          </w:p>
        </w:tc>
        <w:tc>
          <w:tcPr>
            <w:tcW w:w="617" w:type="pc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K3+480~K3+710</w:t>
            </w:r>
          </w:p>
        </w:tc>
        <w:tc>
          <w:tcPr>
            <w:tcW w:w="454" w:type="pct"/>
            <w:vAlign w:val="center"/>
          </w:tcPr>
          <w:p>
            <w:pPr>
              <w:pStyle w:val="1132"/>
              <w:rPr>
                <w:color w:val="auto"/>
              </w:rPr>
            </w:pPr>
            <w:r>
              <w:rPr>
                <w:rFonts w:hint="eastAsia"/>
                <w:color w:val="auto"/>
              </w:rPr>
              <w:t>王庄</w:t>
            </w:r>
          </w:p>
        </w:tc>
        <w:tc>
          <w:tcPr>
            <w:tcW w:w="266" w:type="pct"/>
            <w:vAlign w:val="center"/>
          </w:tcPr>
          <w:p>
            <w:pPr>
              <w:pStyle w:val="1132"/>
              <w:rPr>
                <w:rFonts w:hint="default" w:eastAsia="宋体"/>
                <w:color w:val="auto"/>
                <w:lang w:val="en-US" w:eastAsia="zh-CN"/>
              </w:rPr>
            </w:pPr>
            <w:r>
              <w:rPr>
                <w:rFonts w:hint="eastAsia"/>
                <w:color w:val="auto"/>
                <w:lang w:val="en-US" w:eastAsia="zh-CN"/>
              </w:rPr>
              <w:t>0~1.1</w:t>
            </w:r>
          </w:p>
        </w:tc>
        <w:tc>
          <w:tcPr>
            <w:tcW w:w="454" w:type="pct"/>
            <w:vAlign w:val="center"/>
          </w:tcPr>
          <w:p>
            <w:pPr>
              <w:pStyle w:val="1132"/>
              <w:rPr>
                <w:rFonts w:hint="default" w:eastAsia="宋体"/>
                <w:color w:val="auto"/>
                <w:lang w:val="en-US" w:eastAsia="zh-CN"/>
              </w:rPr>
            </w:pPr>
            <w:r>
              <w:rPr>
                <w:rFonts w:hint="eastAsia"/>
                <w:color w:val="auto"/>
                <w:lang w:val="en-US" w:eastAsia="zh-CN"/>
              </w:rPr>
              <w:t>两侧正对/背对</w:t>
            </w:r>
          </w:p>
        </w:tc>
        <w:tc>
          <w:tcPr>
            <w:tcW w:w="404" w:type="pc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路堤</w:t>
            </w:r>
          </w:p>
        </w:tc>
        <w:tc>
          <w:tcPr>
            <w:tcW w:w="403" w:type="pc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230</w:t>
            </w:r>
          </w:p>
        </w:tc>
        <w:tc>
          <w:tcPr>
            <w:tcW w:w="606" w:type="pct"/>
            <w:vAlign w:val="center"/>
          </w:tcPr>
          <w:p>
            <w:pPr>
              <w:pStyle w:val="1132"/>
              <w:rPr>
                <w:rFonts w:hint="eastAsia" w:eastAsia="宋体"/>
                <w:color w:val="auto"/>
                <w:lang w:val="en-US" w:eastAsia="zh-CN"/>
              </w:rPr>
            </w:pPr>
            <w:r>
              <w:rPr>
                <w:rFonts w:hint="eastAsia"/>
                <w:color w:val="auto"/>
                <w:lang w:val="en-US" w:eastAsia="zh-CN"/>
              </w:rPr>
              <w:t>6</w:t>
            </w:r>
          </w:p>
        </w:tc>
        <w:tc>
          <w:tcPr>
            <w:tcW w:w="459" w:type="pct"/>
            <w:vAlign w:val="center"/>
          </w:tcPr>
          <w:p>
            <w:pPr>
              <w:pStyle w:val="1132"/>
              <w:jc w:val="center"/>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π</w:t>
            </w:r>
          </w:p>
        </w:tc>
        <w:tc>
          <w:tcPr>
            <w:tcW w:w="242" w:type="pct"/>
            <w:vAlign w:val="center"/>
          </w:tcPr>
          <w:p>
            <w:pPr>
              <w:pStyle w:val="1132"/>
              <w:rPr>
                <w:rFonts w:hint="default" w:eastAsia="宋体"/>
                <w:color w:val="auto"/>
                <w:lang w:val="en-US" w:eastAsia="zh-CN"/>
              </w:rPr>
            </w:pPr>
            <w:r>
              <w:rPr>
                <w:rFonts w:hint="eastAsia"/>
                <w:color w:val="auto"/>
                <w:lang w:val="en-US" w:eastAsia="zh-CN"/>
              </w:rPr>
              <w:t>0.16</w:t>
            </w:r>
          </w:p>
        </w:tc>
        <w:tc>
          <w:tcPr>
            <w:tcW w:w="365" w:type="pct"/>
            <w:vAlign w:val="center"/>
          </w:tcPr>
          <w:p>
            <w:pPr>
              <w:pStyle w:val="1132"/>
              <w:rPr>
                <w:rFonts w:hint="default" w:eastAsia="宋体"/>
                <w:color w:val="auto"/>
                <w:lang w:val="en-US" w:eastAsia="zh-CN"/>
              </w:rPr>
            </w:pPr>
            <w:r>
              <w:rPr>
                <w:rFonts w:hint="eastAsia"/>
                <w:color w:val="auto"/>
                <w:lang w:val="en-US" w:eastAsia="zh-CN"/>
              </w:rPr>
              <w:t>8.2</w:t>
            </w:r>
          </w:p>
        </w:tc>
        <w:tc>
          <w:tcPr>
            <w:tcW w:w="485" w:type="pct"/>
            <w:vAlign w:val="center"/>
          </w:tcPr>
          <w:p>
            <w:pPr>
              <w:pStyle w:val="113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4a/2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57" w:type="dxa"/>
            <w:bottom w:w="15" w:type="dxa"/>
            <w:right w:w="57" w:type="dxa"/>
          </w:tblCellMar>
        </w:tblPrEx>
        <w:trPr>
          <w:jc w:val="center"/>
        </w:trPr>
        <w:tc>
          <w:tcPr>
            <w:tcW w:w="239" w:type="pct"/>
            <w:vAlign w:val="center"/>
          </w:tcPr>
          <w:p>
            <w:pPr>
              <w:pStyle w:val="1132"/>
              <w:rPr>
                <w:color w:val="auto"/>
                <w:sz w:val="22"/>
                <w:szCs w:val="22"/>
              </w:rPr>
            </w:pPr>
            <w:r>
              <w:rPr>
                <w:rFonts w:hint="eastAsia"/>
                <w:color w:val="auto"/>
                <w:sz w:val="22"/>
                <w:szCs w:val="22"/>
              </w:rPr>
              <w:t>7</w:t>
            </w:r>
          </w:p>
        </w:tc>
        <w:tc>
          <w:tcPr>
            <w:tcW w:w="617" w:type="pc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K3+440~K3+920</w:t>
            </w:r>
          </w:p>
        </w:tc>
        <w:tc>
          <w:tcPr>
            <w:tcW w:w="454" w:type="pct"/>
            <w:vAlign w:val="center"/>
          </w:tcPr>
          <w:p>
            <w:pPr>
              <w:pStyle w:val="1132"/>
              <w:rPr>
                <w:color w:val="auto"/>
              </w:rPr>
            </w:pPr>
            <w:r>
              <w:rPr>
                <w:rFonts w:hint="eastAsia"/>
                <w:color w:val="auto"/>
              </w:rPr>
              <w:t>张园</w:t>
            </w:r>
          </w:p>
        </w:tc>
        <w:tc>
          <w:tcPr>
            <w:tcW w:w="266" w:type="pct"/>
            <w:vAlign w:val="center"/>
          </w:tcPr>
          <w:p>
            <w:pPr>
              <w:pStyle w:val="1132"/>
              <w:rPr>
                <w:color w:val="auto"/>
              </w:rPr>
            </w:pPr>
            <w:r>
              <w:rPr>
                <w:rFonts w:hint="default" w:ascii="Times New Roman" w:hAnsi="Times New Roman" w:cs="Times New Roman"/>
                <w:color w:val="auto"/>
                <w:sz w:val="21"/>
                <w:szCs w:val="21"/>
                <w:lang w:val="en-US" w:eastAsia="zh-CN"/>
              </w:rPr>
              <w:t>0~3.4</w:t>
            </w:r>
          </w:p>
        </w:tc>
        <w:tc>
          <w:tcPr>
            <w:tcW w:w="454" w:type="pct"/>
            <w:vAlign w:val="center"/>
          </w:tcPr>
          <w:p>
            <w:pPr>
              <w:pStyle w:val="1132"/>
              <w:rPr>
                <w:rFonts w:hint="default" w:eastAsia="宋体"/>
                <w:color w:val="auto"/>
                <w:lang w:val="en-US" w:eastAsia="zh-CN"/>
              </w:rPr>
            </w:pPr>
            <w:r>
              <w:rPr>
                <w:rFonts w:hint="eastAsia"/>
                <w:color w:val="auto"/>
                <w:lang w:val="en-US" w:eastAsia="zh-CN"/>
              </w:rPr>
              <w:t>路右正对/背对</w:t>
            </w:r>
          </w:p>
        </w:tc>
        <w:tc>
          <w:tcPr>
            <w:tcW w:w="404" w:type="pc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路堤</w:t>
            </w:r>
          </w:p>
        </w:tc>
        <w:tc>
          <w:tcPr>
            <w:tcW w:w="403" w:type="pc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480</w:t>
            </w:r>
          </w:p>
        </w:tc>
        <w:tc>
          <w:tcPr>
            <w:tcW w:w="606" w:type="pct"/>
            <w:vAlign w:val="center"/>
          </w:tcPr>
          <w:p>
            <w:pPr>
              <w:pStyle w:val="1132"/>
              <w:rPr>
                <w:rFonts w:hint="default" w:eastAsia="宋体"/>
                <w:color w:val="auto"/>
                <w:lang w:val="en-US" w:eastAsia="zh-CN"/>
              </w:rPr>
            </w:pPr>
            <w:r>
              <w:rPr>
                <w:rFonts w:hint="eastAsia"/>
                <w:color w:val="auto"/>
                <w:lang w:val="en-US" w:eastAsia="zh-CN"/>
              </w:rPr>
              <w:t>20</w:t>
            </w:r>
          </w:p>
        </w:tc>
        <w:tc>
          <w:tcPr>
            <w:tcW w:w="459" w:type="pct"/>
            <w:vAlign w:val="center"/>
          </w:tcPr>
          <w:p>
            <w:pPr>
              <w:pStyle w:val="1132"/>
              <w:jc w:val="center"/>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π</w:t>
            </w:r>
          </w:p>
        </w:tc>
        <w:tc>
          <w:tcPr>
            <w:tcW w:w="242" w:type="pct"/>
            <w:vAlign w:val="center"/>
          </w:tcPr>
          <w:p>
            <w:pPr>
              <w:pStyle w:val="1132"/>
              <w:rPr>
                <w:rFonts w:hint="default" w:eastAsia="宋体"/>
                <w:color w:val="auto"/>
                <w:lang w:val="en-US" w:eastAsia="zh-CN"/>
              </w:rPr>
            </w:pPr>
            <w:r>
              <w:rPr>
                <w:rFonts w:hint="eastAsia"/>
                <w:color w:val="auto"/>
                <w:lang w:val="en-US" w:eastAsia="zh-CN"/>
              </w:rPr>
              <w:t>0.12</w:t>
            </w:r>
          </w:p>
        </w:tc>
        <w:tc>
          <w:tcPr>
            <w:tcW w:w="365" w:type="pct"/>
            <w:vAlign w:val="center"/>
          </w:tcPr>
          <w:p>
            <w:pPr>
              <w:pStyle w:val="1132"/>
              <w:rPr>
                <w:color w:val="auto"/>
              </w:rPr>
            </w:pPr>
            <w:r>
              <w:rPr>
                <w:rFonts w:hint="eastAsia"/>
                <w:color w:val="auto"/>
                <w:lang w:val="en-US" w:eastAsia="zh-CN"/>
              </w:rPr>
              <w:t>7.6</w:t>
            </w:r>
          </w:p>
        </w:tc>
        <w:tc>
          <w:tcPr>
            <w:tcW w:w="485" w:type="pct"/>
            <w:vAlign w:val="center"/>
          </w:tcPr>
          <w:p>
            <w:pPr>
              <w:pStyle w:val="113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4a/2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57" w:type="dxa"/>
            <w:bottom w:w="15" w:type="dxa"/>
            <w:right w:w="57" w:type="dxa"/>
          </w:tblCellMar>
        </w:tblPrEx>
        <w:trPr>
          <w:trHeight w:val="277" w:hRule="atLeast"/>
          <w:jc w:val="center"/>
        </w:trPr>
        <w:tc>
          <w:tcPr>
            <w:tcW w:w="239" w:type="pct"/>
            <w:tcBorders>
              <w:bottom w:val="single" w:color="auto" w:sz="4" w:space="0"/>
            </w:tcBorders>
            <w:vAlign w:val="center"/>
          </w:tcPr>
          <w:p>
            <w:pPr>
              <w:pStyle w:val="1132"/>
              <w:rPr>
                <w:color w:val="auto"/>
                <w:sz w:val="22"/>
                <w:szCs w:val="22"/>
              </w:rPr>
            </w:pPr>
            <w:r>
              <w:rPr>
                <w:rFonts w:hint="eastAsia"/>
                <w:color w:val="auto"/>
                <w:sz w:val="22"/>
                <w:szCs w:val="22"/>
              </w:rPr>
              <w:t>8</w:t>
            </w:r>
          </w:p>
        </w:tc>
        <w:tc>
          <w:tcPr>
            <w:tcW w:w="617" w:type="pct"/>
            <w:tcBorders>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K4+000~K4+740</w:t>
            </w:r>
          </w:p>
        </w:tc>
        <w:tc>
          <w:tcPr>
            <w:tcW w:w="454" w:type="pct"/>
            <w:tcBorders>
              <w:bottom w:val="single" w:color="auto" w:sz="4" w:space="0"/>
            </w:tcBorders>
            <w:vAlign w:val="center"/>
          </w:tcPr>
          <w:p>
            <w:pPr>
              <w:pStyle w:val="1132"/>
              <w:rPr>
                <w:color w:val="auto"/>
              </w:rPr>
            </w:pPr>
            <w:r>
              <w:rPr>
                <w:rFonts w:hint="eastAsia"/>
                <w:color w:val="auto"/>
              </w:rPr>
              <w:t>邵楼村</w:t>
            </w:r>
          </w:p>
        </w:tc>
        <w:tc>
          <w:tcPr>
            <w:tcW w:w="266" w:type="pct"/>
            <w:tcBorders>
              <w:bottom w:val="single" w:color="auto" w:sz="4" w:space="0"/>
            </w:tcBorders>
            <w:vAlign w:val="center"/>
          </w:tcPr>
          <w:p>
            <w:pPr>
              <w:pStyle w:val="1132"/>
              <w:rPr>
                <w:color w:val="auto"/>
              </w:rPr>
            </w:pPr>
            <w:r>
              <w:rPr>
                <w:rFonts w:hint="default" w:ascii="Times New Roman" w:hAnsi="Times New Roman" w:cs="Times New Roman"/>
                <w:color w:val="auto"/>
                <w:sz w:val="21"/>
                <w:szCs w:val="21"/>
                <w:lang w:val="en-US" w:eastAsia="zh-CN"/>
              </w:rPr>
              <w:t>0.8~2.5</w:t>
            </w:r>
          </w:p>
        </w:tc>
        <w:tc>
          <w:tcPr>
            <w:tcW w:w="454" w:type="pct"/>
            <w:tcBorders>
              <w:bottom w:val="single" w:color="auto" w:sz="4" w:space="0"/>
            </w:tcBorders>
            <w:vAlign w:val="center"/>
          </w:tcPr>
          <w:p>
            <w:pPr>
              <w:pStyle w:val="1132"/>
              <w:rPr>
                <w:rFonts w:hint="default" w:eastAsia="宋体"/>
                <w:color w:val="auto"/>
                <w:lang w:val="en-US" w:eastAsia="zh-CN"/>
              </w:rPr>
            </w:pPr>
            <w:r>
              <w:rPr>
                <w:rFonts w:hint="eastAsia"/>
                <w:color w:val="auto"/>
                <w:lang w:val="en-US" w:eastAsia="zh-CN"/>
              </w:rPr>
              <w:t>两侧正对/背对</w:t>
            </w:r>
          </w:p>
        </w:tc>
        <w:tc>
          <w:tcPr>
            <w:tcW w:w="404" w:type="pct"/>
            <w:tcBorders>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路堤</w:t>
            </w:r>
          </w:p>
        </w:tc>
        <w:tc>
          <w:tcPr>
            <w:tcW w:w="403" w:type="pct"/>
            <w:tcBorders>
              <w:bottom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740</w:t>
            </w:r>
          </w:p>
        </w:tc>
        <w:tc>
          <w:tcPr>
            <w:tcW w:w="606" w:type="pct"/>
            <w:tcBorders>
              <w:bottom w:val="single" w:color="auto" w:sz="4" w:space="0"/>
            </w:tcBorders>
            <w:vAlign w:val="center"/>
          </w:tcPr>
          <w:p>
            <w:pPr>
              <w:pStyle w:val="1132"/>
              <w:rPr>
                <w:rFonts w:hint="eastAsia" w:eastAsia="宋体"/>
                <w:color w:val="auto"/>
                <w:lang w:val="en-US" w:eastAsia="zh-CN"/>
              </w:rPr>
            </w:pPr>
            <w:r>
              <w:rPr>
                <w:rFonts w:hint="eastAsia"/>
                <w:color w:val="auto"/>
                <w:lang w:val="en-US" w:eastAsia="zh-CN"/>
              </w:rPr>
              <w:t>5</w:t>
            </w:r>
          </w:p>
        </w:tc>
        <w:tc>
          <w:tcPr>
            <w:tcW w:w="459" w:type="pct"/>
            <w:tcBorders>
              <w:bottom w:val="single" w:color="auto" w:sz="4" w:space="0"/>
            </w:tcBorders>
            <w:vAlign w:val="center"/>
          </w:tcPr>
          <w:p>
            <w:pPr>
              <w:pStyle w:val="1132"/>
              <w:jc w:val="center"/>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π</w:t>
            </w:r>
          </w:p>
        </w:tc>
        <w:tc>
          <w:tcPr>
            <w:tcW w:w="684" w:type="dxa"/>
            <w:tcBorders>
              <w:bottom w:val="single" w:color="auto" w:sz="4" w:space="0"/>
            </w:tcBorders>
            <w:vAlign w:val="center"/>
          </w:tcPr>
          <w:p>
            <w:pPr>
              <w:pStyle w:val="1132"/>
              <w:rPr>
                <w:color w:val="auto"/>
              </w:rPr>
            </w:pPr>
            <w:r>
              <w:rPr>
                <w:rFonts w:hint="eastAsia"/>
                <w:color w:val="auto"/>
                <w:lang w:val="en-US" w:eastAsia="zh-CN"/>
              </w:rPr>
              <w:t>0.15</w:t>
            </w:r>
          </w:p>
        </w:tc>
        <w:tc>
          <w:tcPr>
            <w:tcW w:w="1032" w:type="dxa"/>
            <w:tcBorders>
              <w:bottom w:val="single" w:color="auto" w:sz="4" w:space="0"/>
            </w:tcBorders>
            <w:vAlign w:val="center"/>
          </w:tcPr>
          <w:p>
            <w:pPr>
              <w:pStyle w:val="1132"/>
              <w:rPr>
                <w:color w:val="auto"/>
              </w:rPr>
            </w:pPr>
            <w:r>
              <w:rPr>
                <w:rFonts w:hint="eastAsia"/>
                <w:color w:val="auto"/>
                <w:lang w:val="en-US" w:eastAsia="zh-CN"/>
              </w:rPr>
              <w:t>8.1</w:t>
            </w:r>
          </w:p>
        </w:tc>
        <w:tc>
          <w:tcPr>
            <w:tcW w:w="485" w:type="pct"/>
            <w:tcBorders>
              <w:bottom w:val="single" w:color="auto" w:sz="4" w:space="0"/>
            </w:tcBorders>
            <w:vAlign w:val="center"/>
          </w:tcPr>
          <w:p>
            <w:pPr>
              <w:pStyle w:val="113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4a/2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57" w:type="dxa"/>
            <w:bottom w:w="15" w:type="dxa"/>
            <w:right w:w="57" w:type="dxa"/>
          </w:tblCellMar>
        </w:tblPrEx>
        <w:trPr>
          <w:trHeight w:val="268" w:hRule="atLeast"/>
          <w:jc w:val="center"/>
        </w:trPr>
        <w:tc>
          <w:tcPr>
            <w:tcW w:w="239" w:type="pct"/>
            <w:tcBorders>
              <w:top w:val="single" w:color="auto" w:sz="4" w:space="0"/>
            </w:tcBorders>
            <w:vAlign w:val="center"/>
          </w:tcPr>
          <w:p>
            <w:pPr>
              <w:pStyle w:val="1132"/>
              <w:rPr>
                <w:color w:val="auto"/>
                <w:sz w:val="22"/>
                <w:szCs w:val="22"/>
              </w:rPr>
            </w:pPr>
            <w:r>
              <w:rPr>
                <w:rFonts w:hint="eastAsia"/>
                <w:color w:val="auto"/>
                <w:sz w:val="22"/>
                <w:szCs w:val="22"/>
              </w:rPr>
              <w:t>9</w:t>
            </w:r>
          </w:p>
        </w:tc>
        <w:tc>
          <w:tcPr>
            <w:tcW w:w="617" w:type="pct"/>
            <w:tcBorders>
              <w:top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szCs w:val="21"/>
              </w:rPr>
            </w:pPr>
            <w:r>
              <w:rPr>
                <w:rFonts w:hint="eastAsia" w:cs="Times New Roman"/>
                <w:color w:val="auto"/>
                <w:sz w:val="21"/>
                <w:szCs w:val="21"/>
                <w:lang w:val="en-US" w:eastAsia="zh-CN"/>
              </w:rPr>
              <w:t>K6+400~K7+000</w:t>
            </w:r>
          </w:p>
        </w:tc>
        <w:tc>
          <w:tcPr>
            <w:tcW w:w="454" w:type="pct"/>
            <w:tcBorders>
              <w:top w:val="single" w:color="auto" w:sz="4" w:space="0"/>
            </w:tcBorders>
            <w:vAlign w:val="center"/>
          </w:tcPr>
          <w:p>
            <w:pPr>
              <w:pStyle w:val="1132"/>
              <w:rPr>
                <w:color w:val="auto"/>
              </w:rPr>
            </w:pPr>
            <w:r>
              <w:rPr>
                <w:rFonts w:hint="eastAsia"/>
                <w:color w:val="auto"/>
              </w:rPr>
              <w:t>小沟沿</w:t>
            </w:r>
          </w:p>
        </w:tc>
        <w:tc>
          <w:tcPr>
            <w:tcW w:w="266" w:type="pct"/>
            <w:tcBorders>
              <w:top w:val="single" w:color="auto" w:sz="4" w:space="0"/>
            </w:tcBorders>
            <w:vAlign w:val="center"/>
          </w:tcPr>
          <w:p>
            <w:pPr>
              <w:pStyle w:val="1132"/>
              <w:rPr>
                <w:color w:val="auto"/>
              </w:rPr>
            </w:pPr>
            <w:r>
              <w:rPr>
                <w:rFonts w:hint="default" w:ascii="Times New Roman" w:hAnsi="Times New Roman" w:cs="Times New Roman"/>
                <w:color w:val="auto"/>
                <w:sz w:val="21"/>
                <w:szCs w:val="21"/>
                <w:lang w:val="en-US" w:eastAsia="zh-CN"/>
              </w:rPr>
              <w:t>0.4~1.8</w:t>
            </w:r>
          </w:p>
        </w:tc>
        <w:tc>
          <w:tcPr>
            <w:tcW w:w="454" w:type="pct"/>
            <w:tcBorders>
              <w:top w:val="single" w:color="auto" w:sz="4" w:space="0"/>
            </w:tcBorders>
            <w:vAlign w:val="center"/>
          </w:tcPr>
          <w:p>
            <w:pPr>
              <w:pStyle w:val="1132"/>
              <w:rPr>
                <w:rFonts w:hint="default" w:eastAsia="宋体"/>
                <w:color w:val="auto"/>
                <w:lang w:val="en-US" w:eastAsia="zh-CN"/>
              </w:rPr>
            </w:pPr>
            <w:r>
              <w:rPr>
                <w:rFonts w:hint="eastAsia"/>
                <w:color w:val="auto"/>
                <w:lang w:val="en-US" w:eastAsia="zh-CN"/>
              </w:rPr>
              <w:t>路左侧对/背对</w:t>
            </w:r>
          </w:p>
        </w:tc>
        <w:tc>
          <w:tcPr>
            <w:tcW w:w="404" w:type="pct"/>
            <w:tcBorders>
              <w:top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路堤</w:t>
            </w:r>
          </w:p>
        </w:tc>
        <w:tc>
          <w:tcPr>
            <w:tcW w:w="403" w:type="pct"/>
            <w:tcBorders>
              <w:top w:val="single" w:color="auto" w:sz="4" w:space="0"/>
            </w:tcBorders>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s="Times New Roman"/>
                <w:color w:val="auto"/>
                <w:sz w:val="21"/>
                <w:szCs w:val="21"/>
                <w:lang w:val="en-US" w:eastAsia="zh-CN"/>
              </w:rPr>
              <w:t>600</w:t>
            </w:r>
          </w:p>
        </w:tc>
        <w:tc>
          <w:tcPr>
            <w:tcW w:w="606" w:type="pct"/>
            <w:tcBorders>
              <w:top w:val="single" w:color="auto" w:sz="4" w:space="0"/>
            </w:tcBorders>
            <w:vAlign w:val="center"/>
          </w:tcPr>
          <w:p>
            <w:pPr>
              <w:pStyle w:val="1132"/>
              <w:rPr>
                <w:rFonts w:hint="default" w:eastAsia="宋体"/>
                <w:color w:val="auto"/>
                <w:lang w:val="en-US" w:eastAsia="zh-CN"/>
              </w:rPr>
            </w:pPr>
            <w:r>
              <w:rPr>
                <w:rFonts w:hint="eastAsia"/>
                <w:color w:val="auto"/>
                <w:lang w:val="en-US" w:eastAsia="zh-CN"/>
              </w:rPr>
              <w:t>17</w:t>
            </w:r>
          </w:p>
        </w:tc>
        <w:tc>
          <w:tcPr>
            <w:tcW w:w="459" w:type="pct"/>
            <w:tcBorders>
              <w:top w:val="single" w:color="auto" w:sz="4" w:space="0"/>
            </w:tcBorders>
            <w:vAlign w:val="center"/>
          </w:tcPr>
          <w:p>
            <w:pPr>
              <w:pStyle w:val="1132"/>
              <w:jc w:val="center"/>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π</w:t>
            </w:r>
          </w:p>
        </w:tc>
        <w:tc>
          <w:tcPr>
            <w:tcW w:w="684" w:type="dxa"/>
            <w:tcBorders>
              <w:top w:val="single" w:color="auto" w:sz="4" w:space="0"/>
            </w:tcBorders>
            <w:vAlign w:val="center"/>
          </w:tcPr>
          <w:p>
            <w:pPr>
              <w:pStyle w:val="1132"/>
              <w:rPr>
                <w:color w:val="auto"/>
              </w:rPr>
            </w:pPr>
            <w:r>
              <w:rPr>
                <w:rFonts w:hint="eastAsia"/>
                <w:color w:val="auto"/>
                <w:lang w:val="en-US" w:eastAsia="zh-CN"/>
              </w:rPr>
              <w:t>0.14</w:t>
            </w:r>
          </w:p>
        </w:tc>
        <w:tc>
          <w:tcPr>
            <w:tcW w:w="1032" w:type="dxa"/>
            <w:tcBorders>
              <w:top w:val="single" w:color="auto" w:sz="4" w:space="0"/>
            </w:tcBorders>
            <w:vAlign w:val="center"/>
          </w:tcPr>
          <w:p>
            <w:pPr>
              <w:pStyle w:val="1132"/>
              <w:rPr>
                <w:color w:val="auto"/>
              </w:rPr>
            </w:pPr>
            <w:r>
              <w:rPr>
                <w:rFonts w:hint="eastAsia"/>
                <w:color w:val="auto"/>
                <w:lang w:val="en-US" w:eastAsia="zh-CN"/>
              </w:rPr>
              <w:t>8.0</w:t>
            </w:r>
          </w:p>
        </w:tc>
        <w:tc>
          <w:tcPr>
            <w:tcW w:w="485" w:type="pct"/>
            <w:tcBorders>
              <w:top w:val="single" w:color="auto" w:sz="4" w:space="0"/>
            </w:tcBorders>
            <w:vAlign w:val="center"/>
          </w:tcPr>
          <w:p>
            <w:pPr>
              <w:pStyle w:val="113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4a/2</w:t>
            </w:r>
          </w:p>
        </w:tc>
      </w:tr>
    </w:tbl>
    <w:p>
      <w:pPr>
        <w:pStyle w:val="19"/>
        <w:ind w:firstLine="482"/>
        <w:rPr>
          <w:color w:val="0070C0"/>
        </w:rPr>
      </w:pPr>
    </w:p>
    <w:p>
      <w:pPr>
        <w:pStyle w:val="19"/>
        <w:ind w:firstLine="482"/>
        <w:rPr>
          <w:color w:val="0070C0"/>
        </w:rPr>
      </w:pPr>
    </w:p>
    <w:p>
      <w:pPr>
        <w:pStyle w:val="19"/>
        <w:ind w:firstLine="482"/>
        <w:rPr>
          <w:color w:val="0070C0"/>
        </w:rPr>
      </w:pPr>
    </w:p>
    <w:p>
      <w:pPr>
        <w:pStyle w:val="19"/>
        <w:ind w:firstLine="482"/>
        <w:rPr>
          <w:color w:val="0070C0"/>
        </w:rPr>
      </w:pPr>
    </w:p>
    <w:p>
      <w:pPr>
        <w:pStyle w:val="19"/>
        <w:ind w:firstLine="482"/>
        <w:rPr>
          <w:color w:val="0070C0"/>
        </w:rPr>
      </w:pPr>
    </w:p>
    <w:p>
      <w:pPr>
        <w:pStyle w:val="19"/>
        <w:ind w:firstLine="482"/>
        <w:rPr>
          <w:color w:val="0070C0"/>
        </w:rPr>
      </w:pPr>
    </w:p>
    <w:p>
      <w:pPr>
        <w:pStyle w:val="19"/>
        <w:ind w:firstLine="482"/>
        <w:rPr>
          <w:color w:val="0070C0"/>
        </w:rPr>
      </w:pPr>
    </w:p>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rPr>
          <w:rFonts w:hint="eastAsia"/>
          <w:lang w:val="en-US" w:eastAsia="zh-CN"/>
        </w:rPr>
        <w:t>1</w:t>
      </w:r>
      <w:r>
        <w:fldChar w:fldCharType="end"/>
      </w:r>
      <w:r>
        <w:t xml:space="preserve">  敏感点声环境质量预测结果一览表</w:t>
      </w:r>
      <w:r>
        <w:rPr>
          <w:rFonts w:hint="eastAsia"/>
        </w:rPr>
        <w:t xml:space="preserve"> 单位：d</w:t>
      </w:r>
      <w:r>
        <w:t>B</w:t>
      </w:r>
      <w:r>
        <w:rPr>
          <w:rFonts w:hint="eastAsia"/>
        </w:rPr>
        <w:t>（A）</w:t>
      </w:r>
    </w:p>
    <w:tbl>
      <w:tblPr>
        <w:tblStyle w:val="48"/>
        <w:tblW w:w="504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44"/>
        <w:gridCol w:w="792"/>
        <w:gridCol w:w="693"/>
        <w:gridCol w:w="610"/>
        <w:gridCol w:w="610"/>
        <w:gridCol w:w="661"/>
        <w:gridCol w:w="661"/>
        <w:gridCol w:w="855"/>
        <w:gridCol w:w="855"/>
        <w:gridCol w:w="855"/>
        <w:gridCol w:w="858"/>
        <w:gridCol w:w="795"/>
        <w:gridCol w:w="795"/>
        <w:gridCol w:w="795"/>
        <w:gridCol w:w="795"/>
        <w:gridCol w:w="818"/>
        <w:gridCol w:w="818"/>
        <w:gridCol w:w="818"/>
        <w:gridCol w:w="812"/>
        <w:gridCol w:w="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gridAfter w:val="1"/>
          <w:wAfter w:w="3" w:type="pct"/>
          <w:cantSplit/>
          <w:tblHeader/>
        </w:trPr>
        <w:tc>
          <w:tcPr>
            <w:tcW w:w="120" w:type="pct"/>
            <w:vMerge w:val="restart"/>
            <w:vAlign w:val="center"/>
          </w:tcPr>
          <w:p>
            <w:pPr>
              <w:pStyle w:val="1132"/>
              <w:rPr>
                <w:highlight w:val="none"/>
              </w:rPr>
            </w:pPr>
            <w:bookmarkStart w:id="329" w:name="_Hlk106894451"/>
            <w:r>
              <w:rPr>
                <w:rFonts w:hint="eastAsia"/>
                <w:highlight w:val="none"/>
              </w:rPr>
              <w:t>序号</w:t>
            </w:r>
          </w:p>
        </w:tc>
        <w:tc>
          <w:tcPr>
            <w:tcW w:w="277" w:type="pct"/>
            <w:vMerge w:val="restart"/>
            <w:vAlign w:val="center"/>
          </w:tcPr>
          <w:p>
            <w:pPr>
              <w:pStyle w:val="1132"/>
              <w:rPr>
                <w:highlight w:val="none"/>
              </w:rPr>
            </w:pPr>
            <w:r>
              <w:rPr>
                <w:rFonts w:hint="eastAsia"/>
                <w:highlight w:val="none"/>
              </w:rPr>
              <w:t>声环境保护目标</w:t>
            </w:r>
          </w:p>
        </w:tc>
        <w:tc>
          <w:tcPr>
            <w:tcW w:w="243" w:type="pct"/>
            <w:vMerge w:val="restart"/>
            <w:vAlign w:val="center"/>
          </w:tcPr>
          <w:p>
            <w:pPr>
              <w:pStyle w:val="1132"/>
              <w:rPr>
                <w:highlight w:val="none"/>
              </w:rPr>
            </w:pPr>
            <w:r>
              <w:rPr>
                <w:rFonts w:hint="eastAsia"/>
                <w:highlight w:val="none"/>
              </w:rPr>
              <w:t>距拟建道路中心线距离/m</w:t>
            </w:r>
          </w:p>
        </w:tc>
        <w:tc>
          <w:tcPr>
            <w:tcW w:w="214" w:type="pct"/>
            <w:vMerge w:val="restart"/>
            <w:vAlign w:val="center"/>
          </w:tcPr>
          <w:p>
            <w:pPr>
              <w:pStyle w:val="1132"/>
              <w:rPr>
                <w:highlight w:val="none"/>
              </w:rPr>
            </w:pPr>
            <w:r>
              <w:rPr>
                <w:rFonts w:hint="eastAsia"/>
                <w:highlight w:val="none"/>
              </w:rPr>
              <w:t>功能区类别</w:t>
            </w:r>
          </w:p>
        </w:tc>
        <w:tc>
          <w:tcPr>
            <w:tcW w:w="214" w:type="pct"/>
            <w:vMerge w:val="restart"/>
            <w:vAlign w:val="center"/>
          </w:tcPr>
          <w:p>
            <w:pPr>
              <w:pStyle w:val="1132"/>
              <w:rPr>
                <w:highlight w:val="none"/>
              </w:rPr>
            </w:pPr>
            <w:r>
              <w:rPr>
                <w:rFonts w:hint="eastAsia"/>
                <w:highlight w:val="none"/>
              </w:rPr>
              <w:t>时段</w:t>
            </w:r>
          </w:p>
        </w:tc>
        <w:tc>
          <w:tcPr>
            <w:tcW w:w="231" w:type="pct"/>
            <w:vMerge w:val="restart"/>
            <w:vAlign w:val="center"/>
          </w:tcPr>
          <w:p>
            <w:pPr>
              <w:pStyle w:val="1132"/>
              <w:rPr>
                <w:highlight w:val="none"/>
              </w:rPr>
            </w:pPr>
            <w:r>
              <w:rPr>
                <w:rFonts w:hint="eastAsia"/>
                <w:highlight w:val="none"/>
              </w:rPr>
              <w:t>标准值</w:t>
            </w:r>
            <w:r>
              <w:rPr>
                <w:highlight w:val="none"/>
              </w:rPr>
              <w:t xml:space="preserve"> </w:t>
            </w:r>
          </w:p>
        </w:tc>
        <w:tc>
          <w:tcPr>
            <w:tcW w:w="231" w:type="pct"/>
            <w:vMerge w:val="restart"/>
            <w:vAlign w:val="center"/>
          </w:tcPr>
          <w:p>
            <w:pPr>
              <w:pStyle w:val="1132"/>
              <w:rPr>
                <w:rFonts w:hint="eastAsia"/>
                <w:highlight w:val="none"/>
              </w:rPr>
            </w:pPr>
            <w:r>
              <w:rPr>
                <w:rFonts w:hint="eastAsia"/>
                <w:highlight w:val="none"/>
              </w:rPr>
              <w:t>背景值</w:t>
            </w:r>
          </w:p>
        </w:tc>
        <w:tc>
          <w:tcPr>
            <w:tcW w:w="1201" w:type="pct"/>
            <w:gridSpan w:val="4"/>
            <w:vAlign w:val="center"/>
          </w:tcPr>
          <w:p>
            <w:pPr>
              <w:pStyle w:val="1132"/>
              <w:rPr>
                <w:highlight w:val="none"/>
              </w:rPr>
            </w:pPr>
            <w:r>
              <w:rPr>
                <w:rFonts w:hint="eastAsia"/>
                <w:highlight w:val="none"/>
              </w:rPr>
              <w:t>运营近期（2</w:t>
            </w:r>
            <w:r>
              <w:rPr>
                <w:highlight w:val="none"/>
              </w:rPr>
              <w:t>024</w:t>
            </w:r>
            <w:r>
              <w:rPr>
                <w:rFonts w:hint="eastAsia"/>
                <w:highlight w:val="none"/>
              </w:rPr>
              <w:t>）</w:t>
            </w:r>
          </w:p>
        </w:tc>
        <w:tc>
          <w:tcPr>
            <w:tcW w:w="1115" w:type="pct"/>
            <w:gridSpan w:val="4"/>
            <w:vAlign w:val="center"/>
          </w:tcPr>
          <w:p>
            <w:pPr>
              <w:pStyle w:val="1132"/>
              <w:rPr>
                <w:highlight w:val="none"/>
              </w:rPr>
            </w:pPr>
            <w:r>
              <w:rPr>
                <w:rFonts w:hint="eastAsia"/>
                <w:highlight w:val="none"/>
              </w:rPr>
              <w:t>运营中期（2</w:t>
            </w:r>
            <w:r>
              <w:rPr>
                <w:highlight w:val="none"/>
              </w:rPr>
              <w:t>030</w:t>
            </w:r>
            <w:r>
              <w:rPr>
                <w:rFonts w:hint="eastAsia"/>
                <w:highlight w:val="none"/>
              </w:rPr>
              <w:t>）</w:t>
            </w:r>
          </w:p>
        </w:tc>
        <w:tc>
          <w:tcPr>
            <w:tcW w:w="1146" w:type="pct"/>
            <w:gridSpan w:val="4"/>
            <w:vAlign w:val="center"/>
          </w:tcPr>
          <w:p>
            <w:pPr>
              <w:pStyle w:val="1132"/>
              <w:rPr>
                <w:highlight w:val="none"/>
              </w:rPr>
            </w:pPr>
            <w:r>
              <w:rPr>
                <w:rFonts w:hint="eastAsia"/>
                <w:highlight w:val="none"/>
              </w:rPr>
              <w:t>运营远期（2</w:t>
            </w:r>
            <w:r>
              <w:rPr>
                <w:highlight w:val="none"/>
              </w:rPr>
              <w:t>038</w:t>
            </w:r>
            <w:r>
              <w:rPr>
                <w:rFonts w:hint="eastAsia"/>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66" w:hRule="atLeast"/>
          <w:tblHeader/>
        </w:trPr>
        <w:tc>
          <w:tcPr>
            <w:tcW w:w="120" w:type="pct"/>
            <w:vMerge w:val="continue"/>
            <w:vAlign w:val="center"/>
          </w:tcPr>
          <w:p>
            <w:pPr>
              <w:pStyle w:val="1132"/>
              <w:rPr>
                <w:color w:val="0070C0"/>
                <w:highlight w:val="none"/>
              </w:rPr>
            </w:pPr>
          </w:p>
        </w:tc>
        <w:tc>
          <w:tcPr>
            <w:tcW w:w="277" w:type="pct"/>
            <w:vMerge w:val="continue"/>
            <w:vAlign w:val="center"/>
          </w:tcPr>
          <w:p>
            <w:pPr>
              <w:pStyle w:val="1132"/>
              <w:rPr>
                <w:color w:val="0070C0"/>
                <w:highlight w:val="none"/>
              </w:rPr>
            </w:pPr>
          </w:p>
        </w:tc>
        <w:tc>
          <w:tcPr>
            <w:tcW w:w="243" w:type="pct"/>
            <w:vMerge w:val="continue"/>
            <w:vAlign w:val="center"/>
          </w:tcPr>
          <w:p>
            <w:pPr>
              <w:pStyle w:val="1132"/>
              <w:rPr>
                <w:color w:val="0070C0"/>
                <w:highlight w:val="none"/>
              </w:rPr>
            </w:pPr>
          </w:p>
        </w:tc>
        <w:tc>
          <w:tcPr>
            <w:tcW w:w="214" w:type="pct"/>
            <w:vMerge w:val="continue"/>
            <w:vAlign w:val="center"/>
          </w:tcPr>
          <w:p>
            <w:pPr>
              <w:pStyle w:val="1132"/>
              <w:rPr>
                <w:color w:val="0070C0"/>
                <w:highlight w:val="none"/>
              </w:rPr>
            </w:pPr>
          </w:p>
        </w:tc>
        <w:tc>
          <w:tcPr>
            <w:tcW w:w="214" w:type="pct"/>
            <w:vMerge w:val="continue"/>
            <w:vAlign w:val="center"/>
          </w:tcPr>
          <w:p>
            <w:pPr>
              <w:pStyle w:val="1132"/>
              <w:rPr>
                <w:color w:val="0070C0"/>
                <w:highlight w:val="none"/>
              </w:rPr>
            </w:pPr>
          </w:p>
        </w:tc>
        <w:tc>
          <w:tcPr>
            <w:tcW w:w="231" w:type="pct"/>
            <w:vMerge w:val="continue"/>
            <w:vAlign w:val="center"/>
          </w:tcPr>
          <w:p>
            <w:pPr>
              <w:pStyle w:val="1132"/>
              <w:rPr>
                <w:color w:val="0070C0"/>
                <w:highlight w:val="none"/>
              </w:rPr>
            </w:pPr>
          </w:p>
        </w:tc>
        <w:tc>
          <w:tcPr>
            <w:tcW w:w="231" w:type="pct"/>
            <w:vMerge w:val="continue"/>
            <w:vAlign w:val="center"/>
          </w:tcPr>
          <w:p>
            <w:pPr>
              <w:pStyle w:val="1132"/>
              <w:rPr>
                <w:color w:val="0070C0"/>
                <w:highlight w:val="none"/>
              </w:rPr>
            </w:pPr>
          </w:p>
        </w:tc>
        <w:tc>
          <w:tcPr>
            <w:tcW w:w="300" w:type="pct"/>
            <w:vAlign w:val="center"/>
          </w:tcPr>
          <w:p>
            <w:pPr>
              <w:pStyle w:val="1132"/>
              <w:rPr>
                <w:highlight w:val="none"/>
              </w:rPr>
            </w:pPr>
            <w:r>
              <w:rPr>
                <w:rFonts w:hint="eastAsia"/>
                <w:highlight w:val="none"/>
              </w:rPr>
              <w:t>贡献值</w:t>
            </w:r>
          </w:p>
        </w:tc>
        <w:tc>
          <w:tcPr>
            <w:tcW w:w="300" w:type="pct"/>
            <w:vAlign w:val="center"/>
          </w:tcPr>
          <w:p>
            <w:pPr>
              <w:pStyle w:val="1132"/>
              <w:rPr>
                <w:highlight w:val="none"/>
              </w:rPr>
            </w:pPr>
            <w:r>
              <w:rPr>
                <w:rFonts w:hint="eastAsia"/>
                <w:highlight w:val="none"/>
              </w:rPr>
              <w:t>预测值</w:t>
            </w:r>
          </w:p>
        </w:tc>
        <w:tc>
          <w:tcPr>
            <w:tcW w:w="300" w:type="pct"/>
            <w:vAlign w:val="center"/>
          </w:tcPr>
          <w:p>
            <w:pPr>
              <w:pStyle w:val="1132"/>
              <w:rPr>
                <w:highlight w:val="none"/>
              </w:rPr>
            </w:pPr>
            <w:r>
              <w:rPr>
                <w:rFonts w:hint="eastAsia"/>
                <w:highlight w:val="none"/>
              </w:rPr>
              <w:t>较现状增量</w:t>
            </w:r>
            <w:r>
              <w:rPr>
                <w:highlight w:val="none"/>
              </w:rPr>
              <w:t xml:space="preserve"> </w:t>
            </w:r>
          </w:p>
        </w:tc>
        <w:tc>
          <w:tcPr>
            <w:tcW w:w="301" w:type="pct"/>
            <w:vAlign w:val="center"/>
          </w:tcPr>
          <w:p>
            <w:pPr>
              <w:pStyle w:val="1132"/>
              <w:rPr>
                <w:highlight w:val="none"/>
              </w:rPr>
            </w:pPr>
            <w:r>
              <w:rPr>
                <w:rFonts w:hint="eastAsia"/>
                <w:highlight w:val="none"/>
              </w:rPr>
              <w:t>超标量</w:t>
            </w:r>
          </w:p>
        </w:tc>
        <w:tc>
          <w:tcPr>
            <w:tcW w:w="278" w:type="pct"/>
            <w:vAlign w:val="center"/>
          </w:tcPr>
          <w:p>
            <w:pPr>
              <w:pStyle w:val="1132"/>
              <w:rPr>
                <w:highlight w:val="none"/>
              </w:rPr>
            </w:pPr>
            <w:r>
              <w:rPr>
                <w:rFonts w:hint="eastAsia"/>
                <w:highlight w:val="none"/>
              </w:rPr>
              <w:t>贡献值</w:t>
            </w:r>
          </w:p>
        </w:tc>
        <w:tc>
          <w:tcPr>
            <w:tcW w:w="278" w:type="pct"/>
            <w:vAlign w:val="center"/>
          </w:tcPr>
          <w:p>
            <w:pPr>
              <w:pStyle w:val="1132"/>
              <w:rPr>
                <w:highlight w:val="none"/>
              </w:rPr>
            </w:pPr>
            <w:r>
              <w:rPr>
                <w:rFonts w:hint="eastAsia"/>
                <w:highlight w:val="none"/>
              </w:rPr>
              <w:t>预测值</w:t>
            </w:r>
          </w:p>
        </w:tc>
        <w:tc>
          <w:tcPr>
            <w:tcW w:w="278" w:type="pct"/>
            <w:vAlign w:val="center"/>
          </w:tcPr>
          <w:p>
            <w:pPr>
              <w:pStyle w:val="1132"/>
              <w:rPr>
                <w:highlight w:val="none"/>
              </w:rPr>
            </w:pPr>
            <w:r>
              <w:rPr>
                <w:rFonts w:hint="eastAsia"/>
                <w:highlight w:val="none"/>
              </w:rPr>
              <w:t>较现状增量</w:t>
            </w:r>
          </w:p>
        </w:tc>
        <w:tc>
          <w:tcPr>
            <w:tcW w:w="278" w:type="pct"/>
            <w:vAlign w:val="center"/>
          </w:tcPr>
          <w:p>
            <w:pPr>
              <w:pStyle w:val="1132"/>
              <w:rPr>
                <w:highlight w:val="none"/>
              </w:rPr>
            </w:pPr>
            <w:r>
              <w:rPr>
                <w:rFonts w:hint="eastAsia"/>
                <w:highlight w:val="none"/>
              </w:rPr>
              <w:t>超标量</w:t>
            </w:r>
          </w:p>
        </w:tc>
        <w:tc>
          <w:tcPr>
            <w:tcW w:w="287" w:type="pct"/>
            <w:vAlign w:val="center"/>
          </w:tcPr>
          <w:p>
            <w:pPr>
              <w:pStyle w:val="1132"/>
              <w:rPr>
                <w:highlight w:val="none"/>
              </w:rPr>
            </w:pPr>
            <w:r>
              <w:rPr>
                <w:rFonts w:hint="eastAsia"/>
                <w:highlight w:val="none"/>
              </w:rPr>
              <w:t>贡献值</w:t>
            </w:r>
          </w:p>
        </w:tc>
        <w:tc>
          <w:tcPr>
            <w:tcW w:w="287" w:type="pct"/>
            <w:vAlign w:val="center"/>
          </w:tcPr>
          <w:p>
            <w:pPr>
              <w:pStyle w:val="1132"/>
              <w:rPr>
                <w:highlight w:val="none"/>
              </w:rPr>
            </w:pPr>
            <w:r>
              <w:rPr>
                <w:rFonts w:hint="eastAsia"/>
                <w:highlight w:val="none"/>
              </w:rPr>
              <w:t>预测值</w:t>
            </w:r>
          </w:p>
        </w:tc>
        <w:tc>
          <w:tcPr>
            <w:tcW w:w="287" w:type="pct"/>
            <w:vAlign w:val="center"/>
          </w:tcPr>
          <w:p>
            <w:pPr>
              <w:pStyle w:val="1132"/>
              <w:rPr>
                <w:highlight w:val="none"/>
              </w:rPr>
            </w:pPr>
            <w:r>
              <w:rPr>
                <w:rFonts w:hint="eastAsia"/>
                <w:highlight w:val="none"/>
              </w:rPr>
              <w:t>较现状增量</w:t>
            </w:r>
          </w:p>
        </w:tc>
        <w:tc>
          <w:tcPr>
            <w:tcW w:w="288" w:type="pct"/>
            <w:gridSpan w:val="2"/>
            <w:vAlign w:val="center"/>
          </w:tcPr>
          <w:p>
            <w:pPr>
              <w:pStyle w:val="1132"/>
              <w:rPr>
                <w:highlight w:val="none"/>
              </w:rPr>
            </w:pPr>
            <w:r>
              <w:rPr>
                <w:rFonts w:hint="eastAsia"/>
                <w:highlight w:val="none"/>
              </w:rPr>
              <w:t>超标量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restart"/>
            <w:vAlign w:val="center"/>
          </w:tcPr>
          <w:p>
            <w:pPr>
              <w:pStyle w:val="1132"/>
              <w:rPr>
                <w:szCs w:val="21"/>
                <w:highlight w:val="none"/>
              </w:rPr>
            </w:pPr>
            <w:r>
              <w:rPr>
                <w:rFonts w:hint="eastAsia"/>
                <w:szCs w:val="21"/>
                <w:highlight w:val="none"/>
              </w:rPr>
              <w:t>1</w:t>
            </w:r>
          </w:p>
        </w:tc>
        <w:tc>
          <w:tcPr>
            <w:tcW w:w="277" w:type="pct"/>
            <w:vMerge w:val="restart"/>
            <w:vAlign w:val="center"/>
          </w:tcPr>
          <w:p>
            <w:pPr>
              <w:pStyle w:val="1132"/>
              <w:rPr>
                <w:color w:val="0070C0"/>
                <w:highlight w:val="none"/>
              </w:rPr>
            </w:pPr>
            <w:r>
              <w:rPr>
                <w:rFonts w:hint="eastAsia"/>
                <w:highlight w:val="none"/>
              </w:rPr>
              <w:t>宋小庄</w:t>
            </w:r>
          </w:p>
        </w:tc>
        <w:tc>
          <w:tcPr>
            <w:tcW w:w="243" w:type="pct"/>
            <w:vMerge w:val="restart"/>
            <w:vAlign w:val="center"/>
          </w:tcPr>
          <w:p>
            <w:pPr>
              <w:pStyle w:val="1132"/>
              <w:rPr>
                <w:rFonts w:hint="default" w:eastAsia="宋体"/>
                <w:color w:val="auto"/>
                <w:szCs w:val="21"/>
                <w:highlight w:val="none"/>
                <w:lang w:val="en-US" w:eastAsia="zh-CN"/>
              </w:rPr>
            </w:pPr>
            <w:r>
              <w:rPr>
                <w:rFonts w:hint="eastAsia"/>
                <w:color w:val="auto"/>
                <w:szCs w:val="21"/>
                <w:highlight w:val="none"/>
                <w:lang w:val="en-US" w:eastAsia="zh-CN"/>
              </w:rPr>
              <w:t>176</w:t>
            </w:r>
          </w:p>
        </w:tc>
        <w:tc>
          <w:tcPr>
            <w:tcW w:w="214" w:type="pct"/>
            <w:vMerge w:val="restart"/>
            <w:vAlign w:val="center"/>
          </w:tcPr>
          <w:p>
            <w:pPr>
              <w:pStyle w:val="1132"/>
              <w:rPr>
                <w:rFonts w:hint="default" w:eastAsia="宋体"/>
                <w:szCs w:val="21"/>
                <w:highlight w:val="none"/>
                <w:lang w:val="en-US" w:eastAsia="zh-CN"/>
              </w:rPr>
            </w:pPr>
            <w:r>
              <w:rPr>
                <w:rFonts w:hint="eastAsia"/>
                <w:szCs w:val="21"/>
                <w:highlight w:val="none"/>
                <w:lang w:val="en-US" w:eastAsia="zh-CN"/>
              </w:rPr>
              <w:t>4a</w:t>
            </w:r>
          </w:p>
        </w:tc>
        <w:tc>
          <w:tcPr>
            <w:tcW w:w="214" w:type="pct"/>
            <w:vAlign w:val="center"/>
          </w:tcPr>
          <w:p>
            <w:pPr>
              <w:pStyle w:val="1132"/>
              <w:rPr>
                <w:highlight w:val="none"/>
              </w:rPr>
            </w:pPr>
            <w:r>
              <w:rPr>
                <w:rFonts w:hint="eastAsia"/>
                <w:highlight w:val="none"/>
              </w:rPr>
              <w:t>昼间</w:t>
            </w:r>
          </w:p>
        </w:tc>
        <w:tc>
          <w:tcPr>
            <w:tcW w:w="231" w:type="pct"/>
            <w:vAlign w:val="center"/>
          </w:tcPr>
          <w:p>
            <w:pPr>
              <w:pStyle w:val="1132"/>
              <w:rPr>
                <w:szCs w:val="21"/>
                <w:highlight w:val="none"/>
              </w:rPr>
            </w:pPr>
            <w:r>
              <w:rPr>
                <w:rFonts w:hint="eastAsia"/>
                <w:szCs w:val="21"/>
                <w:highlight w:val="none"/>
              </w:rPr>
              <w:t>7</w:t>
            </w:r>
            <w:r>
              <w:rPr>
                <w:szCs w:val="21"/>
                <w:highlight w:val="none"/>
              </w:rPr>
              <w:t>0</w:t>
            </w:r>
          </w:p>
        </w:tc>
        <w:tc>
          <w:tcPr>
            <w:tcW w:w="231" w:type="pct"/>
            <w:vAlign w:val="center"/>
          </w:tcPr>
          <w:p>
            <w:pPr>
              <w:pStyle w:val="1132"/>
              <w:rPr>
                <w:rFonts w:hint="default" w:eastAsia="等线"/>
                <w:szCs w:val="21"/>
                <w:highlight w:val="none"/>
                <w:lang w:val="en-US" w:eastAsia="zh-CN"/>
              </w:rPr>
            </w:pPr>
            <w:r>
              <w:rPr>
                <w:rFonts w:eastAsia="等线"/>
                <w:szCs w:val="21"/>
                <w:highlight w:val="none"/>
              </w:rPr>
              <w:t>5</w:t>
            </w:r>
            <w:r>
              <w:rPr>
                <w:rFonts w:hint="eastAsia" w:eastAsia="等线"/>
                <w:szCs w:val="21"/>
                <w:highlight w:val="none"/>
                <w:lang w:val="en-US" w:eastAsia="zh-CN"/>
              </w:rPr>
              <w:t>3.7</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43.0</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54.1</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0.4</w:t>
            </w:r>
          </w:p>
        </w:tc>
        <w:tc>
          <w:tcPr>
            <w:tcW w:w="301" w:type="pct"/>
            <w:vAlign w:val="center"/>
          </w:tcPr>
          <w:p>
            <w:pPr>
              <w:pStyle w:val="1132"/>
              <w:rPr>
                <w:szCs w:val="21"/>
                <w:highlight w:val="none"/>
              </w:rPr>
            </w:pPr>
            <w:r>
              <w:rPr>
                <w:rFonts w:eastAsia="等线"/>
                <w:szCs w:val="21"/>
                <w:highlight w:val="none"/>
              </w:rPr>
              <w:t>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44.4</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54.2</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0.5</w:t>
            </w:r>
          </w:p>
        </w:tc>
        <w:tc>
          <w:tcPr>
            <w:tcW w:w="278" w:type="pct"/>
            <w:vAlign w:val="center"/>
          </w:tcPr>
          <w:p>
            <w:pPr>
              <w:pStyle w:val="1132"/>
              <w:rPr>
                <w:szCs w:val="21"/>
                <w:highlight w:val="none"/>
              </w:rPr>
            </w:pPr>
            <w:r>
              <w:rPr>
                <w:rFonts w:eastAsia="等线"/>
                <w:szCs w:val="21"/>
                <w:highlight w:val="none"/>
              </w:rPr>
              <w:t>0</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46.2</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54.4</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0.7</w:t>
            </w:r>
          </w:p>
        </w:tc>
        <w:tc>
          <w:tcPr>
            <w:tcW w:w="288" w:type="pct"/>
            <w:gridSpan w:val="2"/>
            <w:vAlign w:val="center"/>
          </w:tcPr>
          <w:p>
            <w:pPr>
              <w:pStyle w:val="1132"/>
              <w:rPr>
                <w:szCs w:val="21"/>
                <w:highlight w:val="none"/>
              </w:rPr>
            </w:pPr>
            <w:r>
              <w:rPr>
                <w:rFonts w:eastAsia="等线"/>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szCs w:val="21"/>
                <w:highlight w:val="none"/>
              </w:rPr>
            </w:pPr>
          </w:p>
        </w:tc>
        <w:tc>
          <w:tcPr>
            <w:tcW w:w="277" w:type="pct"/>
            <w:vMerge w:val="continue"/>
            <w:vAlign w:val="center"/>
          </w:tcPr>
          <w:p>
            <w:pPr>
              <w:pStyle w:val="1132"/>
              <w:rPr>
                <w:color w:val="0070C0"/>
                <w:highlight w:val="none"/>
              </w:rPr>
            </w:pPr>
          </w:p>
        </w:tc>
        <w:tc>
          <w:tcPr>
            <w:tcW w:w="243" w:type="pct"/>
            <w:vMerge w:val="continue"/>
            <w:vAlign w:val="center"/>
          </w:tcPr>
          <w:p>
            <w:pPr>
              <w:pStyle w:val="1132"/>
              <w:rPr>
                <w:color w:val="auto"/>
                <w:szCs w:val="21"/>
                <w:highlight w:val="none"/>
              </w:rPr>
            </w:pPr>
          </w:p>
        </w:tc>
        <w:tc>
          <w:tcPr>
            <w:tcW w:w="214" w:type="pct"/>
            <w:vMerge w:val="continue"/>
            <w:vAlign w:val="center"/>
          </w:tcPr>
          <w:p>
            <w:pPr>
              <w:pStyle w:val="1132"/>
              <w:rPr>
                <w:szCs w:val="21"/>
                <w:highlight w:val="none"/>
              </w:rPr>
            </w:pPr>
          </w:p>
        </w:tc>
        <w:tc>
          <w:tcPr>
            <w:tcW w:w="214" w:type="pct"/>
            <w:vAlign w:val="center"/>
          </w:tcPr>
          <w:p>
            <w:pPr>
              <w:pStyle w:val="1132"/>
              <w:rPr>
                <w:highlight w:val="none"/>
              </w:rPr>
            </w:pPr>
            <w:r>
              <w:rPr>
                <w:rFonts w:hint="eastAsia"/>
                <w:highlight w:val="none"/>
              </w:rPr>
              <w:t>夜间</w:t>
            </w:r>
          </w:p>
        </w:tc>
        <w:tc>
          <w:tcPr>
            <w:tcW w:w="231" w:type="pct"/>
            <w:vAlign w:val="center"/>
          </w:tcPr>
          <w:p>
            <w:pPr>
              <w:pStyle w:val="1132"/>
              <w:rPr>
                <w:szCs w:val="21"/>
                <w:highlight w:val="none"/>
              </w:rPr>
            </w:pPr>
            <w:r>
              <w:rPr>
                <w:rFonts w:hint="eastAsia"/>
                <w:szCs w:val="21"/>
                <w:highlight w:val="none"/>
              </w:rPr>
              <w:t>5</w:t>
            </w:r>
            <w:r>
              <w:rPr>
                <w:szCs w:val="21"/>
                <w:highlight w:val="none"/>
              </w:rPr>
              <w:t>5</w:t>
            </w:r>
          </w:p>
        </w:tc>
        <w:tc>
          <w:tcPr>
            <w:tcW w:w="231" w:type="pct"/>
            <w:vAlign w:val="center"/>
          </w:tcPr>
          <w:p>
            <w:pPr>
              <w:pStyle w:val="1132"/>
              <w:rPr>
                <w:rFonts w:hint="default" w:eastAsia="等线"/>
                <w:szCs w:val="21"/>
                <w:highlight w:val="none"/>
                <w:lang w:val="en-US" w:eastAsia="zh-CN"/>
              </w:rPr>
            </w:pPr>
            <w:r>
              <w:rPr>
                <w:rFonts w:eastAsia="等线"/>
                <w:szCs w:val="21"/>
                <w:highlight w:val="none"/>
              </w:rPr>
              <w:t>4</w:t>
            </w:r>
            <w:r>
              <w:rPr>
                <w:rFonts w:hint="eastAsia" w:eastAsia="等线"/>
                <w:szCs w:val="21"/>
                <w:highlight w:val="none"/>
                <w:lang w:val="en-US" w:eastAsia="zh-CN"/>
              </w:rPr>
              <w:t>6.0</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35.3</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46.4</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0.4</w:t>
            </w:r>
          </w:p>
        </w:tc>
        <w:tc>
          <w:tcPr>
            <w:tcW w:w="301" w:type="pct"/>
            <w:vAlign w:val="center"/>
          </w:tcPr>
          <w:p>
            <w:pPr>
              <w:pStyle w:val="1132"/>
              <w:rPr>
                <w:szCs w:val="21"/>
                <w:highlight w:val="none"/>
              </w:rPr>
            </w:pPr>
            <w:r>
              <w:rPr>
                <w:rFonts w:eastAsia="等线"/>
                <w:szCs w:val="21"/>
                <w:highlight w:val="none"/>
              </w:rPr>
              <w:t>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37.0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46.5</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0.5</w:t>
            </w:r>
          </w:p>
        </w:tc>
        <w:tc>
          <w:tcPr>
            <w:tcW w:w="278" w:type="pct"/>
            <w:vAlign w:val="center"/>
          </w:tcPr>
          <w:p>
            <w:pPr>
              <w:pStyle w:val="1132"/>
              <w:rPr>
                <w:szCs w:val="21"/>
                <w:highlight w:val="none"/>
              </w:rPr>
            </w:pPr>
            <w:r>
              <w:rPr>
                <w:rFonts w:eastAsia="等线"/>
                <w:szCs w:val="21"/>
                <w:highlight w:val="none"/>
              </w:rPr>
              <w:t>0</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38.6</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46.7</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0.7</w:t>
            </w:r>
          </w:p>
        </w:tc>
        <w:tc>
          <w:tcPr>
            <w:tcW w:w="288" w:type="pct"/>
            <w:gridSpan w:val="2"/>
            <w:vAlign w:val="center"/>
          </w:tcPr>
          <w:p>
            <w:pPr>
              <w:pStyle w:val="1132"/>
              <w:rPr>
                <w:szCs w:val="21"/>
                <w:highlight w:val="none"/>
              </w:rPr>
            </w:pPr>
            <w:r>
              <w:rPr>
                <w:rFonts w:eastAsia="等线"/>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120" w:type="pct"/>
            <w:vMerge w:val="restart"/>
            <w:vAlign w:val="center"/>
          </w:tcPr>
          <w:p>
            <w:pPr>
              <w:pStyle w:val="1132"/>
              <w:rPr>
                <w:szCs w:val="21"/>
                <w:highlight w:val="none"/>
              </w:rPr>
            </w:pPr>
            <w:r>
              <w:rPr>
                <w:rFonts w:hint="eastAsia"/>
                <w:szCs w:val="21"/>
                <w:highlight w:val="none"/>
              </w:rPr>
              <w:t>2</w:t>
            </w:r>
          </w:p>
        </w:tc>
        <w:tc>
          <w:tcPr>
            <w:tcW w:w="277" w:type="pct"/>
            <w:vMerge w:val="restart"/>
            <w:vAlign w:val="center"/>
          </w:tcPr>
          <w:p>
            <w:pPr>
              <w:pStyle w:val="1132"/>
              <w:rPr>
                <w:color w:val="0070C0"/>
                <w:highlight w:val="none"/>
              </w:rPr>
            </w:pPr>
            <w:r>
              <w:rPr>
                <w:rFonts w:hint="eastAsia"/>
                <w:highlight w:val="none"/>
              </w:rPr>
              <w:t>路圩村</w:t>
            </w:r>
          </w:p>
        </w:tc>
        <w:tc>
          <w:tcPr>
            <w:tcW w:w="243" w:type="pct"/>
            <w:vMerge w:val="restart"/>
            <w:vAlign w:val="center"/>
          </w:tcPr>
          <w:p>
            <w:pPr>
              <w:pStyle w:val="1132"/>
              <w:rPr>
                <w:rFonts w:hint="default" w:eastAsia="宋体"/>
                <w:color w:val="auto"/>
                <w:szCs w:val="21"/>
                <w:highlight w:val="none"/>
                <w:lang w:val="en-US" w:eastAsia="zh-CN"/>
              </w:rPr>
            </w:pPr>
            <w:r>
              <w:rPr>
                <w:rFonts w:hint="eastAsia" w:cs="Times New Roman"/>
                <w:b w:val="0"/>
                <w:bCs w:val="0"/>
                <w:color w:val="auto"/>
                <w:sz w:val="21"/>
                <w:szCs w:val="21"/>
                <w:highlight w:val="none"/>
                <w:lang w:val="en-US" w:eastAsia="zh-CN"/>
              </w:rPr>
              <w:t>118</w:t>
            </w:r>
          </w:p>
        </w:tc>
        <w:tc>
          <w:tcPr>
            <w:tcW w:w="214" w:type="pct"/>
            <w:vMerge w:val="restart"/>
            <w:vAlign w:val="center"/>
          </w:tcPr>
          <w:p>
            <w:pPr>
              <w:pStyle w:val="1132"/>
              <w:rPr>
                <w:szCs w:val="21"/>
                <w:highlight w:val="none"/>
              </w:rPr>
            </w:pPr>
            <w:r>
              <w:rPr>
                <w:rFonts w:hint="eastAsia"/>
                <w:szCs w:val="21"/>
                <w:highlight w:val="none"/>
              </w:rPr>
              <w:t>2</w:t>
            </w:r>
          </w:p>
        </w:tc>
        <w:tc>
          <w:tcPr>
            <w:tcW w:w="214" w:type="pct"/>
            <w:vAlign w:val="center"/>
          </w:tcPr>
          <w:p>
            <w:pPr>
              <w:pStyle w:val="1132"/>
              <w:rPr>
                <w:highlight w:val="none"/>
              </w:rPr>
            </w:pPr>
            <w:r>
              <w:rPr>
                <w:rFonts w:hint="eastAsia"/>
                <w:highlight w:val="none"/>
              </w:rPr>
              <w:t>昼间</w:t>
            </w:r>
          </w:p>
        </w:tc>
        <w:tc>
          <w:tcPr>
            <w:tcW w:w="231" w:type="pct"/>
            <w:vAlign w:val="center"/>
          </w:tcPr>
          <w:p>
            <w:pPr>
              <w:pStyle w:val="1132"/>
              <w:rPr>
                <w:szCs w:val="21"/>
                <w:highlight w:val="none"/>
              </w:rPr>
            </w:pPr>
            <w:r>
              <w:rPr>
                <w:rFonts w:hint="eastAsia"/>
                <w:szCs w:val="21"/>
                <w:highlight w:val="none"/>
              </w:rPr>
              <w:t>6</w:t>
            </w:r>
            <w:r>
              <w:rPr>
                <w:szCs w:val="21"/>
                <w:highlight w:val="none"/>
              </w:rPr>
              <w:t>0</w:t>
            </w:r>
          </w:p>
        </w:tc>
        <w:tc>
          <w:tcPr>
            <w:tcW w:w="231" w:type="pct"/>
            <w:vAlign w:val="center"/>
          </w:tcPr>
          <w:p>
            <w:pPr>
              <w:pStyle w:val="1132"/>
              <w:rPr>
                <w:rFonts w:hint="default" w:eastAsia="宋体"/>
                <w:szCs w:val="21"/>
                <w:highlight w:val="none"/>
                <w:lang w:val="en-US" w:eastAsia="zh-CN"/>
              </w:rPr>
            </w:pPr>
            <w:r>
              <w:rPr>
                <w:rFonts w:hint="eastAsia"/>
                <w:szCs w:val="21"/>
                <w:highlight w:val="none"/>
                <w:lang w:val="en-US" w:eastAsia="zh-CN"/>
              </w:rPr>
              <w:t>56.3</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44.9</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56.6</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0.3</w:t>
            </w:r>
          </w:p>
        </w:tc>
        <w:tc>
          <w:tcPr>
            <w:tcW w:w="301" w:type="pct"/>
            <w:vAlign w:val="center"/>
          </w:tcPr>
          <w:p>
            <w:pPr>
              <w:pStyle w:val="1132"/>
              <w:rPr>
                <w:szCs w:val="21"/>
                <w:highlight w:val="none"/>
              </w:rPr>
            </w:pPr>
            <w:r>
              <w:rPr>
                <w:rFonts w:eastAsia="等线"/>
                <w:szCs w:val="21"/>
                <w:highlight w:val="none"/>
              </w:rPr>
              <w:t>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46.4</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56.7</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0.4</w:t>
            </w:r>
          </w:p>
        </w:tc>
        <w:tc>
          <w:tcPr>
            <w:tcW w:w="278" w:type="pct"/>
            <w:vAlign w:val="center"/>
          </w:tcPr>
          <w:p>
            <w:pPr>
              <w:pStyle w:val="1132"/>
              <w:rPr>
                <w:szCs w:val="21"/>
                <w:highlight w:val="none"/>
              </w:rPr>
            </w:pPr>
            <w:r>
              <w:rPr>
                <w:rFonts w:eastAsia="等线"/>
                <w:szCs w:val="21"/>
                <w:highlight w:val="none"/>
              </w:rPr>
              <w:t>0</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48.1</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56.9</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0.6</w:t>
            </w:r>
          </w:p>
        </w:tc>
        <w:tc>
          <w:tcPr>
            <w:tcW w:w="288" w:type="pct"/>
            <w:gridSpan w:val="2"/>
            <w:vAlign w:val="center"/>
          </w:tcPr>
          <w:p>
            <w:pPr>
              <w:pStyle w:val="1132"/>
              <w:rPr>
                <w:szCs w:val="21"/>
                <w:highlight w:val="none"/>
              </w:rPr>
            </w:pPr>
            <w:r>
              <w:rPr>
                <w:rFonts w:eastAsia="等线"/>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49" w:hRule="atLeast"/>
        </w:trPr>
        <w:tc>
          <w:tcPr>
            <w:tcW w:w="120" w:type="pct"/>
            <w:vMerge w:val="continue"/>
            <w:vAlign w:val="center"/>
          </w:tcPr>
          <w:p>
            <w:pPr>
              <w:pStyle w:val="1132"/>
              <w:rPr>
                <w:szCs w:val="21"/>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auto"/>
                <w:szCs w:val="21"/>
                <w:highlight w:val="none"/>
              </w:rPr>
            </w:pPr>
          </w:p>
        </w:tc>
        <w:tc>
          <w:tcPr>
            <w:tcW w:w="214" w:type="pct"/>
            <w:vMerge w:val="continue"/>
            <w:vAlign w:val="center"/>
          </w:tcPr>
          <w:p>
            <w:pPr>
              <w:pStyle w:val="1132"/>
              <w:rPr>
                <w:szCs w:val="21"/>
                <w:highlight w:val="none"/>
              </w:rPr>
            </w:pPr>
          </w:p>
        </w:tc>
        <w:tc>
          <w:tcPr>
            <w:tcW w:w="214" w:type="pct"/>
            <w:vAlign w:val="center"/>
          </w:tcPr>
          <w:p>
            <w:pPr>
              <w:pStyle w:val="1132"/>
              <w:rPr>
                <w:highlight w:val="none"/>
              </w:rPr>
            </w:pPr>
            <w:r>
              <w:rPr>
                <w:rFonts w:hint="eastAsia"/>
                <w:highlight w:val="none"/>
              </w:rPr>
              <w:t>夜间</w:t>
            </w:r>
          </w:p>
        </w:tc>
        <w:tc>
          <w:tcPr>
            <w:tcW w:w="231" w:type="pct"/>
            <w:vAlign w:val="center"/>
          </w:tcPr>
          <w:p>
            <w:pPr>
              <w:pStyle w:val="1132"/>
              <w:rPr>
                <w:szCs w:val="21"/>
                <w:highlight w:val="none"/>
              </w:rPr>
            </w:pPr>
            <w:r>
              <w:rPr>
                <w:rFonts w:hint="eastAsia"/>
                <w:szCs w:val="21"/>
                <w:highlight w:val="none"/>
              </w:rPr>
              <w:t>5</w:t>
            </w:r>
            <w:r>
              <w:rPr>
                <w:szCs w:val="21"/>
                <w:highlight w:val="none"/>
              </w:rPr>
              <w:t>0</w:t>
            </w:r>
          </w:p>
        </w:tc>
        <w:tc>
          <w:tcPr>
            <w:tcW w:w="231" w:type="pct"/>
            <w:vAlign w:val="center"/>
          </w:tcPr>
          <w:p>
            <w:pPr>
              <w:pStyle w:val="1132"/>
              <w:rPr>
                <w:rFonts w:hint="default" w:eastAsia="等线"/>
                <w:szCs w:val="21"/>
                <w:highlight w:val="none"/>
                <w:lang w:val="en-US" w:eastAsia="zh-CN"/>
              </w:rPr>
            </w:pPr>
            <w:r>
              <w:rPr>
                <w:rFonts w:eastAsia="等线"/>
                <w:szCs w:val="21"/>
                <w:highlight w:val="none"/>
              </w:rPr>
              <w:t>4</w:t>
            </w:r>
            <w:r>
              <w:rPr>
                <w:rFonts w:hint="eastAsia" w:eastAsia="等线"/>
                <w:szCs w:val="21"/>
                <w:highlight w:val="none"/>
                <w:lang w:val="en-US" w:eastAsia="zh-CN"/>
              </w:rPr>
              <w:t>4.7</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37.8</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45.5</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0.8</w:t>
            </w:r>
          </w:p>
        </w:tc>
        <w:tc>
          <w:tcPr>
            <w:tcW w:w="301" w:type="pct"/>
            <w:vAlign w:val="center"/>
          </w:tcPr>
          <w:p>
            <w:pPr>
              <w:pStyle w:val="1132"/>
              <w:rPr>
                <w:szCs w:val="21"/>
                <w:highlight w:val="none"/>
              </w:rPr>
            </w:pPr>
            <w:r>
              <w:rPr>
                <w:rFonts w:eastAsia="等线"/>
                <w:szCs w:val="21"/>
                <w:highlight w:val="none"/>
              </w:rPr>
              <w:t>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39.5</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45.8</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1.1</w:t>
            </w:r>
          </w:p>
        </w:tc>
        <w:tc>
          <w:tcPr>
            <w:tcW w:w="278" w:type="pct"/>
            <w:vAlign w:val="center"/>
          </w:tcPr>
          <w:p>
            <w:pPr>
              <w:pStyle w:val="1132"/>
              <w:rPr>
                <w:szCs w:val="21"/>
                <w:highlight w:val="none"/>
              </w:rPr>
            </w:pPr>
            <w:r>
              <w:rPr>
                <w:rFonts w:eastAsia="等线"/>
                <w:szCs w:val="21"/>
                <w:highlight w:val="none"/>
              </w:rPr>
              <w:t>0</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41.1</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46.3</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1.6</w:t>
            </w:r>
          </w:p>
        </w:tc>
        <w:tc>
          <w:tcPr>
            <w:tcW w:w="288" w:type="pct"/>
            <w:gridSpan w:val="2"/>
            <w:vAlign w:val="center"/>
          </w:tcPr>
          <w:p>
            <w:pPr>
              <w:pStyle w:val="1132"/>
              <w:rPr>
                <w:szCs w:val="21"/>
                <w:highlight w:val="none"/>
              </w:rPr>
            </w:pPr>
            <w:r>
              <w:rPr>
                <w:rFonts w:eastAsia="等线"/>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83" w:hRule="atLeast"/>
        </w:trPr>
        <w:tc>
          <w:tcPr>
            <w:tcW w:w="120" w:type="pct"/>
            <w:vMerge w:val="restart"/>
            <w:vAlign w:val="center"/>
          </w:tcPr>
          <w:p>
            <w:pPr>
              <w:pStyle w:val="1132"/>
              <w:rPr>
                <w:szCs w:val="21"/>
                <w:highlight w:val="none"/>
              </w:rPr>
            </w:pPr>
            <w:r>
              <w:rPr>
                <w:szCs w:val="21"/>
                <w:highlight w:val="none"/>
              </w:rPr>
              <w:t>3</w:t>
            </w:r>
          </w:p>
        </w:tc>
        <w:tc>
          <w:tcPr>
            <w:tcW w:w="277" w:type="pct"/>
            <w:vMerge w:val="restart"/>
            <w:vAlign w:val="center"/>
          </w:tcPr>
          <w:p>
            <w:pPr>
              <w:pStyle w:val="1132"/>
              <w:rPr>
                <w:color w:val="0070C0"/>
                <w:highlight w:val="none"/>
              </w:rPr>
            </w:pPr>
            <w:r>
              <w:rPr>
                <w:rFonts w:hint="eastAsia"/>
                <w:highlight w:val="none"/>
              </w:rPr>
              <w:t>汤庄（原）</w:t>
            </w:r>
          </w:p>
        </w:tc>
        <w:tc>
          <w:tcPr>
            <w:tcW w:w="243" w:type="pct"/>
            <w:vMerge w:val="restart"/>
            <w:vAlign w:val="center"/>
          </w:tcPr>
          <w:p>
            <w:pPr>
              <w:pStyle w:val="1132"/>
              <w:rPr>
                <w:rFonts w:hint="default" w:eastAsia="宋体"/>
                <w:color w:val="auto"/>
                <w:szCs w:val="21"/>
                <w:highlight w:val="none"/>
                <w:lang w:val="en-US" w:eastAsia="zh-CN"/>
              </w:rPr>
            </w:pPr>
            <w:r>
              <w:rPr>
                <w:rFonts w:hint="eastAsia"/>
                <w:color w:val="auto"/>
                <w:szCs w:val="21"/>
                <w:highlight w:val="none"/>
                <w:lang w:val="en-US" w:eastAsia="zh-CN"/>
              </w:rPr>
              <w:t>136</w:t>
            </w:r>
          </w:p>
        </w:tc>
        <w:tc>
          <w:tcPr>
            <w:tcW w:w="214" w:type="pct"/>
            <w:vMerge w:val="restart"/>
            <w:vAlign w:val="center"/>
          </w:tcPr>
          <w:p>
            <w:pPr>
              <w:pStyle w:val="1132"/>
              <w:rPr>
                <w:szCs w:val="21"/>
                <w:highlight w:val="none"/>
              </w:rPr>
            </w:pPr>
            <w:r>
              <w:rPr>
                <w:szCs w:val="21"/>
                <w:highlight w:val="none"/>
              </w:rPr>
              <w:t>2</w:t>
            </w:r>
          </w:p>
        </w:tc>
        <w:tc>
          <w:tcPr>
            <w:tcW w:w="214" w:type="pct"/>
            <w:vAlign w:val="center"/>
          </w:tcPr>
          <w:p>
            <w:pPr>
              <w:pStyle w:val="1132"/>
              <w:rPr>
                <w:highlight w:val="none"/>
              </w:rPr>
            </w:pPr>
            <w:r>
              <w:rPr>
                <w:rFonts w:hint="eastAsia"/>
                <w:highlight w:val="none"/>
              </w:rPr>
              <w:t>昼间</w:t>
            </w:r>
          </w:p>
        </w:tc>
        <w:tc>
          <w:tcPr>
            <w:tcW w:w="231" w:type="pct"/>
            <w:vAlign w:val="center"/>
          </w:tcPr>
          <w:p>
            <w:pPr>
              <w:pStyle w:val="1132"/>
              <w:rPr>
                <w:szCs w:val="21"/>
                <w:highlight w:val="none"/>
              </w:rPr>
            </w:pPr>
            <w:r>
              <w:rPr>
                <w:rFonts w:hint="eastAsia"/>
                <w:szCs w:val="21"/>
                <w:highlight w:val="none"/>
              </w:rPr>
              <w:t>6</w:t>
            </w:r>
            <w:r>
              <w:rPr>
                <w:szCs w:val="21"/>
                <w:highlight w:val="none"/>
              </w:rPr>
              <w:t>0</w:t>
            </w:r>
          </w:p>
        </w:tc>
        <w:tc>
          <w:tcPr>
            <w:tcW w:w="231" w:type="pct"/>
            <w:vAlign w:val="center"/>
          </w:tcPr>
          <w:p>
            <w:pPr>
              <w:pStyle w:val="1132"/>
              <w:rPr>
                <w:rFonts w:hint="default" w:eastAsia="宋体"/>
                <w:szCs w:val="21"/>
                <w:highlight w:val="none"/>
                <w:lang w:val="en-US" w:eastAsia="zh-CN"/>
              </w:rPr>
            </w:pPr>
            <w:r>
              <w:rPr>
                <w:rFonts w:hint="eastAsia"/>
                <w:szCs w:val="21"/>
                <w:highlight w:val="none"/>
                <w:lang w:val="en-US" w:eastAsia="zh-CN"/>
              </w:rPr>
              <w:t>54.4</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44.1</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54.8</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0.4</w:t>
            </w:r>
          </w:p>
        </w:tc>
        <w:tc>
          <w:tcPr>
            <w:tcW w:w="301" w:type="pct"/>
            <w:vAlign w:val="center"/>
          </w:tcPr>
          <w:p>
            <w:pPr>
              <w:pStyle w:val="1132"/>
              <w:rPr>
                <w:szCs w:val="21"/>
                <w:highlight w:val="none"/>
              </w:rPr>
            </w:pPr>
            <w:r>
              <w:rPr>
                <w:rFonts w:eastAsia="等线"/>
                <w:szCs w:val="21"/>
                <w:highlight w:val="none"/>
              </w:rPr>
              <w:t>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45.6</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54.9</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0.5</w:t>
            </w:r>
          </w:p>
        </w:tc>
        <w:tc>
          <w:tcPr>
            <w:tcW w:w="278" w:type="pct"/>
            <w:vAlign w:val="center"/>
          </w:tcPr>
          <w:p>
            <w:pPr>
              <w:pStyle w:val="1132"/>
              <w:rPr>
                <w:szCs w:val="21"/>
                <w:highlight w:val="none"/>
              </w:rPr>
            </w:pPr>
            <w:r>
              <w:rPr>
                <w:rFonts w:eastAsia="等线"/>
                <w:szCs w:val="21"/>
                <w:highlight w:val="none"/>
              </w:rPr>
              <w:t>0</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47.3</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55.2</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0.8</w:t>
            </w:r>
          </w:p>
        </w:tc>
        <w:tc>
          <w:tcPr>
            <w:tcW w:w="288" w:type="pct"/>
            <w:gridSpan w:val="2"/>
            <w:vAlign w:val="center"/>
          </w:tcPr>
          <w:p>
            <w:pPr>
              <w:pStyle w:val="1132"/>
              <w:rPr>
                <w:szCs w:val="21"/>
                <w:highlight w:val="none"/>
              </w:rPr>
            </w:pPr>
            <w:r>
              <w:rPr>
                <w:rFonts w:eastAsia="等线"/>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szCs w:val="21"/>
                <w:highlight w:val="none"/>
              </w:rPr>
            </w:pPr>
          </w:p>
        </w:tc>
        <w:tc>
          <w:tcPr>
            <w:tcW w:w="277" w:type="pct"/>
            <w:vMerge w:val="continue"/>
            <w:vAlign w:val="center"/>
          </w:tcPr>
          <w:p>
            <w:pPr>
              <w:pStyle w:val="1132"/>
              <w:rPr>
                <w:color w:val="0070C0"/>
                <w:highlight w:val="none"/>
              </w:rPr>
            </w:pPr>
          </w:p>
        </w:tc>
        <w:tc>
          <w:tcPr>
            <w:tcW w:w="243" w:type="pct"/>
            <w:vMerge w:val="continue"/>
            <w:vAlign w:val="center"/>
          </w:tcPr>
          <w:p>
            <w:pPr>
              <w:pStyle w:val="1132"/>
              <w:rPr>
                <w:color w:val="auto"/>
                <w:szCs w:val="21"/>
                <w:highlight w:val="none"/>
              </w:rPr>
            </w:pPr>
          </w:p>
        </w:tc>
        <w:tc>
          <w:tcPr>
            <w:tcW w:w="214" w:type="pct"/>
            <w:vMerge w:val="continue"/>
            <w:vAlign w:val="center"/>
          </w:tcPr>
          <w:p>
            <w:pPr>
              <w:pStyle w:val="1132"/>
              <w:rPr>
                <w:szCs w:val="21"/>
                <w:highlight w:val="none"/>
              </w:rPr>
            </w:pPr>
          </w:p>
        </w:tc>
        <w:tc>
          <w:tcPr>
            <w:tcW w:w="214" w:type="pct"/>
            <w:vAlign w:val="center"/>
          </w:tcPr>
          <w:p>
            <w:pPr>
              <w:pStyle w:val="1132"/>
              <w:rPr>
                <w:highlight w:val="none"/>
              </w:rPr>
            </w:pPr>
            <w:r>
              <w:rPr>
                <w:rFonts w:hint="eastAsia"/>
                <w:highlight w:val="none"/>
              </w:rPr>
              <w:t>夜间</w:t>
            </w:r>
          </w:p>
        </w:tc>
        <w:tc>
          <w:tcPr>
            <w:tcW w:w="231" w:type="pct"/>
            <w:vAlign w:val="center"/>
          </w:tcPr>
          <w:p>
            <w:pPr>
              <w:pStyle w:val="1132"/>
              <w:rPr>
                <w:szCs w:val="21"/>
                <w:highlight w:val="none"/>
              </w:rPr>
            </w:pPr>
            <w:r>
              <w:rPr>
                <w:rFonts w:hint="eastAsia"/>
                <w:szCs w:val="21"/>
                <w:highlight w:val="none"/>
              </w:rPr>
              <w:t>5</w:t>
            </w:r>
            <w:r>
              <w:rPr>
                <w:szCs w:val="21"/>
                <w:highlight w:val="none"/>
              </w:rPr>
              <w:t>0</w:t>
            </w:r>
          </w:p>
        </w:tc>
        <w:tc>
          <w:tcPr>
            <w:tcW w:w="231" w:type="pct"/>
            <w:vAlign w:val="center"/>
          </w:tcPr>
          <w:p>
            <w:pPr>
              <w:pStyle w:val="1132"/>
              <w:rPr>
                <w:rFonts w:hint="default" w:eastAsia="宋体"/>
                <w:szCs w:val="21"/>
                <w:highlight w:val="none"/>
                <w:lang w:val="en-US" w:eastAsia="zh-CN"/>
              </w:rPr>
            </w:pPr>
            <w:r>
              <w:rPr>
                <w:rFonts w:hint="eastAsia"/>
                <w:szCs w:val="21"/>
                <w:highlight w:val="none"/>
                <w:lang w:val="en-US" w:eastAsia="zh-CN"/>
              </w:rPr>
              <w:t>44.4</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36.9</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45.1</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0.7</w:t>
            </w:r>
          </w:p>
        </w:tc>
        <w:tc>
          <w:tcPr>
            <w:tcW w:w="301" w:type="pct"/>
            <w:vAlign w:val="center"/>
          </w:tcPr>
          <w:p>
            <w:pPr>
              <w:pStyle w:val="1132"/>
              <w:rPr>
                <w:szCs w:val="21"/>
                <w:highlight w:val="none"/>
              </w:rPr>
            </w:pPr>
            <w:r>
              <w:rPr>
                <w:rFonts w:eastAsia="等线"/>
                <w:szCs w:val="21"/>
                <w:highlight w:val="none"/>
              </w:rPr>
              <w:t>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38.5</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45.4</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1.0</w:t>
            </w:r>
          </w:p>
        </w:tc>
        <w:tc>
          <w:tcPr>
            <w:tcW w:w="278" w:type="pct"/>
            <w:vAlign w:val="center"/>
          </w:tcPr>
          <w:p>
            <w:pPr>
              <w:pStyle w:val="1132"/>
              <w:rPr>
                <w:szCs w:val="21"/>
                <w:highlight w:val="none"/>
              </w:rPr>
            </w:pPr>
            <w:r>
              <w:rPr>
                <w:rFonts w:eastAsia="等线"/>
                <w:szCs w:val="21"/>
                <w:highlight w:val="none"/>
              </w:rPr>
              <w:t>0</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40.1</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45.8</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1.4</w:t>
            </w:r>
          </w:p>
        </w:tc>
        <w:tc>
          <w:tcPr>
            <w:tcW w:w="288" w:type="pct"/>
            <w:gridSpan w:val="2"/>
            <w:vAlign w:val="center"/>
          </w:tcPr>
          <w:p>
            <w:pPr>
              <w:pStyle w:val="1132"/>
              <w:rPr>
                <w:szCs w:val="21"/>
                <w:highlight w:val="none"/>
              </w:rPr>
            </w:pPr>
            <w:r>
              <w:rPr>
                <w:rFonts w:eastAsia="等线"/>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restart"/>
            <w:vAlign w:val="center"/>
          </w:tcPr>
          <w:p>
            <w:pPr>
              <w:pStyle w:val="1132"/>
              <w:rPr>
                <w:szCs w:val="21"/>
                <w:highlight w:val="none"/>
              </w:rPr>
            </w:pPr>
            <w:r>
              <w:rPr>
                <w:szCs w:val="21"/>
                <w:highlight w:val="none"/>
              </w:rPr>
              <w:t>4</w:t>
            </w:r>
          </w:p>
        </w:tc>
        <w:tc>
          <w:tcPr>
            <w:tcW w:w="277" w:type="pct"/>
            <w:vMerge w:val="restart"/>
            <w:vAlign w:val="center"/>
          </w:tcPr>
          <w:p>
            <w:pPr>
              <w:pStyle w:val="1132"/>
              <w:rPr>
                <w:color w:val="0070C0"/>
                <w:szCs w:val="21"/>
                <w:highlight w:val="none"/>
              </w:rPr>
            </w:pPr>
            <w:r>
              <w:rPr>
                <w:rFonts w:hint="eastAsia"/>
                <w:highlight w:val="none"/>
              </w:rPr>
              <w:t>汤庄</w:t>
            </w:r>
          </w:p>
        </w:tc>
        <w:tc>
          <w:tcPr>
            <w:tcW w:w="243" w:type="pct"/>
            <w:vMerge w:val="restart"/>
            <w:vAlign w:val="center"/>
          </w:tcPr>
          <w:p>
            <w:pPr>
              <w:pStyle w:val="1132"/>
              <w:rPr>
                <w:rFonts w:hint="default" w:eastAsia="宋体"/>
                <w:color w:val="auto"/>
                <w:szCs w:val="21"/>
                <w:highlight w:val="none"/>
                <w:lang w:val="en-US" w:eastAsia="zh-CN"/>
              </w:rPr>
            </w:pPr>
            <w:r>
              <w:rPr>
                <w:rFonts w:hint="eastAsia"/>
                <w:color w:val="auto"/>
                <w:szCs w:val="21"/>
                <w:highlight w:val="none"/>
                <w:lang w:val="en-US" w:eastAsia="zh-CN"/>
              </w:rPr>
              <w:t>10</w:t>
            </w:r>
          </w:p>
        </w:tc>
        <w:tc>
          <w:tcPr>
            <w:tcW w:w="214" w:type="pct"/>
            <w:vMerge w:val="restart"/>
            <w:vAlign w:val="center"/>
          </w:tcPr>
          <w:p>
            <w:pPr>
              <w:pStyle w:val="1132"/>
              <w:rPr>
                <w:szCs w:val="21"/>
                <w:highlight w:val="none"/>
              </w:rPr>
            </w:pPr>
            <w:r>
              <w:rPr>
                <w:szCs w:val="21"/>
                <w:highlight w:val="none"/>
              </w:rPr>
              <w:t>4</w:t>
            </w:r>
            <w:r>
              <w:rPr>
                <w:rFonts w:hint="eastAsia"/>
                <w:szCs w:val="21"/>
                <w:highlight w:val="none"/>
              </w:rPr>
              <w:t>a</w:t>
            </w:r>
          </w:p>
        </w:tc>
        <w:tc>
          <w:tcPr>
            <w:tcW w:w="214" w:type="pct"/>
            <w:vAlign w:val="center"/>
          </w:tcPr>
          <w:p>
            <w:pPr>
              <w:pStyle w:val="1132"/>
              <w:rPr>
                <w:highlight w:val="none"/>
              </w:rPr>
            </w:pPr>
            <w:r>
              <w:rPr>
                <w:rFonts w:hint="eastAsia"/>
                <w:highlight w:val="none"/>
              </w:rPr>
              <w:t>昼间</w:t>
            </w:r>
          </w:p>
        </w:tc>
        <w:tc>
          <w:tcPr>
            <w:tcW w:w="231" w:type="pct"/>
            <w:vAlign w:val="center"/>
          </w:tcPr>
          <w:p>
            <w:pPr>
              <w:pStyle w:val="1132"/>
              <w:rPr>
                <w:szCs w:val="21"/>
                <w:highlight w:val="none"/>
              </w:rPr>
            </w:pPr>
            <w:r>
              <w:rPr>
                <w:rFonts w:hint="eastAsia"/>
                <w:szCs w:val="21"/>
                <w:highlight w:val="none"/>
              </w:rPr>
              <w:t>7</w:t>
            </w:r>
            <w:r>
              <w:rPr>
                <w:szCs w:val="21"/>
                <w:highlight w:val="none"/>
              </w:rPr>
              <w:t>0</w:t>
            </w:r>
          </w:p>
        </w:tc>
        <w:tc>
          <w:tcPr>
            <w:tcW w:w="231" w:type="pct"/>
            <w:vAlign w:val="center"/>
          </w:tcPr>
          <w:p>
            <w:pPr>
              <w:pStyle w:val="1132"/>
              <w:rPr>
                <w:rFonts w:hint="default" w:eastAsia="等线"/>
                <w:szCs w:val="21"/>
                <w:highlight w:val="none"/>
                <w:lang w:val="en-US" w:eastAsia="zh-CN"/>
              </w:rPr>
            </w:pPr>
            <w:r>
              <w:rPr>
                <w:rFonts w:eastAsia="等线"/>
                <w:szCs w:val="21"/>
                <w:highlight w:val="none"/>
              </w:rPr>
              <w:t>5</w:t>
            </w:r>
            <w:r>
              <w:rPr>
                <w:rFonts w:hint="eastAsia" w:eastAsia="等线"/>
                <w:szCs w:val="21"/>
                <w:highlight w:val="none"/>
                <w:lang w:val="en-US" w:eastAsia="zh-CN"/>
              </w:rPr>
              <w:t>0.1</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58.3</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58.9</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8.8</w:t>
            </w:r>
          </w:p>
        </w:tc>
        <w:tc>
          <w:tcPr>
            <w:tcW w:w="301" w:type="pct"/>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59.8</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60.2</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10.1</w:t>
            </w:r>
          </w:p>
        </w:tc>
        <w:tc>
          <w:tcPr>
            <w:tcW w:w="278" w:type="pct"/>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61.4</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61.7</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11.6</w:t>
            </w:r>
          </w:p>
        </w:tc>
        <w:tc>
          <w:tcPr>
            <w:tcW w:w="288" w:type="pct"/>
            <w:gridSpan w:val="2"/>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szCs w:val="21"/>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auto"/>
                <w:szCs w:val="21"/>
                <w:highlight w:val="none"/>
              </w:rPr>
            </w:pPr>
          </w:p>
        </w:tc>
        <w:tc>
          <w:tcPr>
            <w:tcW w:w="214" w:type="pct"/>
            <w:vMerge w:val="continue"/>
            <w:vAlign w:val="center"/>
          </w:tcPr>
          <w:p>
            <w:pPr>
              <w:pStyle w:val="1132"/>
              <w:rPr>
                <w:szCs w:val="21"/>
                <w:highlight w:val="none"/>
              </w:rPr>
            </w:pPr>
          </w:p>
        </w:tc>
        <w:tc>
          <w:tcPr>
            <w:tcW w:w="214" w:type="pct"/>
            <w:vAlign w:val="center"/>
          </w:tcPr>
          <w:p>
            <w:pPr>
              <w:pStyle w:val="1132"/>
              <w:rPr>
                <w:highlight w:val="none"/>
              </w:rPr>
            </w:pPr>
            <w:r>
              <w:rPr>
                <w:rFonts w:hint="eastAsia"/>
                <w:highlight w:val="none"/>
              </w:rPr>
              <w:t>夜间</w:t>
            </w:r>
          </w:p>
        </w:tc>
        <w:tc>
          <w:tcPr>
            <w:tcW w:w="231" w:type="pct"/>
            <w:vAlign w:val="center"/>
          </w:tcPr>
          <w:p>
            <w:pPr>
              <w:pStyle w:val="1132"/>
              <w:rPr>
                <w:szCs w:val="21"/>
                <w:highlight w:val="none"/>
              </w:rPr>
            </w:pPr>
            <w:r>
              <w:rPr>
                <w:rFonts w:hint="eastAsia"/>
                <w:szCs w:val="21"/>
                <w:highlight w:val="none"/>
              </w:rPr>
              <w:t>5</w:t>
            </w:r>
            <w:r>
              <w:rPr>
                <w:szCs w:val="21"/>
                <w:highlight w:val="none"/>
              </w:rPr>
              <w:t>5</w:t>
            </w:r>
          </w:p>
        </w:tc>
        <w:tc>
          <w:tcPr>
            <w:tcW w:w="231" w:type="pct"/>
            <w:vAlign w:val="center"/>
          </w:tcPr>
          <w:p>
            <w:pPr>
              <w:pStyle w:val="1132"/>
              <w:rPr>
                <w:rFonts w:hint="default" w:eastAsia="宋体"/>
                <w:szCs w:val="21"/>
                <w:highlight w:val="none"/>
                <w:lang w:val="en-US" w:eastAsia="zh-CN"/>
              </w:rPr>
            </w:pPr>
            <w:r>
              <w:rPr>
                <w:rFonts w:hint="eastAsia" w:eastAsia="等线"/>
                <w:szCs w:val="21"/>
                <w:highlight w:val="none"/>
                <w:lang w:val="en-US" w:eastAsia="zh-CN"/>
              </w:rPr>
              <w:t>42.9</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53.7</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54.0</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11.1</w:t>
            </w:r>
          </w:p>
        </w:tc>
        <w:tc>
          <w:tcPr>
            <w:tcW w:w="301" w:type="pct"/>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55.3</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55.5</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12.6</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0.5</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56.9</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57.1</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14.2</w:t>
            </w:r>
          </w:p>
        </w:tc>
        <w:tc>
          <w:tcPr>
            <w:tcW w:w="288" w:type="pct"/>
            <w:gridSpan w:val="2"/>
            <w:vAlign w:val="center"/>
          </w:tcPr>
          <w:p>
            <w:pPr>
              <w:pStyle w:val="1132"/>
              <w:rPr>
                <w:rFonts w:hint="default" w:eastAsia="宋体"/>
                <w:szCs w:val="21"/>
                <w:highlight w:val="none"/>
                <w:lang w:val="en-US" w:eastAsia="zh-CN"/>
              </w:rPr>
            </w:pPr>
            <w:r>
              <w:rPr>
                <w:rFonts w:hint="eastAsia"/>
                <w:szCs w:val="21"/>
                <w:highlight w:val="none"/>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szCs w:val="21"/>
                <w:highlight w:val="none"/>
              </w:rPr>
            </w:pPr>
          </w:p>
        </w:tc>
        <w:tc>
          <w:tcPr>
            <w:tcW w:w="277" w:type="pct"/>
            <w:vMerge w:val="continue"/>
            <w:vAlign w:val="center"/>
          </w:tcPr>
          <w:p>
            <w:pPr>
              <w:pStyle w:val="1132"/>
              <w:rPr>
                <w:color w:val="0070C0"/>
                <w:szCs w:val="21"/>
                <w:highlight w:val="none"/>
              </w:rPr>
            </w:pPr>
          </w:p>
        </w:tc>
        <w:tc>
          <w:tcPr>
            <w:tcW w:w="243" w:type="pct"/>
            <w:vMerge w:val="restart"/>
            <w:vAlign w:val="center"/>
          </w:tcPr>
          <w:p>
            <w:pPr>
              <w:pStyle w:val="1132"/>
              <w:rPr>
                <w:rFonts w:hint="default" w:eastAsia="宋体"/>
                <w:color w:val="auto"/>
                <w:szCs w:val="21"/>
                <w:highlight w:val="none"/>
                <w:lang w:val="en-US" w:eastAsia="zh-CN"/>
              </w:rPr>
            </w:pPr>
            <w:r>
              <w:rPr>
                <w:rFonts w:hint="eastAsia"/>
                <w:color w:val="auto"/>
                <w:szCs w:val="21"/>
                <w:highlight w:val="none"/>
                <w:lang w:val="en-US" w:eastAsia="zh-CN"/>
              </w:rPr>
              <w:t>35</w:t>
            </w:r>
          </w:p>
        </w:tc>
        <w:tc>
          <w:tcPr>
            <w:tcW w:w="214" w:type="pct"/>
            <w:vMerge w:val="restart"/>
            <w:vAlign w:val="center"/>
          </w:tcPr>
          <w:p>
            <w:pPr>
              <w:pStyle w:val="1132"/>
              <w:rPr>
                <w:rFonts w:hint="eastAsia" w:eastAsia="宋体"/>
                <w:szCs w:val="21"/>
                <w:highlight w:val="none"/>
                <w:lang w:val="en-US" w:eastAsia="zh-CN"/>
              </w:rPr>
            </w:pPr>
            <w:r>
              <w:rPr>
                <w:rFonts w:hint="eastAsia"/>
                <w:szCs w:val="21"/>
                <w:highlight w:val="none"/>
                <w:lang w:val="en-US" w:eastAsia="zh-CN"/>
              </w:rPr>
              <w:t>2</w:t>
            </w:r>
          </w:p>
        </w:tc>
        <w:tc>
          <w:tcPr>
            <w:tcW w:w="214" w:type="pct"/>
            <w:vAlign w:val="center"/>
          </w:tcPr>
          <w:p>
            <w:pPr>
              <w:pStyle w:val="1132"/>
              <w:rPr>
                <w:rFonts w:hint="eastAsia"/>
                <w:highlight w:val="none"/>
              </w:rPr>
            </w:pPr>
            <w:r>
              <w:rPr>
                <w:rFonts w:hint="eastAsia"/>
                <w:highlight w:val="none"/>
              </w:rPr>
              <w:t>昼间</w:t>
            </w:r>
          </w:p>
        </w:tc>
        <w:tc>
          <w:tcPr>
            <w:tcW w:w="231" w:type="pct"/>
            <w:vAlign w:val="center"/>
          </w:tcPr>
          <w:p>
            <w:pPr>
              <w:pStyle w:val="1132"/>
              <w:rPr>
                <w:rFonts w:hint="eastAsia"/>
                <w:szCs w:val="21"/>
                <w:highlight w:val="none"/>
              </w:rPr>
            </w:pPr>
            <w:r>
              <w:rPr>
                <w:rFonts w:hint="eastAsia"/>
                <w:szCs w:val="21"/>
                <w:highlight w:val="none"/>
              </w:rPr>
              <w:t>6</w:t>
            </w:r>
            <w:r>
              <w:rPr>
                <w:szCs w:val="21"/>
                <w:highlight w:val="none"/>
              </w:rPr>
              <w:t>0</w:t>
            </w:r>
          </w:p>
        </w:tc>
        <w:tc>
          <w:tcPr>
            <w:tcW w:w="231" w:type="pct"/>
            <w:vAlign w:val="center"/>
          </w:tcPr>
          <w:p>
            <w:pPr>
              <w:pStyle w:val="1132"/>
              <w:rPr>
                <w:rFonts w:eastAsia="等线"/>
                <w:szCs w:val="21"/>
                <w:highlight w:val="none"/>
              </w:rPr>
            </w:pPr>
            <w:r>
              <w:rPr>
                <w:rFonts w:eastAsia="等线"/>
                <w:szCs w:val="21"/>
                <w:highlight w:val="none"/>
              </w:rPr>
              <w:t>5</w:t>
            </w:r>
            <w:r>
              <w:rPr>
                <w:rFonts w:hint="eastAsia" w:eastAsia="等线"/>
                <w:szCs w:val="21"/>
                <w:highlight w:val="none"/>
                <w:lang w:val="en-US" w:eastAsia="zh-CN"/>
              </w:rPr>
              <w:t>0.1</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49.8</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53.0</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2.9</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51.5</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53.9</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3.8</w:t>
            </w:r>
          </w:p>
        </w:tc>
        <w:tc>
          <w:tcPr>
            <w:tcW w:w="278"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53.2</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54.9</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4.8</w:t>
            </w:r>
          </w:p>
        </w:tc>
        <w:tc>
          <w:tcPr>
            <w:tcW w:w="288" w:type="pct"/>
            <w:gridSpan w:val="2"/>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szCs w:val="21"/>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auto"/>
                <w:szCs w:val="21"/>
                <w:highlight w:val="none"/>
              </w:rPr>
            </w:pPr>
          </w:p>
        </w:tc>
        <w:tc>
          <w:tcPr>
            <w:tcW w:w="214" w:type="pct"/>
            <w:vMerge w:val="continue"/>
            <w:vAlign w:val="center"/>
          </w:tcPr>
          <w:p>
            <w:pPr>
              <w:pStyle w:val="1132"/>
              <w:rPr>
                <w:szCs w:val="21"/>
                <w:highlight w:val="none"/>
              </w:rPr>
            </w:pPr>
          </w:p>
        </w:tc>
        <w:tc>
          <w:tcPr>
            <w:tcW w:w="214" w:type="pct"/>
            <w:vAlign w:val="center"/>
          </w:tcPr>
          <w:p>
            <w:pPr>
              <w:pStyle w:val="1132"/>
              <w:rPr>
                <w:rFonts w:hint="eastAsia"/>
                <w:highlight w:val="none"/>
              </w:rPr>
            </w:pPr>
            <w:r>
              <w:rPr>
                <w:rFonts w:hint="eastAsia"/>
                <w:highlight w:val="none"/>
              </w:rPr>
              <w:t>夜间</w:t>
            </w:r>
          </w:p>
        </w:tc>
        <w:tc>
          <w:tcPr>
            <w:tcW w:w="231" w:type="pct"/>
            <w:vAlign w:val="center"/>
          </w:tcPr>
          <w:p>
            <w:pPr>
              <w:pStyle w:val="1132"/>
              <w:rPr>
                <w:rFonts w:hint="eastAsia"/>
                <w:szCs w:val="21"/>
                <w:highlight w:val="none"/>
              </w:rPr>
            </w:pPr>
            <w:r>
              <w:rPr>
                <w:rFonts w:hint="eastAsia"/>
                <w:szCs w:val="21"/>
                <w:highlight w:val="none"/>
              </w:rPr>
              <w:t>5</w:t>
            </w:r>
            <w:r>
              <w:rPr>
                <w:szCs w:val="21"/>
                <w:highlight w:val="none"/>
              </w:rPr>
              <w:t>0</w:t>
            </w:r>
          </w:p>
        </w:tc>
        <w:tc>
          <w:tcPr>
            <w:tcW w:w="231" w:type="pct"/>
            <w:vAlign w:val="center"/>
          </w:tcPr>
          <w:p>
            <w:pPr>
              <w:pStyle w:val="1132"/>
              <w:rPr>
                <w:rFonts w:eastAsia="等线"/>
                <w:szCs w:val="21"/>
                <w:highlight w:val="none"/>
              </w:rPr>
            </w:pPr>
            <w:r>
              <w:rPr>
                <w:rFonts w:hint="eastAsia" w:eastAsia="等线"/>
                <w:szCs w:val="21"/>
                <w:highlight w:val="none"/>
                <w:lang w:val="en-US" w:eastAsia="zh-CN"/>
              </w:rPr>
              <w:t>42.9</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44.3</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46.7</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3.8</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46.0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47.7</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4.8</w:t>
            </w:r>
          </w:p>
        </w:tc>
        <w:tc>
          <w:tcPr>
            <w:tcW w:w="278"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47.6</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48.9</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6.0</w:t>
            </w:r>
          </w:p>
        </w:tc>
        <w:tc>
          <w:tcPr>
            <w:tcW w:w="288" w:type="pct"/>
            <w:gridSpan w:val="2"/>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restart"/>
            <w:vAlign w:val="center"/>
          </w:tcPr>
          <w:p>
            <w:pPr>
              <w:pStyle w:val="1132"/>
              <w:rPr>
                <w:szCs w:val="21"/>
                <w:highlight w:val="none"/>
              </w:rPr>
            </w:pPr>
            <w:r>
              <w:rPr>
                <w:szCs w:val="21"/>
                <w:highlight w:val="none"/>
              </w:rPr>
              <w:t>5</w:t>
            </w:r>
          </w:p>
        </w:tc>
        <w:tc>
          <w:tcPr>
            <w:tcW w:w="277" w:type="pct"/>
            <w:vMerge w:val="restart"/>
            <w:vAlign w:val="center"/>
          </w:tcPr>
          <w:p>
            <w:pPr>
              <w:pStyle w:val="1132"/>
              <w:rPr>
                <w:color w:val="0070C0"/>
                <w:highlight w:val="none"/>
              </w:rPr>
            </w:pPr>
            <w:r>
              <w:rPr>
                <w:rFonts w:hint="eastAsia"/>
                <w:highlight w:val="none"/>
              </w:rPr>
              <w:t>仁和村</w:t>
            </w:r>
          </w:p>
        </w:tc>
        <w:tc>
          <w:tcPr>
            <w:tcW w:w="243" w:type="pct"/>
            <w:vMerge w:val="restart"/>
            <w:vAlign w:val="center"/>
          </w:tcPr>
          <w:p>
            <w:pPr>
              <w:pStyle w:val="1132"/>
              <w:rPr>
                <w:rFonts w:hint="default" w:eastAsia="宋体"/>
                <w:color w:val="auto"/>
                <w:szCs w:val="21"/>
                <w:highlight w:val="none"/>
                <w:lang w:val="en-US" w:eastAsia="zh-CN"/>
              </w:rPr>
            </w:pPr>
            <w:r>
              <w:rPr>
                <w:rFonts w:hint="eastAsia"/>
                <w:color w:val="auto"/>
                <w:szCs w:val="21"/>
                <w:highlight w:val="none"/>
                <w:lang w:val="en-US" w:eastAsia="zh-CN"/>
              </w:rPr>
              <w:t>17</w:t>
            </w:r>
          </w:p>
        </w:tc>
        <w:tc>
          <w:tcPr>
            <w:tcW w:w="214" w:type="pct"/>
            <w:vMerge w:val="restart"/>
            <w:vAlign w:val="center"/>
          </w:tcPr>
          <w:p>
            <w:pPr>
              <w:pStyle w:val="1132"/>
              <w:rPr>
                <w:szCs w:val="21"/>
                <w:highlight w:val="none"/>
              </w:rPr>
            </w:pPr>
            <w:r>
              <w:rPr>
                <w:szCs w:val="21"/>
                <w:highlight w:val="none"/>
              </w:rPr>
              <w:t>4</w:t>
            </w:r>
            <w:r>
              <w:rPr>
                <w:rFonts w:hint="eastAsia"/>
                <w:szCs w:val="21"/>
                <w:highlight w:val="none"/>
              </w:rPr>
              <w:t>a</w:t>
            </w:r>
          </w:p>
        </w:tc>
        <w:tc>
          <w:tcPr>
            <w:tcW w:w="214" w:type="pct"/>
            <w:vAlign w:val="center"/>
          </w:tcPr>
          <w:p>
            <w:pPr>
              <w:pStyle w:val="1132"/>
              <w:rPr>
                <w:highlight w:val="none"/>
              </w:rPr>
            </w:pPr>
            <w:r>
              <w:rPr>
                <w:rFonts w:hint="eastAsia"/>
                <w:highlight w:val="none"/>
              </w:rPr>
              <w:t>昼间</w:t>
            </w:r>
          </w:p>
        </w:tc>
        <w:tc>
          <w:tcPr>
            <w:tcW w:w="231" w:type="pct"/>
            <w:vAlign w:val="center"/>
          </w:tcPr>
          <w:p>
            <w:pPr>
              <w:pStyle w:val="1132"/>
              <w:rPr>
                <w:szCs w:val="21"/>
                <w:highlight w:val="none"/>
              </w:rPr>
            </w:pPr>
            <w:r>
              <w:rPr>
                <w:rFonts w:hint="eastAsia"/>
                <w:szCs w:val="21"/>
                <w:highlight w:val="none"/>
              </w:rPr>
              <w:t>7</w:t>
            </w:r>
            <w:r>
              <w:rPr>
                <w:szCs w:val="21"/>
                <w:highlight w:val="none"/>
              </w:rPr>
              <w:t>0</w:t>
            </w:r>
          </w:p>
        </w:tc>
        <w:tc>
          <w:tcPr>
            <w:tcW w:w="231" w:type="pct"/>
            <w:vAlign w:val="center"/>
          </w:tcPr>
          <w:p>
            <w:pPr>
              <w:pStyle w:val="1132"/>
              <w:rPr>
                <w:rFonts w:hint="default" w:eastAsia="宋体"/>
                <w:szCs w:val="21"/>
                <w:highlight w:val="none"/>
                <w:lang w:val="en-US" w:eastAsia="zh-CN"/>
              </w:rPr>
            </w:pPr>
            <w:r>
              <w:rPr>
                <w:rFonts w:hint="eastAsia" w:eastAsia="等线"/>
                <w:szCs w:val="21"/>
                <w:highlight w:val="none"/>
                <w:lang w:val="en-US" w:eastAsia="zh-CN"/>
              </w:rPr>
              <w:t>54.2</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55.3</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57.8</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3.6</w:t>
            </w:r>
          </w:p>
        </w:tc>
        <w:tc>
          <w:tcPr>
            <w:tcW w:w="301" w:type="pct"/>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56.8</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58.7</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4.5</w:t>
            </w:r>
          </w:p>
        </w:tc>
        <w:tc>
          <w:tcPr>
            <w:tcW w:w="278" w:type="pct"/>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58.5</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59.9</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5.7</w:t>
            </w:r>
          </w:p>
        </w:tc>
        <w:tc>
          <w:tcPr>
            <w:tcW w:w="288" w:type="pct"/>
            <w:gridSpan w:val="2"/>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auto"/>
                <w:highlight w:val="none"/>
              </w:rPr>
            </w:pPr>
          </w:p>
        </w:tc>
        <w:tc>
          <w:tcPr>
            <w:tcW w:w="214" w:type="pct"/>
            <w:vMerge w:val="continue"/>
            <w:vAlign w:val="center"/>
          </w:tcPr>
          <w:p>
            <w:pPr>
              <w:pStyle w:val="1132"/>
              <w:rPr>
                <w:highlight w:val="none"/>
              </w:rPr>
            </w:pPr>
          </w:p>
        </w:tc>
        <w:tc>
          <w:tcPr>
            <w:tcW w:w="214" w:type="pct"/>
            <w:vAlign w:val="center"/>
          </w:tcPr>
          <w:p>
            <w:pPr>
              <w:pStyle w:val="1132"/>
              <w:rPr>
                <w:highlight w:val="none"/>
              </w:rPr>
            </w:pPr>
            <w:r>
              <w:rPr>
                <w:rFonts w:hint="eastAsia"/>
                <w:highlight w:val="none"/>
              </w:rPr>
              <w:t>夜间</w:t>
            </w:r>
          </w:p>
        </w:tc>
        <w:tc>
          <w:tcPr>
            <w:tcW w:w="231" w:type="pct"/>
            <w:vAlign w:val="center"/>
          </w:tcPr>
          <w:p>
            <w:pPr>
              <w:pStyle w:val="1132"/>
              <w:rPr>
                <w:szCs w:val="21"/>
                <w:highlight w:val="none"/>
              </w:rPr>
            </w:pPr>
            <w:r>
              <w:rPr>
                <w:rFonts w:hint="eastAsia"/>
                <w:szCs w:val="21"/>
                <w:highlight w:val="none"/>
              </w:rPr>
              <w:t>5</w:t>
            </w:r>
            <w:r>
              <w:rPr>
                <w:szCs w:val="21"/>
                <w:highlight w:val="none"/>
              </w:rPr>
              <w:t>5</w:t>
            </w:r>
          </w:p>
        </w:tc>
        <w:tc>
          <w:tcPr>
            <w:tcW w:w="231" w:type="pct"/>
            <w:vAlign w:val="center"/>
          </w:tcPr>
          <w:p>
            <w:pPr>
              <w:pStyle w:val="1132"/>
              <w:rPr>
                <w:rFonts w:hint="default" w:eastAsia="等线"/>
                <w:szCs w:val="21"/>
                <w:highlight w:val="none"/>
                <w:lang w:val="en-US" w:eastAsia="zh-CN"/>
              </w:rPr>
            </w:pPr>
            <w:r>
              <w:rPr>
                <w:rFonts w:eastAsia="等线"/>
                <w:szCs w:val="21"/>
                <w:highlight w:val="none"/>
              </w:rPr>
              <w:t>4</w:t>
            </w:r>
            <w:r>
              <w:rPr>
                <w:rFonts w:hint="eastAsia" w:eastAsia="等线"/>
                <w:szCs w:val="21"/>
                <w:highlight w:val="none"/>
                <w:lang w:val="en-US" w:eastAsia="zh-CN"/>
              </w:rPr>
              <w:t>6.2</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50.3</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51.7</w:t>
            </w:r>
          </w:p>
        </w:tc>
        <w:tc>
          <w:tcPr>
            <w:tcW w:w="300" w:type="pct"/>
            <w:vAlign w:val="center"/>
          </w:tcPr>
          <w:p>
            <w:pPr>
              <w:pStyle w:val="1132"/>
              <w:jc w:val="center"/>
              <w:rPr>
                <w:rFonts w:hint="default" w:eastAsia="宋体"/>
                <w:szCs w:val="21"/>
                <w:highlight w:val="none"/>
                <w:lang w:val="en-US" w:eastAsia="zh-CN"/>
              </w:rPr>
            </w:pPr>
            <w:r>
              <w:rPr>
                <w:rFonts w:hint="eastAsia"/>
                <w:szCs w:val="21"/>
                <w:highlight w:val="none"/>
                <w:lang w:val="en-US" w:eastAsia="zh-CN"/>
              </w:rPr>
              <w:t>5.5</w:t>
            </w:r>
          </w:p>
        </w:tc>
        <w:tc>
          <w:tcPr>
            <w:tcW w:w="301" w:type="pct"/>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52.0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53.0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6.8</w:t>
            </w:r>
          </w:p>
        </w:tc>
        <w:tc>
          <w:tcPr>
            <w:tcW w:w="278" w:type="pct"/>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53.6</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54.3</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8.1</w:t>
            </w:r>
          </w:p>
        </w:tc>
        <w:tc>
          <w:tcPr>
            <w:tcW w:w="288" w:type="pct"/>
            <w:gridSpan w:val="2"/>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11" w:hRule="atLeas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restart"/>
            <w:vAlign w:val="center"/>
          </w:tcPr>
          <w:p>
            <w:pPr>
              <w:pStyle w:val="1132"/>
              <w:rPr>
                <w:rFonts w:hint="default" w:eastAsia="宋体"/>
                <w:color w:val="auto"/>
                <w:highlight w:val="none"/>
                <w:lang w:val="en-US" w:eastAsia="zh-CN"/>
              </w:rPr>
            </w:pPr>
            <w:r>
              <w:rPr>
                <w:rFonts w:hint="eastAsia"/>
                <w:color w:val="auto"/>
                <w:highlight w:val="none"/>
                <w:lang w:val="en-US" w:eastAsia="zh-CN"/>
              </w:rPr>
              <w:t>35</w:t>
            </w:r>
          </w:p>
        </w:tc>
        <w:tc>
          <w:tcPr>
            <w:tcW w:w="214" w:type="pct"/>
            <w:vMerge w:val="restart"/>
            <w:vAlign w:val="center"/>
          </w:tcPr>
          <w:p>
            <w:pPr>
              <w:pStyle w:val="1132"/>
              <w:rPr>
                <w:rFonts w:hint="eastAsia" w:eastAsia="宋体"/>
                <w:highlight w:val="none"/>
                <w:lang w:val="en-US" w:eastAsia="zh-CN"/>
              </w:rPr>
            </w:pPr>
            <w:r>
              <w:rPr>
                <w:rFonts w:hint="eastAsia"/>
                <w:highlight w:val="none"/>
                <w:lang w:val="en-US" w:eastAsia="zh-CN"/>
              </w:rPr>
              <w:t>2</w:t>
            </w:r>
          </w:p>
        </w:tc>
        <w:tc>
          <w:tcPr>
            <w:tcW w:w="214" w:type="pct"/>
            <w:vAlign w:val="center"/>
          </w:tcPr>
          <w:p>
            <w:pPr>
              <w:pStyle w:val="1132"/>
              <w:rPr>
                <w:rFonts w:hint="eastAsia"/>
                <w:highlight w:val="none"/>
              </w:rPr>
            </w:pPr>
            <w:r>
              <w:rPr>
                <w:rFonts w:hint="eastAsia"/>
                <w:highlight w:val="none"/>
              </w:rPr>
              <w:t>昼间</w:t>
            </w:r>
          </w:p>
        </w:tc>
        <w:tc>
          <w:tcPr>
            <w:tcW w:w="231" w:type="pct"/>
            <w:vAlign w:val="center"/>
          </w:tcPr>
          <w:p>
            <w:pPr>
              <w:pStyle w:val="1132"/>
              <w:rPr>
                <w:rFonts w:hint="eastAsia"/>
                <w:szCs w:val="21"/>
                <w:highlight w:val="none"/>
              </w:rPr>
            </w:pPr>
            <w:r>
              <w:rPr>
                <w:rFonts w:hint="eastAsia"/>
                <w:szCs w:val="21"/>
                <w:highlight w:val="none"/>
              </w:rPr>
              <w:t>6</w:t>
            </w:r>
            <w:r>
              <w:rPr>
                <w:szCs w:val="21"/>
                <w:highlight w:val="none"/>
              </w:rPr>
              <w:t>0</w:t>
            </w:r>
          </w:p>
        </w:tc>
        <w:tc>
          <w:tcPr>
            <w:tcW w:w="231" w:type="pct"/>
            <w:vAlign w:val="center"/>
          </w:tcPr>
          <w:p>
            <w:pPr>
              <w:pStyle w:val="1132"/>
              <w:rPr>
                <w:rFonts w:eastAsia="等线"/>
                <w:szCs w:val="21"/>
                <w:highlight w:val="none"/>
              </w:rPr>
            </w:pPr>
            <w:r>
              <w:rPr>
                <w:rFonts w:hint="eastAsia" w:eastAsia="等线"/>
                <w:szCs w:val="21"/>
                <w:highlight w:val="none"/>
                <w:lang w:val="en-US" w:eastAsia="zh-CN"/>
              </w:rPr>
              <w:t>54.2</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49.8</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55.5</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1.3</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51.5</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56.1</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1.9</w:t>
            </w:r>
          </w:p>
        </w:tc>
        <w:tc>
          <w:tcPr>
            <w:tcW w:w="278"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53.2</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56.7</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2.5</w:t>
            </w:r>
          </w:p>
        </w:tc>
        <w:tc>
          <w:tcPr>
            <w:tcW w:w="288" w:type="pct"/>
            <w:gridSpan w:val="2"/>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auto"/>
                <w:highlight w:val="none"/>
              </w:rPr>
            </w:pPr>
          </w:p>
        </w:tc>
        <w:tc>
          <w:tcPr>
            <w:tcW w:w="214" w:type="pct"/>
            <w:vMerge w:val="continue"/>
            <w:vAlign w:val="center"/>
          </w:tcPr>
          <w:p>
            <w:pPr>
              <w:pStyle w:val="1132"/>
              <w:rPr>
                <w:highlight w:val="none"/>
              </w:rPr>
            </w:pPr>
          </w:p>
        </w:tc>
        <w:tc>
          <w:tcPr>
            <w:tcW w:w="214" w:type="pct"/>
            <w:vAlign w:val="center"/>
          </w:tcPr>
          <w:p>
            <w:pPr>
              <w:pStyle w:val="1132"/>
              <w:rPr>
                <w:rFonts w:hint="eastAsia"/>
                <w:highlight w:val="none"/>
              </w:rPr>
            </w:pPr>
            <w:r>
              <w:rPr>
                <w:rFonts w:hint="eastAsia"/>
                <w:highlight w:val="none"/>
              </w:rPr>
              <w:t>夜间</w:t>
            </w:r>
          </w:p>
        </w:tc>
        <w:tc>
          <w:tcPr>
            <w:tcW w:w="231" w:type="pct"/>
            <w:vAlign w:val="center"/>
          </w:tcPr>
          <w:p>
            <w:pPr>
              <w:pStyle w:val="1132"/>
              <w:rPr>
                <w:rFonts w:hint="eastAsia"/>
                <w:szCs w:val="21"/>
                <w:highlight w:val="none"/>
              </w:rPr>
            </w:pPr>
            <w:r>
              <w:rPr>
                <w:rFonts w:hint="eastAsia"/>
                <w:szCs w:val="21"/>
                <w:highlight w:val="none"/>
              </w:rPr>
              <w:t>5</w:t>
            </w:r>
            <w:r>
              <w:rPr>
                <w:szCs w:val="21"/>
                <w:highlight w:val="none"/>
              </w:rPr>
              <w:t>0</w:t>
            </w:r>
          </w:p>
        </w:tc>
        <w:tc>
          <w:tcPr>
            <w:tcW w:w="231" w:type="pct"/>
            <w:vAlign w:val="center"/>
          </w:tcPr>
          <w:p>
            <w:pPr>
              <w:pStyle w:val="1132"/>
              <w:rPr>
                <w:rFonts w:eastAsia="等线"/>
                <w:szCs w:val="21"/>
                <w:highlight w:val="none"/>
              </w:rPr>
            </w:pPr>
            <w:r>
              <w:rPr>
                <w:rFonts w:eastAsia="等线"/>
                <w:szCs w:val="21"/>
                <w:highlight w:val="none"/>
              </w:rPr>
              <w:t>4</w:t>
            </w:r>
            <w:r>
              <w:rPr>
                <w:rFonts w:hint="eastAsia" w:eastAsia="等线"/>
                <w:szCs w:val="21"/>
                <w:highlight w:val="none"/>
                <w:lang w:val="en-US" w:eastAsia="zh-CN"/>
              </w:rPr>
              <w:t>6.2</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44.3</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48.4</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2.2</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46.0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49.1</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2.9</w:t>
            </w:r>
          </w:p>
        </w:tc>
        <w:tc>
          <w:tcPr>
            <w:tcW w:w="278"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47.6</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49.8</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3.6</w:t>
            </w:r>
          </w:p>
        </w:tc>
        <w:tc>
          <w:tcPr>
            <w:tcW w:w="288" w:type="pct"/>
            <w:gridSpan w:val="2"/>
            <w:shd w:val="clear" w:color="auto" w:fill="auto"/>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restart"/>
            <w:vAlign w:val="center"/>
          </w:tcPr>
          <w:p>
            <w:pPr>
              <w:pStyle w:val="1132"/>
              <w:rPr>
                <w:highlight w:val="none"/>
              </w:rPr>
            </w:pPr>
            <w:r>
              <w:rPr>
                <w:rFonts w:hint="eastAsia"/>
                <w:highlight w:val="none"/>
              </w:rPr>
              <w:t>6</w:t>
            </w:r>
          </w:p>
        </w:tc>
        <w:tc>
          <w:tcPr>
            <w:tcW w:w="277" w:type="pct"/>
            <w:vMerge w:val="restart"/>
            <w:vAlign w:val="center"/>
          </w:tcPr>
          <w:p>
            <w:pPr>
              <w:pStyle w:val="1132"/>
              <w:rPr>
                <w:color w:val="0070C0"/>
                <w:szCs w:val="21"/>
                <w:highlight w:val="none"/>
              </w:rPr>
            </w:pPr>
            <w:r>
              <w:rPr>
                <w:rFonts w:hint="eastAsia"/>
                <w:highlight w:val="none"/>
              </w:rPr>
              <w:t>王庄</w:t>
            </w:r>
          </w:p>
        </w:tc>
        <w:tc>
          <w:tcPr>
            <w:tcW w:w="243" w:type="pct"/>
            <w:vMerge w:val="restart"/>
            <w:vAlign w:val="center"/>
          </w:tcPr>
          <w:p>
            <w:pPr>
              <w:pStyle w:val="1132"/>
              <w:rPr>
                <w:rFonts w:hint="default" w:eastAsia="宋体"/>
                <w:color w:val="auto"/>
                <w:highlight w:val="none"/>
                <w:lang w:val="en-US" w:eastAsia="zh-CN"/>
              </w:rPr>
            </w:pPr>
            <w:r>
              <w:rPr>
                <w:rFonts w:hint="eastAsia"/>
                <w:color w:val="auto"/>
                <w:highlight w:val="none"/>
                <w:lang w:val="en-US" w:eastAsia="zh-CN"/>
              </w:rPr>
              <w:t>18</w:t>
            </w:r>
          </w:p>
        </w:tc>
        <w:tc>
          <w:tcPr>
            <w:tcW w:w="214" w:type="pct"/>
            <w:vMerge w:val="restart"/>
            <w:vAlign w:val="center"/>
          </w:tcPr>
          <w:p>
            <w:pPr>
              <w:pStyle w:val="1132"/>
              <w:rPr>
                <w:highlight w:val="none"/>
              </w:rPr>
            </w:pPr>
            <w:r>
              <w:rPr>
                <w:szCs w:val="21"/>
                <w:highlight w:val="none"/>
              </w:rPr>
              <w:t>4</w:t>
            </w:r>
            <w:r>
              <w:rPr>
                <w:rFonts w:hint="eastAsia"/>
                <w:szCs w:val="21"/>
                <w:highlight w:val="none"/>
              </w:rPr>
              <w:t>a</w:t>
            </w:r>
          </w:p>
        </w:tc>
        <w:tc>
          <w:tcPr>
            <w:tcW w:w="214" w:type="pct"/>
            <w:vAlign w:val="center"/>
          </w:tcPr>
          <w:p>
            <w:pPr>
              <w:pStyle w:val="1132"/>
              <w:rPr>
                <w:highlight w:val="none"/>
              </w:rPr>
            </w:pPr>
            <w:r>
              <w:rPr>
                <w:rFonts w:hint="eastAsia"/>
                <w:highlight w:val="none"/>
              </w:rPr>
              <w:t>昼间</w:t>
            </w:r>
          </w:p>
        </w:tc>
        <w:tc>
          <w:tcPr>
            <w:tcW w:w="231" w:type="pct"/>
            <w:vAlign w:val="center"/>
          </w:tcPr>
          <w:p>
            <w:pPr>
              <w:pStyle w:val="1132"/>
              <w:rPr>
                <w:szCs w:val="21"/>
                <w:highlight w:val="none"/>
              </w:rPr>
            </w:pPr>
            <w:r>
              <w:rPr>
                <w:rFonts w:hint="eastAsia"/>
                <w:szCs w:val="21"/>
                <w:highlight w:val="none"/>
              </w:rPr>
              <w:t>7</w:t>
            </w:r>
            <w:r>
              <w:rPr>
                <w:szCs w:val="21"/>
                <w:highlight w:val="none"/>
              </w:rPr>
              <w:t>0</w:t>
            </w:r>
          </w:p>
        </w:tc>
        <w:tc>
          <w:tcPr>
            <w:tcW w:w="231" w:type="pct"/>
            <w:vAlign w:val="center"/>
          </w:tcPr>
          <w:p>
            <w:pPr>
              <w:pStyle w:val="1132"/>
              <w:rPr>
                <w:rFonts w:hint="default" w:eastAsia="宋体"/>
                <w:szCs w:val="21"/>
                <w:highlight w:val="none"/>
                <w:lang w:val="en-US" w:eastAsia="zh-CN"/>
              </w:rPr>
            </w:pPr>
            <w:r>
              <w:rPr>
                <w:rFonts w:hint="eastAsia"/>
                <w:szCs w:val="21"/>
                <w:highlight w:val="none"/>
                <w:lang w:val="en-US" w:eastAsia="zh-CN"/>
              </w:rPr>
              <w:t>54.2</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54.8</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57.5</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3.3</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56.5</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58.5</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4.3</w:t>
            </w:r>
          </w:p>
        </w:tc>
        <w:tc>
          <w:tcPr>
            <w:tcW w:w="278"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58.2</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59.7</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5.5</w:t>
            </w:r>
          </w:p>
        </w:tc>
        <w:tc>
          <w:tcPr>
            <w:tcW w:w="288" w:type="pct"/>
            <w:gridSpan w:val="2"/>
            <w:shd w:val="clear" w:color="auto" w:fill="auto"/>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auto"/>
                <w:highlight w:val="none"/>
              </w:rPr>
            </w:pPr>
          </w:p>
        </w:tc>
        <w:tc>
          <w:tcPr>
            <w:tcW w:w="214" w:type="pct"/>
            <w:vMerge w:val="continue"/>
            <w:vAlign w:val="center"/>
          </w:tcPr>
          <w:p>
            <w:pPr>
              <w:pStyle w:val="1132"/>
              <w:rPr>
                <w:highlight w:val="none"/>
              </w:rPr>
            </w:pPr>
          </w:p>
        </w:tc>
        <w:tc>
          <w:tcPr>
            <w:tcW w:w="214" w:type="pct"/>
            <w:vAlign w:val="center"/>
          </w:tcPr>
          <w:p>
            <w:pPr>
              <w:pStyle w:val="1132"/>
              <w:rPr>
                <w:highlight w:val="none"/>
              </w:rPr>
            </w:pPr>
            <w:r>
              <w:rPr>
                <w:rFonts w:hint="eastAsia"/>
                <w:highlight w:val="none"/>
              </w:rPr>
              <w:t>夜间</w:t>
            </w:r>
          </w:p>
        </w:tc>
        <w:tc>
          <w:tcPr>
            <w:tcW w:w="231" w:type="pct"/>
            <w:vAlign w:val="center"/>
          </w:tcPr>
          <w:p>
            <w:pPr>
              <w:pStyle w:val="1132"/>
              <w:rPr>
                <w:szCs w:val="21"/>
                <w:highlight w:val="none"/>
              </w:rPr>
            </w:pPr>
            <w:r>
              <w:rPr>
                <w:rFonts w:hint="eastAsia"/>
                <w:szCs w:val="21"/>
                <w:highlight w:val="none"/>
              </w:rPr>
              <w:t>5</w:t>
            </w:r>
            <w:r>
              <w:rPr>
                <w:szCs w:val="21"/>
                <w:highlight w:val="none"/>
              </w:rPr>
              <w:t>5</w:t>
            </w:r>
          </w:p>
        </w:tc>
        <w:tc>
          <w:tcPr>
            <w:tcW w:w="231" w:type="pct"/>
            <w:vAlign w:val="center"/>
          </w:tcPr>
          <w:p>
            <w:pPr>
              <w:pStyle w:val="1132"/>
              <w:rPr>
                <w:rFonts w:hint="default" w:eastAsia="宋体"/>
                <w:szCs w:val="21"/>
                <w:highlight w:val="none"/>
                <w:lang w:val="en-US" w:eastAsia="zh-CN"/>
              </w:rPr>
            </w:pPr>
            <w:r>
              <w:rPr>
                <w:rFonts w:hint="eastAsia"/>
                <w:szCs w:val="21"/>
                <w:highlight w:val="none"/>
                <w:lang w:val="en-US" w:eastAsia="zh-CN"/>
              </w:rPr>
              <w:t>47.2</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49.9</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51.8</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4.6</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51.6</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52.9</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5.7</w:t>
            </w:r>
          </w:p>
        </w:tc>
        <w:tc>
          <w:tcPr>
            <w:tcW w:w="278"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53.2</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54.2</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7.0</w:t>
            </w:r>
          </w:p>
        </w:tc>
        <w:tc>
          <w:tcPr>
            <w:tcW w:w="288" w:type="pct"/>
            <w:gridSpan w:val="2"/>
            <w:shd w:val="clear" w:color="auto" w:fill="auto"/>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restart"/>
            <w:vAlign w:val="center"/>
          </w:tcPr>
          <w:p>
            <w:pPr>
              <w:pStyle w:val="1132"/>
              <w:rPr>
                <w:rFonts w:hint="default" w:eastAsia="宋体"/>
                <w:color w:val="auto"/>
                <w:highlight w:val="none"/>
                <w:lang w:val="en-US" w:eastAsia="zh-CN"/>
              </w:rPr>
            </w:pPr>
            <w:r>
              <w:rPr>
                <w:rFonts w:hint="eastAsia"/>
                <w:color w:val="auto"/>
                <w:highlight w:val="none"/>
                <w:lang w:val="en-US" w:eastAsia="zh-CN"/>
              </w:rPr>
              <w:t>35</w:t>
            </w:r>
          </w:p>
        </w:tc>
        <w:tc>
          <w:tcPr>
            <w:tcW w:w="214" w:type="pct"/>
            <w:vMerge w:val="restart"/>
            <w:vAlign w:val="center"/>
          </w:tcPr>
          <w:p>
            <w:pPr>
              <w:pStyle w:val="1132"/>
              <w:rPr>
                <w:rFonts w:hint="eastAsia" w:eastAsia="宋体"/>
                <w:highlight w:val="none"/>
                <w:lang w:val="en-US" w:eastAsia="zh-CN"/>
              </w:rPr>
            </w:pPr>
            <w:r>
              <w:rPr>
                <w:rFonts w:hint="eastAsia"/>
                <w:highlight w:val="none"/>
                <w:lang w:val="en-US" w:eastAsia="zh-CN"/>
              </w:rPr>
              <w:t>2</w:t>
            </w:r>
          </w:p>
        </w:tc>
        <w:tc>
          <w:tcPr>
            <w:tcW w:w="214" w:type="pct"/>
            <w:vAlign w:val="center"/>
          </w:tcPr>
          <w:p>
            <w:pPr>
              <w:pStyle w:val="1132"/>
              <w:rPr>
                <w:rFonts w:hint="eastAsia"/>
                <w:highlight w:val="none"/>
              </w:rPr>
            </w:pPr>
            <w:r>
              <w:rPr>
                <w:rFonts w:hint="eastAsia"/>
                <w:highlight w:val="none"/>
              </w:rPr>
              <w:t>昼间</w:t>
            </w:r>
          </w:p>
        </w:tc>
        <w:tc>
          <w:tcPr>
            <w:tcW w:w="231" w:type="pct"/>
            <w:vAlign w:val="center"/>
          </w:tcPr>
          <w:p>
            <w:pPr>
              <w:pStyle w:val="1132"/>
              <w:rPr>
                <w:rFonts w:hint="eastAsia"/>
                <w:szCs w:val="21"/>
                <w:highlight w:val="none"/>
              </w:rPr>
            </w:pPr>
            <w:r>
              <w:rPr>
                <w:rFonts w:hint="eastAsia"/>
                <w:szCs w:val="21"/>
                <w:highlight w:val="none"/>
              </w:rPr>
              <w:t>6</w:t>
            </w:r>
            <w:r>
              <w:rPr>
                <w:szCs w:val="21"/>
                <w:highlight w:val="none"/>
              </w:rPr>
              <w:t>0</w:t>
            </w:r>
          </w:p>
        </w:tc>
        <w:tc>
          <w:tcPr>
            <w:tcW w:w="231" w:type="pct"/>
            <w:vAlign w:val="center"/>
          </w:tcPr>
          <w:p>
            <w:pPr>
              <w:pStyle w:val="1132"/>
              <w:rPr>
                <w:rFonts w:eastAsia="等线"/>
                <w:szCs w:val="21"/>
                <w:highlight w:val="none"/>
              </w:rPr>
            </w:pPr>
            <w:r>
              <w:rPr>
                <w:rFonts w:hint="eastAsia"/>
                <w:szCs w:val="21"/>
                <w:highlight w:val="none"/>
                <w:lang w:val="en-US" w:eastAsia="zh-CN"/>
              </w:rPr>
              <w:t>54.2</w:t>
            </w:r>
          </w:p>
        </w:tc>
        <w:tc>
          <w:tcPr>
            <w:tcW w:w="300" w:type="pct"/>
            <w:vAlign w:val="center"/>
          </w:tcPr>
          <w:p>
            <w:pPr>
              <w:pStyle w:val="1132"/>
              <w:rPr>
                <w:rFonts w:eastAsia="等线"/>
                <w:szCs w:val="21"/>
                <w:highlight w:val="none"/>
              </w:rPr>
            </w:pPr>
            <w:r>
              <w:rPr>
                <w:rFonts w:hint="eastAsia" w:eastAsia="等线"/>
                <w:szCs w:val="21"/>
                <w:highlight w:val="none"/>
                <w:lang w:val="en-US" w:eastAsia="zh-CN"/>
              </w:rPr>
              <w:t>49.8</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55.5</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1.3</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51.5</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56.1</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1.9</w:t>
            </w:r>
          </w:p>
        </w:tc>
        <w:tc>
          <w:tcPr>
            <w:tcW w:w="278"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eastAsia="等线"/>
                <w:szCs w:val="21"/>
                <w:highlight w:val="none"/>
              </w:rPr>
            </w:pPr>
            <w:r>
              <w:rPr>
                <w:rFonts w:hint="eastAsia" w:eastAsia="等线"/>
                <w:szCs w:val="21"/>
                <w:highlight w:val="none"/>
                <w:lang w:val="en-US" w:eastAsia="zh-CN"/>
              </w:rPr>
              <w:t>53.2</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56.7</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2.5</w:t>
            </w:r>
          </w:p>
        </w:tc>
        <w:tc>
          <w:tcPr>
            <w:tcW w:w="288" w:type="pct"/>
            <w:gridSpan w:val="2"/>
            <w:shd w:val="clear" w:color="auto" w:fill="auto"/>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auto"/>
                <w:highlight w:val="none"/>
              </w:rPr>
            </w:pPr>
          </w:p>
        </w:tc>
        <w:tc>
          <w:tcPr>
            <w:tcW w:w="214" w:type="pct"/>
            <w:vMerge w:val="continue"/>
            <w:vAlign w:val="center"/>
          </w:tcPr>
          <w:p>
            <w:pPr>
              <w:pStyle w:val="1132"/>
              <w:rPr>
                <w:highlight w:val="none"/>
              </w:rPr>
            </w:pPr>
          </w:p>
        </w:tc>
        <w:tc>
          <w:tcPr>
            <w:tcW w:w="214" w:type="pct"/>
            <w:vAlign w:val="center"/>
          </w:tcPr>
          <w:p>
            <w:pPr>
              <w:pStyle w:val="1132"/>
              <w:rPr>
                <w:rFonts w:hint="eastAsia"/>
                <w:highlight w:val="none"/>
              </w:rPr>
            </w:pPr>
            <w:r>
              <w:rPr>
                <w:rFonts w:hint="eastAsia"/>
                <w:highlight w:val="none"/>
              </w:rPr>
              <w:t>夜间</w:t>
            </w:r>
          </w:p>
        </w:tc>
        <w:tc>
          <w:tcPr>
            <w:tcW w:w="231" w:type="pct"/>
            <w:vAlign w:val="center"/>
          </w:tcPr>
          <w:p>
            <w:pPr>
              <w:pStyle w:val="1132"/>
              <w:rPr>
                <w:rFonts w:hint="eastAsia"/>
                <w:szCs w:val="21"/>
                <w:highlight w:val="none"/>
              </w:rPr>
            </w:pPr>
            <w:r>
              <w:rPr>
                <w:rFonts w:hint="eastAsia"/>
                <w:szCs w:val="21"/>
                <w:highlight w:val="none"/>
              </w:rPr>
              <w:t>5</w:t>
            </w:r>
            <w:r>
              <w:rPr>
                <w:szCs w:val="21"/>
                <w:highlight w:val="none"/>
              </w:rPr>
              <w:t>0</w:t>
            </w:r>
          </w:p>
        </w:tc>
        <w:tc>
          <w:tcPr>
            <w:tcW w:w="231" w:type="pct"/>
            <w:vAlign w:val="center"/>
          </w:tcPr>
          <w:p>
            <w:pPr>
              <w:pStyle w:val="1132"/>
              <w:rPr>
                <w:rFonts w:eastAsia="等线"/>
                <w:szCs w:val="21"/>
                <w:highlight w:val="none"/>
              </w:rPr>
            </w:pPr>
            <w:r>
              <w:rPr>
                <w:rFonts w:hint="eastAsia"/>
                <w:szCs w:val="21"/>
                <w:highlight w:val="none"/>
                <w:lang w:val="en-US" w:eastAsia="zh-CN"/>
              </w:rPr>
              <w:t>47.2</w:t>
            </w:r>
          </w:p>
        </w:tc>
        <w:tc>
          <w:tcPr>
            <w:tcW w:w="300" w:type="pct"/>
            <w:vAlign w:val="center"/>
          </w:tcPr>
          <w:p>
            <w:pPr>
              <w:pStyle w:val="1132"/>
              <w:rPr>
                <w:rFonts w:eastAsia="等线"/>
                <w:szCs w:val="21"/>
                <w:highlight w:val="none"/>
              </w:rPr>
            </w:pPr>
            <w:r>
              <w:rPr>
                <w:rFonts w:hint="eastAsia" w:eastAsia="等线"/>
                <w:szCs w:val="21"/>
                <w:highlight w:val="none"/>
                <w:lang w:val="en-US" w:eastAsia="zh-CN"/>
              </w:rPr>
              <w:t>44.3</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49.0</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1.8</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46.0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49.6</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2.4</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eastAsia="等线"/>
                <w:szCs w:val="21"/>
                <w:highlight w:val="none"/>
              </w:rPr>
            </w:pPr>
            <w:r>
              <w:rPr>
                <w:rFonts w:hint="eastAsia" w:eastAsia="等线"/>
                <w:szCs w:val="21"/>
                <w:highlight w:val="none"/>
                <w:lang w:val="en-US" w:eastAsia="zh-CN"/>
              </w:rPr>
              <w:t>47.6</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50.4</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3.2</w:t>
            </w:r>
          </w:p>
        </w:tc>
        <w:tc>
          <w:tcPr>
            <w:tcW w:w="288" w:type="pct"/>
            <w:gridSpan w:val="2"/>
            <w:shd w:val="clear" w:color="auto" w:fill="auto"/>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restart"/>
            <w:vAlign w:val="center"/>
          </w:tcPr>
          <w:p>
            <w:pPr>
              <w:pStyle w:val="1132"/>
              <w:rPr>
                <w:highlight w:val="none"/>
              </w:rPr>
            </w:pPr>
            <w:r>
              <w:rPr>
                <w:rFonts w:hint="eastAsia"/>
                <w:highlight w:val="none"/>
              </w:rPr>
              <w:t>7</w:t>
            </w:r>
          </w:p>
        </w:tc>
        <w:tc>
          <w:tcPr>
            <w:tcW w:w="277" w:type="pct"/>
            <w:vMerge w:val="restart"/>
            <w:vAlign w:val="center"/>
          </w:tcPr>
          <w:p>
            <w:pPr>
              <w:pStyle w:val="1132"/>
              <w:rPr>
                <w:color w:val="0070C0"/>
                <w:szCs w:val="21"/>
                <w:highlight w:val="none"/>
              </w:rPr>
            </w:pPr>
            <w:r>
              <w:rPr>
                <w:rFonts w:hint="eastAsia"/>
                <w:highlight w:val="none"/>
              </w:rPr>
              <w:t>张园</w:t>
            </w:r>
          </w:p>
        </w:tc>
        <w:tc>
          <w:tcPr>
            <w:tcW w:w="243" w:type="pct"/>
            <w:vMerge w:val="restart"/>
            <w:vAlign w:val="center"/>
          </w:tcPr>
          <w:p>
            <w:pPr>
              <w:pStyle w:val="1132"/>
              <w:rPr>
                <w:rFonts w:hint="default" w:eastAsia="宋体"/>
                <w:color w:val="auto"/>
                <w:highlight w:val="none"/>
                <w:lang w:val="en-US" w:eastAsia="zh-CN"/>
              </w:rPr>
            </w:pPr>
            <w:r>
              <w:rPr>
                <w:rFonts w:hint="eastAsia"/>
                <w:color w:val="auto"/>
                <w:highlight w:val="none"/>
                <w:lang w:val="en-US" w:eastAsia="zh-CN"/>
              </w:rPr>
              <w:t>20</w:t>
            </w:r>
          </w:p>
        </w:tc>
        <w:tc>
          <w:tcPr>
            <w:tcW w:w="214" w:type="pct"/>
            <w:vMerge w:val="restart"/>
            <w:vAlign w:val="center"/>
          </w:tcPr>
          <w:p>
            <w:pPr>
              <w:pStyle w:val="1132"/>
              <w:rPr>
                <w:highlight w:val="none"/>
              </w:rPr>
            </w:pPr>
            <w:r>
              <w:rPr>
                <w:szCs w:val="21"/>
                <w:highlight w:val="none"/>
              </w:rPr>
              <w:t>4</w:t>
            </w:r>
            <w:r>
              <w:rPr>
                <w:rFonts w:hint="eastAsia"/>
                <w:szCs w:val="21"/>
                <w:highlight w:val="none"/>
              </w:rPr>
              <w:t>a</w:t>
            </w:r>
          </w:p>
        </w:tc>
        <w:tc>
          <w:tcPr>
            <w:tcW w:w="214" w:type="pct"/>
            <w:vAlign w:val="center"/>
          </w:tcPr>
          <w:p>
            <w:pPr>
              <w:pStyle w:val="1132"/>
              <w:rPr>
                <w:highlight w:val="none"/>
              </w:rPr>
            </w:pPr>
            <w:r>
              <w:rPr>
                <w:rFonts w:hint="eastAsia"/>
                <w:highlight w:val="none"/>
              </w:rPr>
              <w:t>昼间</w:t>
            </w:r>
          </w:p>
        </w:tc>
        <w:tc>
          <w:tcPr>
            <w:tcW w:w="231" w:type="pct"/>
            <w:vAlign w:val="center"/>
          </w:tcPr>
          <w:p>
            <w:pPr>
              <w:pStyle w:val="1132"/>
              <w:rPr>
                <w:szCs w:val="21"/>
                <w:highlight w:val="none"/>
              </w:rPr>
            </w:pPr>
            <w:r>
              <w:rPr>
                <w:rFonts w:hint="eastAsia"/>
                <w:szCs w:val="21"/>
                <w:highlight w:val="none"/>
              </w:rPr>
              <w:t>7</w:t>
            </w:r>
            <w:r>
              <w:rPr>
                <w:szCs w:val="21"/>
                <w:highlight w:val="none"/>
              </w:rPr>
              <w:t>0</w:t>
            </w:r>
          </w:p>
        </w:tc>
        <w:tc>
          <w:tcPr>
            <w:tcW w:w="231" w:type="pct"/>
            <w:vAlign w:val="center"/>
          </w:tcPr>
          <w:p>
            <w:pPr>
              <w:pStyle w:val="1132"/>
              <w:rPr>
                <w:rFonts w:hint="default" w:eastAsia="宋体"/>
                <w:szCs w:val="21"/>
                <w:highlight w:val="none"/>
                <w:lang w:val="en-US" w:eastAsia="zh-CN"/>
              </w:rPr>
            </w:pPr>
            <w:r>
              <w:rPr>
                <w:rFonts w:hint="eastAsia"/>
                <w:szCs w:val="21"/>
                <w:highlight w:val="none"/>
                <w:lang w:val="en-US" w:eastAsia="zh-CN"/>
              </w:rPr>
              <w:t>55.1</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54.2</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57.7</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2.6</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55.9</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58.5</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3.4</w:t>
            </w:r>
          </w:p>
        </w:tc>
        <w:tc>
          <w:tcPr>
            <w:tcW w:w="278"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57.5</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59.5</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4.4</w:t>
            </w:r>
          </w:p>
        </w:tc>
        <w:tc>
          <w:tcPr>
            <w:tcW w:w="288" w:type="pct"/>
            <w:gridSpan w:val="2"/>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auto"/>
                <w:highlight w:val="none"/>
              </w:rPr>
            </w:pPr>
          </w:p>
        </w:tc>
        <w:tc>
          <w:tcPr>
            <w:tcW w:w="214" w:type="pct"/>
            <w:vMerge w:val="continue"/>
            <w:vAlign w:val="center"/>
          </w:tcPr>
          <w:p>
            <w:pPr>
              <w:pStyle w:val="1132"/>
              <w:rPr>
                <w:highlight w:val="none"/>
              </w:rPr>
            </w:pPr>
          </w:p>
        </w:tc>
        <w:tc>
          <w:tcPr>
            <w:tcW w:w="214" w:type="pct"/>
            <w:vAlign w:val="center"/>
          </w:tcPr>
          <w:p>
            <w:pPr>
              <w:pStyle w:val="1132"/>
              <w:rPr>
                <w:highlight w:val="none"/>
              </w:rPr>
            </w:pPr>
            <w:r>
              <w:rPr>
                <w:rFonts w:hint="eastAsia"/>
                <w:highlight w:val="none"/>
              </w:rPr>
              <w:t>夜间</w:t>
            </w:r>
          </w:p>
        </w:tc>
        <w:tc>
          <w:tcPr>
            <w:tcW w:w="231" w:type="pct"/>
            <w:vAlign w:val="center"/>
          </w:tcPr>
          <w:p>
            <w:pPr>
              <w:pStyle w:val="1132"/>
              <w:rPr>
                <w:szCs w:val="21"/>
                <w:highlight w:val="none"/>
              </w:rPr>
            </w:pPr>
            <w:r>
              <w:rPr>
                <w:rFonts w:hint="eastAsia"/>
                <w:szCs w:val="21"/>
                <w:highlight w:val="none"/>
              </w:rPr>
              <w:t>5</w:t>
            </w:r>
            <w:r>
              <w:rPr>
                <w:szCs w:val="21"/>
                <w:highlight w:val="none"/>
              </w:rPr>
              <w:t>5</w:t>
            </w:r>
          </w:p>
        </w:tc>
        <w:tc>
          <w:tcPr>
            <w:tcW w:w="231" w:type="pct"/>
            <w:vAlign w:val="center"/>
          </w:tcPr>
          <w:p>
            <w:pPr>
              <w:pStyle w:val="1132"/>
              <w:rPr>
                <w:rFonts w:hint="default" w:eastAsia="宋体"/>
                <w:szCs w:val="21"/>
                <w:highlight w:val="none"/>
                <w:lang w:val="en-US" w:eastAsia="zh-CN"/>
              </w:rPr>
            </w:pPr>
            <w:r>
              <w:rPr>
                <w:rFonts w:hint="eastAsia"/>
                <w:szCs w:val="21"/>
                <w:highlight w:val="none"/>
                <w:lang w:val="en-US" w:eastAsia="zh-CN"/>
              </w:rPr>
              <w:t>45.2</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49.2</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50.7</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5.5</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50.9</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51.9</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6.7</w:t>
            </w:r>
          </w:p>
        </w:tc>
        <w:tc>
          <w:tcPr>
            <w:tcW w:w="278"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52.5</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53.2</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8.0</w:t>
            </w:r>
          </w:p>
        </w:tc>
        <w:tc>
          <w:tcPr>
            <w:tcW w:w="288" w:type="pct"/>
            <w:gridSpan w:val="2"/>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restart"/>
            <w:vAlign w:val="center"/>
          </w:tcPr>
          <w:p>
            <w:pPr>
              <w:pStyle w:val="1132"/>
              <w:rPr>
                <w:rFonts w:hint="default" w:eastAsia="宋体"/>
                <w:color w:val="auto"/>
                <w:highlight w:val="none"/>
                <w:lang w:val="en-US" w:eastAsia="zh-CN"/>
              </w:rPr>
            </w:pPr>
            <w:r>
              <w:rPr>
                <w:rFonts w:hint="eastAsia"/>
                <w:color w:val="auto"/>
                <w:highlight w:val="none"/>
                <w:lang w:val="en-US" w:eastAsia="zh-CN"/>
              </w:rPr>
              <w:t>35</w:t>
            </w:r>
          </w:p>
        </w:tc>
        <w:tc>
          <w:tcPr>
            <w:tcW w:w="214" w:type="pct"/>
            <w:vMerge w:val="restart"/>
            <w:vAlign w:val="center"/>
          </w:tcPr>
          <w:p>
            <w:pPr>
              <w:pStyle w:val="1132"/>
              <w:rPr>
                <w:rFonts w:hint="eastAsia" w:eastAsia="宋体"/>
                <w:highlight w:val="none"/>
                <w:lang w:val="en-US" w:eastAsia="zh-CN"/>
              </w:rPr>
            </w:pPr>
            <w:r>
              <w:rPr>
                <w:rFonts w:hint="eastAsia"/>
                <w:highlight w:val="none"/>
                <w:lang w:val="en-US" w:eastAsia="zh-CN"/>
              </w:rPr>
              <w:t>2</w:t>
            </w:r>
          </w:p>
        </w:tc>
        <w:tc>
          <w:tcPr>
            <w:tcW w:w="214" w:type="pct"/>
            <w:vAlign w:val="center"/>
          </w:tcPr>
          <w:p>
            <w:pPr>
              <w:pStyle w:val="1132"/>
              <w:rPr>
                <w:rFonts w:hint="eastAsia"/>
                <w:highlight w:val="none"/>
              </w:rPr>
            </w:pPr>
            <w:r>
              <w:rPr>
                <w:rFonts w:hint="eastAsia"/>
                <w:highlight w:val="none"/>
              </w:rPr>
              <w:t>昼间</w:t>
            </w:r>
          </w:p>
        </w:tc>
        <w:tc>
          <w:tcPr>
            <w:tcW w:w="231" w:type="pct"/>
            <w:vAlign w:val="center"/>
          </w:tcPr>
          <w:p>
            <w:pPr>
              <w:pStyle w:val="1132"/>
              <w:rPr>
                <w:rFonts w:hint="eastAsia"/>
                <w:szCs w:val="21"/>
                <w:highlight w:val="none"/>
              </w:rPr>
            </w:pPr>
            <w:r>
              <w:rPr>
                <w:rFonts w:hint="eastAsia"/>
                <w:szCs w:val="21"/>
                <w:highlight w:val="none"/>
              </w:rPr>
              <w:t>6</w:t>
            </w:r>
            <w:r>
              <w:rPr>
                <w:szCs w:val="21"/>
                <w:highlight w:val="none"/>
              </w:rPr>
              <w:t>0</w:t>
            </w:r>
          </w:p>
        </w:tc>
        <w:tc>
          <w:tcPr>
            <w:tcW w:w="231" w:type="pct"/>
            <w:vAlign w:val="center"/>
          </w:tcPr>
          <w:p>
            <w:pPr>
              <w:pStyle w:val="1132"/>
              <w:rPr>
                <w:rFonts w:eastAsia="等线"/>
                <w:szCs w:val="21"/>
                <w:highlight w:val="none"/>
              </w:rPr>
            </w:pPr>
            <w:r>
              <w:rPr>
                <w:rFonts w:hint="eastAsia"/>
                <w:szCs w:val="21"/>
                <w:highlight w:val="none"/>
                <w:lang w:val="en-US" w:eastAsia="zh-CN"/>
              </w:rPr>
              <w:t>55.1</w:t>
            </w:r>
          </w:p>
        </w:tc>
        <w:tc>
          <w:tcPr>
            <w:tcW w:w="300" w:type="pct"/>
            <w:vAlign w:val="center"/>
          </w:tcPr>
          <w:p>
            <w:pPr>
              <w:pStyle w:val="1132"/>
              <w:rPr>
                <w:rFonts w:eastAsia="等线"/>
                <w:szCs w:val="21"/>
                <w:highlight w:val="none"/>
              </w:rPr>
            </w:pPr>
            <w:r>
              <w:rPr>
                <w:rFonts w:hint="eastAsia" w:eastAsia="等线"/>
                <w:szCs w:val="21"/>
                <w:highlight w:val="none"/>
                <w:lang w:val="en-US" w:eastAsia="zh-CN"/>
              </w:rPr>
              <w:t>49.8</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56.2</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1.1</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51.5</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56.7</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1.6</w:t>
            </w:r>
          </w:p>
        </w:tc>
        <w:tc>
          <w:tcPr>
            <w:tcW w:w="278"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eastAsia="等线"/>
                <w:szCs w:val="21"/>
                <w:highlight w:val="none"/>
              </w:rPr>
            </w:pPr>
            <w:r>
              <w:rPr>
                <w:rFonts w:hint="eastAsia" w:eastAsia="等线"/>
                <w:szCs w:val="21"/>
                <w:highlight w:val="none"/>
                <w:lang w:val="en-US" w:eastAsia="zh-CN"/>
              </w:rPr>
              <w:t>53.2</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57.3</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2.2</w:t>
            </w:r>
          </w:p>
        </w:tc>
        <w:tc>
          <w:tcPr>
            <w:tcW w:w="288" w:type="pct"/>
            <w:gridSpan w:val="2"/>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auto"/>
                <w:highlight w:val="none"/>
              </w:rPr>
            </w:pPr>
          </w:p>
        </w:tc>
        <w:tc>
          <w:tcPr>
            <w:tcW w:w="214" w:type="pct"/>
            <w:vMerge w:val="continue"/>
            <w:vAlign w:val="center"/>
          </w:tcPr>
          <w:p>
            <w:pPr>
              <w:pStyle w:val="1132"/>
              <w:rPr>
                <w:highlight w:val="none"/>
              </w:rPr>
            </w:pPr>
          </w:p>
        </w:tc>
        <w:tc>
          <w:tcPr>
            <w:tcW w:w="214" w:type="pct"/>
            <w:vAlign w:val="center"/>
          </w:tcPr>
          <w:p>
            <w:pPr>
              <w:pStyle w:val="1132"/>
              <w:rPr>
                <w:rFonts w:hint="eastAsia"/>
                <w:highlight w:val="none"/>
              </w:rPr>
            </w:pPr>
            <w:r>
              <w:rPr>
                <w:rFonts w:hint="eastAsia"/>
                <w:highlight w:val="none"/>
              </w:rPr>
              <w:t>夜间</w:t>
            </w:r>
          </w:p>
        </w:tc>
        <w:tc>
          <w:tcPr>
            <w:tcW w:w="231" w:type="pct"/>
            <w:vAlign w:val="center"/>
          </w:tcPr>
          <w:p>
            <w:pPr>
              <w:pStyle w:val="1132"/>
              <w:rPr>
                <w:rFonts w:hint="eastAsia"/>
                <w:szCs w:val="21"/>
                <w:highlight w:val="none"/>
              </w:rPr>
            </w:pPr>
            <w:r>
              <w:rPr>
                <w:rFonts w:hint="eastAsia"/>
                <w:szCs w:val="21"/>
                <w:highlight w:val="none"/>
              </w:rPr>
              <w:t>5</w:t>
            </w:r>
            <w:r>
              <w:rPr>
                <w:szCs w:val="21"/>
                <w:highlight w:val="none"/>
              </w:rPr>
              <w:t>0</w:t>
            </w:r>
          </w:p>
        </w:tc>
        <w:tc>
          <w:tcPr>
            <w:tcW w:w="231" w:type="pct"/>
            <w:vAlign w:val="center"/>
          </w:tcPr>
          <w:p>
            <w:pPr>
              <w:pStyle w:val="1132"/>
              <w:rPr>
                <w:rFonts w:eastAsia="等线"/>
                <w:szCs w:val="21"/>
                <w:highlight w:val="none"/>
              </w:rPr>
            </w:pPr>
            <w:r>
              <w:rPr>
                <w:rFonts w:hint="eastAsia"/>
                <w:szCs w:val="21"/>
                <w:highlight w:val="none"/>
                <w:lang w:val="en-US" w:eastAsia="zh-CN"/>
              </w:rPr>
              <w:t>45.2</w:t>
            </w:r>
          </w:p>
        </w:tc>
        <w:tc>
          <w:tcPr>
            <w:tcW w:w="300" w:type="pct"/>
            <w:vAlign w:val="center"/>
          </w:tcPr>
          <w:p>
            <w:pPr>
              <w:pStyle w:val="1132"/>
              <w:rPr>
                <w:rFonts w:eastAsia="等线"/>
                <w:szCs w:val="21"/>
                <w:highlight w:val="none"/>
              </w:rPr>
            </w:pPr>
            <w:r>
              <w:rPr>
                <w:rFonts w:hint="eastAsia" w:eastAsia="等线"/>
                <w:szCs w:val="21"/>
                <w:highlight w:val="none"/>
                <w:lang w:val="en-US" w:eastAsia="zh-CN"/>
              </w:rPr>
              <w:t>44.3</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47.8</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2.6</w:t>
            </w:r>
          </w:p>
        </w:tc>
        <w:tc>
          <w:tcPr>
            <w:tcW w:w="301"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46.0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48.6</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3.4</w:t>
            </w:r>
          </w:p>
        </w:tc>
        <w:tc>
          <w:tcPr>
            <w:tcW w:w="278" w:type="pct"/>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c>
          <w:tcPr>
            <w:tcW w:w="287" w:type="pct"/>
            <w:vAlign w:val="center"/>
          </w:tcPr>
          <w:p>
            <w:pPr>
              <w:pStyle w:val="1132"/>
              <w:rPr>
                <w:rFonts w:eastAsia="等线"/>
                <w:szCs w:val="21"/>
                <w:highlight w:val="none"/>
              </w:rPr>
            </w:pPr>
            <w:r>
              <w:rPr>
                <w:rFonts w:hint="eastAsia" w:eastAsia="等线"/>
                <w:szCs w:val="21"/>
                <w:highlight w:val="none"/>
                <w:lang w:val="en-US" w:eastAsia="zh-CN"/>
              </w:rPr>
              <w:t>47.6</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49.6</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4.4</w:t>
            </w:r>
          </w:p>
        </w:tc>
        <w:tc>
          <w:tcPr>
            <w:tcW w:w="288" w:type="pct"/>
            <w:gridSpan w:val="2"/>
            <w:vAlign w:val="center"/>
          </w:tcPr>
          <w:p>
            <w:pPr>
              <w:pStyle w:val="1132"/>
              <w:rPr>
                <w:rFonts w:hint="eastAsia" w:eastAsia="等线"/>
                <w:szCs w:val="21"/>
                <w:highlight w:val="none"/>
                <w:lang w:val="en-US" w:eastAsia="zh-CN"/>
              </w:rPr>
            </w:pPr>
            <w:r>
              <w:rPr>
                <w:rFonts w:hint="eastAsia" w:eastAsia="等线"/>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restart"/>
            <w:vAlign w:val="center"/>
          </w:tcPr>
          <w:p>
            <w:pPr>
              <w:pStyle w:val="1132"/>
              <w:rPr>
                <w:highlight w:val="none"/>
              </w:rPr>
            </w:pPr>
            <w:r>
              <w:rPr>
                <w:rFonts w:hint="eastAsia"/>
                <w:highlight w:val="none"/>
              </w:rPr>
              <w:t>8</w:t>
            </w:r>
          </w:p>
        </w:tc>
        <w:tc>
          <w:tcPr>
            <w:tcW w:w="277" w:type="pct"/>
            <w:vMerge w:val="restart"/>
            <w:vAlign w:val="center"/>
          </w:tcPr>
          <w:p>
            <w:pPr>
              <w:pStyle w:val="1132"/>
              <w:rPr>
                <w:color w:val="0070C0"/>
                <w:szCs w:val="21"/>
                <w:highlight w:val="none"/>
              </w:rPr>
            </w:pPr>
            <w:r>
              <w:rPr>
                <w:rFonts w:hint="eastAsia"/>
                <w:highlight w:val="none"/>
              </w:rPr>
              <w:t>邵楼村</w:t>
            </w:r>
          </w:p>
        </w:tc>
        <w:tc>
          <w:tcPr>
            <w:tcW w:w="243" w:type="pct"/>
            <w:vMerge w:val="restart"/>
            <w:vAlign w:val="center"/>
          </w:tcPr>
          <w:p>
            <w:pPr>
              <w:pStyle w:val="1132"/>
              <w:rPr>
                <w:rFonts w:hint="default" w:eastAsia="宋体"/>
                <w:color w:val="auto"/>
                <w:highlight w:val="none"/>
                <w:lang w:val="en-US" w:eastAsia="zh-CN"/>
              </w:rPr>
            </w:pPr>
            <w:r>
              <w:rPr>
                <w:rFonts w:hint="eastAsia"/>
                <w:color w:val="auto"/>
                <w:highlight w:val="none"/>
                <w:lang w:val="en-US" w:eastAsia="zh-CN"/>
              </w:rPr>
              <w:t>18</w:t>
            </w:r>
          </w:p>
        </w:tc>
        <w:tc>
          <w:tcPr>
            <w:tcW w:w="214" w:type="pct"/>
            <w:vMerge w:val="restart"/>
            <w:vAlign w:val="center"/>
          </w:tcPr>
          <w:p>
            <w:pPr>
              <w:pStyle w:val="1132"/>
              <w:rPr>
                <w:rFonts w:hint="default" w:eastAsia="宋体"/>
                <w:highlight w:val="none"/>
                <w:lang w:val="en-US" w:eastAsia="zh-CN"/>
              </w:rPr>
            </w:pPr>
            <w:r>
              <w:rPr>
                <w:rFonts w:hint="eastAsia"/>
                <w:highlight w:val="none"/>
                <w:lang w:val="en-US" w:eastAsia="zh-CN"/>
              </w:rPr>
              <w:t>4a</w:t>
            </w:r>
          </w:p>
        </w:tc>
        <w:tc>
          <w:tcPr>
            <w:tcW w:w="214" w:type="pct"/>
            <w:vAlign w:val="center"/>
          </w:tcPr>
          <w:p>
            <w:pPr>
              <w:pStyle w:val="1132"/>
              <w:rPr>
                <w:highlight w:val="none"/>
              </w:rPr>
            </w:pPr>
            <w:r>
              <w:rPr>
                <w:rFonts w:hint="eastAsia"/>
                <w:highlight w:val="none"/>
              </w:rPr>
              <w:t>昼间</w:t>
            </w:r>
          </w:p>
        </w:tc>
        <w:tc>
          <w:tcPr>
            <w:tcW w:w="231" w:type="pct"/>
            <w:vAlign w:val="center"/>
          </w:tcPr>
          <w:p>
            <w:pPr>
              <w:pStyle w:val="1132"/>
              <w:rPr>
                <w:szCs w:val="21"/>
                <w:highlight w:val="none"/>
              </w:rPr>
            </w:pPr>
            <w:r>
              <w:rPr>
                <w:rFonts w:hint="eastAsia"/>
                <w:szCs w:val="21"/>
                <w:highlight w:val="none"/>
              </w:rPr>
              <w:t>7</w:t>
            </w:r>
            <w:r>
              <w:rPr>
                <w:szCs w:val="21"/>
                <w:highlight w:val="none"/>
              </w:rPr>
              <w:t>0</w:t>
            </w:r>
          </w:p>
        </w:tc>
        <w:tc>
          <w:tcPr>
            <w:tcW w:w="231" w:type="pct"/>
            <w:vAlign w:val="center"/>
          </w:tcPr>
          <w:p>
            <w:pPr>
              <w:pStyle w:val="1132"/>
              <w:rPr>
                <w:rFonts w:hint="default" w:eastAsia="宋体"/>
                <w:szCs w:val="21"/>
                <w:highlight w:val="none"/>
                <w:lang w:val="en-US" w:eastAsia="zh-CN"/>
              </w:rPr>
            </w:pPr>
            <w:r>
              <w:rPr>
                <w:rFonts w:hint="eastAsia"/>
                <w:szCs w:val="21"/>
                <w:highlight w:val="none"/>
                <w:lang w:val="en-US" w:eastAsia="zh-CN"/>
              </w:rPr>
              <w:t>54.1</w:t>
            </w:r>
          </w:p>
        </w:tc>
        <w:tc>
          <w:tcPr>
            <w:tcW w:w="300" w:type="pct"/>
            <w:vAlign w:val="center"/>
          </w:tcPr>
          <w:p>
            <w:pPr>
              <w:pStyle w:val="1132"/>
              <w:rPr>
                <w:szCs w:val="21"/>
                <w:highlight w:val="none"/>
              </w:rPr>
            </w:pPr>
            <w:r>
              <w:rPr>
                <w:rFonts w:hint="eastAsia"/>
                <w:szCs w:val="21"/>
                <w:highlight w:val="none"/>
                <w:lang w:val="en-US" w:eastAsia="zh-CN"/>
              </w:rPr>
              <w:t>54.8</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57.5</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3.4</w:t>
            </w:r>
          </w:p>
        </w:tc>
        <w:tc>
          <w:tcPr>
            <w:tcW w:w="301" w:type="pct"/>
            <w:vAlign w:val="center"/>
          </w:tcPr>
          <w:p>
            <w:pPr>
              <w:pStyle w:val="1132"/>
              <w:rPr>
                <w:rFonts w:eastAsia="等线"/>
                <w:szCs w:val="21"/>
                <w:highlight w:val="none"/>
              </w:rPr>
            </w:pPr>
            <w:r>
              <w:rPr>
                <w:rFonts w:hint="eastAsia" w:eastAsia="等线"/>
                <w:szCs w:val="21"/>
                <w:highlight w:val="none"/>
                <w:lang w:val="en-US" w:eastAsia="zh-CN"/>
              </w:rPr>
              <w:t>0</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56.5</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58.5</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4.4</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0</w:t>
            </w:r>
          </w:p>
        </w:tc>
        <w:tc>
          <w:tcPr>
            <w:tcW w:w="287" w:type="pct"/>
            <w:vAlign w:val="center"/>
          </w:tcPr>
          <w:p>
            <w:pPr>
              <w:pStyle w:val="1132"/>
              <w:rPr>
                <w:rFonts w:eastAsia="等线"/>
                <w:szCs w:val="21"/>
                <w:highlight w:val="none"/>
              </w:rPr>
            </w:pPr>
            <w:r>
              <w:rPr>
                <w:rFonts w:hint="eastAsia" w:eastAsia="等线"/>
                <w:szCs w:val="21"/>
                <w:highlight w:val="none"/>
                <w:lang w:val="en-US" w:eastAsia="zh-CN"/>
              </w:rPr>
              <w:t>58.2</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59.6</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5.5</w:t>
            </w:r>
          </w:p>
        </w:tc>
        <w:tc>
          <w:tcPr>
            <w:tcW w:w="288" w:type="pct"/>
            <w:gridSpan w:val="2"/>
            <w:vAlign w:val="center"/>
          </w:tcPr>
          <w:p>
            <w:pPr>
              <w:pStyle w:val="1132"/>
              <w:rPr>
                <w:szCs w:val="21"/>
                <w:highlight w:val="none"/>
              </w:rPr>
            </w:pPr>
            <w:r>
              <w:rPr>
                <w:rFonts w:hint="eastAsia"/>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auto"/>
                <w:highlight w:val="none"/>
              </w:rPr>
            </w:pPr>
          </w:p>
        </w:tc>
        <w:tc>
          <w:tcPr>
            <w:tcW w:w="214" w:type="pct"/>
            <w:vMerge w:val="continue"/>
            <w:vAlign w:val="center"/>
          </w:tcPr>
          <w:p>
            <w:pPr>
              <w:pStyle w:val="1132"/>
              <w:rPr>
                <w:highlight w:val="none"/>
              </w:rPr>
            </w:pPr>
          </w:p>
        </w:tc>
        <w:tc>
          <w:tcPr>
            <w:tcW w:w="214" w:type="pct"/>
            <w:vAlign w:val="center"/>
          </w:tcPr>
          <w:p>
            <w:pPr>
              <w:pStyle w:val="1132"/>
              <w:rPr>
                <w:highlight w:val="none"/>
              </w:rPr>
            </w:pPr>
            <w:r>
              <w:rPr>
                <w:rFonts w:hint="eastAsia"/>
                <w:highlight w:val="none"/>
              </w:rPr>
              <w:t>夜间</w:t>
            </w:r>
          </w:p>
        </w:tc>
        <w:tc>
          <w:tcPr>
            <w:tcW w:w="231" w:type="pct"/>
            <w:vAlign w:val="center"/>
          </w:tcPr>
          <w:p>
            <w:pPr>
              <w:pStyle w:val="1132"/>
              <w:rPr>
                <w:szCs w:val="21"/>
                <w:highlight w:val="none"/>
              </w:rPr>
            </w:pPr>
            <w:r>
              <w:rPr>
                <w:rFonts w:hint="eastAsia"/>
                <w:szCs w:val="21"/>
                <w:highlight w:val="none"/>
              </w:rPr>
              <w:t>5</w:t>
            </w:r>
            <w:r>
              <w:rPr>
                <w:szCs w:val="21"/>
                <w:highlight w:val="none"/>
              </w:rPr>
              <w:t>5</w:t>
            </w:r>
          </w:p>
        </w:tc>
        <w:tc>
          <w:tcPr>
            <w:tcW w:w="231" w:type="pct"/>
            <w:vAlign w:val="center"/>
          </w:tcPr>
          <w:p>
            <w:pPr>
              <w:pStyle w:val="1132"/>
              <w:rPr>
                <w:rFonts w:hint="default" w:eastAsia="宋体"/>
                <w:szCs w:val="21"/>
                <w:highlight w:val="none"/>
                <w:lang w:val="en-US" w:eastAsia="zh-CN"/>
              </w:rPr>
            </w:pPr>
            <w:r>
              <w:rPr>
                <w:rFonts w:hint="eastAsia"/>
                <w:szCs w:val="21"/>
                <w:highlight w:val="none"/>
                <w:lang w:val="en-US" w:eastAsia="zh-CN"/>
              </w:rPr>
              <w:t>46.1</w:t>
            </w:r>
          </w:p>
        </w:tc>
        <w:tc>
          <w:tcPr>
            <w:tcW w:w="300" w:type="pct"/>
            <w:vAlign w:val="center"/>
          </w:tcPr>
          <w:p>
            <w:pPr>
              <w:pStyle w:val="1132"/>
              <w:rPr>
                <w:szCs w:val="21"/>
                <w:highlight w:val="none"/>
              </w:rPr>
            </w:pPr>
            <w:r>
              <w:rPr>
                <w:rFonts w:hint="eastAsia"/>
                <w:szCs w:val="21"/>
                <w:highlight w:val="none"/>
                <w:lang w:val="en-US" w:eastAsia="zh-CN"/>
              </w:rPr>
              <w:t>49.9</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51.4</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5.3</w:t>
            </w:r>
          </w:p>
        </w:tc>
        <w:tc>
          <w:tcPr>
            <w:tcW w:w="301" w:type="pct"/>
            <w:vAlign w:val="center"/>
          </w:tcPr>
          <w:p>
            <w:pPr>
              <w:pStyle w:val="1132"/>
              <w:rPr>
                <w:rFonts w:eastAsia="等线"/>
                <w:szCs w:val="21"/>
                <w:highlight w:val="none"/>
              </w:rPr>
            </w:pPr>
            <w:r>
              <w:rPr>
                <w:rFonts w:hint="eastAsia" w:eastAsia="等线"/>
                <w:szCs w:val="21"/>
                <w:highlight w:val="none"/>
                <w:lang w:val="en-US" w:eastAsia="zh-CN"/>
              </w:rPr>
              <w:t>0</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51.6</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52.7</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6.6</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0</w:t>
            </w:r>
          </w:p>
        </w:tc>
        <w:tc>
          <w:tcPr>
            <w:tcW w:w="287" w:type="pct"/>
            <w:vAlign w:val="center"/>
          </w:tcPr>
          <w:p>
            <w:pPr>
              <w:pStyle w:val="1132"/>
              <w:rPr>
                <w:rFonts w:eastAsia="等线"/>
                <w:szCs w:val="21"/>
                <w:highlight w:val="none"/>
              </w:rPr>
            </w:pPr>
            <w:r>
              <w:rPr>
                <w:rFonts w:hint="eastAsia" w:eastAsia="等线"/>
                <w:szCs w:val="21"/>
                <w:highlight w:val="none"/>
                <w:lang w:val="en-US" w:eastAsia="zh-CN"/>
              </w:rPr>
              <w:t>53.2</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54.0</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7.9</w:t>
            </w:r>
          </w:p>
        </w:tc>
        <w:tc>
          <w:tcPr>
            <w:tcW w:w="288" w:type="pct"/>
            <w:gridSpan w:val="2"/>
            <w:vAlign w:val="center"/>
          </w:tcPr>
          <w:p>
            <w:pPr>
              <w:pStyle w:val="1132"/>
              <w:rPr>
                <w:szCs w:val="21"/>
                <w:highlight w:val="none"/>
              </w:rPr>
            </w:pPr>
            <w:r>
              <w:rPr>
                <w:rFonts w:hint="eastAsia"/>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restart"/>
            <w:vAlign w:val="center"/>
          </w:tcPr>
          <w:p>
            <w:pPr>
              <w:pStyle w:val="1132"/>
              <w:rPr>
                <w:rFonts w:hint="default" w:eastAsia="宋体"/>
                <w:color w:val="auto"/>
                <w:highlight w:val="none"/>
                <w:lang w:val="en-US" w:eastAsia="zh-CN"/>
              </w:rPr>
            </w:pPr>
            <w:r>
              <w:rPr>
                <w:rFonts w:hint="eastAsia"/>
                <w:color w:val="auto"/>
                <w:highlight w:val="none"/>
                <w:lang w:val="en-US" w:eastAsia="zh-CN"/>
              </w:rPr>
              <w:t>35</w:t>
            </w:r>
          </w:p>
        </w:tc>
        <w:tc>
          <w:tcPr>
            <w:tcW w:w="214" w:type="pct"/>
            <w:vMerge w:val="restart"/>
            <w:vAlign w:val="center"/>
          </w:tcPr>
          <w:p>
            <w:pPr>
              <w:pStyle w:val="1132"/>
              <w:rPr>
                <w:rFonts w:hint="eastAsia" w:eastAsia="宋体"/>
                <w:highlight w:val="none"/>
                <w:lang w:val="en-US" w:eastAsia="zh-CN"/>
              </w:rPr>
            </w:pPr>
            <w:r>
              <w:rPr>
                <w:rFonts w:hint="eastAsia"/>
                <w:highlight w:val="none"/>
                <w:lang w:val="en-US" w:eastAsia="zh-CN"/>
              </w:rPr>
              <w:t>2</w:t>
            </w:r>
          </w:p>
        </w:tc>
        <w:tc>
          <w:tcPr>
            <w:tcW w:w="214" w:type="pct"/>
            <w:vAlign w:val="center"/>
          </w:tcPr>
          <w:p>
            <w:pPr>
              <w:pStyle w:val="1132"/>
              <w:rPr>
                <w:rFonts w:hint="eastAsia"/>
                <w:highlight w:val="none"/>
              </w:rPr>
            </w:pPr>
            <w:r>
              <w:rPr>
                <w:rFonts w:hint="eastAsia"/>
                <w:highlight w:val="none"/>
              </w:rPr>
              <w:t>昼间</w:t>
            </w:r>
          </w:p>
        </w:tc>
        <w:tc>
          <w:tcPr>
            <w:tcW w:w="231" w:type="pct"/>
            <w:vAlign w:val="center"/>
          </w:tcPr>
          <w:p>
            <w:pPr>
              <w:pStyle w:val="1132"/>
              <w:rPr>
                <w:rFonts w:hint="eastAsia"/>
                <w:szCs w:val="21"/>
                <w:highlight w:val="none"/>
              </w:rPr>
            </w:pPr>
            <w:r>
              <w:rPr>
                <w:rFonts w:hint="eastAsia"/>
                <w:szCs w:val="21"/>
                <w:highlight w:val="none"/>
              </w:rPr>
              <w:t>6</w:t>
            </w:r>
            <w:r>
              <w:rPr>
                <w:szCs w:val="21"/>
                <w:highlight w:val="none"/>
              </w:rPr>
              <w:t>0</w:t>
            </w:r>
          </w:p>
        </w:tc>
        <w:tc>
          <w:tcPr>
            <w:tcW w:w="231" w:type="pct"/>
            <w:vAlign w:val="center"/>
          </w:tcPr>
          <w:p>
            <w:pPr>
              <w:pStyle w:val="1132"/>
              <w:rPr>
                <w:rFonts w:eastAsia="等线"/>
                <w:szCs w:val="21"/>
                <w:highlight w:val="none"/>
              </w:rPr>
            </w:pPr>
            <w:r>
              <w:rPr>
                <w:rFonts w:hint="eastAsia"/>
                <w:szCs w:val="21"/>
                <w:highlight w:val="none"/>
                <w:lang w:val="en-US" w:eastAsia="zh-CN"/>
              </w:rPr>
              <w:t>54.1</w:t>
            </w:r>
          </w:p>
        </w:tc>
        <w:tc>
          <w:tcPr>
            <w:tcW w:w="300" w:type="pct"/>
            <w:vAlign w:val="center"/>
          </w:tcPr>
          <w:p>
            <w:pPr>
              <w:pStyle w:val="1132"/>
              <w:rPr>
                <w:rFonts w:eastAsia="等线"/>
                <w:szCs w:val="21"/>
                <w:highlight w:val="none"/>
              </w:rPr>
            </w:pPr>
            <w:r>
              <w:rPr>
                <w:rFonts w:hint="eastAsia" w:eastAsia="等线"/>
                <w:szCs w:val="21"/>
                <w:highlight w:val="none"/>
                <w:lang w:val="en-US" w:eastAsia="zh-CN"/>
              </w:rPr>
              <w:t>49.8</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55.5</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1.4</w:t>
            </w:r>
          </w:p>
        </w:tc>
        <w:tc>
          <w:tcPr>
            <w:tcW w:w="301" w:type="pct"/>
            <w:vAlign w:val="center"/>
          </w:tcPr>
          <w:p>
            <w:pPr>
              <w:pStyle w:val="1132"/>
              <w:rPr>
                <w:rFonts w:eastAsia="等线"/>
                <w:szCs w:val="21"/>
                <w:highlight w:val="none"/>
              </w:rPr>
            </w:pPr>
            <w:r>
              <w:rPr>
                <w:rFonts w:hint="eastAsia" w:eastAsia="等线"/>
                <w:szCs w:val="21"/>
                <w:highlight w:val="none"/>
                <w:lang w:val="en-US" w:eastAsia="zh-CN"/>
              </w:rPr>
              <w:t>0</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51.5</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1.9</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0</w:t>
            </w:r>
          </w:p>
        </w:tc>
        <w:tc>
          <w:tcPr>
            <w:tcW w:w="287" w:type="pct"/>
            <w:vAlign w:val="center"/>
          </w:tcPr>
          <w:p>
            <w:pPr>
              <w:pStyle w:val="1132"/>
              <w:rPr>
                <w:rFonts w:eastAsia="等线"/>
                <w:szCs w:val="21"/>
                <w:highlight w:val="none"/>
              </w:rPr>
            </w:pPr>
            <w:r>
              <w:rPr>
                <w:rFonts w:hint="eastAsia" w:eastAsia="等线"/>
                <w:szCs w:val="21"/>
                <w:highlight w:val="none"/>
                <w:lang w:val="en-US" w:eastAsia="zh-CN"/>
              </w:rPr>
              <w:t>53.2</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56.7</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2.6</w:t>
            </w:r>
          </w:p>
        </w:tc>
        <w:tc>
          <w:tcPr>
            <w:tcW w:w="288" w:type="pct"/>
            <w:gridSpan w:val="2"/>
            <w:vAlign w:val="center"/>
          </w:tcPr>
          <w:p>
            <w:pPr>
              <w:pStyle w:val="1132"/>
              <w:rPr>
                <w:rFonts w:eastAsia="等线"/>
                <w:szCs w:val="21"/>
                <w:highlight w:val="none"/>
              </w:rPr>
            </w:pPr>
            <w:r>
              <w:rPr>
                <w:rFonts w:hint="eastAsia" w:eastAsia="等线"/>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120" w:type="pct"/>
            <w:vMerge w:val="continue"/>
            <w:vAlign w:val="center"/>
          </w:tcPr>
          <w:p>
            <w:pPr>
              <w:pStyle w:val="1132"/>
              <w:rPr>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auto"/>
                <w:highlight w:val="none"/>
              </w:rPr>
            </w:pPr>
          </w:p>
        </w:tc>
        <w:tc>
          <w:tcPr>
            <w:tcW w:w="214" w:type="pct"/>
            <w:vMerge w:val="continue"/>
            <w:vAlign w:val="center"/>
          </w:tcPr>
          <w:p>
            <w:pPr>
              <w:pStyle w:val="1132"/>
              <w:rPr>
                <w:highlight w:val="none"/>
              </w:rPr>
            </w:pPr>
          </w:p>
        </w:tc>
        <w:tc>
          <w:tcPr>
            <w:tcW w:w="214" w:type="pct"/>
            <w:vAlign w:val="center"/>
          </w:tcPr>
          <w:p>
            <w:pPr>
              <w:pStyle w:val="1132"/>
              <w:rPr>
                <w:rFonts w:hint="eastAsia"/>
                <w:highlight w:val="none"/>
              </w:rPr>
            </w:pPr>
            <w:r>
              <w:rPr>
                <w:rFonts w:hint="eastAsia"/>
                <w:highlight w:val="none"/>
              </w:rPr>
              <w:t>夜间</w:t>
            </w:r>
          </w:p>
        </w:tc>
        <w:tc>
          <w:tcPr>
            <w:tcW w:w="231" w:type="pct"/>
            <w:vAlign w:val="center"/>
          </w:tcPr>
          <w:p>
            <w:pPr>
              <w:pStyle w:val="1132"/>
              <w:rPr>
                <w:rFonts w:hint="eastAsia"/>
                <w:szCs w:val="21"/>
                <w:highlight w:val="none"/>
              </w:rPr>
            </w:pPr>
            <w:r>
              <w:rPr>
                <w:rFonts w:hint="eastAsia"/>
                <w:szCs w:val="21"/>
                <w:highlight w:val="none"/>
              </w:rPr>
              <w:t>5</w:t>
            </w:r>
            <w:r>
              <w:rPr>
                <w:szCs w:val="21"/>
                <w:highlight w:val="none"/>
              </w:rPr>
              <w:t>0</w:t>
            </w:r>
          </w:p>
        </w:tc>
        <w:tc>
          <w:tcPr>
            <w:tcW w:w="231" w:type="pct"/>
            <w:vAlign w:val="center"/>
          </w:tcPr>
          <w:p>
            <w:pPr>
              <w:pStyle w:val="1132"/>
              <w:rPr>
                <w:rFonts w:eastAsia="等线"/>
                <w:szCs w:val="21"/>
                <w:highlight w:val="none"/>
              </w:rPr>
            </w:pPr>
            <w:r>
              <w:rPr>
                <w:rFonts w:hint="eastAsia"/>
                <w:szCs w:val="21"/>
                <w:highlight w:val="none"/>
                <w:lang w:val="en-US" w:eastAsia="zh-CN"/>
              </w:rPr>
              <w:t>46.1</w:t>
            </w:r>
          </w:p>
        </w:tc>
        <w:tc>
          <w:tcPr>
            <w:tcW w:w="300" w:type="pct"/>
            <w:vAlign w:val="center"/>
          </w:tcPr>
          <w:p>
            <w:pPr>
              <w:pStyle w:val="1132"/>
              <w:rPr>
                <w:rFonts w:eastAsia="等线"/>
                <w:szCs w:val="21"/>
                <w:highlight w:val="none"/>
              </w:rPr>
            </w:pPr>
            <w:r>
              <w:rPr>
                <w:rFonts w:hint="eastAsia" w:eastAsia="等线"/>
                <w:szCs w:val="21"/>
                <w:highlight w:val="none"/>
                <w:lang w:val="en-US" w:eastAsia="zh-CN"/>
              </w:rPr>
              <w:t>44.3</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48.3</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2.2</w:t>
            </w:r>
          </w:p>
        </w:tc>
        <w:tc>
          <w:tcPr>
            <w:tcW w:w="301" w:type="pct"/>
            <w:vAlign w:val="center"/>
          </w:tcPr>
          <w:p>
            <w:pPr>
              <w:pStyle w:val="1132"/>
              <w:rPr>
                <w:rFonts w:eastAsia="等线"/>
                <w:szCs w:val="21"/>
                <w:highlight w:val="none"/>
              </w:rPr>
            </w:pPr>
            <w:r>
              <w:rPr>
                <w:rFonts w:hint="eastAsia" w:eastAsia="等线"/>
                <w:szCs w:val="21"/>
                <w:highlight w:val="none"/>
                <w:lang w:val="en-US" w:eastAsia="zh-CN"/>
              </w:rPr>
              <w:t>0</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46.0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49.1</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3.0</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0</w:t>
            </w:r>
          </w:p>
        </w:tc>
        <w:tc>
          <w:tcPr>
            <w:tcW w:w="287" w:type="pct"/>
            <w:vAlign w:val="center"/>
          </w:tcPr>
          <w:p>
            <w:pPr>
              <w:pStyle w:val="1132"/>
              <w:rPr>
                <w:rFonts w:eastAsia="等线"/>
                <w:szCs w:val="21"/>
                <w:highlight w:val="none"/>
              </w:rPr>
            </w:pPr>
            <w:r>
              <w:rPr>
                <w:rFonts w:hint="eastAsia" w:eastAsia="等线"/>
                <w:szCs w:val="21"/>
                <w:highlight w:val="none"/>
                <w:lang w:val="en-US" w:eastAsia="zh-CN"/>
              </w:rPr>
              <w:t>47.6</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49.8</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3.7</w:t>
            </w:r>
          </w:p>
        </w:tc>
        <w:tc>
          <w:tcPr>
            <w:tcW w:w="288" w:type="pct"/>
            <w:gridSpan w:val="2"/>
            <w:vAlign w:val="center"/>
          </w:tcPr>
          <w:p>
            <w:pPr>
              <w:pStyle w:val="1132"/>
              <w:rPr>
                <w:rFonts w:eastAsia="等线"/>
                <w:szCs w:val="21"/>
                <w:highlight w:val="none"/>
              </w:rPr>
            </w:pPr>
            <w:r>
              <w:rPr>
                <w:rFonts w:hint="eastAsia" w:eastAsia="等线"/>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restart"/>
            <w:vAlign w:val="center"/>
          </w:tcPr>
          <w:p>
            <w:pPr>
              <w:pStyle w:val="1132"/>
              <w:rPr>
                <w:highlight w:val="none"/>
              </w:rPr>
            </w:pPr>
            <w:r>
              <w:rPr>
                <w:rFonts w:hint="eastAsia"/>
                <w:highlight w:val="none"/>
              </w:rPr>
              <w:t>9</w:t>
            </w:r>
          </w:p>
        </w:tc>
        <w:tc>
          <w:tcPr>
            <w:tcW w:w="277" w:type="pct"/>
            <w:vMerge w:val="restart"/>
            <w:vAlign w:val="center"/>
          </w:tcPr>
          <w:p>
            <w:pPr>
              <w:pStyle w:val="1132"/>
              <w:rPr>
                <w:color w:val="0070C0"/>
                <w:szCs w:val="21"/>
                <w:highlight w:val="none"/>
              </w:rPr>
            </w:pPr>
            <w:r>
              <w:rPr>
                <w:rFonts w:hint="eastAsia"/>
                <w:highlight w:val="none"/>
              </w:rPr>
              <w:t>小沟沿</w:t>
            </w:r>
          </w:p>
        </w:tc>
        <w:tc>
          <w:tcPr>
            <w:tcW w:w="243" w:type="pct"/>
            <w:vMerge w:val="restart"/>
            <w:vAlign w:val="center"/>
          </w:tcPr>
          <w:p>
            <w:pPr>
              <w:pStyle w:val="1132"/>
              <w:rPr>
                <w:rFonts w:hint="default" w:eastAsia="宋体"/>
                <w:color w:val="auto"/>
                <w:highlight w:val="none"/>
                <w:lang w:val="en-US" w:eastAsia="zh-CN"/>
              </w:rPr>
            </w:pPr>
            <w:r>
              <w:rPr>
                <w:rFonts w:hint="eastAsia"/>
                <w:color w:val="auto"/>
                <w:highlight w:val="none"/>
                <w:lang w:val="en-US" w:eastAsia="zh-CN"/>
              </w:rPr>
              <w:t>17</w:t>
            </w:r>
          </w:p>
        </w:tc>
        <w:tc>
          <w:tcPr>
            <w:tcW w:w="214" w:type="pct"/>
            <w:vMerge w:val="restart"/>
            <w:vAlign w:val="center"/>
          </w:tcPr>
          <w:p>
            <w:pPr>
              <w:pStyle w:val="1132"/>
              <w:rPr>
                <w:rFonts w:hint="default" w:eastAsia="宋体"/>
                <w:highlight w:val="none"/>
                <w:lang w:val="en-US" w:eastAsia="zh-CN"/>
              </w:rPr>
            </w:pPr>
            <w:r>
              <w:rPr>
                <w:rFonts w:hint="eastAsia"/>
                <w:highlight w:val="none"/>
                <w:lang w:val="en-US" w:eastAsia="zh-CN"/>
              </w:rPr>
              <w:t>4a</w:t>
            </w:r>
          </w:p>
        </w:tc>
        <w:tc>
          <w:tcPr>
            <w:tcW w:w="214" w:type="pct"/>
            <w:vAlign w:val="center"/>
          </w:tcPr>
          <w:p>
            <w:pPr>
              <w:pStyle w:val="1132"/>
              <w:rPr>
                <w:highlight w:val="none"/>
              </w:rPr>
            </w:pPr>
            <w:r>
              <w:rPr>
                <w:rFonts w:hint="eastAsia"/>
                <w:highlight w:val="none"/>
              </w:rPr>
              <w:t>昼间</w:t>
            </w:r>
          </w:p>
        </w:tc>
        <w:tc>
          <w:tcPr>
            <w:tcW w:w="231" w:type="pct"/>
            <w:vAlign w:val="center"/>
          </w:tcPr>
          <w:p>
            <w:pPr>
              <w:pStyle w:val="1132"/>
              <w:rPr>
                <w:szCs w:val="21"/>
                <w:highlight w:val="none"/>
              </w:rPr>
            </w:pPr>
            <w:r>
              <w:rPr>
                <w:rFonts w:hint="eastAsia"/>
                <w:szCs w:val="21"/>
                <w:highlight w:val="none"/>
              </w:rPr>
              <w:t>7</w:t>
            </w:r>
            <w:r>
              <w:rPr>
                <w:szCs w:val="21"/>
                <w:highlight w:val="none"/>
              </w:rPr>
              <w:t>0</w:t>
            </w:r>
          </w:p>
        </w:tc>
        <w:tc>
          <w:tcPr>
            <w:tcW w:w="231" w:type="pct"/>
            <w:vAlign w:val="center"/>
          </w:tcPr>
          <w:p>
            <w:pPr>
              <w:pStyle w:val="1132"/>
              <w:rPr>
                <w:rFonts w:hint="default" w:eastAsia="宋体"/>
                <w:szCs w:val="21"/>
                <w:highlight w:val="none"/>
                <w:lang w:val="en-US" w:eastAsia="zh-CN"/>
              </w:rPr>
            </w:pPr>
            <w:r>
              <w:rPr>
                <w:rFonts w:hint="eastAsia"/>
                <w:szCs w:val="21"/>
                <w:highlight w:val="none"/>
                <w:lang w:val="en-US" w:eastAsia="zh-CN"/>
              </w:rPr>
              <w:t>54.5</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55.3</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57.9</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3.4</w:t>
            </w:r>
          </w:p>
        </w:tc>
        <w:tc>
          <w:tcPr>
            <w:tcW w:w="301" w:type="pct"/>
            <w:vAlign w:val="center"/>
          </w:tcPr>
          <w:p>
            <w:pPr>
              <w:pStyle w:val="1132"/>
              <w:rPr>
                <w:rFonts w:hint="eastAsia" w:eastAsia="等线"/>
                <w:szCs w:val="21"/>
                <w:highlight w:val="none"/>
                <w:lang w:val="en-US" w:eastAsia="zh-CN"/>
              </w:rPr>
            </w:pPr>
            <w:r>
              <w:rPr>
                <w:rFonts w:hint="eastAsia"/>
                <w:szCs w:val="21"/>
                <w:highlight w:val="none"/>
                <w:lang w:val="en-US" w:eastAsia="zh-CN"/>
              </w:rPr>
              <w:t>0</w:t>
            </w:r>
          </w:p>
        </w:tc>
        <w:tc>
          <w:tcPr>
            <w:tcW w:w="278" w:type="pct"/>
            <w:vAlign w:val="center"/>
          </w:tcPr>
          <w:p>
            <w:pPr>
              <w:pStyle w:val="1132"/>
              <w:rPr>
                <w:rFonts w:hint="default" w:eastAsia="等线"/>
                <w:szCs w:val="21"/>
                <w:highlight w:val="none"/>
                <w:lang w:val="en-US" w:eastAsia="zh-CN"/>
              </w:rPr>
            </w:pPr>
            <w:r>
              <w:rPr>
                <w:rFonts w:hint="eastAsia"/>
                <w:szCs w:val="21"/>
                <w:highlight w:val="none"/>
                <w:lang w:val="en-US" w:eastAsia="zh-CN"/>
              </w:rPr>
              <w:t>56.8</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58.8</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4.3</w:t>
            </w:r>
          </w:p>
        </w:tc>
        <w:tc>
          <w:tcPr>
            <w:tcW w:w="278" w:type="pct"/>
            <w:vAlign w:val="center"/>
          </w:tcPr>
          <w:p>
            <w:pPr>
              <w:pStyle w:val="1132"/>
              <w:rPr>
                <w:rFonts w:hint="eastAsia" w:eastAsia="等线"/>
                <w:szCs w:val="21"/>
                <w:highlight w:val="none"/>
                <w:lang w:val="en-US" w:eastAsia="zh-CN"/>
              </w:rPr>
            </w:pPr>
            <w:r>
              <w:rPr>
                <w:rFonts w:hint="eastAsia"/>
                <w:szCs w:val="21"/>
                <w:highlight w:val="none"/>
                <w:lang w:val="en-US" w:eastAsia="zh-CN"/>
              </w:rPr>
              <w:t>0</w:t>
            </w:r>
          </w:p>
        </w:tc>
        <w:tc>
          <w:tcPr>
            <w:tcW w:w="287" w:type="pct"/>
            <w:vAlign w:val="center"/>
          </w:tcPr>
          <w:p>
            <w:pPr>
              <w:pStyle w:val="1132"/>
              <w:rPr>
                <w:rFonts w:hint="default" w:eastAsia="等线"/>
                <w:szCs w:val="21"/>
                <w:highlight w:val="none"/>
                <w:lang w:val="en-US" w:eastAsia="zh-CN"/>
              </w:rPr>
            </w:pPr>
            <w:r>
              <w:rPr>
                <w:rFonts w:hint="eastAsia"/>
                <w:szCs w:val="21"/>
                <w:highlight w:val="none"/>
                <w:lang w:val="en-US" w:eastAsia="zh-CN"/>
              </w:rPr>
              <w:t>58.5</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60.0</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5.5</w:t>
            </w:r>
          </w:p>
        </w:tc>
        <w:tc>
          <w:tcPr>
            <w:tcW w:w="288" w:type="pct"/>
            <w:gridSpan w:val="2"/>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color w:val="0070C0"/>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0070C0"/>
                <w:highlight w:val="none"/>
              </w:rPr>
            </w:pPr>
          </w:p>
        </w:tc>
        <w:tc>
          <w:tcPr>
            <w:tcW w:w="214" w:type="pct"/>
            <w:vMerge w:val="continue"/>
            <w:vAlign w:val="center"/>
          </w:tcPr>
          <w:p>
            <w:pPr>
              <w:pStyle w:val="1132"/>
              <w:rPr>
                <w:highlight w:val="none"/>
              </w:rPr>
            </w:pPr>
          </w:p>
        </w:tc>
        <w:tc>
          <w:tcPr>
            <w:tcW w:w="214" w:type="pct"/>
            <w:vAlign w:val="center"/>
          </w:tcPr>
          <w:p>
            <w:pPr>
              <w:pStyle w:val="1132"/>
              <w:rPr>
                <w:highlight w:val="none"/>
              </w:rPr>
            </w:pPr>
            <w:r>
              <w:rPr>
                <w:rFonts w:hint="eastAsia"/>
                <w:highlight w:val="none"/>
              </w:rPr>
              <w:t>夜间</w:t>
            </w:r>
          </w:p>
        </w:tc>
        <w:tc>
          <w:tcPr>
            <w:tcW w:w="231" w:type="pct"/>
            <w:vAlign w:val="center"/>
          </w:tcPr>
          <w:p>
            <w:pPr>
              <w:pStyle w:val="1132"/>
              <w:rPr>
                <w:szCs w:val="21"/>
                <w:highlight w:val="none"/>
              </w:rPr>
            </w:pPr>
            <w:r>
              <w:rPr>
                <w:rFonts w:hint="eastAsia"/>
                <w:szCs w:val="21"/>
                <w:highlight w:val="none"/>
              </w:rPr>
              <w:t>5</w:t>
            </w:r>
            <w:r>
              <w:rPr>
                <w:szCs w:val="21"/>
                <w:highlight w:val="none"/>
              </w:rPr>
              <w:t>5</w:t>
            </w:r>
          </w:p>
        </w:tc>
        <w:tc>
          <w:tcPr>
            <w:tcW w:w="231" w:type="pct"/>
            <w:vAlign w:val="center"/>
          </w:tcPr>
          <w:p>
            <w:pPr>
              <w:pStyle w:val="1132"/>
              <w:rPr>
                <w:rFonts w:hint="default" w:eastAsia="宋体"/>
                <w:szCs w:val="21"/>
                <w:highlight w:val="none"/>
                <w:lang w:val="en-US" w:eastAsia="zh-CN"/>
              </w:rPr>
            </w:pPr>
            <w:r>
              <w:rPr>
                <w:rFonts w:hint="eastAsia"/>
                <w:szCs w:val="21"/>
                <w:highlight w:val="none"/>
                <w:lang w:val="en-US" w:eastAsia="zh-CN"/>
              </w:rPr>
              <w:t>46.4</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50.3</w:t>
            </w:r>
          </w:p>
        </w:tc>
        <w:tc>
          <w:tcPr>
            <w:tcW w:w="300" w:type="pct"/>
            <w:vAlign w:val="center"/>
          </w:tcPr>
          <w:p>
            <w:pPr>
              <w:pStyle w:val="1132"/>
              <w:rPr>
                <w:rFonts w:hint="default" w:eastAsia="宋体"/>
                <w:szCs w:val="21"/>
                <w:highlight w:val="none"/>
                <w:lang w:val="en-US" w:eastAsia="zh-CN"/>
              </w:rPr>
            </w:pPr>
            <w:r>
              <w:rPr>
                <w:rFonts w:hint="eastAsia"/>
                <w:szCs w:val="21"/>
                <w:highlight w:val="none"/>
                <w:lang w:val="en-US" w:eastAsia="zh-CN"/>
              </w:rPr>
              <w:t>51.8</w:t>
            </w:r>
          </w:p>
        </w:tc>
        <w:tc>
          <w:tcPr>
            <w:tcW w:w="300" w:type="pct"/>
            <w:vAlign w:val="center"/>
          </w:tcPr>
          <w:p>
            <w:pPr>
              <w:pStyle w:val="1132"/>
              <w:jc w:val="center"/>
              <w:rPr>
                <w:rFonts w:hint="default" w:eastAsia="宋体"/>
                <w:szCs w:val="21"/>
                <w:highlight w:val="none"/>
                <w:lang w:val="en-US" w:eastAsia="zh-CN"/>
              </w:rPr>
            </w:pPr>
            <w:r>
              <w:rPr>
                <w:rFonts w:hint="eastAsia"/>
                <w:szCs w:val="21"/>
                <w:highlight w:val="none"/>
                <w:lang w:val="en-US" w:eastAsia="zh-CN"/>
              </w:rPr>
              <w:t>5.4</w:t>
            </w:r>
          </w:p>
        </w:tc>
        <w:tc>
          <w:tcPr>
            <w:tcW w:w="301" w:type="pct"/>
            <w:vAlign w:val="center"/>
          </w:tcPr>
          <w:p>
            <w:pPr>
              <w:pStyle w:val="1132"/>
              <w:rPr>
                <w:rFonts w:hint="eastAsia" w:eastAsia="等线"/>
                <w:szCs w:val="21"/>
                <w:highlight w:val="none"/>
                <w:lang w:val="en-US" w:eastAsia="zh-CN"/>
              </w:rPr>
            </w:pPr>
            <w:r>
              <w:rPr>
                <w:rFonts w:hint="eastAsia"/>
                <w:szCs w:val="21"/>
                <w:highlight w:val="none"/>
                <w:lang w:val="en-US" w:eastAsia="zh-CN"/>
              </w:rPr>
              <w:t>0</w:t>
            </w:r>
          </w:p>
        </w:tc>
        <w:tc>
          <w:tcPr>
            <w:tcW w:w="278" w:type="pct"/>
            <w:vAlign w:val="center"/>
          </w:tcPr>
          <w:p>
            <w:pPr>
              <w:pStyle w:val="1132"/>
              <w:rPr>
                <w:rFonts w:hint="default" w:eastAsia="等线"/>
                <w:szCs w:val="21"/>
                <w:highlight w:val="none"/>
                <w:lang w:val="en-US" w:eastAsia="zh-CN"/>
              </w:rPr>
            </w:pPr>
            <w:r>
              <w:rPr>
                <w:rFonts w:hint="eastAsia"/>
                <w:szCs w:val="21"/>
                <w:highlight w:val="none"/>
                <w:lang w:val="en-US" w:eastAsia="zh-CN"/>
              </w:rPr>
              <w:t>52.0</w:t>
            </w:r>
          </w:p>
        </w:tc>
        <w:tc>
          <w:tcPr>
            <w:tcW w:w="278" w:type="pct"/>
            <w:vAlign w:val="center"/>
          </w:tcPr>
          <w:p>
            <w:pPr>
              <w:pStyle w:val="1132"/>
              <w:rPr>
                <w:rFonts w:hint="default" w:eastAsia="宋体"/>
                <w:szCs w:val="21"/>
                <w:highlight w:val="none"/>
                <w:lang w:val="en-US" w:eastAsia="zh-CN"/>
              </w:rPr>
            </w:pPr>
            <w:r>
              <w:rPr>
                <w:rFonts w:hint="eastAsia"/>
                <w:szCs w:val="21"/>
                <w:highlight w:val="none"/>
                <w:lang w:val="en-US" w:eastAsia="zh-CN"/>
              </w:rPr>
              <w:t>53.1</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6.7</w:t>
            </w:r>
          </w:p>
        </w:tc>
        <w:tc>
          <w:tcPr>
            <w:tcW w:w="278" w:type="pct"/>
            <w:vAlign w:val="center"/>
          </w:tcPr>
          <w:p>
            <w:pPr>
              <w:pStyle w:val="1132"/>
              <w:rPr>
                <w:rFonts w:hint="eastAsia" w:eastAsia="等线"/>
                <w:szCs w:val="21"/>
                <w:highlight w:val="none"/>
                <w:lang w:val="en-US" w:eastAsia="zh-CN"/>
              </w:rPr>
            </w:pPr>
            <w:r>
              <w:rPr>
                <w:rFonts w:hint="eastAsia"/>
                <w:szCs w:val="21"/>
                <w:highlight w:val="none"/>
                <w:lang w:val="en-US" w:eastAsia="zh-CN"/>
              </w:rPr>
              <w:t>0</w:t>
            </w:r>
          </w:p>
        </w:tc>
        <w:tc>
          <w:tcPr>
            <w:tcW w:w="287" w:type="pct"/>
            <w:vAlign w:val="center"/>
          </w:tcPr>
          <w:p>
            <w:pPr>
              <w:pStyle w:val="1132"/>
              <w:rPr>
                <w:rFonts w:hint="default" w:eastAsia="等线"/>
                <w:szCs w:val="21"/>
                <w:highlight w:val="none"/>
                <w:lang w:val="en-US" w:eastAsia="zh-CN"/>
              </w:rPr>
            </w:pPr>
            <w:r>
              <w:rPr>
                <w:rFonts w:hint="eastAsia"/>
                <w:szCs w:val="21"/>
                <w:highlight w:val="none"/>
                <w:lang w:val="en-US" w:eastAsia="zh-CN"/>
              </w:rPr>
              <w:t>53.6</w:t>
            </w:r>
          </w:p>
        </w:tc>
        <w:tc>
          <w:tcPr>
            <w:tcW w:w="287" w:type="pct"/>
            <w:vAlign w:val="center"/>
          </w:tcPr>
          <w:p>
            <w:pPr>
              <w:pStyle w:val="1132"/>
              <w:rPr>
                <w:rFonts w:hint="default" w:eastAsia="宋体"/>
                <w:szCs w:val="21"/>
                <w:highlight w:val="none"/>
                <w:lang w:val="en-US" w:eastAsia="zh-CN"/>
              </w:rPr>
            </w:pPr>
            <w:r>
              <w:rPr>
                <w:rFonts w:hint="eastAsia"/>
                <w:szCs w:val="21"/>
                <w:highlight w:val="none"/>
                <w:lang w:val="en-US" w:eastAsia="zh-CN"/>
              </w:rPr>
              <w:t>54.4</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8.0</w:t>
            </w:r>
          </w:p>
        </w:tc>
        <w:tc>
          <w:tcPr>
            <w:tcW w:w="288" w:type="pct"/>
            <w:gridSpan w:val="2"/>
            <w:vAlign w:val="center"/>
          </w:tcPr>
          <w:p>
            <w:pPr>
              <w:pStyle w:val="1132"/>
              <w:rPr>
                <w:rFonts w:hint="eastAsia" w:eastAsia="宋体"/>
                <w:szCs w:val="21"/>
                <w:highlight w:val="none"/>
                <w:lang w:val="en-US" w:eastAsia="zh-CN"/>
              </w:rPr>
            </w:pPr>
            <w:r>
              <w:rPr>
                <w:rFonts w:hint="eastAsia"/>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color w:val="0070C0"/>
                <w:highlight w:val="none"/>
              </w:rPr>
            </w:pPr>
          </w:p>
        </w:tc>
        <w:tc>
          <w:tcPr>
            <w:tcW w:w="277" w:type="pct"/>
            <w:vMerge w:val="continue"/>
            <w:vAlign w:val="center"/>
          </w:tcPr>
          <w:p>
            <w:pPr>
              <w:pStyle w:val="1132"/>
              <w:rPr>
                <w:color w:val="0070C0"/>
                <w:szCs w:val="21"/>
                <w:highlight w:val="none"/>
              </w:rPr>
            </w:pPr>
          </w:p>
        </w:tc>
        <w:tc>
          <w:tcPr>
            <w:tcW w:w="243" w:type="pct"/>
            <w:vMerge w:val="restart"/>
            <w:vAlign w:val="center"/>
          </w:tcPr>
          <w:p>
            <w:pPr>
              <w:pStyle w:val="1132"/>
              <w:rPr>
                <w:rFonts w:hint="default" w:eastAsia="宋体"/>
                <w:color w:val="0070C0"/>
                <w:highlight w:val="none"/>
                <w:lang w:val="en-US" w:eastAsia="zh-CN"/>
              </w:rPr>
            </w:pPr>
            <w:r>
              <w:rPr>
                <w:rFonts w:hint="eastAsia"/>
                <w:color w:val="auto"/>
                <w:highlight w:val="none"/>
                <w:lang w:val="en-US" w:eastAsia="zh-CN"/>
              </w:rPr>
              <w:t>35</w:t>
            </w:r>
          </w:p>
        </w:tc>
        <w:tc>
          <w:tcPr>
            <w:tcW w:w="214" w:type="pct"/>
            <w:vMerge w:val="restart"/>
            <w:vAlign w:val="center"/>
          </w:tcPr>
          <w:p>
            <w:pPr>
              <w:pStyle w:val="1132"/>
              <w:rPr>
                <w:rFonts w:hint="eastAsia" w:eastAsia="宋体"/>
                <w:highlight w:val="none"/>
                <w:lang w:val="en-US" w:eastAsia="zh-CN"/>
              </w:rPr>
            </w:pPr>
            <w:r>
              <w:rPr>
                <w:rFonts w:hint="eastAsia"/>
                <w:highlight w:val="none"/>
                <w:lang w:val="en-US" w:eastAsia="zh-CN"/>
              </w:rPr>
              <w:t>2</w:t>
            </w:r>
          </w:p>
        </w:tc>
        <w:tc>
          <w:tcPr>
            <w:tcW w:w="214" w:type="pct"/>
            <w:vAlign w:val="center"/>
          </w:tcPr>
          <w:p>
            <w:pPr>
              <w:pStyle w:val="1132"/>
              <w:rPr>
                <w:rFonts w:hint="eastAsia"/>
                <w:highlight w:val="none"/>
              </w:rPr>
            </w:pPr>
            <w:r>
              <w:rPr>
                <w:rFonts w:hint="eastAsia"/>
                <w:highlight w:val="none"/>
              </w:rPr>
              <w:t>昼间</w:t>
            </w:r>
          </w:p>
        </w:tc>
        <w:tc>
          <w:tcPr>
            <w:tcW w:w="231" w:type="pct"/>
            <w:vAlign w:val="center"/>
          </w:tcPr>
          <w:p>
            <w:pPr>
              <w:pStyle w:val="1132"/>
              <w:rPr>
                <w:rFonts w:hint="eastAsia"/>
                <w:szCs w:val="21"/>
                <w:highlight w:val="none"/>
              </w:rPr>
            </w:pPr>
            <w:r>
              <w:rPr>
                <w:rFonts w:hint="eastAsia"/>
                <w:szCs w:val="21"/>
                <w:highlight w:val="none"/>
              </w:rPr>
              <w:t>6</w:t>
            </w:r>
            <w:r>
              <w:rPr>
                <w:szCs w:val="21"/>
                <w:highlight w:val="none"/>
              </w:rPr>
              <w:t>0</w:t>
            </w:r>
          </w:p>
        </w:tc>
        <w:tc>
          <w:tcPr>
            <w:tcW w:w="231" w:type="pct"/>
            <w:vAlign w:val="center"/>
          </w:tcPr>
          <w:p>
            <w:pPr>
              <w:pStyle w:val="1132"/>
              <w:rPr>
                <w:rFonts w:eastAsia="等线"/>
                <w:szCs w:val="21"/>
                <w:highlight w:val="none"/>
              </w:rPr>
            </w:pPr>
            <w:r>
              <w:rPr>
                <w:rFonts w:hint="eastAsia"/>
                <w:szCs w:val="21"/>
                <w:highlight w:val="none"/>
                <w:lang w:val="en-US" w:eastAsia="zh-CN"/>
              </w:rPr>
              <w:t>54.5</w:t>
            </w:r>
          </w:p>
        </w:tc>
        <w:tc>
          <w:tcPr>
            <w:tcW w:w="300" w:type="pct"/>
            <w:vAlign w:val="center"/>
          </w:tcPr>
          <w:p>
            <w:pPr>
              <w:pStyle w:val="1132"/>
              <w:rPr>
                <w:rFonts w:eastAsia="等线"/>
                <w:szCs w:val="21"/>
                <w:highlight w:val="none"/>
              </w:rPr>
            </w:pPr>
            <w:r>
              <w:rPr>
                <w:rFonts w:hint="eastAsia" w:eastAsia="等线"/>
                <w:szCs w:val="21"/>
                <w:highlight w:val="none"/>
                <w:lang w:val="en-US" w:eastAsia="zh-CN"/>
              </w:rPr>
              <w:t>49.8</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55.8</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6.0</w:t>
            </w:r>
          </w:p>
        </w:tc>
        <w:tc>
          <w:tcPr>
            <w:tcW w:w="301" w:type="pct"/>
            <w:vAlign w:val="center"/>
          </w:tcPr>
          <w:p>
            <w:pPr>
              <w:pStyle w:val="1132"/>
              <w:rPr>
                <w:rFonts w:eastAsia="等线"/>
                <w:szCs w:val="21"/>
                <w:highlight w:val="none"/>
              </w:rPr>
            </w:pPr>
            <w:r>
              <w:rPr>
                <w:rFonts w:hint="eastAsia" w:eastAsia="等线"/>
                <w:szCs w:val="21"/>
                <w:highlight w:val="none"/>
                <w:lang w:val="en-US" w:eastAsia="zh-CN"/>
              </w:rPr>
              <w:t>0</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51.5</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56.3</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1.8</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0</w:t>
            </w:r>
          </w:p>
        </w:tc>
        <w:tc>
          <w:tcPr>
            <w:tcW w:w="287" w:type="pct"/>
            <w:vAlign w:val="center"/>
          </w:tcPr>
          <w:p>
            <w:pPr>
              <w:pStyle w:val="1132"/>
              <w:rPr>
                <w:rFonts w:eastAsia="等线"/>
                <w:szCs w:val="21"/>
                <w:highlight w:val="none"/>
              </w:rPr>
            </w:pPr>
            <w:r>
              <w:rPr>
                <w:rFonts w:hint="eastAsia" w:eastAsia="等线"/>
                <w:szCs w:val="21"/>
                <w:highlight w:val="none"/>
                <w:lang w:val="en-US" w:eastAsia="zh-CN"/>
              </w:rPr>
              <w:t>53.2</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56.9</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2.4</w:t>
            </w:r>
          </w:p>
        </w:tc>
        <w:tc>
          <w:tcPr>
            <w:tcW w:w="288" w:type="pct"/>
            <w:gridSpan w:val="2"/>
            <w:vAlign w:val="center"/>
          </w:tcPr>
          <w:p>
            <w:pPr>
              <w:pStyle w:val="1132"/>
              <w:rPr>
                <w:rFonts w:eastAsia="等线"/>
                <w:szCs w:val="21"/>
                <w:highlight w:val="none"/>
              </w:rPr>
            </w:pPr>
            <w:r>
              <w:rPr>
                <w:rFonts w:hint="eastAsia" w:eastAsia="等线"/>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120" w:type="pct"/>
            <w:vMerge w:val="continue"/>
            <w:vAlign w:val="center"/>
          </w:tcPr>
          <w:p>
            <w:pPr>
              <w:pStyle w:val="1132"/>
              <w:rPr>
                <w:color w:val="0070C0"/>
                <w:highlight w:val="none"/>
              </w:rPr>
            </w:pPr>
          </w:p>
        </w:tc>
        <w:tc>
          <w:tcPr>
            <w:tcW w:w="277" w:type="pct"/>
            <w:vMerge w:val="continue"/>
            <w:vAlign w:val="center"/>
          </w:tcPr>
          <w:p>
            <w:pPr>
              <w:pStyle w:val="1132"/>
              <w:rPr>
                <w:color w:val="0070C0"/>
                <w:szCs w:val="21"/>
                <w:highlight w:val="none"/>
              </w:rPr>
            </w:pPr>
          </w:p>
        </w:tc>
        <w:tc>
          <w:tcPr>
            <w:tcW w:w="243" w:type="pct"/>
            <w:vMerge w:val="continue"/>
            <w:vAlign w:val="center"/>
          </w:tcPr>
          <w:p>
            <w:pPr>
              <w:pStyle w:val="1132"/>
              <w:rPr>
                <w:color w:val="0070C0"/>
                <w:highlight w:val="none"/>
              </w:rPr>
            </w:pPr>
          </w:p>
        </w:tc>
        <w:tc>
          <w:tcPr>
            <w:tcW w:w="214" w:type="pct"/>
            <w:vMerge w:val="continue"/>
            <w:vAlign w:val="center"/>
          </w:tcPr>
          <w:p>
            <w:pPr>
              <w:pStyle w:val="1132"/>
              <w:rPr>
                <w:highlight w:val="none"/>
              </w:rPr>
            </w:pPr>
          </w:p>
        </w:tc>
        <w:tc>
          <w:tcPr>
            <w:tcW w:w="214" w:type="pct"/>
            <w:vAlign w:val="center"/>
          </w:tcPr>
          <w:p>
            <w:pPr>
              <w:pStyle w:val="1132"/>
              <w:rPr>
                <w:rFonts w:hint="eastAsia"/>
                <w:highlight w:val="none"/>
              </w:rPr>
            </w:pPr>
            <w:r>
              <w:rPr>
                <w:rFonts w:hint="eastAsia"/>
                <w:highlight w:val="none"/>
              </w:rPr>
              <w:t>夜间</w:t>
            </w:r>
          </w:p>
        </w:tc>
        <w:tc>
          <w:tcPr>
            <w:tcW w:w="231" w:type="pct"/>
            <w:vAlign w:val="center"/>
          </w:tcPr>
          <w:p>
            <w:pPr>
              <w:pStyle w:val="1132"/>
              <w:rPr>
                <w:rFonts w:hint="eastAsia"/>
                <w:szCs w:val="21"/>
                <w:highlight w:val="none"/>
              </w:rPr>
            </w:pPr>
            <w:r>
              <w:rPr>
                <w:rFonts w:hint="eastAsia"/>
                <w:szCs w:val="21"/>
                <w:highlight w:val="none"/>
              </w:rPr>
              <w:t>5</w:t>
            </w:r>
            <w:r>
              <w:rPr>
                <w:szCs w:val="21"/>
                <w:highlight w:val="none"/>
              </w:rPr>
              <w:t>0</w:t>
            </w:r>
          </w:p>
        </w:tc>
        <w:tc>
          <w:tcPr>
            <w:tcW w:w="231" w:type="pct"/>
            <w:vAlign w:val="center"/>
          </w:tcPr>
          <w:p>
            <w:pPr>
              <w:pStyle w:val="1132"/>
              <w:rPr>
                <w:rFonts w:eastAsia="等线"/>
                <w:szCs w:val="21"/>
                <w:highlight w:val="none"/>
              </w:rPr>
            </w:pPr>
            <w:r>
              <w:rPr>
                <w:rFonts w:hint="eastAsia"/>
                <w:szCs w:val="21"/>
                <w:highlight w:val="none"/>
                <w:lang w:val="en-US" w:eastAsia="zh-CN"/>
              </w:rPr>
              <w:t>46.4</w:t>
            </w:r>
          </w:p>
        </w:tc>
        <w:tc>
          <w:tcPr>
            <w:tcW w:w="300" w:type="pct"/>
            <w:vAlign w:val="center"/>
          </w:tcPr>
          <w:p>
            <w:pPr>
              <w:pStyle w:val="1132"/>
              <w:rPr>
                <w:rFonts w:eastAsia="等线"/>
                <w:szCs w:val="21"/>
                <w:highlight w:val="none"/>
              </w:rPr>
            </w:pPr>
            <w:r>
              <w:rPr>
                <w:rFonts w:hint="eastAsia" w:eastAsia="等线"/>
                <w:szCs w:val="21"/>
                <w:highlight w:val="none"/>
                <w:lang w:val="en-US" w:eastAsia="zh-CN"/>
              </w:rPr>
              <w:t>44.3</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48.5</w:t>
            </w:r>
          </w:p>
        </w:tc>
        <w:tc>
          <w:tcPr>
            <w:tcW w:w="300"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2.1</w:t>
            </w:r>
          </w:p>
        </w:tc>
        <w:tc>
          <w:tcPr>
            <w:tcW w:w="301" w:type="pct"/>
            <w:vAlign w:val="center"/>
          </w:tcPr>
          <w:p>
            <w:pPr>
              <w:pStyle w:val="1132"/>
              <w:rPr>
                <w:rFonts w:eastAsia="等线"/>
                <w:szCs w:val="21"/>
                <w:highlight w:val="none"/>
              </w:rPr>
            </w:pPr>
            <w:r>
              <w:rPr>
                <w:rFonts w:hint="eastAsia" w:eastAsia="等线"/>
                <w:szCs w:val="21"/>
                <w:highlight w:val="none"/>
                <w:lang w:val="en-US" w:eastAsia="zh-CN"/>
              </w:rPr>
              <w:t>0</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46.0</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49.2</w:t>
            </w:r>
          </w:p>
        </w:tc>
        <w:tc>
          <w:tcPr>
            <w:tcW w:w="278"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2.8</w:t>
            </w:r>
          </w:p>
        </w:tc>
        <w:tc>
          <w:tcPr>
            <w:tcW w:w="278" w:type="pct"/>
            <w:vAlign w:val="center"/>
          </w:tcPr>
          <w:p>
            <w:pPr>
              <w:pStyle w:val="1132"/>
              <w:rPr>
                <w:rFonts w:eastAsia="等线"/>
                <w:szCs w:val="21"/>
                <w:highlight w:val="none"/>
              </w:rPr>
            </w:pPr>
            <w:r>
              <w:rPr>
                <w:rFonts w:hint="eastAsia" w:eastAsia="等线"/>
                <w:szCs w:val="21"/>
                <w:highlight w:val="none"/>
                <w:lang w:val="en-US" w:eastAsia="zh-CN"/>
              </w:rPr>
              <w:t>0</w:t>
            </w:r>
          </w:p>
        </w:tc>
        <w:tc>
          <w:tcPr>
            <w:tcW w:w="287" w:type="pct"/>
            <w:vAlign w:val="center"/>
          </w:tcPr>
          <w:p>
            <w:pPr>
              <w:pStyle w:val="1132"/>
              <w:rPr>
                <w:rFonts w:eastAsia="等线"/>
                <w:szCs w:val="21"/>
                <w:highlight w:val="none"/>
              </w:rPr>
            </w:pPr>
            <w:r>
              <w:rPr>
                <w:rFonts w:hint="eastAsia" w:eastAsia="等线"/>
                <w:szCs w:val="21"/>
                <w:highlight w:val="none"/>
                <w:lang w:val="en-US" w:eastAsia="zh-CN"/>
              </w:rPr>
              <w:t>47.6</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50.1</w:t>
            </w:r>
          </w:p>
        </w:tc>
        <w:tc>
          <w:tcPr>
            <w:tcW w:w="287" w:type="pct"/>
            <w:vAlign w:val="center"/>
          </w:tcPr>
          <w:p>
            <w:pPr>
              <w:pStyle w:val="1132"/>
              <w:rPr>
                <w:rFonts w:hint="default" w:eastAsia="等线"/>
                <w:szCs w:val="21"/>
                <w:highlight w:val="none"/>
                <w:lang w:val="en-US" w:eastAsia="zh-CN"/>
              </w:rPr>
            </w:pPr>
            <w:r>
              <w:rPr>
                <w:rFonts w:hint="eastAsia" w:eastAsia="等线"/>
                <w:szCs w:val="21"/>
                <w:highlight w:val="none"/>
                <w:lang w:val="en-US" w:eastAsia="zh-CN"/>
              </w:rPr>
              <w:t>3.7</w:t>
            </w:r>
          </w:p>
        </w:tc>
        <w:tc>
          <w:tcPr>
            <w:tcW w:w="288" w:type="pct"/>
            <w:gridSpan w:val="2"/>
            <w:vAlign w:val="center"/>
          </w:tcPr>
          <w:p>
            <w:pPr>
              <w:pStyle w:val="1132"/>
              <w:rPr>
                <w:rFonts w:hint="default" w:eastAsia="等线"/>
                <w:szCs w:val="21"/>
                <w:highlight w:val="none"/>
                <w:lang w:val="en-US"/>
              </w:rPr>
            </w:pPr>
            <w:r>
              <w:rPr>
                <w:rFonts w:hint="eastAsia" w:eastAsia="等线"/>
                <w:szCs w:val="21"/>
                <w:highlight w:val="none"/>
                <w:lang w:val="en-US" w:eastAsia="zh-CN"/>
              </w:rPr>
              <w:t>0.1</w:t>
            </w:r>
          </w:p>
        </w:tc>
      </w:tr>
      <w:bookmarkEnd w:id="329"/>
    </w:tbl>
    <w:p>
      <w:pPr>
        <w:ind w:firstLine="480"/>
        <w:rPr>
          <w:color w:val="0070C0"/>
        </w:rPr>
      </w:pPr>
    </w:p>
    <w:p>
      <w:pPr>
        <w:spacing w:line="240" w:lineRule="auto"/>
        <w:ind w:firstLine="420"/>
        <w:jc w:val="left"/>
        <w:rPr>
          <w:color w:val="0070C0"/>
          <w:sz w:val="21"/>
          <w:szCs w:val="21"/>
        </w:rPr>
        <w:sectPr>
          <w:pgSz w:w="16838" w:h="11906" w:orient="landscape"/>
          <w:pgMar w:top="1418" w:right="1418" w:bottom="1418" w:left="1418" w:header="709" w:footer="992" w:gutter="0"/>
          <w:cols w:space="720" w:num="1"/>
          <w:docGrid w:linePitch="312" w:charSpace="0"/>
        </w:sectPr>
      </w:pPr>
    </w:p>
    <w:p>
      <w:pPr>
        <w:pStyle w:val="8"/>
        <w:rPr>
          <w:b/>
          <w:bCs/>
        </w:rPr>
      </w:pPr>
      <w:bookmarkStart w:id="330" w:name="_Toc8486"/>
      <w:r>
        <w:rPr>
          <w:rFonts w:hint="eastAsia"/>
          <w:b/>
          <w:bCs/>
        </w:rPr>
        <w:t>声环境影响评价自查表</w:t>
      </w:r>
      <w:bookmarkEnd w:id="330"/>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13</w:t>
      </w:r>
      <w:r>
        <w:fldChar w:fldCharType="end"/>
      </w:r>
      <w:r>
        <w:t xml:space="preserve">  </w:t>
      </w:r>
      <w:r>
        <w:rPr>
          <w:rFonts w:hint="eastAsia"/>
        </w:rPr>
        <w:t>声环境影响评价自查表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129"/>
        <w:gridCol w:w="1418"/>
        <w:gridCol w:w="1085"/>
        <w:gridCol w:w="474"/>
        <w:gridCol w:w="69"/>
        <w:gridCol w:w="543"/>
        <w:gridCol w:w="331"/>
        <w:gridCol w:w="754"/>
        <w:gridCol w:w="1086"/>
        <w:gridCol w:w="283"/>
        <w:gridCol w:w="259"/>
        <w:gridCol w:w="543"/>
        <w:gridCol w:w="1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547" w:type="dxa"/>
            <w:gridSpan w:val="2"/>
            <w:vAlign w:val="center"/>
          </w:tcPr>
          <w:p>
            <w:pPr>
              <w:pStyle w:val="1132"/>
            </w:pPr>
            <w:r>
              <w:t>工作内容</w:t>
            </w:r>
          </w:p>
        </w:tc>
        <w:tc>
          <w:tcPr>
            <w:tcW w:w="6513" w:type="dxa"/>
            <w:gridSpan w:val="11"/>
            <w:vAlign w:val="center"/>
          </w:tcPr>
          <w:p>
            <w:pPr>
              <w:pStyle w:val="1132"/>
            </w:pPr>
            <w: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restart"/>
            <w:vAlign w:val="center"/>
          </w:tcPr>
          <w:p>
            <w:pPr>
              <w:pStyle w:val="1132"/>
            </w:pPr>
            <w:r>
              <w:t>评价等级与范围</w:t>
            </w:r>
          </w:p>
        </w:tc>
        <w:tc>
          <w:tcPr>
            <w:tcW w:w="1418" w:type="dxa"/>
            <w:vAlign w:val="center"/>
          </w:tcPr>
          <w:p>
            <w:pPr>
              <w:pStyle w:val="1132"/>
            </w:pPr>
            <w:r>
              <w:t>评价等级</w:t>
            </w:r>
          </w:p>
        </w:tc>
        <w:tc>
          <w:tcPr>
            <w:tcW w:w="6513" w:type="dxa"/>
            <w:gridSpan w:val="11"/>
            <w:vAlign w:val="center"/>
          </w:tcPr>
          <w:p>
            <w:pPr>
              <w:pStyle w:val="1132"/>
            </w:pPr>
            <w:r>
              <w:t>一级</w:t>
            </w:r>
            <w:r>
              <w:rPr/>
              <w:sym w:font="Wingdings 2" w:char="F052"/>
            </w:r>
            <w:r>
              <w:t xml:space="preserve">         二级□             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continue"/>
            <w:vAlign w:val="center"/>
          </w:tcPr>
          <w:p>
            <w:pPr>
              <w:pStyle w:val="1132"/>
            </w:pPr>
          </w:p>
        </w:tc>
        <w:tc>
          <w:tcPr>
            <w:tcW w:w="1418" w:type="dxa"/>
            <w:vAlign w:val="center"/>
          </w:tcPr>
          <w:p>
            <w:pPr>
              <w:pStyle w:val="1132"/>
            </w:pPr>
            <w:r>
              <w:t>评价范围</w:t>
            </w:r>
          </w:p>
        </w:tc>
        <w:tc>
          <w:tcPr>
            <w:tcW w:w="6513" w:type="dxa"/>
            <w:gridSpan w:val="11"/>
            <w:vAlign w:val="center"/>
          </w:tcPr>
          <w:p>
            <w:pPr>
              <w:pStyle w:val="1132"/>
            </w:pPr>
            <w:r>
              <w:t>200m</w:t>
            </w:r>
            <w:r>
              <w:rPr/>
              <w:sym w:font="Wingdings 2" w:char="F052"/>
            </w:r>
            <w:r>
              <w:t xml:space="preserve">          大于200m□          小于200m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Align w:val="center"/>
          </w:tcPr>
          <w:p>
            <w:pPr>
              <w:pStyle w:val="1132"/>
            </w:pPr>
            <w:r>
              <w:t>评价因子</w:t>
            </w:r>
          </w:p>
        </w:tc>
        <w:tc>
          <w:tcPr>
            <w:tcW w:w="1418" w:type="dxa"/>
            <w:vAlign w:val="center"/>
          </w:tcPr>
          <w:p>
            <w:pPr>
              <w:pStyle w:val="1132"/>
            </w:pPr>
            <w:r>
              <w:t>评价因子</w:t>
            </w:r>
          </w:p>
        </w:tc>
        <w:tc>
          <w:tcPr>
            <w:tcW w:w="6513" w:type="dxa"/>
            <w:gridSpan w:val="11"/>
            <w:vAlign w:val="center"/>
          </w:tcPr>
          <w:p>
            <w:pPr>
              <w:pStyle w:val="1132"/>
            </w:pPr>
            <w:r>
              <w:t>等效连续A声级</w:t>
            </w:r>
            <w:r>
              <w:rPr/>
              <w:sym w:font="Wingdings 2" w:char="F052"/>
            </w:r>
            <w:r>
              <w:t xml:space="preserve">      最大A声级□         计权等效连续感觉噪声级□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Align w:val="center"/>
          </w:tcPr>
          <w:p>
            <w:pPr>
              <w:pStyle w:val="1132"/>
            </w:pPr>
            <w:r>
              <w:t>评价标准</w:t>
            </w:r>
          </w:p>
        </w:tc>
        <w:tc>
          <w:tcPr>
            <w:tcW w:w="1418" w:type="dxa"/>
            <w:vAlign w:val="center"/>
          </w:tcPr>
          <w:p>
            <w:pPr>
              <w:pStyle w:val="1132"/>
            </w:pPr>
            <w:r>
              <w:t>评价标准</w:t>
            </w:r>
          </w:p>
        </w:tc>
        <w:tc>
          <w:tcPr>
            <w:tcW w:w="6513" w:type="dxa"/>
            <w:gridSpan w:val="11"/>
            <w:vAlign w:val="center"/>
          </w:tcPr>
          <w:p>
            <w:pPr>
              <w:pStyle w:val="1132"/>
            </w:pPr>
            <w:r>
              <w:t>国家标准</w:t>
            </w:r>
            <w:r>
              <w:rPr/>
              <w:sym w:font="Wingdings 2" w:char="F052"/>
            </w:r>
            <w:r>
              <w:t xml:space="preserve">          地方标准□         国外标准□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restart"/>
            <w:vAlign w:val="center"/>
          </w:tcPr>
          <w:p>
            <w:pPr>
              <w:pStyle w:val="1132"/>
            </w:pPr>
            <w:r>
              <w:t>现状评价</w:t>
            </w:r>
          </w:p>
        </w:tc>
        <w:tc>
          <w:tcPr>
            <w:tcW w:w="1418" w:type="dxa"/>
            <w:vAlign w:val="center"/>
          </w:tcPr>
          <w:p>
            <w:pPr>
              <w:pStyle w:val="1132"/>
            </w:pPr>
            <w:r>
              <w:t>环境功能区</w:t>
            </w:r>
          </w:p>
        </w:tc>
        <w:tc>
          <w:tcPr>
            <w:tcW w:w="1085" w:type="dxa"/>
            <w:vAlign w:val="center"/>
          </w:tcPr>
          <w:p>
            <w:pPr>
              <w:pStyle w:val="1132"/>
            </w:pPr>
            <w:r>
              <w:t>0类区□</w:t>
            </w:r>
          </w:p>
        </w:tc>
        <w:tc>
          <w:tcPr>
            <w:tcW w:w="1086" w:type="dxa"/>
            <w:gridSpan w:val="3"/>
            <w:vAlign w:val="center"/>
          </w:tcPr>
          <w:p>
            <w:pPr>
              <w:pStyle w:val="1132"/>
            </w:pPr>
            <w:r>
              <w:t>1类区□</w:t>
            </w:r>
          </w:p>
        </w:tc>
        <w:tc>
          <w:tcPr>
            <w:tcW w:w="1085" w:type="dxa"/>
            <w:gridSpan w:val="2"/>
            <w:vAlign w:val="center"/>
          </w:tcPr>
          <w:p>
            <w:pPr>
              <w:pStyle w:val="1132"/>
            </w:pPr>
            <w:r>
              <w:t>2类区</w:t>
            </w:r>
            <w:r>
              <w:rPr/>
              <w:sym w:font="Wingdings 2" w:char="F052"/>
            </w:r>
          </w:p>
        </w:tc>
        <w:tc>
          <w:tcPr>
            <w:tcW w:w="1086" w:type="dxa"/>
            <w:vAlign w:val="center"/>
          </w:tcPr>
          <w:p>
            <w:pPr>
              <w:pStyle w:val="1132"/>
            </w:pPr>
            <w:r>
              <w:t>3类区□</w:t>
            </w:r>
          </w:p>
        </w:tc>
        <w:tc>
          <w:tcPr>
            <w:tcW w:w="1085" w:type="dxa"/>
            <w:gridSpan w:val="3"/>
            <w:vAlign w:val="center"/>
          </w:tcPr>
          <w:p>
            <w:pPr>
              <w:pStyle w:val="1132"/>
            </w:pPr>
            <w:r>
              <w:t>4a类区</w:t>
            </w:r>
            <w:r>
              <w:rPr/>
              <w:sym w:font="Wingdings 2" w:char="F052"/>
            </w:r>
          </w:p>
        </w:tc>
        <w:tc>
          <w:tcPr>
            <w:tcW w:w="1086" w:type="dxa"/>
            <w:vAlign w:val="center"/>
          </w:tcPr>
          <w:p>
            <w:pPr>
              <w:pStyle w:val="1132"/>
            </w:pPr>
            <w:r>
              <w:t>4b类区□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continue"/>
            <w:vAlign w:val="center"/>
          </w:tcPr>
          <w:p>
            <w:pPr>
              <w:pStyle w:val="1132"/>
            </w:pPr>
          </w:p>
        </w:tc>
        <w:tc>
          <w:tcPr>
            <w:tcW w:w="1418" w:type="dxa"/>
            <w:vAlign w:val="center"/>
          </w:tcPr>
          <w:p>
            <w:pPr>
              <w:pStyle w:val="1132"/>
            </w:pPr>
            <w:r>
              <w:t>评价年度</w:t>
            </w:r>
          </w:p>
        </w:tc>
        <w:tc>
          <w:tcPr>
            <w:tcW w:w="1628" w:type="dxa"/>
            <w:gridSpan w:val="3"/>
            <w:vAlign w:val="center"/>
          </w:tcPr>
          <w:p>
            <w:pPr>
              <w:pStyle w:val="1132"/>
            </w:pPr>
            <w:r>
              <w:t>初期</w:t>
            </w:r>
            <w:r>
              <w:rPr/>
              <w:sym w:font="Wingdings 2" w:char="F052"/>
            </w:r>
          </w:p>
        </w:tc>
        <w:tc>
          <w:tcPr>
            <w:tcW w:w="1628" w:type="dxa"/>
            <w:gridSpan w:val="3"/>
            <w:vAlign w:val="center"/>
          </w:tcPr>
          <w:p>
            <w:pPr>
              <w:pStyle w:val="1132"/>
            </w:pPr>
            <w:r>
              <w:t>近期□</w:t>
            </w:r>
          </w:p>
        </w:tc>
        <w:tc>
          <w:tcPr>
            <w:tcW w:w="1628" w:type="dxa"/>
            <w:gridSpan w:val="3"/>
            <w:vAlign w:val="center"/>
          </w:tcPr>
          <w:p>
            <w:pPr>
              <w:pStyle w:val="1132"/>
            </w:pPr>
            <w:r>
              <w:t>中期□</w:t>
            </w:r>
          </w:p>
        </w:tc>
        <w:tc>
          <w:tcPr>
            <w:tcW w:w="1629" w:type="dxa"/>
            <w:gridSpan w:val="2"/>
            <w:vAlign w:val="center"/>
          </w:tcPr>
          <w:p>
            <w:pPr>
              <w:pStyle w:val="1132"/>
            </w:pPr>
            <w: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continue"/>
            <w:vAlign w:val="center"/>
          </w:tcPr>
          <w:p>
            <w:pPr>
              <w:pStyle w:val="1132"/>
            </w:pPr>
          </w:p>
        </w:tc>
        <w:tc>
          <w:tcPr>
            <w:tcW w:w="1418" w:type="dxa"/>
            <w:vAlign w:val="center"/>
          </w:tcPr>
          <w:p>
            <w:pPr>
              <w:pStyle w:val="1132"/>
            </w:pPr>
            <w:r>
              <w:t>现状调查方法</w:t>
            </w:r>
          </w:p>
        </w:tc>
        <w:tc>
          <w:tcPr>
            <w:tcW w:w="6513" w:type="dxa"/>
            <w:gridSpan w:val="11"/>
            <w:vAlign w:val="center"/>
          </w:tcPr>
          <w:p>
            <w:pPr>
              <w:pStyle w:val="1132"/>
            </w:pPr>
            <w:r>
              <w:t>现场实测法</w:t>
            </w:r>
            <w:r>
              <w:rPr/>
              <w:sym w:font="Wingdings 2" w:char="F052"/>
            </w:r>
            <w:r>
              <w:t xml:space="preserve">        现场实测加模型计算法□         收集资料□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continue"/>
            <w:vAlign w:val="center"/>
          </w:tcPr>
          <w:p>
            <w:pPr>
              <w:pStyle w:val="1132"/>
            </w:pPr>
          </w:p>
        </w:tc>
        <w:tc>
          <w:tcPr>
            <w:tcW w:w="1418" w:type="dxa"/>
            <w:vAlign w:val="center"/>
          </w:tcPr>
          <w:p>
            <w:pPr>
              <w:pStyle w:val="1132"/>
            </w:pPr>
            <w:r>
              <w:t>现状评价</w:t>
            </w:r>
          </w:p>
        </w:tc>
        <w:tc>
          <w:tcPr>
            <w:tcW w:w="1559" w:type="dxa"/>
            <w:gridSpan w:val="2"/>
            <w:vAlign w:val="center"/>
          </w:tcPr>
          <w:p>
            <w:pPr>
              <w:pStyle w:val="1132"/>
            </w:pPr>
            <w:r>
              <w:t>达标百分比</w:t>
            </w:r>
          </w:p>
        </w:tc>
        <w:tc>
          <w:tcPr>
            <w:tcW w:w="4954" w:type="dxa"/>
            <w:gridSpan w:val="9"/>
            <w:vAlign w:val="center"/>
          </w:tcPr>
          <w:p>
            <w:pPr>
              <w:pStyle w:val="1132"/>
            </w:pPr>
            <w:r>
              <w:rPr>
                <w:rFonts w:hint="eastAsia"/>
              </w:rPr>
              <w:t>1</w:t>
            </w:r>
            <w:r>
              <w:t>00</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Align w:val="center"/>
          </w:tcPr>
          <w:p>
            <w:pPr>
              <w:pStyle w:val="1132"/>
            </w:pPr>
            <w:r>
              <w:t>噪声源调查方法</w:t>
            </w:r>
          </w:p>
        </w:tc>
        <w:tc>
          <w:tcPr>
            <w:tcW w:w="1418" w:type="dxa"/>
            <w:vAlign w:val="center"/>
          </w:tcPr>
          <w:p>
            <w:pPr>
              <w:pStyle w:val="1132"/>
            </w:pPr>
            <w:r>
              <w:t>噪声源调查方法</w:t>
            </w:r>
          </w:p>
        </w:tc>
        <w:tc>
          <w:tcPr>
            <w:tcW w:w="6513" w:type="dxa"/>
            <w:gridSpan w:val="11"/>
            <w:vAlign w:val="center"/>
          </w:tcPr>
          <w:p>
            <w:pPr>
              <w:pStyle w:val="1132"/>
            </w:pPr>
            <w:r>
              <w:t>现场实测</w:t>
            </w:r>
            <w:r>
              <w:rPr/>
              <w:sym w:font="Wingdings 2" w:char="F052"/>
            </w:r>
            <w:r>
              <w:t xml:space="preserve">          已有资料□             研究成果□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restart"/>
            <w:vAlign w:val="center"/>
          </w:tcPr>
          <w:p>
            <w:pPr>
              <w:pStyle w:val="1132"/>
            </w:pPr>
            <w:r>
              <w:t>声环境影响预测与评价</w:t>
            </w:r>
          </w:p>
        </w:tc>
        <w:tc>
          <w:tcPr>
            <w:tcW w:w="1418" w:type="dxa"/>
            <w:vAlign w:val="center"/>
          </w:tcPr>
          <w:p>
            <w:pPr>
              <w:pStyle w:val="1132"/>
            </w:pPr>
            <w:r>
              <w:t>预测模型</w:t>
            </w:r>
          </w:p>
        </w:tc>
        <w:tc>
          <w:tcPr>
            <w:tcW w:w="6513" w:type="dxa"/>
            <w:gridSpan w:val="11"/>
            <w:vAlign w:val="center"/>
          </w:tcPr>
          <w:p>
            <w:pPr>
              <w:pStyle w:val="1132"/>
            </w:pPr>
            <w:r>
              <w:t>导则推荐模型</w:t>
            </w:r>
            <w:r>
              <w:rPr/>
              <w:sym w:font="Wingdings 2" w:char="F052"/>
            </w:r>
            <w:r>
              <w:t xml:space="preserve">                                             其他□______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continue"/>
            <w:vAlign w:val="center"/>
          </w:tcPr>
          <w:p>
            <w:pPr>
              <w:pStyle w:val="1132"/>
            </w:pPr>
          </w:p>
        </w:tc>
        <w:tc>
          <w:tcPr>
            <w:tcW w:w="1418" w:type="dxa"/>
            <w:vAlign w:val="center"/>
          </w:tcPr>
          <w:p>
            <w:pPr>
              <w:pStyle w:val="1132"/>
            </w:pPr>
            <w:r>
              <w:t>预测范围</w:t>
            </w:r>
          </w:p>
        </w:tc>
        <w:tc>
          <w:tcPr>
            <w:tcW w:w="6513" w:type="dxa"/>
            <w:gridSpan w:val="11"/>
            <w:vAlign w:val="center"/>
          </w:tcPr>
          <w:p>
            <w:pPr>
              <w:pStyle w:val="1132"/>
            </w:pPr>
            <w:r>
              <w:t>200m</w:t>
            </w:r>
            <w:r>
              <w:rPr/>
              <w:sym w:font="Wingdings 2" w:char="F052"/>
            </w:r>
            <w:r>
              <w:t xml:space="preserve">          大于200m□          小于200m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continue"/>
            <w:vAlign w:val="center"/>
          </w:tcPr>
          <w:p>
            <w:pPr>
              <w:pStyle w:val="1132"/>
            </w:pPr>
          </w:p>
        </w:tc>
        <w:tc>
          <w:tcPr>
            <w:tcW w:w="1418" w:type="dxa"/>
            <w:vAlign w:val="center"/>
          </w:tcPr>
          <w:p>
            <w:pPr>
              <w:pStyle w:val="1132"/>
            </w:pPr>
            <w:r>
              <w:t>预测因子</w:t>
            </w:r>
          </w:p>
        </w:tc>
        <w:tc>
          <w:tcPr>
            <w:tcW w:w="6513" w:type="dxa"/>
            <w:gridSpan w:val="11"/>
            <w:vAlign w:val="center"/>
          </w:tcPr>
          <w:p>
            <w:pPr>
              <w:pStyle w:val="1132"/>
            </w:pPr>
            <w:r>
              <w:t>等效连续A声级</w:t>
            </w:r>
            <w:r>
              <w:rPr/>
              <w:sym w:font="Wingdings 2" w:char="F052"/>
            </w:r>
            <w:r>
              <w:t xml:space="preserve">         最大A声级□         计权等效连续感觉噪声级□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continue"/>
            <w:vAlign w:val="center"/>
          </w:tcPr>
          <w:p>
            <w:pPr>
              <w:pStyle w:val="1132"/>
            </w:pPr>
          </w:p>
        </w:tc>
        <w:tc>
          <w:tcPr>
            <w:tcW w:w="1418" w:type="dxa"/>
            <w:vAlign w:val="center"/>
          </w:tcPr>
          <w:p>
            <w:pPr>
              <w:pStyle w:val="1132"/>
            </w:pPr>
            <w:r>
              <w:t>厂界噪声贡献值</w:t>
            </w:r>
          </w:p>
        </w:tc>
        <w:tc>
          <w:tcPr>
            <w:tcW w:w="6513" w:type="dxa"/>
            <w:gridSpan w:val="11"/>
            <w:vAlign w:val="center"/>
          </w:tcPr>
          <w:p>
            <w:pPr>
              <w:pStyle w:val="1132"/>
            </w:pPr>
            <w:r>
              <w:t>达标□                                     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continue"/>
            <w:vAlign w:val="center"/>
          </w:tcPr>
          <w:p>
            <w:pPr>
              <w:pStyle w:val="1132"/>
            </w:pPr>
          </w:p>
        </w:tc>
        <w:tc>
          <w:tcPr>
            <w:tcW w:w="1418" w:type="dxa"/>
            <w:vAlign w:val="center"/>
          </w:tcPr>
          <w:p>
            <w:pPr>
              <w:pStyle w:val="1132"/>
            </w:pPr>
            <w:r>
              <w:t>声环境保护目标处噪声值</w:t>
            </w:r>
          </w:p>
        </w:tc>
        <w:tc>
          <w:tcPr>
            <w:tcW w:w="6513" w:type="dxa"/>
            <w:gridSpan w:val="11"/>
            <w:vAlign w:val="center"/>
          </w:tcPr>
          <w:p>
            <w:pPr>
              <w:pStyle w:val="1132"/>
            </w:pPr>
            <w:r>
              <w:t>达标□                                    不达标</w:t>
            </w:r>
            <w:r>
              <w:rPr/>
              <w:sym w:font="Wingdings 2" w:char="F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restart"/>
            <w:vAlign w:val="center"/>
          </w:tcPr>
          <w:p>
            <w:pPr>
              <w:pStyle w:val="1132"/>
            </w:pPr>
            <w:r>
              <w:t>环境监测计划</w:t>
            </w:r>
          </w:p>
        </w:tc>
        <w:tc>
          <w:tcPr>
            <w:tcW w:w="1418" w:type="dxa"/>
            <w:vAlign w:val="center"/>
          </w:tcPr>
          <w:p>
            <w:pPr>
              <w:pStyle w:val="1132"/>
            </w:pPr>
            <w:r>
              <w:t>排放监测</w:t>
            </w:r>
          </w:p>
        </w:tc>
        <w:tc>
          <w:tcPr>
            <w:tcW w:w="6513" w:type="dxa"/>
            <w:gridSpan w:val="11"/>
            <w:vAlign w:val="center"/>
          </w:tcPr>
          <w:p>
            <w:pPr>
              <w:pStyle w:val="1132"/>
            </w:pPr>
            <w:r>
              <w:t>厂界监测□      固定位置监测□      自动监测□     手动监测</w:t>
            </w:r>
            <w:r>
              <w:rPr/>
              <w:sym w:font="Wingdings 2" w:char="F052"/>
            </w:r>
            <w:r>
              <w:t xml:space="preserve">     无检测□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Merge w:val="continue"/>
            <w:vAlign w:val="center"/>
          </w:tcPr>
          <w:p>
            <w:pPr>
              <w:pStyle w:val="1132"/>
            </w:pPr>
          </w:p>
        </w:tc>
        <w:tc>
          <w:tcPr>
            <w:tcW w:w="1418" w:type="dxa"/>
            <w:vAlign w:val="center"/>
          </w:tcPr>
          <w:p>
            <w:pPr>
              <w:pStyle w:val="1132"/>
            </w:pPr>
            <w:r>
              <w:t>声环境保护目标处监测</w:t>
            </w:r>
          </w:p>
        </w:tc>
        <w:tc>
          <w:tcPr>
            <w:tcW w:w="2502" w:type="dxa"/>
            <w:gridSpan w:val="5"/>
            <w:vAlign w:val="center"/>
          </w:tcPr>
          <w:p>
            <w:pPr>
              <w:pStyle w:val="1132"/>
            </w:pPr>
            <w:r>
              <w:rPr>
                <w:rFonts w:hint="eastAsia"/>
              </w:rPr>
              <w:t>监测因子：（等效连续A声级）</w:t>
            </w:r>
          </w:p>
        </w:tc>
        <w:tc>
          <w:tcPr>
            <w:tcW w:w="2123" w:type="dxa"/>
            <w:gridSpan w:val="3"/>
            <w:vAlign w:val="center"/>
          </w:tcPr>
          <w:p>
            <w:pPr>
              <w:pStyle w:val="1132"/>
            </w:pPr>
            <w:r>
              <w:rPr>
                <w:rFonts w:hint="eastAsia"/>
              </w:rPr>
              <w:t>监测点位数（</w:t>
            </w:r>
            <w:r>
              <w:t>9</w:t>
            </w:r>
            <w:r>
              <w:rPr>
                <w:rFonts w:hint="eastAsia"/>
              </w:rPr>
              <w:t>）</w:t>
            </w:r>
          </w:p>
        </w:tc>
        <w:tc>
          <w:tcPr>
            <w:tcW w:w="1888" w:type="dxa"/>
            <w:gridSpan w:val="3"/>
            <w:vAlign w:val="center"/>
          </w:tcPr>
          <w:p>
            <w:pPr>
              <w:pStyle w:val="1132"/>
            </w:pPr>
            <w:r>
              <w:rPr>
                <w:rFonts w:hint="eastAsia" w:ascii="Times New Roman" w:hAnsi="Times New Roman" w:eastAsia="宋体" w:cs="Times New Roman"/>
                <w:b w:val="0"/>
                <w:bCs w:val="0"/>
                <w:color w:val="auto"/>
                <w:kern w:val="2"/>
                <w:sz w:val="21"/>
                <w:szCs w:val="21"/>
                <w:vertAlign w:val="baseline"/>
                <w:lang w:val="en-US" w:eastAsia="zh-CN" w:bidi="ar-SA"/>
              </w:rPr>
              <w:t xml:space="preserve">无监测 </w:t>
            </w:r>
            <w:r>
              <w:rPr>
                <w:rFonts w:hint="eastAsia" w:ascii="Times New Roman" w:hAnsi="Times New Roman" w:eastAsia="宋体" w:cs="Times New Roman"/>
                <w:b w:val="0"/>
                <w:bCs w:val="0"/>
                <w:color w:val="auto"/>
                <w:kern w:val="2"/>
                <w:sz w:val="21"/>
                <w:szCs w:val="21"/>
                <w:vertAlign w:val="baseline"/>
                <w:lang w:val="en-US" w:eastAsia="zh-CN" w:bidi="ar-SA"/>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129" w:type="dxa"/>
            <w:vAlign w:val="center"/>
          </w:tcPr>
          <w:p>
            <w:pPr>
              <w:pStyle w:val="1132"/>
            </w:pPr>
            <w:r>
              <w:t>评价结论</w:t>
            </w:r>
          </w:p>
        </w:tc>
        <w:tc>
          <w:tcPr>
            <w:tcW w:w="1418" w:type="dxa"/>
            <w:vAlign w:val="center"/>
          </w:tcPr>
          <w:p>
            <w:pPr>
              <w:pStyle w:val="1132"/>
            </w:pPr>
            <w:r>
              <w:t>环境影响</w:t>
            </w:r>
          </w:p>
        </w:tc>
        <w:tc>
          <w:tcPr>
            <w:tcW w:w="6513" w:type="dxa"/>
            <w:gridSpan w:val="11"/>
            <w:vAlign w:val="center"/>
          </w:tcPr>
          <w:p>
            <w:pPr>
              <w:pStyle w:val="1132"/>
            </w:pPr>
            <w:r>
              <w:t>可行</w:t>
            </w:r>
            <w:r>
              <w:rPr/>
              <w:sym w:font="Wingdings 2" w:char="F052"/>
            </w:r>
            <w:r>
              <w:t xml:space="preserve">            不可行□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060" w:type="dxa"/>
            <w:gridSpan w:val="13"/>
            <w:vAlign w:val="center"/>
          </w:tcPr>
          <w:p>
            <w:pPr>
              <w:pStyle w:val="1132"/>
            </w:pPr>
            <w:r>
              <w:t>注：“□”为勾选项，可√；“（    ）”为内容填写项。</w:t>
            </w:r>
          </w:p>
        </w:tc>
      </w:tr>
      <w:bookmarkEnd w:id="320"/>
    </w:tbl>
    <w:p>
      <w:pPr>
        <w:pStyle w:val="7"/>
        <w:rPr>
          <w:b/>
          <w:bCs/>
          <w:sz w:val="28"/>
          <w:szCs w:val="28"/>
        </w:rPr>
      </w:pPr>
      <w:bookmarkStart w:id="331" w:name="_Toc889"/>
      <w:bookmarkStart w:id="332" w:name="_Toc27757"/>
      <w:r>
        <w:rPr>
          <w:b/>
          <w:bCs/>
          <w:sz w:val="28"/>
          <w:szCs w:val="28"/>
        </w:rPr>
        <w:t>大气环境影响分析</w:t>
      </w:r>
      <w:bookmarkEnd w:id="220"/>
      <w:bookmarkEnd w:id="221"/>
      <w:bookmarkEnd w:id="331"/>
      <w:bookmarkEnd w:id="332"/>
    </w:p>
    <w:p>
      <w:pPr>
        <w:pStyle w:val="8"/>
        <w:rPr>
          <w:b/>
          <w:bCs/>
        </w:rPr>
      </w:pPr>
      <w:bookmarkStart w:id="333" w:name="_Toc5948"/>
      <w:r>
        <w:rPr>
          <w:b/>
          <w:bCs/>
        </w:rPr>
        <w:t>施工期</w:t>
      </w:r>
      <w:bookmarkEnd w:id="333"/>
    </w:p>
    <w:p>
      <w:pPr>
        <w:pStyle w:val="9"/>
      </w:pPr>
      <w:bookmarkStart w:id="334" w:name="_Toc14448"/>
      <w:bookmarkStart w:id="335" w:name="_Toc109205225"/>
      <w:r>
        <w:t>施工作业扬尘污染影响分析</w:t>
      </w:r>
      <w:bookmarkEnd w:id="334"/>
    </w:p>
    <w:p>
      <w:pPr>
        <w:pStyle w:val="10"/>
        <w:ind w:firstLine="480"/>
        <w:rPr>
          <w:rStyle w:val="113"/>
        </w:rPr>
      </w:pPr>
      <w:r>
        <w:rPr>
          <w:rStyle w:val="113"/>
        </w:rPr>
        <w:t>（1）施工扬尘</w:t>
      </w:r>
    </w:p>
    <w:p>
      <w:pPr>
        <w:pStyle w:val="10"/>
        <w:ind w:firstLine="480"/>
      </w:pPr>
      <w:r>
        <w:t>施工作业产生的扬尘强弱与施工现场条件、施工方式、施工设备及施工季节、气象条件以及建设地区土质等诸多因素有关，而采取适当的施工防护措施是控制扬尘污染的重要途径。由于影响因素众多，故扬尘强弱难以确定，本次评价采用类比的方法，根据监测数据类比分析本项目施工过程中的扬尘影响情况。有关研究单位对多个施工工地的扬尘进行现场监测的结果见表5.2-1。</w:t>
      </w:r>
    </w:p>
    <w:p>
      <w:pPr>
        <w:pStyle w:val="19"/>
      </w:pPr>
      <w:r>
        <w:t xml:space="preserve">表 </w:t>
      </w:r>
      <w:r>
        <w:fldChar w:fldCharType="begin"/>
      </w:r>
      <w:r>
        <w:instrText xml:space="preserve"> STYLEREF 2 \s </w:instrText>
      </w:r>
      <w:r>
        <w:fldChar w:fldCharType="separate"/>
      </w:r>
      <w:r>
        <w:t>5.2</w:t>
      </w:r>
      <w:r>
        <w:fldChar w:fldCharType="end"/>
      </w:r>
      <w:r>
        <w:noBreakHyphen/>
      </w:r>
      <w:r>
        <w:fldChar w:fldCharType="begin"/>
      </w:r>
      <w:r>
        <w:instrText xml:space="preserve"> SEQ 表 \* ARABIC \s 2 </w:instrText>
      </w:r>
      <w:r>
        <w:fldChar w:fldCharType="separate"/>
      </w:r>
      <w:r>
        <w:t>1</w:t>
      </w:r>
      <w:r>
        <w:fldChar w:fldCharType="end"/>
      </w:r>
      <w:r>
        <w:rPr>
          <w:rStyle w:val="1176"/>
          <w:b/>
          <w:kern w:val="0"/>
          <w:szCs w:val="20"/>
        </w:rPr>
        <w:t xml:space="preserve">  建筑施工工地扬尘污染监测结果</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4"/>
        <w:gridCol w:w="1363"/>
        <w:gridCol w:w="897"/>
        <w:gridCol w:w="975"/>
        <w:gridCol w:w="1112"/>
        <w:gridCol w:w="1112"/>
        <w:gridCol w:w="1077"/>
        <w:gridCol w:w="1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92" w:type="pct"/>
            <w:vMerge w:val="restart"/>
            <w:tcBorders>
              <w:tl2br w:val="nil"/>
              <w:tr2bl w:val="nil"/>
            </w:tcBorders>
            <w:vAlign w:val="center"/>
          </w:tcPr>
          <w:p>
            <w:pPr>
              <w:pStyle w:val="1132"/>
            </w:pPr>
            <w:r>
              <w:t>工程名称</w:t>
            </w:r>
          </w:p>
        </w:tc>
        <w:tc>
          <w:tcPr>
            <w:tcW w:w="734" w:type="pct"/>
            <w:vMerge w:val="restart"/>
            <w:tcBorders>
              <w:tl2br w:val="nil"/>
              <w:tr2bl w:val="nil"/>
            </w:tcBorders>
            <w:vAlign w:val="center"/>
          </w:tcPr>
          <w:p>
            <w:pPr>
              <w:pStyle w:val="1132"/>
            </w:pPr>
            <w:r>
              <w:t>围栏情况</w:t>
            </w:r>
          </w:p>
        </w:tc>
        <w:tc>
          <w:tcPr>
            <w:tcW w:w="3774" w:type="pct"/>
            <w:gridSpan w:val="6"/>
            <w:tcBorders>
              <w:tl2br w:val="nil"/>
              <w:tr2bl w:val="nil"/>
            </w:tcBorders>
            <w:vAlign w:val="center"/>
          </w:tcPr>
          <w:p>
            <w:pPr>
              <w:pStyle w:val="1132"/>
            </w:pPr>
            <w:r>
              <w:t>TSP浓度（μg/m</w:t>
            </w:r>
            <w:r>
              <w:rPr>
                <w:vertAlign w:val="superscript"/>
              </w:rPr>
              <w:t>3</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92" w:type="pct"/>
            <w:vMerge w:val="continue"/>
            <w:tcBorders>
              <w:tl2br w:val="nil"/>
              <w:tr2bl w:val="nil"/>
            </w:tcBorders>
            <w:vAlign w:val="center"/>
          </w:tcPr>
          <w:p>
            <w:pPr>
              <w:pStyle w:val="1132"/>
              <w:rPr>
                <w:b/>
              </w:rPr>
            </w:pPr>
          </w:p>
        </w:tc>
        <w:tc>
          <w:tcPr>
            <w:tcW w:w="734" w:type="pct"/>
            <w:vMerge w:val="continue"/>
            <w:tcBorders>
              <w:tl2br w:val="nil"/>
              <w:tr2bl w:val="nil"/>
            </w:tcBorders>
            <w:vAlign w:val="center"/>
          </w:tcPr>
          <w:p>
            <w:pPr>
              <w:pStyle w:val="1132"/>
              <w:rPr>
                <w:b/>
              </w:rPr>
            </w:pPr>
          </w:p>
        </w:tc>
        <w:tc>
          <w:tcPr>
            <w:tcW w:w="3774" w:type="pct"/>
            <w:gridSpan w:val="6"/>
            <w:tcBorders>
              <w:tl2br w:val="nil"/>
              <w:tr2bl w:val="nil"/>
            </w:tcBorders>
            <w:vAlign w:val="center"/>
          </w:tcPr>
          <w:p>
            <w:pPr>
              <w:pStyle w:val="1132"/>
              <w:rPr>
                <w:b/>
              </w:rPr>
            </w:pPr>
            <w:r>
              <w:t>工地下风向距离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92" w:type="pct"/>
            <w:vMerge w:val="continue"/>
            <w:tcBorders>
              <w:tl2br w:val="nil"/>
              <w:tr2bl w:val="nil"/>
            </w:tcBorders>
            <w:vAlign w:val="center"/>
          </w:tcPr>
          <w:p>
            <w:pPr>
              <w:pStyle w:val="1132"/>
              <w:rPr>
                <w:b/>
              </w:rPr>
            </w:pPr>
          </w:p>
        </w:tc>
        <w:tc>
          <w:tcPr>
            <w:tcW w:w="734" w:type="pct"/>
            <w:vMerge w:val="continue"/>
            <w:tcBorders>
              <w:tl2br w:val="nil"/>
              <w:tr2bl w:val="nil"/>
            </w:tcBorders>
            <w:vAlign w:val="center"/>
          </w:tcPr>
          <w:p>
            <w:pPr>
              <w:pStyle w:val="1132"/>
              <w:rPr>
                <w:b/>
              </w:rPr>
            </w:pPr>
          </w:p>
        </w:tc>
        <w:tc>
          <w:tcPr>
            <w:tcW w:w="483" w:type="pct"/>
            <w:tcBorders>
              <w:tl2br w:val="nil"/>
              <w:tr2bl w:val="nil"/>
            </w:tcBorders>
            <w:vAlign w:val="center"/>
          </w:tcPr>
          <w:p>
            <w:pPr>
              <w:pStyle w:val="1132"/>
              <w:rPr>
                <w:b/>
              </w:rPr>
            </w:pPr>
            <w:r>
              <w:t>20m</w:t>
            </w:r>
          </w:p>
        </w:tc>
        <w:tc>
          <w:tcPr>
            <w:tcW w:w="525" w:type="pct"/>
            <w:tcBorders>
              <w:tl2br w:val="nil"/>
              <w:tr2bl w:val="nil"/>
            </w:tcBorders>
            <w:vAlign w:val="center"/>
          </w:tcPr>
          <w:p>
            <w:pPr>
              <w:pStyle w:val="1132"/>
              <w:rPr>
                <w:b/>
              </w:rPr>
            </w:pPr>
            <w:r>
              <w:t>50m</w:t>
            </w:r>
          </w:p>
        </w:tc>
        <w:tc>
          <w:tcPr>
            <w:tcW w:w="599" w:type="pct"/>
            <w:tcBorders>
              <w:tl2br w:val="nil"/>
              <w:tr2bl w:val="nil"/>
            </w:tcBorders>
            <w:vAlign w:val="center"/>
          </w:tcPr>
          <w:p>
            <w:pPr>
              <w:pStyle w:val="1132"/>
              <w:rPr>
                <w:b/>
              </w:rPr>
            </w:pPr>
            <w:r>
              <w:t>100m</w:t>
            </w:r>
          </w:p>
        </w:tc>
        <w:tc>
          <w:tcPr>
            <w:tcW w:w="599" w:type="pct"/>
            <w:tcBorders>
              <w:tl2br w:val="nil"/>
              <w:tr2bl w:val="nil"/>
            </w:tcBorders>
            <w:vAlign w:val="center"/>
          </w:tcPr>
          <w:p>
            <w:pPr>
              <w:pStyle w:val="1132"/>
              <w:rPr>
                <w:b/>
              </w:rPr>
            </w:pPr>
            <w:r>
              <w:t>150m</w:t>
            </w:r>
          </w:p>
        </w:tc>
        <w:tc>
          <w:tcPr>
            <w:tcW w:w="580" w:type="pct"/>
            <w:tcBorders>
              <w:tl2br w:val="nil"/>
              <w:tr2bl w:val="nil"/>
            </w:tcBorders>
            <w:vAlign w:val="center"/>
          </w:tcPr>
          <w:p>
            <w:pPr>
              <w:pStyle w:val="1132"/>
              <w:rPr>
                <w:b/>
              </w:rPr>
            </w:pPr>
            <w:r>
              <w:t>200m</w:t>
            </w:r>
          </w:p>
        </w:tc>
        <w:tc>
          <w:tcPr>
            <w:tcW w:w="988" w:type="pct"/>
            <w:tcBorders>
              <w:tl2br w:val="nil"/>
              <w:tr2bl w:val="nil"/>
            </w:tcBorders>
            <w:vAlign w:val="center"/>
          </w:tcPr>
          <w:p>
            <w:pPr>
              <w:pStyle w:val="1132"/>
              <w:rPr>
                <w:b/>
              </w:rPr>
            </w:pPr>
            <w:r>
              <w:t>上风向对照点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92" w:type="pct"/>
            <w:vMerge w:val="restart"/>
            <w:tcBorders>
              <w:tl2br w:val="nil"/>
              <w:tr2bl w:val="nil"/>
            </w:tcBorders>
            <w:vAlign w:val="center"/>
          </w:tcPr>
          <w:p>
            <w:pPr>
              <w:pStyle w:val="1132"/>
              <w:rPr>
                <w:b/>
              </w:rPr>
            </w:pPr>
            <w:r>
              <w:t>现场</w:t>
            </w:r>
          </w:p>
        </w:tc>
        <w:tc>
          <w:tcPr>
            <w:tcW w:w="734" w:type="pct"/>
            <w:tcBorders>
              <w:tl2br w:val="nil"/>
              <w:tr2bl w:val="nil"/>
            </w:tcBorders>
            <w:vAlign w:val="center"/>
          </w:tcPr>
          <w:p>
            <w:pPr>
              <w:pStyle w:val="1132"/>
              <w:rPr>
                <w:b/>
              </w:rPr>
            </w:pPr>
            <w:r>
              <w:t>无</w:t>
            </w:r>
          </w:p>
        </w:tc>
        <w:tc>
          <w:tcPr>
            <w:tcW w:w="483" w:type="pct"/>
            <w:tcBorders>
              <w:tl2br w:val="nil"/>
              <w:tr2bl w:val="nil"/>
            </w:tcBorders>
            <w:vAlign w:val="center"/>
          </w:tcPr>
          <w:p>
            <w:pPr>
              <w:pStyle w:val="1132"/>
              <w:rPr>
                <w:b/>
              </w:rPr>
            </w:pPr>
            <w:r>
              <w:t>1540</w:t>
            </w:r>
          </w:p>
        </w:tc>
        <w:tc>
          <w:tcPr>
            <w:tcW w:w="525" w:type="pct"/>
            <w:tcBorders>
              <w:tl2br w:val="nil"/>
              <w:tr2bl w:val="nil"/>
            </w:tcBorders>
            <w:vAlign w:val="center"/>
          </w:tcPr>
          <w:p>
            <w:pPr>
              <w:pStyle w:val="1132"/>
              <w:rPr>
                <w:b/>
              </w:rPr>
            </w:pPr>
            <w:r>
              <w:t>891</w:t>
            </w:r>
          </w:p>
        </w:tc>
        <w:tc>
          <w:tcPr>
            <w:tcW w:w="599" w:type="pct"/>
            <w:tcBorders>
              <w:tl2br w:val="nil"/>
              <w:tr2bl w:val="nil"/>
            </w:tcBorders>
            <w:vAlign w:val="center"/>
          </w:tcPr>
          <w:p>
            <w:pPr>
              <w:pStyle w:val="1132"/>
              <w:rPr>
                <w:b/>
              </w:rPr>
            </w:pPr>
            <w:r>
              <w:t>535</w:t>
            </w:r>
          </w:p>
        </w:tc>
        <w:tc>
          <w:tcPr>
            <w:tcW w:w="599" w:type="pct"/>
            <w:tcBorders>
              <w:tl2br w:val="nil"/>
              <w:tr2bl w:val="nil"/>
            </w:tcBorders>
            <w:vAlign w:val="center"/>
          </w:tcPr>
          <w:p>
            <w:pPr>
              <w:pStyle w:val="1132"/>
              <w:rPr>
                <w:b/>
              </w:rPr>
            </w:pPr>
            <w:r>
              <w:t>354</w:t>
            </w:r>
          </w:p>
        </w:tc>
        <w:tc>
          <w:tcPr>
            <w:tcW w:w="580" w:type="pct"/>
            <w:tcBorders>
              <w:tl2br w:val="nil"/>
              <w:tr2bl w:val="nil"/>
            </w:tcBorders>
            <w:vAlign w:val="center"/>
          </w:tcPr>
          <w:p>
            <w:pPr>
              <w:pStyle w:val="1132"/>
              <w:rPr>
                <w:b/>
              </w:rPr>
            </w:pPr>
            <w:r>
              <w:t>265</w:t>
            </w:r>
          </w:p>
        </w:tc>
        <w:tc>
          <w:tcPr>
            <w:tcW w:w="988" w:type="pct"/>
            <w:tcBorders>
              <w:tl2br w:val="nil"/>
              <w:tr2bl w:val="nil"/>
            </w:tcBorders>
            <w:vAlign w:val="center"/>
          </w:tcPr>
          <w:p>
            <w:pPr>
              <w:pStyle w:val="1132"/>
              <w:rPr>
                <w:b/>
              </w:rPr>
            </w:pPr>
            <w:r>
              <w:t>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92" w:type="pct"/>
            <w:vMerge w:val="continue"/>
            <w:tcBorders>
              <w:tl2br w:val="nil"/>
              <w:tr2bl w:val="nil"/>
            </w:tcBorders>
            <w:vAlign w:val="center"/>
          </w:tcPr>
          <w:p>
            <w:pPr>
              <w:pStyle w:val="1132"/>
              <w:rPr>
                <w:b/>
              </w:rPr>
            </w:pPr>
          </w:p>
        </w:tc>
        <w:tc>
          <w:tcPr>
            <w:tcW w:w="734" w:type="pct"/>
            <w:tcBorders>
              <w:tl2br w:val="nil"/>
              <w:tr2bl w:val="nil"/>
            </w:tcBorders>
            <w:vAlign w:val="center"/>
          </w:tcPr>
          <w:p>
            <w:pPr>
              <w:pStyle w:val="1132"/>
              <w:rPr>
                <w:b/>
              </w:rPr>
            </w:pPr>
            <w:r>
              <w:t>围金属板</w:t>
            </w:r>
          </w:p>
        </w:tc>
        <w:tc>
          <w:tcPr>
            <w:tcW w:w="483" w:type="pct"/>
            <w:tcBorders>
              <w:tl2br w:val="nil"/>
              <w:tr2bl w:val="nil"/>
            </w:tcBorders>
            <w:vAlign w:val="center"/>
          </w:tcPr>
          <w:p>
            <w:pPr>
              <w:pStyle w:val="1132"/>
              <w:rPr>
                <w:b/>
              </w:rPr>
            </w:pPr>
            <w:r>
              <w:t>940</w:t>
            </w:r>
          </w:p>
        </w:tc>
        <w:tc>
          <w:tcPr>
            <w:tcW w:w="525" w:type="pct"/>
            <w:tcBorders>
              <w:tl2br w:val="nil"/>
              <w:tr2bl w:val="nil"/>
            </w:tcBorders>
            <w:vAlign w:val="center"/>
          </w:tcPr>
          <w:p>
            <w:pPr>
              <w:pStyle w:val="1132"/>
              <w:rPr>
                <w:b/>
              </w:rPr>
            </w:pPr>
            <w:r>
              <w:t>510</w:t>
            </w:r>
          </w:p>
        </w:tc>
        <w:tc>
          <w:tcPr>
            <w:tcW w:w="599" w:type="pct"/>
            <w:tcBorders>
              <w:tl2br w:val="nil"/>
              <w:tr2bl w:val="nil"/>
            </w:tcBorders>
            <w:vAlign w:val="center"/>
          </w:tcPr>
          <w:p>
            <w:pPr>
              <w:pStyle w:val="1132"/>
              <w:rPr>
                <w:b/>
              </w:rPr>
            </w:pPr>
            <w:r>
              <w:t>282</w:t>
            </w:r>
          </w:p>
        </w:tc>
        <w:tc>
          <w:tcPr>
            <w:tcW w:w="599" w:type="pct"/>
            <w:tcBorders>
              <w:tl2br w:val="nil"/>
              <w:tr2bl w:val="nil"/>
            </w:tcBorders>
            <w:vAlign w:val="center"/>
          </w:tcPr>
          <w:p>
            <w:pPr>
              <w:pStyle w:val="1132"/>
              <w:rPr>
                <w:b/>
              </w:rPr>
            </w:pPr>
            <w:r>
              <w:t>275</w:t>
            </w:r>
          </w:p>
        </w:tc>
        <w:tc>
          <w:tcPr>
            <w:tcW w:w="580" w:type="pct"/>
            <w:tcBorders>
              <w:tl2br w:val="nil"/>
              <w:tr2bl w:val="nil"/>
            </w:tcBorders>
            <w:vAlign w:val="center"/>
          </w:tcPr>
          <w:p>
            <w:pPr>
              <w:pStyle w:val="1132"/>
              <w:rPr>
                <w:b/>
              </w:rPr>
            </w:pPr>
            <w:r>
              <w:t>258</w:t>
            </w:r>
          </w:p>
        </w:tc>
        <w:tc>
          <w:tcPr>
            <w:tcW w:w="988" w:type="pct"/>
            <w:vMerge w:val="restart"/>
            <w:tcBorders>
              <w:tl2br w:val="nil"/>
              <w:tr2bl w:val="nil"/>
            </w:tcBorders>
            <w:vAlign w:val="center"/>
          </w:tcPr>
          <w:p>
            <w:pPr>
              <w:pStyle w:val="1132"/>
              <w:rPr>
                <w:b/>
              </w:rPr>
            </w:pPr>
            <w: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92" w:type="pct"/>
            <w:vMerge w:val="continue"/>
            <w:tcBorders>
              <w:tl2br w:val="nil"/>
              <w:tr2bl w:val="nil"/>
            </w:tcBorders>
            <w:vAlign w:val="center"/>
          </w:tcPr>
          <w:p>
            <w:pPr>
              <w:pStyle w:val="1132"/>
              <w:rPr>
                <w:b/>
              </w:rPr>
            </w:pPr>
          </w:p>
        </w:tc>
        <w:tc>
          <w:tcPr>
            <w:tcW w:w="734" w:type="pct"/>
            <w:tcBorders>
              <w:tl2br w:val="nil"/>
              <w:tr2bl w:val="nil"/>
            </w:tcBorders>
            <w:vAlign w:val="center"/>
          </w:tcPr>
          <w:p>
            <w:pPr>
              <w:pStyle w:val="1132"/>
              <w:rPr>
                <w:b/>
              </w:rPr>
            </w:pPr>
            <w:r>
              <w:t>围彩条布</w:t>
            </w:r>
          </w:p>
        </w:tc>
        <w:tc>
          <w:tcPr>
            <w:tcW w:w="483" w:type="pct"/>
            <w:tcBorders>
              <w:tl2br w:val="nil"/>
              <w:tr2bl w:val="nil"/>
            </w:tcBorders>
            <w:vAlign w:val="center"/>
          </w:tcPr>
          <w:p>
            <w:pPr>
              <w:pStyle w:val="1132"/>
              <w:rPr>
                <w:b/>
              </w:rPr>
            </w:pPr>
            <w:r>
              <w:t>1104</w:t>
            </w:r>
          </w:p>
        </w:tc>
        <w:tc>
          <w:tcPr>
            <w:tcW w:w="525" w:type="pct"/>
            <w:tcBorders>
              <w:tl2br w:val="nil"/>
              <w:tr2bl w:val="nil"/>
            </w:tcBorders>
            <w:vAlign w:val="center"/>
          </w:tcPr>
          <w:p>
            <w:pPr>
              <w:pStyle w:val="1132"/>
              <w:rPr>
                <w:b/>
              </w:rPr>
            </w:pPr>
            <w:r>
              <w:t>535</w:t>
            </w:r>
          </w:p>
        </w:tc>
        <w:tc>
          <w:tcPr>
            <w:tcW w:w="599" w:type="pct"/>
            <w:tcBorders>
              <w:tl2br w:val="nil"/>
              <w:tr2bl w:val="nil"/>
            </w:tcBorders>
            <w:vAlign w:val="center"/>
          </w:tcPr>
          <w:p>
            <w:pPr>
              <w:pStyle w:val="1132"/>
              <w:rPr>
                <w:b/>
              </w:rPr>
            </w:pPr>
            <w:r>
              <w:t>289</w:t>
            </w:r>
          </w:p>
        </w:tc>
        <w:tc>
          <w:tcPr>
            <w:tcW w:w="599" w:type="pct"/>
            <w:tcBorders>
              <w:tl2br w:val="nil"/>
              <w:tr2bl w:val="nil"/>
            </w:tcBorders>
            <w:vAlign w:val="center"/>
          </w:tcPr>
          <w:p>
            <w:pPr>
              <w:pStyle w:val="1132"/>
              <w:rPr>
                <w:b/>
              </w:rPr>
            </w:pPr>
            <w:r>
              <w:t>278</w:t>
            </w:r>
          </w:p>
        </w:tc>
        <w:tc>
          <w:tcPr>
            <w:tcW w:w="580" w:type="pct"/>
            <w:tcBorders>
              <w:tl2br w:val="nil"/>
              <w:tr2bl w:val="nil"/>
            </w:tcBorders>
            <w:vAlign w:val="center"/>
          </w:tcPr>
          <w:p>
            <w:pPr>
              <w:pStyle w:val="1132"/>
              <w:rPr>
                <w:b/>
              </w:rPr>
            </w:pPr>
            <w:r>
              <w:t>264</w:t>
            </w:r>
          </w:p>
        </w:tc>
        <w:tc>
          <w:tcPr>
            <w:tcW w:w="988" w:type="pct"/>
            <w:vMerge w:val="continue"/>
            <w:tcBorders>
              <w:tl2br w:val="nil"/>
              <w:tr2bl w:val="nil"/>
            </w:tcBorders>
            <w:vAlign w:val="center"/>
          </w:tcPr>
          <w:p>
            <w:pPr>
              <w:pStyle w:val="1132"/>
              <w:rPr>
                <w:b/>
              </w:rPr>
            </w:pPr>
          </w:p>
        </w:tc>
      </w:tr>
    </w:tbl>
    <w:p>
      <w:pPr>
        <w:pStyle w:val="10"/>
        <w:ind w:firstLine="480"/>
      </w:pPr>
      <w:r>
        <w:t>由上表可以看出：在无围栏施工时，工地下风向距离20~150m范围内，大气中TSP为265~1503 ug/Nm</w:t>
      </w:r>
      <w:r>
        <w:rPr>
          <w:vertAlign w:val="superscript"/>
        </w:rPr>
        <w:t>3</w:t>
      </w:r>
      <w:r>
        <w:t>，是对照点1.37~5.95倍；工地下风向距离大于200m距离后，大气中TSP为265ug/Nm</w:t>
      </w:r>
      <w:r>
        <w:rPr>
          <w:vertAlign w:val="superscript"/>
        </w:rPr>
        <w:t>3</w:t>
      </w:r>
      <w:r>
        <w:t>接近对照点；在有围栏施工时，工地下风向距离20~50m时，大气中TSP为510~940 ug/Nm</w:t>
      </w:r>
      <w:r>
        <w:rPr>
          <w:vertAlign w:val="superscript"/>
        </w:rPr>
        <w:t>3</w:t>
      </w:r>
      <w:r>
        <w:t>，是对照点的1.89~3.48倍；工地下风向距离100~200m时，大气中TSP为289~258ug/Nm</w:t>
      </w:r>
      <w:r>
        <w:rPr>
          <w:vertAlign w:val="superscript"/>
        </w:rPr>
        <w:t>3</w:t>
      </w:r>
      <w:r>
        <w:t>，接近对照点。</w:t>
      </w:r>
    </w:p>
    <w:p>
      <w:pPr>
        <w:pStyle w:val="10"/>
        <w:ind w:firstLine="480"/>
      </w:pPr>
      <w:r>
        <w:t>从总体上看，无施工围挡时扬尘影响距离约为下风向200m，施工现场有施工围挡时，其扬尘影响范围可缩短至下风向100m左右。本项目要求在施工场地设置2.0m高围挡，可大大减少施工扬尘对路线两侧大气环境的影响。</w:t>
      </w:r>
    </w:p>
    <w:p>
      <w:pPr>
        <w:pStyle w:val="9"/>
      </w:pPr>
      <w:bookmarkStart w:id="336" w:name="_Toc22858"/>
      <w:r>
        <w:t>道路扬尘污染影响分析</w:t>
      </w:r>
      <w:bookmarkEnd w:id="336"/>
    </w:p>
    <w:p>
      <w:pPr>
        <w:pStyle w:val="10"/>
        <w:ind w:firstLine="480"/>
      </w:pPr>
      <w:r>
        <w:t>道路扬尘影响程度主要跟车辆行驶速度、风速、路面积尘量和路面积尘湿度有关，其中风速直接影响到扬尘的传输距离。</w:t>
      </w:r>
    </w:p>
    <w:p>
      <w:pPr>
        <w:pStyle w:val="10"/>
        <w:ind w:firstLine="480"/>
      </w:pPr>
      <w:r>
        <w:t>车辆在行驶过程中产生的扬尘，在完全干燥的情况下，可按下列经验公式计算：</w:t>
      </w:r>
    </w:p>
    <w:p>
      <w:pPr>
        <w:ind w:firstLine="480"/>
      </w:pPr>
      <m:oMathPara>
        <m:oMath>
          <m:r>
            <m:rPr/>
            <w:rPr>
              <w:rFonts w:ascii="Cambria Math" w:hAnsi="Cambria Math"/>
            </w:rPr>
            <m:t>Q=0.123(</m:t>
          </m:r>
          <m:f>
            <m:fPr>
              <m:ctrlPr>
                <w:rPr>
                  <w:rFonts w:ascii="Cambria Math" w:hAnsi="Cambria Math"/>
                  <w:i/>
                </w:rPr>
              </m:ctrlPr>
            </m:fPr>
            <m:num>
              <m:r>
                <m:rPr/>
                <w:rPr>
                  <w:rFonts w:ascii="Cambria Math" w:hAnsi="Cambria Math"/>
                </w:rPr>
                <m:t>V</m:t>
              </m:r>
              <m:ctrlPr>
                <w:rPr>
                  <w:rFonts w:ascii="Cambria Math" w:hAnsi="Cambria Math"/>
                  <w:i/>
                </w:rPr>
              </m:ctrlPr>
            </m:num>
            <m:den>
              <m:r>
                <m:rPr/>
                <w:rPr>
                  <w:rFonts w:ascii="Cambria Math" w:hAnsi="Cambria Math"/>
                </w:rPr>
                <m:t>5</m:t>
              </m:r>
              <m:ctrlPr>
                <w:rPr>
                  <w:rFonts w:ascii="Cambria Math" w:hAnsi="Cambria Math"/>
                  <w:i/>
                </w:rPr>
              </m:ctrlPr>
            </m:den>
          </m:f>
          <m:r>
            <m:rPr/>
            <w:rPr>
              <w:rFonts w:ascii="Cambria Math" w:hAnsi="Cambria Math"/>
            </w:rPr>
            <m:t>)</m:t>
          </m:r>
          <m:sSup>
            <m:sSupPr>
              <m:ctrlPr>
                <w:rPr>
                  <w:rFonts w:ascii="Cambria Math" w:hAnsi="Cambria Math"/>
                  <w:i/>
                </w:rPr>
              </m:ctrlPr>
            </m:sSupPr>
            <m:e>
              <m:r>
                <m:rPr/>
                <w:rPr>
                  <w:rFonts w:ascii="Cambria Math" w:hAnsi="Cambria Math"/>
                </w:rPr>
                <m:t>(</m:t>
              </m:r>
              <m:f>
                <m:fPr>
                  <m:ctrlPr>
                    <w:rPr>
                      <w:rFonts w:ascii="Cambria Math" w:hAnsi="Cambria Math"/>
                      <w:i/>
                    </w:rPr>
                  </m:ctrlPr>
                </m:fPr>
                <m:num>
                  <m:r>
                    <m:rPr/>
                    <w:rPr>
                      <w:rFonts w:ascii="Cambria Math" w:hAnsi="Cambria Math"/>
                    </w:rPr>
                    <m:t>W</m:t>
                  </m:r>
                  <m:ctrlPr>
                    <w:rPr>
                      <w:rFonts w:ascii="Cambria Math" w:hAnsi="Cambria Math"/>
                      <w:i/>
                    </w:rPr>
                  </m:ctrlPr>
                </m:num>
                <m:den>
                  <m:r>
                    <m:rPr/>
                    <w:rPr>
                      <w:rFonts w:ascii="Cambria Math" w:hAnsi="Cambria Math"/>
                    </w:rPr>
                    <m:t>6.8</m:t>
                  </m:r>
                  <m:ctrlPr>
                    <w:rPr>
                      <w:rFonts w:ascii="Cambria Math" w:hAnsi="Cambria Math"/>
                      <w:i/>
                    </w:rPr>
                  </m:ctrlPr>
                </m:den>
              </m:f>
              <m:r>
                <m:rPr/>
                <w:rPr>
                  <w:rFonts w:ascii="Cambria Math" w:hAnsi="Cambria Math"/>
                </w:rPr>
                <m:t>)</m:t>
              </m:r>
              <m:ctrlPr>
                <w:rPr>
                  <w:rFonts w:ascii="Cambria Math" w:hAnsi="Cambria Math"/>
                  <w:i/>
                </w:rPr>
              </m:ctrlPr>
            </m:e>
            <m:sup>
              <m:r>
                <m:rPr/>
                <w:rPr>
                  <w:rFonts w:ascii="Cambria Math" w:hAnsi="Cambria Math"/>
                </w:rPr>
                <m:t>0.85</m:t>
              </m:r>
              <m:ctrlPr>
                <w:rPr>
                  <w:rFonts w:ascii="Cambria Math" w:hAnsi="Cambria Math"/>
                  <w:i/>
                </w:rPr>
              </m:ctrlPr>
            </m:sup>
          </m:sSup>
          <m:sSup>
            <m:sSupPr>
              <m:ctrlPr>
                <w:rPr>
                  <w:rFonts w:ascii="Cambria Math" w:hAnsi="Cambria Math"/>
                  <w:i/>
                </w:rPr>
              </m:ctrlPr>
            </m:sSupPr>
            <m:e>
              <m:r>
                <m:rPr/>
                <w:rPr>
                  <w:rFonts w:ascii="Cambria Math" w:hAnsi="Cambria Math"/>
                </w:rPr>
                <m:t>(</m:t>
              </m:r>
              <m:f>
                <m:fPr>
                  <m:ctrlPr>
                    <w:rPr>
                      <w:rFonts w:ascii="Cambria Math" w:hAnsi="Cambria Math"/>
                      <w:i/>
                    </w:rPr>
                  </m:ctrlPr>
                </m:fPr>
                <m:num>
                  <m:r>
                    <m:rPr/>
                    <w:rPr>
                      <w:rFonts w:ascii="Cambria Math" w:hAnsi="Cambria Math"/>
                    </w:rPr>
                    <m:t>P</m:t>
                  </m:r>
                  <m:ctrlPr>
                    <w:rPr>
                      <w:rFonts w:ascii="Cambria Math" w:hAnsi="Cambria Math"/>
                      <w:i/>
                    </w:rPr>
                  </m:ctrlPr>
                </m:num>
                <m:den>
                  <m:r>
                    <m:rPr/>
                    <w:rPr>
                      <w:rFonts w:ascii="Cambria Math" w:hAnsi="Cambria Math"/>
                    </w:rPr>
                    <m:t>0.5</m:t>
                  </m:r>
                  <m:ctrlPr>
                    <w:rPr>
                      <w:rFonts w:ascii="Cambria Math" w:hAnsi="Cambria Math"/>
                      <w:i/>
                    </w:rPr>
                  </m:ctrlPr>
                </m:den>
              </m:f>
              <m:r>
                <m:rPr/>
                <w:rPr>
                  <w:rFonts w:ascii="Cambria Math" w:hAnsi="Cambria Math"/>
                </w:rPr>
                <m:t>)</m:t>
              </m:r>
              <m:ctrlPr>
                <w:rPr>
                  <w:rFonts w:ascii="Cambria Math" w:hAnsi="Cambria Math"/>
                  <w:i/>
                </w:rPr>
              </m:ctrlPr>
            </m:e>
            <m:sup>
              <m:r>
                <m:rPr/>
                <w:rPr>
                  <w:rFonts w:ascii="Cambria Math" w:hAnsi="Cambria Math"/>
                </w:rPr>
                <m:t>0.75</m:t>
              </m:r>
              <m:ctrlPr>
                <w:rPr>
                  <w:rFonts w:ascii="Cambria Math" w:hAnsi="Cambria Math"/>
                  <w:i/>
                </w:rPr>
              </m:ctrlPr>
            </m:sup>
          </m:sSup>
        </m:oMath>
      </m:oMathPara>
    </w:p>
    <w:p>
      <w:pPr>
        <w:pStyle w:val="10"/>
        <w:ind w:firstLine="480"/>
      </w:pPr>
      <w:r>
        <w:t>式中：Q—汽车行驶的扬尘，kg/km·辆；</w:t>
      </w:r>
    </w:p>
    <w:p>
      <w:pPr>
        <w:pStyle w:val="10"/>
        <w:ind w:firstLine="960" w:firstLineChars="400"/>
      </w:pPr>
      <w:r>
        <w:t>V—汽车速度，km/hr；</w:t>
      </w:r>
    </w:p>
    <w:p>
      <w:pPr>
        <w:pStyle w:val="10"/>
        <w:ind w:firstLine="960" w:firstLineChars="400"/>
      </w:pPr>
      <w:r>
        <w:t>W—汽车载重量，吨；</w:t>
      </w:r>
    </w:p>
    <w:p>
      <w:pPr>
        <w:pStyle w:val="10"/>
        <w:ind w:firstLine="960" w:firstLineChars="400"/>
      </w:pPr>
      <w:r>
        <w:t>P—道路表面粉尘量，kg/m</w:t>
      </w:r>
      <w:r>
        <w:rPr>
          <w:vertAlign w:val="superscript"/>
        </w:rPr>
        <w:t>2</w:t>
      </w:r>
      <w:r>
        <w:t>。</w:t>
      </w:r>
    </w:p>
    <w:p>
      <w:pPr>
        <w:pStyle w:val="10"/>
        <w:ind w:firstLine="480"/>
      </w:pPr>
      <w:r>
        <w:t>根据以上公式，在同样的路面条件下，车速越快，扬尘量越大；在同样的车速情况下，硬化程度越差、越干燥，扬尘量越大。因此，限制车辆行驶速度以及保持路面的硬化和湿度是减少汽车扬尘的有效手段。根据以上公式核算，每辆运输车行驶产生的扬尘量为0.19kg/km。</w:t>
      </w:r>
    </w:p>
    <w:p>
      <w:pPr>
        <w:pStyle w:val="10"/>
        <w:ind w:firstLine="480"/>
      </w:pPr>
      <w:r>
        <w:t>本项目施工所需的筑路材料以及剥离的表土和多余的土石方均采用汽车运输，沿线</w:t>
      </w:r>
      <w:r>
        <w:rPr>
          <w:rFonts w:hint="eastAsia"/>
        </w:rPr>
        <w:t>如</w:t>
      </w:r>
      <w:r>
        <w:t>经过村庄，道路二次扬尘会对其产生不利影响。</w:t>
      </w:r>
    </w:p>
    <w:p>
      <w:pPr>
        <w:pStyle w:val="10"/>
        <w:ind w:firstLine="480"/>
        <w:rPr>
          <w:b/>
          <w:bCs/>
          <w:sz w:val="21"/>
          <w:szCs w:val="21"/>
        </w:rPr>
      </w:pPr>
      <w:r>
        <w:t>根据相关洒水降尘的试验结果表明，如果施工阶段在干燥、晴朗天气对汽车行驶路面勤洒水（每天4~5次），可以使扬尘产生量减少70%左右，收到很好的降尘效果，洒水降尘的试验资料见表5.2-2。此外，试验结果还表明，当洒水频率为4~5次/d时，扬尘造成的TSP污染距离可缩小到20~50m范围内。</w:t>
      </w:r>
    </w:p>
    <w:p>
      <w:pPr>
        <w:pStyle w:val="19"/>
        <w:rPr>
          <w:rStyle w:val="1176"/>
          <w:b/>
          <w:kern w:val="0"/>
          <w:szCs w:val="20"/>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rPr>
          <w:rStyle w:val="1176"/>
          <w:b/>
          <w:kern w:val="0"/>
          <w:szCs w:val="20"/>
        </w:rPr>
        <w:t xml:space="preserve">  施工路段洒水降尘试验结果</w:t>
      </w:r>
    </w:p>
    <w:tbl>
      <w:tblPr>
        <w:tblStyle w:val="4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48"/>
        <w:gridCol w:w="1546"/>
        <w:gridCol w:w="1547"/>
        <w:gridCol w:w="1547"/>
        <w:gridCol w:w="1547"/>
        <w:gridCol w:w="15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1667" w:type="pct"/>
            <w:gridSpan w:val="2"/>
            <w:tcBorders>
              <w:tl2br w:val="nil"/>
              <w:tr2bl w:val="nil"/>
            </w:tcBorders>
            <w:vAlign w:val="center"/>
          </w:tcPr>
          <w:p>
            <w:pPr>
              <w:pStyle w:val="1132"/>
            </w:pPr>
            <w:r>
              <w:t>距路边距离</w:t>
            </w:r>
          </w:p>
        </w:tc>
        <w:tc>
          <w:tcPr>
            <w:tcW w:w="833" w:type="pct"/>
            <w:tcBorders>
              <w:tl2br w:val="nil"/>
              <w:tr2bl w:val="nil"/>
            </w:tcBorders>
            <w:vAlign w:val="center"/>
          </w:tcPr>
          <w:p>
            <w:pPr>
              <w:pStyle w:val="1132"/>
              <w:rPr>
                <w:b/>
              </w:rPr>
            </w:pPr>
            <w:r>
              <w:t>5m</w:t>
            </w:r>
          </w:p>
        </w:tc>
        <w:tc>
          <w:tcPr>
            <w:tcW w:w="833" w:type="pct"/>
            <w:tcBorders>
              <w:tl2br w:val="nil"/>
              <w:tr2bl w:val="nil"/>
            </w:tcBorders>
            <w:vAlign w:val="center"/>
          </w:tcPr>
          <w:p>
            <w:pPr>
              <w:pStyle w:val="1132"/>
              <w:rPr>
                <w:b/>
              </w:rPr>
            </w:pPr>
            <w:r>
              <w:t>20m</w:t>
            </w:r>
          </w:p>
        </w:tc>
        <w:tc>
          <w:tcPr>
            <w:tcW w:w="833" w:type="pct"/>
            <w:tcBorders>
              <w:tl2br w:val="nil"/>
              <w:tr2bl w:val="nil"/>
            </w:tcBorders>
            <w:vAlign w:val="center"/>
          </w:tcPr>
          <w:p>
            <w:pPr>
              <w:pStyle w:val="1132"/>
              <w:rPr>
                <w:b/>
              </w:rPr>
            </w:pPr>
            <w:r>
              <w:t>50m</w:t>
            </w:r>
          </w:p>
        </w:tc>
        <w:tc>
          <w:tcPr>
            <w:tcW w:w="833" w:type="pct"/>
            <w:tcBorders>
              <w:tl2br w:val="nil"/>
              <w:tr2bl w:val="nil"/>
            </w:tcBorders>
            <w:vAlign w:val="center"/>
          </w:tcPr>
          <w:p>
            <w:pPr>
              <w:pStyle w:val="1132"/>
              <w:rPr>
                <w:b/>
              </w:rPr>
            </w:pPr>
            <w:r>
              <w:t>100m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834" w:type="pct"/>
            <w:vMerge w:val="restart"/>
            <w:tcBorders>
              <w:tl2br w:val="nil"/>
              <w:tr2bl w:val="nil"/>
            </w:tcBorders>
            <w:vAlign w:val="center"/>
          </w:tcPr>
          <w:p>
            <w:pPr>
              <w:pStyle w:val="1132"/>
            </w:pPr>
            <w:r>
              <w:t>TSP浓度（kg/m</w:t>
            </w:r>
            <w:r>
              <w:rPr>
                <w:vertAlign w:val="superscript"/>
              </w:rPr>
              <w:t>2</w:t>
            </w:r>
            <w:r>
              <w:t>）</w:t>
            </w:r>
          </w:p>
        </w:tc>
        <w:tc>
          <w:tcPr>
            <w:tcW w:w="833" w:type="pct"/>
            <w:tcBorders>
              <w:tl2br w:val="nil"/>
              <w:tr2bl w:val="nil"/>
            </w:tcBorders>
            <w:vAlign w:val="center"/>
          </w:tcPr>
          <w:p>
            <w:pPr>
              <w:pStyle w:val="1132"/>
              <w:rPr>
                <w:b/>
              </w:rPr>
            </w:pPr>
            <w:r>
              <w:t>不洒水</w:t>
            </w:r>
          </w:p>
        </w:tc>
        <w:tc>
          <w:tcPr>
            <w:tcW w:w="833" w:type="pct"/>
            <w:tcBorders>
              <w:tl2br w:val="nil"/>
              <w:tr2bl w:val="nil"/>
            </w:tcBorders>
            <w:vAlign w:val="center"/>
          </w:tcPr>
          <w:p>
            <w:pPr>
              <w:pStyle w:val="1132"/>
              <w:rPr>
                <w:b/>
              </w:rPr>
            </w:pPr>
            <w:r>
              <w:t>10.14</w:t>
            </w:r>
          </w:p>
        </w:tc>
        <w:tc>
          <w:tcPr>
            <w:tcW w:w="833" w:type="pct"/>
            <w:tcBorders>
              <w:tl2br w:val="nil"/>
              <w:tr2bl w:val="nil"/>
            </w:tcBorders>
            <w:vAlign w:val="center"/>
          </w:tcPr>
          <w:p>
            <w:pPr>
              <w:pStyle w:val="1132"/>
              <w:rPr>
                <w:b/>
              </w:rPr>
            </w:pPr>
            <w:r>
              <w:t>2.89</w:t>
            </w:r>
          </w:p>
        </w:tc>
        <w:tc>
          <w:tcPr>
            <w:tcW w:w="833" w:type="pct"/>
            <w:tcBorders>
              <w:tl2br w:val="nil"/>
              <w:tr2bl w:val="nil"/>
            </w:tcBorders>
            <w:vAlign w:val="center"/>
          </w:tcPr>
          <w:p>
            <w:pPr>
              <w:pStyle w:val="1132"/>
              <w:rPr>
                <w:b/>
              </w:rPr>
            </w:pPr>
            <w:r>
              <w:t>1.15</w:t>
            </w:r>
          </w:p>
        </w:tc>
        <w:tc>
          <w:tcPr>
            <w:tcW w:w="833" w:type="pct"/>
            <w:tcBorders>
              <w:tl2br w:val="nil"/>
              <w:tr2bl w:val="nil"/>
            </w:tcBorders>
            <w:vAlign w:val="center"/>
          </w:tcPr>
          <w:p>
            <w:pPr>
              <w:pStyle w:val="1132"/>
              <w:rPr>
                <w:b/>
              </w:rPr>
            </w:pPr>
            <w:r>
              <w:t>0.86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834" w:type="pct"/>
            <w:vMerge w:val="continue"/>
            <w:tcBorders>
              <w:tl2br w:val="nil"/>
              <w:tr2bl w:val="nil"/>
            </w:tcBorders>
            <w:vAlign w:val="center"/>
          </w:tcPr>
          <w:p>
            <w:pPr>
              <w:pStyle w:val="1132"/>
              <w:rPr>
                <w:b/>
              </w:rPr>
            </w:pPr>
          </w:p>
        </w:tc>
        <w:tc>
          <w:tcPr>
            <w:tcW w:w="833" w:type="pct"/>
            <w:tcBorders>
              <w:tl2br w:val="nil"/>
              <w:tr2bl w:val="nil"/>
            </w:tcBorders>
            <w:vAlign w:val="center"/>
          </w:tcPr>
          <w:p>
            <w:pPr>
              <w:pStyle w:val="1132"/>
              <w:rPr>
                <w:b/>
              </w:rPr>
            </w:pPr>
            <w:r>
              <w:t>洒水</w:t>
            </w:r>
          </w:p>
        </w:tc>
        <w:tc>
          <w:tcPr>
            <w:tcW w:w="833" w:type="pct"/>
            <w:tcBorders>
              <w:tl2br w:val="nil"/>
              <w:tr2bl w:val="nil"/>
            </w:tcBorders>
            <w:vAlign w:val="center"/>
          </w:tcPr>
          <w:p>
            <w:pPr>
              <w:pStyle w:val="1132"/>
              <w:rPr>
                <w:b/>
              </w:rPr>
            </w:pPr>
            <w:r>
              <w:t>2.01</w:t>
            </w:r>
          </w:p>
        </w:tc>
        <w:tc>
          <w:tcPr>
            <w:tcW w:w="833" w:type="pct"/>
            <w:tcBorders>
              <w:tl2br w:val="nil"/>
              <w:tr2bl w:val="nil"/>
            </w:tcBorders>
            <w:vAlign w:val="center"/>
          </w:tcPr>
          <w:p>
            <w:pPr>
              <w:pStyle w:val="1132"/>
              <w:rPr>
                <w:b/>
              </w:rPr>
            </w:pPr>
            <w:r>
              <w:t>1.40</w:t>
            </w:r>
          </w:p>
        </w:tc>
        <w:tc>
          <w:tcPr>
            <w:tcW w:w="833" w:type="pct"/>
            <w:tcBorders>
              <w:tl2br w:val="nil"/>
              <w:tr2bl w:val="nil"/>
            </w:tcBorders>
            <w:vAlign w:val="center"/>
          </w:tcPr>
          <w:p>
            <w:pPr>
              <w:pStyle w:val="1132"/>
              <w:rPr>
                <w:b/>
              </w:rPr>
            </w:pPr>
            <w:r>
              <w:t>0.68</w:t>
            </w:r>
          </w:p>
        </w:tc>
        <w:tc>
          <w:tcPr>
            <w:tcW w:w="833" w:type="pct"/>
            <w:tcBorders>
              <w:tl2br w:val="nil"/>
              <w:tr2bl w:val="nil"/>
            </w:tcBorders>
            <w:vAlign w:val="center"/>
          </w:tcPr>
          <w:p>
            <w:pPr>
              <w:pStyle w:val="1132"/>
              <w:rPr>
                <w:b/>
              </w:rPr>
            </w:pPr>
            <w:r>
              <w:t>0.60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1667" w:type="pct"/>
            <w:gridSpan w:val="2"/>
            <w:tcBorders>
              <w:tl2br w:val="nil"/>
              <w:tr2bl w:val="nil"/>
            </w:tcBorders>
            <w:vAlign w:val="center"/>
          </w:tcPr>
          <w:p>
            <w:pPr>
              <w:pStyle w:val="1132"/>
            </w:pPr>
            <w:r>
              <w:t>降尘率（%）</w:t>
            </w:r>
          </w:p>
        </w:tc>
        <w:tc>
          <w:tcPr>
            <w:tcW w:w="833" w:type="pct"/>
            <w:tcBorders>
              <w:tl2br w:val="nil"/>
              <w:tr2bl w:val="nil"/>
            </w:tcBorders>
            <w:vAlign w:val="center"/>
          </w:tcPr>
          <w:p>
            <w:pPr>
              <w:pStyle w:val="1132"/>
              <w:rPr>
                <w:b/>
              </w:rPr>
            </w:pPr>
            <w:r>
              <w:t>80.2</w:t>
            </w:r>
          </w:p>
        </w:tc>
        <w:tc>
          <w:tcPr>
            <w:tcW w:w="833" w:type="pct"/>
            <w:tcBorders>
              <w:tl2br w:val="nil"/>
              <w:tr2bl w:val="nil"/>
            </w:tcBorders>
            <w:vAlign w:val="center"/>
          </w:tcPr>
          <w:p>
            <w:pPr>
              <w:pStyle w:val="1132"/>
              <w:rPr>
                <w:b/>
              </w:rPr>
            </w:pPr>
            <w:r>
              <w:t>51.6</w:t>
            </w:r>
          </w:p>
        </w:tc>
        <w:tc>
          <w:tcPr>
            <w:tcW w:w="833" w:type="pct"/>
            <w:tcBorders>
              <w:tl2br w:val="nil"/>
              <w:tr2bl w:val="nil"/>
            </w:tcBorders>
            <w:vAlign w:val="center"/>
          </w:tcPr>
          <w:p>
            <w:pPr>
              <w:pStyle w:val="1132"/>
              <w:rPr>
                <w:b/>
              </w:rPr>
            </w:pPr>
            <w:r>
              <w:t>41.7</w:t>
            </w:r>
          </w:p>
        </w:tc>
        <w:tc>
          <w:tcPr>
            <w:tcW w:w="833" w:type="pct"/>
            <w:tcBorders>
              <w:tl2br w:val="nil"/>
              <w:tr2bl w:val="nil"/>
            </w:tcBorders>
            <w:vAlign w:val="center"/>
          </w:tcPr>
          <w:p>
            <w:pPr>
              <w:pStyle w:val="1132"/>
              <w:rPr>
                <w:b/>
              </w:rPr>
            </w:pPr>
            <w:r>
              <w:t>30.2</w:t>
            </w:r>
          </w:p>
        </w:tc>
      </w:tr>
    </w:tbl>
    <w:p>
      <w:pPr>
        <w:pStyle w:val="10"/>
        <w:ind w:firstLine="480"/>
      </w:pPr>
      <w:r>
        <w:t>由上表可知，采取洒水措施可有效降低道路运输扬尘带来的不利影响。因此，为尽可能的降低道路运输扬尘对沿线敏感点的影响，应限制车辆行驶速度；定期清扫路面，保持路面清洁；采取洒水抑尘措施，特别是在大风、干燥气候条件下，适当增加洒水次数；禁止车辆超载及敞开式运输等措施。</w:t>
      </w:r>
    </w:p>
    <w:p>
      <w:pPr>
        <w:pStyle w:val="9"/>
      </w:pPr>
      <w:bookmarkStart w:id="337" w:name="_Toc23432"/>
      <w:r>
        <w:t>临时堆土、物料堆场扬尘</w:t>
      </w:r>
      <w:bookmarkEnd w:id="337"/>
    </w:p>
    <w:p>
      <w:pPr>
        <w:pStyle w:val="10"/>
        <w:ind w:firstLine="480"/>
      </w:pPr>
      <w:r>
        <w:t>本项目物料和开挖土方的堆放在风力作用下，会产生风力扬尘。即一些建筑材料需要露天堆放，一些施工作业点的表层土壤在经过人工开挖后，临时堆放于露天，在气候干燥且有风的情况下，会产生大量的扬尘，扬尘量可按堆场扬尘的经验公式计算：</w:t>
      </w:r>
    </w:p>
    <w:p>
      <w:pPr>
        <w:ind w:firstLine="480"/>
        <w:jc w:val="center"/>
      </w:pPr>
      <w:r>
        <w:rPr>
          <w:rFonts w:hint="eastAsia"/>
        </w:rPr>
        <w:t>Q</w:t>
      </w:r>
      <w:r>
        <w:rPr>
          <w:vertAlign w:val="subscript"/>
        </w:rPr>
        <w:t>1</w:t>
      </w:r>
      <w:r>
        <w:t>=11.7U</w:t>
      </w:r>
      <w:r>
        <w:rPr>
          <w:vertAlign w:val="superscript"/>
        </w:rPr>
        <w:t>2.45</w:t>
      </w:r>
      <w:r>
        <w:rPr>
          <w:rFonts w:hint="eastAsia"/>
        </w:rPr>
        <w:t>·</w:t>
      </w:r>
      <w:r>
        <w:t>S</w:t>
      </w:r>
      <w:r>
        <w:rPr>
          <w:vertAlign w:val="superscript"/>
        </w:rPr>
        <w:t>0.345</w:t>
      </w:r>
      <w:r>
        <w:rPr>
          <w:rFonts w:hint="eastAsia"/>
        </w:rPr>
        <w:t>·e</w:t>
      </w:r>
      <w:r>
        <w:rPr>
          <w:rFonts w:hint="eastAsia"/>
          <w:vertAlign w:val="superscript"/>
        </w:rPr>
        <w:t>-</w:t>
      </w:r>
      <w:r>
        <w:rPr>
          <w:vertAlign w:val="superscript"/>
        </w:rPr>
        <w:t>0.5ω</w:t>
      </w:r>
      <w:r>
        <w:rPr>
          <w:rFonts w:hint="eastAsia"/>
        </w:rPr>
        <w:t>·e</w:t>
      </w:r>
      <w:r>
        <w:rPr>
          <w:rFonts w:hint="eastAsia"/>
          <w:vertAlign w:val="superscript"/>
        </w:rPr>
        <w:t>-</w:t>
      </w:r>
      <w:r>
        <w:rPr>
          <w:vertAlign w:val="superscript"/>
        </w:rPr>
        <w:t>0.55</w:t>
      </w:r>
      <w:r>
        <w:rPr>
          <w:rFonts w:hint="eastAsia"/>
          <w:vertAlign w:val="superscript"/>
        </w:rPr>
        <w:t>(W-</w:t>
      </w:r>
      <w:r>
        <w:rPr>
          <w:vertAlign w:val="superscript"/>
        </w:rPr>
        <w:t>0.07)</w:t>
      </w:r>
    </w:p>
    <w:p>
      <w:pPr>
        <w:pStyle w:val="10"/>
        <w:ind w:firstLine="480"/>
      </w:pPr>
      <w:r>
        <w:t>式中：Q—起尘量，mg/s；</w:t>
      </w:r>
    </w:p>
    <w:p>
      <w:pPr>
        <w:pStyle w:val="10"/>
        <w:ind w:firstLine="720" w:firstLineChars="300"/>
      </w:pPr>
      <w:r>
        <w:t>U—风速，m/s；取2.8；</w:t>
      </w:r>
    </w:p>
    <w:p>
      <w:pPr>
        <w:pStyle w:val="10"/>
        <w:ind w:firstLine="720" w:firstLineChars="300"/>
      </w:pPr>
      <w:r>
        <w:t>S—堆土表面积，</w:t>
      </w:r>
      <w:r>
        <w:rPr>
          <w:rFonts w:hint="eastAsia"/>
        </w:rPr>
        <w:t>m</w:t>
      </w:r>
      <w:r>
        <w:rPr>
          <w:vertAlign w:val="superscript"/>
        </w:rPr>
        <w:t>2</w:t>
      </w:r>
      <w:r>
        <w:t>，以堆高3m，堆场800</w:t>
      </w:r>
      <w:r>
        <w:rPr>
          <w:rFonts w:hint="eastAsia"/>
        </w:rPr>
        <w:t>m</w:t>
      </w:r>
      <w:r>
        <w:rPr>
          <w:vertAlign w:val="superscript"/>
        </w:rPr>
        <w:t>2</w:t>
      </w:r>
      <w:r>
        <w:t>，S=800；</w:t>
      </w:r>
    </w:p>
    <w:p>
      <w:pPr>
        <w:pStyle w:val="10"/>
        <w:ind w:firstLine="720" w:firstLineChars="300"/>
      </w:pPr>
      <w:r>
        <w:t>ω—空气相对湿度，%，取70%</w:t>
      </w:r>
      <w:r>
        <w:rPr>
          <w:rFonts w:hint="eastAsia"/>
        </w:rPr>
        <w:t>；</w:t>
      </w:r>
    </w:p>
    <w:p>
      <w:pPr>
        <w:pStyle w:val="10"/>
        <w:ind w:firstLine="720" w:firstLineChars="300"/>
      </w:pPr>
      <w:r>
        <w:t>W—物料湿度，取5%</w:t>
      </w:r>
      <w:r>
        <w:rPr>
          <w:rFonts w:hint="eastAsia"/>
        </w:rPr>
        <w:t>。</w:t>
      </w:r>
    </w:p>
    <w:p>
      <w:pPr>
        <w:pStyle w:val="10"/>
        <w:ind w:firstLine="480"/>
      </w:pPr>
      <w:r>
        <w:t>根据以上公式，计算起尘量为81.5mg/s。</w:t>
      </w:r>
    </w:p>
    <w:p>
      <w:pPr>
        <w:pStyle w:val="10"/>
        <w:ind w:firstLine="480"/>
      </w:pPr>
      <w:r>
        <w:t>由公式可以看出起尘量与物料湿度、风速、堆土面积和空气相对湿度等参数均有关，因此，在无法改变空气湿度的情况下：</w:t>
      </w:r>
    </w:p>
    <w:p>
      <w:pPr>
        <w:pStyle w:val="10"/>
        <w:ind w:firstLine="480"/>
        <w:outlineLvl w:val="9"/>
      </w:pPr>
      <w:bookmarkStart w:id="338" w:name="_Toc13978"/>
      <w:bookmarkStart w:id="339" w:name="_Toc4061"/>
      <w:bookmarkStart w:id="340" w:name="_Toc27168"/>
      <w:r>
        <w:rPr>
          <w:rFonts w:hint="eastAsia"/>
          <w:lang w:eastAsia="zh-CN"/>
        </w:rPr>
        <w:t>（</w:t>
      </w:r>
      <w:r>
        <w:rPr>
          <w:rFonts w:hint="eastAsia"/>
          <w:lang w:val="en-US" w:eastAsia="zh-CN"/>
        </w:rPr>
        <w:t>1</w:t>
      </w:r>
      <w:r>
        <w:rPr>
          <w:rFonts w:hint="eastAsia"/>
          <w:lang w:eastAsia="zh-CN"/>
        </w:rPr>
        <w:t>）</w:t>
      </w:r>
      <w:r>
        <w:t>通过设置围挡和遮盖措施降低U；</w:t>
      </w:r>
      <w:bookmarkEnd w:id="338"/>
      <w:bookmarkEnd w:id="339"/>
      <w:bookmarkEnd w:id="340"/>
    </w:p>
    <w:p>
      <w:pPr>
        <w:pStyle w:val="10"/>
        <w:ind w:firstLine="480"/>
        <w:outlineLvl w:val="9"/>
      </w:pPr>
      <w:r>
        <w:rPr>
          <w:rFonts w:hint="eastAsia"/>
          <w:lang w:eastAsia="zh-CN"/>
        </w:rPr>
        <w:t>（</w:t>
      </w:r>
      <w:r>
        <w:rPr>
          <w:rFonts w:hint="eastAsia"/>
          <w:lang w:val="en-US" w:eastAsia="zh-CN"/>
        </w:rPr>
        <w:t>2</w:t>
      </w:r>
      <w:r>
        <w:rPr>
          <w:rFonts w:hint="eastAsia"/>
          <w:lang w:eastAsia="zh-CN"/>
        </w:rPr>
        <w:t>）</w:t>
      </w:r>
      <w:r>
        <w:t>尽量减少施工场地物料大面积散开堆放和缩短堆放时间来降低S；</w:t>
      </w:r>
    </w:p>
    <w:p>
      <w:pPr>
        <w:pStyle w:val="10"/>
        <w:ind w:firstLine="480"/>
        <w:outlineLvl w:val="9"/>
      </w:pPr>
      <w:bookmarkStart w:id="341" w:name="_Toc25826"/>
      <w:bookmarkStart w:id="342" w:name="_Toc17765"/>
      <w:bookmarkStart w:id="343" w:name="_Toc1736"/>
      <w:r>
        <w:rPr>
          <w:rFonts w:hint="eastAsia"/>
          <w:lang w:eastAsia="zh-CN"/>
        </w:rPr>
        <w:t>（</w:t>
      </w:r>
      <w:r>
        <w:rPr>
          <w:rFonts w:hint="eastAsia"/>
          <w:lang w:val="en-US" w:eastAsia="zh-CN"/>
        </w:rPr>
        <w:t>3</w:t>
      </w:r>
      <w:r>
        <w:rPr>
          <w:rFonts w:hint="eastAsia"/>
          <w:lang w:eastAsia="zh-CN"/>
        </w:rPr>
        <w:t>）</w:t>
      </w:r>
      <w:r>
        <w:t>对堆放物料或土方表层洒水减少W。</w:t>
      </w:r>
      <w:bookmarkEnd w:id="341"/>
      <w:bookmarkEnd w:id="342"/>
      <w:bookmarkEnd w:id="343"/>
    </w:p>
    <w:p>
      <w:pPr>
        <w:pStyle w:val="9"/>
      </w:pPr>
      <w:bookmarkStart w:id="344" w:name="_Toc25125"/>
      <w:r>
        <w:t>作业机械废气污染分析</w:t>
      </w:r>
      <w:bookmarkEnd w:id="344"/>
    </w:p>
    <w:p>
      <w:pPr>
        <w:pStyle w:val="10"/>
        <w:ind w:firstLine="480"/>
      </w:pPr>
      <w:r>
        <w:t>公路施工机械主要有载重车、压路机、打桩机、柴油动力机械等燃油机械，它们排放的污染物主要有CO、NO</w:t>
      </w:r>
      <w:r>
        <w:rPr>
          <w:vertAlign w:val="subscript"/>
        </w:rPr>
        <w:t>2</w:t>
      </w:r>
      <w:r>
        <w:t>、THC。由于施工机械多为大型机械，单车排放系数较大，但施工机械数量少且较分散，其污染程度相对较轻。据类似公路施工现场监测结果，在距离现场50m处CO、NO</w:t>
      </w:r>
      <w:r>
        <w:rPr>
          <w:vertAlign w:val="subscript"/>
        </w:rPr>
        <w:t>2</w:t>
      </w:r>
      <w:r>
        <w:t xml:space="preserve"> 1小时平均浓度分别为0.2mg/m</w:t>
      </w:r>
      <w:r>
        <w:rPr>
          <w:vertAlign w:val="superscript"/>
        </w:rPr>
        <w:t>3</w:t>
      </w:r>
      <w:r>
        <w:t>和0.13mg/m</w:t>
      </w:r>
      <w:r>
        <w:rPr>
          <w:vertAlign w:val="superscript"/>
        </w:rPr>
        <w:t>3</w:t>
      </w:r>
      <w:r>
        <w:t>；日平均浓度分别为0.13mg/m</w:t>
      </w:r>
      <w:r>
        <w:rPr>
          <w:vertAlign w:val="superscript"/>
        </w:rPr>
        <w:t>3</w:t>
      </w:r>
      <w:r>
        <w:t>和0.062mg/m</w:t>
      </w:r>
      <w:r>
        <w:rPr>
          <w:vertAlign w:val="superscript"/>
        </w:rPr>
        <w:t>3</w:t>
      </w:r>
      <w:r>
        <w:t>，均能满足国家环境空气质量标准二级标准的要求。</w:t>
      </w:r>
    </w:p>
    <w:p>
      <w:pPr>
        <w:pStyle w:val="9"/>
      </w:pPr>
      <w:bookmarkStart w:id="345" w:name="_Toc29968"/>
      <w:r>
        <w:t>施工期拆迁</w:t>
      </w:r>
      <w:bookmarkEnd w:id="345"/>
    </w:p>
    <w:p>
      <w:pPr>
        <w:pStyle w:val="10"/>
        <w:ind w:firstLine="480"/>
      </w:pPr>
      <w:r>
        <w:rPr>
          <w:snapToGrid w:val="0"/>
        </w:rPr>
        <w:t>由于本项目涉及拆迁量较大，根据现状调查，对于辐射范围较大村庄，公路建设拆迁时会产生一定的扬尘污染，污染范围集中在拆迁建筑100m范围内，通过对拆迁建筑周围加设临时围挡和洒水等措施，可有效控制其扬尘的产生。另外，拆迁的建筑垃圾等应集中堆放，及时清运至低洼路段，运输车辆遮盖蓬布，防止建筑垃圾堆放和运输过程中再次产生污染。</w:t>
      </w:r>
    </w:p>
    <w:p>
      <w:pPr>
        <w:pStyle w:val="9"/>
      </w:pPr>
      <w:bookmarkStart w:id="346" w:name="_Toc23865"/>
      <w:r>
        <w:t>物料拌合扬尘</w:t>
      </w:r>
      <w:bookmarkEnd w:id="346"/>
    </w:p>
    <w:p>
      <w:pPr>
        <w:pStyle w:val="10"/>
        <w:ind w:firstLine="480"/>
        <w:rPr>
          <w:rFonts w:hint="eastAsia"/>
        </w:rPr>
      </w:pPr>
      <w:r>
        <w:rPr>
          <w:rFonts w:hint="eastAsia"/>
        </w:rPr>
        <w:t>公路施工中，灰土、混凝土等物料在拌合过程中易起尘。物料拌合有路拌及站（场）拌两种方式，其中路拌随施工点移动，分布零散，难以管理；站（场）拌是工厂生产式的物料集中拌合，扬尘对环境空气的影响较为集中，采取防尘措施后可有效地控制扬尘污染。</w:t>
      </w:r>
    </w:p>
    <w:p>
      <w:pPr>
        <w:pStyle w:val="10"/>
        <w:ind w:firstLine="480"/>
      </w:pPr>
      <w:r>
        <w:rPr>
          <w:rFonts w:hint="eastAsia"/>
        </w:rPr>
        <w:t>路拌施工过程在粉状物料装卸、上料、堆放等过程中均有扬尘产生，难以实行有效的管理及治理，将对道路两侧居民产生不良影响，特别是大风天气，影响将更为严重。相对于路拌，采取站（场）拌施工具有生产工艺先进，产品质量稳定可靠，提高建设速度，有效减少材料浪费，便于采取有效的粉尘治理措施（布袋除尘器，料场密封，搅拌机密封，设置吸尘车等）等众多优点，能够大大降低灰土、混凝土搅拌过程中产生的扬尘污染，因此本环评建议应采取站（场）拌的方式进行施工，减少或不采用路拌</w:t>
      </w:r>
      <w:r>
        <w:t>。</w:t>
      </w:r>
    </w:p>
    <w:p>
      <w:pPr>
        <w:pStyle w:val="10"/>
        <w:ind w:firstLine="480"/>
        <w:rPr>
          <w:rFonts w:hint="eastAsia" w:eastAsia="宋体"/>
          <w:lang w:eastAsia="zh-CN"/>
        </w:rPr>
      </w:pPr>
      <w:r>
        <w:rPr>
          <w:rFonts w:hint="eastAsia"/>
        </w:rPr>
        <w:t>根据已建类似工程实际调查资料，水泥、水稳搅拌站、预制场等场地下风向 50m 处 TSP 浓度为8.90mg/m</w:t>
      </w:r>
      <w:r>
        <w:rPr>
          <w:rFonts w:hint="eastAsia"/>
          <w:vertAlign w:val="superscript"/>
        </w:rPr>
        <w:t>3</w:t>
      </w:r>
      <w:r>
        <w:rPr>
          <w:rFonts w:hint="eastAsia"/>
        </w:rPr>
        <w:t>；下风向 100m 处 TSP 浓度为 1.65mg/m</w:t>
      </w:r>
      <w:r>
        <w:rPr>
          <w:rFonts w:hint="eastAsia"/>
          <w:vertAlign w:val="superscript"/>
        </w:rPr>
        <w:t>3</w:t>
      </w:r>
      <w:r>
        <w:rPr>
          <w:rFonts w:hint="eastAsia"/>
        </w:rPr>
        <w:t>；下风向 150m 处符合环境空气质量二类标准日均值 0.3mg/m</w:t>
      </w:r>
      <w:r>
        <w:rPr>
          <w:rFonts w:hint="eastAsia"/>
          <w:vertAlign w:val="superscript"/>
        </w:rPr>
        <w:t>3</w:t>
      </w:r>
      <w:r>
        <w:rPr>
          <w:rFonts w:hint="eastAsia"/>
        </w:rPr>
        <w:t>。其它作业环节产生的 TSP 污染可控制在施工现场 50-200m 范围内，在此范围以外将符合二级标准。拌合站四周设置围挡防风阻尘，拌合设备采取全封闭作业并配备除尘设施，粉尘产生量减低 90%。本项目水稳拌合站和混凝土拌合站均设在村庄敏感点下风向 200 米以外，满足《公路环境保护设计规范》</w:t>
      </w:r>
      <w:r>
        <w:rPr>
          <w:rFonts w:hint="eastAsia"/>
          <w:lang w:eastAsia="zh-CN"/>
        </w:rPr>
        <w:t>（JTG B04-2010）</w:t>
      </w:r>
      <w:r>
        <w:rPr>
          <w:rFonts w:hint="eastAsia"/>
        </w:rPr>
        <w:t>选址要求</w:t>
      </w:r>
      <w:r>
        <w:rPr>
          <w:rFonts w:hint="eastAsia"/>
          <w:lang w:eastAsia="zh-CN"/>
        </w:rPr>
        <w:t>，</w:t>
      </w:r>
      <w:r>
        <w:rPr>
          <w:rFonts w:hint="eastAsia"/>
        </w:rPr>
        <w:t>拌合站对敏感点影响较小</w:t>
      </w:r>
      <w:r>
        <w:rPr>
          <w:rFonts w:hint="eastAsia"/>
          <w:lang w:eastAsia="zh-CN"/>
        </w:rPr>
        <w:t>。</w:t>
      </w:r>
    </w:p>
    <w:p>
      <w:pPr>
        <w:pStyle w:val="9"/>
      </w:pPr>
      <w:bookmarkStart w:id="347" w:name="_Toc27823"/>
      <w:r>
        <w:t>沥青烟气对大气环境的影响</w:t>
      </w:r>
      <w:bookmarkEnd w:id="347"/>
    </w:p>
    <w:p>
      <w:pPr>
        <w:pStyle w:val="10"/>
        <w:ind w:firstLine="480"/>
        <w:rPr>
          <w:rFonts w:hint="eastAsia"/>
          <w:lang w:eastAsia="zh-CN"/>
        </w:rPr>
      </w:pPr>
      <w:r>
        <w:rPr>
          <w:rFonts w:hint="eastAsia"/>
          <w:lang w:eastAsia="zh-CN"/>
        </w:rPr>
        <w:t>拟建项目全线为沥青混凝土路面，沥青的拌和、摊铺会产生以 THC、TSP 和苯并[a]芘为主的烟尘，其中 THC 和苯并[a]芘 为有害物质，对空气将造成一定的污染，对人体也有伤害。</w:t>
      </w:r>
    </w:p>
    <w:p>
      <w:pPr>
        <w:pStyle w:val="10"/>
        <w:ind w:firstLine="480"/>
        <w:rPr>
          <w:rFonts w:hint="eastAsia"/>
          <w:lang w:eastAsia="zh-CN"/>
        </w:rPr>
      </w:pPr>
      <w:r>
        <w:rPr>
          <w:rFonts w:hint="eastAsia"/>
          <w:lang w:eastAsia="zh-CN"/>
        </w:rPr>
        <w:t>本项目沥青采用密闭方法进行熬炼和运输，</w:t>
      </w:r>
      <w:r>
        <w:rPr>
          <w:rFonts w:hint="eastAsia"/>
          <w:lang w:val="en-US" w:eastAsia="zh-CN"/>
        </w:rPr>
        <w:t>拌合站设置在敏感点下风向300m以外的位置</w:t>
      </w:r>
      <w:r>
        <w:rPr>
          <w:rFonts w:hint="eastAsia"/>
          <w:lang w:eastAsia="zh-CN"/>
        </w:rPr>
        <w:t>，</w:t>
      </w:r>
      <w:r>
        <w:rPr>
          <w:rFonts w:hint="eastAsia"/>
        </w:rPr>
        <w:t>满足《公路环境保护设计规范》</w:t>
      </w:r>
      <w:r>
        <w:rPr>
          <w:rFonts w:hint="eastAsia"/>
          <w:lang w:eastAsia="zh-CN"/>
        </w:rPr>
        <w:t>（JTG B04-2010）</w:t>
      </w:r>
      <w:r>
        <w:rPr>
          <w:rFonts w:hint="eastAsia"/>
        </w:rPr>
        <w:t>选址要求</w:t>
      </w:r>
      <w:r>
        <w:rPr>
          <w:rFonts w:hint="eastAsia"/>
          <w:lang w:eastAsia="zh-CN"/>
        </w:rPr>
        <w:t>，对周围环境影响较小。</w:t>
      </w:r>
    </w:p>
    <w:p>
      <w:pPr>
        <w:pStyle w:val="10"/>
        <w:ind w:firstLine="480"/>
      </w:pPr>
      <w:r>
        <w:rPr>
          <w:rFonts w:hint="eastAsia"/>
          <w:lang w:eastAsia="zh-CN"/>
        </w:rPr>
        <w:t>沥青摊铺过程中也会产生沥青烟雾的挥发</w:t>
      </w:r>
      <w:r>
        <w:t>施工期间的沥青摊铺等作业过程中将会有沥青烟和苯并[α]芘的排出，对周围环境影响较大的污染物主要为苯并[α]芘。</w:t>
      </w:r>
    </w:p>
    <w:p>
      <w:pPr>
        <w:pStyle w:val="10"/>
        <w:ind w:firstLine="480"/>
      </w:pPr>
      <w:r>
        <w:t>为了解和评价路面摊铺阶段沥青烟气对环境空气的影响，本评价类比连霍高速公路洛阳至三门峡段施工期间在路面摊铺阶段进行的苯并[α]芘监测结果，详见表5.2-</w:t>
      </w:r>
      <w:r>
        <w:rPr>
          <w:rFonts w:hint="eastAsia"/>
          <w:lang w:val="en-US" w:eastAsia="zh-CN"/>
        </w:rPr>
        <w:t>3</w:t>
      </w:r>
      <w:r>
        <w:t>。</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r>
        <w:t xml:space="preserve">  连霍高速公路洛阳至三门峡段施工期间苯并[α]芘监测结果一览表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455"/>
        <w:gridCol w:w="1236"/>
        <w:gridCol w:w="1082"/>
        <w:gridCol w:w="1392"/>
        <w:gridCol w:w="2320"/>
        <w:gridCol w:w="1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noWrap/>
            <w:vAlign w:val="center"/>
          </w:tcPr>
          <w:p>
            <w:pPr>
              <w:pStyle w:val="1132"/>
            </w:pPr>
            <w:r>
              <w:t>监测路段</w:t>
            </w:r>
          </w:p>
        </w:tc>
        <w:tc>
          <w:tcPr>
            <w:tcW w:w="673" w:type="pct"/>
            <w:noWrap/>
            <w:vAlign w:val="center"/>
          </w:tcPr>
          <w:p>
            <w:pPr>
              <w:pStyle w:val="1132"/>
            </w:pPr>
            <w:r>
              <w:t>监测时段</w:t>
            </w:r>
          </w:p>
        </w:tc>
        <w:tc>
          <w:tcPr>
            <w:tcW w:w="1347" w:type="pct"/>
            <w:gridSpan w:val="2"/>
            <w:noWrap/>
            <w:vAlign w:val="center"/>
          </w:tcPr>
          <w:p>
            <w:pPr>
              <w:pStyle w:val="1132"/>
            </w:pPr>
            <w:r>
              <w:t>监测场地</w:t>
            </w:r>
          </w:p>
        </w:tc>
        <w:tc>
          <w:tcPr>
            <w:tcW w:w="1263" w:type="pct"/>
            <w:noWrap/>
            <w:vAlign w:val="center"/>
          </w:tcPr>
          <w:p>
            <w:pPr>
              <w:pStyle w:val="1132"/>
            </w:pPr>
            <w:r>
              <w:t>BaP日均浓度范围（×10</w:t>
            </w:r>
            <w:r>
              <w:rPr>
                <w:vertAlign w:val="superscript"/>
              </w:rPr>
              <w:t>-3</w:t>
            </w:r>
            <w:r>
              <w:t>mg/Nm</w:t>
            </w:r>
            <w:r>
              <w:rPr>
                <w:vertAlign w:val="superscript"/>
              </w:rPr>
              <w:t>3</w:t>
            </w:r>
            <w:r>
              <w:t>）</w:t>
            </w:r>
          </w:p>
        </w:tc>
        <w:tc>
          <w:tcPr>
            <w:tcW w:w="925" w:type="pct"/>
            <w:noWrap/>
            <w:vAlign w:val="center"/>
          </w:tcPr>
          <w:p>
            <w:pPr>
              <w:pStyle w:val="1132"/>
            </w:pPr>
            <w:r>
              <w:t>监测点位置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restart"/>
            <w:noWrap/>
            <w:vAlign w:val="center"/>
          </w:tcPr>
          <w:p>
            <w:pPr>
              <w:pStyle w:val="1132"/>
            </w:pPr>
            <w:r>
              <w:t>洛阳—三门峡</w:t>
            </w:r>
          </w:p>
        </w:tc>
        <w:tc>
          <w:tcPr>
            <w:tcW w:w="673" w:type="pct"/>
            <w:vMerge w:val="restart"/>
            <w:noWrap/>
            <w:vAlign w:val="center"/>
          </w:tcPr>
          <w:p>
            <w:pPr>
              <w:pStyle w:val="1132"/>
            </w:pPr>
            <w:r>
              <w:t>路面摊铺施工阶段</w:t>
            </w:r>
          </w:p>
        </w:tc>
        <w:tc>
          <w:tcPr>
            <w:tcW w:w="589" w:type="pct"/>
            <w:vMerge w:val="restart"/>
            <w:noWrap/>
            <w:vAlign w:val="center"/>
          </w:tcPr>
          <w:p>
            <w:pPr>
              <w:pStyle w:val="1132"/>
            </w:pPr>
            <w:r>
              <w:t>K28</w:t>
            </w:r>
          </w:p>
        </w:tc>
        <w:tc>
          <w:tcPr>
            <w:tcW w:w="758" w:type="pct"/>
            <w:vAlign w:val="center"/>
          </w:tcPr>
          <w:p>
            <w:pPr>
              <w:pStyle w:val="1132"/>
            </w:pPr>
            <w:r>
              <w:t>未铺路面前</w:t>
            </w:r>
          </w:p>
        </w:tc>
        <w:tc>
          <w:tcPr>
            <w:tcW w:w="1263" w:type="pct"/>
            <w:noWrap/>
            <w:vAlign w:val="center"/>
          </w:tcPr>
          <w:p>
            <w:pPr>
              <w:pStyle w:val="1132"/>
            </w:pPr>
            <w:r>
              <w:t>0.54</w:t>
            </w:r>
          </w:p>
        </w:tc>
        <w:tc>
          <w:tcPr>
            <w:tcW w:w="925" w:type="pct"/>
            <w:vMerge w:val="restart"/>
            <w:noWrap/>
            <w:vAlign w:val="center"/>
          </w:tcPr>
          <w:p>
            <w:pPr>
              <w:pStyle w:val="1132"/>
            </w:pPr>
            <w:r>
              <w:t>公路沿线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continue"/>
            <w:noWrap/>
            <w:vAlign w:val="center"/>
          </w:tcPr>
          <w:p>
            <w:pPr>
              <w:pStyle w:val="1132"/>
            </w:pPr>
          </w:p>
        </w:tc>
        <w:tc>
          <w:tcPr>
            <w:tcW w:w="758" w:type="pct"/>
            <w:vAlign w:val="center"/>
          </w:tcPr>
          <w:p>
            <w:pPr>
              <w:pStyle w:val="1132"/>
            </w:pPr>
            <w:r>
              <w:t>路面铺设时</w:t>
            </w:r>
          </w:p>
        </w:tc>
        <w:tc>
          <w:tcPr>
            <w:tcW w:w="1263" w:type="pct"/>
            <w:noWrap/>
            <w:vAlign w:val="center"/>
          </w:tcPr>
          <w:p>
            <w:pPr>
              <w:pStyle w:val="1132"/>
            </w:pPr>
            <w:r>
              <w:t>6.8～6.9</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continue"/>
            <w:noWrap/>
            <w:vAlign w:val="center"/>
          </w:tcPr>
          <w:p>
            <w:pPr>
              <w:pStyle w:val="1132"/>
            </w:pPr>
          </w:p>
        </w:tc>
        <w:tc>
          <w:tcPr>
            <w:tcW w:w="758" w:type="pct"/>
            <w:vAlign w:val="center"/>
          </w:tcPr>
          <w:p>
            <w:pPr>
              <w:pStyle w:val="1132"/>
            </w:pPr>
            <w:r>
              <w:t>超标率%</w:t>
            </w:r>
          </w:p>
        </w:tc>
        <w:tc>
          <w:tcPr>
            <w:tcW w:w="1263" w:type="pct"/>
            <w:noWrap/>
            <w:vAlign w:val="center"/>
          </w:tcPr>
          <w:p>
            <w:pPr>
              <w:pStyle w:val="1132"/>
            </w:pPr>
            <w:r>
              <w:t>1.76</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restart"/>
            <w:noWrap/>
            <w:vAlign w:val="center"/>
          </w:tcPr>
          <w:p>
            <w:pPr>
              <w:pStyle w:val="1132"/>
            </w:pPr>
            <w:r>
              <w:t>K52</w:t>
            </w:r>
          </w:p>
        </w:tc>
        <w:tc>
          <w:tcPr>
            <w:tcW w:w="758" w:type="pct"/>
            <w:vAlign w:val="center"/>
          </w:tcPr>
          <w:p>
            <w:pPr>
              <w:pStyle w:val="1132"/>
            </w:pPr>
            <w:r>
              <w:t>未铺路面前</w:t>
            </w:r>
          </w:p>
        </w:tc>
        <w:tc>
          <w:tcPr>
            <w:tcW w:w="1263" w:type="pct"/>
            <w:noWrap/>
            <w:vAlign w:val="center"/>
          </w:tcPr>
          <w:p>
            <w:pPr>
              <w:pStyle w:val="1132"/>
            </w:pPr>
            <w:r>
              <w:t>0.58</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continue"/>
            <w:noWrap/>
            <w:vAlign w:val="center"/>
          </w:tcPr>
          <w:p>
            <w:pPr>
              <w:pStyle w:val="1132"/>
            </w:pPr>
          </w:p>
        </w:tc>
        <w:tc>
          <w:tcPr>
            <w:tcW w:w="758" w:type="pct"/>
            <w:vAlign w:val="center"/>
          </w:tcPr>
          <w:p>
            <w:pPr>
              <w:pStyle w:val="1132"/>
            </w:pPr>
            <w:r>
              <w:t>路面铺设时</w:t>
            </w:r>
          </w:p>
        </w:tc>
        <w:tc>
          <w:tcPr>
            <w:tcW w:w="1263" w:type="pct"/>
            <w:noWrap/>
            <w:vAlign w:val="center"/>
          </w:tcPr>
          <w:p>
            <w:pPr>
              <w:pStyle w:val="1132"/>
            </w:pPr>
            <w:r>
              <w:t>2.7～3.5</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continue"/>
            <w:noWrap/>
            <w:vAlign w:val="center"/>
          </w:tcPr>
          <w:p>
            <w:pPr>
              <w:pStyle w:val="1132"/>
            </w:pPr>
          </w:p>
        </w:tc>
        <w:tc>
          <w:tcPr>
            <w:tcW w:w="758" w:type="pct"/>
            <w:vAlign w:val="center"/>
          </w:tcPr>
          <w:p>
            <w:pPr>
              <w:pStyle w:val="1132"/>
            </w:pPr>
            <w:r>
              <w:t>超标率%</w:t>
            </w:r>
          </w:p>
        </w:tc>
        <w:tc>
          <w:tcPr>
            <w:tcW w:w="1263" w:type="pct"/>
            <w:noWrap/>
            <w:vAlign w:val="center"/>
          </w:tcPr>
          <w:p>
            <w:pPr>
              <w:pStyle w:val="1132"/>
            </w:pPr>
            <w:r>
              <w:t>0.4</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restart"/>
            <w:noWrap/>
            <w:vAlign w:val="center"/>
          </w:tcPr>
          <w:p>
            <w:pPr>
              <w:pStyle w:val="1132"/>
            </w:pPr>
            <w:r>
              <w:t>K82</w:t>
            </w:r>
          </w:p>
        </w:tc>
        <w:tc>
          <w:tcPr>
            <w:tcW w:w="758" w:type="pct"/>
            <w:vAlign w:val="center"/>
          </w:tcPr>
          <w:p>
            <w:pPr>
              <w:pStyle w:val="1132"/>
            </w:pPr>
            <w:r>
              <w:t>未铺路面前</w:t>
            </w:r>
          </w:p>
        </w:tc>
        <w:tc>
          <w:tcPr>
            <w:tcW w:w="1263" w:type="pct"/>
            <w:noWrap/>
            <w:vAlign w:val="center"/>
          </w:tcPr>
          <w:p>
            <w:pPr>
              <w:pStyle w:val="1132"/>
            </w:pPr>
            <w:r>
              <w:t>0.77</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continue"/>
            <w:noWrap/>
            <w:vAlign w:val="center"/>
          </w:tcPr>
          <w:p>
            <w:pPr>
              <w:pStyle w:val="1132"/>
            </w:pPr>
          </w:p>
        </w:tc>
        <w:tc>
          <w:tcPr>
            <w:tcW w:w="758" w:type="pct"/>
            <w:vAlign w:val="center"/>
          </w:tcPr>
          <w:p>
            <w:pPr>
              <w:pStyle w:val="1132"/>
            </w:pPr>
            <w:r>
              <w:t>路面铺设时</w:t>
            </w:r>
          </w:p>
        </w:tc>
        <w:tc>
          <w:tcPr>
            <w:tcW w:w="1263" w:type="pct"/>
            <w:noWrap/>
            <w:vAlign w:val="center"/>
          </w:tcPr>
          <w:p>
            <w:pPr>
              <w:pStyle w:val="1132"/>
            </w:pPr>
            <w:r>
              <w:t>4.5～5.2</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continue"/>
            <w:noWrap/>
            <w:vAlign w:val="center"/>
          </w:tcPr>
          <w:p>
            <w:pPr>
              <w:pStyle w:val="1132"/>
            </w:pPr>
          </w:p>
        </w:tc>
        <w:tc>
          <w:tcPr>
            <w:tcW w:w="758" w:type="pct"/>
            <w:vAlign w:val="center"/>
          </w:tcPr>
          <w:p>
            <w:pPr>
              <w:pStyle w:val="1132"/>
            </w:pPr>
            <w:r>
              <w:t>超标率%</w:t>
            </w:r>
          </w:p>
        </w:tc>
        <w:tc>
          <w:tcPr>
            <w:tcW w:w="1263" w:type="pct"/>
            <w:noWrap/>
            <w:vAlign w:val="center"/>
          </w:tcPr>
          <w:p>
            <w:pPr>
              <w:pStyle w:val="1132"/>
            </w:pPr>
            <w:r>
              <w:t>1.08</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restart"/>
            <w:noWrap/>
            <w:vAlign w:val="center"/>
          </w:tcPr>
          <w:p>
            <w:pPr>
              <w:pStyle w:val="1132"/>
            </w:pPr>
            <w:r>
              <w:t>K114</w:t>
            </w:r>
          </w:p>
        </w:tc>
        <w:tc>
          <w:tcPr>
            <w:tcW w:w="758" w:type="pct"/>
            <w:vAlign w:val="center"/>
          </w:tcPr>
          <w:p>
            <w:pPr>
              <w:pStyle w:val="1132"/>
            </w:pPr>
            <w:r>
              <w:t>未铺路面前</w:t>
            </w:r>
          </w:p>
        </w:tc>
        <w:tc>
          <w:tcPr>
            <w:tcW w:w="1263" w:type="pct"/>
            <w:noWrap/>
            <w:vAlign w:val="center"/>
          </w:tcPr>
          <w:p>
            <w:pPr>
              <w:pStyle w:val="1132"/>
            </w:pPr>
            <w:r>
              <w:t>0.33</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continue"/>
            <w:noWrap/>
            <w:vAlign w:val="center"/>
          </w:tcPr>
          <w:p>
            <w:pPr>
              <w:pStyle w:val="1132"/>
            </w:pPr>
          </w:p>
        </w:tc>
        <w:tc>
          <w:tcPr>
            <w:tcW w:w="758" w:type="pct"/>
            <w:vAlign w:val="center"/>
          </w:tcPr>
          <w:p>
            <w:pPr>
              <w:pStyle w:val="1132"/>
            </w:pPr>
            <w:r>
              <w:t>路面铺设时</w:t>
            </w:r>
          </w:p>
        </w:tc>
        <w:tc>
          <w:tcPr>
            <w:tcW w:w="1263" w:type="pct"/>
            <w:noWrap/>
            <w:vAlign w:val="center"/>
          </w:tcPr>
          <w:p>
            <w:pPr>
              <w:pStyle w:val="1132"/>
            </w:pPr>
            <w:r>
              <w:t>2.5～3.3</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continue"/>
            <w:noWrap/>
            <w:vAlign w:val="center"/>
          </w:tcPr>
          <w:p>
            <w:pPr>
              <w:pStyle w:val="1132"/>
            </w:pPr>
          </w:p>
        </w:tc>
        <w:tc>
          <w:tcPr>
            <w:tcW w:w="758" w:type="pct"/>
            <w:vAlign w:val="center"/>
          </w:tcPr>
          <w:p>
            <w:pPr>
              <w:pStyle w:val="1132"/>
            </w:pPr>
            <w:r>
              <w:t>超标率%</w:t>
            </w:r>
          </w:p>
        </w:tc>
        <w:tc>
          <w:tcPr>
            <w:tcW w:w="1263" w:type="pct"/>
            <w:noWrap/>
            <w:vAlign w:val="center"/>
          </w:tcPr>
          <w:p>
            <w:pPr>
              <w:pStyle w:val="1132"/>
            </w:pPr>
            <w:r>
              <w:t>0.32</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restart"/>
            <w:noWrap/>
            <w:vAlign w:val="center"/>
          </w:tcPr>
          <w:p>
            <w:pPr>
              <w:pStyle w:val="1132"/>
            </w:pPr>
            <w:r>
              <w:t>K134</w:t>
            </w:r>
          </w:p>
        </w:tc>
        <w:tc>
          <w:tcPr>
            <w:tcW w:w="758" w:type="pct"/>
            <w:vAlign w:val="center"/>
          </w:tcPr>
          <w:p>
            <w:pPr>
              <w:pStyle w:val="1132"/>
            </w:pPr>
            <w:r>
              <w:t>未铺路面前</w:t>
            </w:r>
          </w:p>
        </w:tc>
        <w:tc>
          <w:tcPr>
            <w:tcW w:w="1263" w:type="pct"/>
            <w:noWrap/>
            <w:vAlign w:val="center"/>
          </w:tcPr>
          <w:p>
            <w:pPr>
              <w:pStyle w:val="1132"/>
            </w:pPr>
            <w:r>
              <w:t>0.56</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continue"/>
            <w:noWrap/>
            <w:vAlign w:val="center"/>
          </w:tcPr>
          <w:p>
            <w:pPr>
              <w:pStyle w:val="1132"/>
            </w:pPr>
          </w:p>
        </w:tc>
        <w:tc>
          <w:tcPr>
            <w:tcW w:w="758" w:type="pct"/>
            <w:vAlign w:val="center"/>
          </w:tcPr>
          <w:p>
            <w:pPr>
              <w:pStyle w:val="1132"/>
            </w:pPr>
            <w:r>
              <w:t>路面铺设时</w:t>
            </w:r>
          </w:p>
        </w:tc>
        <w:tc>
          <w:tcPr>
            <w:tcW w:w="1263" w:type="pct"/>
            <w:noWrap/>
            <w:vAlign w:val="center"/>
          </w:tcPr>
          <w:p>
            <w:pPr>
              <w:pStyle w:val="1132"/>
            </w:pPr>
            <w:r>
              <w:t>3.3～6.0</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2" w:type="pct"/>
            <w:vMerge w:val="continue"/>
            <w:noWrap/>
            <w:vAlign w:val="center"/>
          </w:tcPr>
          <w:p>
            <w:pPr>
              <w:pStyle w:val="1132"/>
            </w:pPr>
          </w:p>
        </w:tc>
        <w:tc>
          <w:tcPr>
            <w:tcW w:w="673" w:type="pct"/>
            <w:vMerge w:val="continue"/>
            <w:noWrap/>
            <w:vAlign w:val="center"/>
          </w:tcPr>
          <w:p>
            <w:pPr>
              <w:pStyle w:val="1132"/>
            </w:pPr>
          </w:p>
        </w:tc>
        <w:tc>
          <w:tcPr>
            <w:tcW w:w="589" w:type="pct"/>
            <w:vMerge w:val="continue"/>
            <w:noWrap/>
            <w:vAlign w:val="center"/>
          </w:tcPr>
          <w:p>
            <w:pPr>
              <w:pStyle w:val="1132"/>
            </w:pPr>
          </w:p>
        </w:tc>
        <w:tc>
          <w:tcPr>
            <w:tcW w:w="758" w:type="pct"/>
            <w:vAlign w:val="center"/>
          </w:tcPr>
          <w:p>
            <w:pPr>
              <w:pStyle w:val="1132"/>
            </w:pPr>
            <w:r>
              <w:t>超标率%</w:t>
            </w:r>
          </w:p>
        </w:tc>
        <w:tc>
          <w:tcPr>
            <w:tcW w:w="1263" w:type="pct"/>
            <w:noWrap/>
            <w:vAlign w:val="center"/>
          </w:tcPr>
          <w:p>
            <w:pPr>
              <w:pStyle w:val="1132"/>
            </w:pPr>
            <w:r>
              <w:t>1.40</w:t>
            </w:r>
          </w:p>
        </w:tc>
        <w:tc>
          <w:tcPr>
            <w:tcW w:w="925" w:type="pct"/>
            <w:vMerge w:val="continue"/>
            <w:noWrap/>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2054" w:type="pct"/>
            <w:gridSpan w:val="3"/>
            <w:noWrap/>
            <w:vAlign w:val="center"/>
          </w:tcPr>
          <w:p>
            <w:pPr>
              <w:pStyle w:val="1132"/>
            </w:pPr>
            <w:r>
              <w:t>执行标准《环境空气质量标准》（GB3095-2012）二级标准</w:t>
            </w:r>
          </w:p>
        </w:tc>
        <w:tc>
          <w:tcPr>
            <w:tcW w:w="2946" w:type="pct"/>
            <w:gridSpan w:val="3"/>
            <w:vAlign w:val="center"/>
          </w:tcPr>
          <w:p>
            <w:pPr>
              <w:pStyle w:val="1132"/>
            </w:pPr>
            <w:r>
              <w:t>0.0025μg/m</w:t>
            </w:r>
            <w:r>
              <w:rPr>
                <w:vertAlign w:val="superscript"/>
              </w:rPr>
              <w:t>3</w:t>
            </w:r>
          </w:p>
        </w:tc>
      </w:tr>
    </w:tbl>
    <w:p>
      <w:pPr>
        <w:pStyle w:val="10"/>
        <w:ind w:firstLine="480"/>
      </w:pPr>
      <w:r>
        <w:t>由表5.2</w:t>
      </w:r>
      <w:r>
        <w:rPr>
          <w:rFonts w:hint="eastAsia"/>
        </w:rPr>
        <w:t>-</w:t>
      </w:r>
      <w:r>
        <w:t>4可知，路面铺设沥青期间道路沿线环境空气中苯并[α]芘日均浓度值与未铺设路面前的背景值相比均有增加，且均不能满足《环境空气质量标准》（GB3095-2012）二级标准限值要求。根据以往对公路施工的调查和监测资料，沥青摊铺时的沥青烟气污染相对熔融烟气是很小的，其主要可能对施工人员造成一定程度的影响，对周围环境空气影响较小，并且这种影响也是暂时性和局部性的，随着施工期的结束而结束。</w:t>
      </w:r>
    </w:p>
    <w:bookmarkEnd w:id="335"/>
    <w:p>
      <w:pPr>
        <w:pStyle w:val="8"/>
        <w:rPr>
          <w:b/>
          <w:bCs/>
        </w:rPr>
      </w:pPr>
      <w:bookmarkStart w:id="348" w:name="_Toc9839"/>
      <w:r>
        <w:rPr>
          <w:b/>
          <w:bCs/>
        </w:rPr>
        <w:t>运营期</w:t>
      </w:r>
      <w:bookmarkEnd w:id="348"/>
    </w:p>
    <w:p>
      <w:pPr>
        <w:pStyle w:val="10"/>
        <w:ind w:firstLine="480"/>
        <w:rPr>
          <w:lang w:val="zh-CN"/>
        </w:rPr>
      </w:pPr>
      <w:r>
        <w:rPr>
          <w:lang w:val="zh-CN"/>
        </w:rPr>
        <w:t>项目营运期大气环境影响主要来自汽车尾气</w:t>
      </w:r>
      <w:r>
        <w:rPr>
          <w:rFonts w:hint="eastAsia"/>
          <w:lang w:val="zh-CN"/>
        </w:rPr>
        <w:t>。</w:t>
      </w:r>
    </w:p>
    <w:p>
      <w:pPr>
        <w:pStyle w:val="10"/>
        <w:ind w:firstLine="480"/>
        <w:rPr>
          <w:lang w:val="zh-CN"/>
        </w:rPr>
      </w:pPr>
      <w:r>
        <w:rPr>
          <w:lang w:val="zh-CN"/>
        </w:rPr>
        <w:t>公路运营期产生的空气环境污染物主要为汽车尾气中的NOx，</w:t>
      </w:r>
      <w:r>
        <w:t>道路上行驶汽车排放的尾气产生的污染可作为线源处理，根据《公路建设项目环境影响评价规范》（JTGB03-2006）中预测交通量及车型构成比，采用国内主要车型排放因子资料，</w:t>
      </w:r>
      <w:r>
        <w:rPr>
          <w:snapToGrid w:val="0"/>
        </w:rPr>
        <w:t>污染源强可经计算得出，具体源强计算结果可见工程分析3.6.2.2章节。</w:t>
      </w:r>
    </w:p>
    <w:p>
      <w:pPr>
        <w:pStyle w:val="10"/>
        <w:ind w:firstLine="480"/>
        <w:rPr>
          <w:lang w:val="zh-CN"/>
        </w:rPr>
      </w:pPr>
      <w:r>
        <w:rPr>
          <w:lang w:val="zh-CN"/>
        </w:rPr>
        <w:t>采用类比分析方法分析项目运营期的NO</w:t>
      </w:r>
      <w:r>
        <w:rPr>
          <w:vertAlign w:val="subscript"/>
          <w:lang w:val="zh-CN"/>
        </w:rPr>
        <w:t>2</w:t>
      </w:r>
      <w:r>
        <w:rPr>
          <w:lang w:val="zh-CN"/>
        </w:rPr>
        <w:t>对周围空气环境产生的污染影响。选取不同地区高速公路竣工验收环境空气监测结果，类比分析本项目建成后汽车尾气对周围环境空气的影响。</w:t>
      </w:r>
    </w:p>
    <w:p>
      <w:pPr>
        <w:pStyle w:val="10"/>
        <w:ind w:firstLine="480"/>
        <w:rPr>
          <w:color w:val="0070C0"/>
          <w:kern w:val="0"/>
          <w:lang w:val="zh-CN"/>
        </w:rPr>
      </w:pPr>
      <w:r>
        <w:rPr>
          <w:lang w:val="zh-CN"/>
        </w:rPr>
        <w:t>江西境内赣粤高速公路（赣州至定南段）竣工环境保护验收监测结果表明（见表5.2-5），距公路中心线20m处NO</w:t>
      </w:r>
      <w:r>
        <w:rPr>
          <w:vertAlign w:val="subscript"/>
          <w:lang w:val="zh-CN"/>
        </w:rPr>
        <w:t>2</w:t>
      </w:r>
      <w:r>
        <w:rPr>
          <w:lang w:val="zh-CN"/>
        </w:rPr>
        <w:t>监测结果能够满足《环境空气质量标准》（GB3095-2012）二级标准；赣粤高速公路（赣州至定南段）交通量为16743pcu/d。本</w:t>
      </w:r>
      <w:r>
        <w:rPr>
          <w:rFonts w:hint="eastAsia"/>
          <w:lang w:val="zh-CN"/>
        </w:rPr>
        <w:t>项目</w:t>
      </w:r>
      <w:r>
        <w:t>交通量为</w:t>
      </w:r>
      <w:r>
        <w:rPr>
          <w:rFonts w:hint="eastAsia"/>
        </w:rPr>
        <w:t>远期收费站进出口最高为</w:t>
      </w:r>
      <w:r>
        <w:rPr>
          <w:lang w:val="zh-CN"/>
        </w:rPr>
        <w:t>6865pcu/d，</w:t>
      </w:r>
      <w:r>
        <w:rPr>
          <w:rFonts w:hint="eastAsia"/>
          <w:lang w:val="zh-CN"/>
        </w:rPr>
        <w:t>远</w:t>
      </w:r>
      <w:r>
        <w:rPr>
          <w:lang w:val="zh-CN"/>
        </w:rPr>
        <w:t>小于类比公路的交通量（16743pcu/d）。因此，公路建成后，汽车尾气中NO</w:t>
      </w:r>
      <w:r>
        <w:rPr>
          <w:vertAlign w:val="subscript"/>
          <w:lang w:val="zh-CN"/>
        </w:rPr>
        <w:t>2</w:t>
      </w:r>
      <w:r>
        <w:rPr>
          <w:lang w:val="zh-CN"/>
        </w:rPr>
        <w:t>在距公路中心线20m处可达到《环境空气质量标准》中二级标准。</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t xml:space="preserve">  赣粤高速公路（赣州至定南段）环境空气检测结果</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9"/>
        <w:gridCol w:w="3238"/>
        <w:gridCol w:w="2355"/>
        <w:gridCol w:w="1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3" w:hRule="atLeast"/>
          <w:jc w:val="center"/>
        </w:trPr>
        <w:tc>
          <w:tcPr>
            <w:tcW w:w="1617" w:type="dxa"/>
            <w:vMerge w:val="restart"/>
            <w:noWrap/>
            <w:tcMar>
              <w:left w:w="0" w:type="dxa"/>
              <w:right w:w="0" w:type="dxa"/>
            </w:tcMar>
            <w:vAlign w:val="center"/>
          </w:tcPr>
          <w:p>
            <w:pPr>
              <w:pStyle w:val="1132"/>
            </w:pPr>
            <w:r>
              <w:t>公路名称</w:t>
            </w:r>
          </w:p>
        </w:tc>
        <w:tc>
          <w:tcPr>
            <w:tcW w:w="3118" w:type="dxa"/>
            <w:vMerge w:val="restart"/>
            <w:noWrap/>
            <w:tcMar>
              <w:left w:w="0" w:type="dxa"/>
              <w:right w:w="0" w:type="dxa"/>
            </w:tcMar>
            <w:vAlign w:val="center"/>
          </w:tcPr>
          <w:p>
            <w:pPr>
              <w:pStyle w:val="1132"/>
            </w:pPr>
            <w:r>
              <w:t>距道路中心线距离（m）</w:t>
            </w:r>
          </w:p>
        </w:tc>
        <w:tc>
          <w:tcPr>
            <w:tcW w:w="2268" w:type="dxa"/>
            <w:vAlign w:val="center"/>
          </w:tcPr>
          <w:p>
            <w:pPr>
              <w:pStyle w:val="1132"/>
            </w:pPr>
            <w:r>
              <w:t>NO</w:t>
            </w:r>
            <w:r>
              <w:rPr>
                <w:vertAlign w:val="subscript"/>
              </w:rPr>
              <w:t>2</w:t>
            </w:r>
            <w:r>
              <w:t>浓度（mg/m</w:t>
            </w:r>
            <w:r>
              <w:rPr>
                <w:vertAlign w:val="superscript"/>
              </w:rPr>
              <w:t>3</w:t>
            </w:r>
            <w:r>
              <w:t>）</w:t>
            </w:r>
          </w:p>
        </w:tc>
        <w:tc>
          <w:tcPr>
            <w:tcW w:w="1840" w:type="dxa"/>
            <w:vAlign w:val="center"/>
          </w:tcPr>
          <w:p>
            <w:pPr>
              <w:pStyle w:val="1132"/>
            </w:pPr>
            <w:r>
              <w:t>交通量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2" w:hRule="atLeast"/>
          <w:jc w:val="center"/>
        </w:trPr>
        <w:tc>
          <w:tcPr>
            <w:tcW w:w="1617" w:type="dxa"/>
            <w:vMerge w:val="continue"/>
            <w:noWrap/>
            <w:tcMar>
              <w:left w:w="0" w:type="dxa"/>
              <w:right w:w="0" w:type="dxa"/>
            </w:tcMar>
            <w:vAlign w:val="center"/>
          </w:tcPr>
          <w:p>
            <w:pPr>
              <w:pStyle w:val="1132"/>
            </w:pPr>
          </w:p>
        </w:tc>
        <w:tc>
          <w:tcPr>
            <w:tcW w:w="3118" w:type="dxa"/>
            <w:vMerge w:val="continue"/>
            <w:noWrap/>
            <w:tcMar>
              <w:left w:w="0" w:type="dxa"/>
              <w:right w:w="0" w:type="dxa"/>
            </w:tcMar>
            <w:vAlign w:val="center"/>
          </w:tcPr>
          <w:p>
            <w:pPr>
              <w:pStyle w:val="1132"/>
            </w:pPr>
          </w:p>
        </w:tc>
        <w:tc>
          <w:tcPr>
            <w:tcW w:w="2268" w:type="dxa"/>
            <w:vAlign w:val="center"/>
          </w:tcPr>
          <w:p>
            <w:pPr>
              <w:pStyle w:val="1132"/>
            </w:pPr>
            <w:r>
              <w:t>小时均值</w:t>
            </w:r>
          </w:p>
        </w:tc>
        <w:tc>
          <w:tcPr>
            <w:tcW w:w="1840" w:type="dxa"/>
            <w:vAlign w:val="center"/>
          </w:tcPr>
          <w:p>
            <w:pPr>
              <w:pStyle w:val="1132"/>
            </w:pPr>
            <w:r>
              <w:t>标准车型pcu/d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4" w:hRule="atLeast"/>
          <w:jc w:val="center"/>
        </w:trPr>
        <w:tc>
          <w:tcPr>
            <w:tcW w:w="1617" w:type="dxa"/>
            <w:vMerge w:val="restart"/>
            <w:noWrap/>
            <w:tcMar>
              <w:left w:w="0" w:type="dxa"/>
              <w:right w:w="0" w:type="dxa"/>
            </w:tcMar>
            <w:vAlign w:val="center"/>
          </w:tcPr>
          <w:p>
            <w:pPr>
              <w:pStyle w:val="1132"/>
            </w:pPr>
            <w:r>
              <w:t>赣粤高速公路</w:t>
            </w:r>
          </w:p>
        </w:tc>
        <w:tc>
          <w:tcPr>
            <w:tcW w:w="3118" w:type="dxa"/>
            <w:noWrap/>
            <w:tcMar>
              <w:left w:w="0" w:type="dxa"/>
              <w:right w:w="0" w:type="dxa"/>
            </w:tcMar>
            <w:vAlign w:val="center"/>
          </w:tcPr>
          <w:p>
            <w:pPr>
              <w:pStyle w:val="1132"/>
            </w:pPr>
            <w:r>
              <w:t>20</w:t>
            </w:r>
          </w:p>
        </w:tc>
        <w:tc>
          <w:tcPr>
            <w:tcW w:w="2268" w:type="dxa"/>
            <w:vAlign w:val="center"/>
          </w:tcPr>
          <w:p>
            <w:pPr>
              <w:pStyle w:val="1132"/>
            </w:pPr>
            <w:r>
              <w:t>0.005-0.025</w:t>
            </w:r>
          </w:p>
        </w:tc>
        <w:tc>
          <w:tcPr>
            <w:tcW w:w="1840" w:type="dxa"/>
            <w:vMerge w:val="restart"/>
            <w:noWrap/>
            <w:tcMar>
              <w:left w:w="0" w:type="dxa"/>
              <w:right w:w="0" w:type="dxa"/>
            </w:tcMar>
            <w:vAlign w:val="center"/>
          </w:tcPr>
          <w:p>
            <w:pPr>
              <w:pStyle w:val="1132"/>
            </w:pPr>
            <w:r>
              <w:t>16743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4" w:hRule="atLeast"/>
          <w:jc w:val="center"/>
        </w:trPr>
        <w:tc>
          <w:tcPr>
            <w:tcW w:w="1617" w:type="dxa"/>
            <w:vMerge w:val="continue"/>
            <w:noWrap/>
            <w:tcMar>
              <w:left w:w="0" w:type="dxa"/>
              <w:right w:w="0" w:type="dxa"/>
            </w:tcMar>
            <w:vAlign w:val="center"/>
          </w:tcPr>
          <w:p>
            <w:pPr>
              <w:pStyle w:val="1132"/>
            </w:pPr>
          </w:p>
        </w:tc>
        <w:tc>
          <w:tcPr>
            <w:tcW w:w="3118" w:type="dxa"/>
            <w:noWrap/>
            <w:tcMar>
              <w:left w:w="0" w:type="dxa"/>
              <w:right w:w="0" w:type="dxa"/>
            </w:tcMar>
            <w:vAlign w:val="center"/>
          </w:tcPr>
          <w:p>
            <w:pPr>
              <w:pStyle w:val="1132"/>
            </w:pPr>
            <w:r>
              <w:t>30</w:t>
            </w:r>
          </w:p>
        </w:tc>
        <w:tc>
          <w:tcPr>
            <w:tcW w:w="2268" w:type="dxa"/>
            <w:vAlign w:val="center"/>
          </w:tcPr>
          <w:p>
            <w:pPr>
              <w:pStyle w:val="1132"/>
            </w:pPr>
            <w:r>
              <w:t>0.005-0.015</w:t>
            </w:r>
          </w:p>
        </w:tc>
        <w:tc>
          <w:tcPr>
            <w:tcW w:w="1840" w:type="dxa"/>
            <w:vMerge w:val="continue"/>
            <w:noWrap/>
            <w:tcMar>
              <w:left w:w="0" w:type="dxa"/>
              <w:right w:w="0" w:type="dxa"/>
            </w:tcMar>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4" w:hRule="atLeast"/>
          <w:jc w:val="center"/>
        </w:trPr>
        <w:tc>
          <w:tcPr>
            <w:tcW w:w="4735" w:type="dxa"/>
            <w:gridSpan w:val="2"/>
            <w:noWrap/>
            <w:tcMar>
              <w:left w:w="0" w:type="dxa"/>
              <w:right w:w="0" w:type="dxa"/>
            </w:tcMar>
            <w:vAlign w:val="center"/>
          </w:tcPr>
          <w:p>
            <w:pPr>
              <w:pStyle w:val="1132"/>
            </w:pPr>
            <w:r>
              <w:t>环境空气质量标准（GB3095-2012）</w:t>
            </w:r>
          </w:p>
        </w:tc>
        <w:tc>
          <w:tcPr>
            <w:tcW w:w="2268" w:type="dxa"/>
            <w:vAlign w:val="center"/>
          </w:tcPr>
          <w:p>
            <w:pPr>
              <w:pStyle w:val="1132"/>
            </w:pPr>
            <w:r>
              <w:t>0.2</w:t>
            </w:r>
          </w:p>
        </w:tc>
        <w:tc>
          <w:tcPr>
            <w:tcW w:w="1840" w:type="dxa"/>
            <w:vMerge w:val="continue"/>
            <w:noWrap/>
            <w:tcMar>
              <w:left w:w="0" w:type="dxa"/>
              <w:right w:w="0" w:type="dxa"/>
            </w:tcMar>
            <w:vAlign w:val="center"/>
          </w:tcPr>
          <w:p>
            <w:pPr>
              <w:pStyle w:val="1132"/>
            </w:pPr>
          </w:p>
        </w:tc>
      </w:tr>
    </w:tbl>
    <w:p>
      <w:pPr>
        <w:pStyle w:val="10"/>
        <w:ind w:firstLine="480"/>
        <w:rPr>
          <w:lang w:val="zh-CN"/>
        </w:rPr>
      </w:pPr>
      <w:r>
        <w:rPr>
          <w:lang w:val="zh-CN"/>
        </w:rPr>
        <w:t>从以上已建公路所在江西境内高速公路环境空气监测结果类比分析，在距高速公路中心线20m即道路边界线边缘附近环境空气质量可以满足《环境空气质量标准》二级标准。本项目运营期交通量</w:t>
      </w:r>
      <w:r>
        <w:rPr>
          <w:rFonts w:hint="eastAsia"/>
          <w:lang w:val="zh-CN"/>
        </w:rPr>
        <w:t>远</w:t>
      </w:r>
      <w:r>
        <w:rPr>
          <w:lang w:val="zh-CN"/>
        </w:rPr>
        <w:t>小于类比道路，因此项目运营期汽车尾气对环境空气影响很小，对公路两侧居民基本没有影响。</w:t>
      </w:r>
    </w:p>
    <w:p>
      <w:pPr>
        <w:pStyle w:val="7"/>
        <w:rPr>
          <w:b/>
          <w:bCs/>
          <w:sz w:val="28"/>
          <w:szCs w:val="28"/>
        </w:rPr>
      </w:pPr>
      <w:bookmarkStart w:id="349" w:name="_Toc16632"/>
      <w:bookmarkStart w:id="350" w:name="_Toc18555"/>
      <w:r>
        <w:rPr>
          <w:b/>
          <w:bCs/>
          <w:sz w:val="28"/>
          <w:szCs w:val="28"/>
        </w:rPr>
        <w:t>水环境影响分析</w:t>
      </w:r>
      <w:bookmarkEnd w:id="349"/>
      <w:bookmarkEnd w:id="350"/>
    </w:p>
    <w:p>
      <w:pPr>
        <w:pStyle w:val="8"/>
        <w:rPr>
          <w:b/>
          <w:bCs/>
        </w:rPr>
      </w:pPr>
      <w:bookmarkStart w:id="351" w:name="_Toc22896"/>
      <w:r>
        <w:rPr>
          <w:b/>
          <w:bCs/>
        </w:rPr>
        <w:t>施工期水环境影响分析</w:t>
      </w:r>
      <w:bookmarkEnd w:id="351"/>
    </w:p>
    <w:p>
      <w:pPr>
        <w:pStyle w:val="10"/>
        <w:ind w:firstLine="480"/>
      </w:pPr>
      <w:r>
        <w:t>项目</w:t>
      </w:r>
      <w:r>
        <w:rPr>
          <w:rFonts w:hint="eastAsia"/>
        </w:rPr>
        <w:t>设置2座中桥，根据设计方案，桥梁采用一跨跨越式方案，避免在河底施工对沟渠产生污染，因此，</w:t>
      </w:r>
      <w:r>
        <w:t>施工期对所经区域地表水的影响主要来自路基施工、施工场地</w:t>
      </w:r>
      <w:r>
        <w:rPr>
          <w:rFonts w:hint="eastAsia"/>
        </w:rPr>
        <w:t>的影响</w:t>
      </w:r>
      <w:r>
        <w:t>。</w:t>
      </w:r>
    </w:p>
    <w:p>
      <w:pPr>
        <w:pStyle w:val="9"/>
      </w:pPr>
      <w:bookmarkStart w:id="352" w:name="_Toc22908"/>
      <w:r>
        <w:t>降雨产生的面源流失对水环境的影响</w:t>
      </w:r>
      <w:bookmarkEnd w:id="352"/>
    </w:p>
    <w:p>
      <w:pPr>
        <w:pStyle w:val="10"/>
        <w:ind w:firstLine="480"/>
      </w:pPr>
      <w:r>
        <w:t>项目在施工时可考虑用无纺布或草栅对开挖和填筑的未采取防护措施的边坡、</w:t>
      </w:r>
      <w:r>
        <w:rPr>
          <w:rFonts w:hint="eastAsia"/>
        </w:rPr>
        <w:t>临时堆土场</w:t>
      </w:r>
      <w:r>
        <w:t>、</w:t>
      </w:r>
      <w:r>
        <w:rPr>
          <w:rFonts w:hint="eastAsia"/>
        </w:rPr>
        <w:t>桥梁临时场地</w:t>
      </w:r>
      <w:r>
        <w:t>等进行覆盖，在表土堆积地周围用编织土袋拦挡。采取这些措施后将大大的减少表土的裸露及被雨水的冲刷，减轻对周围水环境的影响。</w:t>
      </w:r>
    </w:p>
    <w:p>
      <w:pPr>
        <w:pStyle w:val="9"/>
      </w:pPr>
      <w:bookmarkStart w:id="353" w:name="_Toc14322"/>
      <w:r>
        <w:t>路基施工对水环境影响分析</w:t>
      </w:r>
      <w:bookmarkEnd w:id="353"/>
    </w:p>
    <w:p>
      <w:pPr>
        <w:pStyle w:val="10"/>
        <w:ind w:firstLine="480"/>
      </w:pPr>
      <w:r>
        <w:t>路基施工过程对水环境的影响因素主要为：雨季施工会产生含泥沙污水，直接外排造成的地表水体污染：施工机械、设备漏油、机械维修过程中的残油不经收集直接外排造成地表水体污染；施工人员的生活污水直接外排造成的地表水体污染。</w:t>
      </w:r>
    </w:p>
    <w:p>
      <w:pPr>
        <w:pStyle w:val="10"/>
        <w:ind w:firstLine="480"/>
      </w:pPr>
      <w:r>
        <w:t>本项目在路基施工过程中应对施工机械漏油采取预防与管理措施，在施工场地内，每个标段施工产生的含油污水需设置收集桶，收集施工机械维修产生的油污水，应回收利用，严禁排放。</w:t>
      </w:r>
    </w:p>
    <w:p>
      <w:pPr>
        <w:pStyle w:val="10"/>
        <w:ind w:firstLine="480"/>
      </w:pPr>
      <w:r>
        <w:t>雨季路基施工会产生含泥沙污水，主要污染物是SS，在在低洼处设置临时废水沉淀池，沉淀池收集施工中所排放的各类废水，在沉淀一定时间后，作为施工用水的一部分重复使用。</w:t>
      </w:r>
    </w:p>
    <w:p>
      <w:pPr>
        <w:pStyle w:val="10"/>
        <w:ind w:firstLine="480"/>
      </w:pPr>
      <w:r>
        <w:t>在路基施工期间，若作业场、物料堆场的施工材料（如沥青、油料、化学品及一些粉末状材料等）、废弃建材堆放在</w:t>
      </w:r>
      <w:r>
        <w:rPr>
          <w:rFonts w:hint="eastAsia"/>
        </w:rPr>
        <w:t>十里牌河</w:t>
      </w:r>
      <w:r>
        <w:t>附近时，由于保管不善或受暴雨冲刷等原因进入水体，将会引起水体污染，因此，物料堆场首先考虑避免设置在水体附近，如确需在水体附近设置物料堆场，应做好物料堆场的遮挡、挡风及管理。</w:t>
      </w:r>
    </w:p>
    <w:p>
      <w:pPr>
        <w:pStyle w:val="9"/>
      </w:pPr>
      <w:bookmarkStart w:id="354" w:name="_Toc4081"/>
      <w:r>
        <w:t>施工</w:t>
      </w:r>
      <w:r>
        <w:rPr>
          <w:rFonts w:hint="eastAsia"/>
        </w:rPr>
        <w:t>场地</w:t>
      </w:r>
      <w:r>
        <w:t>对水环境影响分析</w:t>
      </w:r>
      <w:bookmarkEnd w:id="354"/>
    </w:p>
    <w:p>
      <w:pPr>
        <w:pStyle w:val="10"/>
        <w:ind w:firstLine="480"/>
      </w:pPr>
      <w:r>
        <w:t>道路施工期间，在施工现场将产生一定数量的生产废水。生产废水主要包括砂石材料冲洗废水、机械设备淋洗废水等。砂石材料冲洗废水和机械设备冲洗废水中含有泥沙和少量石油类，此类废水中污染物浓度一般为：SS300mg/L、石油类25mg/L，通过隔油沉淀池处理后用于施工场地内洒水。施工生产废水应严格管理，严禁随意直接排放。</w:t>
      </w:r>
    </w:p>
    <w:p>
      <w:pPr>
        <w:pStyle w:val="10"/>
        <w:ind w:firstLine="480"/>
      </w:pPr>
      <w:r>
        <w:t>施工物料流失主要发生在雨季道路施工阶段，由于建筑材料堆放、管理不当，特别是易流失的物资如黄沙、土方等露天堆放，遇暴雨时将可能被冲刷进入周边环境，从而对周边环境造成不良影响。</w:t>
      </w:r>
    </w:p>
    <w:p>
      <w:pPr>
        <w:pStyle w:val="10"/>
        <w:ind w:firstLine="480"/>
      </w:pPr>
      <w:r>
        <w:t>此外，在施工营地每日还将产生一定数量的生活垃圾，生活垃圾若随便弃置则可能进入水体从而造成一定的污染。建议将生活垃圾集中收集，定期清运处理。</w:t>
      </w:r>
    </w:p>
    <w:p>
      <w:pPr>
        <w:pStyle w:val="8"/>
        <w:rPr>
          <w:b/>
          <w:bCs/>
        </w:rPr>
      </w:pPr>
      <w:bookmarkStart w:id="355" w:name="_Toc16447"/>
      <w:r>
        <w:rPr>
          <w:b/>
          <w:bCs/>
        </w:rPr>
        <w:t>营运期水环境影响分析</w:t>
      </w:r>
      <w:bookmarkEnd w:id="355"/>
    </w:p>
    <w:p>
      <w:pPr>
        <w:pStyle w:val="10"/>
        <w:ind w:firstLine="480"/>
      </w:pPr>
      <w:r>
        <w:t>本项目营运期水环境的影响主要来自路面径流冲刷进入沿线水域对水体造成的污染。</w:t>
      </w:r>
    </w:p>
    <w:p>
      <w:pPr>
        <w:pStyle w:val="9"/>
      </w:pPr>
      <w:bookmarkStart w:id="356" w:name="_Toc3878"/>
      <w:r>
        <w:t>公路辅助设施污水排放对地表水影响分析</w:t>
      </w:r>
      <w:bookmarkEnd w:id="356"/>
    </w:p>
    <w:p>
      <w:pPr>
        <w:pStyle w:val="9"/>
      </w:pPr>
      <w:bookmarkStart w:id="357" w:name="_Toc10479"/>
      <w:r>
        <w:rPr>
          <w:rFonts w:hint="eastAsia"/>
        </w:rPr>
        <w:t>桥</w:t>
      </w:r>
      <w:r>
        <w:t>面径流水污染分析</w:t>
      </w:r>
      <w:bookmarkEnd w:id="357"/>
    </w:p>
    <w:p>
      <w:pPr>
        <w:pStyle w:val="10"/>
        <w:ind w:firstLine="480"/>
      </w:pPr>
      <w:r>
        <w:t>营运期水环境影响主要是初期雨水产生的桥面径流。</w:t>
      </w:r>
    </w:p>
    <w:p>
      <w:pPr>
        <w:pStyle w:val="10"/>
        <w:ind w:firstLine="480"/>
      </w:pPr>
      <w:r>
        <w:t>非事故状态下，桥面径流基本可接近国家规定的排放标准，不会造成对环境的污染影响，但在汽车保养状况不良、发生故障、出现事故等时，都可能泄漏汽油和机油污染路面，在遇降雨后，雨水经桥面泄水道口流入附近的水域，造成石油类和COD的污染影响，应通过交通管理措施，避免类似事故发生。拟建跨越水体桥梁一旦发生事故将对项目所在地区地表水体造成污染影响，进而影响灌溉沟渠的水环境和水生生态环境。</w:t>
      </w:r>
    </w:p>
    <w:p>
      <w:pPr>
        <w:pStyle w:val="10"/>
        <w:ind w:firstLine="480"/>
      </w:pPr>
      <w:r>
        <w:t>本项目跨河桥梁</w:t>
      </w:r>
      <w:r>
        <w:rPr>
          <w:rFonts w:hint="eastAsia"/>
        </w:rPr>
        <w:t>中桥有2</w:t>
      </w:r>
      <w:r>
        <w:t>座，为防止运输事故导致危险化学品泄漏进入地表水体，造成污染，跨河桥梁两侧设置刚性防撞护栏，降低事故发生的概率，同时加强系统的维护管理，确保事故发生时系统的有效运转，以减轻事故废水对地表水水质的影响。</w:t>
      </w:r>
    </w:p>
    <w:p>
      <w:pPr>
        <w:pStyle w:val="9"/>
      </w:pPr>
      <w:bookmarkStart w:id="358" w:name="_Toc5707"/>
      <w:r>
        <w:rPr>
          <w:rFonts w:hint="eastAsia"/>
        </w:rPr>
        <w:t>路面径流水污染分析</w:t>
      </w:r>
      <w:bookmarkEnd w:id="358"/>
    </w:p>
    <w:p>
      <w:pPr>
        <w:pStyle w:val="10"/>
        <w:ind w:firstLine="480"/>
      </w:pPr>
      <w:r>
        <w:t>道路沿线路基排水设计时本着因地制宜原则，并结合农田水利规划，在不影响原来的排水体系，不降低其使用功能的前提下设置排水沟及涵洞等路基排水系统。降雨在路面上形成的地表径流虽然能够将路面行驶过程中产生的污染物以径流的形式形成污染源，</w:t>
      </w:r>
      <w:r>
        <w:rPr>
          <w:rFonts w:hint="eastAsia"/>
        </w:rPr>
        <w:t>但</w:t>
      </w:r>
      <w:r>
        <w:t>路面上形成的地表径流大都以特别分散的形式分别进入路线两侧的土壤环境，只有少量的径流能够直接进入河流等水体，这种由于路面雨水径流引起的河水中污染物浓度增加值非常微小，不会对沿线河流水质产生影响。</w:t>
      </w:r>
    </w:p>
    <w:p>
      <w:pPr>
        <w:pStyle w:val="8"/>
        <w:rPr>
          <w:b/>
          <w:bCs/>
        </w:rPr>
      </w:pPr>
      <w:bookmarkStart w:id="359" w:name="_Toc29569"/>
      <w:r>
        <w:rPr>
          <w:rFonts w:hint="eastAsia"/>
          <w:b/>
          <w:bCs/>
        </w:rPr>
        <w:t>地表水环境影响分析结论</w:t>
      </w:r>
      <w:bookmarkEnd w:id="359"/>
    </w:p>
    <w:p>
      <w:pPr>
        <w:pStyle w:val="10"/>
        <w:ind w:firstLine="480"/>
      </w:pPr>
      <w:r>
        <w:rPr>
          <w:rFonts w:hint="eastAsia"/>
        </w:rPr>
        <w:t>（1）本项目跨河桥梁不设置涉水桥墩，</w:t>
      </w:r>
      <w:r>
        <w:t>因此对所跨</w:t>
      </w:r>
      <w:r>
        <w:rPr>
          <w:rFonts w:hint="eastAsia"/>
        </w:rPr>
        <w:t>水体</w:t>
      </w:r>
      <w:r>
        <w:t>的水环境不造成影响。</w:t>
      </w:r>
    </w:p>
    <w:p>
      <w:pPr>
        <w:pStyle w:val="10"/>
        <w:ind w:firstLine="480"/>
      </w:pPr>
      <w:r>
        <w:rPr>
          <w:rFonts w:hint="eastAsia"/>
        </w:rPr>
        <w:t>（2）</w:t>
      </w:r>
      <w:r>
        <w:t>施工场地产生的生产废水</w:t>
      </w:r>
      <w:r>
        <w:rPr>
          <w:rFonts w:hint="eastAsia"/>
          <w:lang w:eastAsia="zh-CN"/>
        </w:rPr>
        <w:t>、</w:t>
      </w:r>
      <w:r>
        <w:rPr>
          <w:rFonts w:hint="eastAsia"/>
          <w:lang w:val="en-US" w:eastAsia="zh-CN"/>
        </w:rPr>
        <w:t>施工人员产生的生活污水</w:t>
      </w:r>
      <w:r>
        <w:t>经隔油沉淀池处理后回用，不会对水环境造成影响。</w:t>
      </w:r>
    </w:p>
    <w:p>
      <w:pPr>
        <w:pStyle w:val="10"/>
        <w:ind w:firstLine="480"/>
        <w:rPr>
          <w:b/>
          <w:kern w:val="0"/>
          <w:szCs w:val="20"/>
        </w:rPr>
      </w:pPr>
      <w:r>
        <w:rPr>
          <w:rFonts w:hint="eastAsia"/>
        </w:rPr>
        <w:t>（3）</w:t>
      </w:r>
      <w:r>
        <w:t>由于路面雨水径流引起的河水中污染物浓度增加值非常微小，不会对沿线</w:t>
      </w:r>
      <w:r>
        <w:rPr>
          <w:rFonts w:hint="eastAsia"/>
        </w:rPr>
        <w:t>水体</w:t>
      </w:r>
      <w:r>
        <w:t>水质产生影响。</w:t>
      </w:r>
    </w:p>
    <w:p>
      <w:pPr>
        <w:pStyle w:val="7"/>
        <w:rPr>
          <w:b/>
          <w:bCs/>
          <w:sz w:val="28"/>
          <w:szCs w:val="28"/>
        </w:rPr>
      </w:pPr>
      <w:bookmarkStart w:id="360" w:name="_Toc11178"/>
      <w:bookmarkStart w:id="361" w:name="_Toc29070"/>
      <w:r>
        <w:rPr>
          <w:b/>
          <w:bCs/>
          <w:sz w:val="28"/>
          <w:szCs w:val="28"/>
        </w:rPr>
        <w:t>固体废物环境影响分析</w:t>
      </w:r>
      <w:bookmarkEnd w:id="360"/>
      <w:bookmarkEnd w:id="361"/>
    </w:p>
    <w:p>
      <w:pPr>
        <w:pStyle w:val="10"/>
        <w:ind w:firstLine="480"/>
      </w:pPr>
      <w:r>
        <w:t>拟建项目固体废物影响主要来自施工期固体废物和营运期固体废物的影响。施工期固体废物主要来自</w:t>
      </w:r>
      <w:r>
        <w:rPr>
          <w:rFonts w:hint="eastAsia"/>
          <w:lang w:val="en-US" w:eastAsia="zh-CN"/>
        </w:rPr>
        <w:t>路基土石方、</w:t>
      </w:r>
      <w:r>
        <w:t>建筑拆迁</w:t>
      </w:r>
      <w:r>
        <w:rPr>
          <w:rFonts w:hint="eastAsia"/>
          <w:lang w:val="en-US" w:eastAsia="zh-CN"/>
        </w:rPr>
        <w:t>及老路改造</w:t>
      </w:r>
      <w:r>
        <w:t>垃圾</w:t>
      </w:r>
      <w:r>
        <w:rPr>
          <w:rFonts w:hint="eastAsia"/>
          <w:lang w:eastAsia="zh-CN"/>
        </w:rPr>
        <w:t>、</w:t>
      </w:r>
      <w:r>
        <w:t>施工人员的生活垃圾</w:t>
      </w:r>
      <w:r>
        <w:rPr>
          <w:rFonts w:hint="eastAsia"/>
          <w:lang w:val="en-US" w:eastAsia="zh-CN"/>
        </w:rPr>
        <w:t>以及隔油池油泥</w:t>
      </w:r>
      <w:r>
        <w:t>等；营运期固体废物主要来</w:t>
      </w:r>
      <w:r>
        <w:rPr>
          <w:rFonts w:hint="eastAsia"/>
          <w:lang w:val="en-US" w:eastAsia="zh-CN"/>
        </w:rPr>
        <w:t>自于</w:t>
      </w:r>
      <w:r>
        <w:t>公路养护时产生的养护垃圾。</w:t>
      </w:r>
    </w:p>
    <w:p>
      <w:pPr>
        <w:pStyle w:val="8"/>
        <w:rPr>
          <w:b/>
          <w:bCs/>
        </w:rPr>
      </w:pPr>
      <w:bookmarkStart w:id="362" w:name="_Toc198628844"/>
      <w:bookmarkStart w:id="363" w:name="_Toc144893776"/>
      <w:bookmarkStart w:id="364" w:name="_Toc198631784"/>
      <w:bookmarkStart w:id="365" w:name="_Toc5309"/>
      <w:r>
        <w:rPr>
          <w:b/>
          <w:bCs/>
        </w:rPr>
        <w:t>施工期固体废物影响分析</w:t>
      </w:r>
      <w:bookmarkEnd w:id="362"/>
      <w:bookmarkEnd w:id="363"/>
      <w:bookmarkEnd w:id="364"/>
      <w:bookmarkEnd w:id="365"/>
    </w:p>
    <w:p>
      <w:pPr>
        <w:pStyle w:val="10"/>
        <w:ind w:firstLine="480"/>
      </w:pPr>
      <w:r>
        <w:rPr>
          <w:rFonts w:hint="eastAsia"/>
        </w:rPr>
        <w:t>（1）路基石挖方</w:t>
      </w:r>
    </w:p>
    <w:p>
      <w:pPr>
        <w:pStyle w:val="10"/>
        <w:ind w:firstLine="480"/>
      </w:pPr>
      <w:r>
        <w:rPr>
          <w:rFonts w:hint="eastAsia"/>
        </w:rPr>
        <w:t>本项目填方</w:t>
      </w:r>
      <w:r>
        <w:t>446419</w:t>
      </w:r>
      <w:r>
        <w:rPr>
          <w:rFonts w:hint="eastAsia"/>
        </w:rPr>
        <w:t>方，挖方约</w:t>
      </w:r>
      <w:r>
        <w:t>473584</w:t>
      </w:r>
      <w:r>
        <w:rPr>
          <w:rFonts w:hint="eastAsia"/>
        </w:rPr>
        <w:t>方，考虑清淤回填、清表回填、夯实沉降、超宽碾压等情况，本段土石方总体挖余</w:t>
      </w:r>
      <w:r>
        <w:t>27</w:t>
      </w:r>
      <w:r>
        <w:rPr>
          <w:rFonts w:hint="eastAsia"/>
        </w:rPr>
        <w:t>1</w:t>
      </w:r>
      <w:r>
        <w:t>65</w:t>
      </w:r>
      <w:r>
        <w:rPr>
          <w:rFonts w:hint="eastAsia"/>
        </w:rPr>
        <w:t>方。挖余土石方采用集中堆放，弃土场位于K</w:t>
      </w:r>
      <w:r>
        <w:t>2</w:t>
      </w:r>
      <w:r>
        <w:rPr>
          <w:rFonts w:hint="eastAsia"/>
        </w:rPr>
        <w:t>+</w:t>
      </w:r>
      <w:r>
        <w:t>150</w:t>
      </w:r>
      <w:r>
        <w:rPr>
          <w:rFonts w:hint="eastAsia"/>
        </w:rPr>
        <w:t>左侧6</w:t>
      </w:r>
      <w:r>
        <w:t>0</w:t>
      </w:r>
      <w:r>
        <w:rPr>
          <w:rFonts w:hint="eastAsia"/>
        </w:rPr>
        <w:t>m处。路基清淤、清表获得的耕植土进行生态恢复，保证场地生态恢复后能够有效还田。</w:t>
      </w:r>
    </w:p>
    <w:p>
      <w:pPr>
        <w:pStyle w:val="10"/>
        <w:ind w:firstLine="480"/>
      </w:pPr>
      <w:r>
        <w:rPr>
          <w:rFonts w:hint="eastAsia"/>
        </w:rPr>
        <w:t>（2）建筑拆迁垃圾</w:t>
      </w:r>
    </w:p>
    <w:p>
      <w:pPr>
        <w:pStyle w:val="112"/>
        <w:ind w:firstLine="480"/>
      </w:pPr>
      <w:r>
        <w:rPr>
          <w:rFonts w:hint="eastAsia"/>
        </w:rPr>
        <w:t>根据项目设计方案，项目拟拆迁建筑物类型为楼房、砖瓦房、简易房、水泥地坪、蔬菜大棚等，以及拆迁各类建筑物面积共</w:t>
      </w:r>
      <w:r>
        <w:t>38680</w:t>
      </w:r>
      <w:r>
        <w:rPr>
          <w:rFonts w:hint="eastAsia"/>
        </w:rPr>
        <w:t>m</w:t>
      </w:r>
      <w:r>
        <w:rPr>
          <w:vertAlign w:val="superscript"/>
        </w:rPr>
        <w:t>2</w:t>
      </w:r>
      <w:r>
        <w:rPr>
          <w:rFonts w:hint="eastAsia"/>
        </w:rPr>
        <w:t>，</w:t>
      </w:r>
      <w:r>
        <w:t>电力、电讯线路364根</w:t>
      </w:r>
      <w:r>
        <w:rPr>
          <w:rFonts w:hint="eastAsia"/>
        </w:rPr>
        <w:t>，楼房以及电力电讯杆底部一并拆除。</w:t>
      </w:r>
      <w:r>
        <w:t>根据住房和城乡建设部发布的《地震灾区建筑垃圾处理技术导则》</w:t>
      </w:r>
      <w:r>
        <w:rPr>
          <w:rFonts w:hint="eastAsia"/>
        </w:rPr>
        <w:t>（</w:t>
      </w:r>
      <w:r>
        <w:t>建科[2008]99号</w:t>
      </w:r>
      <w:r>
        <w:rPr>
          <w:rFonts w:hint="eastAsia"/>
        </w:rPr>
        <w:t>）</w:t>
      </w:r>
      <w:r>
        <w:t>中的技术参数，建筑拆迁垃圾产生量约为1 t/m</w:t>
      </w:r>
      <w:r>
        <w:rPr>
          <w:vertAlign w:val="superscript"/>
        </w:rPr>
        <w:t>2</w:t>
      </w:r>
      <w:r>
        <w:t>，估算本工程拆迁垃圾量为38680</w:t>
      </w:r>
      <w:r>
        <w:rPr>
          <w:rFonts w:hint="eastAsia"/>
        </w:rPr>
        <w:t>t（</w:t>
      </w:r>
      <w:r>
        <w:t>折合约为</w:t>
      </w:r>
      <w:r>
        <w:rPr>
          <w:rFonts w:hint="eastAsia"/>
        </w:rPr>
        <w:t>1</w:t>
      </w:r>
      <w:r>
        <w:t>5154</w:t>
      </w:r>
      <w:r>
        <w:rPr>
          <w:rFonts w:hint="eastAsia"/>
        </w:rPr>
        <w:t>m</w:t>
      </w:r>
      <w:r>
        <w:rPr>
          <w:vertAlign w:val="superscript"/>
        </w:rPr>
        <w:t>3</w:t>
      </w:r>
      <w:r>
        <w:rPr>
          <w:rFonts w:hint="eastAsia"/>
        </w:rPr>
        <w:t>）</w:t>
      </w:r>
      <w:r>
        <w:t>。</w:t>
      </w:r>
      <w:r>
        <w:rPr>
          <w:rFonts w:hint="eastAsia"/>
          <w:lang w:val="en-US" w:eastAsia="zh-CN"/>
        </w:rPr>
        <w:t>本项目路线占用老路0.5km，具体位置位于包集镇西侧下穿京台高速，本次实施利用既有分离立交，实施行车道部分路面改造，会产生部分路面破除垃圾。</w:t>
      </w:r>
    </w:p>
    <w:p>
      <w:pPr>
        <w:pStyle w:val="10"/>
        <w:ind w:firstLine="480"/>
      </w:pPr>
      <w:r>
        <w:rPr>
          <w:rFonts w:hint="eastAsia"/>
        </w:rPr>
        <w:t>建筑垃圾成分</w:t>
      </w:r>
      <w:r>
        <w:t>主要为砖、钢筋、木材等，具有回收利用的价值，应</w:t>
      </w:r>
      <w:r>
        <w:rPr>
          <w:rFonts w:hint="eastAsia"/>
        </w:rPr>
        <w:t>委托有资质的资源回收单位，</w:t>
      </w:r>
      <w:r>
        <w:t>尽可能回用；对于不能回收利用的垃圾有害</w:t>
      </w:r>
      <w:r>
        <w:rPr>
          <w:rFonts w:hint="eastAsia"/>
        </w:rPr>
        <w:t>部分</w:t>
      </w:r>
      <w:r>
        <w:t>运至垃圾填埋场处理。严禁乱丢乱弃，对外环境影响较小。</w:t>
      </w:r>
    </w:p>
    <w:p>
      <w:pPr>
        <w:pStyle w:val="10"/>
        <w:ind w:firstLine="480"/>
      </w:pPr>
      <w:r>
        <w:rPr>
          <w:rFonts w:hint="eastAsia"/>
        </w:rPr>
        <w:t>（3）施工人员生活垃圾</w:t>
      </w:r>
    </w:p>
    <w:p>
      <w:pPr>
        <w:pStyle w:val="10"/>
        <w:ind w:firstLine="480"/>
      </w:pPr>
      <w:r>
        <w:rPr>
          <w:rFonts w:hint="eastAsia"/>
        </w:rPr>
        <w:t>本项目施工期由施工人员产生的</w:t>
      </w:r>
      <w:r>
        <w:t>生活垃圾会产生如下的负面影响：臭气污染环境空气；腐烂的垃圾渗滤液的成分十分复杂，有机含量很高，污染周边水、土壤环境；腐烂的垃圾很容易滋生细菌和蚊蝇；随意扔置的垃圾将对区域环境卫生及景观产生不良的影响。施工人员生活垃圾应定点堆放，定期由环卫部门清运至城市生活垃圾处理场，严禁乱丢乱弃，对周围环境影响较小。</w:t>
      </w:r>
    </w:p>
    <w:p>
      <w:pPr>
        <w:pStyle w:val="10"/>
        <w:ind w:firstLine="480"/>
        <w:rPr>
          <w:rFonts w:hint="eastAsia"/>
          <w:lang w:eastAsia="zh-CN"/>
        </w:rPr>
      </w:pPr>
      <w:r>
        <w:rPr>
          <w:rFonts w:hint="eastAsia"/>
          <w:lang w:eastAsia="zh-CN"/>
        </w:rPr>
        <w:t>（</w:t>
      </w:r>
      <w:r>
        <w:rPr>
          <w:rFonts w:hint="eastAsia"/>
          <w:lang w:val="en-US" w:eastAsia="zh-CN"/>
        </w:rPr>
        <w:t>4</w:t>
      </w:r>
      <w:r>
        <w:rPr>
          <w:rFonts w:hint="eastAsia"/>
          <w:lang w:eastAsia="zh-CN"/>
        </w:rPr>
        <w:t>）施工场地危险废物</w:t>
      </w:r>
    </w:p>
    <w:p>
      <w:pPr>
        <w:pStyle w:val="10"/>
        <w:ind w:firstLine="480"/>
        <w:rPr>
          <w:rFonts w:hint="eastAsia" w:eastAsia="宋体"/>
          <w:lang w:eastAsia="zh-CN"/>
        </w:rPr>
      </w:pPr>
      <w:r>
        <w:rPr>
          <w:rFonts w:hint="eastAsia"/>
          <w:lang w:eastAsia="zh-CN"/>
        </w:rPr>
        <w:t>施工场地设置有隔油池，隔油池产生的油泥属于危险废物，油泥、浮油属于（HW08废矿物油与含矿物油废物 900-210-08）。本次评价不对其进行定量分析，重点提出处理或处置措施。</w:t>
      </w:r>
    </w:p>
    <w:p>
      <w:pPr>
        <w:pStyle w:val="8"/>
        <w:rPr>
          <w:b/>
          <w:bCs/>
        </w:rPr>
      </w:pPr>
      <w:bookmarkStart w:id="366" w:name="_Toc142963130"/>
      <w:bookmarkStart w:id="367" w:name="_Toc144893777"/>
      <w:bookmarkStart w:id="368" w:name="_Toc198628845"/>
      <w:bookmarkStart w:id="369" w:name="_Toc198631785"/>
      <w:bookmarkStart w:id="370" w:name="_Toc25101"/>
      <w:r>
        <w:rPr>
          <w:b/>
          <w:bCs/>
        </w:rPr>
        <w:t>营运期</w:t>
      </w:r>
      <w:bookmarkEnd w:id="366"/>
      <w:bookmarkEnd w:id="367"/>
      <w:bookmarkEnd w:id="368"/>
      <w:bookmarkEnd w:id="369"/>
      <w:r>
        <w:rPr>
          <w:b/>
          <w:bCs/>
        </w:rPr>
        <w:t>固体废物影响分析</w:t>
      </w:r>
      <w:bookmarkEnd w:id="370"/>
    </w:p>
    <w:p>
      <w:pPr>
        <w:pStyle w:val="10"/>
        <w:ind w:firstLine="480"/>
      </w:pPr>
      <w:r>
        <w:rPr>
          <w:kern w:val="0"/>
          <w:lang w:val="zh-CN"/>
        </w:rPr>
        <w:t>运营期间，固体废物主要来自</w:t>
      </w:r>
      <w:r>
        <w:t>公路养护时产生的养护垃圾。</w:t>
      </w:r>
    </w:p>
    <w:p>
      <w:pPr>
        <w:pStyle w:val="7"/>
        <w:rPr>
          <w:b/>
          <w:bCs/>
          <w:sz w:val="28"/>
          <w:szCs w:val="28"/>
        </w:rPr>
      </w:pPr>
      <w:bookmarkStart w:id="371" w:name="_Toc26870"/>
      <w:bookmarkStart w:id="372" w:name="_Toc19518"/>
      <w:bookmarkStart w:id="373" w:name="_Toc471329433"/>
      <w:bookmarkStart w:id="374" w:name="_Toc401564410"/>
      <w:r>
        <w:rPr>
          <w:b/>
          <w:bCs/>
          <w:sz w:val="28"/>
          <w:szCs w:val="28"/>
        </w:rPr>
        <w:t>生态环境影响分析</w:t>
      </w:r>
      <w:bookmarkEnd w:id="371"/>
      <w:bookmarkEnd w:id="372"/>
    </w:p>
    <w:p>
      <w:pPr>
        <w:pStyle w:val="8"/>
        <w:rPr>
          <w:b/>
          <w:bCs/>
        </w:rPr>
      </w:pPr>
      <w:bookmarkStart w:id="375" w:name="_Toc11869"/>
      <w:r>
        <w:rPr>
          <w:b/>
          <w:bCs/>
        </w:rPr>
        <w:t>土地利用类型影响分析</w:t>
      </w:r>
      <w:bookmarkEnd w:id="375"/>
    </w:p>
    <w:p>
      <w:pPr>
        <w:pStyle w:val="10"/>
        <w:ind w:firstLine="480"/>
      </w:pPr>
      <w:r>
        <w:rPr>
          <w:rFonts w:hint="eastAsia"/>
        </w:rPr>
        <w:t>拟建公路占地情况如表所示。</w:t>
      </w:r>
    </w:p>
    <w:p>
      <w:pPr>
        <w:pStyle w:val="19"/>
        <w:rPr>
          <w:bCs/>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bCs/>
        </w:rPr>
        <w:t>公路占地情况一览表</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1229"/>
        <w:gridCol w:w="2474"/>
        <w:gridCol w:w="3050"/>
        <w:gridCol w:w="11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shd w:val="clear" w:color="auto" w:fill="auto"/>
            <w:vAlign w:val="center"/>
          </w:tcPr>
          <w:p>
            <w:pPr>
              <w:pStyle w:val="1132"/>
              <w:spacing w:line="240" w:lineRule="auto"/>
              <w:rPr>
                <w:sz w:val="21"/>
                <w:szCs w:val="21"/>
              </w:rPr>
            </w:pPr>
            <w:r>
              <w:rPr>
                <w:rFonts w:hint="eastAsia"/>
                <w:sz w:val="21"/>
                <w:szCs w:val="21"/>
              </w:rPr>
              <w:t>起讫桩号</w:t>
            </w:r>
          </w:p>
        </w:tc>
        <w:tc>
          <w:tcPr>
            <w:tcW w:w="4255" w:type="pct"/>
            <w:gridSpan w:val="4"/>
            <w:shd w:val="clear" w:color="auto" w:fill="auto"/>
            <w:vAlign w:val="center"/>
          </w:tcPr>
          <w:p>
            <w:pPr>
              <w:pStyle w:val="1132"/>
              <w:spacing w:line="240" w:lineRule="auto"/>
              <w:rPr>
                <w:sz w:val="21"/>
                <w:szCs w:val="21"/>
              </w:rPr>
            </w:pPr>
            <w:r>
              <w:rPr>
                <w:sz w:val="21"/>
                <w:szCs w:val="21"/>
              </w:rPr>
              <w:t>K0+000</w:t>
            </w:r>
            <w:r>
              <w:rPr>
                <w:rFonts w:hint="eastAsia" w:ascii="黑体" w:hAnsi="黑体" w:cs="黑体"/>
                <w:sz w:val="21"/>
                <w:szCs w:val="21"/>
              </w:rPr>
              <w:t>～</w:t>
            </w:r>
            <w:r>
              <w:rPr>
                <w:sz w:val="21"/>
                <w:szCs w:val="21"/>
              </w:rPr>
              <w:t>K</w:t>
            </w:r>
            <w:r>
              <w:rPr>
                <w:rFonts w:hint="eastAsia"/>
                <w:sz w:val="21"/>
                <w:szCs w:val="21"/>
              </w:rPr>
              <w:t>7</w:t>
            </w:r>
            <w:r>
              <w:rPr>
                <w:sz w:val="21"/>
                <w:szCs w:val="21"/>
              </w:rPr>
              <w:t>+</w:t>
            </w:r>
            <w:r>
              <w:rPr>
                <w:rFonts w:hint="eastAsia"/>
                <w:sz w:val="21"/>
                <w:szCs w:val="21"/>
              </w:rPr>
              <w:t>700.604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shd w:val="clear" w:color="auto" w:fill="auto"/>
            <w:vAlign w:val="center"/>
          </w:tcPr>
          <w:p>
            <w:pPr>
              <w:pStyle w:val="1132"/>
              <w:spacing w:line="240" w:lineRule="auto"/>
              <w:rPr>
                <w:sz w:val="21"/>
                <w:szCs w:val="21"/>
              </w:rPr>
            </w:pPr>
            <w:r>
              <w:rPr>
                <w:rFonts w:hint="eastAsia"/>
                <w:sz w:val="21"/>
                <w:szCs w:val="21"/>
              </w:rPr>
              <w:t>长度</w:t>
            </w:r>
          </w:p>
        </w:tc>
        <w:tc>
          <w:tcPr>
            <w:tcW w:w="4255" w:type="pct"/>
            <w:gridSpan w:val="4"/>
            <w:shd w:val="clear" w:color="auto" w:fill="auto"/>
            <w:vAlign w:val="center"/>
          </w:tcPr>
          <w:p>
            <w:pPr>
              <w:pStyle w:val="1132"/>
              <w:spacing w:line="240" w:lineRule="auto"/>
              <w:rPr>
                <w:sz w:val="21"/>
                <w:szCs w:val="21"/>
              </w:rPr>
            </w:pPr>
            <w:r>
              <w:rPr>
                <w:rFonts w:hint="eastAsia"/>
                <w:sz w:val="21"/>
                <w:szCs w:val="21"/>
              </w:rPr>
              <w:t>7</w:t>
            </w:r>
            <w:r>
              <w:rPr>
                <w:sz w:val="21"/>
                <w:szCs w:val="21"/>
              </w:rPr>
              <w:t>.7</w:t>
            </w:r>
            <w:r>
              <w:rPr>
                <w:rFonts w:hint="eastAsia"/>
                <w:sz w:val="21"/>
                <w:szCs w:val="21"/>
              </w:rPr>
              <w:t>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restart"/>
            <w:shd w:val="clear" w:color="auto" w:fill="auto"/>
            <w:vAlign w:val="center"/>
          </w:tcPr>
          <w:p>
            <w:pPr>
              <w:pStyle w:val="1132"/>
              <w:spacing w:line="240" w:lineRule="auto"/>
              <w:rPr>
                <w:sz w:val="21"/>
                <w:szCs w:val="21"/>
              </w:rPr>
            </w:pPr>
            <w:r>
              <w:rPr>
                <w:rFonts w:hint="eastAsia"/>
                <w:sz w:val="21"/>
                <w:szCs w:val="21"/>
              </w:rPr>
              <w:t>土地类别及数量</w:t>
            </w:r>
          </w:p>
        </w:tc>
        <w:tc>
          <w:tcPr>
            <w:tcW w:w="662" w:type="pct"/>
            <w:vMerge w:val="restart"/>
            <w:shd w:val="clear" w:color="auto" w:fill="auto"/>
            <w:vAlign w:val="center"/>
          </w:tcPr>
          <w:p>
            <w:pPr>
              <w:pStyle w:val="1132"/>
              <w:spacing w:line="240" w:lineRule="auto"/>
              <w:rPr>
                <w:sz w:val="21"/>
                <w:szCs w:val="21"/>
              </w:rPr>
            </w:pPr>
            <w:r>
              <w:rPr>
                <w:rFonts w:hint="eastAsia"/>
                <w:sz w:val="21"/>
                <w:szCs w:val="21"/>
              </w:rPr>
              <w:t>永久占地</w:t>
            </w:r>
          </w:p>
        </w:tc>
        <w:tc>
          <w:tcPr>
            <w:tcW w:w="1332" w:type="pct"/>
            <w:shd w:val="clear" w:color="auto" w:fill="auto"/>
            <w:vAlign w:val="center"/>
          </w:tcPr>
          <w:p>
            <w:pPr>
              <w:pStyle w:val="1132"/>
              <w:spacing w:line="240" w:lineRule="auto"/>
              <w:rPr>
                <w:sz w:val="21"/>
                <w:szCs w:val="21"/>
              </w:rPr>
            </w:pPr>
            <w:r>
              <w:rPr>
                <w:rFonts w:hint="eastAsia"/>
                <w:sz w:val="21"/>
                <w:szCs w:val="21"/>
              </w:rPr>
              <w:t>农用地</w:t>
            </w:r>
          </w:p>
        </w:tc>
        <w:tc>
          <w:tcPr>
            <w:tcW w:w="1642" w:type="pct"/>
            <w:shd w:val="clear" w:color="auto" w:fill="auto"/>
            <w:vAlign w:val="center"/>
          </w:tcPr>
          <w:p>
            <w:pPr>
              <w:pStyle w:val="1132"/>
              <w:spacing w:line="240" w:lineRule="auto"/>
              <w:rPr>
                <w:sz w:val="21"/>
                <w:szCs w:val="21"/>
              </w:rPr>
            </w:pPr>
            <w:r>
              <w:rPr>
                <w:rFonts w:hint="eastAsia"/>
                <w:sz w:val="21"/>
                <w:szCs w:val="21"/>
              </w:rPr>
              <w:t>412.51</w:t>
            </w:r>
          </w:p>
        </w:tc>
        <w:tc>
          <w:tcPr>
            <w:tcW w:w="619" w:type="pct"/>
            <w:vMerge w:val="restart"/>
            <w:vAlign w:val="center"/>
          </w:tcPr>
          <w:p>
            <w:pPr>
              <w:pStyle w:val="1132"/>
              <w:spacing w:line="240" w:lineRule="auto"/>
              <w:rPr>
                <w:sz w:val="21"/>
                <w:szCs w:val="21"/>
              </w:rPr>
            </w:pPr>
            <w:r>
              <w:rPr>
                <w:rFonts w:hint="eastAsia"/>
                <w:sz w:val="21"/>
                <w:szCs w:val="21"/>
              </w:rPr>
              <w:t>592.09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sz w:val="21"/>
                <w:szCs w:val="21"/>
              </w:rPr>
            </w:pPr>
            <w:r>
              <w:rPr>
                <w:rFonts w:hint="eastAsia"/>
                <w:sz w:val="21"/>
                <w:szCs w:val="21"/>
              </w:rPr>
              <w:t>耕地</w:t>
            </w:r>
          </w:p>
        </w:tc>
        <w:tc>
          <w:tcPr>
            <w:tcW w:w="1642" w:type="pct"/>
            <w:shd w:val="clear" w:color="auto" w:fill="auto"/>
            <w:vAlign w:val="center"/>
          </w:tcPr>
          <w:p>
            <w:pPr>
              <w:pStyle w:val="1132"/>
              <w:spacing w:line="240" w:lineRule="auto"/>
              <w:rPr>
                <w:sz w:val="21"/>
                <w:szCs w:val="21"/>
              </w:rPr>
            </w:pPr>
            <w:r>
              <w:rPr>
                <w:rFonts w:hint="eastAsia"/>
                <w:sz w:val="21"/>
                <w:szCs w:val="21"/>
              </w:rPr>
              <w:t>340.01</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sz w:val="21"/>
                <w:szCs w:val="21"/>
              </w:rPr>
            </w:pPr>
            <w:r>
              <w:rPr>
                <w:spacing w:val="-6"/>
                <w:sz w:val="21"/>
                <w:szCs w:val="21"/>
              </w:rPr>
              <w:t>建设用地</w:t>
            </w:r>
            <w:r>
              <w:rPr>
                <w:rFonts w:hint="eastAsia"/>
                <w:spacing w:val="-6"/>
                <w:sz w:val="21"/>
                <w:szCs w:val="21"/>
              </w:rPr>
              <w:t>及未利用地</w:t>
            </w:r>
          </w:p>
        </w:tc>
        <w:tc>
          <w:tcPr>
            <w:tcW w:w="1642" w:type="pct"/>
            <w:shd w:val="clear" w:color="auto" w:fill="auto"/>
            <w:vAlign w:val="center"/>
          </w:tcPr>
          <w:p>
            <w:pPr>
              <w:pStyle w:val="1132"/>
              <w:spacing w:line="240" w:lineRule="auto"/>
              <w:rPr>
                <w:sz w:val="21"/>
                <w:szCs w:val="21"/>
              </w:rPr>
            </w:pPr>
            <w:r>
              <w:rPr>
                <w:rFonts w:hint="eastAsia"/>
                <w:sz w:val="21"/>
                <w:szCs w:val="21"/>
              </w:rPr>
              <w:t>179.58</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spacing w:val="-6"/>
                <w:sz w:val="21"/>
                <w:szCs w:val="21"/>
              </w:rPr>
            </w:pPr>
            <w:r>
              <w:rPr>
                <w:rFonts w:hint="eastAsia"/>
                <w:spacing w:val="-6"/>
                <w:sz w:val="21"/>
                <w:szCs w:val="21"/>
              </w:rPr>
              <w:t>老路占地</w:t>
            </w:r>
          </w:p>
        </w:tc>
        <w:tc>
          <w:tcPr>
            <w:tcW w:w="1642" w:type="pct"/>
            <w:shd w:val="clear" w:color="auto" w:fill="auto"/>
            <w:vAlign w:val="center"/>
          </w:tcPr>
          <w:p>
            <w:pPr>
              <w:pStyle w:val="1132"/>
              <w:spacing w:line="240" w:lineRule="auto"/>
              <w:rPr>
                <w:sz w:val="21"/>
                <w:szCs w:val="21"/>
              </w:rPr>
            </w:pPr>
            <w:r>
              <w:rPr>
                <w:rFonts w:hint="eastAsia"/>
                <w:sz w:val="21"/>
                <w:szCs w:val="21"/>
              </w:rPr>
              <w:t>11.02</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vAlign w:val="center"/>
          </w:tcPr>
          <w:p>
            <w:pPr>
              <w:pStyle w:val="1132"/>
              <w:spacing w:line="240" w:lineRule="auto"/>
              <w:rPr>
                <w:sz w:val="21"/>
                <w:szCs w:val="21"/>
              </w:rPr>
            </w:pPr>
          </w:p>
        </w:tc>
        <w:tc>
          <w:tcPr>
            <w:tcW w:w="662" w:type="pct"/>
            <w:vMerge w:val="restart"/>
            <w:shd w:val="clear" w:color="auto" w:fill="auto"/>
            <w:vAlign w:val="center"/>
          </w:tcPr>
          <w:p>
            <w:pPr>
              <w:pStyle w:val="1132"/>
              <w:spacing w:line="240" w:lineRule="auto"/>
              <w:rPr>
                <w:sz w:val="21"/>
                <w:szCs w:val="21"/>
              </w:rPr>
            </w:pPr>
            <w:r>
              <w:rPr>
                <w:rFonts w:hint="eastAsia"/>
                <w:sz w:val="21"/>
                <w:szCs w:val="21"/>
              </w:rPr>
              <w:t>临时占地</w:t>
            </w:r>
          </w:p>
        </w:tc>
        <w:tc>
          <w:tcPr>
            <w:tcW w:w="1332" w:type="pct"/>
            <w:shd w:val="clear" w:color="auto" w:fill="auto"/>
            <w:vAlign w:val="center"/>
          </w:tcPr>
          <w:p>
            <w:pPr>
              <w:pStyle w:val="1132"/>
              <w:spacing w:line="240" w:lineRule="auto"/>
              <w:rPr>
                <w:spacing w:val="-6"/>
                <w:sz w:val="21"/>
                <w:szCs w:val="21"/>
              </w:rPr>
            </w:pPr>
            <w:r>
              <w:rPr>
                <w:rFonts w:hint="eastAsia"/>
                <w:spacing w:val="-6"/>
                <w:sz w:val="21"/>
                <w:szCs w:val="21"/>
              </w:rPr>
              <w:t>弃土场</w:t>
            </w:r>
          </w:p>
        </w:tc>
        <w:tc>
          <w:tcPr>
            <w:tcW w:w="1642" w:type="pct"/>
            <w:shd w:val="clear" w:color="auto" w:fill="auto"/>
            <w:vAlign w:val="center"/>
          </w:tcPr>
          <w:p>
            <w:pPr>
              <w:pStyle w:val="1132"/>
              <w:spacing w:line="240" w:lineRule="auto"/>
              <w:rPr>
                <w:rFonts w:hint="default"/>
                <w:spacing w:val="-6"/>
                <w:sz w:val="21"/>
                <w:szCs w:val="21"/>
                <w:lang w:val="en-US" w:eastAsia="zh-CN"/>
              </w:rPr>
            </w:pPr>
            <w:r>
              <w:rPr>
                <w:rFonts w:hint="eastAsia"/>
                <w:spacing w:val="-6"/>
                <w:sz w:val="21"/>
                <w:szCs w:val="21"/>
              </w:rPr>
              <w:t>1</w:t>
            </w:r>
            <w:r>
              <w:rPr>
                <w:rFonts w:hint="eastAsia"/>
                <w:spacing w:val="-6"/>
                <w:sz w:val="21"/>
                <w:szCs w:val="21"/>
                <w:lang w:val="en-US" w:eastAsia="zh-CN"/>
              </w:rPr>
              <w:t>2.7</w:t>
            </w:r>
          </w:p>
        </w:tc>
        <w:tc>
          <w:tcPr>
            <w:tcW w:w="619" w:type="pct"/>
            <w:vMerge w:val="restart"/>
            <w:vAlign w:val="center"/>
          </w:tcPr>
          <w:p>
            <w:pPr>
              <w:pStyle w:val="1132"/>
              <w:spacing w:line="240" w:lineRule="auto"/>
              <w:rPr>
                <w:rFonts w:hint="default" w:eastAsia="宋体"/>
                <w:sz w:val="21"/>
                <w:szCs w:val="21"/>
                <w:lang w:val="en-US" w:eastAsia="zh-CN"/>
              </w:rPr>
            </w:pPr>
            <w:r>
              <w:rPr>
                <w:rFonts w:hint="eastAsia"/>
                <w:sz w:val="21"/>
                <w:szCs w:val="21"/>
                <w:lang w:val="en-US" w:eastAsia="zh-CN"/>
              </w:rPr>
              <w:t>248.06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spacing w:val="-6"/>
                <w:sz w:val="21"/>
                <w:szCs w:val="21"/>
              </w:rPr>
            </w:pPr>
            <w:r>
              <w:rPr>
                <w:rFonts w:hint="eastAsia"/>
                <w:spacing w:val="-6"/>
                <w:sz w:val="21"/>
                <w:szCs w:val="21"/>
              </w:rPr>
              <w:t>施工便道</w:t>
            </w:r>
          </w:p>
        </w:tc>
        <w:tc>
          <w:tcPr>
            <w:tcW w:w="1642" w:type="pct"/>
            <w:shd w:val="clear" w:color="auto" w:fill="auto"/>
            <w:vAlign w:val="center"/>
          </w:tcPr>
          <w:p>
            <w:pPr>
              <w:pStyle w:val="1132"/>
              <w:spacing w:line="240" w:lineRule="auto"/>
              <w:rPr>
                <w:rFonts w:hint="default"/>
                <w:spacing w:val="-6"/>
                <w:sz w:val="21"/>
                <w:szCs w:val="21"/>
                <w:lang w:val="en-US" w:eastAsia="zh-CN"/>
              </w:rPr>
            </w:pPr>
            <w:r>
              <w:rPr>
                <w:rFonts w:hint="eastAsia"/>
                <w:spacing w:val="-6"/>
                <w:sz w:val="21"/>
                <w:szCs w:val="21"/>
                <w:lang w:val="en-US" w:eastAsia="zh-CN"/>
              </w:rPr>
              <w:t>110.61</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rFonts w:hint="default" w:eastAsia="宋体"/>
                <w:spacing w:val="-6"/>
                <w:sz w:val="21"/>
                <w:szCs w:val="21"/>
                <w:lang w:val="en-US" w:eastAsia="zh-CN"/>
              </w:rPr>
            </w:pPr>
            <w:r>
              <w:rPr>
                <w:rFonts w:hint="eastAsia"/>
                <w:spacing w:val="-6"/>
                <w:sz w:val="21"/>
                <w:szCs w:val="21"/>
                <w:lang w:val="en-US" w:eastAsia="zh-CN"/>
              </w:rPr>
              <w:t>项目部</w:t>
            </w:r>
          </w:p>
        </w:tc>
        <w:tc>
          <w:tcPr>
            <w:tcW w:w="1642" w:type="pct"/>
            <w:shd w:val="clear" w:color="auto" w:fill="auto"/>
            <w:vAlign w:val="center"/>
          </w:tcPr>
          <w:p>
            <w:pPr>
              <w:pStyle w:val="1132"/>
              <w:spacing w:line="240" w:lineRule="auto"/>
              <w:rPr>
                <w:rFonts w:hint="default"/>
                <w:spacing w:val="-6"/>
                <w:sz w:val="21"/>
                <w:szCs w:val="21"/>
                <w:lang w:val="en-US" w:eastAsia="zh-CN"/>
              </w:rPr>
            </w:pPr>
            <w:r>
              <w:rPr>
                <w:rFonts w:hint="eastAsia"/>
                <w:spacing w:val="-6"/>
                <w:sz w:val="21"/>
                <w:szCs w:val="21"/>
                <w:lang w:val="en-US" w:eastAsia="zh-CN"/>
              </w:rPr>
              <w:t>10.0</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2474" w:type="dxa"/>
            <w:shd w:val="clear" w:color="auto" w:fill="auto"/>
            <w:vAlign w:val="center"/>
          </w:tcPr>
          <w:p>
            <w:pPr>
              <w:pStyle w:val="1132"/>
              <w:spacing w:line="240" w:lineRule="auto"/>
              <w:rPr>
                <w:rFonts w:hint="eastAsia"/>
                <w:spacing w:val="-6"/>
                <w:sz w:val="21"/>
                <w:szCs w:val="21"/>
              </w:rPr>
            </w:pPr>
            <w:r>
              <w:rPr>
                <w:rFonts w:hint="eastAsia"/>
                <w:sz w:val="21"/>
                <w:szCs w:val="21"/>
                <w:lang w:val="en-US" w:eastAsia="zh-CN"/>
              </w:rPr>
              <w:t>水稳砼拌合站</w:t>
            </w:r>
          </w:p>
        </w:tc>
        <w:tc>
          <w:tcPr>
            <w:tcW w:w="3050" w:type="dxa"/>
            <w:shd w:val="clear" w:color="auto" w:fill="auto"/>
            <w:vAlign w:val="center"/>
          </w:tcPr>
          <w:p>
            <w:pPr>
              <w:pStyle w:val="1132"/>
              <w:spacing w:line="240" w:lineRule="auto"/>
              <w:rPr>
                <w:rFonts w:hint="eastAsia"/>
                <w:spacing w:val="-6"/>
                <w:sz w:val="21"/>
                <w:szCs w:val="21"/>
                <w:lang w:val="en-US" w:eastAsia="zh-CN"/>
              </w:rPr>
            </w:pPr>
            <w:r>
              <w:rPr>
                <w:rFonts w:hint="eastAsia"/>
                <w:sz w:val="21"/>
                <w:szCs w:val="21"/>
                <w:lang w:val="en-US" w:eastAsia="zh-CN"/>
              </w:rPr>
              <w:t>30.0</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2474" w:type="dxa"/>
            <w:shd w:val="clear" w:color="auto" w:fill="auto"/>
            <w:vAlign w:val="center"/>
          </w:tcPr>
          <w:p>
            <w:pPr>
              <w:pStyle w:val="1132"/>
              <w:spacing w:line="240" w:lineRule="auto"/>
              <w:rPr>
                <w:rFonts w:hint="eastAsia"/>
                <w:spacing w:val="-6"/>
                <w:sz w:val="21"/>
                <w:szCs w:val="21"/>
              </w:rPr>
            </w:pPr>
            <w:r>
              <w:rPr>
                <w:rFonts w:hint="eastAsia"/>
                <w:sz w:val="21"/>
                <w:szCs w:val="21"/>
                <w:lang w:val="en-US" w:eastAsia="zh-CN"/>
              </w:rPr>
              <w:t>水泥砼拌合站</w:t>
            </w:r>
          </w:p>
        </w:tc>
        <w:tc>
          <w:tcPr>
            <w:tcW w:w="3050" w:type="dxa"/>
            <w:shd w:val="clear" w:color="auto" w:fill="auto"/>
            <w:vAlign w:val="center"/>
          </w:tcPr>
          <w:p>
            <w:pPr>
              <w:pStyle w:val="1132"/>
              <w:spacing w:line="240" w:lineRule="auto"/>
              <w:rPr>
                <w:rFonts w:hint="eastAsia"/>
                <w:spacing w:val="-6"/>
                <w:sz w:val="21"/>
                <w:szCs w:val="21"/>
                <w:lang w:val="en-US" w:eastAsia="zh-CN"/>
              </w:rPr>
            </w:pPr>
            <w:r>
              <w:rPr>
                <w:rFonts w:hint="eastAsia"/>
                <w:sz w:val="21"/>
                <w:szCs w:val="21"/>
                <w:lang w:val="en-US" w:eastAsia="zh-CN"/>
              </w:rPr>
              <w:t>15.0</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2474" w:type="dxa"/>
            <w:shd w:val="clear" w:color="auto" w:fill="auto"/>
            <w:vAlign w:val="center"/>
          </w:tcPr>
          <w:p>
            <w:pPr>
              <w:pStyle w:val="1132"/>
              <w:spacing w:line="240" w:lineRule="auto"/>
              <w:rPr>
                <w:rFonts w:hint="eastAsia"/>
                <w:spacing w:val="-6"/>
                <w:sz w:val="21"/>
                <w:szCs w:val="21"/>
              </w:rPr>
            </w:pPr>
            <w:r>
              <w:rPr>
                <w:rFonts w:hint="eastAsia"/>
                <w:sz w:val="21"/>
                <w:szCs w:val="21"/>
                <w:lang w:val="en-US" w:eastAsia="zh-CN"/>
              </w:rPr>
              <w:t>沥青砼拌合站</w:t>
            </w:r>
          </w:p>
        </w:tc>
        <w:tc>
          <w:tcPr>
            <w:tcW w:w="3050" w:type="dxa"/>
            <w:shd w:val="clear" w:color="auto" w:fill="auto"/>
            <w:vAlign w:val="center"/>
          </w:tcPr>
          <w:p>
            <w:pPr>
              <w:pStyle w:val="1132"/>
              <w:spacing w:line="240" w:lineRule="auto"/>
              <w:rPr>
                <w:rFonts w:hint="eastAsia"/>
                <w:spacing w:val="-6"/>
                <w:sz w:val="21"/>
                <w:szCs w:val="21"/>
                <w:lang w:val="en-US" w:eastAsia="zh-CN"/>
              </w:rPr>
            </w:pPr>
            <w:r>
              <w:rPr>
                <w:rFonts w:hint="eastAsia"/>
                <w:sz w:val="21"/>
                <w:szCs w:val="21"/>
                <w:lang w:val="en-US" w:eastAsia="zh-CN"/>
              </w:rPr>
              <w:t>60.0</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745" w:type="pct"/>
            <w:vMerge w:val="continue"/>
            <w:shd w:val="clear" w:color="auto" w:fill="auto"/>
            <w:vAlign w:val="center"/>
          </w:tcPr>
          <w:p>
            <w:pPr>
              <w:pStyle w:val="1132"/>
              <w:spacing w:line="240" w:lineRule="auto"/>
              <w:rPr>
                <w:sz w:val="21"/>
                <w:szCs w:val="21"/>
              </w:rPr>
            </w:pPr>
          </w:p>
        </w:tc>
        <w:tc>
          <w:tcPr>
            <w:tcW w:w="662" w:type="pct"/>
            <w:vMerge w:val="continue"/>
            <w:shd w:val="clear" w:color="auto" w:fill="auto"/>
            <w:vAlign w:val="center"/>
          </w:tcPr>
          <w:p>
            <w:pPr>
              <w:pStyle w:val="1132"/>
              <w:spacing w:line="240" w:lineRule="auto"/>
              <w:rPr>
                <w:sz w:val="21"/>
                <w:szCs w:val="21"/>
              </w:rPr>
            </w:pPr>
          </w:p>
        </w:tc>
        <w:tc>
          <w:tcPr>
            <w:tcW w:w="1332" w:type="pct"/>
            <w:shd w:val="clear" w:color="auto" w:fill="auto"/>
            <w:vAlign w:val="center"/>
          </w:tcPr>
          <w:p>
            <w:pPr>
              <w:pStyle w:val="1132"/>
              <w:spacing w:line="240" w:lineRule="auto"/>
              <w:rPr>
                <w:rFonts w:hint="default"/>
                <w:spacing w:val="-6"/>
                <w:sz w:val="21"/>
                <w:szCs w:val="21"/>
                <w:lang w:val="en-US" w:eastAsia="zh-CN"/>
              </w:rPr>
            </w:pPr>
            <w:r>
              <w:rPr>
                <w:rFonts w:hint="eastAsia"/>
                <w:spacing w:val="-6"/>
                <w:sz w:val="21"/>
                <w:szCs w:val="21"/>
                <w:lang w:val="en-US" w:eastAsia="zh-CN"/>
              </w:rPr>
              <w:t>制梁场、钢筋加工场</w:t>
            </w:r>
          </w:p>
        </w:tc>
        <w:tc>
          <w:tcPr>
            <w:tcW w:w="1642" w:type="pct"/>
            <w:shd w:val="clear" w:color="auto" w:fill="auto"/>
            <w:vAlign w:val="center"/>
          </w:tcPr>
          <w:p>
            <w:pPr>
              <w:pStyle w:val="1132"/>
              <w:spacing w:line="240" w:lineRule="auto"/>
              <w:rPr>
                <w:rFonts w:hint="default"/>
                <w:spacing w:val="-6"/>
                <w:sz w:val="21"/>
                <w:szCs w:val="21"/>
                <w:lang w:val="en-US" w:eastAsia="zh-CN"/>
              </w:rPr>
            </w:pPr>
            <w:r>
              <w:rPr>
                <w:rFonts w:hint="eastAsia"/>
                <w:spacing w:val="-6"/>
                <w:sz w:val="21"/>
                <w:szCs w:val="21"/>
                <w:lang w:val="en-US" w:eastAsia="zh-CN"/>
              </w:rPr>
              <w:t>9.75</w:t>
            </w:r>
          </w:p>
        </w:tc>
        <w:tc>
          <w:tcPr>
            <w:tcW w:w="619" w:type="pct"/>
            <w:vMerge w:val="continue"/>
            <w:vAlign w:val="center"/>
          </w:tcPr>
          <w:p>
            <w:pPr>
              <w:pStyle w:val="1132"/>
              <w:spacing w:line="240" w:lineRule="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shd w:val="clear" w:color="auto" w:fill="auto"/>
            <w:vAlign w:val="center"/>
          </w:tcPr>
          <w:p>
            <w:pPr>
              <w:pStyle w:val="1132"/>
              <w:spacing w:line="240" w:lineRule="auto"/>
              <w:rPr>
                <w:sz w:val="21"/>
                <w:szCs w:val="21"/>
              </w:rPr>
            </w:pPr>
            <w:r>
              <w:rPr>
                <w:rFonts w:hint="eastAsia"/>
                <w:sz w:val="21"/>
                <w:szCs w:val="21"/>
              </w:rPr>
              <w:t>总计</w:t>
            </w:r>
          </w:p>
        </w:tc>
        <w:tc>
          <w:tcPr>
            <w:tcW w:w="3636" w:type="pct"/>
            <w:gridSpan w:val="3"/>
            <w:shd w:val="clear" w:color="auto" w:fill="auto"/>
            <w:vAlign w:val="center"/>
          </w:tcPr>
          <w:p>
            <w:pPr>
              <w:pStyle w:val="1132"/>
              <w:spacing w:line="240" w:lineRule="auto"/>
              <w:rPr>
                <w:sz w:val="21"/>
                <w:szCs w:val="21"/>
              </w:rPr>
            </w:pPr>
            <w:r>
              <w:rPr>
                <w:rFonts w:hint="eastAsia"/>
                <w:sz w:val="21"/>
                <w:szCs w:val="21"/>
              </w:rPr>
              <w:t>/</w:t>
            </w:r>
          </w:p>
        </w:tc>
        <w:tc>
          <w:tcPr>
            <w:tcW w:w="619" w:type="pct"/>
            <w:vAlign w:val="center"/>
          </w:tcPr>
          <w:p>
            <w:pPr>
              <w:pStyle w:val="1132"/>
              <w:spacing w:line="240" w:lineRule="auto"/>
              <w:rPr>
                <w:rFonts w:hint="default" w:eastAsia="宋体"/>
                <w:sz w:val="21"/>
                <w:szCs w:val="21"/>
                <w:lang w:val="en-US" w:eastAsia="zh-CN"/>
              </w:rPr>
            </w:pPr>
            <w:r>
              <w:rPr>
                <w:rFonts w:hint="eastAsia"/>
                <w:sz w:val="21"/>
                <w:szCs w:val="21"/>
                <w:lang w:val="en-US" w:eastAsia="zh-CN"/>
              </w:rPr>
              <w:t>840.15</w:t>
            </w:r>
          </w:p>
        </w:tc>
      </w:tr>
    </w:tbl>
    <w:p>
      <w:pPr>
        <w:pStyle w:val="10"/>
        <w:ind w:firstLine="480"/>
      </w:pPr>
      <w:r>
        <w:rPr>
          <w:rFonts w:hint="eastAsia"/>
        </w:rPr>
        <w:t>从表</w:t>
      </w:r>
      <w:r>
        <w:t>5</w:t>
      </w:r>
      <w:r>
        <w:rPr>
          <w:rFonts w:hint="eastAsia"/>
        </w:rPr>
        <w:t>.</w:t>
      </w:r>
      <w:r>
        <w:t>5</w:t>
      </w:r>
      <w:r>
        <w:rPr>
          <w:rFonts w:hint="eastAsia"/>
        </w:rPr>
        <w:t>-</w:t>
      </w:r>
      <w:r>
        <w:t>1</w:t>
      </w:r>
      <w:r>
        <w:rPr>
          <w:rFonts w:hint="eastAsia"/>
        </w:rPr>
        <w:t>中可以看出，项目永久占地</w:t>
      </w:r>
      <w:r>
        <w:t>592.09</w:t>
      </w:r>
      <w:r>
        <w:rPr>
          <w:rFonts w:hint="eastAsia"/>
        </w:rPr>
        <w:t>亩，包含永久征用农用地、耕地、建设用地及未利用地、老路占地。工程建设中尽可能少占耕地，对于征用的耕地，建设单位将按照“占多少，垦多少”的原则，负责开垦与所占用耕地的数量和质量相当的耕地。</w:t>
      </w:r>
    </w:p>
    <w:p>
      <w:pPr>
        <w:pStyle w:val="10"/>
        <w:ind w:firstLine="480"/>
      </w:pPr>
      <w:r>
        <w:t>本项目建设除了永久占用土地外，施工过程中还将临时占用部分土地，作为</w:t>
      </w:r>
      <w:r>
        <w:rPr>
          <w:rFonts w:hint="eastAsia"/>
        </w:rPr>
        <w:t>弃土场以及施工便道、桥梁临时场地和临时堆土场</w:t>
      </w:r>
      <w:r>
        <w:t>等用地。</w:t>
      </w:r>
    </w:p>
    <w:p>
      <w:pPr>
        <w:pStyle w:val="10"/>
        <w:ind w:firstLine="480"/>
      </w:pPr>
      <w:r>
        <w:rPr>
          <w:rFonts w:hint="eastAsia"/>
        </w:rPr>
        <w:t>本项目设计过程中最大程度的减少了用地，其用地符合沿线地区土地利用布局规划的要求。</w:t>
      </w:r>
    </w:p>
    <w:p>
      <w:pPr>
        <w:pStyle w:val="8"/>
        <w:rPr>
          <w:b/>
          <w:bCs/>
        </w:rPr>
      </w:pPr>
      <w:bookmarkStart w:id="376" w:name="_Toc7091"/>
      <w:r>
        <w:rPr>
          <w:b/>
          <w:bCs/>
        </w:rPr>
        <w:t>工程对植被的影响</w:t>
      </w:r>
      <w:bookmarkEnd w:id="376"/>
    </w:p>
    <w:p>
      <w:pPr>
        <w:pStyle w:val="9"/>
      </w:pPr>
      <w:bookmarkStart w:id="377" w:name="_Toc30532"/>
      <w:r>
        <w:t>公路占地引起的植被损失</w:t>
      </w:r>
      <w:bookmarkEnd w:id="377"/>
    </w:p>
    <w:p>
      <w:pPr>
        <w:pStyle w:val="10"/>
        <w:ind w:firstLine="480"/>
      </w:pPr>
      <w:r>
        <w:t>道路施工因征用土地、临时用地和施工期其它因素等，使沿线地区的土壤植被损失或损坏，本项目永久占用土地592.09亩，为了使破坏的植被得到补偿，建议道路建设完毕后，对征地范围内的裸露地进行复耕或植树种草绿化；施工期间由于机械碾压、机施工人员践踏，在施工场地周围土地植被也将遭到破坏，施工结束后，建设单位应对其进行绿化。此外，对于工程占地区域适宜植被生长的表土挖方后收集，用于道路沿线绿化带的绿化用土。</w:t>
      </w:r>
    </w:p>
    <w:p>
      <w:pPr>
        <w:pStyle w:val="10"/>
        <w:ind w:firstLine="480"/>
      </w:pPr>
      <w:r>
        <w:t>（1）植被损失及绿化恢复</w:t>
      </w:r>
    </w:p>
    <w:p>
      <w:pPr>
        <w:pStyle w:val="10"/>
        <w:ind w:firstLine="480"/>
      </w:pPr>
      <w:r>
        <w:rPr>
          <w:rFonts w:hint="eastAsia" w:ascii="宋体" w:hAnsi="宋体" w:cs="宋体"/>
        </w:rPr>
        <w:t>①</w:t>
      </w:r>
      <w:r>
        <w:t>道路占地引起的植被损失</w:t>
      </w:r>
    </w:p>
    <w:p>
      <w:pPr>
        <w:pStyle w:val="10"/>
        <w:ind w:firstLine="480"/>
        <w:rPr>
          <w:rFonts w:hint="eastAsia"/>
          <w:lang w:val="en-US" w:eastAsia="zh-CN"/>
        </w:rPr>
      </w:pPr>
      <w:r>
        <w:t>道路建设占地会使沿线的植被受到破坏，</w:t>
      </w:r>
      <w:r>
        <w:rPr>
          <w:rFonts w:hint="eastAsia"/>
          <w:lang w:val="en-US" w:eastAsia="zh-CN"/>
        </w:rPr>
        <w:t>主要占地为耕地</w:t>
      </w:r>
      <w:r>
        <w:t>，此外沿线将损失部分农作物。拟建项目建设对沿线植被存在一定的影响，但不会使区内生态体系的生物量发生明显的改变。</w:t>
      </w:r>
      <w:r>
        <w:rPr>
          <w:rFonts w:hint="eastAsia"/>
          <w:lang w:val="en-US" w:eastAsia="zh-CN"/>
        </w:rPr>
        <w:t>本项目造成的生物量损失具体见表5.5-2。</w:t>
      </w:r>
    </w:p>
    <w:p>
      <w:pPr>
        <w:pStyle w:val="10"/>
        <w:ind w:firstLine="480"/>
        <w:jc w:val="center"/>
        <w:rPr>
          <w:rFonts w:hint="default" w:eastAsia="宋体"/>
          <w:b/>
          <w:bCs/>
          <w:vertAlign w:val="baseline"/>
          <w:lang w:val="en-US" w:eastAsia="zh-CN"/>
        </w:rPr>
      </w:pPr>
      <w:r>
        <w:rPr>
          <w:rFonts w:hint="eastAsia"/>
          <w:b/>
          <w:bCs/>
          <w:lang w:val="en-US" w:eastAsia="zh-CN"/>
        </w:rPr>
        <w:t>表5.5-2 拟建项目公路征地生物量变化估算表</w:t>
      </w:r>
    </w:p>
    <w:tbl>
      <w:tblPr>
        <w:tblStyle w:val="4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2320"/>
        <w:gridCol w:w="2322"/>
        <w:gridCol w:w="2322"/>
        <w:gridCol w:w="2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499" w:type="pct"/>
            <w:gridSpan w:val="2"/>
            <w:vAlign w:val="center"/>
          </w:tcPr>
          <w:p>
            <w:pPr>
              <w:pStyle w:val="1132"/>
              <w:spacing w:line="240" w:lineRule="auto"/>
              <w:jc w:val="center"/>
              <w:rPr>
                <w:rFonts w:hint="default"/>
                <w:b/>
                <w:bCs w:val="0"/>
                <w:spacing w:val="-6"/>
                <w:sz w:val="21"/>
                <w:szCs w:val="21"/>
                <w:lang w:val="en-US" w:eastAsia="zh-CN"/>
              </w:rPr>
            </w:pPr>
            <w:r>
              <w:rPr>
                <w:rFonts w:hint="eastAsia"/>
                <w:b/>
                <w:bCs w:val="0"/>
                <w:spacing w:val="-6"/>
                <w:sz w:val="21"/>
                <w:szCs w:val="21"/>
                <w:lang w:val="en-US" w:eastAsia="zh-CN"/>
              </w:rPr>
              <w:t>占地类型及面积</w:t>
            </w:r>
          </w:p>
        </w:tc>
        <w:tc>
          <w:tcPr>
            <w:tcW w:w="1250" w:type="pct"/>
            <w:vMerge w:val="restart"/>
            <w:vAlign w:val="center"/>
          </w:tcPr>
          <w:p>
            <w:pPr>
              <w:pStyle w:val="1132"/>
              <w:spacing w:line="240" w:lineRule="auto"/>
              <w:jc w:val="center"/>
              <w:rPr>
                <w:rFonts w:hint="default"/>
                <w:b/>
                <w:bCs w:val="0"/>
                <w:spacing w:val="-6"/>
                <w:sz w:val="21"/>
                <w:szCs w:val="21"/>
                <w:lang w:val="en-US" w:eastAsia="zh-CN"/>
              </w:rPr>
            </w:pPr>
            <w:r>
              <w:rPr>
                <w:rFonts w:hint="eastAsia"/>
                <w:b/>
                <w:bCs w:val="0"/>
                <w:spacing w:val="-6"/>
                <w:sz w:val="21"/>
                <w:szCs w:val="21"/>
                <w:lang w:val="en-US" w:eastAsia="zh-CN"/>
              </w:rPr>
              <w:t>平均生物量（t/hm</w:t>
            </w:r>
            <w:r>
              <w:rPr>
                <w:rFonts w:hint="eastAsia"/>
                <w:b/>
                <w:bCs w:val="0"/>
                <w:spacing w:val="-6"/>
                <w:sz w:val="21"/>
                <w:szCs w:val="21"/>
                <w:vertAlign w:val="superscript"/>
                <w:lang w:val="en-US" w:eastAsia="zh-CN"/>
              </w:rPr>
              <w:t>2</w:t>
            </w:r>
            <w:r>
              <w:rPr>
                <w:rFonts w:hint="eastAsia"/>
                <w:b/>
                <w:bCs w:val="0"/>
                <w:spacing w:val="-6"/>
                <w:sz w:val="21"/>
                <w:szCs w:val="21"/>
                <w:lang w:val="en-US" w:eastAsia="zh-CN"/>
              </w:rPr>
              <w:t>）</w:t>
            </w:r>
          </w:p>
        </w:tc>
        <w:tc>
          <w:tcPr>
            <w:tcW w:w="1250" w:type="pct"/>
            <w:vMerge w:val="restart"/>
            <w:vAlign w:val="center"/>
          </w:tcPr>
          <w:p>
            <w:pPr>
              <w:pStyle w:val="1132"/>
              <w:spacing w:line="240" w:lineRule="auto"/>
              <w:jc w:val="center"/>
              <w:rPr>
                <w:rFonts w:hint="default"/>
                <w:b/>
                <w:bCs w:val="0"/>
                <w:spacing w:val="-6"/>
                <w:sz w:val="21"/>
                <w:szCs w:val="21"/>
                <w:lang w:val="en-US" w:eastAsia="zh-CN"/>
              </w:rPr>
            </w:pPr>
            <w:r>
              <w:rPr>
                <w:rFonts w:hint="eastAsia"/>
                <w:b/>
                <w:bCs w:val="0"/>
                <w:spacing w:val="-6"/>
                <w:sz w:val="21"/>
                <w:szCs w:val="21"/>
                <w:lang w:val="en-US" w:eastAsia="zh-CN"/>
              </w:rPr>
              <w:t>损失生物量（t）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249" w:type="pct"/>
            <w:vAlign w:val="center"/>
          </w:tcPr>
          <w:p>
            <w:pPr>
              <w:pStyle w:val="1132"/>
              <w:spacing w:line="240" w:lineRule="auto"/>
              <w:jc w:val="center"/>
              <w:rPr>
                <w:rFonts w:hint="default"/>
                <w:b/>
                <w:bCs w:val="0"/>
                <w:spacing w:val="-6"/>
                <w:sz w:val="21"/>
                <w:szCs w:val="21"/>
                <w:lang w:val="en-US" w:eastAsia="zh-CN"/>
              </w:rPr>
            </w:pPr>
            <w:r>
              <w:rPr>
                <w:rFonts w:hint="eastAsia"/>
                <w:b/>
                <w:bCs w:val="0"/>
                <w:spacing w:val="-6"/>
                <w:sz w:val="21"/>
                <w:szCs w:val="21"/>
                <w:lang w:val="en-US" w:eastAsia="zh-CN"/>
              </w:rPr>
              <w:t>类型</w:t>
            </w:r>
          </w:p>
        </w:tc>
        <w:tc>
          <w:tcPr>
            <w:tcW w:w="1249" w:type="pct"/>
            <w:vAlign w:val="center"/>
          </w:tcPr>
          <w:p>
            <w:pPr>
              <w:pStyle w:val="1132"/>
              <w:spacing w:line="240" w:lineRule="auto"/>
              <w:jc w:val="center"/>
              <w:rPr>
                <w:rFonts w:hint="default"/>
                <w:b/>
                <w:bCs w:val="0"/>
                <w:spacing w:val="-6"/>
                <w:sz w:val="21"/>
                <w:szCs w:val="21"/>
                <w:lang w:val="en-US" w:eastAsia="zh-CN"/>
              </w:rPr>
            </w:pPr>
            <w:r>
              <w:rPr>
                <w:rFonts w:hint="eastAsia"/>
                <w:b/>
                <w:bCs w:val="0"/>
                <w:spacing w:val="-6"/>
                <w:sz w:val="21"/>
                <w:szCs w:val="21"/>
                <w:lang w:val="en-US" w:eastAsia="zh-CN"/>
              </w:rPr>
              <w:t>面积（hm</w:t>
            </w:r>
            <w:r>
              <w:rPr>
                <w:rFonts w:hint="eastAsia"/>
                <w:b/>
                <w:bCs w:val="0"/>
                <w:spacing w:val="-6"/>
                <w:sz w:val="21"/>
                <w:szCs w:val="21"/>
                <w:vertAlign w:val="superscript"/>
                <w:lang w:val="en-US" w:eastAsia="zh-CN"/>
              </w:rPr>
              <w:t>2</w:t>
            </w:r>
            <w:r>
              <w:rPr>
                <w:rFonts w:hint="eastAsia"/>
                <w:b/>
                <w:bCs w:val="0"/>
                <w:spacing w:val="-6"/>
                <w:sz w:val="21"/>
                <w:szCs w:val="21"/>
                <w:lang w:val="en-US" w:eastAsia="zh-CN"/>
              </w:rPr>
              <w:t>）</w:t>
            </w:r>
          </w:p>
        </w:tc>
        <w:tc>
          <w:tcPr>
            <w:tcW w:w="1250" w:type="pct"/>
            <w:vMerge w:val="continue"/>
            <w:tcBorders/>
            <w:vAlign w:val="center"/>
          </w:tcPr>
          <w:p>
            <w:pPr>
              <w:pStyle w:val="1132"/>
              <w:spacing w:line="240" w:lineRule="auto"/>
              <w:jc w:val="center"/>
              <w:rPr>
                <w:rFonts w:hint="default"/>
                <w:spacing w:val="-6"/>
                <w:sz w:val="21"/>
                <w:szCs w:val="21"/>
                <w:lang w:val="en-US" w:eastAsia="zh-CN"/>
              </w:rPr>
            </w:pPr>
          </w:p>
        </w:tc>
        <w:tc>
          <w:tcPr>
            <w:tcW w:w="1250" w:type="pct"/>
            <w:vMerge w:val="continue"/>
            <w:tcBorders/>
            <w:vAlign w:val="center"/>
          </w:tcPr>
          <w:p>
            <w:pPr>
              <w:pStyle w:val="1132"/>
              <w:spacing w:line="240" w:lineRule="auto"/>
              <w:jc w:val="center"/>
              <w:rPr>
                <w:rFonts w:hint="default"/>
                <w:spacing w:val="-6"/>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249"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农用地</w:t>
            </w:r>
          </w:p>
        </w:tc>
        <w:tc>
          <w:tcPr>
            <w:tcW w:w="1249"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27.5</w:t>
            </w:r>
          </w:p>
        </w:tc>
        <w:tc>
          <w:tcPr>
            <w:tcW w:w="1250"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10</w:t>
            </w:r>
          </w:p>
        </w:tc>
        <w:tc>
          <w:tcPr>
            <w:tcW w:w="1250"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249"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耕地</w:t>
            </w:r>
          </w:p>
        </w:tc>
        <w:tc>
          <w:tcPr>
            <w:tcW w:w="1249"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22.67</w:t>
            </w:r>
          </w:p>
        </w:tc>
        <w:tc>
          <w:tcPr>
            <w:tcW w:w="1250"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6</w:t>
            </w:r>
          </w:p>
        </w:tc>
        <w:tc>
          <w:tcPr>
            <w:tcW w:w="1250"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136.02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249"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合计</w:t>
            </w:r>
          </w:p>
        </w:tc>
        <w:tc>
          <w:tcPr>
            <w:tcW w:w="1249"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50.17</w:t>
            </w:r>
          </w:p>
        </w:tc>
        <w:tc>
          <w:tcPr>
            <w:tcW w:w="1250"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w:t>
            </w:r>
          </w:p>
        </w:tc>
        <w:tc>
          <w:tcPr>
            <w:tcW w:w="1250" w:type="pct"/>
            <w:vAlign w:val="center"/>
          </w:tcPr>
          <w:p>
            <w:pPr>
              <w:pStyle w:val="1132"/>
              <w:spacing w:line="240" w:lineRule="auto"/>
              <w:jc w:val="center"/>
              <w:rPr>
                <w:rFonts w:hint="default"/>
                <w:spacing w:val="-6"/>
                <w:sz w:val="21"/>
                <w:szCs w:val="21"/>
                <w:lang w:val="en-US" w:eastAsia="zh-CN"/>
              </w:rPr>
            </w:pPr>
            <w:r>
              <w:rPr>
                <w:rFonts w:hint="eastAsia"/>
                <w:spacing w:val="-6"/>
                <w:sz w:val="21"/>
                <w:szCs w:val="21"/>
                <w:lang w:val="en-US" w:eastAsia="zh-CN"/>
              </w:rPr>
              <w:t>411.02</w:t>
            </w:r>
          </w:p>
        </w:tc>
      </w:tr>
    </w:tbl>
    <w:p>
      <w:pPr>
        <w:pStyle w:val="10"/>
        <w:ind w:left="0" w:leftChars="0" w:firstLine="480" w:firstLineChars="200"/>
        <w:rPr>
          <w:rFonts w:hint="default" w:eastAsia="宋体"/>
          <w:lang w:val="en-US" w:eastAsia="zh-CN"/>
        </w:rPr>
      </w:pPr>
      <w:r>
        <w:rPr>
          <w:rFonts w:hint="default" w:eastAsia="宋体"/>
          <w:lang w:val="en-US" w:eastAsia="zh-CN"/>
        </w:rPr>
        <w:t xml:space="preserve">由上表可知，工程建设永久占地对植被的占用面积为 </w:t>
      </w:r>
      <w:r>
        <w:rPr>
          <w:rFonts w:hint="eastAsia"/>
          <w:lang w:val="en-US" w:eastAsia="zh-CN"/>
        </w:rPr>
        <w:t>50.17</w:t>
      </w:r>
      <w:r>
        <w:rPr>
          <w:rFonts w:hint="default" w:eastAsia="宋体"/>
          <w:lang w:val="en-US" w:eastAsia="zh-CN"/>
        </w:rPr>
        <w:t>hm</w:t>
      </w:r>
      <w:r>
        <w:rPr>
          <w:rFonts w:hint="default" w:eastAsia="宋体"/>
          <w:vertAlign w:val="superscript"/>
          <w:lang w:val="en-US" w:eastAsia="zh-CN"/>
        </w:rPr>
        <w:t>2</w:t>
      </w:r>
      <w:r>
        <w:rPr>
          <w:rFonts w:hint="default" w:eastAsia="宋体"/>
          <w:lang w:val="en-US" w:eastAsia="zh-CN"/>
        </w:rPr>
        <w:t xml:space="preserve">，造成生物量损失总量约 </w:t>
      </w:r>
      <w:r>
        <w:rPr>
          <w:rFonts w:hint="eastAsia"/>
          <w:lang w:val="en-US" w:eastAsia="zh-CN"/>
        </w:rPr>
        <w:t>411.02</w:t>
      </w:r>
      <w:r>
        <w:rPr>
          <w:rFonts w:hint="default" w:eastAsia="宋体"/>
          <w:lang w:val="en-US" w:eastAsia="zh-CN"/>
        </w:rPr>
        <w:t>t。本项实施后，边坡等永久占地范围内绿化恢复，实际生物量损失远小于此数值。由此可见，本项目建设占地对区域内生物量的损失是可接受的，对区域生态系统的生物量、生产力水平影响有限</w:t>
      </w:r>
      <w:r>
        <w:rPr>
          <w:rFonts w:hint="eastAsia"/>
          <w:lang w:val="en-US" w:eastAsia="zh-CN"/>
        </w:rPr>
        <w:t>。</w:t>
      </w:r>
    </w:p>
    <w:p>
      <w:pPr>
        <w:pStyle w:val="10"/>
        <w:ind w:firstLine="480"/>
        <w:rPr>
          <w:rFonts w:eastAsia="PMingLiU" w:asciiTheme="minorEastAsia" w:hAnsiTheme="minorEastAsia"/>
          <w:lang w:eastAsia="zh-TW"/>
        </w:rPr>
      </w:pPr>
      <w:r>
        <w:rPr>
          <w:rFonts w:hint="eastAsia"/>
          <w:lang w:eastAsia="zh-TW"/>
        </w:rPr>
        <w:t>②</w:t>
      </w:r>
      <w:r>
        <w:rPr>
          <w:lang w:eastAsia="zh-TW"/>
        </w:rPr>
        <w:t>补</w:t>
      </w:r>
      <w:r>
        <w:rPr>
          <w:rFonts w:hint="eastAsia" w:asciiTheme="minorEastAsia" w:hAnsiTheme="minorEastAsia"/>
          <w:lang w:eastAsia="zh-TW"/>
        </w:rPr>
        <w:t>偿的植被数</w:t>
      </w:r>
    </w:p>
    <w:p>
      <w:pPr>
        <w:pStyle w:val="10"/>
        <w:ind w:firstLine="480"/>
      </w:pPr>
      <w:r>
        <w:t>拟建道路对沿线绿化工程非常重视，全线进行绿化，</w:t>
      </w:r>
      <w:r>
        <w:rPr>
          <w:rFonts w:hint="eastAsia"/>
        </w:rPr>
        <w:t>并对树木、青苗进行赔偿。虽然拟建项目的绿化工程数量尚未确定，但按照类比，一般绿化植物的数量为被砍伐树木总数的50%，树木绿化面积达到破坏面积的 20%左右，拟建项目整个绿化面积将达到破坏面积的 40%左右，一定程度上可弥补公路永久占地损失的生物量。</w:t>
      </w:r>
    </w:p>
    <w:p>
      <w:pPr>
        <w:pStyle w:val="10"/>
        <w:ind w:firstLine="480"/>
      </w:pPr>
      <w:r>
        <w:t>由于植被损失面积与路线所经地区相比是极少量的，</w:t>
      </w:r>
      <w:r>
        <w:rPr>
          <w:rFonts w:hint="eastAsia"/>
        </w:rPr>
        <w:t>并且</w:t>
      </w:r>
      <w:r>
        <w:t>在一定程度上补偿部分损失的植被，因此，道路破坏的植被不会对沿线生态系统物种的丰度和生态功能产生影响。</w:t>
      </w:r>
    </w:p>
    <w:p>
      <w:pPr>
        <w:pStyle w:val="10"/>
        <w:ind w:firstLine="480"/>
      </w:pPr>
      <w:r>
        <w:t>（2）施工期其它因素对植被的影响</w:t>
      </w:r>
    </w:p>
    <w:p>
      <w:pPr>
        <w:pStyle w:val="10"/>
        <w:ind w:firstLine="480"/>
      </w:pPr>
      <w:r>
        <w:t>项目施工过程中，运输车辆产生的扬尘，施工过程挥洒的石灰和水泥，会对周围植物的生长带来直接的影响。这些尘土降落到植物的叶面上，会堵塞毛孔，影响植物的光合作用，从而使之生长减缓甚至死去。石灰和水泥若被雨水冲刷渗入地下，会导致土壤板结，影响植物根系对水分和矿物质的吸收。另外，原材料的堆放、沥青和车辆漏油，还会污染土壤，从而间接影响植物的生长。虽然说随着施工的结束不再产生扬尘，情况会有所好转，但是这些影响并不会随施工的结束而得到解决，它们的影响将持续较长一段时间。因此施工过程中，一定要处理好原材料和废弃料的处理，对于运输车辆，也要尽量走固定的路线，将影响减小到最少范围。</w:t>
      </w:r>
    </w:p>
    <w:p>
      <w:pPr>
        <w:pStyle w:val="8"/>
        <w:rPr>
          <w:b/>
          <w:bCs/>
        </w:rPr>
      </w:pPr>
      <w:bookmarkStart w:id="378" w:name="_Toc9540"/>
      <w:r>
        <w:rPr>
          <w:rFonts w:hint="eastAsia"/>
          <w:b/>
          <w:bCs/>
        </w:rPr>
        <w:t>对沿线动植物的影响分析</w:t>
      </w:r>
      <w:bookmarkEnd w:id="378"/>
    </w:p>
    <w:p>
      <w:pPr>
        <w:pStyle w:val="9"/>
      </w:pPr>
      <w:bookmarkStart w:id="379" w:name="_Toc5850"/>
      <w:r>
        <w:t>施工期对</w:t>
      </w:r>
      <w:r>
        <w:rPr>
          <w:rFonts w:hint="eastAsia"/>
        </w:rPr>
        <w:t>沿线动植物</w:t>
      </w:r>
      <w:r>
        <w:t>的影响分析</w:t>
      </w:r>
      <w:bookmarkEnd w:id="379"/>
    </w:p>
    <w:p>
      <w:pPr>
        <w:pStyle w:val="10"/>
        <w:ind w:firstLine="480"/>
      </w:pPr>
      <w:r>
        <w:t>（1）两栖类动物</w:t>
      </w:r>
    </w:p>
    <w:p>
      <w:pPr>
        <w:pStyle w:val="10"/>
        <w:ind w:firstLine="480"/>
      </w:pPr>
      <w:r>
        <w:t>工程建设对两栖类动物的影响主要是导致其在施工区及外围地带的分布及种群数量的变化，不会改变其区系组成和种群数量。工程实施过程中会使部分动物生境遭到污染和破坏，使区域的人为扰动加重，导致区域两栖类动物的栖息环境发生改变，一定程度上影响两栖类动物的繁殖觅食活动。</w:t>
      </w:r>
    </w:p>
    <w:p>
      <w:pPr>
        <w:pStyle w:val="10"/>
        <w:ind w:firstLine="480"/>
      </w:pPr>
      <w:r>
        <w:t>一般两栖类动物的繁殖活动是需要水的，其卵产于小溪和沟渠等水体中。一般于黄昏至黎明时在隐蔽处活动频繁，酷热或严寒季节以夏蛰或冬眠方式度过。其食物一般以昆虫等动物为主要食物来源。鱼、蛇、鸟、兽等均为它们的天敌。拟建项目涉水段施工导致的人为扰动和可能的水质污染对两栖类的繁殖觅食活动影响较大，根据现场调查结果表明，区域两栖类主要有水体中活动觅食的流溪型和静水型两栖类，包括</w:t>
      </w:r>
      <w:r>
        <w:rPr>
          <w:rFonts w:hint="eastAsia"/>
          <w:lang w:val="en-US" w:eastAsia="zh-CN"/>
        </w:rPr>
        <w:t>中华蟾蜍、</w:t>
      </w:r>
      <w:r>
        <w:t>黑斑蛙</w:t>
      </w:r>
      <w:r>
        <w:rPr>
          <w:rFonts w:hint="eastAsia"/>
          <w:lang w:eastAsia="zh-CN"/>
        </w:rPr>
        <w:t>、</w:t>
      </w:r>
      <w:r>
        <w:rPr>
          <w:rFonts w:hint="eastAsia"/>
          <w:lang w:val="en-US" w:eastAsia="zh-CN"/>
        </w:rPr>
        <w:t>泽蛙</w:t>
      </w:r>
      <w:r>
        <w:t>等。其分布路段主要在工程跨河区域附近及其它溪沟河谷中。</w:t>
      </w:r>
    </w:p>
    <w:p>
      <w:pPr>
        <w:pStyle w:val="10"/>
        <w:ind w:firstLine="480"/>
      </w:pPr>
      <w:r>
        <w:t>工程对其影响主要是在穿越或靠近这些水体施工时，施工人员的生活污水和生活垃圾、施工机械机修及工作时油污跑冒滴漏产生的含油污水等废水、废渣排放带来的局部生境污染以及施工噪声和施工人员捕杀等都会驱赶这些两栖类暂时离开栖息地。</w:t>
      </w:r>
    </w:p>
    <w:p>
      <w:pPr>
        <w:pStyle w:val="10"/>
        <w:ind w:firstLine="480"/>
      </w:pPr>
      <w:r>
        <w:t>拟建项目评价区内陆栖型和树栖型两栖类分布于工程沿线，主要栖息于农田、溪流及附近的坡草丛中，也多在水体附近活动，工程对其影响除了噪声驱赶外，还可能存在对其少量生境的占用。但这种影响是短期和暂时的，两栖类可以转移到评价区内相似生境中，施工活动结束后，两栖类的生存环境将会逐步得到恢复。</w:t>
      </w:r>
    </w:p>
    <w:p>
      <w:pPr>
        <w:pStyle w:val="10"/>
        <w:ind w:firstLine="480"/>
      </w:pPr>
      <w:r>
        <w:t>在项目施工期间，区域两栖类动物的种群数量可能会暂时的下降，但随着它们适应性的迁移到远离拟建线路的生境，其种群数量会逐步恢复，物种生存威胁解除。总体上来说，项目建设对两栖类动物的影响是短期的和可恢复的。</w:t>
      </w:r>
    </w:p>
    <w:p>
      <w:pPr>
        <w:pStyle w:val="10"/>
        <w:ind w:firstLine="480"/>
      </w:pPr>
      <w:r>
        <w:t>（2）爬行动物</w:t>
      </w:r>
    </w:p>
    <w:p>
      <w:pPr>
        <w:pStyle w:val="10"/>
        <w:ind w:firstLine="480"/>
      </w:pPr>
      <w:r>
        <w:t>爬行动物一般在灌丛和石缝中产卵，繁殖期大都在春夏之际，有些生活在水里，有些生活在陆地上的石缝中。评价区中爬行类主要是灌丛石隙型爬行类，包括石龙子、北草蜥、赤链蛇和短尾蝮，拟建项目全部路段的灌丛、石缝中均有分布。工程对其影响主要是占用部分生境、施工噪声以及阻断活动通道等影响。</w:t>
      </w:r>
    </w:p>
    <w:p>
      <w:pPr>
        <w:pStyle w:val="10"/>
        <w:ind w:firstLine="480"/>
      </w:pPr>
      <w:r>
        <w:t>其次，林栖傍水型的种类也较多，包括鳖、</w:t>
      </w:r>
      <w:r>
        <w:rPr>
          <w:rFonts w:hint="eastAsia"/>
          <w:lang w:val="en-US" w:eastAsia="zh-CN"/>
        </w:rPr>
        <w:t>青蛙</w:t>
      </w:r>
      <w:r>
        <w:t>、红点锦蛇、水蛇、乌梢蛇等，其主要分布在线路附近的灌丛活动。工程对它们的影响主要是占用部分生境。住宅型的两栖类种类较少，主要为多疣壁虎，工程对其影响较弱。此外，蛇类等爬行动物，主要栖息在丘陵的落叶阔叶林、针阔混交林、阴暗潮湿的林间灌丛、农田等处，以昆虫、蛙类、鸟、鼠为食。施工期间，施工的材料、弃渣等会改变河段水的浑浊度及其它理化性质，使得爬行类动物的生活环境遭到破坏，甚至消失。但施工仅占有部分生境，它们可以迁移到非施工区或非淹没区，其种群生存不会遭受严重威胁。总体而言，拟建公路在施工期对爬行动物的影响是暂时的，随着项目结束和生境恢复工程的实施，区域内的爬行类会逐步恢复到正常状态。</w:t>
      </w:r>
    </w:p>
    <w:p>
      <w:pPr>
        <w:pStyle w:val="10"/>
        <w:ind w:firstLine="480"/>
      </w:pPr>
      <w:r>
        <w:t>（3）鸟类</w:t>
      </w:r>
    </w:p>
    <w:p>
      <w:pPr>
        <w:pStyle w:val="10"/>
        <w:ind w:firstLine="480"/>
      </w:pPr>
      <w:r>
        <w:t>由于鸟类多善于飞翔和迁徙，在施工期较易找到替代生境，工程对鸟类的直接影响不大，只局限于施工期施工噪声与废气等对其生境的污染和破坏，缩减它们的活动范围与觅食生境。但这些影响仅限工程占用的条带型林地，影响范围较小，其主要体现在工程施工时影响两栖爬行类也会间接影响这些鸟类的食物来源，以及鸟类繁殖期时施工噪声可能对其有较大影响。</w:t>
      </w:r>
    </w:p>
    <w:p>
      <w:pPr>
        <w:pStyle w:val="10"/>
        <w:ind w:firstLine="480"/>
      </w:pPr>
      <w:r>
        <w:t>（4）兽类</w:t>
      </w:r>
    </w:p>
    <w:p>
      <w:pPr>
        <w:pStyle w:val="10"/>
        <w:ind w:firstLine="480"/>
      </w:pPr>
      <w:r>
        <w:t>评价区内的兽类有半地下生活型、地面生活型、树栖型和岩洞栖息型4 种，其中半地下生活型的种类最多，它们一般体型较小，主要在地面活动觅食，栖息、避敌于洞穴中，有的也在地下寻找食物，包括</w:t>
      </w:r>
      <w:r>
        <w:rPr>
          <w:rFonts w:hint="eastAsia"/>
        </w:rPr>
        <w:t>野兔、黄鼬（黄鼠狼）、鼠、刺猥、蝙蝠、獾</w:t>
      </w:r>
      <w:r>
        <w:t>等物种。它们在评价范围内分布广泛，小家鼠、褐家鼠等少数物种与人类关系密切，集中在城镇居民点、农田附近活动。除半地下生活型中的一些鼠类和兔类喜欢在人类活动范围的村落和菜地活动外，其余兽类多在人类干扰少的林地活动。</w:t>
      </w:r>
    </w:p>
    <w:p>
      <w:pPr>
        <w:pStyle w:val="10"/>
        <w:ind w:firstLine="480"/>
      </w:pPr>
      <w:r>
        <w:t>项目施工中会占用一定数量的宅基地，这将对一些伴人活动的鼠类影响较大，它们会迁移到附近的其它地方，使那里的种群密度增大。此外，项目施工人员的到来和活动也会吸引此类鼠类活动，特别是那些作为自然疫源性疾病传播源的鼠类，有可能对当地居民和施工人员的健康构成威胁，增加自然疫源病的传播。</w:t>
      </w:r>
    </w:p>
    <w:p>
      <w:pPr>
        <w:pStyle w:val="10"/>
        <w:ind w:firstLine="480"/>
      </w:pPr>
      <w:r>
        <w:t>工程建设对动物影响的范围不大且影响时间较短，因此项目建设对兽类不会造成大的影响，而且随植被的恢复影响还会有所缓解。当区域植被恢复后，它们仍可回到原来的领域。</w:t>
      </w:r>
    </w:p>
    <w:p>
      <w:pPr>
        <w:pStyle w:val="9"/>
        <w:rPr>
          <w:rFonts w:eastAsiaTheme="minorEastAsia"/>
        </w:rPr>
      </w:pPr>
      <w:bookmarkStart w:id="380" w:name="_Toc22088"/>
      <w:r>
        <w:t>营运期对沿线动植物的影响分析</w:t>
      </w:r>
      <w:bookmarkEnd w:id="380"/>
    </w:p>
    <w:p>
      <w:pPr>
        <w:pStyle w:val="10"/>
        <w:ind w:firstLine="480"/>
      </w:pPr>
      <w:r>
        <w:rPr>
          <w:rFonts w:hint="eastAsia"/>
        </w:rPr>
        <w:t>（1）</w:t>
      </w:r>
      <w:r>
        <w:t>运营期对陆生动物的影响分析</w:t>
      </w:r>
    </w:p>
    <w:p>
      <w:pPr>
        <w:pStyle w:val="10"/>
        <w:ind w:firstLine="480"/>
      </w:pPr>
      <w:r>
        <w:rPr>
          <w:rFonts w:hint="eastAsia"/>
        </w:rPr>
        <w:t>①</w:t>
      </w:r>
      <w:r>
        <w:t>对动物栖息环境的影响</w:t>
      </w:r>
    </w:p>
    <w:p>
      <w:pPr>
        <w:pStyle w:val="10"/>
        <w:ind w:firstLine="480"/>
      </w:pPr>
      <w:r>
        <w:t>公路的占地伴随着动物生境的丧失，野生动物被迫寻找新的生活环境，这样便会加剧种间竞争和区域环境压力，而且生境片段化对动物产生的影响是缓慢而严重的。野生动物的迁徙扩散受到限制后，依赖动物和昆虫传播种子的植物也不可避免地受到影响。由于生境的分割，野生动物被限制在狭窄的生活区域，如果寻找不到合适的食物资源，将会面临一定的生存危机。</w:t>
      </w:r>
    </w:p>
    <w:p>
      <w:pPr>
        <w:pStyle w:val="10"/>
        <w:ind w:firstLine="480"/>
      </w:pPr>
      <w:r>
        <w:t>对于爬行动物和小型兽类而言，由于原分布区的破坏以及项目的运营影响可能会迁徙出原有的生活区或活动区，如分布在低海拔区域的蜥蜴类、蛇类等爬行动物可能会向上迁移；而对于一些生活在低海拔灌丛、草丛中的鸡形目鸟类、食肉目兽类和各种鼠类等，由于具有一定迁移能力和广泛的食物来源，其栖息环境的轻微破坏不会对它们的生存造成明显的威胁影响。</w:t>
      </w:r>
    </w:p>
    <w:p>
      <w:pPr>
        <w:pStyle w:val="10"/>
        <w:ind w:firstLine="480"/>
      </w:pPr>
      <w:r>
        <w:rPr>
          <w:rFonts w:hint="eastAsia"/>
        </w:rPr>
        <w:t>②</w:t>
      </w:r>
      <w:r>
        <w:t>对动物活动阻隔的影响</w:t>
      </w:r>
    </w:p>
    <w:p>
      <w:pPr>
        <w:pStyle w:val="10"/>
        <w:ind w:firstLine="480"/>
      </w:pPr>
      <w:r>
        <w:t>本项目建成后会形成屏障影响对区域动物的迁徙和种群交流活动，使得野生动物的活动范围受到限制，这对其觅食、交偶等活动的潜在影响较大，同时还有可能存在因交通原因导致穿行的动物死亡的情况。项目沿线主要是耕地，项目施工经过农业生态环境集中的地段，主要对两栖和爬行动物中与人类关系较密切的种类有所影响；本工程对鸟类阻隔的影响较小。</w:t>
      </w:r>
    </w:p>
    <w:p>
      <w:pPr>
        <w:pStyle w:val="10"/>
        <w:ind w:firstLine="480"/>
      </w:pPr>
      <w:r>
        <w:rPr>
          <w:rFonts w:hint="eastAsia"/>
        </w:rPr>
        <w:t>③</w:t>
      </w:r>
      <w:r>
        <w:t>环境污染对动物的影响</w:t>
      </w:r>
    </w:p>
    <w:p>
      <w:pPr>
        <w:pStyle w:val="10"/>
        <w:ind w:firstLine="480"/>
        <w:rPr>
          <w:snapToGrid w:val="0"/>
        </w:rPr>
      </w:pPr>
      <w:r>
        <w:t>公路上行使车辆产生的废气、噪声、振动及路面径流污染物等会对动物的生存环境造成污染。其中，噪声和灯光的影响更为突出。公路行驶车辆产生的噪声以及夜间车辆的灯光，会影响动物的交配和产卵。一般动物在选择栖息地时，通常会远离公路。</w:t>
      </w:r>
    </w:p>
    <w:p>
      <w:pPr>
        <w:pStyle w:val="10"/>
        <w:ind w:firstLine="480"/>
      </w:pPr>
      <w:r>
        <w:rPr>
          <w:rFonts w:hint="eastAsia"/>
        </w:rPr>
        <w:t>（2）</w:t>
      </w:r>
      <w:r>
        <w:t>运营期对水生生态及生物多样性影响分析</w:t>
      </w:r>
    </w:p>
    <w:p>
      <w:pPr>
        <w:pStyle w:val="10"/>
        <w:ind w:firstLine="480"/>
      </w:pPr>
      <w:r>
        <w:t>公路运营对水生生物的影响，主要来源于路（桥）面径流污水对沿线水体可能造成的污染。根据运营期水环境影响预测结果，水体桥面径流水正常情况下不会对下游河流造成影响，不会改变现有水体水质类别，不会对上述水体的水生生物造成影响。</w:t>
      </w:r>
    </w:p>
    <w:p>
      <w:pPr>
        <w:pStyle w:val="10"/>
        <w:ind w:firstLine="480"/>
      </w:pPr>
      <w:r>
        <w:t>但是，一旦在跨越桥梁水域出现事故，可能出现油类和装载物料泄漏导致桥面或路面污染，在遇降雨后，雨水一旦进入附近的水域，会造成不同程度的SS、石油类和COD的污染影响，可能会对水体的水生生物造成影响。</w:t>
      </w:r>
    </w:p>
    <w:p>
      <w:pPr>
        <w:pStyle w:val="8"/>
        <w:rPr>
          <w:b/>
          <w:bCs/>
        </w:rPr>
      </w:pPr>
      <w:bookmarkStart w:id="381" w:name="_Toc1691"/>
      <w:r>
        <w:rPr>
          <w:rFonts w:hint="eastAsia"/>
          <w:b/>
          <w:bCs/>
        </w:rPr>
        <w:t>永</w:t>
      </w:r>
      <w:r>
        <w:rPr>
          <w:b/>
          <w:bCs/>
        </w:rPr>
        <w:t>久占地对生态环境的影响分析</w:t>
      </w:r>
      <w:bookmarkEnd w:id="381"/>
    </w:p>
    <w:p>
      <w:pPr>
        <w:pStyle w:val="10"/>
        <w:ind w:firstLine="480"/>
      </w:pPr>
      <w:r>
        <w:t>永久占地对生态环境的影响主要是工程占地范围内的植被彻底破坏、生物量减少以及由于拆迁所造成的沿线居民的损失等。</w:t>
      </w:r>
    </w:p>
    <w:p>
      <w:pPr>
        <w:pStyle w:val="10"/>
        <w:ind w:firstLine="480"/>
      </w:pPr>
      <w:r>
        <w:t>（1）工程永久占地对耕地的影响</w:t>
      </w:r>
    </w:p>
    <w:p>
      <w:pPr>
        <w:pStyle w:val="10"/>
        <w:ind w:firstLine="480"/>
      </w:pPr>
      <w:r>
        <w:t>工程永久占地降低了评价区域内人均耕地占有量。根据现场调查，本项目占用的耕地数量较</w:t>
      </w:r>
      <w:r>
        <w:rPr>
          <w:rFonts w:hint="eastAsia"/>
        </w:rPr>
        <w:t>多</w:t>
      </w:r>
      <w:r>
        <w:t>。为了减轻对耕地占用的影响，应重视中低产田改造工作，做好土地占用的补偿工作，提高土地利用的集约化程度，指定严格的农业生产开发与保护措施，防止生态环境的进一步破坏。</w:t>
      </w:r>
    </w:p>
    <w:p>
      <w:pPr>
        <w:pStyle w:val="10"/>
        <w:ind w:firstLine="480"/>
      </w:pPr>
      <w:r>
        <w:t>（2）工程永久占地对植被的影响</w:t>
      </w:r>
    </w:p>
    <w:p>
      <w:pPr>
        <w:pStyle w:val="10"/>
        <w:ind w:firstLine="480"/>
      </w:pPr>
      <w:r>
        <w:t>本项目工程永久占地造成用地范围内植被完全破坏，短期内生物量将低于建设前水平。工程实施后，随着绿化措施的实施，区域生物量损失将得到一定补偿，故植被损失不会对生态环境造成明显影响。</w:t>
      </w:r>
    </w:p>
    <w:p>
      <w:pPr>
        <w:pStyle w:val="8"/>
        <w:rPr>
          <w:b/>
          <w:bCs/>
        </w:rPr>
      </w:pPr>
      <w:bookmarkStart w:id="382" w:name="_Toc26683"/>
      <w:r>
        <w:rPr>
          <w:rFonts w:hint="eastAsia"/>
          <w:b/>
          <w:bCs/>
        </w:rPr>
        <w:t>临时占地对</w:t>
      </w:r>
      <w:r>
        <w:rPr>
          <w:b/>
          <w:bCs/>
        </w:rPr>
        <w:t>生态环境的影响分析及恢复方向</w:t>
      </w:r>
      <w:bookmarkEnd w:id="382"/>
    </w:p>
    <w:p>
      <w:pPr>
        <w:pStyle w:val="10"/>
        <w:ind w:firstLine="480"/>
      </w:pPr>
      <w:r>
        <w:t>本项目临时占地主要为</w:t>
      </w:r>
      <w:r>
        <w:rPr>
          <w:rFonts w:hint="eastAsia"/>
        </w:rPr>
        <w:t>施工便道、弃土场、预制梁场</w:t>
      </w:r>
      <w:r>
        <w:t>等。</w:t>
      </w:r>
    </w:p>
    <w:p>
      <w:pPr>
        <w:pStyle w:val="10"/>
        <w:ind w:firstLine="480"/>
      </w:pPr>
      <w:r>
        <w:t>（1）生态资源保护</w:t>
      </w:r>
    </w:p>
    <w:p>
      <w:pPr>
        <w:pStyle w:val="10"/>
        <w:ind w:firstLine="480"/>
      </w:pPr>
      <w:r>
        <w:rPr>
          <w:rFonts w:hint="eastAsia" w:ascii="宋体" w:hAnsi="宋体" w:cs="宋体"/>
        </w:rPr>
        <w:t>①</w:t>
      </w:r>
      <w:r>
        <w:t>合理规划，做好土石方的纵向调运，尽可能减少临时占地。</w:t>
      </w:r>
    </w:p>
    <w:p>
      <w:pPr>
        <w:pStyle w:val="10"/>
        <w:ind w:firstLine="480"/>
      </w:pPr>
      <w:r>
        <w:rPr>
          <w:rFonts w:hint="eastAsia" w:ascii="宋体" w:hAnsi="宋体" w:cs="宋体"/>
        </w:rPr>
        <w:t>②</w:t>
      </w:r>
      <w:r>
        <w:t>切实做好所占耕地的补偿工作。</w:t>
      </w:r>
    </w:p>
    <w:p>
      <w:pPr>
        <w:pStyle w:val="10"/>
        <w:ind w:firstLine="480"/>
      </w:pPr>
      <w:r>
        <w:rPr>
          <w:rFonts w:hint="eastAsia" w:ascii="宋体" w:hAnsi="宋体" w:cs="宋体"/>
        </w:rPr>
        <w:t>③</w:t>
      </w:r>
      <w:r>
        <w:t>加强对施工人员的环保意识教育，保护自然资源。</w:t>
      </w:r>
    </w:p>
    <w:p>
      <w:pPr>
        <w:pStyle w:val="10"/>
        <w:ind w:firstLine="480"/>
      </w:pPr>
      <w:r>
        <w:fldChar w:fldCharType="begin"/>
      </w:r>
      <w:r>
        <w:instrText xml:space="preserve"> = 4 \* GB3 </w:instrText>
      </w:r>
      <w:r>
        <w:fldChar w:fldCharType="separate"/>
      </w:r>
      <w:r>
        <w:rPr>
          <w:rFonts w:hint="eastAsia" w:ascii="宋体" w:hAnsi="宋体" w:cs="宋体"/>
        </w:rPr>
        <w:t>④</w:t>
      </w:r>
      <w:r>
        <w:fldChar w:fldCharType="end"/>
      </w:r>
      <w:r>
        <w:t>合理安排施工进度，尽量减少过多的施工区域，缩短临时占地使用时间，施工完毕立即恢复植被或复耕。</w:t>
      </w:r>
    </w:p>
    <w:p>
      <w:pPr>
        <w:pStyle w:val="10"/>
        <w:ind w:firstLine="480"/>
      </w:pPr>
      <w:r>
        <w:fldChar w:fldCharType="begin"/>
      </w:r>
      <w:r>
        <w:instrText xml:space="preserve"> = 5 \* GB3 </w:instrText>
      </w:r>
      <w:r>
        <w:fldChar w:fldCharType="separate"/>
      </w:r>
      <w:r>
        <w:rPr>
          <w:rFonts w:hint="eastAsia" w:ascii="宋体" w:hAnsi="宋体" w:cs="宋体"/>
        </w:rPr>
        <w:t>⑤</w:t>
      </w:r>
      <w:r>
        <w:fldChar w:fldCharType="end"/>
      </w:r>
      <w:r>
        <w:t>施工车辆在临时车道上行驶，以免损坏耕地。</w:t>
      </w:r>
    </w:p>
    <w:p>
      <w:pPr>
        <w:pStyle w:val="10"/>
        <w:ind w:firstLine="480"/>
      </w:pPr>
      <w:r>
        <w:fldChar w:fldCharType="begin"/>
      </w:r>
      <w:r>
        <w:instrText xml:space="preserve"> = 6 \* GB3 </w:instrText>
      </w:r>
      <w:r>
        <w:fldChar w:fldCharType="separate"/>
      </w:r>
      <w:r>
        <w:rPr>
          <w:rFonts w:hint="eastAsia" w:ascii="宋体" w:hAnsi="宋体" w:cs="宋体"/>
        </w:rPr>
        <w:t>⑥</w:t>
      </w:r>
      <w:r>
        <w:fldChar w:fldCharType="end"/>
      </w:r>
      <w:r>
        <w:t>工程弃土应及时清运，避免雨季造成水土流失，弃土可用于道路施工中的填土方。</w:t>
      </w:r>
    </w:p>
    <w:p>
      <w:pPr>
        <w:pStyle w:val="10"/>
        <w:ind w:firstLine="480"/>
      </w:pPr>
      <w:r>
        <w:t>（2）生态恢复措施</w:t>
      </w:r>
    </w:p>
    <w:p>
      <w:pPr>
        <w:pStyle w:val="10"/>
        <w:ind w:firstLine="480"/>
      </w:pPr>
      <w:r>
        <w:rPr>
          <w:rFonts w:hint="eastAsia" w:ascii="宋体" w:hAnsi="宋体" w:cs="宋体"/>
        </w:rPr>
        <w:t>①</w:t>
      </w:r>
      <w:r>
        <w:t>根据区域总体规划，在道路及配套工程实施中合理使用临时占地，缩短占用时间，工程竣工后及时覆土恢复地表植被。</w:t>
      </w:r>
    </w:p>
    <w:p>
      <w:pPr>
        <w:pStyle w:val="10"/>
        <w:ind w:firstLine="480"/>
      </w:pPr>
      <w:r>
        <w:rPr>
          <w:rFonts w:hint="eastAsia" w:ascii="宋体" w:hAnsi="宋体" w:cs="宋体"/>
        </w:rPr>
        <w:t>②</w:t>
      </w:r>
      <w:r>
        <w:t>严禁乱倾倒施工中产生的废弃物，做到定点存放，及时外运处置，避免污染土壤。</w:t>
      </w:r>
    </w:p>
    <w:p>
      <w:pPr>
        <w:pStyle w:val="8"/>
        <w:rPr>
          <w:b/>
          <w:bCs/>
        </w:rPr>
      </w:pPr>
      <w:bookmarkStart w:id="383" w:name="_Toc28735"/>
      <w:r>
        <w:rPr>
          <w:rFonts w:hint="eastAsia"/>
          <w:b/>
          <w:bCs/>
        </w:rPr>
        <w:t>生态影响评价自查表</w:t>
      </w:r>
      <w:bookmarkEnd w:id="383"/>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w:t>
      </w:r>
      <w:r>
        <w:rPr>
          <w:rFonts w:hint="eastAsia"/>
          <w:szCs w:val="22"/>
        </w:rPr>
        <w:t>生态影响评价自查表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134"/>
        <w:gridCol w:w="6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vAlign w:val="center"/>
          </w:tcPr>
          <w:p>
            <w:pPr>
              <w:pStyle w:val="1132"/>
            </w:pPr>
            <w:r>
              <w:rPr>
                <w:rFonts w:hint="eastAsia"/>
              </w:rPr>
              <w:t>工作内容</w:t>
            </w:r>
          </w:p>
        </w:tc>
        <w:tc>
          <w:tcPr>
            <w:tcW w:w="6797" w:type="dxa"/>
            <w:vAlign w:val="center"/>
          </w:tcPr>
          <w:p>
            <w:pPr>
              <w:pStyle w:val="1132"/>
            </w:pPr>
            <w:r>
              <w:rPr>
                <w:rFonts w:hint="eastAsia"/>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vAlign w:val="center"/>
          </w:tcPr>
          <w:p>
            <w:pPr>
              <w:pStyle w:val="1132"/>
            </w:pPr>
            <w:r>
              <w:rPr>
                <w:rFonts w:hint="eastAsia"/>
              </w:rPr>
              <w:t>生态影响识别</w:t>
            </w:r>
          </w:p>
        </w:tc>
        <w:tc>
          <w:tcPr>
            <w:tcW w:w="1134" w:type="dxa"/>
            <w:vAlign w:val="center"/>
          </w:tcPr>
          <w:p>
            <w:pPr>
              <w:pStyle w:val="1132"/>
            </w:pPr>
            <w:r>
              <w:rPr>
                <w:rFonts w:hint="eastAsia"/>
              </w:rPr>
              <w:t>生态保护目标</w:t>
            </w:r>
          </w:p>
        </w:tc>
        <w:tc>
          <w:tcPr>
            <w:tcW w:w="6797" w:type="dxa"/>
            <w:vAlign w:val="center"/>
          </w:tcPr>
          <w:p>
            <w:pPr>
              <w:pStyle w:val="1132"/>
            </w:pPr>
            <w:r>
              <w:rPr>
                <w:rFonts w:hint="eastAsia"/>
              </w:rPr>
              <w:t>重要物种□；国家公园□；自然保护区□；自然公园□；世界自然遗产□；生态保护红线□；重要生境□；其他具有重要生态功能、对保护生物多样性具有重要意义的区域□；其他</w:t>
            </w:r>
            <w:r>
              <w:rPr>
                <w:rFonts w:hint="eastAsia"/>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pPr>
              <w:pStyle w:val="1132"/>
            </w:pPr>
          </w:p>
        </w:tc>
        <w:tc>
          <w:tcPr>
            <w:tcW w:w="1134" w:type="dxa"/>
            <w:vAlign w:val="center"/>
          </w:tcPr>
          <w:p>
            <w:pPr>
              <w:pStyle w:val="1132"/>
            </w:pPr>
            <w:r>
              <w:rPr>
                <w:rFonts w:hint="eastAsia"/>
              </w:rPr>
              <w:t>影响方式</w:t>
            </w:r>
          </w:p>
        </w:tc>
        <w:tc>
          <w:tcPr>
            <w:tcW w:w="6797" w:type="dxa"/>
            <w:vAlign w:val="center"/>
          </w:tcPr>
          <w:p>
            <w:pPr>
              <w:pStyle w:val="1132"/>
            </w:pPr>
            <w:r>
              <w:rPr>
                <w:rFonts w:hint="eastAsia"/>
              </w:rPr>
              <w:t>工程占用</w:t>
            </w:r>
            <w:r>
              <w:rPr>
                <w:rFonts w:hint="eastAsia"/>
              </w:rPr>
              <w:sym w:font="Wingdings 2" w:char="0052"/>
            </w:r>
            <w:r>
              <w:rPr>
                <w:rFonts w:hint="eastAsia"/>
              </w:rPr>
              <w:t>；施工活动干扰</w:t>
            </w:r>
            <w:r>
              <w:rPr>
                <w:rFonts w:hint="eastAsia"/>
              </w:rPr>
              <w:sym w:font="Wingdings 2" w:char="F052"/>
            </w:r>
            <w:r>
              <w:rPr>
                <w:rFonts w:hint="eastAsia"/>
              </w:rPr>
              <w:t>；改变环境条件□；其他□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pPr>
              <w:pStyle w:val="1132"/>
            </w:pPr>
          </w:p>
        </w:tc>
        <w:tc>
          <w:tcPr>
            <w:tcW w:w="1134" w:type="dxa"/>
            <w:vAlign w:val="center"/>
          </w:tcPr>
          <w:p>
            <w:pPr>
              <w:pStyle w:val="1132"/>
            </w:pPr>
            <w:r>
              <w:rPr>
                <w:rFonts w:hint="eastAsia"/>
              </w:rPr>
              <w:t>评价因子</w:t>
            </w:r>
          </w:p>
        </w:tc>
        <w:tc>
          <w:tcPr>
            <w:tcW w:w="6797" w:type="dxa"/>
            <w:vAlign w:val="center"/>
          </w:tcPr>
          <w:p>
            <w:pPr>
              <w:pStyle w:val="1132"/>
            </w:pPr>
            <w:r>
              <w:rPr>
                <w:rFonts w:hint="eastAsia"/>
              </w:rPr>
              <w:t>物种</w:t>
            </w:r>
            <w:r>
              <w:rPr>
                <w:rFonts w:hint="eastAsia"/>
              </w:rPr>
              <w:sym w:font="Wingdings 2" w:char="0052"/>
            </w:r>
            <w:r>
              <w:rPr>
                <w:rFonts w:hint="eastAsia"/>
              </w:rPr>
              <w:t>（）</w:t>
            </w:r>
          </w:p>
          <w:p>
            <w:pPr>
              <w:pStyle w:val="1132"/>
            </w:pPr>
            <w:r>
              <w:rPr>
                <w:rFonts w:hint="eastAsia"/>
              </w:rPr>
              <w:t>生境□（）</w:t>
            </w:r>
          </w:p>
          <w:p>
            <w:pPr>
              <w:pStyle w:val="1132"/>
            </w:pPr>
            <w:r>
              <w:rPr>
                <w:rFonts w:hint="eastAsia"/>
              </w:rPr>
              <w:t>生物群落□（）</w:t>
            </w:r>
          </w:p>
          <w:p>
            <w:pPr>
              <w:pStyle w:val="1132"/>
            </w:pPr>
            <w:r>
              <w:rPr>
                <w:rFonts w:hint="eastAsia"/>
              </w:rPr>
              <w:t>生态系统</w:t>
            </w:r>
            <w:r>
              <w:rPr>
                <w:rFonts w:hint="eastAsia"/>
              </w:rPr>
              <w:sym w:font="Wingdings 2" w:char="0052"/>
            </w:r>
            <w:r>
              <w:rPr>
                <w:rFonts w:hint="eastAsia"/>
              </w:rPr>
              <w:t>（）</w:t>
            </w:r>
          </w:p>
          <w:p>
            <w:pPr>
              <w:pStyle w:val="1132"/>
            </w:pPr>
            <w:r>
              <w:rPr>
                <w:rFonts w:hint="eastAsia"/>
              </w:rPr>
              <w:t>生物多样性</w:t>
            </w:r>
            <w:r>
              <w:rPr>
                <w:rFonts w:hint="eastAsia"/>
              </w:rPr>
              <w:sym w:font="Wingdings 2" w:char="0052"/>
            </w:r>
            <w:r>
              <w:rPr>
                <w:rFonts w:hint="eastAsia"/>
              </w:rPr>
              <w:t>（）</w:t>
            </w:r>
          </w:p>
          <w:p>
            <w:pPr>
              <w:pStyle w:val="1132"/>
            </w:pPr>
            <w:r>
              <w:rPr>
                <w:rFonts w:hint="eastAsia"/>
              </w:rPr>
              <w:t>生态敏感区□（）</w:t>
            </w:r>
          </w:p>
          <w:p>
            <w:pPr>
              <w:pStyle w:val="1132"/>
            </w:pPr>
            <w:r>
              <w:rPr>
                <w:rFonts w:hint="eastAsia"/>
              </w:rPr>
              <w:t>自然景观□（）</w:t>
            </w:r>
          </w:p>
          <w:p>
            <w:pPr>
              <w:pStyle w:val="1132"/>
            </w:pPr>
            <w:r>
              <w:rPr>
                <w:rFonts w:hint="eastAsia"/>
              </w:rPr>
              <w:t>自然遗迹□（）</w:t>
            </w:r>
          </w:p>
          <w:p>
            <w:pPr>
              <w:pStyle w:val="1132"/>
            </w:pPr>
            <w:r>
              <w:rPr>
                <w:rFonts w:hint="eastAsia"/>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vAlign w:val="center"/>
          </w:tcPr>
          <w:p>
            <w:pPr>
              <w:pStyle w:val="1132"/>
            </w:pPr>
            <w:r>
              <w:rPr>
                <w:rFonts w:hint="eastAsia"/>
              </w:rPr>
              <w:t>评价等级</w:t>
            </w:r>
          </w:p>
        </w:tc>
        <w:tc>
          <w:tcPr>
            <w:tcW w:w="6797" w:type="dxa"/>
            <w:vAlign w:val="center"/>
          </w:tcPr>
          <w:p>
            <w:pPr>
              <w:pStyle w:val="1132"/>
            </w:pPr>
            <w:r>
              <w:rPr>
                <w:rFonts w:hint="eastAsia"/>
              </w:rPr>
              <w:t>一级□          二级□             三级</w:t>
            </w:r>
            <w:r>
              <w:rPr>
                <w:rFonts w:hint="eastAsia"/>
              </w:rPr>
              <w:sym w:font="Wingdings 2" w:char="0052"/>
            </w:r>
            <w:r>
              <w:rPr>
                <w:rFonts w:hint="eastAsia"/>
              </w:rPr>
              <w:t xml:space="preserve">                  生态影响简单分析</w:t>
            </w:r>
            <w:r>
              <w:rPr>
                <w:rFonts w:hint="eastAsia"/>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vAlign w:val="center"/>
          </w:tcPr>
          <w:p>
            <w:pPr>
              <w:pStyle w:val="1132"/>
            </w:pPr>
            <w:r>
              <w:rPr>
                <w:rFonts w:hint="eastAsia"/>
              </w:rPr>
              <w:t>评价范围</w:t>
            </w:r>
          </w:p>
        </w:tc>
        <w:tc>
          <w:tcPr>
            <w:tcW w:w="6797" w:type="dxa"/>
            <w:vAlign w:val="center"/>
          </w:tcPr>
          <w:p>
            <w:pPr>
              <w:pStyle w:val="1132"/>
            </w:pPr>
            <w:r>
              <w:rPr>
                <w:rFonts w:hint="eastAsia"/>
              </w:rPr>
              <w:t>陆域面积：（</w:t>
            </w:r>
            <w:r>
              <w:rPr>
                <w:rFonts w:hint="eastAsia"/>
                <w:lang w:val="en-US" w:eastAsia="zh-CN"/>
              </w:rPr>
              <w:t>4.79</w:t>
            </w:r>
            <w:r>
              <w:rPr>
                <w:rFonts w:hint="eastAsia"/>
              </w:rPr>
              <w:t>）km</w:t>
            </w:r>
            <w:r>
              <w:rPr>
                <w:rFonts w:hint="eastAsia"/>
                <w:vertAlign w:val="superscript"/>
              </w:rPr>
              <w:t>2</w:t>
            </w:r>
            <w:r>
              <w:rPr>
                <w:rFonts w:hint="eastAsia"/>
              </w:rPr>
              <w:t>；水域面积：（）km</w:t>
            </w:r>
            <w:r>
              <w:rPr>
                <w:rFonts w:hint="eastAsia"/>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vAlign w:val="center"/>
          </w:tcPr>
          <w:p>
            <w:pPr>
              <w:pStyle w:val="1132"/>
            </w:pPr>
            <w:r>
              <w:rPr>
                <w:rFonts w:hint="eastAsia"/>
              </w:rPr>
              <w:t>生态现状调查与评价</w:t>
            </w:r>
          </w:p>
        </w:tc>
        <w:tc>
          <w:tcPr>
            <w:tcW w:w="1134" w:type="dxa"/>
            <w:vAlign w:val="center"/>
          </w:tcPr>
          <w:p>
            <w:pPr>
              <w:pStyle w:val="1132"/>
            </w:pPr>
            <w:r>
              <w:rPr>
                <w:rFonts w:hint="eastAsia"/>
              </w:rPr>
              <w:t>调查方法</w:t>
            </w:r>
          </w:p>
        </w:tc>
        <w:tc>
          <w:tcPr>
            <w:tcW w:w="6797" w:type="dxa"/>
            <w:vAlign w:val="center"/>
          </w:tcPr>
          <w:p>
            <w:pPr>
              <w:pStyle w:val="1132"/>
            </w:pPr>
            <w:r>
              <w:rPr>
                <w:rFonts w:hint="eastAsia"/>
              </w:rPr>
              <w:t>资料收集</w:t>
            </w:r>
            <w:r>
              <w:rPr>
                <w:rFonts w:hint="eastAsia"/>
              </w:rPr>
              <w:sym w:font="Wingdings 2" w:char="0052"/>
            </w:r>
            <w:r>
              <w:rPr>
                <w:rFonts w:hint="eastAsia"/>
              </w:rPr>
              <w:t>；遥感调查□；调查样方、样线□；调查点位、断面□；专家和公众咨询法□；其他□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pPr>
              <w:pStyle w:val="1132"/>
            </w:pPr>
          </w:p>
        </w:tc>
        <w:tc>
          <w:tcPr>
            <w:tcW w:w="1134" w:type="dxa"/>
            <w:vAlign w:val="center"/>
          </w:tcPr>
          <w:p>
            <w:pPr>
              <w:pStyle w:val="1132"/>
            </w:pPr>
            <w:r>
              <w:rPr>
                <w:rFonts w:hint="eastAsia"/>
              </w:rPr>
              <w:t>调查时间</w:t>
            </w:r>
          </w:p>
        </w:tc>
        <w:tc>
          <w:tcPr>
            <w:tcW w:w="6797" w:type="dxa"/>
            <w:vAlign w:val="center"/>
          </w:tcPr>
          <w:p>
            <w:pPr>
              <w:pStyle w:val="1132"/>
            </w:pPr>
            <w:r>
              <w:rPr>
                <w:rFonts w:hint="eastAsia"/>
              </w:rPr>
              <w:t>春季□；夏季□；秋季</w:t>
            </w:r>
            <w:r>
              <w:rPr>
                <w:rFonts w:hint="eastAsia"/>
              </w:rPr>
              <w:sym w:font="Wingdings 2" w:char="F052"/>
            </w:r>
            <w:r>
              <w:rPr>
                <w:rFonts w:hint="eastAsia"/>
              </w:rPr>
              <w:t xml:space="preserve">；冬季□ </w:t>
            </w:r>
          </w:p>
          <w:p>
            <w:pPr>
              <w:pStyle w:val="1132"/>
            </w:pPr>
            <w:r>
              <w:rPr>
                <w:rFonts w:hint="eastAsia"/>
              </w:rPr>
              <w:t>丰水期□；枯水期□；平水期□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pPr>
              <w:pStyle w:val="1132"/>
            </w:pPr>
          </w:p>
        </w:tc>
        <w:tc>
          <w:tcPr>
            <w:tcW w:w="1134" w:type="dxa"/>
            <w:vAlign w:val="center"/>
          </w:tcPr>
          <w:p>
            <w:pPr>
              <w:pStyle w:val="1132"/>
            </w:pPr>
            <w:r>
              <w:rPr>
                <w:rFonts w:hint="eastAsia"/>
              </w:rPr>
              <w:t>所在区域的生态问题</w:t>
            </w:r>
          </w:p>
        </w:tc>
        <w:tc>
          <w:tcPr>
            <w:tcW w:w="6797" w:type="dxa"/>
            <w:vAlign w:val="center"/>
          </w:tcPr>
          <w:p>
            <w:pPr>
              <w:pStyle w:val="1132"/>
            </w:pPr>
            <w:r>
              <w:rPr>
                <w:rFonts w:hint="eastAsia"/>
              </w:rPr>
              <w:t>水土流失□；沙漠化□；石漠化□；盐渍化□；生物入侵□；污染危害□；其他□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pPr>
              <w:pStyle w:val="1132"/>
            </w:pPr>
          </w:p>
        </w:tc>
        <w:tc>
          <w:tcPr>
            <w:tcW w:w="1134" w:type="dxa"/>
            <w:vAlign w:val="center"/>
          </w:tcPr>
          <w:p>
            <w:pPr>
              <w:pStyle w:val="1132"/>
            </w:pPr>
            <w:r>
              <w:rPr>
                <w:rFonts w:hint="eastAsia"/>
              </w:rPr>
              <w:t>评价内容</w:t>
            </w:r>
          </w:p>
        </w:tc>
        <w:tc>
          <w:tcPr>
            <w:tcW w:w="6797" w:type="dxa"/>
            <w:vAlign w:val="center"/>
          </w:tcPr>
          <w:p>
            <w:pPr>
              <w:pStyle w:val="1132"/>
            </w:pPr>
            <w:r>
              <w:rPr>
                <w:rFonts w:hint="eastAsia"/>
              </w:rPr>
              <w:t>植被/植物群落</w:t>
            </w:r>
            <w:r>
              <w:rPr>
                <w:rFonts w:hint="eastAsia"/>
              </w:rPr>
              <w:sym w:font="Wingdings 2" w:char="F052"/>
            </w:r>
            <w:r>
              <w:rPr>
                <w:rFonts w:hint="eastAsia"/>
              </w:rPr>
              <w:t>；土地利用</w:t>
            </w:r>
            <w:r>
              <w:rPr>
                <w:rFonts w:hint="eastAsia"/>
              </w:rPr>
              <w:sym w:font="Wingdings 2" w:char="F052"/>
            </w:r>
            <w:r>
              <w:rPr>
                <w:rFonts w:hint="eastAsia"/>
              </w:rPr>
              <w:t>；生态系统</w:t>
            </w:r>
            <w:r>
              <w:rPr>
                <w:rFonts w:hint="eastAsia"/>
              </w:rPr>
              <w:sym w:font="Wingdings 2" w:char="F052"/>
            </w:r>
            <w:r>
              <w:rPr>
                <w:rFonts w:hint="eastAsia"/>
              </w:rPr>
              <w:t>；生物多样性</w:t>
            </w:r>
            <w:r>
              <w:rPr>
                <w:rFonts w:hint="eastAsia"/>
              </w:rPr>
              <w:sym w:font="Wingdings 2" w:char="F052"/>
            </w:r>
            <w:r>
              <w:rPr>
                <w:rFonts w:hint="eastAsia"/>
              </w:rPr>
              <w:t>；重要物种□；生态敏感区□；其他□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vAlign w:val="center"/>
          </w:tcPr>
          <w:p>
            <w:pPr>
              <w:pStyle w:val="1132"/>
            </w:pPr>
            <w:r>
              <w:rPr>
                <w:rFonts w:hint="eastAsia"/>
              </w:rPr>
              <w:t>生态影响预测与评价</w:t>
            </w:r>
          </w:p>
        </w:tc>
        <w:tc>
          <w:tcPr>
            <w:tcW w:w="1134" w:type="dxa"/>
            <w:vAlign w:val="center"/>
          </w:tcPr>
          <w:p>
            <w:pPr>
              <w:pStyle w:val="1132"/>
            </w:pPr>
            <w:r>
              <w:rPr>
                <w:rFonts w:hint="eastAsia"/>
              </w:rPr>
              <w:t>评价方法</w:t>
            </w:r>
          </w:p>
        </w:tc>
        <w:tc>
          <w:tcPr>
            <w:tcW w:w="6797" w:type="dxa"/>
            <w:vAlign w:val="center"/>
          </w:tcPr>
          <w:p>
            <w:pPr>
              <w:pStyle w:val="1132"/>
            </w:pPr>
            <w:r>
              <w:rPr>
                <w:rFonts w:hint="eastAsia"/>
              </w:rPr>
              <w:t>定性</w:t>
            </w:r>
            <w:r>
              <w:rPr>
                <w:rFonts w:hint="eastAsia"/>
              </w:rPr>
              <w:sym w:font="Wingdings 2" w:char="F052"/>
            </w:r>
            <w:r>
              <w:rPr>
                <w:rFonts w:hint="eastAsia"/>
              </w:rPr>
              <w:t>；定性和定量□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pPr>
              <w:pStyle w:val="1132"/>
            </w:pPr>
          </w:p>
        </w:tc>
        <w:tc>
          <w:tcPr>
            <w:tcW w:w="1134" w:type="dxa"/>
            <w:vAlign w:val="center"/>
          </w:tcPr>
          <w:p>
            <w:pPr>
              <w:pStyle w:val="1132"/>
            </w:pPr>
            <w:r>
              <w:rPr>
                <w:rFonts w:hint="eastAsia"/>
              </w:rPr>
              <w:t>评价内容</w:t>
            </w:r>
          </w:p>
        </w:tc>
        <w:tc>
          <w:tcPr>
            <w:tcW w:w="6797" w:type="dxa"/>
            <w:vAlign w:val="center"/>
          </w:tcPr>
          <w:p>
            <w:pPr>
              <w:pStyle w:val="1132"/>
            </w:pPr>
            <w:r>
              <w:rPr>
                <w:rFonts w:hint="eastAsia"/>
              </w:rPr>
              <w:t>植被/植物群落□；土地利用</w:t>
            </w:r>
            <w:r>
              <w:rPr>
                <w:rFonts w:hint="eastAsia"/>
              </w:rPr>
              <w:sym w:font="Wingdings 2" w:char="F052"/>
            </w:r>
            <w:r>
              <w:rPr>
                <w:rFonts w:hint="eastAsia"/>
              </w:rPr>
              <w:t>；生态系统□；生物多样性□；重要物种□；生态敏感区□；生物入侵风险□；其他□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vAlign w:val="center"/>
          </w:tcPr>
          <w:p>
            <w:pPr>
              <w:pStyle w:val="1132"/>
            </w:pPr>
            <w:r>
              <w:rPr>
                <w:rFonts w:hint="eastAsia"/>
              </w:rPr>
              <w:t>生态保护</w:t>
            </w:r>
          </w:p>
          <w:p>
            <w:pPr>
              <w:pStyle w:val="1132"/>
            </w:pPr>
            <w:r>
              <w:rPr>
                <w:rFonts w:hint="eastAsia"/>
              </w:rPr>
              <w:t>对策措施</w:t>
            </w:r>
          </w:p>
        </w:tc>
        <w:tc>
          <w:tcPr>
            <w:tcW w:w="1134" w:type="dxa"/>
            <w:vAlign w:val="center"/>
          </w:tcPr>
          <w:p>
            <w:pPr>
              <w:pStyle w:val="1132"/>
            </w:pPr>
            <w:r>
              <w:rPr>
                <w:rFonts w:hint="eastAsia"/>
              </w:rPr>
              <w:t>对策措施</w:t>
            </w:r>
          </w:p>
        </w:tc>
        <w:tc>
          <w:tcPr>
            <w:tcW w:w="6797" w:type="dxa"/>
            <w:vAlign w:val="center"/>
          </w:tcPr>
          <w:p>
            <w:pPr>
              <w:pStyle w:val="1132"/>
            </w:pPr>
            <w:r>
              <w:rPr>
                <w:rFonts w:hint="eastAsia"/>
              </w:rPr>
              <w:t>避让</w:t>
            </w:r>
            <w:r>
              <w:rPr>
                <w:rFonts w:hint="eastAsia"/>
              </w:rPr>
              <w:sym w:font="Wingdings 2" w:char="00A3"/>
            </w:r>
            <w:r>
              <w:rPr>
                <w:rFonts w:hint="eastAsia"/>
              </w:rPr>
              <w:t>；减缓□；生态修复□；生态补偿□；科研□；其他</w:t>
            </w:r>
            <w:r>
              <w:rPr>
                <w:rFonts w:hint="eastAsia"/>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pPr>
              <w:pStyle w:val="1132"/>
            </w:pPr>
          </w:p>
        </w:tc>
        <w:tc>
          <w:tcPr>
            <w:tcW w:w="1134" w:type="dxa"/>
            <w:vAlign w:val="center"/>
          </w:tcPr>
          <w:p>
            <w:pPr>
              <w:pStyle w:val="1132"/>
            </w:pPr>
            <w:r>
              <w:rPr>
                <w:rFonts w:hint="eastAsia"/>
              </w:rPr>
              <w:t>生态监测计划</w:t>
            </w:r>
          </w:p>
        </w:tc>
        <w:tc>
          <w:tcPr>
            <w:tcW w:w="6797" w:type="dxa"/>
            <w:vAlign w:val="center"/>
          </w:tcPr>
          <w:p>
            <w:pPr>
              <w:pStyle w:val="1132"/>
            </w:pPr>
            <w:r>
              <w:rPr>
                <w:rFonts w:hint="eastAsia"/>
              </w:rPr>
              <w:t>全生命周期□；长期跟踪□；常规□；无</w:t>
            </w:r>
            <w:r>
              <w:rPr>
                <w:rFonts w:hint="eastAsia"/>
              </w:rPr>
              <w:sym w:font="Wingdings 2" w:char="F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pPr>
              <w:pStyle w:val="1132"/>
            </w:pPr>
          </w:p>
        </w:tc>
        <w:tc>
          <w:tcPr>
            <w:tcW w:w="1134" w:type="dxa"/>
            <w:vAlign w:val="center"/>
          </w:tcPr>
          <w:p>
            <w:pPr>
              <w:pStyle w:val="1132"/>
            </w:pPr>
            <w:r>
              <w:rPr>
                <w:rFonts w:hint="eastAsia"/>
              </w:rPr>
              <w:t>环境管理</w:t>
            </w:r>
          </w:p>
        </w:tc>
        <w:tc>
          <w:tcPr>
            <w:tcW w:w="6797" w:type="dxa"/>
            <w:vAlign w:val="center"/>
          </w:tcPr>
          <w:p>
            <w:pPr>
              <w:pStyle w:val="1132"/>
            </w:pPr>
            <w:r>
              <w:rPr>
                <w:rFonts w:hint="eastAsia"/>
              </w:rPr>
              <w:t>环境监理</w:t>
            </w:r>
            <w:r>
              <w:rPr>
                <w:rFonts w:hint="eastAsia"/>
              </w:rPr>
              <w:sym w:font="Wingdings 2" w:char="00A3"/>
            </w:r>
            <w:r>
              <w:rPr>
                <w:rFonts w:hint="eastAsia"/>
              </w:rPr>
              <w:t>；环境影响后评价□；其他</w:t>
            </w:r>
            <w:r>
              <w:rPr>
                <w:rFonts w:hint="eastAsia"/>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1132"/>
            </w:pPr>
            <w:r>
              <w:rPr>
                <w:rFonts w:hint="eastAsia"/>
              </w:rPr>
              <w:t>评价结论</w:t>
            </w:r>
          </w:p>
        </w:tc>
        <w:tc>
          <w:tcPr>
            <w:tcW w:w="1134" w:type="dxa"/>
            <w:vAlign w:val="center"/>
          </w:tcPr>
          <w:p>
            <w:pPr>
              <w:pStyle w:val="1132"/>
            </w:pPr>
            <w:r>
              <w:rPr>
                <w:rFonts w:hint="eastAsia"/>
              </w:rPr>
              <w:t>生态影响</w:t>
            </w:r>
          </w:p>
        </w:tc>
        <w:tc>
          <w:tcPr>
            <w:tcW w:w="6797" w:type="dxa"/>
            <w:vAlign w:val="center"/>
          </w:tcPr>
          <w:p>
            <w:pPr>
              <w:pStyle w:val="1132"/>
            </w:pPr>
            <w:r>
              <w:rPr>
                <w:rFonts w:hint="eastAsia"/>
              </w:rPr>
              <w:t>可行</w:t>
            </w:r>
            <w:r>
              <w:rPr>
                <w:rFonts w:hint="eastAsia"/>
              </w:rPr>
              <w:sym w:font="Wingdings 2" w:char="F052"/>
            </w:r>
            <w:r>
              <w:rPr>
                <w:rFonts w:hint="eastAsia"/>
              </w:rPr>
              <w:t>；不可行□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gridSpan w:val="3"/>
            <w:vAlign w:val="center"/>
          </w:tcPr>
          <w:p>
            <w:pPr>
              <w:pStyle w:val="1132"/>
            </w:pPr>
            <w:r>
              <w:rPr>
                <w:rFonts w:hint="eastAsia"/>
              </w:rPr>
              <w:t>注：“□”为勾选项，可√；“（    ）”  为内容填写项。</w:t>
            </w:r>
          </w:p>
        </w:tc>
      </w:tr>
      <w:bookmarkEnd w:id="373"/>
      <w:bookmarkEnd w:id="374"/>
    </w:tbl>
    <w:p>
      <w:pPr>
        <w:pStyle w:val="7"/>
        <w:rPr>
          <w:b/>
          <w:bCs/>
          <w:sz w:val="28"/>
          <w:szCs w:val="28"/>
        </w:rPr>
      </w:pPr>
      <w:bookmarkStart w:id="384" w:name="_Toc29228"/>
      <w:bookmarkStart w:id="385" w:name="_Toc6438"/>
      <w:r>
        <w:rPr>
          <w:b/>
          <w:bCs/>
          <w:sz w:val="28"/>
          <w:szCs w:val="28"/>
        </w:rPr>
        <w:t>环境风险分析</w:t>
      </w:r>
      <w:bookmarkEnd w:id="384"/>
      <w:bookmarkEnd w:id="385"/>
    </w:p>
    <w:p>
      <w:pPr>
        <w:pStyle w:val="8"/>
        <w:rPr>
          <w:b/>
          <w:bCs/>
        </w:rPr>
      </w:pPr>
      <w:bookmarkStart w:id="386" w:name="_Toc28253"/>
      <w:r>
        <w:rPr>
          <w:b/>
          <w:bCs/>
        </w:rPr>
        <w:t>评价依据</w:t>
      </w:r>
      <w:bookmarkEnd w:id="386"/>
    </w:p>
    <w:p>
      <w:pPr>
        <w:pStyle w:val="9"/>
      </w:pPr>
      <w:bookmarkStart w:id="387" w:name="_Toc7321"/>
      <w:r>
        <w:t>风险调查</w:t>
      </w:r>
      <w:bookmarkEnd w:id="387"/>
    </w:p>
    <w:p>
      <w:pPr>
        <w:pStyle w:val="10"/>
        <w:ind w:firstLine="480"/>
      </w:pPr>
      <w:r>
        <w:t>本项目路线本身不涉及危险物质的生产、使用和储存(包括使用管线运输)。根据项目特点，项目主要风险为公路上行驶的部分车辆承担运输油品、危险品等可能发生环境风险的物质，一旦危险品车辆在跨河段发生泄漏，有可能造成地表水污染。</w:t>
      </w:r>
    </w:p>
    <w:p>
      <w:pPr>
        <w:pStyle w:val="8"/>
      </w:pPr>
      <w:bookmarkStart w:id="388" w:name="_Toc30315"/>
      <w:r>
        <w:t>道路运输环境风险评价</w:t>
      </w:r>
      <w:bookmarkEnd w:id="388"/>
    </w:p>
    <w:p>
      <w:pPr>
        <w:pStyle w:val="9"/>
      </w:pPr>
      <w:bookmarkStart w:id="389" w:name="_Toc5270"/>
      <w:r>
        <w:t>风险识别</w:t>
      </w:r>
      <w:bookmarkEnd w:id="389"/>
    </w:p>
    <w:p>
      <w:pPr>
        <w:pStyle w:val="10"/>
        <w:ind w:firstLine="480"/>
      </w:pPr>
      <w:r>
        <w:t>在道路运输过程中，由于车辆的移动性和货物种类多样性，事故发生地点和泄露物质均不确定，这与化工厂等固定装置的风险是不同的，后者事故发生时通常有一定的征兆和发生过程，因此对事故有可控制性，其泄漏量一般较大。公路危险化学品运输事故特点是难以预防的，但由于单车装载的货物总量有限，其泄漏量一般较小。</w:t>
      </w:r>
    </w:p>
    <w:p>
      <w:pPr>
        <w:pStyle w:val="10"/>
        <w:ind w:firstLine="480"/>
      </w:pPr>
      <w:r>
        <w:t>对于易燃易爆危险品运输，一旦发生很难及时扑救，其后果通常表现为人员伤亡和财产损失，并对环境造成一定影响。对于运输有毒气体的车辆泄漏事故，因其排放总量小，只要人员及时撤离到一定的距离就可避免伤亡，对己经排泄到空气中的有毒气体只靠周围大气的扩散、稀释来逐渐降低有毒气体的浓度。</w:t>
      </w:r>
    </w:p>
    <w:p>
      <w:pPr>
        <w:pStyle w:val="9"/>
      </w:pPr>
      <w:bookmarkStart w:id="390" w:name="_Toc27550"/>
      <w:r>
        <w:t>源项分析</w:t>
      </w:r>
      <w:bookmarkEnd w:id="390"/>
    </w:p>
    <w:p>
      <w:pPr>
        <w:pStyle w:val="10"/>
        <w:ind w:firstLine="480"/>
      </w:pPr>
      <w:r>
        <w:rPr>
          <w:rFonts w:hint="eastAsia"/>
        </w:rPr>
        <w:t>（1）</w:t>
      </w:r>
      <w:r>
        <w:t>预测模式</w:t>
      </w:r>
    </w:p>
    <w:p>
      <w:pPr>
        <w:pStyle w:val="10"/>
        <w:ind w:firstLine="480"/>
      </w:pPr>
      <w:r>
        <w:t>由于交通事故的发生具有不确定性，发生的概率很小，而一旦发生后果则较为严重，因此这类情况一般采用概率分析的方法进行度量。交通事故概率是类比安徽省公路发生的交通事故次数、拟建公路日均交通量及从事危险品运输车辆所占机动车数量的比重等数据进行估算。预测年在拟建公路发生风险事故的频率计算模式为：</w:t>
      </w:r>
    </w:p>
    <w:p>
      <w:pPr>
        <w:ind w:firstLine="480"/>
        <w:jc w:val="center"/>
      </w:pPr>
      <w:r>
        <w:t>P=Q0×Q1×Q2×Q3</w:t>
      </w:r>
    </w:p>
    <w:p>
      <w:pPr>
        <w:pStyle w:val="10"/>
        <w:ind w:firstLine="480"/>
      </w:pPr>
      <w:r>
        <w:t>P一重要地段出现污染风险概率；</w:t>
      </w:r>
    </w:p>
    <w:p>
      <w:pPr>
        <w:pStyle w:val="10"/>
        <w:ind w:firstLine="480"/>
      </w:pPr>
      <w:r>
        <w:t>Q</w:t>
      </w:r>
      <w:r>
        <w:rPr>
          <w:rFonts w:hint="eastAsia"/>
        </w:rPr>
        <w:t>0</w:t>
      </w:r>
      <w:r>
        <w:t>一区域公路车辆相撞翻车等重大交通事故概率，次/百万辆</w:t>
      </w:r>
      <w:r>
        <w:rPr>
          <w:rFonts w:hint="eastAsia"/>
        </w:rPr>
        <w:t>·</w:t>
      </w:r>
      <w:r>
        <w:t>公里；</w:t>
      </w:r>
    </w:p>
    <w:p>
      <w:pPr>
        <w:pStyle w:val="10"/>
        <w:ind w:firstLine="480"/>
      </w:pPr>
      <w:r>
        <w:t>Ql—预测年的年绝对交通量，百万辆/年；</w:t>
      </w:r>
    </w:p>
    <w:p>
      <w:pPr>
        <w:pStyle w:val="10"/>
        <w:ind w:firstLine="480"/>
      </w:pPr>
      <w:r>
        <w:t>Q2—装载有毒、有害危险品货车占总交通量的比例，%；</w:t>
      </w:r>
    </w:p>
    <w:p>
      <w:pPr>
        <w:pStyle w:val="10"/>
        <w:ind w:firstLine="480"/>
      </w:pPr>
      <w:r>
        <w:t>Q3—重要路段的长度，公里。</w:t>
      </w:r>
    </w:p>
    <w:p>
      <w:pPr>
        <w:pStyle w:val="10"/>
        <w:ind w:firstLine="480"/>
      </w:pPr>
      <w:r>
        <w:rPr>
          <w:rFonts w:hint="eastAsia"/>
        </w:rPr>
        <w:t>（2）</w:t>
      </w:r>
      <w:r>
        <w:t>预测参数</w:t>
      </w:r>
    </w:p>
    <w:p>
      <w:pPr>
        <w:pStyle w:val="10"/>
        <w:ind w:firstLine="480"/>
      </w:pPr>
      <w:r>
        <w:t>根据工可资料和类比调查，预测参数的确定如下：</w:t>
      </w:r>
    </w:p>
    <w:p>
      <w:pPr>
        <w:pStyle w:val="10"/>
        <w:ind w:firstLine="480"/>
      </w:pPr>
      <w:r>
        <w:t>Q0的确定：根据项目所在区域多年来发生交通事故的调查和统计，交通事故概率平均为0.2次/百万辆“公里，故Q0取0.2；</w:t>
      </w:r>
    </w:p>
    <w:p>
      <w:pPr>
        <w:pStyle w:val="10"/>
        <w:ind w:firstLine="480"/>
      </w:pPr>
      <w:r>
        <w:t>Q2的确定：类比项目区现有通道内运输化工制品、农药及石油类货车约占总车流量的比例为0.3%，故Q2的取值为0.003；</w:t>
      </w:r>
    </w:p>
    <w:p>
      <w:pPr>
        <w:pStyle w:val="10"/>
        <w:ind w:firstLine="480"/>
      </w:pPr>
      <w:r>
        <w:t>Q3的确定：</w:t>
      </w:r>
      <w:r>
        <w:rPr>
          <w:rFonts w:hint="eastAsia"/>
        </w:rPr>
        <w:t>根据桥梁设计方案确定</w:t>
      </w:r>
      <w:r>
        <w:t>重要路段的长度</w:t>
      </w:r>
      <w:r>
        <w:rPr>
          <w:rFonts w:hint="eastAsia"/>
        </w:rPr>
        <w:t>均为0</w:t>
      </w:r>
      <w:r>
        <w:t>.0</w:t>
      </w:r>
      <w:r>
        <w:rPr>
          <w:rFonts w:hint="eastAsia"/>
          <w:lang w:val="en-US" w:eastAsia="zh-CN"/>
        </w:rPr>
        <w:t>54</w:t>
      </w:r>
      <w:r>
        <w:rPr>
          <w:rFonts w:hint="eastAsia"/>
        </w:rPr>
        <w:t>km。</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5.6</w:t>
      </w:r>
      <w:r>
        <w:fldChar w:fldCharType="end"/>
      </w:r>
      <w:r>
        <w:rPr>
          <w:rFonts w:hint="eastAsia"/>
          <w:lang w:val="en-US" w:eastAsia="zh-CN"/>
        </w:rPr>
        <w:t>-</w:t>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交通事故可能性预测</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1092"/>
        <w:gridCol w:w="1742"/>
        <w:gridCol w:w="1161"/>
        <w:gridCol w:w="1163"/>
        <w:gridCol w:w="1163"/>
        <w:gridCol w:w="1163"/>
        <w:gridCol w:w="1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trPr>
        <w:tc>
          <w:tcPr>
            <w:tcW w:w="348" w:type="pct"/>
            <w:vMerge w:val="restart"/>
            <w:vAlign w:val="center"/>
          </w:tcPr>
          <w:p>
            <w:pPr>
              <w:pStyle w:val="1132"/>
            </w:pPr>
            <w:r>
              <w:t>序号</w:t>
            </w:r>
          </w:p>
        </w:tc>
        <w:tc>
          <w:tcPr>
            <w:tcW w:w="588" w:type="pct"/>
            <w:vMerge w:val="restart"/>
            <w:vAlign w:val="center"/>
          </w:tcPr>
          <w:p>
            <w:pPr>
              <w:pStyle w:val="1132"/>
            </w:pPr>
            <w:r>
              <w:t>中心桩号</w:t>
            </w:r>
          </w:p>
        </w:tc>
        <w:tc>
          <w:tcPr>
            <w:tcW w:w="938" w:type="pct"/>
            <w:vMerge w:val="restart"/>
            <w:vAlign w:val="center"/>
          </w:tcPr>
          <w:p>
            <w:pPr>
              <w:pStyle w:val="1132"/>
            </w:pPr>
            <w:r>
              <w:t>路段名称</w:t>
            </w:r>
          </w:p>
        </w:tc>
        <w:tc>
          <w:tcPr>
            <w:tcW w:w="625" w:type="pct"/>
            <w:vMerge w:val="restart"/>
            <w:vAlign w:val="center"/>
          </w:tcPr>
          <w:p>
            <w:pPr>
              <w:pStyle w:val="1132"/>
            </w:pPr>
            <w:r>
              <w:rPr>
                <w:rFonts w:hint="eastAsia"/>
              </w:rPr>
              <w:t>跨越水域</w:t>
            </w:r>
          </w:p>
        </w:tc>
        <w:tc>
          <w:tcPr>
            <w:tcW w:w="626" w:type="pct"/>
            <w:vMerge w:val="restart"/>
            <w:vAlign w:val="center"/>
          </w:tcPr>
          <w:p>
            <w:pPr>
              <w:pStyle w:val="1132"/>
            </w:pPr>
            <w:r>
              <w:rPr>
                <w:rFonts w:hint="eastAsia"/>
              </w:rPr>
              <w:t>桥长（km）</w:t>
            </w:r>
          </w:p>
        </w:tc>
        <w:tc>
          <w:tcPr>
            <w:tcW w:w="1874" w:type="pct"/>
            <w:gridSpan w:val="3"/>
            <w:vAlign w:val="center"/>
          </w:tcPr>
          <w:p>
            <w:pPr>
              <w:pStyle w:val="1132"/>
            </w:pPr>
            <w:r>
              <w:t>环境风险事故可能发生概率(次/年)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348" w:type="pct"/>
            <w:vMerge w:val="continue"/>
            <w:vAlign w:val="center"/>
          </w:tcPr>
          <w:p>
            <w:pPr>
              <w:pStyle w:val="1132"/>
            </w:pPr>
          </w:p>
        </w:tc>
        <w:tc>
          <w:tcPr>
            <w:tcW w:w="588" w:type="pct"/>
            <w:vMerge w:val="continue"/>
            <w:vAlign w:val="center"/>
          </w:tcPr>
          <w:p>
            <w:pPr>
              <w:pStyle w:val="1132"/>
            </w:pPr>
          </w:p>
        </w:tc>
        <w:tc>
          <w:tcPr>
            <w:tcW w:w="938" w:type="pct"/>
            <w:vMerge w:val="continue"/>
            <w:vAlign w:val="center"/>
          </w:tcPr>
          <w:p>
            <w:pPr>
              <w:pStyle w:val="1132"/>
            </w:pPr>
          </w:p>
        </w:tc>
        <w:tc>
          <w:tcPr>
            <w:tcW w:w="625" w:type="pct"/>
            <w:vMerge w:val="continue"/>
            <w:vAlign w:val="center"/>
          </w:tcPr>
          <w:p>
            <w:pPr>
              <w:pStyle w:val="1132"/>
            </w:pPr>
          </w:p>
        </w:tc>
        <w:tc>
          <w:tcPr>
            <w:tcW w:w="626" w:type="pct"/>
            <w:vMerge w:val="continue"/>
            <w:vAlign w:val="center"/>
          </w:tcPr>
          <w:p>
            <w:pPr>
              <w:pStyle w:val="1132"/>
            </w:pPr>
          </w:p>
        </w:tc>
        <w:tc>
          <w:tcPr>
            <w:tcW w:w="626" w:type="pct"/>
            <w:vAlign w:val="center"/>
          </w:tcPr>
          <w:p>
            <w:pPr>
              <w:pStyle w:val="1132"/>
            </w:pPr>
            <w:r>
              <w:t>2024年</w:t>
            </w:r>
          </w:p>
        </w:tc>
        <w:tc>
          <w:tcPr>
            <w:tcW w:w="626" w:type="pct"/>
            <w:vAlign w:val="center"/>
          </w:tcPr>
          <w:p>
            <w:pPr>
              <w:pStyle w:val="1132"/>
            </w:pPr>
            <w:r>
              <w:t>2030年</w:t>
            </w:r>
          </w:p>
        </w:tc>
        <w:tc>
          <w:tcPr>
            <w:tcW w:w="622" w:type="pct"/>
            <w:vAlign w:val="center"/>
          </w:tcPr>
          <w:p>
            <w:pPr>
              <w:pStyle w:val="1132"/>
            </w:pPr>
            <w:r>
              <w:t>2038年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348" w:type="pct"/>
            <w:vAlign w:val="center"/>
          </w:tcPr>
          <w:p>
            <w:pPr>
              <w:pStyle w:val="1132"/>
            </w:pPr>
            <w:r>
              <w:t>1</w:t>
            </w:r>
          </w:p>
        </w:tc>
        <w:tc>
          <w:tcPr>
            <w:tcW w:w="588" w:type="pct"/>
            <w:vAlign w:val="center"/>
          </w:tcPr>
          <w:p>
            <w:pPr>
              <w:pStyle w:val="1132"/>
            </w:pPr>
            <w:r>
              <w:rPr>
                <w:szCs w:val="21"/>
              </w:rPr>
              <w:t>K3+378</w:t>
            </w:r>
          </w:p>
        </w:tc>
        <w:tc>
          <w:tcPr>
            <w:tcW w:w="938" w:type="pct"/>
            <w:vAlign w:val="center"/>
          </w:tcPr>
          <w:p>
            <w:pPr>
              <w:pStyle w:val="1132"/>
            </w:pPr>
            <w:r>
              <w:rPr>
                <w:rFonts w:hint="eastAsia"/>
                <w:szCs w:val="21"/>
              </w:rPr>
              <w:t>大沟中桥</w:t>
            </w:r>
          </w:p>
        </w:tc>
        <w:tc>
          <w:tcPr>
            <w:tcW w:w="625" w:type="pct"/>
            <w:vAlign w:val="center"/>
          </w:tcPr>
          <w:p>
            <w:pPr>
              <w:pStyle w:val="1132"/>
            </w:pPr>
            <w:r>
              <w:rPr>
                <w:rFonts w:hint="eastAsia"/>
              </w:rPr>
              <w:t>大沟</w:t>
            </w:r>
          </w:p>
        </w:tc>
        <w:tc>
          <w:tcPr>
            <w:tcW w:w="1163" w:type="dxa"/>
            <w:vAlign w:val="center"/>
          </w:tcPr>
          <w:p>
            <w:pPr>
              <w:pStyle w:val="1132"/>
              <w:rPr>
                <w:color w:val="auto"/>
              </w:rPr>
            </w:pPr>
            <w:r>
              <w:rPr>
                <w:rFonts w:ascii="Times New Roman" w:hAnsi="Times New Roman" w:eastAsia="宋体" w:cs="Times New Roman"/>
                <w:color w:val="auto"/>
              </w:rPr>
              <w:t>0</w:t>
            </w:r>
            <w:r>
              <w:rPr>
                <w:rFonts w:hint="eastAsia" w:ascii="Times New Roman" w:hAnsi="Times New Roman" w:eastAsia="宋体" w:cs="Times New Roman"/>
                <w:color w:val="auto"/>
              </w:rPr>
              <w:t>.</w:t>
            </w:r>
            <w:r>
              <w:rPr>
                <w:rFonts w:ascii="Times New Roman" w:hAnsi="Times New Roman" w:eastAsia="宋体" w:cs="Times New Roman"/>
                <w:color w:val="auto"/>
              </w:rPr>
              <w:t>0</w:t>
            </w:r>
            <w:r>
              <w:rPr>
                <w:rFonts w:hint="eastAsia" w:ascii="Times New Roman" w:hAnsi="Times New Roman" w:eastAsia="宋体" w:cs="Times New Roman"/>
                <w:color w:val="auto"/>
                <w:lang w:val="en-US" w:eastAsia="zh-CN"/>
              </w:rPr>
              <w:t>54</w:t>
            </w:r>
          </w:p>
        </w:tc>
        <w:tc>
          <w:tcPr>
            <w:tcW w:w="1163" w:type="dxa"/>
            <w:vAlign w:val="center"/>
          </w:tcPr>
          <w:p>
            <w:pPr>
              <w:pStyle w:val="1132"/>
              <w:rPr>
                <w:color w:val="auto"/>
              </w:rPr>
            </w:pPr>
            <w:r>
              <w:rPr>
                <w:rFonts w:hint="eastAsia" w:ascii="Times New Roman" w:hAnsi="Times New Roman" w:eastAsia="宋体" w:cs="Times New Roman"/>
                <w:color w:val="auto"/>
                <w:lang w:val="en-US" w:eastAsia="zh-CN"/>
              </w:rPr>
              <w:t>1.24</w:t>
            </w:r>
            <w:r>
              <w:rPr>
                <w:rFonts w:ascii="Times New Roman" w:hAnsi="Times New Roman" w:eastAsia="宋体" w:cs="Times New Roman"/>
                <w:color w:val="auto"/>
              </w:rPr>
              <w:t>E-</w:t>
            </w:r>
            <w:r>
              <w:rPr>
                <w:rFonts w:hint="eastAsia" w:ascii="Times New Roman" w:hAnsi="Times New Roman" w:eastAsia="宋体" w:cs="Times New Roman"/>
                <w:color w:val="auto"/>
                <w:lang w:val="en-US" w:eastAsia="zh-CN"/>
              </w:rPr>
              <w:t>4</w:t>
            </w:r>
          </w:p>
        </w:tc>
        <w:tc>
          <w:tcPr>
            <w:tcW w:w="1163" w:type="dxa"/>
            <w:vAlign w:val="center"/>
          </w:tcPr>
          <w:p>
            <w:pPr>
              <w:pStyle w:val="1132"/>
              <w:rPr>
                <w:color w:val="auto"/>
              </w:rPr>
            </w:pPr>
            <w:r>
              <w:rPr>
                <w:rFonts w:hint="eastAsia" w:ascii="Times New Roman" w:hAnsi="Times New Roman" w:eastAsia="宋体" w:cs="Times New Roman"/>
                <w:color w:val="auto"/>
                <w:lang w:val="en-US" w:eastAsia="zh-CN"/>
              </w:rPr>
              <w:t>1.85E-4</w:t>
            </w:r>
          </w:p>
        </w:tc>
        <w:tc>
          <w:tcPr>
            <w:tcW w:w="1155" w:type="dxa"/>
            <w:vAlign w:val="center"/>
          </w:tcPr>
          <w:p>
            <w:pPr>
              <w:pStyle w:val="1132"/>
              <w:rPr>
                <w:color w:val="auto"/>
              </w:rPr>
            </w:pPr>
            <w:r>
              <w:rPr>
                <w:rFonts w:hint="eastAsia" w:ascii="Times New Roman" w:hAnsi="Times New Roman" w:eastAsia="宋体" w:cs="Times New Roman"/>
                <w:color w:val="auto"/>
                <w:lang w:val="en-US" w:eastAsia="zh-CN"/>
              </w:rPr>
              <w:t>2.79E-4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348" w:type="pct"/>
            <w:vAlign w:val="center"/>
          </w:tcPr>
          <w:p>
            <w:pPr>
              <w:pStyle w:val="1132"/>
            </w:pPr>
            <w:r>
              <w:t>2</w:t>
            </w:r>
          </w:p>
        </w:tc>
        <w:tc>
          <w:tcPr>
            <w:tcW w:w="588" w:type="pct"/>
            <w:vAlign w:val="center"/>
          </w:tcPr>
          <w:p>
            <w:pPr>
              <w:pStyle w:val="1132"/>
            </w:pPr>
            <w:r>
              <w:rPr>
                <w:szCs w:val="21"/>
              </w:rPr>
              <w:t>K6+186</w:t>
            </w:r>
          </w:p>
        </w:tc>
        <w:tc>
          <w:tcPr>
            <w:tcW w:w="938" w:type="pct"/>
            <w:vAlign w:val="center"/>
          </w:tcPr>
          <w:p>
            <w:pPr>
              <w:pStyle w:val="1132"/>
            </w:pPr>
            <w:r>
              <w:rPr>
                <w:rFonts w:hint="eastAsia"/>
                <w:szCs w:val="21"/>
              </w:rPr>
              <w:t>北一支渠中桥</w:t>
            </w:r>
          </w:p>
        </w:tc>
        <w:tc>
          <w:tcPr>
            <w:tcW w:w="625" w:type="pct"/>
            <w:vAlign w:val="center"/>
          </w:tcPr>
          <w:p>
            <w:pPr>
              <w:pStyle w:val="1132"/>
            </w:pPr>
            <w:r>
              <w:rPr>
                <w:rFonts w:hint="eastAsia"/>
              </w:rPr>
              <w:t>新集北一支渠</w:t>
            </w:r>
          </w:p>
        </w:tc>
        <w:tc>
          <w:tcPr>
            <w:tcW w:w="1163" w:type="dxa"/>
            <w:vAlign w:val="center"/>
          </w:tcPr>
          <w:p>
            <w:pPr>
              <w:pStyle w:val="1132"/>
              <w:rPr>
                <w:color w:val="auto"/>
              </w:rPr>
            </w:pPr>
            <w:r>
              <w:rPr>
                <w:rFonts w:ascii="Times New Roman" w:hAnsi="Times New Roman" w:eastAsia="宋体" w:cs="Times New Roman"/>
                <w:color w:val="auto"/>
              </w:rPr>
              <w:t>0.0</w:t>
            </w:r>
            <w:r>
              <w:rPr>
                <w:rFonts w:hint="eastAsia" w:ascii="Times New Roman" w:hAnsi="Times New Roman" w:eastAsia="宋体" w:cs="Times New Roman"/>
                <w:color w:val="auto"/>
                <w:lang w:val="en-US" w:eastAsia="zh-CN"/>
              </w:rPr>
              <w:t>54</w:t>
            </w:r>
          </w:p>
        </w:tc>
        <w:tc>
          <w:tcPr>
            <w:tcW w:w="1163" w:type="dxa"/>
            <w:vAlign w:val="center"/>
          </w:tcPr>
          <w:p>
            <w:pPr>
              <w:pStyle w:val="1132"/>
              <w:rPr>
                <w:color w:val="auto"/>
              </w:rPr>
            </w:pPr>
            <w:r>
              <w:rPr>
                <w:rFonts w:hint="eastAsia" w:ascii="Times New Roman" w:hAnsi="Times New Roman" w:eastAsia="宋体" w:cs="Times New Roman"/>
                <w:color w:val="auto"/>
                <w:lang w:val="en-US" w:eastAsia="zh-CN"/>
              </w:rPr>
              <w:t>1.24</w:t>
            </w:r>
            <w:r>
              <w:rPr>
                <w:rFonts w:ascii="Times New Roman" w:hAnsi="Times New Roman" w:eastAsia="宋体" w:cs="Times New Roman"/>
                <w:color w:val="auto"/>
              </w:rPr>
              <w:t>E-</w:t>
            </w:r>
            <w:r>
              <w:rPr>
                <w:rFonts w:hint="eastAsia" w:ascii="Times New Roman" w:hAnsi="Times New Roman" w:eastAsia="宋体" w:cs="Times New Roman"/>
                <w:color w:val="auto"/>
                <w:lang w:val="en-US" w:eastAsia="zh-CN"/>
              </w:rPr>
              <w:t>4</w:t>
            </w:r>
          </w:p>
        </w:tc>
        <w:tc>
          <w:tcPr>
            <w:tcW w:w="1163" w:type="dxa"/>
            <w:vAlign w:val="center"/>
          </w:tcPr>
          <w:p>
            <w:pPr>
              <w:pStyle w:val="1132"/>
              <w:rPr>
                <w:color w:val="auto"/>
              </w:rPr>
            </w:pPr>
            <w:r>
              <w:rPr>
                <w:rFonts w:hint="eastAsia" w:ascii="Times New Roman" w:hAnsi="Times New Roman" w:eastAsia="宋体" w:cs="Times New Roman"/>
                <w:color w:val="auto"/>
                <w:lang w:val="en-US" w:eastAsia="zh-CN"/>
              </w:rPr>
              <w:t>1.85E-4</w:t>
            </w:r>
          </w:p>
        </w:tc>
        <w:tc>
          <w:tcPr>
            <w:tcW w:w="1155" w:type="dxa"/>
            <w:vAlign w:val="center"/>
          </w:tcPr>
          <w:p>
            <w:pPr>
              <w:pStyle w:val="1132"/>
              <w:rPr>
                <w:color w:val="auto"/>
              </w:rPr>
            </w:pPr>
            <w:r>
              <w:rPr>
                <w:rFonts w:hint="eastAsia" w:ascii="Times New Roman" w:hAnsi="Times New Roman" w:eastAsia="宋体" w:cs="Times New Roman"/>
                <w:color w:val="auto"/>
                <w:lang w:val="en-US" w:eastAsia="zh-CN"/>
              </w:rPr>
              <w:t>2.79E-4</w:t>
            </w:r>
          </w:p>
        </w:tc>
      </w:tr>
    </w:tbl>
    <w:p>
      <w:pPr>
        <w:pStyle w:val="10"/>
        <w:ind w:firstLine="480"/>
      </w:pPr>
      <w:r>
        <w:rPr>
          <w:rFonts w:hint="eastAsia"/>
        </w:rPr>
        <w:t>（3）</w:t>
      </w:r>
      <w:r>
        <w:t>事故概率分析</w:t>
      </w:r>
    </w:p>
    <w:p>
      <w:pPr>
        <w:pStyle w:val="10"/>
        <w:ind w:firstLine="480"/>
      </w:pPr>
      <w:r>
        <w:t>计算结果表明，</w:t>
      </w:r>
      <w:r>
        <w:rPr>
          <w:rFonts w:hint="eastAsia"/>
        </w:rPr>
        <w:t>风险事故发生概率较小，但</w:t>
      </w:r>
      <w:r>
        <w:t>危险品运输车辆发生交通事故的概率不为零</w:t>
      </w:r>
      <w:r>
        <w:rPr>
          <w:rFonts w:hint="eastAsia"/>
        </w:rPr>
        <w:t>，</w:t>
      </w:r>
      <w:r>
        <w:t>所以不能排除重大交通事故的发生的，一旦发生危险品运输泄漏事故，对水体、土壤和水生动植物会造成污染，因此必须从工程、管理等多方面落实预防手段来降低该类事故的发生率；同时建议本项目应急预案中应当包括并加强“危险品事故风险专项预案”，提出针对性的应急措施，把事故发生后对水环境的危害降低到最低程度，做到预防和救援并重。</w:t>
      </w:r>
    </w:p>
    <w:p>
      <w:pPr>
        <w:pStyle w:val="9"/>
      </w:pPr>
      <w:bookmarkStart w:id="391" w:name="_Toc29852"/>
      <w:r>
        <w:t>风险事故影响简要分析</w:t>
      </w:r>
      <w:bookmarkEnd w:id="391"/>
    </w:p>
    <w:p>
      <w:pPr>
        <w:pStyle w:val="10"/>
        <w:ind w:firstLine="480"/>
      </w:pPr>
      <w:r>
        <w:t>本项目沿线</w:t>
      </w:r>
      <w:r>
        <w:rPr>
          <w:rFonts w:hint="eastAsia"/>
        </w:rPr>
        <w:t>水域主要为大沟和新集北一支渠河，</w:t>
      </w:r>
      <w:r>
        <w:t>一旦在这些水域路段发生危险品运输泄漏事故，对水体会造成污染，并可能对下游的水质造成污染。</w:t>
      </w:r>
    </w:p>
    <w:p>
      <w:pPr>
        <w:pStyle w:val="9"/>
      </w:pPr>
      <w:bookmarkStart w:id="392" w:name="_Toc1874"/>
      <w:r>
        <w:t>风险防范措施</w:t>
      </w:r>
      <w:bookmarkEnd w:id="392"/>
    </w:p>
    <w:p>
      <w:pPr>
        <w:pStyle w:val="10"/>
        <w:ind w:firstLine="480"/>
      </w:pPr>
      <w:r>
        <w:rPr>
          <w:rFonts w:hint="eastAsia"/>
        </w:rPr>
        <w:t>（1）为防止营运期运输危险品的车辆在上述这些敏感水域路段发生运输事故导致危险品直接泄入敏感水体造成污染，对工程跨越上述水域的桥梁桥面栏杆应设置防撞护栏，</w:t>
      </w:r>
      <w:r>
        <w:t>提高防撞等级</w:t>
      </w:r>
      <w:r>
        <w:rPr>
          <w:rFonts w:hint="eastAsia"/>
        </w:rPr>
        <w:t>。</w:t>
      </w:r>
    </w:p>
    <w:p>
      <w:pPr>
        <w:pStyle w:val="10"/>
        <w:ind w:firstLine="480"/>
      </w:pPr>
      <w:r>
        <w:rPr>
          <w:rFonts w:hint="eastAsia"/>
        </w:rPr>
        <w:t>（</w:t>
      </w:r>
      <w:r>
        <w:t>2</w:t>
      </w:r>
      <w:r>
        <w:rPr>
          <w:rFonts w:hint="eastAsia"/>
        </w:rPr>
        <w:t>）</w:t>
      </w:r>
      <w:r>
        <w:t>事故预防</w:t>
      </w:r>
    </w:p>
    <w:p>
      <w:pPr>
        <w:pStyle w:val="10"/>
        <w:ind w:firstLine="480"/>
      </w:pPr>
      <w:r>
        <w:rPr>
          <w:rFonts w:hint="eastAsia" w:ascii="宋体" w:hAnsi="宋体" w:cs="宋体"/>
        </w:rPr>
        <w:t>①</w:t>
      </w:r>
      <w:r>
        <w:t xml:space="preserve">公路管理部门应加强公路日常危险品运输车辆的“三证”检查、超载车辆的检查。   </w:t>
      </w:r>
    </w:p>
    <w:p>
      <w:pPr>
        <w:pStyle w:val="10"/>
        <w:ind w:firstLine="480"/>
      </w:pPr>
      <w:r>
        <w:rPr>
          <w:rFonts w:hint="eastAsia" w:ascii="宋体" w:hAnsi="宋体" w:cs="宋体"/>
        </w:rPr>
        <w:t>②</w:t>
      </w:r>
      <w:r>
        <w:t>运载危险品的车辆上路要有危险品标志，并不能随意停车。</w:t>
      </w:r>
    </w:p>
    <w:p>
      <w:pPr>
        <w:pStyle w:val="10"/>
        <w:ind w:firstLine="480"/>
      </w:pPr>
      <w:r>
        <w:rPr>
          <w:rFonts w:hint="eastAsia" w:ascii="宋体" w:hAnsi="宋体" w:cs="宋体"/>
        </w:rPr>
        <w:t>③</w:t>
      </w:r>
      <w:r>
        <w:t>危险品运输途中，公路管理部门应予以严密监控，以便发生意外情况时及时采取措施，防患于未然。</w:t>
      </w:r>
    </w:p>
    <w:p>
      <w:pPr>
        <w:pStyle w:val="10"/>
        <w:ind w:firstLine="480"/>
      </w:pPr>
      <w:r>
        <w:rPr>
          <w:rFonts w:hint="eastAsia" w:ascii="宋体" w:hAnsi="宋体" w:cs="宋体"/>
        </w:rPr>
        <w:t>④</w:t>
      </w:r>
      <w:r>
        <w:t>工程沿线设置限速、禁止超车等标示牌。</w:t>
      </w:r>
    </w:p>
    <w:p>
      <w:pPr>
        <w:pStyle w:val="9"/>
      </w:pPr>
      <w:bookmarkStart w:id="393" w:name="_Toc32336"/>
      <w:r>
        <w:t>环境风险防范措施</w:t>
      </w:r>
      <w:bookmarkEnd w:id="393"/>
    </w:p>
    <w:p>
      <w:pPr>
        <w:pStyle w:val="10"/>
        <w:ind w:firstLine="480"/>
      </w:pPr>
      <w:r>
        <w:t>柴油和汽油均为危险化学品，在运输过程中，需特别关注其运输过程中的风险防范。主要采取以下措施：</w:t>
      </w:r>
    </w:p>
    <w:p>
      <w:pPr>
        <w:pStyle w:val="10"/>
        <w:ind w:firstLine="480"/>
      </w:pPr>
      <w:r>
        <w:rPr>
          <w:rFonts w:hint="eastAsia" w:ascii="宋体" w:hAnsi="宋体" w:cs="宋体"/>
        </w:rPr>
        <w:t>（1）</w:t>
      </w:r>
      <w:r>
        <w:t>对承运企业的要求:承运柴油、汽油的道路运输公司必须具备相应的危险货物运输资质，且符合《危险化学品安全管理条例》(国务院令第591号)、《道路危险货物运输管理规定》(中华人民共和国交通运输部令2013年第2号)、《汽车运输危险货物规则》CJT617-2004) 、《汽车运输、装卸危险货物作业规程》(CJT618-2004)等法规、标准对危险货物运输的要求。</w:t>
      </w:r>
    </w:p>
    <w:p>
      <w:pPr>
        <w:pStyle w:val="10"/>
        <w:ind w:firstLine="480"/>
      </w:pPr>
      <w:r>
        <w:rPr>
          <w:rFonts w:hint="eastAsia"/>
        </w:rPr>
        <w:t>（2）</w:t>
      </w:r>
      <w:r>
        <w:t>对运输从业人员尤其是驾驶员、押运人员的安全要求。</w:t>
      </w:r>
    </w:p>
    <w:p>
      <w:pPr>
        <w:pStyle w:val="10"/>
        <w:ind w:firstLine="480"/>
      </w:pPr>
      <w:r>
        <w:rPr>
          <w:rFonts w:hint="eastAsia"/>
        </w:rPr>
        <w:t>（3）</w:t>
      </w:r>
      <w:r>
        <w:t>对生产槽厂家的要求</w:t>
      </w:r>
      <w:r>
        <w:rPr>
          <w:rFonts w:hint="eastAsia"/>
        </w:rPr>
        <w:t>。</w:t>
      </w:r>
      <w:r>
        <w:t>保证槽车质量和安全。</w:t>
      </w:r>
    </w:p>
    <w:p>
      <w:pPr>
        <w:pStyle w:val="8"/>
        <w:rPr>
          <w:b/>
          <w:bCs/>
        </w:rPr>
      </w:pPr>
      <w:bookmarkStart w:id="394" w:name="_Toc9064"/>
      <w:r>
        <w:rPr>
          <w:b/>
          <w:bCs/>
        </w:rPr>
        <w:t>应急预案</w:t>
      </w:r>
      <w:bookmarkEnd w:id="394"/>
    </w:p>
    <w:p>
      <w:pPr>
        <w:pStyle w:val="10"/>
        <w:ind w:firstLine="480"/>
      </w:pPr>
      <w:r>
        <w:t>项目营运期，一旦在路段发生危险品运输泄漏事故，为了避免污染态势扩大，在第一时间采取有效的救援方案，本项目运营公司还应制定《</w:t>
      </w:r>
      <w:r>
        <w:rPr>
          <w:rFonts w:hint="eastAsia"/>
        </w:rPr>
        <w:t>S311怀远包集至蚌埠民用机场一级公路</w:t>
      </w:r>
      <w:r>
        <w:t>环境风险事故应急预案》，并将该应急预案纳入到当地市、区应急体系之下，做好与当地市、区突发环境事件应急预案对接工作。</w:t>
      </w:r>
    </w:p>
    <w:p>
      <w:pPr>
        <w:pStyle w:val="10"/>
        <w:ind w:firstLine="480"/>
      </w:pPr>
      <w:r>
        <w:t>本项目环境风险事故应急预案应以《安徽省人民政府突发公共事件总体应急预案(试行)》等为指导，在地方原有危险品安全运输管理体系的基础上，联合相关部门，建立更加完善通畅的信息网络，将市、区、乡镇的事故应急预案、企业危险品事故应急预案和公路事故应急预案相衔接，增加环境保护的指挥功能。</w:t>
      </w:r>
    </w:p>
    <w:p>
      <w:pPr>
        <w:pStyle w:val="10"/>
        <w:ind w:firstLine="480"/>
      </w:pPr>
      <w:r>
        <w:t>按照《建设项目环境风险评价技术导则》规定，本工程应急预案内容主要包括如下11项内容：</w:t>
      </w:r>
    </w:p>
    <w:p>
      <w:pPr>
        <w:pStyle w:val="10"/>
        <w:ind w:firstLine="480"/>
      </w:pPr>
      <w:r>
        <w:t>（1）工程应急计划区：本工程危险目标主要为运输危险品的车辆</w:t>
      </w:r>
      <w:r>
        <w:rPr>
          <w:rFonts w:hint="eastAsia"/>
        </w:rPr>
        <w:t>及</w:t>
      </w:r>
      <w:r>
        <w:t>有关单位、人群等。</w:t>
      </w:r>
    </w:p>
    <w:p>
      <w:pPr>
        <w:pStyle w:val="10"/>
        <w:ind w:firstLine="480"/>
      </w:pPr>
      <w:r>
        <w:t>（2）成立应急领导小组，由项目主管单位的领导担任组长，公路的路政、排障等领导为组员，另外联系沿线的当地相关部门，如公安、环保、消防、卫生等，成为领导小组的成员。项目主管单位应根据应急预案，统一应急行动，明确应急责任人和有关部门的职责，确保在最短的时间将事故控制，以减少对环境的污染影响。应急小组还必须为应急预案配备相应的设备，并进行常年的维护。</w:t>
      </w:r>
    </w:p>
    <w:p>
      <w:pPr>
        <w:pStyle w:val="10"/>
        <w:ind w:firstLine="480"/>
      </w:pPr>
      <w:r>
        <w:t>（3）预案分级响应程序：一旦在敏感路段附近发生运输危险品的环境污染事故，由应急电话拨打至应急中心，或者是24小时监控中心通过监控设备得知情况后，马上通知应急中心，启动应急预案。</w:t>
      </w:r>
    </w:p>
    <w:p>
      <w:pPr>
        <w:pStyle w:val="10"/>
        <w:ind w:firstLine="480"/>
      </w:pPr>
      <w:r>
        <w:t>（4）应急救援保障：本项目营运公司必须配备一些必要的应急救援设备和仪器，以便快速自救。主要包括应急防护处理车辆、吸油毡、各类吸附剂、中和剂、解毒剂、固液物质清扫设备、回收设备等，但更多的应急设备、器材和药物将由沿线人民政府相关部门提供。</w:t>
      </w:r>
    </w:p>
    <w:p>
      <w:pPr>
        <w:pStyle w:val="10"/>
        <w:ind w:firstLine="480"/>
      </w:pPr>
      <w:r>
        <w:t>（5）报警、通讯联络方式:应急中心值班人员了解情况后，立即通知应急领导小组，同时拨打“12369"，</w:t>
      </w:r>
      <w:r>
        <w:rPr>
          <w:rFonts w:hint="eastAsia"/>
        </w:rPr>
        <w:t>“1</w:t>
      </w:r>
      <w:r>
        <w:t>10</w:t>
      </w:r>
      <w:r>
        <w:rPr>
          <w:rFonts w:hint="eastAsia"/>
        </w:rPr>
        <w:t>”</w:t>
      </w:r>
      <w:r>
        <w:t>救援电话，并告知有关用水单位、下游地区和主管单位。应急领导小组立即通知事故处理小组，组织调动人员、车辆、设备、药物，联合采取应急行动，防止污染扩散。应急领导小组应向</w:t>
      </w:r>
      <w:r>
        <w:rPr>
          <w:rFonts w:hint="eastAsia"/>
        </w:rPr>
        <w:t>当地</w:t>
      </w:r>
      <w:r>
        <w:t>人民政府和环保部门报告，同时向上一级相关专业主管部门报告。</w:t>
      </w:r>
    </w:p>
    <w:p>
      <w:pPr>
        <w:pStyle w:val="10"/>
        <w:ind w:firstLine="480"/>
      </w:pPr>
      <w:r>
        <w:t>（6）应急环境监测、抢险、救援及控制措施；由沿线县区环境监测站对事故现场周围水质进行监测，对事故性质、程度与后果进行评估，为指挥部门提供决策依据。</w:t>
      </w:r>
    </w:p>
    <w:p>
      <w:pPr>
        <w:pStyle w:val="10"/>
        <w:ind w:firstLine="480"/>
      </w:pPr>
      <w:r>
        <w:t>（7）开展环境事故发生点、连通水体等进行跟踪环境监测，有效控制事故现场，制定清除污染措施和恢复措施。</w:t>
      </w:r>
    </w:p>
    <w:p>
      <w:pPr>
        <w:pStyle w:val="10"/>
        <w:ind w:firstLine="480"/>
      </w:pPr>
      <w:r>
        <w:t>（8）在事故现场，由领导小组领导，其他各个协调管理机构对现场进行处理，本项目营运公司主要进行协调和沟通工作，并负责事故处理汇报工作。</w:t>
      </w:r>
    </w:p>
    <w:p>
      <w:pPr>
        <w:pStyle w:val="10"/>
        <w:ind w:firstLine="480"/>
      </w:pPr>
      <w:r>
        <w:t>（9）事故应急救援关闭程序与恢复措施。现场处理完毕后，由沿线县区环境监测站跟踪监测水质状况，并根据监测结果，来确定事故应急救援关闭程序与恢复措施，并进行总结、汇报。</w:t>
      </w:r>
    </w:p>
    <w:p>
      <w:pPr>
        <w:pStyle w:val="10"/>
        <w:ind w:firstLine="480"/>
      </w:pPr>
      <w:r>
        <w:t>（10）应急培训计划。本项目营运公司应定期进行相应的演练工作，以确保应急救援工作有序的进行。</w:t>
      </w:r>
    </w:p>
    <w:p>
      <w:pPr>
        <w:pStyle w:val="10"/>
        <w:ind w:firstLine="480"/>
      </w:pPr>
      <w:r>
        <w:t>（11）公众教育和信息。对发生的危险品污染事故，通过媒体对公众进行公示，起到教育和警示作用。</w:t>
      </w:r>
    </w:p>
    <w:p>
      <w:pPr>
        <w:pStyle w:val="10"/>
        <w:ind w:firstLine="480"/>
      </w:pPr>
      <w:r>
        <w:t>综上所述，在落实工程环境风险防范措施和应急预案后，该工程所带来的环境风险是可以控制的。</w:t>
      </w:r>
    </w:p>
    <w:p>
      <w:pPr>
        <w:pStyle w:val="19"/>
      </w:pPr>
      <w:bookmarkStart w:id="395" w:name="_Toc471329439"/>
      <w:bookmarkStart w:id="396" w:name="_Toc402509388"/>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建设项目环境风险简单分析内容表</w:t>
      </w:r>
    </w:p>
    <w:tbl>
      <w:tblPr>
        <w:tblStyle w:val="47"/>
        <w:tblW w:w="5000"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3"/>
        <w:gridCol w:w="1073"/>
        <w:gridCol w:w="2442"/>
        <w:gridCol w:w="925"/>
        <w:gridCol w:w="1854"/>
        <w:gridCol w:w="1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vAlign w:val="center"/>
          </w:tcPr>
          <w:p>
            <w:pPr>
              <w:pStyle w:val="1132"/>
            </w:pPr>
            <w:r>
              <w:t>建设项目名称</w:t>
            </w:r>
          </w:p>
        </w:tc>
        <w:tc>
          <w:tcPr>
            <w:tcW w:w="4002" w:type="pct"/>
            <w:gridSpan w:val="5"/>
            <w:vAlign w:val="center"/>
          </w:tcPr>
          <w:p>
            <w:pPr>
              <w:pStyle w:val="1132"/>
            </w:pPr>
            <w:r>
              <w:rPr>
                <w:rFonts w:hint="eastAsia"/>
                <w:szCs w:val="21"/>
              </w:rPr>
              <w:t>S311怀远包集至蚌埠民用机场一级公路工程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vAlign w:val="center"/>
          </w:tcPr>
          <w:p>
            <w:pPr>
              <w:pStyle w:val="1132"/>
            </w:pPr>
            <w:r>
              <w:t>建设地点</w:t>
            </w:r>
          </w:p>
        </w:tc>
        <w:tc>
          <w:tcPr>
            <w:tcW w:w="578" w:type="pct"/>
            <w:vAlign w:val="center"/>
          </w:tcPr>
          <w:p>
            <w:pPr>
              <w:pStyle w:val="1132"/>
            </w:pPr>
            <w:r>
              <w:t>(安徽)省</w:t>
            </w:r>
          </w:p>
        </w:tc>
        <w:tc>
          <w:tcPr>
            <w:tcW w:w="1315" w:type="pct"/>
            <w:vAlign w:val="center"/>
          </w:tcPr>
          <w:p>
            <w:pPr>
              <w:pStyle w:val="1132"/>
            </w:pPr>
            <w:r>
              <w:t>(</w:t>
            </w:r>
            <w:r>
              <w:rPr>
                <w:rFonts w:hint="eastAsia"/>
              </w:rPr>
              <w:t>蚌埠</w:t>
            </w:r>
            <w:r>
              <w:t>)市</w:t>
            </w:r>
          </w:p>
        </w:tc>
        <w:tc>
          <w:tcPr>
            <w:tcW w:w="498" w:type="pct"/>
            <w:vAlign w:val="center"/>
          </w:tcPr>
          <w:p>
            <w:pPr>
              <w:pStyle w:val="1132"/>
            </w:pPr>
            <w:r>
              <w:t>（）区</w:t>
            </w:r>
          </w:p>
        </w:tc>
        <w:tc>
          <w:tcPr>
            <w:tcW w:w="998" w:type="pct"/>
            <w:vAlign w:val="center"/>
          </w:tcPr>
          <w:p>
            <w:pPr>
              <w:pStyle w:val="1132"/>
            </w:pPr>
            <w:r>
              <w:t>（</w:t>
            </w:r>
            <w:r>
              <w:rPr>
                <w:rFonts w:hint="eastAsia"/>
              </w:rPr>
              <w:t>怀远</w:t>
            </w:r>
            <w:r>
              <w:t>）县</w:t>
            </w:r>
          </w:p>
        </w:tc>
        <w:tc>
          <w:tcPr>
            <w:tcW w:w="613" w:type="pct"/>
            <w:vAlign w:val="center"/>
          </w:tcPr>
          <w:p>
            <w:pPr>
              <w:pStyle w:val="1132"/>
            </w:pPr>
            <w:r>
              <w:t>（）园区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vAlign w:val="center"/>
          </w:tcPr>
          <w:p>
            <w:pPr>
              <w:pStyle w:val="1132"/>
            </w:pPr>
            <w:r>
              <w:t>地理坐标</w:t>
            </w:r>
          </w:p>
        </w:tc>
        <w:tc>
          <w:tcPr>
            <w:tcW w:w="578" w:type="pct"/>
            <w:vAlign w:val="center"/>
          </w:tcPr>
          <w:p>
            <w:pPr>
              <w:pStyle w:val="1132"/>
            </w:pPr>
            <w:r>
              <w:t>经度</w:t>
            </w:r>
          </w:p>
        </w:tc>
        <w:tc>
          <w:tcPr>
            <w:tcW w:w="1315" w:type="pct"/>
            <w:vAlign w:val="center"/>
          </w:tcPr>
          <w:p>
            <w:pPr>
              <w:pStyle w:val="1132"/>
            </w:pPr>
            <w:r>
              <w:rPr>
                <w:rFonts w:hint="eastAsia"/>
              </w:rPr>
              <w:t>起点：</w:t>
            </w:r>
            <w:r>
              <w:t>117</w:t>
            </w:r>
            <w:r>
              <w:rPr>
                <w:rFonts w:hint="eastAsia"/>
              </w:rPr>
              <w:t>.</w:t>
            </w:r>
            <w:r>
              <w:t>11318</w:t>
            </w:r>
          </w:p>
          <w:p>
            <w:pPr>
              <w:pStyle w:val="1132"/>
            </w:pPr>
            <w:r>
              <w:rPr>
                <w:rFonts w:hint="eastAsia"/>
              </w:rPr>
              <w:t>终点：</w:t>
            </w:r>
            <w:r>
              <w:t>117.03987</w:t>
            </w:r>
          </w:p>
        </w:tc>
        <w:tc>
          <w:tcPr>
            <w:tcW w:w="498" w:type="pct"/>
            <w:vAlign w:val="center"/>
          </w:tcPr>
          <w:p>
            <w:pPr>
              <w:pStyle w:val="1132"/>
            </w:pPr>
            <w:r>
              <w:t>纬度</w:t>
            </w:r>
          </w:p>
        </w:tc>
        <w:tc>
          <w:tcPr>
            <w:tcW w:w="1611" w:type="pct"/>
            <w:gridSpan w:val="2"/>
            <w:vAlign w:val="center"/>
          </w:tcPr>
          <w:p>
            <w:pPr>
              <w:pStyle w:val="1132"/>
            </w:pPr>
            <w:r>
              <w:rPr>
                <w:rFonts w:hint="eastAsia"/>
              </w:rPr>
              <w:t>起点：3</w:t>
            </w:r>
            <w:r>
              <w:t>3.15678</w:t>
            </w:r>
          </w:p>
          <w:p>
            <w:pPr>
              <w:pStyle w:val="1132"/>
            </w:pPr>
            <w:r>
              <w:rPr>
                <w:rFonts w:hint="eastAsia"/>
              </w:rPr>
              <w:t>终点：3</w:t>
            </w:r>
            <w:r>
              <w:t>3.14703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vAlign w:val="center"/>
          </w:tcPr>
          <w:p>
            <w:pPr>
              <w:pStyle w:val="1132"/>
            </w:pPr>
            <w:r>
              <w:t>主要危险物质及分布</w:t>
            </w:r>
          </w:p>
        </w:tc>
        <w:tc>
          <w:tcPr>
            <w:tcW w:w="4002" w:type="pct"/>
            <w:gridSpan w:val="5"/>
            <w:vAlign w:val="center"/>
          </w:tcPr>
          <w:p>
            <w:pPr>
              <w:pStyle w:val="1132"/>
            </w:pPr>
            <w:r>
              <w:t>运输危险品的车辆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vAlign w:val="center"/>
          </w:tcPr>
          <w:p>
            <w:pPr>
              <w:pStyle w:val="1132"/>
            </w:pPr>
            <w:r>
              <w:t>环境影响途径及危害后果（大气、地表水、地下水等）</w:t>
            </w:r>
          </w:p>
        </w:tc>
        <w:tc>
          <w:tcPr>
            <w:tcW w:w="4002" w:type="pct"/>
            <w:gridSpan w:val="5"/>
            <w:vAlign w:val="center"/>
          </w:tcPr>
          <w:p>
            <w:pPr>
              <w:pStyle w:val="1132"/>
            </w:pPr>
            <w:r>
              <w:t>道路运输：运输危险品的车辆在</w:t>
            </w:r>
            <w:r>
              <w:rPr>
                <w:rFonts w:hint="eastAsia"/>
              </w:rPr>
              <w:t>行驶过程中</w:t>
            </w:r>
            <w:r>
              <w:t>发生交通事故造成危险品泄漏，将造成污染。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vAlign w:val="center"/>
          </w:tcPr>
          <w:p>
            <w:pPr>
              <w:pStyle w:val="1132"/>
            </w:pPr>
            <w:r>
              <w:t>风险防范措施要求</w:t>
            </w:r>
          </w:p>
        </w:tc>
        <w:tc>
          <w:tcPr>
            <w:tcW w:w="4002" w:type="pct"/>
            <w:gridSpan w:val="5"/>
            <w:vAlign w:val="center"/>
          </w:tcPr>
          <w:p>
            <w:pPr>
              <w:pStyle w:val="1132"/>
            </w:pPr>
            <w:r>
              <w:t>道路运输防范措施：在桥梁两侧设置</w:t>
            </w:r>
            <w:r>
              <w:rPr>
                <w:rFonts w:hint="eastAsia"/>
              </w:rPr>
              <w:t>防撞护栏，提高防撞等级</w:t>
            </w:r>
            <w:r>
              <w:t>；运载危险品的车辆上路要有危险品标志，并不能随意停车等。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vAlign w:val="center"/>
          </w:tcPr>
          <w:p>
            <w:pPr>
              <w:pStyle w:val="1132"/>
              <w:jc w:val="left"/>
            </w:pPr>
            <w:r>
              <w:t>填表说明（列出项目相关信息及评价说明）</w:t>
            </w:r>
          </w:p>
        </w:tc>
      </w:tr>
    </w:tbl>
    <w:p>
      <w:pPr>
        <w:pStyle w:val="986"/>
        <w:ind w:firstLine="480"/>
        <w:rPr>
          <w:rStyle w:val="985"/>
          <w:color w:val="0070C0"/>
        </w:rPr>
      </w:pPr>
    </w:p>
    <w:p>
      <w:pPr>
        <w:pStyle w:val="5"/>
      </w:pPr>
      <w:r>
        <w:rPr>
          <w:rStyle w:val="985"/>
          <w:color w:val="0070C0"/>
        </w:rPr>
        <w:br w:type="page"/>
      </w:r>
      <w:bookmarkEnd w:id="395"/>
      <w:bookmarkEnd w:id="396"/>
      <w:bookmarkStart w:id="397" w:name="_Toc6959"/>
      <w:bookmarkStart w:id="398" w:name="_Toc3992"/>
      <w:bookmarkStart w:id="399" w:name="_Toc16245"/>
      <w:r>
        <w:t>环境保护措施及其可行性论证</w:t>
      </w:r>
      <w:bookmarkEnd w:id="397"/>
      <w:bookmarkEnd w:id="398"/>
      <w:bookmarkEnd w:id="399"/>
    </w:p>
    <w:p>
      <w:pPr>
        <w:pStyle w:val="7"/>
        <w:rPr>
          <w:b/>
          <w:bCs/>
          <w:sz w:val="28"/>
          <w:szCs w:val="28"/>
        </w:rPr>
      </w:pPr>
      <w:bookmarkStart w:id="400" w:name="_Toc471329440"/>
      <w:bookmarkStart w:id="401" w:name="_Toc402509389"/>
      <w:bookmarkStart w:id="402" w:name="_Toc2961"/>
      <w:bookmarkStart w:id="403" w:name="_Toc31138"/>
      <w:r>
        <w:rPr>
          <w:b/>
          <w:bCs/>
          <w:sz w:val="28"/>
          <w:szCs w:val="28"/>
        </w:rPr>
        <w:t>设计阶段环保措施</w:t>
      </w:r>
      <w:bookmarkEnd w:id="400"/>
      <w:bookmarkEnd w:id="401"/>
      <w:bookmarkEnd w:id="402"/>
      <w:bookmarkEnd w:id="403"/>
    </w:p>
    <w:p>
      <w:pPr>
        <w:pStyle w:val="8"/>
        <w:rPr>
          <w:b/>
          <w:bCs/>
        </w:rPr>
      </w:pPr>
      <w:bookmarkStart w:id="404" w:name="_Toc7485"/>
      <w:r>
        <w:rPr>
          <w:b/>
          <w:bCs/>
        </w:rPr>
        <w:t>可研阶段已考虑的污染防治措施</w:t>
      </w:r>
      <w:bookmarkEnd w:id="404"/>
    </w:p>
    <w:p>
      <w:pPr>
        <w:pStyle w:val="10"/>
        <w:ind w:firstLine="480"/>
      </w:pPr>
      <w:r>
        <w:t>（1）拟建项目工可阶段，在路线方案比选的基础上，结合当地工程地质、生态、自然人文景观、乡镇规划的实际情况，对沿线重要的环境敏感点详细调查的基础上选择了合理的路线走向。</w:t>
      </w:r>
    </w:p>
    <w:p>
      <w:pPr>
        <w:pStyle w:val="10"/>
        <w:ind w:firstLine="480"/>
      </w:pPr>
      <w:r>
        <w:t>（2）路线选线基本避让了沿线城镇规划区，体现公路建设的“近而不进、离而不远”的方针；</w:t>
      </w:r>
    </w:p>
    <w:p>
      <w:pPr>
        <w:pStyle w:val="10"/>
        <w:ind w:firstLine="480"/>
      </w:pPr>
      <w:r>
        <w:t>（3）设计中减少占地的措施</w:t>
      </w:r>
    </w:p>
    <w:p>
      <w:pPr>
        <w:pStyle w:val="10"/>
        <w:ind w:firstLine="480"/>
      </w:pPr>
      <w:r>
        <w:t>本项目设计单位经过多次实地勘测，收集沿线地形地貌、土层地质以及土地利用等资料，征询地方政府和沿线群众对路线走向、耕地占用等方面的意见，在不降低工程技术指标的前提下，采取了多种措施来减少土地特别是耕地占用量。</w:t>
      </w:r>
    </w:p>
    <w:p>
      <w:pPr>
        <w:pStyle w:val="10"/>
        <w:ind w:firstLine="480"/>
      </w:pPr>
      <w:r>
        <w:rPr>
          <w:rFonts w:hint="eastAsia" w:ascii="宋体" w:hAnsi="宋体" w:cs="宋体"/>
        </w:rPr>
        <w:t>①</w:t>
      </w:r>
      <w:r>
        <w:t>根据沿线群众居住特点、农业生产情况以及群众生产生活出行习惯，分析地方道路功能，对地方道路进行适当的归并，减少纵断面控制点，降低填土高度，减少了路基占地；</w:t>
      </w:r>
    </w:p>
    <w:p>
      <w:pPr>
        <w:pStyle w:val="10"/>
        <w:ind w:firstLine="480"/>
      </w:pPr>
      <w:r>
        <w:rPr>
          <w:rFonts w:hint="eastAsia" w:ascii="宋体" w:hAnsi="宋体" w:cs="宋体"/>
        </w:rPr>
        <w:t>②</w:t>
      </w:r>
      <w:r>
        <w:t>工程设计中充分考虑土石方平衡，注意了临近路段的调配，充分利用挖方，很大程度上减少了弃土量和占地；</w:t>
      </w:r>
    </w:p>
    <w:p>
      <w:pPr>
        <w:pStyle w:val="8"/>
        <w:rPr>
          <w:b/>
          <w:bCs/>
        </w:rPr>
      </w:pPr>
      <w:bookmarkStart w:id="405" w:name="_Toc16866"/>
      <w:r>
        <w:rPr>
          <w:b/>
          <w:bCs/>
        </w:rPr>
        <w:t>设计期路线摆动应注意的环境控制要求</w:t>
      </w:r>
      <w:bookmarkEnd w:id="405"/>
    </w:p>
    <w:p>
      <w:pPr>
        <w:pStyle w:val="10"/>
        <w:ind w:firstLine="480"/>
      </w:pPr>
      <w:r>
        <w:t>（1）按照环评法相关要求和《建设项目环境保护条例》第二章12条的规定:建设项目环境影响报告书、环境影响报告表经批准后，建设项目的性质、规模、地点、采用的生产工艺或者防治污染、防止生态破坏的措施发生重大变动的，建设单位应当重新报批建设项目环境影响报告书、环境影响报告表；</w:t>
      </w:r>
    </w:p>
    <w:p>
      <w:pPr>
        <w:pStyle w:val="10"/>
        <w:ind w:firstLine="480"/>
      </w:pPr>
      <w:r>
        <w:t>（2）路线摆动时应尽可能减少占用农田</w:t>
      </w:r>
      <w:r>
        <w:rPr>
          <w:rFonts w:hint="eastAsia"/>
        </w:rPr>
        <w:t>；</w:t>
      </w:r>
    </w:p>
    <w:p>
      <w:pPr>
        <w:pStyle w:val="10"/>
        <w:ind w:firstLine="480"/>
      </w:pPr>
      <w:r>
        <w:t>（3）项目摆动时，应避绕沿线城镇规划区以及集中的大型村庄以避免大量拆迁。</w:t>
      </w:r>
    </w:p>
    <w:p>
      <w:pPr>
        <w:pStyle w:val="8"/>
        <w:rPr>
          <w:b/>
          <w:bCs/>
        </w:rPr>
      </w:pPr>
      <w:bookmarkStart w:id="406" w:name="_Toc18344"/>
      <w:r>
        <w:rPr>
          <w:b/>
          <w:bCs/>
        </w:rPr>
        <w:t>下阶段设计中需要采取的环保措施和建议</w:t>
      </w:r>
      <w:bookmarkEnd w:id="406"/>
    </w:p>
    <w:p>
      <w:pPr>
        <w:pStyle w:val="9"/>
      </w:pPr>
      <w:bookmarkStart w:id="407" w:name="_Toc6435"/>
      <w:r>
        <w:t>生态环境保护措施</w:t>
      </w:r>
      <w:bookmarkEnd w:id="407"/>
    </w:p>
    <w:p>
      <w:pPr>
        <w:pStyle w:val="10"/>
        <w:ind w:firstLine="480"/>
      </w:pPr>
      <w:r>
        <w:rPr>
          <w:rFonts w:hint="eastAsia"/>
        </w:rPr>
        <w:t>（1）</w:t>
      </w:r>
      <w:r>
        <w:t>耕地保护措施</w:t>
      </w:r>
    </w:p>
    <w:p>
      <w:pPr>
        <w:pStyle w:val="10"/>
        <w:ind w:firstLine="480"/>
      </w:pPr>
      <w:r>
        <w:rPr>
          <w:rFonts w:hint="eastAsia"/>
        </w:rPr>
        <w:t>1）</w:t>
      </w:r>
      <w:r>
        <w:t>工程设计中确保满足工程要求与减少建设用地的合理统一，尽最大可能减少对耕地的占用。设计阶段严格按照《公路建设项目用地指标》(建标[1999]278号)的规定，对路基、桥涵、交叉、防护等用地面积进行优化设计，在满足工程要求的前提下采用用地指标和建筑的低值设计，尽量减少对土地资源的占用。</w:t>
      </w:r>
    </w:p>
    <w:p>
      <w:pPr>
        <w:pStyle w:val="10"/>
        <w:ind w:firstLine="480"/>
      </w:pPr>
      <w:r>
        <w:rPr>
          <w:rFonts w:hint="eastAsia"/>
        </w:rPr>
        <w:t>2）</w:t>
      </w:r>
      <w:r>
        <w:t>进一步减少占地的建议</w:t>
      </w:r>
    </w:p>
    <w:p>
      <w:pPr>
        <w:pStyle w:val="10"/>
        <w:ind w:firstLine="480"/>
      </w:pPr>
      <w:r>
        <w:rPr>
          <w:rFonts w:hint="eastAsia"/>
        </w:rPr>
        <w:t>①</w:t>
      </w:r>
      <w:r>
        <w:t>认真贯彻交公路发[2004]164号文《关于在公路建设中实行最严格的耕地保护制度的若干意见》，对路线方案做深入、细致的研究，结合用地情况和占用农田情况进行多方案论证、比选，确定合理的线位方案；在工程量增加不大的情况下，应优先选择能够最大限度节约土地、保护耕地的方案，要充分利用荒山、荒坡地、废弃地、劣质地。</w:t>
      </w:r>
    </w:p>
    <w:p>
      <w:pPr>
        <w:pStyle w:val="10"/>
        <w:ind w:firstLine="480"/>
      </w:pPr>
      <w:r>
        <w:rPr>
          <w:rFonts w:hint="eastAsia"/>
        </w:rPr>
        <w:t>②</w:t>
      </w:r>
      <w:r>
        <w:t>路线应尽量绕避基本农田。对于通过农田及经济作物区的填方路堤地段，应在技术经济比较的基础上，尽量考虑“以桥代路”等方案比选，采用最小的占地方案，以减少占用耕地数量。</w:t>
      </w:r>
    </w:p>
    <w:p>
      <w:pPr>
        <w:pStyle w:val="10"/>
        <w:ind w:firstLine="480"/>
      </w:pPr>
      <w:r>
        <w:rPr>
          <w:rFonts w:hint="eastAsia"/>
        </w:rPr>
        <w:t>③</w:t>
      </w:r>
      <w:r>
        <w:t>在环境与技术条件可能的情况下，应尽量降低路堤填土高度。</w:t>
      </w:r>
    </w:p>
    <w:p>
      <w:pPr>
        <w:pStyle w:val="10"/>
        <w:ind w:firstLine="480"/>
      </w:pPr>
      <w:r>
        <w:rPr>
          <w:rFonts w:hint="eastAsia"/>
        </w:rPr>
        <w:t>④</w:t>
      </w:r>
      <w:r>
        <w:t>在路基、交叉工程土石方调配中，应在技术经济比较的基础上，尽量移挖作填和集中弃土，并与改田、造地相结合，以减少施工方和弃渣场用地。</w:t>
      </w:r>
    </w:p>
    <w:p>
      <w:pPr>
        <w:pStyle w:val="10"/>
        <w:ind w:firstLine="480"/>
      </w:pPr>
      <w:r>
        <w:rPr>
          <w:rFonts w:hint="eastAsia"/>
        </w:rPr>
        <w:t>⑤</w:t>
      </w:r>
      <w:r>
        <w:t>靠近立交或辅助设施路段的施工场地、施工营地等临时占地尽量选择在互通立交或服务区、停车区等永久占地范围内，以减少这部分临时占地量，有效保护沿线的耕地。</w:t>
      </w:r>
    </w:p>
    <w:p>
      <w:pPr>
        <w:pStyle w:val="10"/>
        <w:ind w:firstLine="480"/>
      </w:pPr>
      <w:r>
        <w:rPr>
          <w:rFonts w:hint="eastAsia"/>
        </w:rPr>
        <w:t>⑥</w:t>
      </w:r>
      <w:r>
        <w:t>本着保护土地资源的原则，合理设计临时施工便道，减少临时施工便道占地。</w:t>
      </w:r>
    </w:p>
    <w:p>
      <w:pPr>
        <w:pStyle w:val="10"/>
        <w:ind w:firstLine="480"/>
      </w:pPr>
      <w:r>
        <w:rPr>
          <w:rFonts w:hint="eastAsia"/>
        </w:rPr>
        <w:t>3）</w:t>
      </w:r>
      <w:r>
        <w:t>保护表土及土地复垦</w:t>
      </w:r>
    </w:p>
    <w:p>
      <w:pPr>
        <w:pStyle w:val="10"/>
        <w:ind w:firstLine="480"/>
      </w:pPr>
      <w:r>
        <w:t>在路基施工、临时施工场地施工前，施工单位应将表层耕作层土壤进行剥离、搬运、集中堆放，在施工结束之后，可以作为用地范围内绿化用土，或作为临时施工用地土地的恢复和复垦。</w:t>
      </w:r>
    </w:p>
    <w:p>
      <w:pPr>
        <w:pStyle w:val="10"/>
        <w:ind w:firstLine="480"/>
        <w:rPr>
          <w:bCs/>
        </w:rPr>
      </w:pPr>
      <w:r>
        <w:rPr>
          <w:rFonts w:hint="eastAsia"/>
          <w:bCs/>
        </w:rPr>
        <w:t>（2）</w:t>
      </w:r>
      <w:r>
        <w:rPr>
          <w:bCs/>
        </w:rPr>
        <w:t>林地保护措施</w:t>
      </w:r>
    </w:p>
    <w:p>
      <w:pPr>
        <w:pStyle w:val="10"/>
        <w:ind w:firstLine="480"/>
        <w:rPr>
          <w:bCs/>
        </w:rPr>
      </w:pPr>
      <w:r>
        <w:rPr>
          <w:bCs/>
        </w:rPr>
        <w:t>拟建项目林地</w:t>
      </w:r>
      <w:r>
        <w:rPr>
          <w:rFonts w:hint="eastAsia"/>
          <w:bCs/>
        </w:rPr>
        <w:t>占地范围</w:t>
      </w:r>
      <w:r>
        <w:rPr>
          <w:bCs/>
        </w:rPr>
        <w:t>，其施工方案(包括施工场地、施工便道的选址等)必须充分考虑环保要求；</w:t>
      </w:r>
    </w:p>
    <w:p>
      <w:pPr>
        <w:pStyle w:val="10"/>
        <w:ind w:firstLine="480"/>
        <w:rPr>
          <w:bCs/>
        </w:rPr>
      </w:pPr>
      <w:r>
        <w:rPr>
          <w:bCs/>
        </w:rPr>
        <w:t>在永久用地范围内采用乔灌草结合，即选用乔木绿化植物的同时选用部分生长密度较高的常绿阔叶灌木作为林下植物，全面绿化，不留空地，以防止外来物种入侵。同时绿化植物禁止使用外来种。</w:t>
      </w:r>
    </w:p>
    <w:p>
      <w:pPr>
        <w:pStyle w:val="10"/>
        <w:ind w:firstLine="480"/>
        <w:rPr>
          <w:bCs/>
        </w:rPr>
      </w:pPr>
      <w:r>
        <w:rPr>
          <w:bCs/>
        </w:rPr>
        <w:t>在公路两侧，应依据自然景观进行绿化，帮助野生动物尽早适应该人造“景观”。</w:t>
      </w:r>
    </w:p>
    <w:p>
      <w:pPr>
        <w:pStyle w:val="10"/>
        <w:ind w:firstLine="480"/>
        <w:rPr>
          <w:rFonts w:eastAsia="Times New Roman"/>
          <w:bCs/>
        </w:rPr>
      </w:pPr>
      <w:r>
        <w:rPr>
          <w:rFonts w:hint="eastAsia"/>
          <w:bCs/>
          <w:lang w:val="zh-TW"/>
        </w:rPr>
        <w:t>（</w:t>
      </w:r>
      <w:r>
        <w:rPr>
          <w:rFonts w:hint="eastAsia"/>
          <w:bCs/>
          <w:lang w:val="en-US" w:eastAsia="zh-CN"/>
        </w:rPr>
        <w:t>3</w:t>
      </w:r>
      <w:r>
        <w:rPr>
          <w:rFonts w:hint="eastAsia"/>
          <w:bCs/>
          <w:lang w:val="zh-TW"/>
        </w:rPr>
        <w:t>）</w:t>
      </w:r>
      <w:r>
        <w:rPr>
          <w:bCs/>
          <w:lang w:val="zh-TW" w:eastAsia="zh-TW"/>
        </w:rPr>
        <w:t>临时占地恢复措施</w:t>
      </w:r>
    </w:p>
    <w:p>
      <w:pPr>
        <w:pStyle w:val="10"/>
        <w:ind w:firstLine="480"/>
        <w:rPr>
          <w:rFonts w:eastAsia="Times New Roman"/>
        </w:rPr>
      </w:pPr>
      <w:r>
        <w:rPr>
          <w:lang w:val="zh-TW" w:eastAsia="zh-TW"/>
        </w:rPr>
        <w:t>针对本项目施工期临时占地类型，提出以下临时占地环境保护和恢复措施</w:t>
      </w:r>
      <w:r>
        <w:rPr>
          <w:vertAlign w:val="subscript"/>
          <w:lang w:val="zh-TW" w:eastAsia="zh-TW"/>
        </w:rPr>
        <w:t>：</w:t>
      </w:r>
    </w:p>
    <w:p>
      <w:pPr>
        <w:pStyle w:val="10"/>
        <w:ind w:firstLine="480"/>
        <w:rPr>
          <w:rFonts w:eastAsia="Times New Roman"/>
        </w:rPr>
      </w:pPr>
      <w:r>
        <w:rPr>
          <w:rFonts w:hint="eastAsia"/>
        </w:rPr>
        <w:t>1）</w:t>
      </w:r>
      <w:r>
        <w:rPr>
          <w:lang w:val="zh-TW" w:eastAsia="zh-TW"/>
        </w:rPr>
        <w:t>施工场地生态恢复措施</w:t>
      </w:r>
    </w:p>
    <w:p>
      <w:pPr>
        <w:pStyle w:val="10"/>
        <w:ind w:firstLine="480"/>
        <w:rPr>
          <w:rFonts w:eastAsia="Times New Roman"/>
        </w:rPr>
      </w:pPr>
      <w:r>
        <w:rPr>
          <w:lang w:val="zh-TW" w:eastAsia="zh-TW"/>
        </w:rPr>
        <w:t>施工场地用地中，一般有部分土地硬化用作施工材料堆场，其余土地由于长期受到施工机械的碾压，土壤严重板结，难以恢复为耕地，建议在对地表进行清理后，将剥离的表土回覆，进行土地平整和土壤翻松后播撒苜蓿、白三叶等种子，进行土壤改良，先恢复为草地，</w:t>
      </w:r>
      <w:r>
        <w:t>2-3</w:t>
      </w:r>
      <w:r>
        <w:rPr>
          <w:lang w:val="zh-TW" w:eastAsia="zh-TW"/>
        </w:rPr>
        <w:t>年后再恢复为耕地。</w:t>
      </w:r>
    </w:p>
    <w:p>
      <w:pPr>
        <w:pStyle w:val="10"/>
        <w:ind w:firstLine="480"/>
        <w:rPr>
          <w:rFonts w:eastAsia="Times New Roman"/>
        </w:rPr>
      </w:pPr>
      <w:r>
        <w:rPr>
          <w:rFonts w:hint="eastAsia"/>
        </w:rPr>
        <w:t>2）</w:t>
      </w:r>
      <w:r>
        <w:rPr>
          <w:lang w:val="zh-TW" w:eastAsia="zh-TW"/>
        </w:rPr>
        <w:t>施工便道生态恢复措施</w:t>
      </w:r>
    </w:p>
    <w:p>
      <w:pPr>
        <w:pStyle w:val="10"/>
        <w:ind w:firstLine="480"/>
        <w:rPr>
          <w:rFonts w:eastAsia="Times New Roman"/>
        </w:rPr>
      </w:pPr>
      <w:r>
        <w:rPr>
          <w:lang w:val="zh-TW" w:eastAsia="zh-TW"/>
        </w:rPr>
        <w:t>施工完成后，根据地方交通规划，部分道路可改造成地方道路，纳入地方交通体系中，剩余的部分将其生态恢复或恢复原貌。</w:t>
      </w:r>
    </w:p>
    <w:p>
      <w:pPr>
        <w:pStyle w:val="10"/>
        <w:ind w:firstLine="480"/>
        <w:rPr>
          <w:rFonts w:eastAsia="Times New Roman"/>
        </w:rPr>
      </w:pPr>
      <w:r>
        <w:rPr>
          <w:lang w:val="zh-TW" w:eastAsia="zh-TW"/>
        </w:rPr>
        <w:t>在便道开挖中，</w:t>
      </w:r>
      <w:r>
        <w:rPr>
          <w:rFonts w:hint="eastAsia"/>
          <w:lang w:val="zh-TW" w:eastAsia="zh-TW"/>
        </w:rPr>
        <w:t>应</w:t>
      </w:r>
      <w:r>
        <w:rPr>
          <w:lang w:val="zh-TW" w:eastAsia="zh-TW"/>
        </w:rPr>
        <w:t>加强施工便道挡护措施，防止土、石渣泄入河流和农田，并对开挖产生的土质边坡及时采取撒草籽等植物防护措施，以防止施工期间产生的水土流失。在施工结束后，对所有新建的施工便道和改建的道路裸露的土质路基边坡采取撒草籽予以防护，根据沿线实际情况将施工便道作为民用道路交由地方利用，其余施工便道的土地生态恢复采用进行翻松、平整后，进行造地生态恢复。</w:t>
      </w:r>
    </w:p>
    <w:p>
      <w:pPr>
        <w:pStyle w:val="10"/>
        <w:ind w:firstLine="480"/>
        <w:rPr>
          <w:rFonts w:eastAsia="Times New Roman"/>
        </w:rPr>
      </w:pPr>
      <w:r>
        <w:rPr>
          <w:lang w:val="zh-TW" w:eastAsia="zh-TW"/>
        </w:rPr>
        <w:t>施工便道在修建过程中考虑了衔接原有排灌系统的桥涵措施，拆除便道的桥涵工程后即可恢复原状，故不考虑单独设置排灌系统。利用原有道路系统，衔接原有道路系统的施工便道可不进行土地生态恢复。</w:t>
      </w:r>
    </w:p>
    <w:p>
      <w:pPr>
        <w:pStyle w:val="10"/>
        <w:ind w:firstLine="480"/>
        <w:rPr>
          <w:lang w:val="zh-TW" w:eastAsia="zh-TW"/>
        </w:rPr>
      </w:pPr>
      <w:r>
        <w:rPr>
          <w:rFonts w:hint="eastAsia"/>
        </w:rPr>
        <w:t>3）</w:t>
      </w:r>
      <w:r>
        <w:rPr>
          <w:lang w:val="zh-TW" w:eastAsia="zh-TW"/>
        </w:rPr>
        <w:t>弃土场占地的防护和复垦措施</w:t>
      </w:r>
    </w:p>
    <w:p>
      <w:pPr>
        <w:pStyle w:val="10"/>
        <w:ind w:firstLine="480"/>
        <w:rPr>
          <w:lang w:val="zh-TW" w:eastAsia="zh-TW"/>
        </w:rPr>
      </w:pPr>
      <w:r>
        <w:rPr>
          <w:lang w:val="zh-TW" w:eastAsia="zh-TW"/>
        </w:rPr>
        <w:t>防护措施：弃土场和表土堆放的防护措施具体见水土保持措施内容。</w:t>
      </w:r>
    </w:p>
    <w:p>
      <w:pPr>
        <w:pStyle w:val="10"/>
        <w:ind w:firstLine="480"/>
        <w:rPr>
          <w:rFonts w:eastAsia="Times New Roman"/>
        </w:rPr>
      </w:pPr>
      <w:r>
        <w:rPr>
          <w:lang w:val="zh-TW" w:eastAsia="zh-TW"/>
        </w:rPr>
        <w:t>复垦措施：对弃土场，先采用坡面植被防护，经土地整治后按原地类进行恢复。此外，在实施各</w:t>
      </w:r>
      <w:r>
        <w:rPr>
          <w:rFonts w:hint="eastAsia"/>
          <w:lang w:val="zh-TW" w:eastAsia="zh-TW"/>
        </w:rPr>
        <w:t>弃</w:t>
      </w:r>
      <w:r>
        <w:rPr>
          <w:lang w:val="zh-TW" w:eastAsia="zh-TW"/>
        </w:rPr>
        <w:t>土场的恢复利用时，建议建设单位征求当地政府和居民的意见，避免造成生态恢复的不利影响；严禁将弃土场作为生活垃圾堆放场、填埋场使用。</w:t>
      </w:r>
    </w:p>
    <w:p>
      <w:pPr>
        <w:pStyle w:val="10"/>
        <w:ind w:firstLine="480"/>
        <w:rPr>
          <w:lang w:val="zh-TW" w:eastAsia="zh-TW"/>
        </w:rPr>
      </w:pPr>
      <w:r>
        <w:rPr>
          <w:rFonts w:hint="eastAsia"/>
        </w:rPr>
        <w:t>4）</w:t>
      </w:r>
      <w:r>
        <w:rPr>
          <w:lang w:val="zh-TW" w:eastAsia="zh-TW"/>
        </w:rPr>
        <w:t>临时堆土区生态恢复措施</w:t>
      </w:r>
    </w:p>
    <w:p>
      <w:pPr>
        <w:pStyle w:val="10"/>
        <w:ind w:firstLine="480"/>
        <w:rPr>
          <w:rFonts w:eastAsia="Times New Roman"/>
        </w:rPr>
      </w:pPr>
      <w:r>
        <w:rPr>
          <w:lang w:val="zh-TW" w:eastAsia="zh-TW"/>
        </w:rPr>
        <w:t>由于临时堆土区仅作为表土的临时堆放使用，无硬化施工，因此在堆土利用后，可对土壤进行翻松后直接进行生态恢复。</w:t>
      </w:r>
    </w:p>
    <w:p>
      <w:pPr>
        <w:pStyle w:val="10"/>
        <w:ind w:firstLine="480"/>
        <w:rPr>
          <w:lang w:val="zh-TW" w:eastAsia="zh-TW"/>
        </w:rPr>
      </w:pPr>
      <w:r>
        <w:rPr>
          <w:rFonts w:hint="eastAsia"/>
        </w:rPr>
        <w:t>5）</w:t>
      </w:r>
      <w:r>
        <w:rPr>
          <w:lang w:val="zh-TW" w:eastAsia="zh-TW"/>
        </w:rPr>
        <w:t>其他临时占地的恢复措施</w:t>
      </w:r>
    </w:p>
    <w:p>
      <w:pPr>
        <w:pStyle w:val="10"/>
        <w:ind w:firstLine="480"/>
        <w:rPr>
          <w:lang w:val="zh-TW"/>
        </w:rPr>
      </w:pPr>
      <w:r>
        <w:rPr>
          <w:lang w:val="zh-TW" w:eastAsia="zh-TW"/>
        </w:rPr>
        <w:t>除弃土场、施工便道、施工场地外，其他临时用地可结合两侧的绿化带建设进行恢复。建议在对地表进行清理后，进行土地平整和土壤翻松后播撒苜蓿、白三叶等种子，进行土壤改良，先恢复为草地，</w:t>
      </w:r>
      <w:r>
        <w:t>2-3</w:t>
      </w:r>
      <w:r>
        <w:rPr>
          <w:lang w:val="zh-TW" w:eastAsia="zh-TW"/>
        </w:rPr>
        <w:t>年后再恢复为耕地。</w:t>
      </w:r>
    </w:p>
    <w:p>
      <w:pPr>
        <w:pStyle w:val="9"/>
        <w:rPr>
          <w:lang w:val="zh-TW"/>
        </w:rPr>
      </w:pPr>
      <w:bookmarkStart w:id="408" w:name="_Toc640"/>
      <w:r>
        <w:rPr>
          <w:lang w:val="zh-TW"/>
        </w:rPr>
        <w:t>公路景观与绿化设计</w:t>
      </w:r>
      <w:bookmarkEnd w:id="408"/>
    </w:p>
    <w:p>
      <w:pPr>
        <w:pStyle w:val="10"/>
        <w:ind w:firstLine="480"/>
        <w:rPr>
          <w:lang w:val="zh-TW"/>
        </w:rPr>
      </w:pPr>
      <w:r>
        <w:rPr>
          <w:rFonts w:hint="eastAsia"/>
          <w:lang w:val="zh-TW"/>
        </w:rPr>
        <w:t>本项目景观设计主要包括路侧绿化和互通区绿化，景观设计以乔、灌木列植，草皮打底，颜色、高度、花期各异的乔灌木组合，有疏有密、错落有致。认真做好植物密度和高度控制，减少人为景观设计的痕迹，打造宽松、亲和、开敞、灵静、尺度宜人的绿化空间</w:t>
      </w:r>
      <w:r>
        <w:rPr>
          <w:lang w:val="zh-TW"/>
        </w:rPr>
        <w:t>。为此，建议采取的措施及技术手段如下：</w:t>
      </w:r>
    </w:p>
    <w:p>
      <w:pPr>
        <w:pStyle w:val="10"/>
        <w:ind w:firstLine="480"/>
        <w:rPr>
          <w:lang w:val="zh-TW"/>
        </w:rPr>
      </w:pPr>
      <w:r>
        <w:rPr>
          <w:lang w:val="zh-TW"/>
        </w:rPr>
        <w:t>（1）建议委托有专业资质的单位开展公路绿化设计和景观设计工作；</w:t>
      </w:r>
    </w:p>
    <w:p>
      <w:pPr>
        <w:pStyle w:val="10"/>
        <w:ind w:firstLine="480"/>
        <w:rPr>
          <w:lang w:val="zh-TW"/>
        </w:rPr>
      </w:pPr>
      <w:r>
        <w:rPr>
          <w:lang w:val="zh-TW"/>
        </w:rPr>
        <w:t>（2）总体线型通畅，顺应地形地貌，不要过分追求高标准，而破坏自然景观，并从区域视觉景观的角度尽可能增加公路工程的隐蔽性；</w:t>
      </w:r>
    </w:p>
    <w:p>
      <w:pPr>
        <w:pStyle w:val="10"/>
        <w:ind w:firstLine="480"/>
        <w:rPr>
          <w:lang w:val="zh-TW"/>
        </w:rPr>
      </w:pPr>
      <w:r>
        <w:rPr>
          <w:lang w:val="zh-TW"/>
        </w:rPr>
        <w:t xml:space="preserve">（3）绿化设计应尽量与周边自然景观相融，注意景观美学保护； </w:t>
      </w:r>
    </w:p>
    <w:p>
      <w:pPr>
        <w:pStyle w:val="10"/>
        <w:ind w:firstLine="480"/>
        <w:rPr>
          <w:lang w:val="zh-TW"/>
        </w:rPr>
      </w:pPr>
      <w:r>
        <w:rPr>
          <w:lang w:val="zh-TW"/>
        </w:rPr>
        <w:t>（4）路基边坡设计在保证工程安全的基础上尽量采用植物防护，同时在植物选择时应注意以下原则：</w:t>
      </w:r>
    </w:p>
    <w:p>
      <w:pPr>
        <w:pStyle w:val="10"/>
        <w:ind w:firstLine="480"/>
        <w:rPr>
          <w:lang w:val="zh-TW"/>
        </w:rPr>
      </w:pPr>
      <w:r>
        <w:rPr>
          <w:rFonts w:hint="eastAsia" w:ascii="宋体" w:hAnsi="宋体" w:cs="宋体"/>
          <w:lang w:val="zh-TW"/>
        </w:rPr>
        <w:t>①</w:t>
      </w:r>
      <w:r>
        <w:rPr>
          <w:lang w:val="zh-TW"/>
        </w:rPr>
        <w:t>以自然式栽植为主；</w:t>
      </w:r>
    </w:p>
    <w:p>
      <w:pPr>
        <w:pStyle w:val="10"/>
        <w:ind w:firstLine="480"/>
        <w:rPr>
          <w:lang w:val="zh-TW"/>
        </w:rPr>
      </w:pPr>
      <w:r>
        <w:rPr>
          <w:rFonts w:hint="eastAsia" w:ascii="宋体" w:hAnsi="宋体" w:cs="宋体"/>
          <w:lang w:val="zh-TW"/>
        </w:rPr>
        <w:t>②</w:t>
      </w:r>
      <w:r>
        <w:rPr>
          <w:lang w:val="zh-TW"/>
        </w:rPr>
        <w:t>以植草为主，结合栽植乔灌木；</w:t>
      </w:r>
    </w:p>
    <w:p>
      <w:pPr>
        <w:pStyle w:val="10"/>
        <w:ind w:firstLine="480"/>
        <w:rPr>
          <w:lang w:val="zh-TW"/>
        </w:rPr>
      </w:pPr>
      <w:r>
        <w:rPr>
          <w:rFonts w:hint="eastAsia" w:ascii="宋体" w:hAnsi="宋体" w:cs="宋体"/>
          <w:lang w:val="zh-TW"/>
        </w:rPr>
        <w:t>③</w:t>
      </w:r>
      <w:r>
        <w:rPr>
          <w:lang w:val="zh-TW"/>
        </w:rPr>
        <w:t>草种及树种选择遵循“适地适树”的原则。</w:t>
      </w:r>
    </w:p>
    <w:p>
      <w:pPr>
        <w:pStyle w:val="9"/>
        <w:rPr>
          <w:lang w:val="zh-TW"/>
        </w:rPr>
      </w:pPr>
      <w:bookmarkStart w:id="409" w:name="_Toc23154"/>
      <w:r>
        <w:rPr>
          <w:lang w:val="zh-TW"/>
        </w:rPr>
        <w:t>防治地质灾害</w:t>
      </w:r>
      <w:bookmarkEnd w:id="409"/>
    </w:p>
    <w:p>
      <w:pPr>
        <w:pStyle w:val="10"/>
        <w:ind w:firstLine="480"/>
        <w:rPr>
          <w:lang w:val="zh-TW"/>
        </w:rPr>
      </w:pPr>
      <w:r>
        <w:rPr>
          <w:lang w:val="zh-TW"/>
        </w:rPr>
        <w:t>切实做好软土路基不良地质路段的防治工作，预防地质灾害的发生。施工阶段应根据实际情况采取各项不同的防治措施。</w:t>
      </w:r>
      <w:r>
        <w:rPr>
          <w:rFonts w:hint="eastAsia"/>
          <w:lang w:val="zh-TW"/>
        </w:rPr>
        <w:t>根据设计方案，本项目区内无不良地质，特殊性岩土主要为填土和软（弱）土。</w:t>
      </w:r>
    </w:p>
    <w:p>
      <w:pPr>
        <w:pStyle w:val="10"/>
        <w:ind w:firstLine="480"/>
        <w:rPr>
          <w:lang w:val="zh-TW"/>
        </w:rPr>
      </w:pPr>
      <w:r>
        <w:rPr>
          <w:rFonts w:hint="eastAsia"/>
          <w:lang w:val="zh-TW"/>
        </w:rPr>
        <w:t>（1）填土</w:t>
      </w:r>
    </w:p>
    <w:p>
      <w:pPr>
        <w:pStyle w:val="10"/>
        <w:ind w:firstLine="480"/>
        <w:rPr>
          <w:lang w:val="zh-TW"/>
        </w:rPr>
      </w:pPr>
      <w:r>
        <w:rPr>
          <w:rFonts w:hint="eastAsia"/>
          <w:lang w:val="zh-TW"/>
        </w:rPr>
        <w:t>拟建场地填土零星分布于村庄、国道两侧、田埂、河埂等等，无大面积、深厚层填土分布，可在路基、构筑物清表时予以挖除，对工程影响不大。</w:t>
      </w:r>
    </w:p>
    <w:p>
      <w:pPr>
        <w:pStyle w:val="10"/>
        <w:ind w:firstLine="480"/>
        <w:rPr>
          <w:lang w:val="zh-TW"/>
        </w:rPr>
      </w:pPr>
      <w:r>
        <w:rPr>
          <w:rFonts w:hint="eastAsia"/>
          <w:lang w:val="zh-TW"/>
        </w:rPr>
        <w:t>（</w:t>
      </w:r>
      <w:r>
        <w:rPr>
          <w:rFonts w:eastAsia="PMingLiU"/>
          <w:lang w:val="zh-TW" w:eastAsia="zh-TW"/>
        </w:rPr>
        <w:t>2</w:t>
      </w:r>
      <w:r>
        <w:rPr>
          <w:rFonts w:hint="eastAsia"/>
          <w:lang w:val="zh-TW"/>
        </w:rPr>
        <w:t>）软（弱）土</w:t>
      </w:r>
    </w:p>
    <w:p>
      <w:pPr>
        <w:pStyle w:val="10"/>
        <w:ind w:firstLine="480"/>
        <w:rPr>
          <w:lang w:val="zh-TW"/>
        </w:rPr>
      </w:pPr>
      <w:r>
        <w:rPr>
          <w:rFonts w:hint="eastAsia"/>
          <w:lang w:val="zh-TW"/>
        </w:rPr>
        <w:t>本项目软（弱）土零星分布于山间盆地、河谷和穿越山两侧水塘附近，其成因主要为第四系全新统冲洪积成因，岩性主要为灰黄色、灰褐色等粉质黏土等，工程地质性质较差。土体厚度较薄（&lt;2m），可采取换填处理，对工程影响较小。</w:t>
      </w:r>
    </w:p>
    <w:p>
      <w:pPr>
        <w:pStyle w:val="7"/>
        <w:rPr>
          <w:b/>
          <w:bCs/>
          <w:sz w:val="28"/>
          <w:szCs w:val="28"/>
        </w:rPr>
      </w:pPr>
      <w:bookmarkStart w:id="410" w:name="_Toc20013"/>
      <w:bookmarkStart w:id="411" w:name="_Toc1852"/>
      <w:r>
        <w:rPr>
          <w:b/>
          <w:bCs/>
          <w:sz w:val="28"/>
          <w:szCs w:val="28"/>
          <w:lang w:val="zh-TW"/>
        </w:rPr>
        <w:t>施工期环境保护措施</w:t>
      </w:r>
      <w:bookmarkEnd w:id="410"/>
      <w:bookmarkEnd w:id="411"/>
    </w:p>
    <w:p>
      <w:pPr>
        <w:pStyle w:val="8"/>
        <w:rPr>
          <w:b/>
          <w:bCs/>
        </w:rPr>
      </w:pPr>
      <w:bookmarkStart w:id="412" w:name="_Toc6457"/>
      <w:r>
        <w:rPr>
          <w:b/>
          <w:bCs/>
        </w:rPr>
        <w:t>社会影响减缓措施</w:t>
      </w:r>
      <w:bookmarkEnd w:id="412"/>
    </w:p>
    <w:p>
      <w:pPr>
        <w:pStyle w:val="10"/>
        <w:ind w:firstLine="480"/>
      </w:pPr>
      <w:r>
        <w:t>加强宣传，通过电视等相关媒体的宣传，使工程沿线居民认识项目建设的重要性；通过在项目沿线设立告示牌和宣传栏，让受影响群众了解项目建设过程中产生的环境影响。做好征地、拆迁安置的政策，以取得广大群众的理解与支持。</w:t>
      </w:r>
    </w:p>
    <w:p>
      <w:pPr>
        <w:pStyle w:val="9"/>
      </w:pPr>
      <w:bookmarkStart w:id="413" w:name="_Toc14993"/>
      <w:r>
        <w:t>征地影响减缓措施</w:t>
      </w:r>
      <w:bookmarkEnd w:id="413"/>
    </w:p>
    <w:p>
      <w:pPr>
        <w:pStyle w:val="10"/>
        <w:ind w:firstLine="480"/>
      </w:pPr>
      <w:r>
        <w:t>（1）工程建设单位应严格按照《中华人民共和国土地管理法》进行征地和征地补偿工作；</w:t>
      </w:r>
    </w:p>
    <w:p>
      <w:pPr>
        <w:pStyle w:val="10"/>
        <w:ind w:firstLine="480"/>
      </w:pPr>
      <w:r>
        <w:t>（2）严格按照征地补偿标准给予补偿，对征用的耕地、林地等分别按照相应标准进行补偿，同时做好征地补偿安置工作，由政府负责被征地后农民的基本生活保障；加强补偿资金管理，保证落实到户。同时，有关监督部门加大对征地拆迁安置补偿资金的监督检查力度。从而确保拆迁工作顺利进行，保证被拆迁居民生活质量不下降。</w:t>
      </w:r>
    </w:p>
    <w:p>
      <w:pPr>
        <w:pStyle w:val="10"/>
        <w:ind w:firstLine="480"/>
      </w:pPr>
      <w:r>
        <w:t>（3）根据项目沿线实际情况，多方渠道解决失地农民的就业问题，如：由政府协调，就近安排在园区、镇办、私人企业工作；利用征地补偿费发展农村二、三产业，开办商铺、农村商业经济等；当地村委会或村民组织利用部分征地款，开办企业或建厂房租赁获取红利等。地方政府应给予一定优惠政策，加以扶持。</w:t>
      </w:r>
    </w:p>
    <w:p>
      <w:pPr>
        <w:pStyle w:val="9"/>
      </w:pPr>
      <w:bookmarkStart w:id="414" w:name="_Toc12161"/>
      <w:r>
        <w:t>拆迁影响缓解措施</w:t>
      </w:r>
      <w:bookmarkEnd w:id="414"/>
    </w:p>
    <w:p>
      <w:pPr>
        <w:pStyle w:val="10"/>
        <w:ind w:firstLine="480"/>
      </w:pPr>
      <w:r>
        <w:t>（1）工程建设单位应与道路沿线各级人民政府做好协调，坚持“统筹安排，充分协商，妥善安置”的原则，制定拆迁安置计划。拆迁安置应不降低拆迁居民的生活水平；</w:t>
      </w:r>
    </w:p>
    <w:p>
      <w:pPr>
        <w:pStyle w:val="10"/>
        <w:ind w:firstLine="480"/>
      </w:pPr>
      <w:r>
        <w:t>（2）建设单位聘请专业人员对拆迁房进行估价，政府在此基础上根据实际情况对安置补助费进行相应调整，务必保证拆迁户有屋可居，且居住水平应不低于拆迁之前；</w:t>
      </w:r>
    </w:p>
    <w:p>
      <w:pPr>
        <w:pStyle w:val="10"/>
        <w:ind w:firstLine="480"/>
      </w:pPr>
      <w:r>
        <w:t>（3）政府应做好拆迁和安置的衔接过渡工作，避免发生拆迁户没有安身之所、没有工作机会的情况。</w:t>
      </w:r>
    </w:p>
    <w:p>
      <w:pPr>
        <w:pStyle w:val="9"/>
      </w:pPr>
      <w:bookmarkStart w:id="415" w:name="_Toc25722"/>
      <w:r>
        <w:t>基础设施影响减缓措施</w:t>
      </w:r>
      <w:bookmarkEnd w:id="415"/>
    </w:p>
    <w:p>
      <w:pPr>
        <w:pStyle w:val="10"/>
        <w:ind w:firstLine="480"/>
      </w:pPr>
      <w:r>
        <w:t>（1）主体工程施工前，应首先根据设计文件对拟施工区域内路线压覆的现有排灌系统进行改移，以保证施工期内原有水系的畅通。施工过程中，不得随意压覆、堵塞农田沟渠，不得向农田沟渠中抛弃固体废物。因工程需要暂时封闭水系的，施工单位应事先告知周边村庄的居民，避免对农业生产产生不利影响。</w:t>
      </w:r>
    </w:p>
    <w:p>
      <w:pPr>
        <w:pStyle w:val="10"/>
        <w:ind w:firstLine="480"/>
      </w:pPr>
      <w:r>
        <w:t>（2）施工前应仔细调查施工区域内的电力、排水、通信等设施情况，与相关主管单位及时沟通，及时对相关设施进行改移，避免施工对基础设施造成破坏。</w:t>
      </w:r>
    </w:p>
    <w:p>
      <w:pPr>
        <w:pStyle w:val="9"/>
      </w:pPr>
      <w:bookmarkStart w:id="416" w:name="_Toc28196"/>
      <w:r>
        <w:t>交通阻隔影响减缓措施</w:t>
      </w:r>
      <w:bookmarkEnd w:id="416"/>
    </w:p>
    <w:p>
      <w:pPr>
        <w:pStyle w:val="10"/>
        <w:ind w:firstLine="480"/>
      </w:pPr>
      <w:r>
        <w:t>施工前制订施工期交通组织方案并提前向社会公示；现有道路施工采用</w:t>
      </w:r>
      <w:r>
        <w:rPr>
          <w:rFonts w:hint="eastAsia"/>
        </w:rPr>
        <w:t>保通设计、</w:t>
      </w:r>
      <w:r>
        <w:t>半幅封闭施工的方式，保证现有道路在施工期间的通行能力，减少道路交通中断的时间；施工期在跨越现有通道处设置人行和车行通道，方便施工期的人车通行。</w:t>
      </w:r>
    </w:p>
    <w:p>
      <w:pPr>
        <w:pStyle w:val="9"/>
      </w:pPr>
      <w:bookmarkStart w:id="417" w:name="_Toc27536"/>
      <w:r>
        <w:t>安全防护措施</w:t>
      </w:r>
      <w:bookmarkEnd w:id="417"/>
    </w:p>
    <w:p>
      <w:pPr>
        <w:pStyle w:val="10"/>
        <w:ind w:firstLine="480"/>
      </w:pPr>
      <w:r>
        <w:t>施工区域四周应以彩钢板或砖墙为材料修筑连续的围挡或围墙，将施工区域与周边区域隔离，并派专人值守和巡查，防止周边居民因误入施工区域而发生安全事故。</w:t>
      </w:r>
    </w:p>
    <w:p>
      <w:pPr>
        <w:pStyle w:val="9"/>
      </w:pPr>
      <w:bookmarkStart w:id="418" w:name="_Toc10110"/>
      <w:r>
        <w:t>文物保护措施</w:t>
      </w:r>
      <w:bookmarkEnd w:id="418"/>
    </w:p>
    <w:p>
      <w:pPr>
        <w:pStyle w:val="10"/>
        <w:ind w:firstLine="480"/>
      </w:pPr>
      <w:r>
        <w:t>拟建工程在施工过程中，如发现地下文物遗迹，根据国家有关文物法规，施工单位应保护好有关现场，及时通知文物部门进行抢救和处理，确保文物遗迹的安全和项目建设的顺利进行。</w:t>
      </w:r>
    </w:p>
    <w:p>
      <w:pPr>
        <w:pStyle w:val="8"/>
        <w:rPr>
          <w:b/>
          <w:bCs/>
        </w:rPr>
      </w:pPr>
      <w:bookmarkStart w:id="419" w:name="_Toc3281"/>
      <w:r>
        <w:rPr>
          <w:b/>
          <w:bCs/>
        </w:rPr>
        <w:t>生态环境保护减缓措施</w:t>
      </w:r>
      <w:bookmarkEnd w:id="419"/>
    </w:p>
    <w:p>
      <w:pPr>
        <w:pStyle w:val="10"/>
        <w:ind w:left="0" w:leftChars="0" w:firstLine="0" w:firstLineChars="0"/>
        <w:outlineLvl w:val="3"/>
        <w:rPr>
          <w:rFonts w:hint="default" w:eastAsia="宋体"/>
          <w:b/>
          <w:bCs/>
          <w:lang w:val="en-US" w:eastAsia="zh-CN"/>
        </w:rPr>
      </w:pPr>
      <w:bookmarkStart w:id="420" w:name="_Toc12406"/>
      <w:r>
        <w:rPr>
          <w:rFonts w:hint="eastAsia"/>
          <w:b/>
          <w:bCs/>
          <w:lang w:val="en-US" w:eastAsia="zh-CN"/>
        </w:rPr>
        <w:t>6.2.2.1 动植物保护措施</w:t>
      </w:r>
      <w:bookmarkEnd w:id="420"/>
    </w:p>
    <w:p>
      <w:pPr>
        <w:pStyle w:val="10"/>
        <w:ind w:firstLine="480"/>
        <w:rPr>
          <w:rFonts w:hint="default" w:eastAsia="宋体"/>
          <w:lang w:val="en-US"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植被保护</w:t>
      </w:r>
    </w:p>
    <w:p>
      <w:pPr>
        <w:pStyle w:val="10"/>
        <w:ind w:firstLine="480"/>
        <w:rPr>
          <w:rFonts w:hint="eastAsia" w:eastAsia="宋体"/>
          <w:lang w:val="en-US" w:eastAsia="zh-CN"/>
        </w:rPr>
      </w:pPr>
      <w:r>
        <w:rPr>
          <w:rFonts w:hint="eastAsia"/>
          <w:lang w:val="en-US" w:eastAsia="zh-CN"/>
        </w:rPr>
        <w:t>1）施工开始前，施工单位必须先与当地林业管理部门取得联系，协调有关施工场地、施工营地以及施工临时便道等问题，尽量减少对作业区周围的扰动以及对土壤和植被的破坏。</w:t>
      </w:r>
    </w:p>
    <w:p>
      <w:pPr>
        <w:pStyle w:val="10"/>
        <w:ind w:firstLine="480"/>
        <w:rPr>
          <w:rFonts w:hint="default" w:eastAsia="宋体"/>
          <w:lang w:val="en-US" w:eastAsia="zh-CN"/>
        </w:rPr>
      </w:pPr>
      <w:r>
        <w:rPr>
          <w:rFonts w:hint="eastAsia"/>
          <w:lang w:val="en-US" w:eastAsia="zh-CN"/>
        </w:rPr>
        <w:t>2）</w:t>
      </w:r>
      <w:r>
        <w:rPr>
          <w:rFonts w:hint="eastAsia"/>
          <w:lang w:val="en-US" w:eastAsia="zh-CN"/>
        </w:rPr>
        <w:tab/>
      </w:r>
      <w:r>
        <w:rPr>
          <w:rFonts w:hint="eastAsia"/>
          <w:lang w:val="en-US" w:eastAsia="zh-CN"/>
        </w:rPr>
        <w:t>在施工人员和机械进场前，对施工人员进行野生动植物保护等相关法律、法规和护林防火等知识宣传、培训与教育，提高施工人员对自然资源保护重要性的认识，初步掌握资源保护措施。同时，施工前明确作业带范围，严禁施工人员到非施工区域活动。</w:t>
      </w:r>
    </w:p>
    <w:p>
      <w:pPr>
        <w:pStyle w:val="10"/>
        <w:ind w:firstLine="480"/>
        <w:rPr>
          <w:rFonts w:hint="eastAsia" w:eastAsia="宋体"/>
          <w:lang w:val="en-US" w:eastAsia="zh-CN"/>
        </w:rPr>
      </w:pPr>
      <w:r>
        <w:rPr>
          <w:rFonts w:hint="eastAsia"/>
          <w:lang w:val="en-US" w:eastAsia="zh-CN"/>
        </w:rPr>
        <w:t>3）施工时注意保护桥梁下的自然植被，施工后在附近补种一定数量的本地乔木等并减少人为活动的痕迹，使杂草、灌木尽早恢复其自然景观，会更加有利于动物通行。</w:t>
      </w:r>
    </w:p>
    <w:p>
      <w:pPr>
        <w:pStyle w:val="10"/>
        <w:ind w:firstLine="480"/>
        <w:rPr>
          <w:rFonts w:hint="eastAsia" w:eastAsia="宋体"/>
          <w:lang w:val="en-US" w:eastAsia="zh-CN"/>
        </w:rPr>
      </w:pPr>
      <w:r>
        <w:rPr>
          <w:rFonts w:hint="eastAsia"/>
          <w:lang w:val="en-US" w:eastAsia="zh-CN"/>
        </w:rPr>
        <w:t>4）施工结束后，立即对施工区域进行原地貌恢复，做到不留废弃物、不露新土，做好与环境相协调的修整和美化工程。</w:t>
      </w:r>
    </w:p>
    <w:p>
      <w:pPr>
        <w:pStyle w:val="10"/>
        <w:ind w:firstLine="480"/>
        <w:rPr>
          <w:rFonts w:hint="default" w:eastAsia="宋体"/>
          <w:lang w:val="en-US" w:eastAsia="zh-CN"/>
        </w:rPr>
      </w:pPr>
      <w:r>
        <w:rPr>
          <w:rFonts w:hint="eastAsia"/>
          <w:lang w:eastAsia="zh-CN"/>
        </w:rPr>
        <w:t>（</w:t>
      </w:r>
      <w:r>
        <w:rPr>
          <w:rFonts w:hint="eastAsia"/>
          <w:lang w:val="en-US" w:eastAsia="zh-CN"/>
        </w:rPr>
        <w:t>2</w:t>
      </w:r>
      <w:r>
        <w:rPr>
          <w:rFonts w:hint="eastAsia"/>
          <w:lang w:eastAsia="zh-CN"/>
        </w:rPr>
        <w:t>）</w:t>
      </w:r>
      <w:r>
        <w:rPr>
          <w:rFonts w:hint="eastAsia"/>
          <w:lang w:val="en-US" w:eastAsia="zh-CN"/>
        </w:rPr>
        <w:t>野生动物保护</w:t>
      </w:r>
    </w:p>
    <w:p>
      <w:pPr>
        <w:pStyle w:val="10"/>
        <w:ind w:firstLine="480"/>
        <w:rPr>
          <w:rFonts w:hint="eastAsia" w:eastAsia="宋体"/>
          <w:lang w:val="en-US" w:eastAsia="zh-CN"/>
        </w:rPr>
      </w:pPr>
      <w:r>
        <w:rPr>
          <w:rFonts w:hint="eastAsia"/>
          <w:lang w:val="en-US" w:eastAsia="zh-CN"/>
        </w:rPr>
        <w:t>1）优化施工方案，抓紧施工进度，尽量缩短在林区内的施工作业时间，尽量减少打桩作业，减少对野生动物的惊扰。</w:t>
      </w:r>
    </w:p>
    <w:p>
      <w:pPr>
        <w:pStyle w:val="10"/>
        <w:ind w:firstLine="480"/>
        <w:rPr>
          <w:rFonts w:hint="eastAsia" w:eastAsia="宋体"/>
          <w:lang w:val="en-US" w:eastAsia="zh-CN"/>
        </w:rPr>
      </w:pPr>
      <w:r>
        <w:rPr>
          <w:rFonts w:hint="eastAsia"/>
          <w:lang w:val="en-US" w:eastAsia="zh-CN"/>
        </w:rPr>
        <w:t>2）施工期如遇到国家级重点保护动物，严禁伤害，未避免伤害可以适度驱赶；如遇到野生动物受到意外伤害，应立即与林业局野保部门联系，由专业人员处理。</w:t>
      </w:r>
    </w:p>
    <w:p>
      <w:pPr>
        <w:pStyle w:val="10"/>
        <w:ind w:firstLine="480"/>
        <w:rPr>
          <w:rFonts w:hint="eastAsia" w:eastAsia="宋体"/>
          <w:lang w:val="en-US" w:eastAsia="zh-CN"/>
        </w:rPr>
      </w:pPr>
      <w:r>
        <w:rPr>
          <w:rFonts w:hint="eastAsia"/>
          <w:lang w:val="en-US" w:eastAsia="zh-CN"/>
        </w:rPr>
        <w:t>3）优选施工时间，避开野生动物活动的高峰时段。早晨、黄昏和晚上是野生动物活动、繁殖和觅食的高峰时段，应避免在该时段进行打桩等高噪声作业。春末至初夏是猛禽的繁殖季节，4～6 月施工时，应尽量避免这段时间进行打桩等高噪声作业。</w:t>
      </w:r>
    </w:p>
    <w:p>
      <w:pPr>
        <w:pStyle w:val="10"/>
        <w:ind w:firstLine="480"/>
        <w:rPr>
          <w:rFonts w:hint="eastAsia" w:eastAsia="宋体"/>
          <w:lang w:val="en-US" w:eastAsia="zh-CN"/>
        </w:rPr>
      </w:pPr>
      <w:r>
        <w:rPr>
          <w:rFonts w:hint="eastAsia"/>
          <w:lang w:val="en-US" w:eastAsia="zh-CN"/>
        </w:rPr>
        <w:t>4）建议项目适当增加绿化树种高度、密度，以减少夜间车辆行驶灯光对野生动物的影响。</w:t>
      </w:r>
    </w:p>
    <w:p>
      <w:pPr>
        <w:pStyle w:val="10"/>
        <w:ind w:firstLine="480"/>
      </w:pPr>
      <w:r>
        <w:t>加强宣传教育，对施工人员进行环境教育、生物多样性保护教育及有关法律、法规的宣传教育。教育施工人员，遵守国家和地方的法律及相关规定，自觉保护好周边动植物，维护自然景观。</w:t>
      </w:r>
    </w:p>
    <w:p>
      <w:pPr>
        <w:pStyle w:val="9"/>
        <w:numPr>
          <w:ilvl w:val="3"/>
          <w:numId w:val="0"/>
        </w:numPr>
        <w:ind w:leftChars="0"/>
        <w:rPr>
          <w:rFonts w:hint="eastAsia" w:eastAsia="宋体"/>
          <w:lang w:eastAsia="zh-CN"/>
        </w:rPr>
      </w:pPr>
      <w:bookmarkStart w:id="421" w:name="_Toc11738"/>
      <w:r>
        <w:rPr>
          <w:rFonts w:hint="eastAsia"/>
          <w:lang w:val="en-US" w:eastAsia="zh-CN"/>
        </w:rPr>
        <w:t xml:space="preserve">6.2.2.2 </w:t>
      </w:r>
      <w:r>
        <w:t>临时占地</w:t>
      </w:r>
      <w:r>
        <w:rPr>
          <w:rFonts w:hint="eastAsia"/>
          <w:lang w:val="en-US" w:eastAsia="zh-CN"/>
        </w:rPr>
        <w:t>恢复措施</w:t>
      </w:r>
      <w:bookmarkEnd w:id="421"/>
    </w:p>
    <w:p>
      <w:pPr>
        <w:pStyle w:val="112"/>
        <w:ind w:firstLine="480"/>
        <w:rPr>
          <w:rFonts w:hint="eastAsia" w:eastAsia="宋体"/>
          <w:bCs/>
          <w:lang w:eastAsia="zh-CN"/>
        </w:rPr>
      </w:pPr>
      <w:r>
        <w:rPr>
          <w:rFonts w:hint="eastAsia"/>
          <w:bCs/>
        </w:rPr>
        <w:t>针对本项目施工期临时占地类型，提出以下临时占地环境保护和恢复措施</w:t>
      </w:r>
      <w:r>
        <w:rPr>
          <w:rFonts w:hint="eastAsia"/>
          <w:bCs/>
          <w:lang w:eastAsia="zh-CN"/>
        </w:rPr>
        <w:t>。</w:t>
      </w:r>
    </w:p>
    <w:p>
      <w:pPr>
        <w:pStyle w:val="112"/>
        <w:ind w:firstLine="480"/>
        <w:rPr>
          <w:bCs/>
        </w:rPr>
      </w:pPr>
      <w:r>
        <w:rPr>
          <w:rFonts w:hint="eastAsia"/>
          <w:bCs/>
        </w:rPr>
        <w:t>（1）施工场地生态恢复措施</w:t>
      </w:r>
    </w:p>
    <w:p>
      <w:pPr>
        <w:pStyle w:val="112"/>
        <w:numPr>
          <w:ilvl w:val="0"/>
          <w:numId w:val="0"/>
        </w:numPr>
        <w:ind w:firstLine="480" w:firstLineChars="200"/>
      </w:pPr>
      <w:r>
        <w:rPr>
          <w:rFonts w:hint="eastAsia"/>
        </w:rPr>
        <w:t>施工场地用地中，一般有部分土地硬化用作预制场和施工材料堆场，其余土地由于长期受到施工机械的碾压，土壤严重板结，难以恢复为耕地，建议在对地表进行清理后，将剥离的表土回覆，进行土地平整和土壤翻松后播撒苜蓿、白三叶等种子，进行土壤改良，先恢复为草地，2-3 年后再恢复为耕</w:t>
      </w:r>
      <w:r>
        <w:rPr>
          <w:rFonts w:hint="eastAsia"/>
          <w:lang w:val="en-US" w:eastAsia="zh-CN"/>
        </w:rPr>
        <w:t>地</w:t>
      </w:r>
      <w:r>
        <w:t>。</w:t>
      </w:r>
    </w:p>
    <w:p>
      <w:pPr>
        <w:pStyle w:val="112"/>
        <w:ind w:firstLine="480"/>
        <w:rPr>
          <w:bCs/>
        </w:rPr>
      </w:pPr>
      <w:r>
        <w:rPr>
          <w:rFonts w:hint="eastAsia"/>
          <w:bCs/>
        </w:rPr>
        <w:t>（2）施工便道生态恢复措施</w:t>
      </w:r>
    </w:p>
    <w:p>
      <w:pPr>
        <w:pStyle w:val="112"/>
        <w:numPr>
          <w:ilvl w:val="0"/>
          <w:numId w:val="0"/>
        </w:numPr>
        <w:ind w:firstLine="480" w:firstLineChars="200"/>
        <w:rPr>
          <w:rFonts w:hint="eastAsia" w:eastAsia="宋体"/>
          <w:lang w:eastAsia="zh-CN"/>
        </w:rPr>
      </w:pPr>
      <w:r>
        <w:rPr>
          <w:rFonts w:hint="eastAsia"/>
        </w:rPr>
        <w:t>施工完成后，根据地方交通规划，部分道路可改造成地方道路，纳入地方交通体系中，剩余的部分将其生态恢复或恢复原貌。在便道开挖中，占用耕地的表土交由农民住户就近使用到附近的耕地中，同时加强施工便道挡护措施，防止土、石渣泄入河流和农田，并对开挖产生的土质边坡及时采取撒草籽等植物防护措施，以防止施工期间产生的水土流失。在施工结束后，对所有新建的施工便道和改建的道路裸露的土质路基边坡采取撒草籽予以防护，根据沿线实际情况将施工便道作为民用道路交由地方利用，其余施工便道的土地生态恢复采用进行翻松、平整后，进行造地生态恢复</w:t>
      </w:r>
      <w:r>
        <w:rPr>
          <w:rFonts w:hint="eastAsia"/>
          <w:lang w:eastAsia="zh-CN"/>
        </w:rPr>
        <w:t>。</w:t>
      </w:r>
    </w:p>
    <w:p>
      <w:pPr>
        <w:pStyle w:val="112"/>
        <w:numPr>
          <w:ilvl w:val="0"/>
          <w:numId w:val="12"/>
        </w:numPr>
        <w:ind w:left="0" w:leftChars="0" w:firstLine="480" w:firstLineChars="200"/>
      </w:pPr>
      <w:r>
        <w:rPr>
          <w:rFonts w:hint="eastAsia"/>
          <w:lang w:eastAsia="zh-CN"/>
        </w:rPr>
        <w:t>弃土场占地的复垦措施</w:t>
      </w:r>
      <w:r>
        <w:t>。</w:t>
      </w:r>
    </w:p>
    <w:p>
      <w:pPr>
        <w:pStyle w:val="112"/>
        <w:numPr>
          <w:ilvl w:val="0"/>
          <w:numId w:val="0"/>
        </w:numPr>
        <w:ind w:firstLine="480" w:firstLineChars="200"/>
        <w:rPr>
          <w:rFonts w:hint="eastAsia"/>
          <w:lang w:eastAsia="zh-CN"/>
        </w:rPr>
      </w:pPr>
      <w:r>
        <w:rPr>
          <w:rFonts w:hint="eastAsia"/>
        </w:rPr>
        <w:t>对弃土场，先采用坡面植被防护，经土地整治后恢复为原有用地。此外，在实施各取弃土场的恢复利用时，建议建设单位征求当地政府和居民的意见，避免造成生态恢复的不利影响；严禁将取弃土场作为生活垃圾堆放场、填埋场使用</w:t>
      </w:r>
      <w:r>
        <w:rPr>
          <w:rFonts w:hint="eastAsia"/>
          <w:lang w:eastAsia="zh-CN"/>
        </w:rPr>
        <w:t>。</w:t>
      </w:r>
    </w:p>
    <w:p>
      <w:pPr>
        <w:pStyle w:val="112"/>
        <w:numPr>
          <w:ilvl w:val="0"/>
          <w:numId w:val="12"/>
        </w:numPr>
        <w:ind w:left="0" w:leftChars="0" w:firstLine="480" w:firstLineChars="200"/>
        <w:rPr>
          <w:rFonts w:hint="eastAsia"/>
          <w:lang w:eastAsia="zh-CN"/>
        </w:rPr>
      </w:pPr>
      <w:r>
        <w:rPr>
          <w:rFonts w:hint="eastAsia"/>
          <w:lang w:eastAsia="zh-CN"/>
        </w:rPr>
        <w:t>其他临时占地的恢复措施</w:t>
      </w:r>
    </w:p>
    <w:p>
      <w:pPr>
        <w:pStyle w:val="112"/>
        <w:numPr>
          <w:ilvl w:val="0"/>
          <w:numId w:val="0"/>
        </w:numPr>
        <w:ind w:firstLine="480" w:firstLineChars="200"/>
        <w:rPr>
          <w:rFonts w:hint="eastAsia" w:eastAsia="宋体"/>
          <w:lang w:eastAsia="zh-CN"/>
        </w:rPr>
      </w:pPr>
      <w:r>
        <w:rPr>
          <w:rFonts w:hint="eastAsia"/>
          <w:lang w:eastAsia="zh-CN"/>
        </w:rPr>
        <w:t>其他临时用地可结合两侧的绿化带建设进行恢复。建议在对地表进行清理后，进行土地平整和土壤翻松后播撒苜蓿、白三叶等种子，进行土壤改良，先恢复为草地，2-3 年后再恢复为耕地。</w:t>
      </w:r>
    </w:p>
    <w:p>
      <w:pPr>
        <w:pStyle w:val="8"/>
        <w:rPr>
          <w:b/>
          <w:bCs/>
        </w:rPr>
      </w:pPr>
      <w:bookmarkStart w:id="422" w:name="_Toc4901"/>
      <w:r>
        <w:rPr>
          <w:b/>
          <w:bCs/>
        </w:rPr>
        <w:t>地表水影响减缓措施</w:t>
      </w:r>
      <w:bookmarkEnd w:id="422"/>
    </w:p>
    <w:p>
      <w:pPr>
        <w:pStyle w:val="10"/>
        <w:ind w:firstLine="480"/>
      </w:pPr>
      <w:r>
        <w:t>根据《中华人民共和国水法》、《中华人民共和国水污染防治法》、《安徽省饮用水水源环境保护条例》、《关于加强公路规划和建设环境影响评价工作的通知》等的相关要求，施工期污染防治措施总体要求如下：</w:t>
      </w:r>
    </w:p>
    <w:p>
      <w:pPr>
        <w:pStyle w:val="10"/>
        <w:ind w:firstLine="480"/>
      </w:pPr>
      <w:r>
        <w:t>（1）禁止在江河、湖泊、水库、运河、渠道内弃置、堆放阻碍行洪的物体。</w:t>
      </w:r>
    </w:p>
    <w:p>
      <w:pPr>
        <w:pStyle w:val="10"/>
        <w:ind w:firstLine="480"/>
      </w:pPr>
      <w:r>
        <w:t>（2）禁止在水体清洗装贮过油类或者有毒污染物的车辆和容器。</w:t>
      </w:r>
    </w:p>
    <w:p>
      <w:pPr>
        <w:pStyle w:val="10"/>
        <w:ind w:firstLine="480"/>
      </w:pPr>
      <w:r>
        <w:t>（3）禁止向水体排放、倾倒工业废渣、生活垃圾和其他废弃物。</w:t>
      </w:r>
    </w:p>
    <w:p>
      <w:pPr>
        <w:pStyle w:val="10"/>
        <w:ind w:firstLine="480"/>
      </w:pPr>
      <w:r>
        <w:t>（4）禁止在江河、湖泊、运河、渠道、水库最高水位线以下的滩地和岸坡堆放、存贮固体废弃物和其他污染物。</w:t>
      </w:r>
    </w:p>
    <w:p>
      <w:pPr>
        <w:pStyle w:val="9"/>
      </w:pPr>
      <w:bookmarkStart w:id="423" w:name="_Toc18319"/>
      <w:r>
        <w:t>组织管理措施</w:t>
      </w:r>
      <w:bookmarkEnd w:id="423"/>
    </w:p>
    <w:p>
      <w:pPr>
        <w:pStyle w:val="10"/>
        <w:ind w:firstLine="480"/>
      </w:pPr>
      <w:r>
        <w:t>（1）合理安排施工作业时间</w:t>
      </w:r>
    </w:p>
    <w:p>
      <w:pPr>
        <w:pStyle w:val="10"/>
        <w:ind w:firstLine="480"/>
      </w:pPr>
      <w:r>
        <w:rPr>
          <w:rFonts w:hint="eastAsia"/>
        </w:rPr>
        <w:t>合理安排施工时间，以降低对周边居民的影响，如需夜间施工，需取得相关部门同意后才可施行。</w:t>
      </w:r>
    </w:p>
    <w:p>
      <w:pPr>
        <w:pStyle w:val="10"/>
        <w:ind w:firstLine="480"/>
      </w:pPr>
      <w:r>
        <w:t>（2）合理布置施工场地和施工营地</w:t>
      </w:r>
    </w:p>
    <w:p>
      <w:pPr>
        <w:pStyle w:val="10"/>
        <w:ind w:firstLine="480"/>
      </w:pPr>
      <w:r>
        <w:t>选址过程中应充分考虑排水需要，尽可能远离河流。</w:t>
      </w:r>
    </w:p>
    <w:p>
      <w:pPr>
        <w:pStyle w:val="10"/>
        <w:ind w:firstLine="480"/>
      </w:pPr>
      <w:r>
        <w:t>（3）制定严格的管理制度</w:t>
      </w:r>
    </w:p>
    <w:p>
      <w:pPr>
        <w:pStyle w:val="10"/>
        <w:ind w:firstLine="480"/>
      </w:pPr>
      <w:r>
        <w:t>施工过程中产生的废渣和矿建材料应运至河道之外指定地点堆放，严禁乱丢乱弃；生活垃圾应定点存放，定期由环卫部门清运，严禁乱丢乱弃</w:t>
      </w:r>
      <w:r>
        <w:rPr>
          <w:rFonts w:hint="eastAsia"/>
        </w:rPr>
        <w:t>；</w:t>
      </w:r>
      <w:r>
        <w:t>加强对施工机械的日常养护，杜绝燃油、机油的跑、冒、滴、漏现象；严禁向沿线的任何水体倾倒残余燃油、机油、施工废水和生活污水；桥梁施工完毕后，要清理施工现场，以防施工废料等随雨水进入河中；同时，桥涵施工要充分考虑防洪、防涝需要，不得妨碍沿线地区行洪、排涝、灌溉、水产养殖的正常进行，必须保证沟渠畅通。</w:t>
      </w:r>
    </w:p>
    <w:p>
      <w:pPr>
        <w:pStyle w:val="10"/>
        <w:ind w:firstLine="480"/>
      </w:pPr>
      <w:r>
        <w:t>（4）准备必要的防护物资</w:t>
      </w:r>
    </w:p>
    <w:p>
      <w:pPr>
        <w:pStyle w:val="10"/>
        <w:ind w:firstLine="480"/>
      </w:pPr>
      <w:r>
        <w:t>施工材料堆场应配备有防雨篷布等遮盖物品，防止雨水冲刷。</w:t>
      </w:r>
    </w:p>
    <w:p>
      <w:pPr>
        <w:pStyle w:val="10"/>
        <w:ind w:firstLine="480"/>
      </w:pPr>
      <w:r>
        <w:t>（5）加强施工人员的环保教育</w:t>
      </w:r>
    </w:p>
    <w:p>
      <w:pPr>
        <w:pStyle w:val="10"/>
        <w:ind w:firstLine="480"/>
      </w:pPr>
      <w:r>
        <w:t>定期对施工人员进行环保教育，学习各项管理制度。</w:t>
      </w:r>
    </w:p>
    <w:p>
      <w:pPr>
        <w:pStyle w:val="9"/>
      </w:pPr>
      <w:bookmarkStart w:id="424" w:name="_Toc18276"/>
      <w:r>
        <w:t>桥梁施工的水污染防治措施</w:t>
      </w:r>
      <w:bookmarkEnd w:id="424"/>
    </w:p>
    <w:p>
      <w:pPr>
        <w:pStyle w:val="10"/>
        <w:ind w:firstLine="480"/>
      </w:pPr>
      <w:r>
        <w:t>（1）为了防止河道范围内桥梁施工对河道的影响，建议本项目桥梁</w:t>
      </w:r>
      <w:r>
        <w:rPr>
          <w:rFonts w:hint="eastAsia"/>
          <w:lang w:val="en-US" w:eastAsia="zh-CN"/>
        </w:rPr>
        <w:t>预先在预制梁场进行加工，在桥墩建设完成后在进行桥梁安装，以减少对区域地表水的影响</w:t>
      </w:r>
      <w:r>
        <w:t>。严禁将桩基钻孔出渣及施工废弃物排入地表水体，桥墩施工区附近设置必要的排水沟用以疏导施工废水，排水沟土质边坡及时夯实。</w:t>
      </w:r>
    </w:p>
    <w:p>
      <w:pPr>
        <w:pStyle w:val="10"/>
        <w:ind w:firstLine="480"/>
      </w:pPr>
      <w:r>
        <w:t>（2）在桥梁桩基施工过程中将产生一定量的泥浆水，为避免和减小桩基施工现场地面径流形成的悬浮物污染，在泥浆池、沉降池中干化后就地填埋。</w:t>
      </w:r>
    </w:p>
    <w:p>
      <w:pPr>
        <w:pStyle w:val="10"/>
        <w:ind w:firstLine="480"/>
      </w:pPr>
      <w:r>
        <w:t>（3）桥涵施工所用的施工机械设备等必须经过严格的漏油检查，避免在施工时发生油料泄漏污染水体水质；施工机械维修产生的油污水，委托有资质单位处置，禁止直接向水体中排放。</w:t>
      </w:r>
    </w:p>
    <w:p>
      <w:pPr>
        <w:pStyle w:val="10"/>
        <w:ind w:firstLine="480"/>
      </w:pPr>
      <w:r>
        <w:t>（4）对施工人员进行严格的管理，严禁乱撒乱抛废弃物，桥面铺装垃圾要集中堆放并运送至指定地点。</w:t>
      </w:r>
    </w:p>
    <w:p>
      <w:pPr>
        <w:pStyle w:val="9"/>
      </w:pPr>
      <w:bookmarkStart w:id="425" w:name="_Toc21211"/>
      <w:r>
        <w:t>路基施工的水污染防治措施</w:t>
      </w:r>
      <w:bookmarkEnd w:id="425"/>
    </w:p>
    <w:p>
      <w:pPr>
        <w:pStyle w:val="10"/>
        <w:ind w:firstLine="480"/>
      </w:pPr>
      <w:r>
        <w:t>（1）在路基纵断面凹形处开挖路基，应在该路基两侧设置临时沉淀池，使地面径流在池中流速减缓，泥沙下沉，以避免泥沙对水体的影响。当路基建成，至过水涵管铺设完毕或恢复后，推平沉淀池。在临时堆土周围及容易发生水土流失的施工地段应设土工布围栏。</w:t>
      </w:r>
    </w:p>
    <w:p>
      <w:pPr>
        <w:pStyle w:val="10"/>
        <w:ind w:firstLine="480"/>
      </w:pPr>
      <w:r>
        <w:t>（2）路基施工期的残油、废油，分别用不同容器收集、回收利用和处理。</w:t>
      </w:r>
    </w:p>
    <w:p>
      <w:pPr>
        <w:pStyle w:val="9"/>
      </w:pPr>
      <w:bookmarkStart w:id="426" w:name="_Toc10497"/>
      <w:r>
        <w:t>施工场地水污染防治措施</w:t>
      </w:r>
      <w:bookmarkEnd w:id="426"/>
    </w:p>
    <w:p>
      <w:pPr>
        <w:pStyle w:val="10"/>
        <w:ind w:firstLine="480"/>
      </w:pPr>
      <w:r>
        <w:t>（1）施工营地、建材堆场等施工场地应尽量远离河流、沟渠等地表水体；施工产生的废弃物严禁倾倒或抛入水体，不得随意堆放在水体旁，应及时清运至指定地点；施工材料如沥青、油料、化学品等有害物质堆放场地应设围挡措施，并加蓬布覆盖以减少雨水冲刷造成污染。</w:t>
      </w:r>
    </w:p>
    <w:p>
      <w:pPr>
        <w:pStyle w:val="10"/>
        <w:ind w:firstLine="480"/>
      </w:pPr>
      <w:r>
        <w:t>（2）施工污水，例如砂石材料的冲洗水、搅拌站等，以及受暴雨冲刷产生的污水，需经施工现场的明沟、沉淀池处理，不得直接排入地表水体。建议设置冲洗水沉淀池，一般约10m</w:t>
      </w:r>
      <w:r>
        <w:rPr>
          <w:vertAlign w:val="superscript"/>
        </w:rPr>
        <w:t>3</w:t>
      </w:r>
      <w:r>
        <w:t>，冲洗废水经三级沉淀处理后</w:t>
      </w:r>
      <w:r>
        <w:rPr>
          <w:rFonts w:hint="eastAsia"/>
        </w:rPr>
        <w:t>回用</w:t>
      </w:r>
      <w:r>
        <w:t>。</w:t>
      </w:r>
    </w:p>
    <w:p>
      <w:pPr>
        <w:pStyle w:val="10"/>
        <w:ind w:firstLine="480"/>
      </w:pPr>
      <w:r>
        <w:t>（3）施工结束后固体废弃物严禁倾倒或抛入水体，也不得堆放在水体旁，应由施工单位负责及时清运至指定地点或按照有关规定处理。</w:t>
      </w:r>
    </w:p>
    <w:p>
      <w:pPr>
        <w:pStyle w:val="10"/>
        <w:ind w:firstLine="480"/>
      </w:pPr>
      <w:r>
        <w:t>（4）应在施工场地出入门口内侧水平距离1m范围内设置排水沟槽，排水沟槽的设置应满足区域内总排水量并达到连环贯通；应设置与排水沟槽相连通的污水、废浆水沉淀池，经沉淀处理后的废水应重复使用，做到零排放。未经沉淀处理且不达标的废水不得排放。沉淀池应及时清理，清理物应回用或及时运走</w:t>
      </w:r>
      <w:r>
        <w:rPr>
          <w:rFonts w:hint="eastAsia"/>
        </w:rPr>
        <w:t>妥善</w:t>
      </w:r>
      <w:r>
        <w:t>处理。</w:t>
      </w:r>
    </w:p>
    <w:p>
      <w:pPr>
        <w:pStyle w:val="10"/>
        <w:ind w:firstLine="480"/>
        <w:rPr>
          <w:rFonts w:hint="eastAsia" w:eastAsia="宋体"/>
          <w:lang w:eastAsia="zh-CN"/>
        </w:rPr>
      </w:pPr>
      <w:r>
        <w:t>（5）施工营地尽量远离河流水体等集中分布地段，</w:t>
      </w:r>
      <w:r>
        <w:rPr>
          <w:rFonts w:hint="eastAsia"/>
        </w:rPr>
        <w:t>施工人员产生的生活污水</w:t>
      </w:r>
      <w:r>
        <w:rPr>
          <w:rFonts w:hint="eastAsia"/>
          <w:lang w:val="en-US" w:eastAsia="zh-CN"/>
        </w:rPr>
        <w:t>应</w:t>
      </w:r>
      <w:r>
        <w:rPr>
          <w:rFonts w:hint="eastAsia"/>
        </w:rPr>
        <w:t>经隔油沉淀池处理后回用</w:t>
      </w:r>
      <w:r>
        <w:rPr>
          <w:rFonts w:hint="eastAsia"/>
          <w:lang w:eastAsia="zh-CN"/>
        </w:rPr>
        <w:t>。由于本项目沿线多有村庄居民点分布，为减少施工营地生活废水对周边环境的影响，优先考虑租用民房作为施工营地，这样可利用原有的给排水系统。</w:t>
      </w:r>
    </w:p>
    <w:p>
      <w:pPr>
        <w:pStyle w:val="8"/>
        <w:rPr>
          <w:b/>
          <w:bCs/>
        </w:rPr>
      </w:pPr>
      <w:bookmarkStart w:id="427" w:name="_Toc12451"/>
      <w:r>
        <w:rPr>
          <w:b/>
          <w:bCs/>
        </w:rPr>
        <w:t>大气影响减缓措施</w:t>
      </w:r>
      <w:bookmarkEnd w:id="427"/>
    </w:p>
    <w:p>
      <w:pPr>
        <w:pStyle w:val="9"/>
      </w:pPr>
      <w:bookmarkStart w:id="428" w:name="_Toc24687"/>
      <w:r>
        <w:rPr>
          <w:rFonts w:hint="eastAsia"/>
          <w:lang w:val="en-US" w:eastAsia="zh-CN"/>
        </w:rPr>
        <w:t>拌合</w:t>
      </w:r>
      <w:r>
        <w:t>环节大气污染防治措施</w:t>
      </w:r>
      <w:bookmarkEnd w:id="428"/>
    </w:p>
    <w:p>
      <w:pPr>
        <w:bidi w:val="0"/>
        <w:ind w:firstLine="480" w:firstLineChars="200"/>
        <w:rPr>
          <w:rFonts w:hint="default" w:ascii="Times New Roman" w:hAnsi="Times New Roman" w:cs="Times New Roman"/>
          <w:lang w:val="zh-CN"/>
        </w:rPr>
      </w:pPr>
      <w:r>
        <w:rPr>
          <w:rFonts w:hint="eastAsia" w:cs="Times New Roman"/>
          <w:lang w:val="zh-CN"/>
        </w:rPr>
        <w:t>（</w:t>
      </w:r>
      <w:r>
        <w:rPr>
          <w:rFonts w:hint="eastAsia" w:cs="Times New Roman"/>
          <w:lang w:val="en-US" w:eastAsia="zh-CN"/>
        </w:rPr>
        <w:t>1</w:t>
      </w:r>
      <w:r>
        <w:rPr>
          <w:rFonts w:hint="eastAsia" w:cs="Times New Roman"/>
          <w:lang w:val="zh-CN"/>
        </w:rPr>
        <w:t>）</w:t>
      </w:r>
      <w:r>
        <w:rPr>
          <w:rFonts w:hint="default" w:ascii="Times New Roman" w:hAnsi="Times New Roman" w:cs="Times New Roman"/>
          <w:lang w:val="zh-CN"/>
        </w:rPr>
        <w:t>拌合及原料堆存</w:t>
      </w:r>
    </w:p>
    <w:p>
      <w:pPr>
        <w:bidi w:val="0"/>
        <w:ind w:firstLine="480" w:firstLineChars="200"/>
        <w:rPr>
          <w:rFonts w:hint="default" w:ascii="Times New Roman" w:hAnsi="Times New Roman" w:cs="Times New Roman"/>
          <w:lang w:val="zh-CN"/>
        </w:rPr>
      </w:pPr>
      <w:r>
        <w:rPr>
          <w:rFonts w:hint="default" w:ascii="Times New Roman" w:hAnsi="Times New Roman" w:cs="Times New Roman"/>
          <w:lang w:val="zh-CN"/>
        </w:rPr>
        <w:t>1）搅拌站的配料机、上料仓、搅拌设备及输送设施等，必须配备降尘防尘装备。</w:t>
      </w:r>
    </w:p>
    <w:p>
      <w:pPr>
        <w:bidi w:val="0"/>
        <w:ind w:firstLine="480" w:firstLineChars="200"/>
        <w:rPr>
          <w:rFonts w:hint="default" w:ascii="Times New Roman" w:hAnsi="Times New Roman" w:cs="Times New Roman"/>
          <w:lang w:val="zh-CN"/>
        </w:rPr>
      </w:pPr>
      <w:r>
        <w:rPr>
          <w:rFonts w:hint="default" w:ascii="Times New Roman" w:hAnsi="Times New Roman" w:cs="Times New Roman"/>
          <w:lang w:val="zh-CN"/>
        </w:rPr>
        <w:t>2）搅拌站内搅拌砂浆、混凝土及其他易产生扬尘的作业，必须搭设操作防护棚罩，采取除、吸尘措施。防护棚除进出口外，其他各个面必须用防尘网和其他材料封闭，并设置</w:t>
      </w:r>
      <w:r>
        <w:rPr>
          <w:rFonts w:hint="eastAsia" w:cs="Times New Roman"/>
          <w:lang w:val="en-US" w:eastAsia="zh-CN"/>
        </w:rPr>
        <w:t>2</w:t>
      </w:r>
      <w:r>
        <w:rPr>
          <w:rFonts w:hint="default" w:ascii="Times New Roman" w:hAnsi="Times New Roman" w:cs="Times New Roman"/>
          <w:lang w:val="zh-CN"/>
        </w:rPr>
        <w:t>00m防护距离。</w:t>
      </w:r>
    </w:p>
    <w:p>
      <w:pPr>
        <w:bidi w:val="0"/>
        <w:ind w:firstLine="480" w:firstLineChars="200"/>
        <w:rPr>
          <w:rFonts w:hint="default" w:ascii="Times New Roman" w:hAnsi="Times New Roman" w:cs="Times New Roman"/>
          <w:lang w:val="zh-CN"/>
        </w:rPr>
      </w:pPr>
      <w:r>
        <w:rPr>
          <w:rFonts w:hint="default" w:ascii="Times New Roman" w:hAnsi="Times New Roman" w:cs="Times New Roman"/>
          <w:lang w:val="zh-CN"/>
        </w:rPr>
        <w:t>3）拌合完毕后，砂石料池堆放后应全覆盖，道路应定时洒水清扫。</w:t>
      </w:r>
    </w:p>
    <w:p>
      <w:pPr>
        <w:bidi w:val="0"/>
        <w:ind w:firstLine="480" w:firstLineChars="200"/>
        <w:rPr>
          <w:rFonts w:hint="default" w:ascii="Times New Roman" w:hAnsi="Times New Roman" w:cs="Times New Roman"/>
          <w:lang w:val="zh-CN"/>
        </w:rPr>
      </w:pPr>
      <w:r>
        <w:rPr>
          <w:rFonts w:hint="default" w:ascii="Times New Roman" w:hAnsi="Times New Roman" w:cs="Times New Roman"/>
          <w:lang w:val="zh-CN"/>
        </w:rPr>
        <w:t>4）水泥、粉煤灰、石灰、矿渣等细颗粒散体材料应安排在室内料仓存放，若无料仓存放条件应严密遮盖，临时性货场应采取严格的篷盖和围挡措施，运输和卸料时应用帆布遮盖和封闭。</w:t>
      </w:r>
    </w:p>
    <w:p>
      <w:pPr>
        <w:bidi w:val="0"/>
        <w:ind w:firstLine="480" w:firstLineChars="200"/>
        <w:rPr>
          <w:rFonts w:hint="default" w:ascii="Times New Roman" w:hAnsi="Times New Roman" w:cs="Times New Roman"/>
          <w:lang w:val="zh-CN"/>
        </w:rPr>
      </w:pPr>
      <w:r>
        <w:rPr>
          <w:rFonts w:hint="default" w:ascii="Times New Roman" w:hAnsi="Times New Roman" w:cs="Times New Roman"/>
          <w:lang w:val="zh-CN"/>
        </w:rPr>
        <w:t>5）水泥、粉煤灰等材料进料时，应保证材料罐顶的密封性能，预留通气孔应配置除尘设施。</w:t>
      </w:r>
    </w:p>
    <w:p>
      <w:pPr>
        <w:pStyle w:val="10"/>
        <w:ind w:firstLine="480"/>
        <w:rPr>
          <w:lang w:val="zh-CN"/>
        </w:rPr>
      </w:pPr>
      <w:r>
        <w:rPr>
          <w:rFonts w:hint="default" w:ascii="Times New Roman" w:hAnsi="Times New Roman" w:cs="Times New Roman"/>
          <w:lang w:val="zh-CN"/>
        </w:rPr>
        <w:t>6）上料仓应三面围挡，上料作业面周边应设置喷淋设施。</w:t>
      </w:r>
      <w:r>
        <w:rPr>
          <w:rFonts w:hint="eastAsia"/>
          <w:kern w:val="0"/>
          <w:lang w:val="zh-CN"/>
        </w:rPr>
        <w:t>上料作业时，车辆进入仓内硬封闭上料，减少无组织排放。</w:t>
      </w:r>
    </w:p>
    <w:p>
      <w:pPr>
        <w:pStyle w:val="10"/>
        <w:ind w:firstLine="480"/>
        <w:rPr>
          <w:rFonts w:hint="eastAsia" w:eastAsia="宋体"/>
          <w:lang w:val="en-US" w:eastAsia="zh-CN"/>
        </w:rPr>
      </w:pPr>
      <w:r>
        <w:rPr>
          <w:rFonts w:hint="eastAsia"/>
          <w:lang w:val="zh-CN"/>
        </w:rPr>
        <w:t>（</w:t>
      </w:r>
      <w:r>
        <w:rPr>
          <w:rFonts w:hint="eastAsia"/>
          <w:lang w:val="en-US" w:eastAsia="zh-CN"/>
        </w:rPr>
        <w:t>2</w:t>
      </w:r>
      <w:r>
        <w:rPr>
          <w:rFonts w:hint="eastAsia"/>
          <w:lang w:val="zh-CN"/>
        </w:rPr>
        <w:t>）</w:t>
      </w:r>
      <w:r>
        <w:rPr>
          <w:rFonts w:hint="default" w:ascii="Times New Roman" w:hAnsi="Times New Roman" w:cs="Times New Roman"/>
          <w:lang w:val="zh-CN"/>
        </w:rPr>
        <w:t>沥青烟气污染防治措施</w:t>
      </w:r>
    </w:p>
    <w:p>
      <w:pPr>
        <w:pStyle w:val="10"/>
        <w:ind w:firstLine="480"/>
        <w:rPr>
          <w:lang w:val="zh-CN"/>
        </w:rPr>
      </w:pPr>
      <w:r>
        <w:rPr>
          <w:rFonts w:hint="eastAsia"/>
          <w:lang w:val="en-US" w:eastAsia="zh-CN"/>
        </w:rPr>
        <w:t>1）</w:t>
      </w:r>
      <w:r>
        <w:rPr>
          <w:rFonts w:hint="eastAsia"/>
          <w:lang w:val="zh-CN"/>
        </w:rPr>
        <w:t>沥青拌合采用集中拌合，并采用先进的全封闭式沥青混凝土拌合装置，原料仓库全封闭；沥青拌合站设置在远离敏感点的主导风向下风向 300 米以外。</w:t>
      </w:r>
    </w:p>
    <w:p>
      <w:pPr>
        <w:pStyle w:val="10"/>
        <w:ind w:firstLine="480"/>
        <w:rPr>
          <w:lang w:val="zh-CN"/>
        </w:rPr>
      </w:pPr>
      <w:r>
        <w:rPr>
          <w:rFonts w:hint="eastAsia"/>
          <w:lang w:val="en-US" w:eastAsia="zh-CN"/>
        </w:rPr>
        <w:t>2）</w:t>
      </w:r>
      <w:r>
        <w:rPr>
          <w:lang w:val="zh-CN"/>
        </w:rPr>
        <w:t>在进行路面铺设沥青施工时，经过重点敏感目标尽量安排在假期、休息日施工，以减少对其影响。</w:t>
      </w:r>
    </w:p>
    <w:p>
      <w:pPr>
        <w:pStyle w:val="9"/>
      </w:pPr>
      <w:bookmarkStart w:id="429" w:name="_Toc3619"/>
      <w:r>
        <w:t>其他大气污染防治措施</w:t>
      </w:r>
      <w:bookmarkEnd w:id="429"/>
    </w:p>
    <w:p>
      <w:pPr>
        <w:pStyle w:val="10"/>
        <w:ind w:firstLine="480"/>
        <w:rPr>
          <w:kern w:val="0"/>
          <w:lang w:val="zh-CN"/>
        </w:rPr>
      </w:pPr>
      <w:r>
        <w:rPr>
          <w:kern w:val="0"/>
          <w:lang w:val="zh-CN"/>
        </w:rPr>
        <w:t>（1）</w:t>
      </w:r>
      <w:r>
        <w:t>要满足《关于严格执行全市城区房屋建筑施工现场扬尘治理六个百分之百标准的通知》，指施工工地周边100%围挡，出入车辆100%冲洗，拆迁工地100%湿法作业，渣土车辆100%密闭运输，施工现场地面100%硬化，物料堆放100%覆盖的要求。</w:t>
      </w:r>
      <w:r>
        <w:rPr>
          <w:kern w:val="0"/>
          <w:lang w:val="zh-CN"/>
        </w:rPr>
        <w:t>施工场地应设置洗车台，砂石料堆存场四周应设置围挡并加盖篷布。</w:t>
      </w:r>
    </w:p>
    <w:p>
      <w:pPr>
        <w:pStyle w:val="10"/>
        <w:ind w:firstLine="480"/>
        <w:rPr>
          <w:kern w:val="0"/>
          <w:lang w:val="zh-CN"/>
        </w:rPr>
      </w:pPr>
      <w:r>
        <w:rPr>
          <w:kern w:val="0"/>
          <w:lang w:val="zh-CN"/>
        </w:rPr>
        <w:t>（2）在靠近公路沿线居民相对集中的居民点施工时，应根据天气和施工情况定期清扫、洒水，减少道路二次扬尘，每个施工标段应至少配备一辆洒水车。</w:t>
      </w:r>
    </w:p>
    <w:p>
      <w:pPr>
        <w:pStyle w:val="10"/>
        <w:ind w:firstLine="480"/>
        <w:rPr>
          <w:kern w:val="0"/>
          <w:lang w:val="zh-CN"/>
        </w:rPr>
      </w:pPr>
      <w:r>
        <w:rPr>
          <w:kern w:val="0"/>
          <w:lang w:val="zh-CN"/>
        </w:rPr>
        <w:t>（3）施工散料运输车辆应采用蓬布遮盖、低速行驶以及对行驶的道路适时洒水，减少扬尘对大气的污染。</w:t>
      </w:r>
    </w:p>
    <w:p>
      <w:pPr>
        <w:pStyle w:val="10"/>
        <w:ind w:firstLine="480"/>
        <w:rPr>
          <w:kern w:val="0"/>
          <w:lang w:val="zh-CN"/>
        </w:rPr>
      </w:pPr>
      <w:r>
        <w:rPr>
          <w:kern w:val="0"/>
          <w:lang w:val="zh-CN"/>
        </w:rPr>
        <w:t>（4）利用现有道路作为施工道路进行材料输运等，应做好施工路线选择、车速控制、并在沿线有居民点处采取适当洒水降尘措施，降低二次扬尘污染。各施工单位必须配足洒水车，对临时弃土场、施工现场、拌合站及施工便道定时洒水，靠近学校、居民集中点的敏感区域，在干旱大风的天气应适当增加洒水量和洒水频率，保证路面无扬尘，无积水。</w:t>
      </w:r>
    </w:p>
    <w:p>
      <w:pPr>
        <w:pStyle w:val="10"/>
        <w:ind w:firstLine="480"/>
        <w:rPr>
          <w:kern w:val="0"/>
          <w:lang w:val="zh-CN"/>
        </w:rPr>
      </w:pPr>
      <w:r>
        <w:rPr>
          <w:kern w:val="0"/>
          <w:lang w:val="zh-CN"/>
        </w:rPr>
        <w:t>（5）加强施工管理，提倡文明施工、集中施工、快速施工。工程开挖土方应集中堆放，以缩小扬尘影响范围，及时回填，减小扬尘影响时间；以减少扬尘。</w:t>
      </w:r>
    </w:p>
    <w:p>
      <w:pPr>
        <w:pStyle w:val="10"/>
        <w:ind w:firstLine="480"/>
        <w:rPr>
          <w:rFonts w:hint="eastAsia"/>
          <w:kern w:val="0"/>
          <w:lang w:val="zh-CN"/>
        </w:rPr>
      </w:pPr>
      <w:r>
        <w:rPr>
          <w:rFonts w:hint="eastAsia"/>
          <w:kern w:val="0"/>
          <w:lang w:val="zh-CN"/>
        </w:rPr>
        <w:t>（</w:t>
      </w:r>
      <w:r>
        <w:rPr>
          <w:rFonts w:hint="eastAsia"/>
          <w:kern w:val="0"/>
          <w:lang w:val="en-US" w:eastAsia="zh-CN"/>
        </w:rPr>
        <w:t>6</w:t>
      </w:r>
      <w:r>
        <w:rPr>
          <w:rFonts w:hint="eastAsia"/>
          <w:kern w:val="0"/>
          <w:lang w:val="zh-CN"/>
        </w:rPr>
        <w:t>）项目区施工闲置3个月以上的用地，应当对其裸露泥地进行临时绿化或者铺装。</w:t>
      </w:r>
    </w:p>
    <w:p>
      <w:pPr>
        <w:pStyle w:val="10"/>
        <w:ind w:firstLine="480"/>
        <w:rPr>
          <w:rFonts w:hint="eastAsia"/>
          <w:kern w:val="0"/>
          <w:lang w:val="zh-CN"/>
        </w:rPr>
      </w:pPr>
      <w:r>
        <w:rPr>
          <w:rFonts w:hint="eastAsia"/>
          <w:kern w:val="0"/>
          <w:lang w:val="zh-CN"/>
        </w:rPr>
        <w:t>（</w:t>
      </w:r>
      <w:r>
        <w:rPr>
          <w:rFonts w:hint="eastAsia"/>
          <w:kern w:val="0"/>
          <w:lang w:val="en-US" w:eastAsia="zh-CN"/>
        </w:rPr>
        <w:t>7</w:t>
      </w:r>
      <w:r>
        <w:rPr>
          <w:rFonts w:hint="eastAsia"/>
          <w:kern w:val="0"/>
          <w:lang w:val="zh-CN"/>
        </w:rPr>
        <w:t>）施工现场要设立扬尘污染防治公示牌，公布责任单位、责任人和监督举报电话，自觉接受社会监督。</w:t>
      </w:r>
    </w:p>
    <w:p>
      <w:pPr>
        <w:pStyle w:val="10"/>
        <w:ind w:firstLine="480"/>
        <w:rPr>
          <w:rFonts w:hint="eastAsia"/>
          <w:kern w:val="0"/>
          <w:lang w:val="zh-CN"/>
        </w:rPr>
      </w:pPr>
      <w:r>
        <w:rPr>
          <w:rFonts w:hint="eastAsia"/>
          <w:kern w:val="0"/>
          <w:lang w:val="zh-CN"/>
        </w:rPr>
        <w:t>（</w:t>
      </w:r>
      <w:r>
        <w:rPr>
          <w:rFonts w:hint="eastAsia"/>
          <w:kern w:val="0"/>
          <w:lang w:val="en-US" w:eastAsia="zh-CN"/>
        </w:rPr>
        <w:t>8</w:t>
      </w:r>
      <w:r>
        <w:rPr>
          <w:rFonts w:hint="eastAsia"/>
          <w:kern w:val="0"/>
          <w:lang w:val="zh-CN"/>
        </w:rPr>
        <w:t>）施工场地内裸露场地和临时堆放的土方要采用防尘网覆盖。</w:t>
      </w:r>
    </w:p>
    <w:p>
      <w:pPr>
        <w:pStyle w:val="10"/>
        <w:ind w:firstLine="480"/>
        <w:rPr>
          <w:rFonts w:hint="eastAsia"/>
          <w:kern w:val="0"/>
          <w:lang w:val="zh-CN"/>
        </w:rPr>
      </w:pPr>
      <w:r>
        <w:rPr>
          <w:rFonts w:hint="eastAsia"/>
          <w:kern w:val="0"/>
          <w:lang w:val="zh-CN"/>
        </w:rPr>
        <w:t>（</w:t>
      </w:r>
      <w:r>
        <w:rPr>
          <w:rFonts w:hint="eastAsia"/>
          <w:kern w:val="0"/>
          <w:lang w:val="en-US" w:eastAsia="zh-CN"/>
        </w:rPr>
        <w:t>9</w:t>
      </w:r>
      <w:r>
        <w:rPr>
          <w:rFonts w:hint="eastAsia"/>
          <w:kern w:val="0"/>
          <w:lang w:val="zh-CN"/>
        </w:rPr>
        <w:t>）施工现场保证土方开挖湿作业，遇到能产生扬尘的干燥土时必须边喷淋边进行开挖、回填或转运作业。</w:t>
      </w:r>
    </w:p>
    <w:p>
      <w:pPr>
        <w:pStyle w:val="10"/>
        <w:ind w:firstLine="480"/>
        <w:rPr>
          <w:kern w:val="0"/>
          <w:lang w:val="zh-CN"/>
        </w:rPr>
      </w:pPr>
      <w:r>
        <w:rPr>
          <w:rFonts w:hint="eastAsia"/>
          <w:kern w:val="0"/>
          <w:lang w:val="zh-CN"/>
        </w:rPr>
        <w:t>（1</w:t>
      </w:r>
      <w:r>
        <w:rPr>
          <w:rFonts w:hint="eastAsia"/>
          <w:kern w:val="0"/>
          <w:lang w:val="en-US" w:eastAsia="zh-CN"/>
        </w:rPr>
        <w:t>0</w:t>
      </w:r>
      <w:r>
        <w:rPr>
          <w:rFonts w:hint="eastAsia"/>
          <w:kern w:val="0"/>
          <w:lang w:val="zh-CN"/>
        </w:rPr>
        <w:t>）施工现场临时土方堆放时，采取覆盖防尘网的防尘措施，并定时洒水。同时，土方堆放高度不超过相邻围挡；使用土方时禁止将所有遮盖的防尘网全部打开；雨季时要采取措施防止随雨水冲刷进入水体。钢材、周转材料等物料分类分区存放，场地采取硬化或碎石铺装等防尘措施。严禁在施工现场围挡外堆放建筑材料和建筑垃圾</w:t>
      </w:r>
    </w:p>
    <w:p>
      <w:pPr>
        <w:pStyle w:val="8"/>
        <w:rPr>
          <w:b/>
          <w:bCs/>
        </w:rPr>
      </w:pPr>
      <w:bookmarkStart w:id="430" w:name="_Toc23087"/>
      <w:r>
        <w:rPr>
          <w:b/>
          <w:bCs/>
        </w:rPr>
        <w:t>噪声污染防治措施</w:t>
      </w:r>
      <w:bookmarkEnd w:id="430"/>
    </w:p>
    <w:p>
      <w:pPr>
        <w:pStyle w:val="10"/>
        <w:ind w:firstLine="480"/>
      </w:pPr>
      <w:r>
        <w:t>（1）尽量采用低噪声机械设备，对超过国家标准的机械应禁止其入场施工，施工过程中还应经常对设备进行维修保养，避免由于设备性能变差而导致噪声增加；</w:t>
      </w:r>
    </w:p>
    <w:p>
      <w:pPr>
        <w:pStyle w:val="10"/>
        <w:ind w:firstLine="480"/>
      </w:pPr>
      <w:r>
        <w:t>（2）在利用现有道路运输施工物资时，应合理选择运输路线，并尽量在昼间进行运输。此外，在途经村庄时，应减速慢行，禁止鸣笛，需新修筑的便道应尽量远离村镇、学校、医院等。</w:t>
      </w:r>
    </w:p>
    <w:p>
      <w:pPr>
        <w:pStyle w:val="10"/>
        <w:ind w:firstLine="480"/>
      </w:pPr>
      <w:r>
        <w:t>建设单位应对施工承包商的运输路线提出要求，要求承包商必须提供建材运输路线，并请环保监理或环保专业人员确认施工路线在减缓噪声影响方面的合理性。建设单位根据确定后的运输路线进行监督，并可联合地方环保部门加强监督力度；</w:t>
      </w:r>
    </w:p>
    <w:p>
      <w:pPr>
        <w:pStyle w:val="10"/>
        <w:ind w:firstLine="480"/>
      </w:pPr>
      <w:r>
        <w:t>（3）施工期噪声影响是短期行为，主要为夜间施工干扰居民休息，因此，高噪声施工机械夜间（22：00至次日6：00）严禁在沿线的声环境敏感点附近施工；昼间施工时也要进行良好的施工管理和采取必要的降噪措施，如临时声屏障围护等，以符合《</w:t>
      </w:r>
      <w:r>
        <w:rPr>
          <w:rFonts w:hint="eastAsia"/>
        </w:rPr>
        <w:t>建筑施工场界环境噪声排放标准</w:t>
      </w:r>
      <w:r>
        <w:t>》</w:t>
      </w:r>
      <w:r>
        <w:rPr>
          <w:rFonts w:hint="eastAsia"/>
        </w:rPr>
        <w:t>（G</w:t>
      </w:r>
      <w:r>
        <w:t>B125</w:t>
      </w:r>
      <w:r>
        <w:rPr>
          <w:rFonts w:hint="eastAsia"/>
          <w:lang w:val="en-US" w:eastAsia="zh-CN"/>
        </w:rPr>
        <w:t>2</w:t>
      </w:r>
      <w:r>
        <w:t>3</w:t>
      </w:r>
      <w:r>
        <w:rPr>
          <w:rFonts w:hint="eastAsia"/>
          <w:lang w:val="en-US" w:eastAsia="zh-CN"/>
        </w:rPr>
        <w:t>-2011</w:t>
      </w:r>
      <w:r>
        <w:rPr>
          <w:rFonts w:hint="eastAsia"/>
        </w:rPr>
        <w:t>）</w:t>
      </w:r>
      <w:r>
        <w:t>相关标准；如必须连续施工作业的工点，施工单位应视具体情况及时向当地环保部门取得联系，按规定申领夜间施工证，同时发布公告最大限度地争取民众支持。</w:t>
      </w:r>
    </w:p>
    <w:p>
      <w:pPr>
        <w:pStyle w:val="10"/>
        <w:ind w:firstLine="480"/>
      </w:pPr>
      <w:r>
        <w:t>（4）加强施工期噪声监测，发现噪声污染，及时采取有效的噪声污染防治措施。施工场地应尽量远离敏感点，同时建议在施工场界距离敏感点一侧设置移动式声屏障，降低项目施工噪声对居民生活造成的不利影响。</w:t>
      </w:r>
    </w:p>
    <w:p>
      <w:pPr>
        <w:pStyle w:val="10"/>
        <w:ind w:firstLine="480"/>
      </w:pPr>
      <w:r>
        <w:t>在采取上述措施后，可以确保项目施工过程中，施工场界及周边敏感点声环境质量满足相应标准要求。</w:t>
      </w:r>
    </w:p>
    <w:p>
      <w:pPr>
        <w:pStyle w:val="8"/>
        <w:rPr>
          <w:b/>
          <w:bCs/>
        </w:rPr>
      </w:pPr>
      <w:bookmarkStart w:id="431" w:name="_Toc4420"/>
      <w:r>
        <w:rPr>
          <w:b/>
          <w:bCs/>
        </w:rPr>
        <w:t>固废污染防治</w:t>
      </w:r>
      <w:r>
        <w:rPr>
          <w:rFonts w:hint="eastAsia"/>
          <w:b/>
          <w:bCs/>
          <w:lang w:val="en-US" w:eastAsia="zh-CN"/>
        </w:rPr>
        <w:t>措施</w:t>
      </w:r>
      <w:bookmarkEnd w:id="431"/>
    </w:p>
    <w:p>
      <w:pPr>
        <w:pStyle w:val="10"/>
        <w:ind w:firstLine="480"/>
      </w:pPr>
      <w:r>
        <w:t>为防止和减少施工期固体废物对环境的影响，建议采取如下措施：</w:t>
      </w:r>
    </w:p>
    <w:p>
      <w:pPr>
        <w:pStyle w:val="10"/>
        <w:ind w:firstLine="480"/>
      </w:pPr>
      <w:r>
        <w:t>本项目施工期产生的固体废物主要包括</w:t>
      </w:r>
      <w:r>
        <w:rPr>
          <w:rFonts w:hint="eastAsia"/>
        </w:rPr>
        <w:t>路基土石方、建筑拆迁及老路改造垃圾、施工人员的生活垃圾以及</w:t>
      </w:r>
      <w:r>
        <w:rPr>
          <w:rFonts w:hint="eastAsia"/>
          <w:lang w:val="en-US" w:eastAsia="zh-CN"/>
        </w:rPr>
        <w:t>施工场地危险废物</w:t>
      </w:r>
      <w:r>
        <w:rPr>
          <w:rFonts w:hint="eastAsia"/>
        </w:rPr>
        <w:t>等</w:t>
      </w:r>
      <w:r>
        <w:t>。</w:t>
      </w:r>
    </w:p>
    <w:p>
      <w:pPr>
        <w:pStyle w:val="10"/>
        <w:ind w:firstLine="480"/>
      </w:pPr>
      <w:r>
        <w:rPr>
          <w:rFonts w:hint="eastAsia"/>
        </w:rPr>
        <w:t>（1）废弃土方</w:t>
      </w:r>
    </w:p>
    <w:p>
      <w:pPr>
        <w:pStyle w:val="10"/>
        <w:ind w:firstLine="480"/>
      </w:pPr>
      <w:r>
        <w:rPr>
          <w:rFonts w:hint="eastAsia"/>
        </w:rPr>
        <w:t>路堑挖方所产生的中风化及微风化优质路堑石渣均被就近用于路基填料。挖余土石方采用集中堆放。</w:t>
      </w:r>
    </w:p>
    <w:p>
      <w:pPr>
        <w:pStyle w:val="10"/>
        <w:ind w:firstLine="480"/>
      </w:pPr>
      <w:r>
        <w:t>（2）</w:t>
      </w:r>
      <w:r>
        <w:rPr>
          <w:rFonts w:hint="eastAsia"/>
        </w:rPr>
        <w:t>建筑拆迁及老路改造垃圾</w:t>
      </w:r>
    </w:p>
    <w:p>
      <w:pPr>
        <w:pStyle w:val="10"/>
        <w:ind w:firstLine="480"/>
      </w:pPr>
      <w:r>
        <w:rPr>
          <w:rFonts w:hint="eastAsia"/>
        </w:rPr>
        <w:t>建筑垃圾成分</w:t>
      </w:r>
      <w:r>
        <w:t>主要为砖、钢筋、木材等，具有回收利用的价值，应</w:t>
      </w:r>
      <w:r>
        <w:rPr>
          <w:rFonts w:hint="eastAsia"/>
        </w:rPr>
        <w:t>委托有资质的资源回收单位，</w:t>
      </w:r>
      <w:r>
        <w:t>尽可能回用；对于不能回收利用的垃圾有害</w:t>
      </w:r>
      <w:r>
        <w:rPr>
          <w:rFonts w:hint="eastAsia"/>
        </w:rPr>
        <w:t>部分</w:t>
      </w:r>
      <w:r>
        <w:t>运至垃圾填埋场处理。严禁乱丢乱弃，对外环境影响较小。</w:t>
      </w:r>
    </w:p>
    <w:p>
      <w:pPr>
        <w:pStyle w:val="10"/>
        <w:ind w:firstLine="480"/>
      </w:pPr>
      <w:r>
        <w:t>（</w:t>
      </w:r>
      <w:r>
        <w:rPr>
          <w:rFonts w:hint="eastAsia"/>
          <w:lang w:val="en-US" w:eastAsia="zh-CN"/>
        </w:rPr>
        <w:t>3</w:t>
      </w:r>
      <w:r>
        <w:t>）生活垃圾：本项目施工标段施工人员每天</w:t>
      </w:r>
      <w:r>
        <w:rPr>
          <w:rFonts w:hint="eastAsia"/>
        </w:rPr>
        <w:t>会</w:t>
      </w:r>
      <w:r>
        <w:t>产生生活垃圾，施工人员生活垃圾应定点堆放，委托环卫部门定期清运。</w:t>
      </w:r>
    </w:p>
    <w:p>
      <w:pPr>
        <w:pStyle w:val="10"/>
        <w:ind w:firstLine="480"/>
      </w:pPr>
      <w:r>
        <w:rPr>
          <w:rFonts w:hint="eastAsia"/>
        </w:rPr>
        <w:t>（</w:t>
      </w:r>
      <w:r>
        <w:rPr>
          <w:rFonts w:hint="eastAsia"/>
          <w:lang w:val="en-US" w:eastAsia="zh-CN"/>
        </w:rPr>
        <w:t>4</w:t>
      </w:r>
      <w:r>
        <w:rPr>
          <w:rFonts w:hint="eastAsia"/>
        </w:rPr>
        <w:t>）</w:t>
      </w:r>
      <w:r>
        <w:t>施工场地危险废物</w:t>
      </w:r>
    </w:p>
    <w:p>
      <w:pPr>
        <w:pStyle w:val="10"/>
        <w:ind w:firstLine="480"/>
      </w:pPr>
      <w:r>
        <w:t>施工场地设置有隔油池，隔油池产生的油泥属于危险废物（HW08废矿物油与含矿物油废物，900-210-08），应集中收集后委托有相应处置资质的单位统一处置。</w:t>
      </w:r>
    </w:p>
    <w:p>
      <w:pPr>
        <w:pStyle w:val="8"/>
        <w:rPr>
          <w:b/>
          <w:bCs/>
        </w:rPr>
      </w:pPr>
      <w:bookmarkStart w:id="432" w:name="_Toc2628"/>
      <w:r>
        <w:rPr>
          <w:b/>
          <w:bCs/>
        </w:rPr>
        <w:t>环境风险防范措施</w:t>
      </w:r>
      <w:bookmarkEnd w:id="432"/>
    </w:p>
    <w:p>
      <w:pPr>
        <w:pStyle w:val="10"/>
        <w:ind w:firstLine="480"/>
      </w:pPr>
      <w:r>
        <w:t>（1）施工前必须事先与相关道路管理部门进行协商，征得相关部门的同意，结合当地地形及现状道路条件，制定安全可靠的施工方案；必须编制全面且具量化的施工组织说明书，保障工程施工的质量和环境安全。</w:t>
      </w:r>
    </w:p>
    <w:p>
      <w:pPr>
        <w:pStyle w:val="10"/>
        <w:ind w:firstLine="480"/>
      </w:pPr>
      <w:r>
        <w:t>（2）合理规范工程活动，杜绝或减轻诱发地质灾害的人为因素。施工中注意加强地质环境保护，减少人为影响，避免因开挖切坡，路堤填筑、弃渣堆放等引发崩塌、滑坡等地址灾害。对于工程活动中形成的边坡采取合理的排水、支挡、护坡等措施，使工程建设与地质环境保护同步进行。</w:t>
      </w:r>
    </w:p>
    <w:p>
      <w:pPr>
        <w:pStyle w:val="10"/>
        <w:ind w:firstLine="480"/>
      </w:pPr>
      <w:r>
        <w:t>（3）在桥梁施工过程中，</w:t>
      </w:r>
      <w:r>
        <w:rPr>
          <w:lang w:val="en-GB"/>
        </w:rPr>
        <w:t>应</w:t>
      </w:r>
      <w:r>
        <w:t>与水务、环保等部门加强沟通，采取合理的环保措施并按法规引入监督机制，使该桥梁的施工得到严格的监督管理，确保安全，避免发生重大污染及安全事故。</w:t>
      </w:r>
    </w:p>
    <w:p>
      <w:pPr>
        <w:pStyle w:val="10"/>
        <w:ind w:firstLine="480"/>
      </w:pPr>
      <w:r>
        <w:t>（4）由建设单位牵头，联合各施工单位及地方相关部门，成立应急事故领导小组，具体负责施工期环境风险事故的预防及事故应急反应，在发生水污染、地下水破坏和污染、地表塌陷等事故时，组织人力物力，采取相应措施，防止污染的扩散，控制事故污染影响范围及程度。</w:t>
      </w:r>
    </w:p>
    <w:p>
      <w:pPr>
        <w:pStyle w:val="10"/>
        <w:ind w:firstLine="480"/>
      </w:pPr>
      <w:r>
        <w:t>（5）桥段路面，应采用有组织排水工艺将桥面和路段的雨水引出，以防止事故发生时泄漏的化学品、油类、其他有毒有害物质污染水源。</w:t>
      </w:r>
    </w:p>
    <w:p>
      <w:pPr>
        <w:pStyle w:val="8"/>
        <w:rPr>
          <w:b/>
          <w:bCs/>
          <w:lang w:val="zh-CN"/>
        </w:rPr>
      </w:pPr>
      <w:bookmarkStart w:id="433" w:name="_Toc13499"/>
      <w:r>
        <w:rPr>
          <w:rFonts w:hint="eastAsia"/>
          <w:b/>
          <w:bCs/>
          <w:lang w:val="zh-CN"/>
        </w:rPr>
        <w:t>水土流失防治措施</w:t>
      </w:r>
      <w:bookmarkEnd w:id="433"/>
    </w:p>
    <w:p>
      <w:pPr>
        <w:pStyle w:val="10"/>
        <w:ind w:firstLine="480"/>
      </w:pPr>
      <w:r>
        <w:rPr>
          <w:rFonts w:hint="eastAsia"/>
        </w:rPr>
        <w:t>本方案在主体工程设计的水土保持分析评价与水土流失预测等成果基础上，对各防治分区措施布局分述如下。</w:t>
      </w:r>
    </w:p>
    <w:p>
      <w:pPr>
        <w:pStyle w:val="10"/>
        <w:ind w:firstLine="480"/>
      </w:pPr>
      <w:r>
        <w:rPr>
          <w:rFonts w:hint="eastAsia"/>
        </w:rPr>
        <w:t>（1）路基工程防治区</w:t>
      </w:r>
    </w:p>
    <w:p>
      <w:pPr>
        <w:pStyle w:val="10"/>
        <w:ind w:firstLine="480"/>
      </w:pPr>
      <w:r>
        <w:rPr>
          <w:rFonts w:hint="eastAsia"/>
        </w:rPr>
        <w:t>①区内耕植土剥离、后期表土回覆，对临时堆土场采取土地整治措施，对现状为耕地的，采取复耕措施；</w:t>
      </w:r>
    </w:p>
    <w:p>
      <w:pPr>
        <w:pStyle w:val="10"/>
        <w:ind w:firstLine="480"/>
      </w:pPr>
      <w:r>
        <w:rPr>
          <w:rFonts w:hint="eastAsia"/>
        </w:rPr>
        <w:t>②区内通过路基排水边沟、急流槽等构建完善的排水系统；</w:t>
      </w:r>
    </w:p>
    <w:p>
      <w:pPr>
        <w:pStyle w:val="10"/>
        <w:ind w:firstLine="480"/>
      </w:pPr>
      <w:r>
        <w:rPr>
          <w:rFonts w:hint="eastAsia"/>
        </w:rPr>
        <w:t>③公路两侧营造多层次结构的绿化带，路基两侧布设草皮防护或拱形植草防护，公路用地范围内路肩、护坡、排水沟外侧等均布设永久绿化工程；</w:t>
      </w:r>
    </w:p>
    <w:p>
      <w:pPr>
        <w:pStyle w:val="10"/>
        <w:ind w:firstLine="480"/>
      </w:pPr>
      <w:r>
        <w:rPr>
          <w:rFonts w:hint="eastAsia"/>
        </w:rPr>
        <w:t>④在路基两侧布设临时排水沉沙设施，挡护设施；</w:t>
      </w:r>
    </w:p>
    <w:p>
      <w:pPr>
        <w:pStyle w:val="10"/>
        <w:ind w:firstLine="480"/>
      </w:pPr>
      <w:r>
        <w:rPr>
          <w:rFonts w:hint="eastAsia"/>
        </w:rPr>
        <w:t>⑤对堆置在本区的临时堆土（渣）采取临时拦挡、苫盖、绿化、排水防护措施。</w:t>
      </w:r>
    </w:p>
    <w:p>
      <w:pPr>
        <w:pStyle w:val="10"/>
        <w:ind w:firstLine="480"/>
      </w:pPr>
      <w:r>
        <w:rPr>
          <w:rFonts w:hint="eastAsia"/>
        </w:rPr>
        <w:t>（2）桥梁工程防治区</w:t>
      </w:r>
    </w:p>
    <w:p>
      <w:pPr>
        <w:pStyle w:val="10"/>
        <w:ind w:firstLine="480"/>
      </w:pPr>
      <w:r>
        <w:rPr>
          <w:rFonts w:hint="eastAsia"/>
        </w:rPr>
        <w:t>①区内耕植土剥离、后期表土回覆；</w:t>
      </w:r>
    </w:p>
    <w:p>
      <w:pPr>
        <w:pStyle w:val="10"/>
        <w:ind w:firstLine="480"/>
      </w:pPr>
      <w:r>
        <w:rPr>
          <w:rFonts w:hint="eastAsia"/>
        </w:rPr>
        <w:t>②对桥梁基坑开挖的土方，用袋装土临时拦挡；收集灌注桩钻渣，并在陆域设置沉淀池进行处理；</w:t>
      </w:r>
    </w:p>
    <w:p>
      <w:pPr>
        <w:pStyle w:val="10"/>
        <w:ind w:firstLine="480"/>
        <w:rPr>
          <w:color w:val="0070C0"/>
        </w:rPr>
      </w:pPr>
      <w:r>
        <w:rPr>
          <w:rFonts w:hint="eastAsia"/>
        </w:rPr>
        <w:t>③对堆置在本区的临时堆土采取临时拦挡、苫盖、排水防护措施。</w:t>
      </w:r>
    </w:p>
    <w:p>
      <w:pPr>
        <w:pStyle w:val="10"/>
        <w:ind w:firstLine="480"/>
      </w:pPr>
      <w:r>
        <w:rPr>
          <w:rFonts w:hint="eastAsia"/>
        </w:rPr>
        <w:t>（4）弃土场防治区</w:t>
      </w:r>
    </w:p>
    <w:p>
      <w:pPr>
        <w:pStyle w:val="10"/>
        <w:ind w:firstLine="480"/>
      </w:pPr>
      <w:r>
        <w:rPr>
          <w:rFonts w:hint="eastAsia"/>
        </w:rPr>
        <w:t>①区内表土剥离及回覆并采取土地整治措施，及时对基坑开挖边坡和高填路段进行防护和绿化，以免雨季来临时遭严重破坏；</w:t>
      </w:r>
    </w:p>
    <w:p>
      <w:pPr>
        <w:pStyle w:val="10"/>
        <w:ind w:firstLine="480"/>
      </w:pPr>
      <w:r>
        <w:rPr>
          <w:rFonts w:hint="eastAsia"/>
        </w:rPr>
        <w:t>②区内布设排水沟、修建临时便道等措施；</w:t>
      </w:r>
    </w:p>
    <w:p>
      <w:pPr>
        <w:pStyle w:val="10"/>
        <w:ind w:firstLine="480"/>
      </w:pPr>
      <w:r>
        <w:rPr>
          <w:rFonts w:hint="eastAsia"/>
        </w:rPr>
        <w:t>③对堆置在本区的临时堆土（渣）采取临时拦挡、排水、绿化、防护措施。</w:t>
      </w:r>
    </w:p>
    <w:p>
      <w:pPr>
        <w:pStyle w:val="10"/>
        <w:ind w:firstLine="480"/>
      </w:pPr>
      <w:r>
        <w:rPr>
          <w:rFonts w:hint="eastAsia"/>
        </w:rPr>
        <w:t>（5）施工场地防治区</w:t>
      </w:r>
    </w:p>
    <w:p>
      <w:pPr>
        <w:pStyle w:val="10"/>
        <w:ind w:firstLine="480"/>
      </w:pPr>
      <w:r>
        <w:rPr>
          <w:rFonts w:hint="eastAsia"/>
        </w:rPr>
        <w:t>①区内耕植土剥离、后期表土回覆并采取土地整治措施，对现状为耕地的，进行复耕；</w:t>
      </w:r>
    </w:p>
    <w:p>
      <w:pPr>
        <w:pStyle w:val="10"/>
        <w:ind w:firstLine="480"/>
      </w:pPr>
      <w:r>
        <w:rPr>
          <w:rFonts w:hint="eastAsia"/>
        </w:rPr>
        <w:t>②在该区布设排水沉沙设施和挡护设施；</w:t>
      </w:r>
    </w:p>
    <w:p>
      <w:pPr>
        <w:pStyle w:val="10"/>
        <w:ind w:firstLine="480"/>
      </w:pPr>
      <w:r>
        <w:rPr>
          <w:rFonts w:hint="eastAsia"/>
        </w:rPr>
        <w:t>③对临时堆放在该区内的耕植土提出临时拦挡、排水、沉沙、绿化措施。</w:t>
      </w:r>
    </w:p>
    <w:p>
      <w:pPr>
        <w:pStyle w:val="10"/>
        <w:ind w:firstLine="480"/>
      </w:pPr>
      <w:r>
        <w:rPr>
          <w:rFonts w:hint="eastAsia"/>
        </w:rPr>
        <w:t>（6）施工道路防治区</w:t>
      </w:r>
    </w:p>
    <w:p>
      <w:pPr>
        <w:pStyle w:val="10"/>
        <w:ind w:firstLine="480"/>
      </w:pPr>
      <w:r>
        <w:rPr>
          <w:rFonts w:hint="eastAsia"/>
        </w:rPr>
        <w:t>①区内耕植土剥离、后期表土回覆并采取土地整治措施，结合地方路网建设予以保留，不能保留的完工后进行复耕或绿化；</w:t>
      </w:r>
    </w:p>
    <w:p>
      <w:pPr>
        <w:pStyle w:val="10"/>
        <w:ind w:firstLine="480"/>
      </w:pPr>
      <w:r>
        <w:rPr>
          <w:rFonts w:hint="eastAsia"/>
        </w:rPr>
        <w:t>②在施工道路两侧布设排水沟；两侧路肩及边坡采取撒播草籽临时绿化。</w:t>
      </w:r>
    </w:p>
    <w:p>
      <w:pPr>
        <w:pStyle w:val="7"/>
        <w:rPr>
          <w:b/>
          <w:bCs/>
          <w:sz w:val="28"/>
          <w:szCs w:val="28"/>
        </w:rPr>
      </w:pPr>
      <w:bookmarkStart w:id="434" w:name="_Toc402509391"/>
      <w:bookmarkStart w:id="435" w:name="_Toc471329442"/>
      <w:bookmarkStart w:id="436" w:name="_Toc25702"/>
      <w:bookmarkStart w:id="437" w:name="_Toc8122"/>
      <w:r>
        <w:rPr>
          <w:b/>
          <w:bCs/>
          <w:sz w:val="28"/>
          <w:szCs w:val="28"/>
        </w:rPr>
        <w:t>运行期环保措施</w:t>
      </w:r>
      <w:bookmarkEnd w:id="434"/>
      <w:bookmarkEnd w:id="435"/>
      <w:bookmarkEnd w:id="436"/>
      <w:bookmarkEnd w:id="437"/>
    </w:p>
    <w:p>
      <w:pPr>
        <w:pStyle w:val="8"/>
        <w:rPr>
          <w:b/>
          <w:bCs/>
        </w:rPr>
      </w:pPr>
      <w:bookmarkStart w:id="438" w:name="_Toc14820"/>
      <w:r>
        <w:rPr>
          <w:b/>
          <w:bCs/>
        </w:rPr>
        <w:t>大气污染防治措施</w:t>
      </w:r>
      <w:bookmarkEnd w:id="438"/>
    </w:p>
    <w:p>
      <w:pPr>
        <w:pStyle w:val="10"/>
        <w:ind w:firstLine="480"/>
        <w:rPr>
          <w:lang w:val="zh-CN"/>
        </w:rPr>
      </w:pPr>
      <w:r>
        <w:rPr>
          <w:lang w:val="zh-CN"/>
        </w:rPr>
        <w:t>（1）</w:t>
      </w:r>
      <w:r>
        <w:rPr>
          <w:rFonts w:hint="eastAsia"/>
          <w:lang w:val="en-US" w:eastAsia="zh-CN"/>
        </w:rPr>
        <w:t>加强公路养护，保持道路良好的营运状态，减少车辆尾气的排放；</w:t>
      </w:r>
    </w:p>
    <w:p>
      <w:pPr>
        <w:pStyle w:val="10"/>
        <w:ind w:firstLine="480"/>
        <w:rPr>
          <w:lang w:val="zh-CN"/>
        </w:rPr>
      </w:pPr>
      <w:r>
        <w:rPr>
          <w:lang w:val="zh-CN"/>
        </w:rPr>
        <w:t>（2）</w:t>
      </w:r>
      <w:r>
        <w:rPr>
          <w:rFonts w:hint="eastAsia"/>
          <w:lang w:val="en-US" w:eastAsia="zh-CN"/>
        </w:rPr>
        <w:t>路线应及时清扫，防止固体废物随风飞扬造成大气扬尘；</w:t>
      </w:r>
    </w:p>
    <w:p>
      <w:pPr>
        <w:pStyle w:val="10"/>
        <w:ind w:firstLine="480"/>
        <w:rPr>
          <w:lang w:val="zh-CN"/>
        </w:rPr>
      </w:pPr>
      <w:r>
        <w:rPr>
          <w:lang w:val="zh-CN"/>
        </w:rPr>
        <w:t>（3）加大环境管理力度，公路管理部门设环境管理机构，委托当地环境监测部门定期在评价中规定的监测点进行环境空气监测</w:t>
      </w:r>
      <w:r>
        <w:rPr>
          <w:rFonts w:hint="eastAsia"/>
          <w:lang w:val="zh-CN"/>
        </w:rPr>
        <w:t>；</w:t>
      </w:r>
    </w:p>
    <w:p>
      <w:pPr>
        <w:pStyle w:val="10"/>
        <w:ind w:firstLine="480"/>
        <w:rPr>
          <w:rFonts w:hint="eastAsia"/>
          <w:lang w:val="zh-CN"/>
        </w:rPr>
      </w:pPr>
      <w:r>
        <w:rPr>
          <w:lang w:val="zh-CN"/>
        </w:rPr>
        <w:t>（4）加强组织管理，对上路车辆进行检查，禁止车况差、超载、装卸物品遮盖不严容易洒落的车辆上路，减少车辆滞速怠速状态，减少汽车尾气排放对沿线环境空气的影响</w:t>
      </w:r>
      <w:r>
        <w:rPr>
          <w:rFonts w:hint="eastAsia"/>
          <w:lang w:val="zh-CN"/>
        </w:rPr>
        <w:t>；</w:t>
      </w:r>
    </w:p>
    <w:p>
      <w:pPr>
        <w:pStyle w:val="10"/>
        <w:ind w:left="0" w:leftChars="0" w:firstLine="480" w:firstLineChars="200"/>
        <w:rPr>
          <w:lang w:val="zh-CN"/>
        </w:rPr>
      </w:pPr>
      <w:r>
        <w:rPr>
          <w:rFonts w:hint="eastAsia"/>
          <w:lang w:val="zh-CN"/>
        </w:rPr>
        <w:t>（</w:t>
      </w:r>
      <w:r>
        <w:rPr>
          <w:rFonts w:hint="eastAsia"/>
          <w:lang w:val="en-US" w:eastAsia="zh-CN"/>
        </w:rPr>
        <w:t>5</w:t>
      </w:r>
      <w:r>
        <w:rPr>
          <w:rFonts w:hint="eastAsia"/>
          <w:lang w:val="zh-CN"/>
        </w:rPr>
        <w:t>）加强绿化措施，优化绿化树种、绿化结构和层次，提高绿化防治效果，减少气态污染物对周围环境的影响。</w:t>
      </w:r>
    </w:p>
    <w:p>
      <w:pPr>
        <w:pStyle w:val="8"/>
        <w:rPr>
          <w:b/>
          <w:bCs/>
        </w:rPr>
      </w:pPr>
      <w:bookmarkStart w:id="439" w:name="_Toc30432"/>
      <w:r>
        <w:rPr>
          <w:b/>
          <w:bCs/>
        </w:rPr>
        <w:t>噪声污染防治措施</w:t>
      </w:r>
      <w:bookmarkEnd w:id="439"/>
    </w:p>
    <w:p>
      <w:pPr>
        <w:pStyle w:val="10"/>
        <w:ind w:firstLine="480"/>
      </w:pPr>
      <w:r>
        <w:t>根据声环境影响预测结果，本项目在施工过程中，以及项目建成运行后，都将会对区域的声环境质量造成较大的不利影响，尤其是在道路运营期，交通造成将会造成道路沿线多处居民的声环境质量超标。</w:t>
      </w:r>
    </w:p>
    <w:p>
      <w:pPr>
        <w:pStyle w:val="10"/>
        <w:ind w:firstLine="480"/>
      </w:pPr>
      <w:r>
        <w:t>为保护道路沿线的声环境质量，最大程度降低项目建设对区域声环境以及沿线居民生活造成的不利影响，本评价提出以下噪声污染防治措施，主要从管理措施、工程技术措施、环保措施几方面来考虑，分述如下：</w:t>
      </w:r>
    </w:p>
    <w:p>
      <w:pPr>
        <w:pStyle w:val="9"/>
      </w:pPr>
      <w:bookmarkStart w:id="440" w:name="_Toc1721"/>
      <w:r>
        <w:t>管理措施分析</w:t>
      </w:r>
      <w:bookmarkEnd w:id="440"/>
    </w:p>
    <w:p>
      <w:pPr>
        <w:pStyle w:val="10"/>
        <w:ind w:firstLine="480"/>
        <w:rPr>
          <w:snapToGrid w:val="0"/>
          <w:kern w:val="0"/>
        </w:rPr>
      </w:pPr>
      <w:r>
        <w:t>（1）加强营运期沿线声环境敏感点声环境跟踪监测，根据监测结果适时采取有效的减噪措施</w:t>
      </w:r>
      <w:r>
        <w:rPr>
          <w:rFonts w:hint="eastAsia"/>
        </w:rPr>
        <w:t>；</w:t>
      </w:r>
      <w:r>
        <w:t>根据预测超标情况部分声环境保护措施费用预留（主要包括中远期超标敏感点），应按时保质完成安装。</w:t>
      </w:r>
    </w:p>
    <w:p>
      <w:pPr>
        <w:pStyle w:val="10"/>
        <w:ind w:firstLine="480"/>
        <w:rPr>
          <w:snapToGrid w:val="0"/>
          <w:kern w:val="0"/>
        </w:rPr>
      </w:pPr>
      <w:r>
        <w:t>（2）在编制规划时应考虑到道路交通造成的影响。为了保护沿线居民的身体健康，除对现有居民区实施保护外，建议道路中心线两侧100m以内不新建学校和医院等对声环境质量要求较高的敏感建筑。</w:t>
      </w:r>
    </w:p>
    <w:p>
      <w:pPr>
        <w:pStyle w:val="10"/>
        <w:ind w:firstLine="480"/>
        <w:rPr>
          <w:snapToGrid w:val="0"/>
          <w:kern w:val="0"/>
        </w:rPr>
      </w:pPr>
      <w:r>
        <w:t>（3）加强交通管理，禁止噪声过大的破旧车上路。禁止夜间超重超载车上路；控制车辆速度和车流量，通常车辆速度提高一倍，平均噪声值增加6～9dB(A)；车流量增加一倍，噪声增加3dB(A)。</w:t>
      </w:r>
    </w:p>
    <w:p>
      <w:pPr>
        <w:pStyle w:val="10"/>
        <w:ind w:firstLine="480"/>
        <w:rPr>
          <w:snapToGrid w:val="0"/>
          <w:kern w:val="0"/>
        </w:rPr>
      </w:pPr>
      <w:r>
        <w:t>（4）加强路面养护，维持路面平整，避免路况不佳造成车辆颠簸增大噪声。注意公路绿化美化，在有条件的路段种植降噪林带。</w:t>
      </w:r>
    </w:p>
    <w:p>
      <w:pPr>
        <w:pStyle w:val="9"/>
      </w:pPr>
      <w:bookmarkStart w:id="441" w:name="_Toc17716"/>
      <w:r>
        <w:t>环保措施分析</w:t>
      </w:r>
      <w:bookmarkEnd w:id="441"/>
    </w:p>
    <w:p>
      <w:pPr>
        <w:pStyle w:val="10"/>
        <w:ind w:firstLine="480"/>
      </w:pPr>
      <w:r>
        <w:t>目前国内常用的工程降噪措施主要有</w:t>
      </w:r>
      <w:bookmarkStart w:id="541" w:name="_GoBack"/>
      <w:r>
        <w:t>声屏障</w:t>
      </w:r>
      <w:bookmarkEnd w:id="541"/>
      <w:r>
        <w:t>、环境搬迁、隔声窗、绿化、加高围墙、低噪声路面等，各种措施对比简析见表6.3-3所示：</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6.3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常见工程降噪措施对比简析一览表</w:t>
      </w:r>
    </w:p>
    <w:tbl>
      <w:tblPr>
        <w:tblStyle w:val="47"/>
        <w:tblW w:w="517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31"/>
        <w:gridCol w:w="1859"/>
        <w:gridCol w:w="927"/>
        <w:gridCol w:w="1419"/>
        <w:gridCol w:w="2142"/>
        <w:gridCol w:w="21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493" w:type="pct"/>
            <w:vAlign w:val="center"/>
          </w:tcPr>
          <w:p>
            <w:pPr>
              <w:pStyle w:val="1132"/>
              <w:rPr>
                <w:b/>
                <w:bCs w:val="0"/>
              </w:rPr>
            </w:pPr>
            <w:r>
              <w:rPr>
                <w:b/>
                <w:bCs w:val="0"/>
              </w:rPr>
              <w:t>措施名称</w:t>
            </w:r>
          </w:p>
        </w:tc>
        <w:tc>
          <w:tcPr>
            <w:tcW w:w="984" w:type="pct"/>
            <w:noWrap/>
            <w:vAlign w:val="center"/>
          </w:tcPr>
          <w:p>
            <w:pPr>
              <w:pStyle w:val="1132"/>
              <w:rPr>
                <w:b/>
                <w:bCs w:val="0"/>
              </w:rPr>
            </w:pPr>
            <w:r>
              <w:rPr>
                <w:b/>
                <w:bCs w:val="0"/>
              </w:rPr>
              <w:t>适用情况</w:t>
            </w:r>
          </w:p>
        </w:tc>
        <w:tc>
          <w:tcPr>
            <w:tcW w:w="491" w:type="pct"/>
            <w:noWrap/>
            <w:vAlign w:val="center"/>
          </w:tcPr>
          <w:p>
            <w:pPr>
              <w:pStyle w:val="1132"/>
              <w:rPr>
                <w:b/>
                <w:bCs w:val="0"/>
              </w:rPr>
            </w:pPr>
            <w:r>
              <w:rPr>
                <w:b/>
                <w:bCs w:val="0"/>
              </w:rPr>
              <w:t>降噪效果</w:t>
            </w:r>
          </w:p>
        </w:tc>
        <w:tc>
          <w:tcPr>
            <w:tcW w:w="751" w:type="pct"/>
            <w:noWrap/>
            <w:vAlign w:val="center"/>
          </w:tcPr>
          <w:p>
            <w:pPr>
              <w:pStyle w:val="1132"/>
              <w:rPr>
                <w:b/>
                <w:bCs w:val="0"/>
              </w:rPr>
            </w:pPr>
            <w:r>
              <w:rPr>
                <w:b/>
                <w:bCs w:val="0"/>
              </w:rPr>
              <w:t>费用估算</w:t>
            </w:r>
          </w:p>
        </w:tc>
        <w:tc>
          <w:tcPr>
            <w:tcW w:w="1134" w:type="pct"/>
            <w:noWrap/>
            <w:vAlign w:val="center"/>
          </w:tcPr>
          <w:p>
            <w:pPr>
              <w:pStyle w:val="1132"/>
              <w:rPr>
                <w:b/>
                <w:bCs w:val="0"/>
              </w:rPr>
            </w:pPr>
            <w:r>
              <w:rPr>
                <w:b/>
                <w:bCs w:val="0"/>
              </w:rPr>
              <w:t>优点</w:t>
            </w:r>
          </w:p>
        </w:tc>
        <w:tc>
          <w:tcPr>
            <w:tcW w:w="1147" w:type="pct"/>
            <w:noWrap/>
            <w:vAlign w:val="center"/>
          </w:tcPr>
          <w:p>
            <w:pPr>
              <w:pStyle w:val="1132"/>
              <w:rPr>
                <w:b/>
                <w:bCs w:val="0"/>
              </w:rPr>
            </w:pPr>
            <w:r>
              <w:rPr>
                <w:b/>
                <w:bCs w:val="0"/>
              </w:rPr>
              <w:t>缺点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93" w:type="pct"/>
            <w:noWrap/>
            <w:vAlign w:val="center"/>
          </w:tcPr>
          <w:p>
            <w:pPr>
              <w:pStyle w:val="1132"/>
            </w:pPr>
            <w:r>
              <w:t>环境搬迁</w:t>
            </w:r>
          </w:p>
        </w:tc>
        <w:tc>
          <w:tcPr>
            <w:tcW w:w="984" w:type="pct"/>
            <w:vAlign w:val="center"/>
          </w:tcPr>
          <w:p>
            <w:pPr>
              <w:pStyle w:val="1132"/>
            </w:pPr>
            <w:r>
              <w:t>超标严重、其他措施不易解决，居民自愿的前提下</w:t>
            </w:r>
          </w:p>
        </w:tc>
        <w:tc>
          <w:tcPr>
            <w:tcW w:w="491" w:type="pct"/>
            <w:noWrap/>
            <w:vAlign w:val="center"/>
          </w:tcPr>
          <w:p>
            <w:pPr>
              <w:pStyle w:val="1132"/>
            </w:pPr>
            <w:r>
              <w:t>很好</w:t>
            </w:r>
          </w:p>
        </w:tc>
        <w:tc>
          <w:tcPr>
            <w:tcW w:w="751" w:type="pct"/>
            <w:vAlign w:val="center"/>
          </w:tcPr>
          <w:p>
            <w:pPr>
              <w:pStyle w:val="1132"/>
            </w:pPr>
            <w:r>
              <w:t>与实际情况有关</w:t>
            </w:r>
          </w:p>
        </w:tc>
        <w:tc>
          <w:tcPr>
            <w:tcW w:w="1134" w:type="pct"/>
            <w:vAlign w:val="center"/>
          </w:tcPr>
          <w:p>
            <w:pPr>
              <w:pStyle w:val="1132"/>
            </w:pPr>
            <w:r>
              <w:t>可完全消除交通噪声的影响</w:t>
            </w:r>
          </w:p>
        </w:tc>
        <w:tc>
          <w:tcPr>
            <w:tcW w:w="1147" w:type="pct"/>
            <w:vAlign w:val="center"/>
          </w:tcPr>
          <w:p>
            <w:pPr>
              <w:pStyle w:val="1132"/>
            </w:pPr>
            <w:r>
              <w:t>费用较高，对居生活有一定影响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93" w:type="pct"/>
            <w:noWrap/>
            <w:vAlign w:val="center"/>
          </w:tcPr>
          <w:p>
            <w:pPr>
              <w:pStyle w:val="1132"/>
            </w:pPr>
            <w:r>
              <w:t>声屏障</w:t>
            </w:r>
          </w:p>
        </w:tc>
        <w:tc>
          <w:tcPr>
            <w:tcW w:w="984" w:type="pct"/>
            <w:vAlign w:val="center"/>
          </w:tcPr>
          <w:p>
            <w:pPr>
              <w:pStyle w:val="1132"/>
            </w:pPr>
            <w:r>
              <w:t>严重超标、距离道路较近的集中敏感点</w:t>
            </w:r>
          </w:p>
        </w:tc>
        <w:tc>
          <w:tcPr>
            <w:tcW w:w="491" w:type="pct"/>
            <w:noWrap/>
            <w:vAlign w:val="center"/>
          </w:tcPr>
          <w:p>
            <w:pPr>
              <w:pStyle w:val="1132"/>
            </w:pPr>
            <w:r>
              <w:t>6-20dB</w:t>
            </w:r>
          </w:p>
        </w:tc>
        <w:tc>
          <w:tcPr>
            <w:tcW w:w="751" w:type="pct"/>
            <w:vAlign w:val="center"/>
          </w:tcPr>
          <w:p>
            <w:pPr>
              <w:pStyle w:val="1132"/>
            </w:pPr>
            <w:r>
              <w:t>按形式和结构不同，</w:t>
            </w:r>
            <w:r>
              <w:rPr>
                <w:rFonts w:hint="eastAsia"/>
              </w:rPr>
              <w:t>10</w:t>
            </w:r>
            <w:r>
              <w:t>00-</w:t>
            </w:r>
            <w:r>
              <w:rPr>
                <w:rFonts w:hint="eastAsia"/>
              </w:rPr>
              <w:t>3</w:t>
            </w:r>
            <w:r>
              <w:t>000元/延米</w:t>
            </w:r>
          </w:p>
        </w:tc>
        <w:tc>
          <w:tcPr>
            <w:tcW w:w="1134" w:type="pct"/>
            <w:vAlign w:val="center"/>
          </w:tcPr>
          <w:p>
            <w:pPr>
              <w:pStyle w:val="1132"/>
            </w:pPr>
            <w:r>
              <w:t>降噪效果较好，且应用于公路本身，易于实施且受益人口多</w:t>
            </w:r>
          </w:p>
        </w:tc>
        <w:tc>
          <w:tcPr>
            <w:tcW w:w="1147" w:type="pct"/>
            <w:vAlign w:val="center"/>
          </w:tcPr>
          <w:p>
            <w:pPr>
              <w:pStyle w:val="1132"/>
            </w:pPr>
            <w:r>
              <w:t>费用较高，某些形式的声屏障影响景观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93" w:type="pct"/>
            <w:vAlign w:val="center"/>
          </w:tcPr>
          <w:p>
            <w:pPr>
              <w:pStyle w:val="1132"/>
            </w:pPr>
            <w:r>
              <w:t>修建或加高围墙</w:t>
            </w:r>
          </w:p>
        </w:tc>
        <w:tc>
          <w:tcPr>
            <w:tcW w:w="984" w:type="pct"/>
            <w:vAlign w:val="center"/>
          </w:tcPr>
          <w:p>
            <w:pPr>
              <w:pStyle w:val="1132"/>
            </w:pPr>
            <w:r>
              <w:t>轻微超标、距离道路很近的集中居民点</w:t>
            </w:r>
          </w:p>
        </w:tc>
        <w:tc>
          <w:tcPr>
            <w:tcW w:w="491" w:type="pct"/>
            <w:noWrap/>
            <w:vAlign w:val="center"/>
          </w:tcPr>
          <w:p>
            <w:pPr>
              <w:pStyle w:val="1132"/>
            </w:pPr>
            <w:r>
              <w:t>3-5dB</w:t>
            </w:r>
          </w:p>
        </w:tc>
        <w:tc>
          <w:tcPr>
            <w:tcW w:w="751" w:type="pct"/>
            <w:noWrap/>
            <w:vAlign w:val="center"/>
          </w:tcPr>
          <w:p>
            <w:pPr>
              <w:pStyle w:val="1132"/>
            </w:pPr>
            <w:r>
              <w:t>300-400元/延米</w:t>
            </w:r>
          </w:p>
        </w:tc>
        <w:tc>
          <w:tcPr>
            <w:tcW w:w="1134" w:type="pct"/>
            <w:vAlign w:val="center"/>
          </w:tcPr>
          <w:p>
            <w:pPr>
              <w:pStyle w:val="1132"/>
            </w:pPr>
            <w:r>
              <w:t>效果一般，费用低</w:t>
            </w:r>
          </w:p>
        </w:tc>
        <w:tc>
          <w:tcPr>
            <w:tcW w:w="1147" w:type="pct"/>
            <w:vAlign w:val="center"/>
          </w:tcPr>
          <w:p>
            <w:pPr>
              <w:pStyle w:val="1132"/>
            </w:pPr>
            <w:r>
              <w:t>降噪能力有限，适用范围小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93" w:type="pct"/>
            <w:vAlign w:val="center"/>
          </w:tcPr>
          <w:p>
            <w:pPr>
              <w:pStyle w:val="1132"/>
            </w:pPr>
            <w:r>
              <w:t>普通隔声窗</w:t>
            </w:r>
          </w:p>
        </w:tc>
        <w:tc>
          <w:tcPr>
            <w:tcW w:w="984" w:type="pct"/>
            <w:vAlign w:val="center"/>
          </w:tcPr>
          <w:p>
            <w:pPr>
              <w:pStyle w:val="1132"/>
            </w:pPr>
            <w:r>
              <w:t>超标严重、分布分散、距离道路较远的居民点</w:t>
            </w:r>
          </w:p>
        </w:tc>
        <w:tc>
          <w:tcPr>
            <w:tcW w:w="491" w:type="pct"/>
            <w:noWrap/>
            <w:vAlign w:val="center"/>
          </w:tcPr>
          <w:p>
            <w:pPr>
              <w:pStyle w:val="1132"/>
            </w:pPr>
            <w:r>
              <w:t>25-30dB</w:t>
            </w:r>
          </w:p>
        </w:tc>
        <w:tc>
          <w:tcPr>
            <w:tcW w:w="751" w:type="pct"/>
            <w:noWrap/>
            <w:vAlign w:val="center"/>
          </w:tcPr>
          <w:p>
            <w:pPr>
              <w:pStyle w:val="1132"/>
            </w:pPr>
            <w:r>
              <w:t>300-400元/m</w:t>
            </w:r>
            <w:r>
              <w:rPr>
                <w:vertAlign w:val="superscript"/>
              </w:rPr>
              <w:t>2</w:t>
            </w:r>
          </w:p>
        </w:tc>
        <w:tc>
          <w:tcPr>
            <w:tcW w:w="1134" w:type="pct"/>
            <w:vAlign w:val="center"/>
          </w:tcPr>
          <w:p>
            <w:pPr>
              <w:pStyle w:val="1132"/>
            </w:pPr>
            <w:r>
              <w:t>降噪效果较好，费用较低，适用性强</w:t>
            </w:r>
          </w:p>
        </w:tc>
        <w:tc>
          <w:tcPr>
            <w:tcW w:w="1147" w:type="pct"/>
            <w:vAlign w:val="center"/>
          </w:tcPr>
          <w:p>
            <w:pPr>
              <w:pStyle w:val="1132"/>
            </w:pPr>
            <w:r>
              <w:t>不通风，炎热的夏季不适用，影响居民生活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93" w:type="pct"/>
            <w:vAlign w:val="center"/>
          </w:tcPr>
          <w:p>
            <w:pPr>
              <w:pStyle w:val="1132"/>
            </w:pPr>
            <w:r>
              <w:t>通风隔声窗</w:t>
            </w:r>
          </w:p>
        </w:tc>
        <w:tc>
          <w:tcPr>
            <w:tcW w:w="984" w:type="pct"/>
            <w:vAlign w:val="center"/>
          </w:tcPr>
          <w:p>
            <w:pPr>
              <w:pStyle w:val="1132"/>
            </w:pPr>
            <w:r>
              <w:t>超标严重、分布分散、距离道路较远的居民点</w:t>
            </w:r>
          </w:p>
        </w:tc>
        <w:tc>
          <w:tcPr>
            <w:tcW w:w="491" w:type="pct"/>
            <w:noWrap/>
            <w:vAlign w:val="center"/>
          </w:tcPr>
          <w:p>
            <w:pPr>
              <w:pStyle w:val="1132"/>
            </w:pPr>
            <w:r>
              <w:t>25-35dB</w:t>
            </w:r>
          </w:p>
        </w:tc>
        <w:tc>
          <w:tcPr>
            <w:tcW w:w="751" w:type="pct"/>
            <w:noWrap/>
            <w:vAlign w:val="center"/>
          </w:tcPr>
          <w:p>
            <w:pPr>
              <w:pStyle w:val="1132"/>
            </w:pPr>
            <w:r>
              <w:t>600-1000元/m</w:t>
            </w:r>
            <w:r>
              <w:rPr>
                <w:vertAlign w:val="superscript"/>
              </w:rPr>
              <w:t>2</w:t>
            </w:r>
          </w:p>
        </w:tc>
        <w:tc>
          <w:tcPr>
            <w:tcW w:w="1134" w:type="pct"/>
            <w:vAlign w:val="center"/>
          </w:tcPr>
          <w:p>
            <w:pPr>
              <w:pStyle w:val="1132"/>
            </w:pPr>
            <w:r>
              <w:t>降噪效果较好，费用适中，适应性强，对居民生活影响小</w:t>
            </w:r>
          </w:p>
        </w:tc>
        <w:tc>
          <w:tcPr>
            <w:tcW w:w="1147" w:type="pct"/>
            <w:vAlign w:val="center"/>
          </w:tcPr>
          <w:p>
            <w:pPr>
              <w:pStyle w:val="1132"/>
            </w:pPr>
            <w:r>
              <w:t>相对于声屏障等措施来说，实施稍难，特别是农村地区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93" w:type="pct"/>
            <w:vAlign w:val="center"/>
          </w:tcPr>
          <w:p>
            <w:pPr>
              <w:pStyle w:val="1132"/>
            </w:pPr>
            <w:r>
              <w:t>绿化降噪林</w:t>
            </w:r>
          </w:p>
        </w:tc>
        <w:tc>
          <w:tcPr>
            <w:tcW w:w="984" w:type="pct"/>
            <w:vAlign w:val="center"/>
          </w:tcPr>
          <w:p>
            <w:pPr>
              <w:pStyle w:val="1132"/>
            </w:pPr>
            <w:r>
              <w:t>噪声超标不严重、有绿化条件的集中居民点</w:t>
            </w:r>
          </w:p>
        </w:tc>
        <w:tc>
          <w:tcPr>
            <w:tcW w:w="491" w:type="pct"/>
            <w:vAlign w:val="center"/>
          </w:tcPr>
          <w:p>
            <w:pPr>
              <w:pStyle w:val="1132"/>
            </w:pPr>
            <w:r>
              <w:t>30m宽绿化带可降噪3-5dB</w:t>
            </w:r>
          </w:p>
        </w:tc>
        <w:tc>
          <w:tcPr>
            <w:tcW w:w="751" w:type="pct"/>
            <w:vAlign w:val="center"/>
          </w:tcPr>
          <w:p>
            <w:pPr>
              <w:pStyle w:val="1132"/>
            </w:pPr>
            <w:r>
              <w:t>200-500元/m（20m）</w:t>
            </w:r>
          </w:p>
          <w:p>
            <w:pPr>
              <w:pStyle w:val="1132"/>
            </w:pPr>
            <w:r>
              <w:t>300-800元/m（30m）</w:t>
            </w:r>
          </w:p>
        </w:tc>
        <w:tc>
          <w:tcPr>
            <w:tcW w:w="1134" w:type="pct"/>
            <w:vAlign w:val="center"/>
          </w:tcPr>
          <w:p>
            <w:pPr>
              <w:pStyle w:val="1132"/>
            </w:pPr>
            <w:r>
              <w:t>既可降噪，又可净化空气、美化路容，改善生态</w:t>
            </w:r>
          </w:p>
        </w:tc>
        <w:tc>
          <w:tcPr>
            <w:tcW w:w="1147" w:type="pct"/>
            <w:vAlign w:val="center"/>
          </w:tcPr>
          <w:p>
            <w:pPr>
              <w:pStyle w:val="1132"/>
            </w:pPr>
            <w:r>
              <w:t>占地土地面积较大，</w:t>
            </w:r>
            <w:r>
              <w:rPr>
                <w:rFonts w:hint="eastAsia"/>
              </w:rPr>
              <w:t>起效时间长</w:t>
            </w:r>
            <w:r>
              <w:t>，降噪效果季节性变化大，适用性受到限制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93" w:type="pct"/>
            <w:vAlign w:val="center"/>
          </w:tcPr>
          <w:p>
            <w:pPr>
              <w:pStyle w:val="1132"/>
            </w:pPr>
            <w:r>
              <w:t>改变使用功能</w:t>
            </w:r>
          </w:p>
        </w:tc>
        <w:tc>
          <w:tcPr>
            <w:tcW w:w="984" w:type="pct"/>
            <w:vAlign w:val="center"/>
          </w:tcPr>
          <w:p>
            <w:pPr>
              <w:pStyle w:val="1132"/>
            </w:pPr>
            <w:r>
              <w:t>针对全线不封闭，居民住宅大部分临路</w:t>
            </w:r>
          </w:p>
        </w:tc>
        <w:tc>
          <w:tcPr>
            <w:tcW w:w="491" w:type="pct"/>
            <w:noWrap/>
            <w:vAlign w:val="center"/>
          </w:tcPr>
          <w:p>
            <w:pPr>
              <w:pStyle w:val="1132"/>
            </w:pPr>
            <w:r>
              <w:rPr>
                <w:rFonts w:hint="eastAsia"/>
              </w:rPr>
              <w:t>/</w:t>
            </w:r>
          </w:p>
        </w:tc>
        <w:tc>
          <w:tcPr>
            <w:tcW w:w="751" w:type="pct"/>
            <w:noWrap/>
            <w:vAlign w:val="center"/>
          </w:tcPr>
          <w:p>
            <w:pPr>
              <w:pStyle w:val="1132"/>
            </w:pPr>
            <w:r>
              <w:t>2000-10000元/户</w:t>
            </w:r>
          </w:p>
        </w:tc>
        <w:tc>
          <w:tcPr>
            <w:tcW w:w="1134" w:type="pct"/>
            <w:vAlign w:val="center"/>
          </w:tcPr>
          <w:p>
            <w:pPr>
              <w:pStyle w:val="1132"/>
            </w:pPr>
            <w:r>
              <w:t>一楼改为商业门面</w:t>
            </w:r>
          </w:p>
        </w:tc>
        <w:tc>
          <w:tcPr>
            <w:tcW w:w="1147" w:type="pct"/>
            <w:noWrap/>
            <w:vAlign w:val="center"/>
          </w:tcPr>
          <w:p>
            <w:pPr>
              <w:pStyle w:val="1132"/>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93" w:type="pct"/>
            <w:vAlign w:val="center"/>
          </w:tcPr>
          <w:p>
            <w:pPr>
              <w:pStyle w:val="1132"/>
            </w:pPr>
            <w:r>
              <w:t>低噪声路面</w:t>
            </w:r>
          </w:p>
        </w:tc>
        <w:tc>
          <w:tcPr>
            <w:tcW w:w="984" w:type="pct"/>
            <w:vAlign w:val="center"/>
          </w:tcPr>
          <w:p>
            <w:pPr>
              <w:pStyle w:val="1132"/>
            </w:pPr>
            <w:r>
              <w:t>噪声超标较小的路段</w:t>
            </w:r>
          </w:p>
        </w:tc>
        <w:tc>
          <w:tcPr>
            <w:tcW w:w="491" w:type="pct"/>
            <w:noWrap/>
            <w:vAlign w:val="center"/>
          </w:tcPr>
          <w:p>
            <w:pPr>
              <w:pStyle w:val="1132"/>
            </w:pPr>
            <w:r>
              <w:t>2~3</w:t>
            </w:r>
          </w:p>
          <w:p>
            <w:pPr>
              <w:pStyle w:val="1132"/>
            </w:pPr>
            <w:r>
              <w:t>dB(A)</w:t>
            </w:r>
          </w:p>
        </w:tc>
        <w:tc>
          <w:tcPr>
            <w:tcW w:w="751" w:type="pct"/>
            <w:noWrap/>
            <w:vAlign w:val="center"/>
          </w:tcPr>
          <w:p>
            <w:pPr>
              <w:pStyle w:val="1132"/>
            </w:pPr>
            <w:r>
              <w:t>效果一般，费用较高</w:t>
            </w:r>
          </w:p>
        </w:tc>
        <w:tc>
          <w:tcPr>
            <w:tcW w:w="1134" w:type="pct"/>
            <w:vAlign w:val="center"/>
          </w:tcPr>
          <w:p>
            <w:pPr>
              <w:pStyle w:val="1132"/>
            </w:pPr>
            <w:r>
              <w:t>降噪能力有限，维护费用和难度较高</w:t>
            </w:r>
          </w:p>
        </w:tc>
        <w:tc>
          <w:tcPr>
            <w:tcW w:w="1147" w:type="pct"/>
            <w:noWrap/>
            <w:vAlign w:val="center"/>
          </w:tcPr>
          <w:p>
            <w:pPr>
              <w:pStyle w:val="1132"/>
            </w:pPr>
            <w:r>
              <w:t>降噪能力有限，维护费用和难度较高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93" w:type="pct"/>
            <w:vAlign w:val="center"/>
          </w:tcPr>
          <w:p>
            <w:pPr>
              <w:pStyle w:val="1132"/>
            </w:pPr>
            <w:r>
              <w:t>设置禁鸣限速标志</w:t>
            </w:r>
          </w:p>
        </w:tc>
        <w:tc>
          <w:tcPr>
            <w:tcW w:w="984" w:type="pct"/>
            <w:vAlign w:val="center"/>
          </w:tcPr>
          <w:p>
            <w:pPr>
              <w:pStyle w:val="1132"/>
            </w:pPr>
            <w:r>
              <w:t>适用于噪声超标3dB（A）以下敏感点</w:t>
            </w:r>
          </w:p>
        </w:tc>
        <w:tc>
          <w:tcPr>
            <w:tcW w:w="491" w:type="pct"/>
            <w:noWrap/>
            <w:vAlign w:val="center"/>
          </w:tcPr>
          <w:p>
            <w:pPr>
              <w:pStyle w:val="1132"/>
            </w:pPr>
            <w:r>
              <w:t>3dB（A）</w:t>
            </w:r>
          </w:p>
        </w:tc>
        <w:tc>
          <w:tcPr>
            <w:tcW w:w="751" w:type="pct"/>
            <w:noWrap/>
            <w:vAlign w:val="center"/>
          </w:tcPr>
          <w:p>
            <w:pPr>
              <w:pStyle w:val="1132"/>
            </w:pPr>
            <w:r>
              <w:t>投资省，可操作性强</w:t>
            </w:r>
          </w:p>
        </w:tc>
        <w:tc>
          <w:tcPr>
            <w:tcW w:w="1134" w:type="pct"/>
            <w:vAlign w:val="center"/>
          </w:tcPr>
          <w:p>
            <w:pPr>
              <w:pStyle w:val="1132"/>
            </w:pPr>
            <w:r>
              <w:t>只适用于噪声超标3dB（A）以下的敏感点，使用范围小。</w:t>
            </w:r>
          </w:p>
        </w:tc>
        <w:tc>
          <w:tcPr>
            <w:tcW w:w="1147" w:type="pct"/>
            <w:noWrap/>
            <w:vAlign w:val="center"/>
          </w:tcPr>
          <w:p>
            <w:pPr>
              <w:pStyle w:val="1132"/>
            </w:pPr>
            <w:r>
              <w:t>设置禁鸣限速标志</w:t>
            </w:r>
          </w:p>
        </w:tc>
      </w:tr>
    </w:tbl>
    <w:p>
      <w:pPr>
        <w:pStyle w:val="112"/>
        <w:numPr>
          <w:ilvl w:val="0"/>
          <w:numId w:val="14"/>
        </w:numPr>
        <w:ind w:left="0" w:firstLine="480"/>
      </w:pPr>
      <w:r>
        <w:t>搬迁：在各种降噪措施中，搬迁效果最好，可完全消除拟建公路的噪声影响。但由于搬迁的实施需要政府等各相关部门的通力合作，实施难度大，问题多，搬迁成本高，再安置存在一定困难；如搬迁距路较近的敏感点，则后面敏感点失去前面房屋遮挡后噪声依然超标。</w:t>
      </w:r>
    </w:p>
    <w:p>
      <w:pPr>
        <w:pStyle w:val="112"/>
        <w:numPr>
          <w:ilvl w:val="0"/>
          <w:numId w:val="14"/>
        </w:numPr>
        <w:ind w:left="0" w:firstLine="480"/>
      </w:pPr>
      <w:r>
        <w:t>声屏障：声屏障适合于路基有一定高度或桥梁、敏感点分布较为集中的情况，相比于其它方案，声屏障具有容易实施、操作性强及受益人群较广的特点，</w:t>
      </w:r>
      <w:r>
        <w:rPr>
          <w:rFonts w:hint="eastAsia"/>
        </w:rPr>
        <w:t>但其阻碍了行人穿越道路并且阻碍了行车视线，本次评价不建议采取声屏障措施</w:t>
      </w:r>
      <w:r>
        <w:t>。</w:t>
      </w:r>
    </w:p>
    <w:p>
      <w:pPr>
        <w:pStyle w:val="112"/>
        <w:numPr>
          <w:ilvl w:val="0"/>
          <w:numId w:val="14"/>
        </w:numPr>
        <w:ind w:left="0" w:firstLine="480"/>
      </w:pPr>
      <w:r>
        <w:t>修建或加高围墙：加高围墙适用于超标一般的距离公路较近的个别居民住宅或学校，优点是措施费用较低，缺点是降噪能力有限，一般降噪3～5dB(A)左右，同时也能影响居民的生活和景观，拟建公路不适合推荐此措施。</w:t>
      </w:r>
    </w:p>
    <w:p>
      <w:pPr>
        <w:pStyle w:val="112"/>
        <w:numPr>
          <w:ilvl w:val="0"/>
          <w:numId w:val="14"/>
        </w:numPr>
        <w:ind w:left="0" w:firstLine="480"/>
      </w:pPr>
      <w:r>
        <w:t>普通隔声窗：如今市场上的普通隔声窗都可以降噪25~30dB(A)以上，根据声环境影响预测结果，本项目建成运行后，道路两侧声环境敏感点的噪声超标程度相对较小，虽然经济实用，且能保证室内声环境质量，但传统普通隔声窗在阻挡噪声传播的同时，也阻隔了室内外的空气流动，给居民生活造成不便。因此，本</w:t>
      </w:r>
      <w:r>
        <w:rPr>
          <w:rFonts w:hint="eastAsia"/>
        </w:rPr>
        <w:t>次评价</w:t>
      </w:r>
      <w:r>
        <w:t>不推荐给超标敏感点实施普通隔声窗措施。</w:t>
      </w:r>
    </w:p>
    <w:p>
      <w:pPr>
        <w:pStyle w:val="112"/>
        <w:numPr>
          <w:ilvl w:val="0"/>
          <w:numId w:val="14"/>
        </w:numPr>
        <w:ind w:left="0" w:firstLine="480"/>
      </w:pPr>
      <w:r>
        <w:t>通风隔声窗：按照国家环保局发布的《隔声窗》（HJ/T17-1996）标准，隔声窗的隔声量应大于25dB（A）。通风隔声窗则同时满足了隔声和空气流通的要求，</w:t>
      </w:r>
      <w:r>
        <w:rPr>
          <w:rFonts w:hint="eastAsia"/>
        </w:rPr>
        <w:t>综合各方面情况考虑，本项目噪声超标敏感不采用</w:t>
      </w:r>
      <w:r>
        <w:t>通风隔声窗</w:t>
      </w:r>
      <w:r>
        <w:rPr>
          <w:rFonts w:hint="eastAsia"/>
        </w:rPr>
        <w:t>的方式</w:t>
      </w:r>
      <w:r>
        <w:t>。</w:t>
      </w:r>
    </w:p>
    <w:p>
      <w:pPr>
        <w:pStyle w:val="112"/>
        <w:numPr>
          <w:ilvl w:val="0"/>
          <w:numId w:val="14"/>
        </w:numPr>
        <w:ind w:left="0" w:firstLine="480"/>
      </w:pPr>
      <w:r>
        <w:t>低噪声路面：低噪声路面降噪原理主要是多空隙沥青混凝土和小粒径超薄沥青混凝土两种。据研究表明，低噪声路面降噪效果一般在2~3dB左右，在不同气候环境和地质条件下减噪效果也存在一定差异，本项目</w:t>
      </w:r>
      <w:r>
        <w:rPr>
          <w:rFonts w:hint="eastAsia"/>
        </w:rPr>
        <w:t>行车道路为</w:t>
      </w:r>
      <w:r>
        <w:t>沥青混凝土路面，可以降低路面噪声。</w:t>
      </w:r>
    </w:p>
    <w:p>
      <w:pPr>
        <w:pStyle w:val="112"/>
        <w:numPr>
          <w:ilvl w:val="0"/>
          <w:numId w:val="14"/>
        </w:numPr>
        <w:ind w:left="0" w:firstLine="480"/>
      </w:pPr>
      <w:r>
        <w:t>在综合考虑了项目沿线各敏感点特征、道路特点、所需的降噪效果以及各种降噪措施适用的条件等各种因素基础上，本着技术可行、经济合理、同时又兼顾公平的原则，本次评价建议针对噪声超标</w:t>
      </w:r>
      <w:r>
        <w:rPr>
          <w:rFonts w:hint="eastAsia"/>
        </w:rPr>
        <w:t>路段设置禁鸣标志，路旁种植绿化带，提高吸声效果</w:t>
      </w:r>
      <w:r>
        <w:t>。</w:t>
      </w:r>
    </w:p>
    <w:p>
      <w:pPr>
        <w:pStyle w:val="9"/>
      </w:pPr>
      <w:bookmarkStart w:id="442" w:name="_Toc14431"/>
      <w:r>
        <w:t>敏感点噪声污染防治措施</w:t>
      </w:r>
      <w:bookmarkEnd w:id="442"/>
    </w:p>
    <w:p>
      <w:pPr>
        <w:pStyle w:val="10"/>
        <w:ind w:firstLine="480"/>
      </w:pPr>
      <w:r>
        <w:t>本评价主要从环保措施角度提出公路沿线声环境敏感点防护措施，通过对防护措施环境、经济效益等方面进行比选，考虑各类防护措施的适用范围条件，结合各声环境敏感点在营运初期的预测超标量及其与公路的空间位置关系（距离和高差）、保护对象平面分布和可能影响户数等实际情况，主要对受噪声影响的村庄敏感点提出噪声防护措施建议；</w:t>
      </w:r>
      <w:r>
        <w:rPr>
          <w:rFonts w:hint="eastAsia"/>
        </w:rPr>
        <w:t>对于道路沿线密集的敏感点采取设置</w:t>
      </w:r>
      <w:r>
        <w:rPr>
          <w:rFonts w:hint="eastAsia"/>
          <w:lang w:val="en-US" w:eastAsia="zh-CN"/>
        </w:rPr>
        <w:t>道路绿化</w:t>
      </w:r>
      <w:r>
        <w:rPr>
          <w:rFonts w:hint="eastAsia"/>
        </w:rPr>
        <w:t>的方式进行降低噪声。</w:t>
      </w:r>
      <w:r>
        <w:t>具体措施及预期效果见</w:t>
      </w:r>
      <w:r>
        <w:rPr>
          <w:rFonts w:hint="eastAsia"/>
        </w:rPr>
        <w:t>下</w:t>
      </w:r>
      <w:r>
        <w:t>表。</w:t>
      </w:r>
    </w:p>
    <w:p>
      <w:pPr>
        <w:pStyle w:val="112"/>
        <w:ind w:firstLine="480"/>
        <w:jc w:val="left"/>
        <w:rPr>
          <w:color w:val="0070C0"/>
        </w:rPr>
      </w:pPr>
    </w:p>
    <w:p>
      <w:pPr>
        <w:pStyle w:val="112"/>
        <w:ind w:firstLine="480"/>
        <w:jc w:val="left"/>
        <w:rPr>
          <w:color w:val="0070C0"/>
        </w:rPr>
        <w:sectPr>
          <w:footerReference r:id="rId13" w:type="even"/>
          <w:pgSz w:w="11906" w:h="16838"/>
          <w:pgMar w:top="1418" w:right="1418" w:bottom="1418" w:left="1418" w:header="851" w:footer="992" w:gutter="0"/>
          <w:cols w:space="720" w:num="1"/>
          <w:docGrid w:linePitch="312" w:charSpace="0"/>
        </w:sectPr>
      </w:pP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6.3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道路沿线敏感点噪声污染防治措施一览表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14"/>
        <w:gridCol w:w="960"/>
        <w:gridCol w:w="1608"/>
        <w:gridCol w:w="1188"/>
        <w:gridCol w:w="753"/>
        <w:gridCol w:w="951"/>
        <w:gridCol w:w="821"/>
        <w:gridCol w:w="809"/>
        <w:gridCol w:w="943"/>
        <w:gridCol w:w="678"/>
        <w:gridCol w:w="679"/>
        <w:gridCol w:w="826"/>
        <w:gridCol w:w="1480"/>
        <w:gridCol w:w="1135"/>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60" w:hRule="atLeast"/>
          <w:tblHeader/>
        </w:trPr>
        <w:tc>
          <w:tcPr>
            <w:tcW w:w="414" w:type="dxa"/>
            <w:vMerge w:val="restart"/>
            <w:vAlign w:val="center"/>
          </w:tcPr>
          <w:p>
            <w:pPr>
              <w:pStyle w:val="1132"/>
            </w:pPr>
            <w:r>
              <w:rPr>
                <w:rFonts w:hint="eastAsia"/>
              </w:rPr>
              <w:t>序号</w:t>
            </w:r>
          </w:p>
        </w:tc>
        <w:tc>
          <w:tcPr>
            <w:tcW w:w="960" w:type="dxa"/>
            <w:vMerge w:val="restart"/>
            <w:vAlign w:val="center"/>
          </w:tcPr>
          <w:p>
            <w:pPr>
              <w:pStyle w:val="1132"/>
            </w:pPr>
            <w:r>
              <w:rPr>
                <w:rFonts w:hint="eastAsia"/>
              </w:rPr>
              <w:t>声环境保护目标</w:t>
            </w:r>
          </w:p>
        </w:tc>
        <w:tc>
          <w:tcPr>
            <w:tcW w:w="1608" w:type="dxa"/>
            <w:vMerge w:val="restart"/>
            <w:vAlign w:val="center"/>
          </w:tcPr>
          <w:p>
            <w:pPr>
              <w:pStyle w:val="1132"/>
            </w:pPr>
            <w:r>
              <w:rPr>
                <w:rFonts w:hint="eastAsia"/>
              </w:rPr>
              <w:t>里程范围</w:t>
            </w:r>
          </w:p>
        </w:tc>
        <w:tc>
          <w:tcPr>
            <w:tcW w:w="1188" w:type="dxa"/>
            <w:vMerge w:val="restart"/>
            <w:vAlign w:val="center"/>
          </w:tcPr>
          <w:p>
            <w:pPr>
              <w:pStyle w:val="1132"/>
            </w:pPr>
            <w:r>
              <w:rPr>
                <w:rFonts w:hint="eastAsia"/>
              </w:rPr>
              <w:t>距离路中心线/m</w:t>
            </w:r>
          </w:p>
        </w:tc>
        <w:tc>
          <w:tcPr>
            <w:tcW w:w="753" w:type="dxa"/>
            <w:vMerge w:val="restart"/>
            <w:vAlign w:val="center"/>
          </w:tcPr>
          <w:p>
            <w:pPr>
              <w:pStyle w:val="1132"/>
            </w:pPr>
            <w:r>
              <w:rPr>
                <w:rFonts w:hint="eastAsia"/>
              </w:rPr>
              <w:t>高差/m</w:t>
            </w:r>
          </w:p>
        </w:tc>
        <w:tc>
          <w:tcPr>
            <w:tcW w:w="1772" w:type="dxa"/>
            <w:gridSpan w:val="2"/>
            <w:vAlign w:val="center"/>
          </w:tcPr>
          <w:p>
            <w:pPr>
              <w:pStyle w:val="1132"/>
            </w:pPr>
            <w:r>
              <w:rPr>
                <w:rFonts w:hint="eastAsia"/>
              </w:rPr>
              <w:t>远期噪声预测值/d</w:t>
            </w:r>
            <w:r>
              <w:t>B</w:t>
            </w:r>
          </w:p>
        </w:tc>
        <w:tc>
          <w:tcPr>
            <w:tcW w:w="1752" w:type="dxa"/>
            <w:gridSpan w:val="2"/>
            <w:vAlign w:val="center"/>
          </w:tcPr>
          <w:p>
            <w:pPr>
              <w:pStyle w:val="1132"/>
            </w:pPr>
            <w:r>
              <w:rPr>
                <w:rFonts w:hint="eastAsia"/>
              </w:rPr>
              <w:t>营运期超标量/d</w:t>
            </w:r>
            <w:r>
              <w:t>B</w:t>
            </w:r>
          </w:p>
        </w:tc>
        <w:tc>
          <w:tcPr>
            <w:tcW w:w="1357" w:type="dxa"/>
            <w:gridSpan w:val="2"/>
            <w:vAlign w:val="center"/>
          </w:tcPr>
          <w:p>
            <w:pPr>
              <w:pStyle w:val="1132"/>
            </w:pPr>
            <w:r>
              <w:rPr>
                <w:rFonts w:hint="eastAsia"/>
              </w:rPr>
              <w:t>受影响户数/户</w:t>
            </w:r>
          </w:p>
        </w:tc>
        <w:tc>
          <w:tcPr>
            <w:tcW w:w="4312" w:type="dxa"/>
            <w:gridSpan w:val="4"/>
            <w:vAlign w:val="center"/>
          </w:tcPr>
          <w:p>
            <w:pPr>
              <w:pStyle w:val="1132"/>
            </w:pPr>
            <w:r>
              <w:rPr>
                <w:rFonts w:hint="eastAsia"/>
              </w:rPr>
              <w:t>噪声防治措施及投资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0" w:hRule="atLeast"/>
          <w:tblHeader/>
        </w:trPr>
        <w:tc>
          <w:tcPr>
            <w:tcW w:w="414" w:type="dxa"/>
            <w:vMerge w:val="continue"/>
            <w:vAlign w:val="center"/>
          </w:tcPr>
          <w:p>
            <w:pPr>
              <w:pStyle w:val="1132"/>
            </w:pPr>
          </w:p>
        </w:tc>
        <w:tc>
          <w:tcPr>
            <w:tcW w:w="960" w:type="dxa"/>
            <w:vMerge w:val="continue"/>
            <w:vAlign w:val="center"/>
          </w:tcPr>
          <w:p>
            <w:pPr>
              <w:pStyle w:val="1132"/>
            </w:pPr>
          </w:p>
        </w:tc>
        <w:tc>
          <w:tcPr>
            <w:tcW w:w="1608" w:type="dxa"/>
            <w:vMerge w:val="continue"/>
            <w:vAlign w:val="center"/>
          </w:tcPr>
          <w:p>
            <w:pPr>
              <w:pStyle w:val="1132"/>
            </w:pPr>
          </w:p>
        </w:tc>
        <w:tc>
          <w:tcPr>
            <w:tcW w:w="1188" w:type="dxa"/>
            <w:vMerge w:val="continue"/>
            <w:vAlign w:val="center"/>
          </w:tcPr>
          <w:p>
            <w:pPr>
              <w:pStyle w:val="1132"/>
            </w:pPr>
          </w:p>
        </w:tc>
        <w:tc>
          <w:tcPr>
            <w:tcW w:w="753" w:type="dxa"/>
            <w:vMerge w:val="continue"/>
            <w:vAlign w:val="center"/>
          </w:tcPr>
          <w:p>
            <w:pPr>
              <w:pStyle w:val="1132"/>
            </w:pPr>
          </w:p>
        </w:tc>
        <w:tc>
          <w:tcPr>
            <w:tcW w:w="951" w:type="dxa"/>
            <w:vAlign w:val="center"/>
          </w:tcPr>
          <w:p>
            <w:pPr>
              <w:pStyle w:val="1132"/>
            </w:pPr>
            <w:r>
              <w:rPr>
                <w:rFonts w:hint="eastAsia"/>
              </w:rPr>
              <w:t>昼间</w:t>
            </w:r>
          </w:p>
        </w:tc>
        <w:tc>
          <w:tcPr>
            <w:tcW w:w="821" w:type="dxa"/>
            <w:vAlign w:val="center"/>
          </w:tcPr>
          <w:p>
            <w:pPr>
              <w:pStyle w:val="1132"/>
            </w:pPr>
            <w:r>
              <w:rPr>
                <w:rFonts w:hint="eastAsia"/>
              </w:rPr>
              <w:t>夜间</w:t>
            </w:r>
          </w:p>
        </w:tc>
        <w:tc>
          <w:tcPr>
            <w:tcW w:w="809" w:type="dxa"/>
            <w:vAlign w:val="center"/>
          </w:tcPr>
          <w:p>
            <w:pPr>
              <w:pStyle w:val="1132"/>
            </w:pPr>
            <w:r>
              <w:rPr>
                <w:rFonts w:hint="eastAsia"/>
              </w:rPr>
              <w:t>4a类区</w:t>
            </w:r>
          </w:p>
        </w:tc>
        <w:tc>
          <w:tcPr>
            <w:tcW w:w="943" w:type="dxa"/>
            <w:vAlign w:val="center"/>
          </w:tcPr>
          <w:p>
            <w:pPr>
              <w:pStyle w:val="1132"/>
            </w:pPr>
            <w:r>
              <w:rPr>
                <w:rFonts w:hint="eastAsia"/>
              </w:rPr>
              <w:t>2类区</w:t>
            </w:r>
          </w:p>
        </w:tc>
        <w:tc>
          <w:tcPr>
            <w:tcW w:w="678" w:type="dxa"/>
            <w:vAlign w:val="center"/>
          </w:tcPr>
          <w:p>
            <w:pPr>
              <w:pStyle w:val="1132"/>
            </w:pPr>
            <w:r>
              <w:rPr>
                <w:rFonts w:hint="eastAsia"/>
              </w:rPr>
              <w:t>4a类区</w:t>
            </w:r>
          </w:p>
        </w:tc>
        <w:tc>
          <w:tcPr>
            <w:tcW w:w="679" w:type="dxa"/>
            <w:vAlign w:val="center"/>
          </w:tcPr>
          <w:p>
            <w:pPr>
              <w:pStyle w:val="1132"/>
            </w:pPr>
            <w:r>
              <w:rPr>
                <w:rFonts w:hint="eastAsia"/>
              </w:rPr>
              <w:t>2类区</w:t>
            </w:r>
          </w:p>
        </w:tc>
        <w:tc>
          <w:tcPr>
            <w:tcW w:w="826" w:type="dxa"/>
            <w:vAlign w:val="center"/>
          </w:tcPr>
          <w:p>
            <w:pPr>
              <w:pStyle w:val="1132"/>
            </w:pPr>
            <w:r>
              <w:rPr>
                <w:rFonts w:hint="eastAsia"/>
              </w:rPr>
              <w:t>类型</w:t>
            </w:r>
          </w:p>
        </w:tc>
        <w:tc>
          <w:tcPr>
            <w:tcW w:w="1480" w:type="dxa"/>
            <w:vAlign w:val="center"/>
          </w:tcPr>
          <w:p>
            <w:pPr>
              <w:pStyle w:val="1132"/>
            </w:pPr>
            <w:r>
              <w:rPr>
                <w:rFonts w:hint="eastAsia"/>
              </w:rPr>
              <w:t>规模</w:t>
            </w:r>
          </w:p>
        </w:tc>
        <w:tc>
          <w:tcPr>
            <w:tcW w:w="1135" w:type="dxa"/>
            <w:vAlign w:val="center"/>
          </w:tcPr>
          <w:p>
            <w:pPr>
              <w:pStyle w:val="1132"/>
            </w:pPr>
            <w:r>
              <w:rPr>
                <w:rFonts w:hint="eastAsia"/>
              </w:rPr>
              <w:t>噪声控制措施效果</w:t>
            </w:r>
          </w:p>
        </w:tc>
        <w:tc>
          <w:tcPr>
            <w:tcW w:w="871" w:type="dxa"/>
            <w:vAlign w:val="center"/>
          </w:tcPr>
          <w:p>
            <w:pPr>
              <w:pStyle w:val="1132"/>
            </w:pPr>
            <w:r>
              <w:rPr>
                <w:rFonts w:hint="eastAsia"/>
              </w:rPr>
              <w:t>噪声控制措施投资/万元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Align w:val="center"/>
          </w:tcPr>
          <w:p>
            <w:pPr>
              <w:pStyle w:val="1132"/>
              <w:rPr>
                <w:rFonts w:hint="eastAsia"/>
                <w:szCs w:val="21"/>
              </w:rPr>
            </w:pPr>
            <w:r>
              <w:rPr>
                <w:rFonts w:hint="eastAsia"/>
                <w:szCs w:val="21"/>
              </w:rPr>
              <w:t>1</w:t>
            </w:r>
          </w:p>
        </w:tc>
        <w:tc>
          <w:tcPr>
            <w:tcW w:w="960" w:type="dxa"/>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szCs w:val="21"/>
              </w:rPr>
            </w:pPr>
            <w:r>
              <w:rPr>
                <w:rFonts w:hint="eastAsia" w:cs="Times New Roman"/>
                <w:color w:val="000000" w:themeColor="text1"/>
                <w:sz w:val="21"/>
                <w:szCs w:val="21"/>
                <w:lang w:val="en-US" w:eastAsia="zh-CN"/>
                <w14:textFill>
                  <w14:solidFill>
                    <w14:schemeClr w14:val="tx1"/>
                  </w14:solidFill>
                </w14:textFill>
              </w:rPr>
              <w:t>宋小庄</w:t>
            </w:r>
          </w:p>
        </w:tc>
        <w:tc>
          <w:tcPr>
            <w:tcW w:w="1608" w:type="dxa"/>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default" w:ascii="Times New Roman" w:hAnsi="Times New Roman" w:cs="Times New Roman"/>
                <w:color w:val="000000" w:themeColor="text1"/>
                <w:sz w:val="21"/>
                <w:szCs w:val="21"/>
                <w14:textFill>
                  <w14:solidFill>
                    <w14:schemeClr w14:val="tx1"/>
                  </w14:solidFill>
                </w14:textFill>
              </w:rPr>
              <w:t>K</w:t>
            </w:r>
            <w:r>
              <w:rPr>
                <w:rFonts w:hint="eastAsia"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14:textFill>
                  <w14:solidFill>
                    <w14:schemeClr w14:val="tx1"/>
                  </w14:solidFill>
                </w14:textFill>
              </w:rPr>
              <w:t>0~K</w:t>
            </w:r>
            <w:r>
              <w:rPr>
                <w:rFonts w:hint="eastAsia"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0</w:t>
            </w:r>
          </w:p>
        </w:tc>
        <w:tc>
          <w:tcPr>
            <w:tcW w:w="1188" w:type="dxa"/>
            <w:vAlign w:val="center"/>
          </w:tcPr>
          <w:p>
            <w:pPr>
              <w:pStyle w:val="1132"/>
              <w:rPr>
                <w:rFonts w:hint="default"/>
                <w:szCs w:val="21"/>
                <w:lang w:val="en-US" w:eastAsia="zh-CN"/>
              </w:rPr>
            </w:pPr>
            <w:r>
              <w:rPr>
                <w:rFonts w:hint="eastAsia"/>
                <w:szCs w:val="21"/>
                <w:lang w:val="en-US" w:eastAsia="zh-CN"/>
              </w:rPr>
              <w:t>178</w:t>
            </w:r>
          </w:p>
        </w:tc>
        <w:tc>
          <w:tcPr>
            <w:tcW w:w="753" w:type="dxa"/>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0~0.7</w:t>
            </w:r>
          </w:p>
        </w:tc>
        <w:tc>
          <w:tcPr>
            <w:tcW w:w="951" w:type="dxa"/>
            <w:vAlign w:val="center"/>
          </w:tcPr>
          <w:p>
            <w:pPr>
              <w:pStyle w:val="1132"/>
              <w:rPr>
                <w:rFonts w:hint="default"/>
                <w:szCs w:val="21"/>
                <w:lang w:val="en-US" w:eastAsia="zh-CN"/>
              </w:rPr>
            </w:pPr>
            <w:r>
              <w:rPr>
                <w:rFonts w:hint="eastAsia"/>
                <w:szCs w:val="21"/>
                <w:lang w:val="en-US" w:eastAsia="zh-CN"/>
              </w:rPr>
              <w:t>54.4</w:t>
            </w:r>
          </w:p>
        </w:tc>
        <w:tc>
          <w:tcPr>
            <w:tcW w:w="821" w:type="dxa"/>
            <w:vAlign w:val="center"/>
          </w:tcPr>
          <w:p>
            <w:pPr>
              <w:pStyle w:val="1132"/>
              <w:rPr>
                <w:rFonts w:hint="default"/>
                <w:szCs w:val="21"/>
                <w:lang w:val="en-US" w:eastAsia="zh-CN"/>
              </w:rPr>
            </w:pPr>
            <w:r>
              <w:rPr>
                <w:rFonts w:hint="eastAsia"/>
                <w:szCs w:val="21"/>
                <w:lang w:val="en-US" w:eastAsia="zh-CN"/>
              </w:rPr>
              <w:t>46.7</w:t>
            </w:r>
          </w:p>
        </w:tc>
        <w:tc>
          <w:tcPr>
            <w:tcW w:w="809" w:type="dxa"/>
            <w:vAlign w:val="center"/>
          </w:tcPr>
          <w:p>
            <w:pPr>
              <w:pStyle w:val="1132"/>
              <w:rPr>
                <w:rFonts w:hint="default"/>
                <w:szCs w:val="21"/>
                <w:lang w:val="en-US" w:eastAsia="zh-CN"/>
              </w:rPr>
            </w:pPr>
            <w:r>
              <w:rPr>
                <w:rFonts w:hint="eastAsia"/>
                <w:szCs w:val="21"/>
                <w:lang w:val="en-US" w:eastAsia="zh-CN"/>
              </w:rPr>
              <w:t>0</w:t>
            </w:r>
          </w:p>
        </w:tc>
        <w:tc>
          <w:tcPr>
            <w:tcW w:w="943" w:type="dxa"/>
            <w:vAlign w:val="center"/>
          </w:tcPr>
          <w:p>
            <w:pPr>
              <w:pStyle w:val="1132"/>
              <w:rPr>
                <w:rFonts w:hint="eastAsia" w:eastAsia="宋体"/>
                <w:szCs w:val="21"/>
                <w:lang w:val="en-US" w:eastAsia="zh-CN"/>
              </w:rPr>
            </w:pPr>
            <w:r>
              <w:rPr>
                <w:rFonts w:hint="eastAsia"/>
                <w:szCs w:val="21"/>
                <w:lang w:val="en-US" w:eastAsia="zh-CN"/>
              </w:rPr>
              <w:t>/</w:t>
            </w:r>
          </w:p>
        </w:tc>
        <w:tc>
          <w:tcPr>
            <w:tcW w:w="678" w:type="dxa"/>
            <w:vAlign w:val="center"/>
          </w:tcPr>
          <w:p>
            <w:pPr>
              <w:pStyle w:val="1132"/>
              <w:rPr>
                <w:rFonts w:hint="default"/>
                <w:szCs w:val="21"/>
                <w:lang w:val="en-US" w:eastAsia="zh-CN"/>
              </w:rPr>
            </w:pPr>
            <w:r>
              <w:rPr>
                <w:rFonts w:hint="eastAsia"/>
                <w:szCs w:val="21"/>
                <w:lang w:val="en-US" w:eastAsia="zh-CN"/>
              </w:rPr>
              <w:t>0</w:t>
            </w:r>
          </w:p>
        </w:tc>
        <w:tc>
          <w:tcPr>
            <w:tcW w:w="679" w:type="dxa"/>
            <w:vAlign w:val="center"/>
          </w:tcPr>
          <w:p>
            <w:pPr>
              <w:pStyle w:val="1132"/>
              <w:rPr>
                <w:rFonts w:hint="default"/>
                <w:szCs w:val="21"/>
                <w:lang w:val="en-US" w:eastAsia="zh-CN"/>
              </w:rPr>
            </w:pPr>
            <w:r>
              <w:rPr>
                <w:rFonts w:hint="eastAsia"/>
                <w:szCs w:val="21"/>
                <w:lang w:val="en-US" w:eastAsia="zh-CN"/>
              </w:rPr>
              <w:t>/</w:t>
            </w:r>
          </w:p>
        </w:tc>
        <w:tc>
          <w:tcPr>
            <w:tcW w:w="826" w:type="dxa"/>
            <w:vAlign w:val="center"/>
          </w:tcPr>
          <w:p>
            <w:pPr>
              <w:pStyle w:val="1132"/>
              <w:rPr>
                <w:rFonts w:hint="eastAsia" w:eastAsia="宋体"/>
                <w:szCs w:val="21"/>
                <w:lang w:val="en-US" w:eastAsia="zh-CN"/>
              </w:rPr>
            </w:pPr>
            <w:r>
              <w:rPr>
                <w:rFonts w:hint="eastAsia"/>
                <w:szCs w:val="21"/>
                <w:lang w:val="en-US" w:eastAsia="zh-CN"/>
              </w:rPr>
              <w:t>/</w:t>
            </w:r>
          </w:p>
        </w:tc>
        <w:tc>
          <w:tcPr>
            <w:tcW w:w="1480" w:type="dxa"/>
            <w:vAlign w:val="center"/>
          </w:tcPr>
          <w:p>
            <w:pPr>
              <w:pStyle w:val="1132"/>
              <w:rPr>
                <w:rFonts w:hint="eastAsia"/>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rFonts w:hint="default" w:eastAsia="宋体"/>
                <w:szCs w:val="21"/>
                <w:lang w:val="en-US" w:eastAsia="zh-CN"/>
              </w:rPr>
            </w:pPr>
            <w:r>
              <w:rPr>
                <w:rFonts w:hint="eastAsia"/>
                <w:szCs w:val="21"/>
                <w:lang w:val="en-US" w:eastAsia="zh-CN"/>
              </w:rPr>
              <w:t>/</w:t>
            </w:r>
          </w:p>
        </w:tc>
        <w:tc>
          <w:tcPr>
            <w:tcW w:w="871" w:type="dxa"/>
            <w:vAlign w:val="center"/>
          </w:tcPr>
          <w:p>
            <w:pPr>
              <w:pStyle w:val="1132"/>
              <w:rPr>
                <w:rFonts w:hint="eastAsia" w:eastAsia="宋体"/>
                <w:szCs w:val="21"/>
                <w:lang w:val="en-US" w:eastAsia="zh-CN"/>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Align w:val="center"/>
          </w:tcPr>
          <w:p>
            <w:pPr>
              <w:pStyle w:val="1132"/>
              <w:rPr>
                <w:rFonts w:hint="eastAsia"/>
                <w:szCs w:val="21"/>
              </w:rPr>
            </w:pPr>
            <w:r>
              <w:rPr>
                <w:rFonts w:hint="eastAsia"/>
                <w:szCs w:val="21"/>
              </w:rPr>
              <w:t>2</w:t>
            </w:r>
          </w:p>
        </w:tc>
        <w:tc>
          <w:tcPr>
            <w:tcW w:w="960" w:type="dxa"/>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szCs w:val="21"/>
              </w:rPr>
            </w:pPr>
            <w:r>
              <w:rPr>
                <w:rFonts w:hint="eastAsia" w:cs="Times New Roman"/>
                <w:color w:val="000000" w:themeColor="text1"/>
                <w:sz w:val="21"/>
                <w:szCs w:val="21"/>
                <w:lang w:val="en-US" w:eastAsia="zh-CN"/>
                <w14:textFill>
                  <w14:solidFill>
                    <w14:schemeClr w14:val="tx1"/>
                  </w14:solidFill>
                </w14:textFill>
              </w:rPr>
              <w:t>路圩村</w:t>
            </w:r>
          </w:p>
        </w:tc>
        <w:tc>
          <w:tcPr>
            <w:tcW w:w="1608" w:type="dxa"/>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000000" w:themeColor="text1"/>
                <w:sz w:val="21"/>
                <w:szCs w:val="21"/>
                <w:lang w:val="en-US" w:eastAsia="zh-CN"/>
                <w14:textFill>
                  <w14:solidFill>
                    <w14:schemeClr w14:val="tx1"/>
                  </w14:solidFill>
                </w14:textFill>
              </w:rPr>
              <w:t>K1+402~K1+720</w:t>
            </w:r>
          </w:p>
        </w:tc>
        <w:tc>
          <w:tcPr>
            <w:tcW w:w="1188" w:type="dxa"/>
            <w:vAlign w:val="center"/>
          </w:tcPr>
          <w:p>
            <w:pPr>
              <w:pStyle w:val="1132"/>
              <w:rPr>
                <w:rFonts w:hint="default"/>
                <w:szCs w:val="21"/>
                <w:lang w:val="en-US" w:eastAsia="zh-CN"/>
              </w:rPr>
            </w:pPr>
            <w:r>
              <w:rPr>
                <w:rFonts w:hint="eastAsia" w:cs="Times New Roman"/>
                <w:b w:val="0"/>
                <w:bCs w:val="0"/>
                <w:color w:val="auto"/>
                <w:sz w:val="21"/>
                <w:szCs w:val="21"/>
                <w:lang w:val="en-US" w:eastAsia="zh-CN"/>
              </w:rPr>
              <w:t>118</w:t>
            </w:r>
          </w:p>
        </w:tc>
        <w:tc>
          <w:tcPr>
            <w:tcW w:w="753" w:type="dxa"/>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0~1.2</w:t>
            </w:r>
          </w:p>
        </w:tc>
        <w:tc>
          <w:tcPr>
            <w:tcW w:w="951" w:type="dxa"/>
            <w:vAlign w:val="center"/>
          </w:tcPr>
          <w:p>
            <w:pPr>
              <w:pStyle w:val="1132"/>
              <w:rPr>
                <w:rFonts w:hint="default"/>
                <w:szCs w:val="21"/>
                <w:lang w:val="en-US" w:eastAsia="zh-CN"/>
              </w:rPr>
            </w:pPr>
            <w:r>
              <w:rPr>
                <w:rFonts w:hint="eastAsia"/>
                <w:szCs w:val="21"/>
                <w:lang w:val="en-US" w:eastAsia="zh-CN"/>
              </w:rPr>
              <w:t>56.9</w:t>
            </w:r>
          </w:p>
        </w:tc>
        <w:tc>
          <w:tcPr>
            <w:tcW w:w="821" w:type="dxa"/>
            <w:vAlign w:val="center"/>
          </w:tcPr>
          <w:p>
            <w:pPr>
              <w:pStyle w:val="1132"/>
              <w:rPr>
                <w:rFonts w:hint="default"/>
                <w:szCs w:val="21"/>
                <w:lang w:val="en-US" w:eastAsia="zh-CN"/>
              </w:rPr>
            </w:pPr>
            <w:r>
              <w:rPr>
                <w:rFonts w:hint="eastAsia"/>
                <w:szCs w:val="21"/>
                <w:lang w:val="en-US" w:eastAsia="zh-CN"/>
              </w:rPr>
              <w:t>46.3</w:t>
            </w:r>
          </w:p>
        </w:tc>
        <w:tc>
          <w:tcPr>
            <w:tcW w:w="809" w:type="dxa"/>
            <w:vAlign w:val="center"/>
          </w:tcPr>
          <w:p>
            <w:pPr>
              <w:pStyle w:val="1132"/>
              <w:rPr>
                <w:rFonts w:hint="eastAsia"/>
                <w:szCs w:val="21"/>
                <w:lang w:val="en-US" w:eastAsia="zh-CN"/>
              </w:rPr>
            </w:pPr>
            <w:r>
              <w:rPr>
                <w:rFonts w:hint="eastAsia"/>
                <w:szCs w:val="21"/>
                <w:lang w:val="en-US" w:eastAsia="zh-CN"/>
              </w:rPr>
              <w:t>/</w:t>
            </w:r>
          </w:p>
        </w:tc>
        <w:tc>
          <w:tcPr>
            <w:tcW w:w="943" w:type="dxa"/>
            <w:vAlign w:val="center"/>
          </w:tcPr>
          <w:p>
            <w:pPr>
              <w:pStyle w:val="1132"/>
              <w:rPr>
                <w:rFonts w:hint="eastAsia"/>
                <w:szCs w:val="21"/>
              </w:rPr>
            </w:pPr>
            <w:r>
              <w:rPr>
                <w:rFonts w:hint="eastAsia"/>
                <w:szCs w:val="21"/>
                <w:lang w:val="en-US" w:eastAsia="zh-CN"/>
              </w:rPr>
              <w:t>0</w:t>
            </w:r>
          </w:p>
        </w:tc>
        <w:tc>
          <w:tcPr>
            <w:tcW w:w="678" w:type="dxa"/>
            <w:vAlign w:val="center"/>
          </w:tcPr>
          <w:p>
            <w:pPr>
              <w:pStyle w:val="1132"/>
              <w:rPr>
                <w:rFonts w:hint="eastAsia"/>
                <w:szCs w:val="21"/>
                <w:lang w:val="en-US" w:eastAsia="zh-CN"/>
              </w:rPr>
            </w:pPr>
            <w:r>
              <w:rPr>
                <w:rFonts w:hint="eastAsia"/>
                <w:szCs w:val="21"/>
                <w:lang w:val="en-US" w:eastAsia="zh-CN"/>
              </w:rPr>
              <w:t>/</w:t>
            </w:r>
          </w:p>
        </w:tc>
        <w:tc>
          <w:tcPr>
            <w:tcW w:w="679" w:type="dxa"/>
            <w:vAlign w:val="center"/>
          </w:tcPr>
          <w:p>
            <w:pPr>
              <w:pStyle w:val="1132"/>
              <w:rPr>
                <w:rFonts w:hint="eastAsia"/>
                <w:szCs w:val="21"/>
                <w:lang w:val="en-US" w:eastAsia="zh-CN"/>
              </w:rPr>
            </w:pPr>
            <w:r>
              <w:rPr>
                <w:rFonts w:hint="eastAsia"/>
                <w:szCs w:val="21"/>
                <w:lang w:val="en-US" w:eastAsia="zh-CN"/>
              </w:rPr>
              <w:t>0</w:t>
            </w:r>
          </w:p>
        </w:tc>
        <w:tc>
          <w:tcPr>
            <w:tcW w:w="826" w:type="dxa"/>
            <w:vAlign w:val="center"/>
          </w:tcPr>
          <w:p>
            <w:pPr>
              <w:pStyle w:val="1132"/>
              <w:rPr>
                <w:rFonts w:hint="eastAsia"/>
                <w:szCs w:val="21"/>
              </w:rPr>
            </w:pPr>
            <w:r>
              <w:rPr>
                <w:rFonts w:hint="eastAsia"/>
                <w:szCs w:val="21"/>
                <w:lang w:val="en-US" w:eastAsia="zh-CN"/>
              </w:rPr>
              <w:t>/</w:t>
            </w:r>
          </w:p>
        </w:tc>
        <w:tc>
          <w:tcPr>
            <w:tcW w:w="1480" w:type="dxa"/>
            <w:vAlign w:val="center"/>
          </w:tcPr>
          <w:p>
            <w:pPr>
              <w:pStyle w:val="1132"/>
              <w:rPr>
                <w:rFonts w:hint="eastAsia"/>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rFonts w:hint="eastAsia"/>
                <w:szCs w:val="21"/>
              </w:rPr>
            </w:pPr>
            <w:r>
              <w:rPr>
                <w:rFonts w:hint="eastAsia"/>
                <w:szCs w:val="21"/>
                <w:lang w:val="en-US" w:eastAsia="zh-CN"/>
              </w:rPr>
              <w:t>/</w:t>
            </w:r>
          </w:p>
        </w:tc>
        <w:tc>
          <w:tcPr>
            <w:tcW w:w="871" w:type="dxa"/>
            <w:vAlign w:val="center"/>
          </w:tcPr>
          <w:p>
            <w:pPr>
              <w:pStyle w:val="1132"/>
              <w:rPr>
                <w:szCs w:val="21"/>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Align w:val="center"/>
          </w:tcPr>
          <w:p>
            <w:pPr>
              <w:pStyle w:val="1132"/>
              <w:rPr>
                <w:rFonts w:hint="eastAsia" w:eastAsia="宋体"/>
                <w:szCs w:val="21"/>
                <w:lang w:val="en-US" w:eastAsia="zh-CN"/>
              </w:rPr>
            </w:pPr>
            <w:r>
              <w:rPr>
                <w:rFonts w:hint="eastAsia"/>
                <w:szCs w:val="21"/>
                <w:lang w:val="en-US" w:eastAsia="zh-CN"/>
              </w:rPr>
              <w:t>3</w:t>
            </w:r>
          </w:p>
        </w:tc>
        <w:tc>
          <w:tcPr>
            <w:tcW w:w="960" w:type="dxa"/>
            <w:vAlign w:val="center"/>
          </w:tcPr>
          <w:p>
            <w:pPr>
              <w:pStyle w:val="1132"/>
              <w:rPr>
                <w:rFonts w:hint="eastAsia"/>
                <w:szCs w:val="21"/>
              </w:rPr>
            </w:pPr>
            <w:r>
              <w:rPr>
                <w:rFonts w:hint="eastAsia"/>
              </w:rPr>
              <w:t>汤庄（原）</w:t>
            </w:r>
          </w:p>
        </w:tc>
        <w:tc>
          <w:tcPr>
            <w:tcW w:w="1608" w:type="dxa"/>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K2+600~K2+800</w:t>
            </w:r>
          </w:p>
        </w:tc>
        <w:tc>
          <w:tcPr>
            <w:tcW w:w="1188" w:type="dxa"/>
            <w:vAlign w:val="center"/>
          </w:tcPr>
          <w:p>
            <w:pPr>
              <w:pStyle w:val="1132"/>
              <w:rPr>
                <w:rFonts w:hint="default"/>
                <w:szCs w:val="21"/>
                <w:lang w:val="en-US" w:eastAsia="zh-CN"/>
              </w:rPr>
            </w:pPr>
            <w:r>
              <w:rPr>
                <w:rFonts w:hint="eastAsia"/>
                <w:color w:val="auto"/>
                <w:szCs w:val="21"/>
                <w:lang w:val="en-US" w:eastAsia="zh-CN"/>
              </w:rPr>
              <w:t>136</w:t>
            </w:r>
          </w:p>
        </w:tc>
        <w:tc>
          <w:tcPr>
            <w:tcW w:w="753" w:type="dxa"/>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0~1.2</w:t>
            </w:r>
          </w:p>
        </w:tc>
        <w:tc>
          <w:tcPr>
            <w:tcW w:w="951" w:type="dxa"/>
            <w:vAlign w:val="center"/>
          </w:tcPr>
          <w:p>
            <w:pPr>
              <w:pStyle w:val="1132"/>
              <w:rPr>
                <w:rFonts w:hint="default"/>
                <w:szCs w:val="21"/>
                <w:lang w:val="en-US" w:eastAsia="zh-CN"/>
              </w:rPr>
            </w:pPr>
            <w:r>
              <w:rPr>
                <w:rFonts w:hint="eastAsia"/>
                <w:szCs w:val="21"/>
                <w:lang w:val="en-US" w:eastAsia="zh-CN"/>
              </w:rPr>
              <w:t>55.2</w:t>
            </w:r>
          </w:p>
        </w:tc>
        <w:tc>
          <w:tcPr>
            <w:tcW w:w="821" w:type="dxa"/>
            <w:vAlign w:val="center"/>
          </w:tcPr>
          <w:p>
            <w:pPr>
              <w:pStyle w:val="1132"/>
              <w:rPr>
                <w:rFonts w:hint="default"/>
                <w:szCs w:val="21"/>
                <w:lang w:val="en-US" w:eastAsia="zh-CN"/>
              </w:rPr>
            </w:pPr>
            <w:r>
              <w:rPr>
                <w:rFonts w:hint="eastAsia"/>
                <w:szCs w:val="21"/>
                <w:lang w:val="en-US" w:eastAsia="zh-CN"/>
              </w:rPr>
              <w:t>45.8</w:t>
            </w:r>
          </w:p>
        </w:tc>
        <w:tc>
          <w:tcPr>
            <w:tcW w:w="809" w:type="dxa"/>
            <w:vAlign w:val="center"/>
          </w:tcPr>
          <w:p>
            <w:pPr>
              <w:pStyle w:val="1132"/>
              <w:rPr>
                <w:rFonts w:hint="eastAsia"/>
                <w:szCs w:val="21"/>
                <w:lang w:val="en-US" w:eastAsia="zh-CN"/>
              </w:rPr>
            </w:pPr>
            <w:r>
              <w:rPr>
                <w:rFonts w:hint="eastAsia"/>
                <w:szCs w:val="21"/>
                <w:lang w:val="en-US" w:eastAsia="zh-CN"/>
              </w:rPr>
              <w:t>/</w:t>
            </w:r>
          </w:p>
        </w:tc>
        <w:tc>
          <w:tcPr>
            <w:tcW w:w="943" w:type="dxa"/>
            <w:vAlign w:val="center"/>
          </w:tcPr>
          <w:p>
            <w:pPr>
              <w:pStyle w:val="1132"/>
              <w:rPr>
                <w:rFonts w:hint="eastAsia"/>
                <w:szCs w:val="21"/>
              </w:rPr>
            </w:pPr>
            <w:r>
              <w:rPr>
                <w:rFonts w:hint="eastAsia"/>
                <w:szCs w:val="21"/>
                <w:lang w:val="en-US" w:eastAsia="zh-CN"/>
              </w:rPr>
              <w:t>0</w:t>
            </w:r>
          </w:p>
        </w:tc>
        <w:tc>
          <w:tcPr>
            <w:tcW w:w="678" w:type="dxa"/>
            <w:vAlign w:val="center"/>
          </w:tcPr>
          <w:p>
            <w:pPr>
              <w:pStyle w:val="1132"/>
              <w:rPr>
                <w:rFonts w:hint="eastAsia"/>
                <w:szCs w:val="21"/>
                <w:lang w:val="en-US" w:eastAsia="zh-CN"/>
              </w:rPr>
            </w:pPr>
            <w:r>
              <w:rPr>
                <w:rFonts w:hint="eastAsia"/>
                <w:szCs w:val="21"/>
                <w:lang w:val="en-US" w:eastAsia="zh-CN"/>
              </w:rPr>
              <w:t>/</w:t>
            </w:r>
          </w:p>
        </w:tc>
        <w:tc>
          <w:tcPr>
            <w:tcW w:w="679" w:type="dxa"/>
            <w:vAlign w:val="center"/>
          </w:tcPr>
          <w:p>
            <w:pPr>
              <w:pStyle w:val="1132"/>
              <w:rPr>
                <w:rFonts w:hint="eastAsia"/>
                <w:szCs w:val="21"/>
                <w:lang w:val="en-US" w:eastAsia="zh-CN"/>
              </w:rPr>
            </w:pPr>
            <w:r>
              <w:rPr>
                <w:rFonts w:hint="eastAsia"/>
                <w:szCs w:val="21"/>
                <w:lang w:val="en-US" w:eastAsia="zh-CN"/>
              </w:rPr>
              <w:t>0</w:t>
            </w:r>
          </w:p>
        </w:tc>
        <w:tc>
          <w:tcPr>
            <w:tcW w:w="826" w:type="dxa"/>
            <w:vAlign w:val="center"/>
          </w:tcPr>
          <w:p>
            <w:pPr>
              <w:pStyle w:val="1132"/>
              <w:rPr>
                <w:rFonts w:hint="eastAsia"/>
                <w:szCs w:val="21"/>
              </w:rPr>
            </w:pPr>
            <w:r>
              <w:rPr>
                <w:rFonts w:hint="eastAsia"/>
                <w:szCs w:val="21"/>
                <w:lang w:val="en-US" w:eastAsia="zh-CN"/>
              </w:rPr>
              <w:t>/</w:t>
            </w:r>
          </w:p>
        </w:tc>
        <w:tc>
          <w:tcPr>
            <w:tcW w:w="1480" w:type="dxa"/>
            <w:vAlign w:val="center"/>
          </w:tcPr>
          <w:p>
            <w:pPr>
              <w:pStyle w:val="1132"/>
              <w:rPr>
                <w:rFonts w:hint="eastAsia"/>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rFonts w:hint="eastAsia"/>
                <w:szCs w:val="21"/>
              </w:rPr>
            </w:pPr>
            <w:r>
              <w:rPr>
                <w:rFonts w:hint="eastAsia"/>
                <w:szCs w:val="21"/>
                <w:lang w:val="en-US" w:eastAsia="zh-CN"/>
              </w:rPr>
              <w:t>/</w:t>
            </w:r>
          </w:p>
        </w:tc>
        <w:tc>
          <w:tcPr>
            <w:tcW w:w="871" w:type="dxa"/>
            <w:vAlign w:val="center"/>
          </w:tcPr>
          <w:p>
            <w:pPr>
              <w:pStyle w:val="1132"/>
              <w:rPr>
                <w:szCs w:val="21"/>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restart"/>
            <w:vAlign w:val="center"/>
          </w:tcPr>
          <w:p>
            <w:pPr>
              <w:pStyle w:val="1132"/>
              <w:rPr>
                <w:rFonts w:hint="eastAsia" w:eastAsia="宋体"/>
                <w:szCs w:val="21"/>
                <w:lang w:val="en-US" w:eastAsia="zh-CN"/>
              </w:rPr>
            </w:pPr>
            <w:r>
              <w:rPr>
                <w:rFonts w:hint="eastAsia"/>
                <w:szCs w:val="21"/>
                <w:lang w:val="en-US" w:eastAsia="zh-CN"/>
              </w:rPr>
              <w:t>4</w:t>
            </w:r>
          </w:p>
        </w:tc>
        <w:tc>
          <w:tcPr>
            <w:tcW w:w="960" w:type="dxa"/>
            <w:vMerge w:val="restart"/>
            <w:vAlign w:val="center"/>
          </w:tcPr>
          <w:p>
            <w:pPr>
              <w:pStyle w:val="1132"/>
              <w:rPr>
                <w:rFonts w:hint="eastAsia"/>
                <w:szCs w:val="21"/>
              </w:rPr>
            </w:pPr>
            <w:r>
              <w:rPr>
                <w:rFonts w:hint="eastAsia"/>
              </w:rPr>
              <w:t>汤庄</w:t>
            </w:r>
          </w:p>
        </w:tc>
        <w:tc>
          <w:tcPr>
            <w:tcW w:w="1608" w:type="dxa"/>
            <w:vMerge w:val="restar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K3+350~K3+430</w:t>
            </w:r>
          </w:p>
        </w:tc>
        <w:tc>
          <w:tcPr>
            <w:tcW w:w="1188" w:type="dxa"/>
            <w:vAlign w:val="center"/>
          </w:tcPr>
          <w:p>
            <w:pPr>
              <w:pStyle w:val="1132"/>
              <w:rPr>
                <w:rFonts w:hint="default"/>
                <w:szCs w:val="21"/>
                <w:lang w:val="en-US" w:eastAsia="zh-CN"/>
              </w:rPr>
            </w:pPr>
            <w:r>
              <w:rPr>
                <w:rFonts w:hint="eastAsia"/>
                <w:szCs w:val="21"/>
                <w:lang w:val="en-US" w:eastAsia="zh-CN"/>
              </w:rPr>
              <w:t>10</w:t>
            </w:r>
          </w:p>
        </w:tc>
        <w:tc>
          <w:tcPr>
            <w:tcW w:w="753" w:type="dxa"/>
            <w:vMerge w:val="restar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1.1~1.5</w:t>
            </w:r>
          </w:p>
        </w:tc>
        <w:tc>
          <w:tcPr>
            <w:tcW w:w="951" w:type="dxa"/>
            <w:vAlign w:val="center"/>
          </w:tcPr>
          <w:p>
            <w:pPr>
              <w:pStyle w:val="1132"/>
              <w:rPr>
                <w:rFonts w:hint="default"/>
                <w:szCs w:val="21"/>
                <w:lang w:val="en-US" w:eastAsia="zh-CN"/>
              </w:rPr>
            </w:pPr>
            <w:r>
              <w:rPr>
                <w:rFonts w:hint="eastAsia"/>
                <w:szCs w:val="21"/>
                <w:lang w:val="en-US" w:eastAsia="zh-CN"/>
              </w:rPr>
              <w:t>61.7</w:t>
            </w:r>
          </w:p>
        </w:tc>
        <w:tc>
          <w:tcPr>
            <w:tcW w:w="821" w:type="dxa"/>
            <w:vAlign w:val="center"/>
          </w:tcPr>
          <w:p>
            <w:pPr>
              <w:pStyle w:val="1132"/>
              <w:rPr>
                <w:rFonts w:hint="default"/>
                <w:szCs w:val="21"/>
                <w:lang w:val="en-US" w:eastAsia="zh-CN"/>
              </w:rPr>
            </w:pPr>
            <w:r>
              <w:rPr>
                <w:rFonts w:hint="eastAsia"/>
                <w:szCs w:val="21"/>
                <w:lang w:val="en-US" w:eastAsia="zh-CN"/>
              </w:rPr>
              <w:t>57.1</w:t>
            </w:r>
          </w:p>
        </w:tc>
        <w:tc>
          <w:tcPr>
            <w:tcW w:w="809" w:type="dxa"/>
            <w:vAlign w:val="center"/>
          </w:tcPr>
          <w:p>
            <w:pPr>
              <w:pStyle w:val="1132"/>
              <w:rPr>
                <w:rFonts w:hint="default"/>
                <w:szCs w:val="21"/>
                <w:lang w:val="en-US" w:eastAsia="zh-CN"/>
              </w:rPr>
            </w:pPr>
            <w:r>
              <w:rPr>
                <w:rFonts w:hint="eastAsia"/>
                <w:szCs w:val="21"/>
                <w:lang w:val="en-US" w:eastAsia="zh-CN"/>
              </w:rPr>
              <w:t>夜间超标2.1</w:t>
            </w:r>
          </w:p>
        </w:tc>
        <w:tc>
          <w:tcPr>
            <w:tcW w:w="943" w:type="dxa"/>
            <w:vAlign w:val="center"/>
          </w:tcPr>
          <w:p>
            <w:pPr>
              <w:pStyle w:val="1132"/>
              <w:rPr>
                <w:rFonts w:hint="default" w:eastAsia="宋体"/>
                <w:szCs w:val="21"/>
                <w:lang w:val="en-US" w:eastAsia="zh-CN"/>
              </w:rPr>
            </w:pPr>
            <w:r>
              <w:rPr>
                <w:rFonts w:hint="eastAsia"/>
                <w:szCs w:val="21"/>
                <w:lang w:val="en-US" w:eastAsia="zh-CN"/>
              </w:rPr>
              <w:t>/</w:t>
            </w:r>
          </w:p>
        </w:tc>
        <w:tc>
          <w:tcPr>
            <w:tcW w:w="678" w:type="dxa"/>
            <w:vAlign w:val="center"/>
          </w:tcPr>
          <w:p>
            <w:pPr>
              <w:pStyle w:val="1132"/>
              <w:rPr>
                <w:rFonts w:hint="eastAsia"/>
                <w:szCs w:val="21"/>
                <w:lang w:val="en-US" w:eastAsia="zh-CN"/>
              </w:rPr>
            </w:pPr>
            <w:r>
              <w:rPr>
                <w:rFonts w:hint="eastAsia"/>
                <w:szCs w:val="21"/>
                <w:lang w:val="en-US" w:eastAsia="zh-CN"/>
              </w:rPr>
              <w:t>5</w:t>
            </w:r>
          </w:p>
        </w:tc>
        <w:tc>
          <w:tcPr>
            <w:tcW w:w="679" w:type="dxa"/>
            <w:vAlign w:val="center"/>
          </w:tcPr>
          <w:p>
            <w:pPr>
              <w:pStyle w:val="1132"/>
              <w:rPr>
                <w:rFonts w:hint="default"/>
                <w:szCs w:val="21"/>
                <w:lang w:val="en-US" w:eastAsia="zh-CN"/>
              </w:rPr>
            </w:pPr>
            <w:r>
              <w:rPr>
                <w:rFonts w:hint="eastAsia"/>
                <w:szCs w:val="21"/>
                <w:lang w:val="en-US" w:eastAsia="zh-CN"/>
              </w:rPr>
              <w:t>/</w:t>
            </w:r>
          </w:p>
        </w:tc>
        <w:tc>
          <w:tcPr>
            <w:tcW w:w="826" w:type="dxa"/>
            <w:vAlign w:val="center"/>
          </w:tcPr>
          <w:p>
            <w:pPr>
              <w:pStyle w:val="1132"/>
              <w:rPr>
                <w:rFonts w:hint="eastAsia"/>
                <w:szCs w:val="21"/>
              </w:rPr>
            </w:pPr>
            <w:r>
              <w:rPr>
                <w:rFonts w:hint="eastAsia"/>
                <w:szCs w:val="21"/>
              </w:rPr>
              <w:t>禁鸣标志，绿化降噪</w:t>
            </w:r>
          </w:p>
        </w:tc>
        <w:tc>
          <w:tcPr>
            <w:tcW w:w="1480" w:type="dxa"/>
            <w:vAlign w:val="center"/>
          </w:tcPr>
          <w:p>
            <w:pPr>
              <w:pStyle w:val="1132"/>
              <w:rPr>
                <w:rFonts w:hint="eastAsia"/>
                <w:szCs w:val="21"/>
              </w:rPr>
            </w:pPr>
            <w:r>
              <w:rPr>
                <w:rFonts w:hint="eastAsia"/>
                <w:szCs w:val="21"/>
              </w:rPr>
              <w:t>设置5</w:t>
            </w:r>
            <w:r>
              <w:rPr>
                <w:szCs w:val="21"/>
              </w:rPr>
              <w:t>0</w:t>
            </w:r>
            <w:r>
              <w:rPr>
                <w:rFonts w:hint="eastAsia"/>
                <w:szCs w:val="21"/>
              </w:rPr>
              <w:t>m绿化带隔声</w:t>
            </w:r>
          </w:p>
        </w:tc>
        <w:tc>
          <w:tcPr>
            <w:tcW w:w="1135" w:type="dxa"/>
            <w:vAlign w:val="center"/>
          </w:tcPr>
          <w:p>
            <w:pPr>
              <w:pStyle w:val="1132"/>
              <w:rPr>
                <w:rFonts w:hint="eastAsia"/>
                <w:szCs w:val="21"/>
              </w:rPr>
            </w:pPr>
            <w:r>
              <w:rPr>
                <w:rFonts w:hint="eastAsia"/>
                <w:szCs w:val="21"/>
              </w:rPr>
              <w:t>预计降噪量约5d</w:t>
            </w:r>
            <w:r>
              <w:rPr>
                <w:szCs w:val="21"/>
              </w:rPr>
              <w:t>B</w:t>
            </w:r>
            <w:r>
              <w:rPr>
                <w:rFonts w:hint="eastAsia"/>
                <w:szCs w:val="21"/>
              </w:rPr>
              <w:t>，达标</w:t>
            </w:r>
          </w:p>
        </w:tc>
        <w:tc>
          <w:tcPr>
            <w:tcW w:w="871" w:type="dxa"/>
            <w:vAlign w:val="center"/>
          </w:tcPr>
          <w:p>
            <w:pPr>
              <w:pStyle w:val="1132"/>
              <w:rPr>
                <w:szCs w:val="21"/>
              </w:rPr>
            </w:pPr>
            <w:r>
              <w:rPr>
                <w:rFonts w:hint="eastAsia"/>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continue"/>
            <w:vAlign w:val="center"/>
          </w:tcPr>
          <w:p>
            <w:pPr>
              <w:pStyle w:val="1132"/>
              <w:rPr>
                <w:rFonts w:hint="eastAsia"/>
                <w:szCs w:val="21"/>
                <w:lang w:val="en-US" w:eastAsia="zh-CN"/>
              </w:rPr>
            </w:pPr>
          </w:p>
        </w:tc>
        <w:tc>
          <w:tcPr>
            <w:tcW w:w="960" w:type="dxa"/>
            <w:vMerge w:val="continue"/>
            <w:vAlign w:val="center"/>
          </w:tcPr>
          <w:p>
            <w:pPr>
              <w:pStyle w:val="1132"/>
              <w:rPr>
                <w:rFonts w:hint="eastAsia"/>
              </w:rPr>
            </w:pPr>
          </w:p>
        </w:tc>
        <w:tc>
          <w:tcPr>
            <w:tcW w:w="1608" w:type="dxa"/>
            <w:vMerge w:val="continue"/>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p>
        </w:tc>
        <w:tc>
          <w:tcPr>
            <w:tcW w:w="1188" w:type="dxa"/>
            <w:vAlign w:val="center"/>
          </w:tcPr>
          <w:p>
            <w:pPr>
              <w:pStyle w:val="1132"/>
              <w:rPr>
                <w:rFonts w:hint="default"/>
                <w:szCs w:val="21"/>
                <w:lang w:val="en-US" w:eastAsia="zh-CN"/>
              </w:rPr>
            </w:pPr>
            <w:r>
              <w:rPr>
                <w:rFonts w:hint="eastAsia"/>
                <w:szCs w:val="21"/>
                <w:lang w:val="en-US" w:eastAsia="zh-CN"/>
              </w:rPr>
              <w:t>35</w:t>
            </w:r>
          </w:p>
        </w:tc>
        <w:tc>
          <w:tcPr>
            <w:tcW w:w="753" w:type="dxa"/>
            <w:vMerge w:val="continue"/>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1"/>
                <w:szCs w:val="21"/>
                <w:lang w:val="en-US" w:eastAsia="zh-CN"/>
              </w:rPr>
            </w:pPr>
          </w:p>
        </w:tc>
        <w:tc>
          <w:tcPr>
            <w:tcW w:w="951" w:type="dxa"/>
            <w:vAlign w:val="center"/>
          </w:tcPr>
          <w:p>
            <w:pPr>
              <w:pStyle w:val="1132"/>
              <w:rPr>
                <w:rFonts w:hint="default"/>
                <w:szCs w:val="21"/>
                <w:lang w:val="en-US" w:eastAsia="zh-CN"/>
              </w:rPr>
            </w:pPr>
            <w:r>
              <w:rPr>
                <w:rFonts w:hint="eastAsia"/>
                <w:szCs w:val="21"/>
                <w:lang w:val="en-US" w:eastAsia="zh-CN"/>
              </w:rPr>
              <w:t>54.9</w:t>
            </w:r>
          </w:p>
        </w:tc>
        <w:tc>
          <w:tcPr>
            <w:tcW w:w="821" w:type="dxa"/>
            <w:vAlign w:val="center"/>
          </w:tcPr>
          <w:p>
            <w:pPr>
              <w:pStyle w:val="1132"/>
              <w:rPr>
                <w:rFonts w:hint="default"/>
                <w:szCs w:val="21"/>
                <w:lang w:val="en-US" w:eastAsia="zh-CN"/>
              </w:rPr>
            </w:pPr>
            <w:r>
              <w:rPr>
                <w:rFonts w:hint="eastAsia"/>
                <w:szCs w:val="21"/>
                <w:lang w:val="en-US" w:eastAsia="zh-CN"/>
              </w:rPr>
              <w:t>48.9</w:t>
            </w:r>
          </w:p>
        </w:tc>
        <w:tc>
          <w:tcPr>
            <w:tcW w:w="809" w:type="dxa"/>
            <w:vAlign w:val="center"/>
          </w:tcPr>
          <w:p>
            <w:pPr>
              <w:pStyle w:val="1132"/>
              <w:rPr>
                <w:rFonts w:hint="default"/>
                <w:szCs w:val="21"/>
                <w:lang w:val="en-US" w:eastAsia="zh-CN"/>
              </w:rPr>
            </w:pPr>
            <w:r>
              <w:rPr>
                <w:rFonts w:hint="eastAsia"/>
                <w:szCs w:val="21"/>
                <w:lang w:val="en-US" w:eastAsia="zh-CN"/>
              </w:rPr>
              <w:t>/</w:t>
            </w:r>
          </w:p>
        </w:tc>
        <w:tc>
          <w:tcPr>
            <w:tcW w:w="943" w:type="dxa"/>
            <w:vAlign w:val="center"/>
          </w:tcPr>
          <w:p>
            <w:pPr>
              <w:pStyle w:val="1132"/>
              <w:rPr>
                <w:rFonts w:hint="default"/>
                <w:szCs w:val="21"/>
                <w:lang w:val="en-US" w:eastAsia="zh-CN"/>
              </w:rPr>
            </w:pPr>
            <w:r>
              <w:rPr>
                <w:rFonts w:hint="eastAsia"/>
                <w:szCs w:val="21"/>
                <w:lang w:val="en-US" w:eastAsia="zh-CN"/>
              </w:rPr>
              <w:t>0</w:t>
            </w:r>
          </w:p>
        </w:tc>
        <w:tc>
          <w:tcPr>
            <w:tcW w:w="678" w:type="dxa"/>
            <w:vAlign w:val="center"/>
          </w:tcPr>
          <w:p>
            <w:pPr>
              <w:pStyle w:val="1132"/>
              <w:rPr>
                <w:rFonts w:hint="default"/>
                <w:szCs w:val="21"/>
                <w:lang w:val="en-US" w:eastAsia="zh-CN"/>
              </w:rPr>
            </w:pPr>
            <w:r>
              <w:rPr>
                <w:rFonts w:hint="eastAsia"/>
                <w:szCs w:val="21"/>
                <w:lang w:val="en-US" w:eastAsia="zh-CN"/>
              </w:rPr>
              <w:t>/</w:t>
            </w:r>
          </w:p>
        </w:tc>
        <w:tc>
          <w:tcPr>
            <w:tcW w:w="679" w:type="dxa"/>
            <w:vAlign w:val="center"/>
          </w:tcPr>
          <w:p>
            <w:pPr>
              <w:pStyle w:val="1132"/>
              <w:rPr>
                <w:rFonts w:hint="default"/>
                <w:szCs w:val="21"/>
                <w:lang w:val="en-US" w:eastAsia="zh-CN"/>
              </w:rPr>
            </w:pPr>
            <w:r>
              <w:rPr>
                <w:rFonts w:hint="eastAsia"/>
                <w:szCs w:val="21"/>
                <w:lang w:val="en-US" w:eastAsia="zh-CN"/>
              </w:rPr>
              <w:t>0</w:t>
            </w:r>
          </w:p>
        </w:tc>
        <w:tc>
          <w:tcPr>
            <w:tcW w:w="826" w:type="dxa"/>
            <w:vAlign w:val="center"/>
          </w:tcPr>
          <w:p>
            <w:pPr>
              <w:pStyle w:val="1132"/>
              <w:rPr>
                <w:rFonts w:hint="eastAsia"/>
                <w:szCs w:val="21"/>
                <w:lang w:val="en-US" w:eastAsia="zh-CN"/>
              </w:rPr>
            </w:pPr>
            <w:r>
              <w:rPr>
                <w:rFonts w:hint="eastAsia"/>
                <w:szCs w:val="21"/>
                <w:lang w:val="en-US" w:eastAsia="zh-CN"/>
              </w:rPr>
              <w:t>/</w:t>
            </w:r>
          </w:p>
        </w:tc>
        <w:tc>
          <w:tcPr>
            <w:tcW w:w="1480" w:type="dxa"/>
            <w:vAlign w:val="center"/>
          </w:tcPr>
          <w:p>
            <w:pPr>
              <w:pStyle w:val="113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rFonts w:hint="eastAsia"/>
                <w:szCs w:val="21"/>
                <w:lang w:val="en-US" w:eastAsia="zh-CN"/>
              </w:rPr>
            </w:pPr>
            <w:r>
              <w:rPr>
                <w:rFonts w:hint="eastAsia"/>
                <w:szCs w:val="21"/>
                <w:lang w:val="en-US" w:eastAsia="zh-CN"/>
              </w:rPr>
              <w:t>/</w:t>
            </w:r>
          </w:p>
        </w:tc>
        <w:tc>
          <w:tcPr>
            <w:tcW w:w="871" w:type="dxa"/>
            <w:vAlign w:val="center"/>
          </w:tcPr>
          <w:p>
            <w:pPr>
              <w:pStyle w:val="1132"/>
              <w:rPr>
                <w:rFonts w:hint="default" w:eastAsia="宋体"/>
                <w:szCs w:val="21"/>
                <w:lang w:val="en-US" w:eastAsia="zh-CN"/>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restart"/>
            <w:vAlign w:val="center"/>
          </w:tcPr>
          <w:p>
            <w:pPr>
              <w:pStyle w:val="1132"/>
              <w:rPr>
                <w:rFonts w:hint="eastAsia" w:eastAsia="宋体"/>
                <w:szCs w:val="21"/>
                <w:lang w:val="en-US" w:eastAsia="zh-CN"/>
              </w:rPr>
            </w:pPr>
            <w:r>
              <w:rPr>
                <w:rFonts w:hint="eastAsia"/>
                <w:szCs w:val="21"/>
                <w:lang w:val="en-US" w:eastAsia="zh-CN"/>
              </w:rPr>
              <w:t>5</w:t>
            </w:r>
          </w:p>
        </w:tc>
        <w:tc>
          <w:tcPr>
            <w:tcW w:w="960" w:type="dxa"/>
            <w:vMerge w:val="restart"/>
            <w:vAlign w:val="center"/>
          </w:tcPr>
          <w:p>
            <w:pPr>
              <w:pStyle w:val="1132"/>
              <w:rPr>
                <w:rFonts w:hint="eastAsia"/>
                <w:szCs w:val="21"/>
              </w:rPr>
            </w:pPr>
            <w:r>
              <w:rPr>
                <w:rFonts w:hint="eastAsia"/>
              </w:rPr>
              <w:t>仁和村</w:t>
            </w:r>
          </w:p>
        </w:tc>
        <w:tc>
          <w:tcPr>
            <w:tcW w:w="1608" w:type="dxa"/>
            <w:vMerge w:val="restar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K3+210~K3+450</w:t>
            </w:r>
          </w:p>
        </w:tc>
        <w:tc>
          <w:tcPr>
            <w:tcW w:w="1188" w:type="dxa"/>
            <w:vAlign w:val="center"/>
          </w:tcPr>
          <w:p>
            <w:pPr>
              <w:pStyle w:val="1132"/>
              <w:rPr>
                <w:rFonts w:hint="default"/>
                <w:szCs w:val="21"/>
                <w:lang w:val="en-US" w:eastAsia="zh-CN"/>
              </w:rPr>
            </w:pPr>
            <w:r>
              <w:rPr>
                <w:rFonts w:hint="eastAsia"/>
                <w:szCs w:val="21"/>
                <w:lang w:val="en-US" w:eastAsia="zh-CN"/>
              </w:rPr>
              <w:t>17</w:t>
            </w:r>
          </w:p>
        </w:tc>
        <w:tc>
          <w:tcPr>
            <w:tcW w:w="753" w:type="dxa"/>
            <w:vMerge w:val="restart"/>
            <w:vAlign w:val="center"/>
          </w:tcPr>
          <w:p>
            <w:pPr>
              <w:pStyle w:val="1132"/>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1.1~1.5</w:t>
            </w:r>
          </w:p>
        </w:tc>
        <w:tc>
          <w:tcPr>
            <w:tcW w:w="951" w:type="dxa"/>
            <w:vAlign w:val="center"/>
          </w:tcPr>
          <w:p>
            <w:pPr>
              <w:pStyle w:val="1132"/>
              <w:rPr>
                <w:rFonts w:hint="default"/>
                <w:szCs w:val="21"/>
                <w:lang w:val="en-US" w:eastAsia="zh-CN"/>
              </w:rPr>
            </w:pPr>
            <w:r>
              <w:rPr>
                <w:rFonts w:hint="eastAsia"/>
                <w:szCs w:val="21"/>
                <w:lang w:val="en-US" w:eastAsia="zh-CN"/>
              </w:rPr>
              <w:t>59.9</w:t>
            </w:r>
          </w:p>
        </w:tc>
        <w:tc>
          <w:tcPr>
            <w:tcW w:w="821" w:type="dxa"/>
            <w:vAlign w:val="center"/>
          </w:tcPr>
          <w:p>
            <w:pPr>
              <w:pStyle w:val="1132"/>
              <w:rPr>
                <w:rFonts w:hint="default"/>
                <w:szCs w:val="21"/>
                <w:lang w:val="en-US" w:eastAsia="zh-CN"/>
              </w:rPr>
            </w:pPr>
            <w:r>
              <w:rPr>
                <w:rFonts w:hint="eastAsia"/>
                <w:szCs w:val="21"/>
                <w:lang w:val="en-US" w:eastAsia="zh-CN"/>
              </w:rPr>
              <w:t>54.3</w:t>
            </w:r>
          </w:p>
        </w:tc>
        <w:tc>
          <w:tcPr>
            <w:tcW w:w="809" w:type="dxa"/>
            <w:vAlign w:val="center"/>
          </w:tcPr>
          <w:p>
            <w:pPr>
              <w:pStyle w:val="1132"/>
              <w:rPr>
                <w:rFonts w:hint="eastAsia"/>
                <w:szCs w:val="21"/>
                <w:lang w:val="en-US" w:eastAsia="zh-CN"/>
              </w:rPr>
            </w:pPr>
            <w:r>
              <w:rPr>
                <w:rFonts w:hint="eastAsia"/>
                <w:szCs w:val="21"/>
                <w:lang w:val="en-US" w:eastAsia="zh-CN"/>
              </w:rPr>
              <w:t>0</w:t>
            </w:r>
          </w:p>
        </w:tc>
        <w:tc>
          <w:tcPr>
            <w:tcW w:w="943" w:type="dxa"/>
            <w:vAlign w:val="center"/>
          </w:tcPr>
          <w:p>
            <w:pPr>
              <w:pStyle w:val="1132"/>
              <w:rPr>
                <w:rFonts w:hint="eastAsia"/>
                <w:szCs w:val="21"/>
              </w:rPr>
            </w:pPr>
            <w:r>
              <w:rPr>
                <w:rFonts w:hint="eastAsia"/>
                <w:szCs w:val="21"/>
                <w:lang w:val="en-US" w:eastAsia="zh-CN"/>
              </w:rPr>
              <w:t>/</w:t>
            </w:r>
          </w:p>
        </w:tc>
        <w:tc>
          <w:tcPr>
            <w:tcW w:w="678" w:type="dxa"/>
            <w:vAlign w:val="center"/>
          </w:tcPr>
          <w:p>
            <w:pPr>
              <w:pStyle w:val="1132"/>
              <w:rPr>
                <w:rFonts w:hint="eastAsia"/>
                <w:szCs w:val="21"/>
                <w:lang w:val="en-US" w:eastAsia="zh-CN"/>
              </w:rPr>
            </w:pPr>
            <w:r>
              <w:rPr>
                <w:rFonts w:hint="eastAsia"/>
                <w:szCs w:val="21"/>
                <w:lang w:val="en-US" w:eastAsia="zh-CN"/>
              </w:rPr>
              <w:t>0</w:t>
            </w:r>
          </w:p>
        </w:tc>
        <w:tc>
          <w:tcPr>
            <w:tcW w:w="679" w:type="dxa"/>
            <w:vAlign w:val="center"/>
          </w:tcPr>
          <w:p>
            <w:pPr>
              <w:pStyle w:val="1132"/>
              <w:rPr>
                <w:rFonts w:hint="eastAsia"/>
                <w:szCs w:val="21"/>
                <w:lang w:val="en-US" w:eastAsia="zh-CN"/>
              </w:rPr>
            </w:pPr>
            <w:r>
              <w:rPr>
                <w:rFonts w:hint="eastAsia"/>
                <w:szCs w:val="21"/>
                <w:lang w:val="en-US" w:eastAsia="zh-CN"/>
              </w:rPr>
              <w:t>/</w:t>
            </w:r>
          </w:p>
        </w:tc>
        <w:tc>
          <w:tcPr>
            <w:tcW w:w="826" w:type="dxa"/>
            <w:vAlign w:val="center"/>
          </w:tcPr>
          <w:p>
            <w:pPr>
              <w:pStyle w:val="1132"/>
              <w:rPr>
                <w:rFonts w:hint="eastAsia"/>
                <w:szCs w:val="21"/>
              </w:rPr>
            </w:pPr>
            <w:r>
              <w:rPr>
                <w:rFonts w:hint="eastAsia"/>
                <w:szCs w:val="21"/>
                <w:lang w:val="en-US" w:eastAsia="zh-CN"/>
              </w:rPr>
              <w:t>/</w:t>
            </w:r>
          </w:p>
        </w:tc>
        <w:tc>
          <w:tcPr>
            <w:tcW w:w="1480" w:type="dxa"/>
            <w:vAlign w:val="center"/>
          </w:tcPr>
          <w:p>
            <w:pPr>
              <w:pStyle w:val="1132"/>
              <w:rPr>
                <w:rFonts w:hint="eastAsia"/>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rFonts w:hint="eastAsia"/>
                <w:szCs w:val="21"/>
              </w:rPr>
            </w:pPr>
            <w:r>
              <w:rPr>
                <w:rFonts w:hint="eastAsia"/>
                <w:szCs w:val="21"/>
                <w:lang w:val="en-US" w:eastAsia="zh-CN"/>
              </w:rPr>
              <w:t>/</w:t>
            </w:r>
          </w:p>
        </w:tc>
        <w:tc>
          <w:tcPr>
            <w:tcW w:w="871" w:type="dxa"/>
            <w:vAlign w:val="center"/>
          </w:tcPr>
          <w:p>
            <w:pPr>
              <w:pStyle w:val="1132"/>
              <w:rPr>
                <w:szCs w:val="21"/>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continue"/>
            <w:vAlign w:val="center"/>
          </w:tcPr>
          <w:p>
            <w:pPr>
              <w:pStyle w:val="1132"/>
              <w:rPr>
                <w:rFonts w:hint="eastAsia"/>
                <w:szCs w:val="21"/>
                <w:lang w:val="en-US" w:eastAsia="zh-CN"/>
              </w:rPr>
            </w:pPr>
          </w:p>
        </w:tc>
        <w:tc>
          <w:tcPr>
            <w:tcW w:w="960" w:type="dxa"/>
            <w:vMerge w:val="continue"/>
            <w:vAlign w:val="center"/>
          </w:tcPr>
          <w:p>
            <w:pPr>
              <w:pStyle w:val="1132"/>
              <w:rPr>
                <w:rFonts w:hint="eastAsia"/>
              </w:rPr>
            </w:pPr>
          </w:p>
        </w:tc>
        <w:tc>
          <w:tcPr>
            <w:tcW w:w="1608" w:type="dxa"/>
            <w:vMerge w:val="continue"/>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p>
        </w:tc>
        <w:tc>
          <w:tcPr>
            <w:tcW w:w="1188" w:type="dxa"/>
            <w:vAlign w:val="center"/>
          </w:tcPr>
          <w:p>
            <w:pPr>
              <w:pStyle w:val="1132"/>
              <w:rPr>
                <w:rFonts w:hint="default"/>
                <w:szCs w:val="21"/>
                <w:lang w:val="en-US" w:eastAsia="zh-CN"/>
              </w:rPr>
            </w:pPr>
            <w:r>
              <w:rPr>
                <w:rFonts w:hint="eastAsia"/>
                <w:szCs w:val="21"/>
                <w:lang w:val="en-US" w:eastAsia="zh-CN"/>
              </w:rPr>
              <w:t>35</w:t>
            </w:r>
          </w:p>
        </w:tc>
        <w:tc>
          <w:tcPr>
            <w:tcW w:w="753" w:type="dxa"/>
            <w:vMerge w:val="continue"/>
            <w:vAlign w:val="center"/>
          </w:tcPr>
          <w:p>
            <w:pPr>
              <w:pStyle w:val="1132"/>
              <w:rPr>
                <w:rFonts w:hint="default" w:ascii="Times New Roman" w:hAnsi="Times New Roman" w:cs="Times New Roman"/>
                <w:color w:val="auto"/>
                <w:sz w:val="21"/>
                <w:szCs w:val="21"/>
                <w:lang w:val="en-US" w:eastAsia="zh-CN"/>
              </w:rPr>
            </w:pPr>
          </w:p>
        </w:tc>
        <w:tc>
          <w:tcPr>
            <w:tcW w:w="951" w:type="dxa"/>
            <w:vAlign w:val="center"/>
          </w:tcPr>
          <w:p>
            <w:pPr>
              <w:pStyle w:val="1132"/>
              <w:rPr>
                <w:rFonts w:hint="default"/>
                <w:szCs w:val="21"/>
                <w:lang w:val="en-US" w:eastAsia="zh-CN"/>
              </w:rPr>
            </w:pPr>
            <w:r>
              <w:rPr>
                <w:rFonts w:hint="eastAsia"/>
                <w:szCs w:val="21"/>
                <w:lang w:val="en-US" w:eastAsia="zh-CN"/>
              </w:rPr>
              <w:t>56.7</w:t>
            </w:r>
          </w:p>
        </w:tc>
        <w:tc>
          <w:tcPr>
            <w:tcW w:w="821" w:type="dxa"/>
            <w:vAlign w:val="center"/>
          </w:tcPr>
          <w:p>
            <w:pPr>
              <w:pStyle w:val="1132"/>
              <w:rPr>
                <w:rFonts w:hint="default"/>
                <w:szCs w:val="21"/>
                <w:lang w:val="en-US" w:eastAsia="zh-CN"/>
              </w:rPr>
            </w:pPr>
            <w:r>
              <w:rPr>
                <w:rFonts w:hint="eastAsia"/>
                <w:szCs w:val="21"/>
                <w:lang w:val="en-US" w:eastAsia="zh-CN"/>
              </w:rPr>
              <w:t>49.8</w:t>
            </w:r>
          </w:p>
        </w:tc>
        <w:tc>
          <w:tcPr>
            <w:tcW w:w="809" w:type="dxa"/>
            <w:vAlign w:val="center"/>
          </w:tcPr>
          <w:p>
            <w:pPr>
              <w:pStyle w:val="1132"/>
              <w:rPr>
                <w:rFonts w:hint="eastAsia"/>
                <w:szCs w:val="21"/>
                <w:lang w:val="en-US" w:eastAsia="zh-CN"/>
              </w:rPr>
            </w:pPr>
            <w:r>
              <w:rPr>
                <w:rFonts w:hint="eastAsia"/>
                <w:szCs w:val="21"/>
                <w:lang w:val="en-US" w:eastAsia="zh-CN"/>
              </w:rPr>
              <w:t>/</w:t>
            </w:r>
          </w:p>
        </w:tc>
        <w:tc>
          <w:tcPr>
            <w:tcW w:w="943" w:type="dxa"/>
            <w:vAlign w:val="center"/>
          </w:tcPr>
          <w:p>
            <w:pPr>
              <w:pStyle w:val="1132"/>
              <w:rPr>
                <w:rFonts w:hint="eastAsia"/>
                <w:szCs w:val="21"/>
                <w:lang w:val="en-US" w:eastAsia="zh-CN"/>
              </w:rPr>
            </w:pPr>
            <w:r>
              <w:rPr>
                <w:rFonts w:hint="eastAsia"/>
                <w:szCs w:val="21"/>
                <w:lang w:val="en-US" w:eastAsia="zh-CN"/>
              </w:rPr>
              <w:t>0</w:t>
            </w:r>
          </w:p>
        </w:tc>
        <w:tc>
          <w:tcPr>
            <w:tcW w:w="678" w:type="dxa"/>
            <w:vAlign w:val="center"/>
          </w:tcPr>
          <w:p>
            <w:pPr>
              <w:pStyle w:val="1132"/>
              <w:rPr>
                <w:rFonts w:hint="eastAsia"/>
                <w:szCs w:val="21"/>
                <w:lang w:val="en-US" w:eastAsia="zh-CN"/>
              </w:rPr>
            </w:pPr>
            <w:r>
              <w:rPr>
                <w:rFonts w:hint="eastAsia"/>
                <w:szCs w:val="21"/>
                <w:lang w:val="en-US" w:eastAsia="zh-CN"/>
              </w:rPr>
              <w:t>/</w:t>
            </w:r>
          </w:p>
        </w:tc>
        <w:tc>
          <w:tcPr>
            <w:tcW w:w="679" w:type="dxa"/>
            <w:vAlign w:val="center"/>
          </w:tcPr>
          <w:p>
            <w:pPr>
              <w:pStyle w:val="1132"/>
              <w:rPr>
                <w:rFonts w:hint="eastAsia"/>
                <w:szCs w:val="21"/>
                <w:lang w:val="en-US" w:eastAsia="zh-CN"/>
              </w:rPr>
            </w:pPr>
            <w:r>
              <w:rPr>
                <w:rFonts w:hint="eastAsia"/>
                <w:szCs w:val="21"/>
                <w:lang w:val="en-US" w:eastAsia="zh-CN"/>
              </w:rPr>
              <w:t>0</w:t>
            </w:r>
          </w:p>
        </w:tc>
        <w:tc>
          <w:tcPr>
            <w:tcW w:w="826" w:type="dxa"/>
            <w:vAlign w:val="center"/>
          </w:tcPr>
          <w:p>
            <w:pPr>
              <w:pStyle w:val="1132"/>
              <w:rPr>
                <w:rFonts w:hint="eastAsia"/>
                <w:szCs w:val="21"/>
                <w:lang w:val="en-US" w:eastAsia="zh-CN"/>
              </w:rPr>
            </w:pPr>
            <w:r>
              <w:rPr>
                <w:rFonts w:hint="eastAsia"/>
                <w:szCs w:val="21"/>
                <w:lang w:val="en-US" w:eastAsia="zh-CN"/>
              </w:rPr>
              <w:t>/</w:t>
            </w:r>
          </w:p>
        </w:tc>
        <w:tc>
          <w:tcPr>
            <w:tcW w:w="1480" w:type="dxa"/>
            <w:vAlign w:val="center"/>
          </w:tcPr>
          <w:p>
            <w:pPr>
              <w:pStyle w:val="113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rFonts w:hint="eastAsia"/>
                <w:szCs w:val="21"/>
                <w:lang w:val="en-US" w:eastAsia="zh-CN"/>
              </w:rPr>
            </w:pPr>
            <w:r>
              <w:rPr>
                <w:rFonts w:hint="eastAsia"/>
                <w:szCs w:val="21"/>
                <w:lang w:val="en-US" w:eastAsia="zh-CN"/>
              </w:rPr>
              <w:t>/</w:t>
            </w:r>
          </w:p>
        </w:tc>
        <w:tc>
          <w:tcPr>
            <w:tcW w:w="871" w:type="dxa"/>
            <w:vAlign w:val="center"/>
          </w:tcPr>
          <w:p>
            <w:pPr>
              <w:pStyle w:val="1132"/>
              <w:rPr>
                <w:rFonts w:hint="eastAsia"/>
                <w:szCs w:val="21"/>
                <w:lang w:val="en-US" w:eastAsia="zh-CN"/>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restart"/>
            <w:vAlign w:val="center"/>
          </w:tcPr>
          <w:p>
            <w:pPr>
              <w:pStyle w:val="1132"/>
              <w:rPr>
                <w:rFonts w:hint="eastAsia" w:eastAsia="宋体"/>
                <w:szCs w:val="21"/>
                <w:lang w:val="en-US" w:eastAsia="zh-CN"/>
              </w:rPr>
            </w:pPr>
            <w:r>
              <w:rPr>
                <w:rFonts w:hint="eastAsia"/>
                <w:szCs w:val="21"/>
                <w:lang w:val="en-US" w:eastAsia="zh-CN"/>
              </w:rPr>
              <w:t>6</w:t>
            </w:r>
          </w:p>
        </w:tc>
        <w:tc>
          <w:tcPr>
            <w:tcW w:w="960" w:type="dxa"/>
            <w:vMerge w:val="restart"/>
            <w:vAlign w:val="center"/>
          </w:tcPr>
          <w:p>
            <w:pPr>
              <w:pStyle w:val="1132"/>
              <w:rPr>
                <w:rFonts w:hint="eastAsia"/>
                <w:szCs w:val="21"/>
              </w:rPr>
            </w:pPr>
            <w:r>
              <w:rPr>
                <w:rFonts w:hint="eastAsia"/>
              </w:rPr>
              <w:t>王庄</w:t>
            </w:r>
          </w:p>
        </w:tc>
        <w:tc>
          <w:tcPr>
            <w:tcW w:w="1608" w:type="dxa"/>
            <w:vMerge w:val="restar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K3+480~K3+710</w:t>
            </w:r>
          </w:p>
        </w:tc>
        <w:tc>
          <w:tcPr>
            <w:tcW w:w="1188" w:type="dxa"/>
            <w:vAlign w:val="center"/>
          </w:tcPr>
          <w:p>
            <w:pPr>
              <w:pStyle w:val="1132"/>
              <w:rPr>
                <w:rFonts w:hint="default"/>
                <w:szCs w:val="21"/>
                <w:lang w:val="en-US" w:eastAsia="zh-CN"/>
              </w:rPr>
            </w:pPr>
            <w:r>
              <w:rPr>
                <w:rFonts w:hint="eastAsia"/>
                <w:szCs w:val="21"/>
                <w:lang w:val="en-US" w:eastAsia="zh-CN"/>
              </w:rPr>
              <w:t>18</w:t>
            </w:r>
          </w:p>
        </w:tc>
        <w:tc>
          <w:tcPr>
            <w:tcW w:w="753" w:type="dxa"/>
            <w:vMerge w:val="restart"/>
            <w:vAlign w:val="center"/>
          </w:tcPr>
          <w:p>
            <w:pPr>
              <w:pStyle w:val="1132"/>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0~1.1</w:t>
            </w:r>
          </w:p>
        </w:tc>
        <w:tc>
          <w:tcPr>
            <w:tcW w:w="951" w:type="dxa"/>
            <w:vAlign w:val="center"/>
          </w:tcPr>
          <w:p>
            <w:pPr>
              <w:pStyle w:val="1132"/>
              <w:rPr>
                <w:rFonts w:hint="default"/>
                <w:szCs w:val="21"/>
                <w:lang w:val="en-US" w:eastAsia="zh-CN"/>
              </w:rPr>
            </w:pPr>
            <w:r>
              <w:rPr>
                <w:rFonts w:hint="eastAsia"/>
                <w:szCs w:val="21"/>
                <w:lang w:val="en-US" w:eastAsia="zh-CN"/>
              </w:rPr>
              <w:t>59.7</w:t>
            </w:r>
          </w:p>
        </w:tc>
        <w:tc>
          <w:tcPr>
            <w:tcW w:w="821" w:type="dxa"/>
            <w:vAlign w:val="center"/>
          </w:tcPr>
          <w:p>
            <w:pPr>
              <w:pStyle w:val="1132"/>
              <w:rPr>
                <w:rFonts w:hint="default"/>
                <w:szCs w:val="21"/>
                <w:lang w:val="en-US" w:eastAsia="zh-CN"/>
              </w:rPr>
            </w:pPr>
            <w:r>
              <w:rPr>
                <w:rFonts w:hint="eastAsia"/>
                <w:szCs w:val="21"/>
                <w:lang w:val="en-US" w:eastAsia="zh-CN"/>
              </w:rPr>
              <w:t>54.2</w:t>
            </w:r>
          </w:p>
        </w:tc>
        <w:tc>
          <w:tcPr>
            <w:tcW w:w="809" w:type="dxa"/>
            <w:vAlign w:val="center"/>
          </w:tcPr>
          <w:p>
            <w:pPr>
              <w:pStyle w:val="1132"/>
              <w:rPr>
                <w:rFonts w:hint="eastAsia"/>
                <w:szCs w:val="21"/>
                <w:lang w:val="en-US" w:eastAsia="zh-CN"/>
              </w:rPr>
            </w:pPr>
            <w:r>
              <w:rPr>
                <w:rFonts w:hint="eastAsia"/>
                <w:szCs w:val="21"/>
                <w:lang w:val="en-US" w:eastAsia="zh-CN"/>
              </w:rPr>
              <w:t>0</w:t>
            </w:r>
          </w:p>
        </w:tc>
        <w:tc>
          <w:tcPr>
            <w:tcW w:w="943" w:type="dxa"/>
            <w:vAlign w:val="center"/>
          </w:tcPr>
          <w:p>
            <w:pPr>
              <w:pStyle w:val="1132"/>
              <w:rPr>
                <w:rFonts w:hint="eastAsia"/>
                <w:szCs w:val="21"/>
              </w:rPr>
            </w:pPr>
            <w:r>
              <w:rPr>
                <w:rFonts w:hint="eastAsia"/>
                <w:szCs w:val="21"/>
                <w:lang w:val="en-US" w:eastAsia="zh-CN"/>
              </w:rPr>
              <w:t>/</w:t>
            </w:r>
          </w:p>
        </w:tc>
        <w:tc>
          <w:tcPr>
            <w:tcW w:w="678" w:type="dxa"/>
            <w:vAlign w:val="center"/>
          </w:tcPr>
          <w:p>
            <w:pPr>
              <w:pStyle w:val="1132"/>
              <w:rPr>
                <w:rFonts w:hint="eastAsia"/>
                <w:szCs w:val="21"/>
                <w:lang w:val="en-US" w:eastAsia="zh-CN"/>
              </w:rPr>
            </w:pPr>
            <w:r>
              <w:rPr>
                <w:rFonts w:hint="eastAsia"/>
                <w:szCs w:val="21"/>
                <w:lang w:val="en-US" w:eastAsia="zh-CN"/>
              </w:rPr>
              <w:t>0</w:t>
            </w:r>
          </w:p>
        </w:tc>
        <w:tc>
          <w:tcPr>
            <w:tcW w:w="679" w:type="dxa"/>
            <w:vAlign w:val="center"/>
          </w:tcPr>
          <w:p>
            <w:pPr>
              <w:pStyle w:val="1132"/>
              <w:rPr>
                <w:rFonts w:hint="eastAsia"/>
                <w:szCs w:val="21"/>
                <w:lang w:val="en-US" w:eastAsia="zh-CN"/>
              </w:rPr>
            </w:pPr>
            <w:r>
              <w:rPr>
                <w:rFonts w:hint="eastAsia"/>
                <w:szCs w:val="21"/>
                <w:lang w:val="en-US" w:eastAsia="zh-CN"/>
              </w:rPr>
              <w:t>/</w:t>
            </w:r>
          </w:p>
        </w:tc>
        <w:tc>
          <w:tcPr>
            <w:tcW w:w="826" w:type="dxa"/>
            <w:vAlign w:val="center"/>
          </w:tcPr>
          <w:p>
            <w:pPr>
              <w:pStyle w:val="1132"/>
              <w:rPr>
                <w:rFonts w:hint="eastAsia"/>
                <w:szCs w:val="21"/>
              </w:rPr>
            </w:pPr>
            <w:r>
              <w:rPr>
                <w:rFonts w:hint="eastAsia"/>
                <w:szCs w:val="21"/>
                <w:lang w:val="en-US" w:eastAsia="zh-CN"/>
              </w:rPr>
              <w:t>/</w:t>
            </w:r>
          </w:p>
        </w:tc>
        <w:tc>
          <w:tcPr>
            <w:tcW w:w="1480" w:type="dxa"/>
            <w:vAlign w:val="center"/>
          </w:tcPr>
          <w:p>
            <w:pPr>
              <w:pStyle w:val="1132"/>
              <w:rPr>
                <w:rFonts w:hint="eastAsia"/>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rFonts w:hint="eastAsia"/>
                <w:szCs w:val="21"/>
              </w:rPr>
            </w:pPr>
            <w:r>
              <w:rPr>
                <w:rFonts w:hint="eastAsia"/>
                <w:szCs w:val="21"/>
                <w:lang w:val="en-US" w:eastAsia="zh-CN"/>
              </w:rPr>
              <w:t>/</w:t>
            </w:r>
          </w:p>
        </w:tc>
        <w:tc>
          <w:tcPr>
            <w:tcW w:w="871" w:type="dxa"/>
            <w:vAlign w:val="center"/>
          </w:tcPr>
          <w:p>
            <w:pPr>
              <w:pStyle w:val="1132"/>
              <w:rPr>
                <w:szCs w:val="21"/>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continue"/>
            <w:vAlign w:val="center"/>
          </w:tcPr>
          <w:p>
            <w:pPr>
              <w:pStyle w:val="1132"/>
              <w:rPr>
                <w:rFonts w:hint="eastAsia"/>
                <w:szCs w:val="21"/>
                <w:lang w:val="en-US" w:eastAsia="zh-CN"/>
              </w:rPr>
            </w:pPr>
          </w:p>
        </w:tc>
        <w:tc>
          <w:tcPr>
            <w:tcW w:w="960" w:type="dxa"/>
            <w:vMerge w:val="continue"/>
            <w:vAlign w:val="center"/>
          </w:tcPr>
          <w:p>
            <w:pPr>
              <w:pStyle w:val="1132"/>
              <w:rPr>
                <w:rFonts w:hint="eastAsia"/>
              </w:rPr>
            </w:pPr>
          </w:p>
        </w:tc>
        <w:tc>
          <w:tcPr>
            <w:tcW w:w="1608" w:type="dxa"/>
            <w:vMerge w:val="continue"/>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p>
        </w:tc>
        <w:tc>
          <w:tcPr>
            <w:tcW w:w="1188" w:type="dxa"/>
            <w:vAlign w:val="center"/>
          </w:tcPr>
          <w:p>
            <w:pPr>
              <w:pStyle w:val="1132"/>
              <w:rPr>
                <w:rFonts w:hint="default"/>
                <w:szCs w:val="21"/>
                <w:lang w:val="en-US" w:eastAsia="zh-CN"/>
              </w:rPr>
            </w:pPr>
            <w:r>
              <w:rPr>
                <w:rFonts w:hint="eastAsia"/>
                <w:szCs w:val="21"/>
                <w:lang w:val="en-US" w:eastAsia="zh-CN"/>
              </w:rPr>
              <w:t>35</w:t>
            </w:r>
          </w:p>
        </w:tc>
        <w:tc>
          <w:tcPr>
            <w:tcW w:w="753" w:type="dxa"/>
            <w:vMerge w:val="continue"/>
            <w:vAlign w:val="center"/>
          </w:tcPr>
          <w:p>
            <w:pPr>
              <w:pStyle w:val="1132"/>
              <w:rPr>
                <w:rFonts w:hint="eastAsia" w:cs="Times New Roman"/>
                <w:color w:val="auto"/>
                <w:sz w:val="21"/>
                <w:szCs w:val="21"/>
                <w:lang w:val="en-US" w:eastAsia="zh-CN"/>
              </w:rPr>
            </w:pPr>
          </w:p>
        </w:tc>
        <w:tc>
          <w:tcPr>
            <w:tcW w:w="951" w:type="dxa"/>
            <w:vAlign w:val="center"/>
          </w:tcPr>
          <w:p>
            <w:pPr>
              <w:pStyle w:val="1132"/>
              <w:rPr>
                <w:rFonts w:hint="default"/>
                <w:szCs w:val="21"/>
                <w:lang w:val="en-US" w:eastAsia="zh-CN"/>
              </w:rPr>
            </w:pPr>
            <w:r>
              <w:rPr>
                <w:rFonts w:hint="eastAsia"/>
                <w:szCs w:val="21"/>
                <w:lang w:val="en-US" w:eastAsia="zh-CN"/>
              </w:rPr>
              <w:t>56.7</w:t>
            </w:r>
          </w:p>
        </w:tc>
        <w:tc>
          <w:tcPr>
            <w:tcW w:w="821" w:type="dxa"/>
            <w:vAlign w:val="center"/>
          </w:tcPr>
          <w:p>
            <w:pPr>
              <w:pStyle w:val="1132"/>
              <w:rPr>
                <w:rFonts w:hint="default"/>
                <w:szCs w:val="21"/>
                <w:lang w:val="en-US" w:eastAsia="zh-CN"/>
              </w:rPr>
            </w:pPr>
            <w:r>
              <w:rPr>
                <w:rFonts w:hint="eastAsia"/>
                <w:szCs w:val="21"/>
                <w:lang w:val="en-US" w:eastAsia="zh-CN"/>
              </w:rPr>
              <w:t>50.4</w:t>
            </w:r>
          </w:p>
        </w:tc>
        <w:tc>
          <w:tcPr>
            <w:tcW w:w="809" w:type="dxa"/>
            <w:vAlign w:val="center"/>
          </w:tcPr>
          <w:p>
            <w:pPr>
              <w:pStyle w:val="1132"/>
              <w:rPr>
                <w:rFonts w:hint="default"/>
                <w:szCs w:val="21"/>
                <w:lang w:val="en-US" w:eastAsia="zh-CN"/>
              </w:rPr>
            </w:pPr>
            <w:r>
              <w:rPr>
                <w:rFonts w:hint="eastAsia"/>
                <w:szCs w:val="21"/>
                <w:lang w:val="en-US" w:eastAsia="zh-CN"/>
              </w:rPr>
              <w:t>0</w:t>
            </w:r>
          </w:p>
        </w:tc>
        <w:tc>
          <w:tcPr>
            <w:tcW w:w="943" w:type="dxa"/>
            <w:vAlign w:val="center"/>
          </w:tcPr>
          <w:p>
            <w:pPr>
              <w:pStyle w:val="1132"/>
              <w:rPr>
                <w:rFonts w:hint="default"/>
                <w:szCs w:val="21"/>
                <w:lang w:val="en-US" w:eastAsia="zh-CN"/>
              </w:rPr>
            </w:pPr>
            <w:r>
              <w:rPr>
                <w:rFonts w:hint="eastAsia"/>
                <w:szCs w:val="21"/>
                <w:lang w:val="en-US" w:eastAsia="zh-CN"/>
              </w:rPr>
              <w:t>夜间超标0.4</w:t>
            </w:r>
          </w:p>
        </w:tc>
        <w:tc>
          <w:tcPr>
            <w:tcW w:w="678" w:type="dxa"/>
            <w:vAlign w:val="center"/>
          </w:tcPr>
          <w:p>
            <w:pPr>
              <w:pStyle w:val="1132"/>
              <w:rPr>
                <w:rFonts w:hint="eastAsia"/>
                <w:szCs w:val="21"/>
                <w:lang w:val="en-US" w:eastAsia="zh-CN"/>
              </w:rPr>
            </w:pPr>
            <w:r>
              <w:rPr>
                <w:rFonts w:hint="eastAsia"/>
                <w:szCs w:val="21"/>
                <w:lang w:val="en-US" w:eastAsia="zh-CN"/>
              </w:rPr>
              <w:t>/</w:t>
            </w:r>
          </w:p>
        </w:tc>
        <w:tc>
          <w:tcPr>
            <w:tcW w:w="679" w:type="dxa"/>
            <w:vAlign w:val="center"/>
          </w:tcPr>
          <w:p>
            <w:pPr>
              <w:pStyle w:val="1132"/>
              <w:rPr>
                <w:rFonts w:hint="default"/>
                <w:szCs w:val="21"/>
                <w:lang w:val="en-US" w:eastAsia="zh-CN"/>
              </w:rPr>
            </w:pPr>
            <w:r>
              <w:rPr>
                <w:rFonts w:hint="eastAsia"/>
                <w:szCs w:val="21"/>
                <w:lang w:val="en-US" w:eastAsia="zh-CN"/>
              </w:rPr>
              <w:t>57</w:t>
            </w:r>
          </w:p>
        </w:tc>
        <w:tc>
          <w:tcPr>
            <w:tcW w:w="826" w:type="dxa"/>
            <w:vAlign w:val="center"/>
          </w:tcPr>
          <w:p>
            <w:pPr>
              <w:pStyle w:val="1132"/>
              <w:rPr>
                <w:rFonts w:hint="eastAsia"/>
                <w:szCs w:val="21"/>
                <w:lang w:val="en-US" w:eastAsia="zh-CN"/>
              </w:rPr>
            </w:pPr>
            <w:r>
              <w:rPr>
                <w:rFonts w:hint="eastAsia"/>
                <w:szCs w:val="21"/>
              </w:rPr>
              <w:t>禁鸣标志，绿化降噪</w:t>
            </w:r>
          </w:p>
        </w:tc>
        <w:tc>
          <w:tcPr>
            <w:tcW w:w="1480" w:type="dxa"/>
            <w:vAlign w:val="center"/>
          </w:tcPr>
          <w:p>
            <w:pPr>
              <w:pStyle w:val="1132"/>
              <w:rPr>
                <w:rFonts w:hint="default" w:ascii="Times New Roman" w:hAnsi="Times New Roman" w:eastAsia="宋体" w:cs="Times New Roman"/>
                <w:color w:val="000000"/>
                <w:sz w:val="21"/>
                <w:szCs w:val="21"/>
              </w:rPr>
            </w:pPr>
            <w:r>
              <w:rPr>
                <w:rFonts w:hint="eastAsia"/>
                <w:szCs w:val="21"/>
              </w:rPr>
              <w:t>设置5</w:t>
            </w:r>
            <w:r>
              <w:rPr>
                <w:szCs w:val="21"/>
              </w:rPr>
              <w:t>0</w:t>
            </w:r>
            <w:r>
              <w:rPr>
                <w:rFonts w:hint="eastAsia"/>
                <w:szCs w:val="21"/>
              </w:rPr>
              <w:t>m绿化带隔声</w:t>
            </w:r>
          </w:p>
        </w:tc>
        <w:tc>
          <w:tcPr>
            <w:tcW w:w="1135" w:type="dxa"/>
            <w:vAlign w:val="center"/>
          </w:tcPr>
          <w:p>
            <w:pPr>
              <w:pStyle w:val="1132"/>
              <w:rPr>
                <w:rFonts w:hint="eastAsia"/>
                <w:szCs w:val="21"/>
                <w:lang w:val="en-US" w:eastAsia="zh-CN"/>
              </w:rPr>
            </w:pPr>
            <w:r>
              <w:rPr>
                <w:rFonts w:hint="eastAsia"/>
                <w:szCs w:val="21"/>
              </w:rPr>
              <w:t>预计降噪量约5d</w:t>
            </w:r>
            <w:r>
              <w:rPr>
                <w:szCs w:val="21"/>
              </w:rPr>
              <w:t>B</w:t>
            </w:r>
            <w:r>
              <w:rPr>
                <w:rFonts w:hint="eastAsia"/>
                <w:szCs w:val="21"/>
              </w:rPr>
              <w:t>，达标</w:t>
            </w:r>
          </w:p>
        </w:tc>
        <w:tc>
          <w:tcPr>
            <w:tcW w:w="871" w:type="dxa"/>
            <w:vAlign w:val="center"/>
          </w:tcPr>
          <w:p>
            <w:pPr>
              <w:pStyle w:val="1132"/>
              <w:rPr>
                <w:rFonts w:hint="eastAsia" w:eastAsia="宋体"/>
                <w:szCs w:val="21"/>
                <w:lang w:val="en-US" w:eastAsia="zh-CN"/>
              </w:rPr>
            </w:pPr>
            <w:r>
              <w:rPr>
                <w:rFonts w:hint="eastAsia"/>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restart"/>
            <w:vAlign w:val="center"/>
          </w:tcPr>
          <w:p>
            <w:pPr>
              <w:pStyle w:val="1132"/>
              <w:rPr>
                <w:rFonts w:hint="default"/>
                <w:szCs w:val="21"/>
                <w:lang w:val="en-US" w:eastAsia="zh-CN"/>
              </w:rPr>
            </w:pPr>
            <w:r>
              <w:rPr>
                <w:rFonts w:hint="eastAsia"/>
                <w:szCs w:val="21"/>
                <w:lang w:val="en-US" w:eastAsia="zh-CN"/>
              </w:rPr>
              <w:t>7</w:t>
            </w:r>
          </w:p>
        </w:tc>
        <w:tc>
          <w:tcPr>
            <w:tcW w:w="960" w:type="dxa"/>
            <w:vMerge w:val="restart"/>
            <w:vAlign w:val="center"/>
          </w:tcPr>
          <w:p>
            <w:pPr>
              <w:pStyle w:val="1132"/>
              <w:rPr>
                <w:rFonts w:hint="eastAsia"/>
                <w:szCs w:val="21"/>
              </w:rPr>
            </w:pPr>
            <w:r>
              <w:rPr>
                <w:rFonts w:hint="eastAsia"/>
              </w:rPr>
              <w:t>张园</w:t>
            </w:r>
          </w:p>
        </w:tc>
        <w:tc>
          <w:tcPr>
            <w:tcW w:w="1608" w:type="dxa"/>
            <w:vMerge w:val="restar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r>
              <w:rPr>
                <w:rFonts w:hint="eastAsia" w:cs="Times New Roman"/>
                <w:color w:val="auto"/>
                <w:sz w:val="21"/>
                <w:szCs w:val="21"/>
                <w:lang w:val="en-US" w:eastAsia="zh-CN"/>
              </w:rPr>
              <w:t>K3+440~K3+920</w:t>
            </w:r>
          </w:p>
        </w:tc>
        <w:tc>
          <w:tcPr>
            <w:tcW w:w="1188" w:type="dxa"/>
            <w:vAlign w:val="center"/>
          </w:tcPr>
          <w:p>
            <w:pPr>
              <w:pStyle w:val="1132"/>
              <w:rPr>
                <w:rFonts w:hint="default"/>
                <w:szCs w:val="21"/>
                <w:lang w:val="en-US" w:eastAsia="zh-CN"/>
              </w:rPr>
            </w:pPr>
            <w:r>
              <w:rPr>
                <w:rFonts w:hint="eastAsia"/>
                <w:szCs w:val="21"/>
                <w:lang w:val="en-US" w:eastAsia="zh-CN"/>
              </w:rPr>
              <w:t>20</w:t>
            </w:r>
          </w:p>
        </w:tc>
        <w:tc>
          <w:tcPr>
            <w:tcW w:w="753" w:type="dxa"/>
            <w:vMerge w:val="restart"/>
            <w:vAlign w:val="center"/>
          </w:tcPr>
          <w:p>
            <w:pPr>
              <w:pStyle w:val="1132"/>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0~3.4</w:t>
            </w:r>
          </w:p>
        </w:tc>
        <w:tc>
          <w:tcPr>
            <w:tcW w:w="951" w:type="dxa"/>
            <w:vAlign w:val="center"/>
          </w:tcPr>
          <w:p>
            <w:pPr>
              <w:pStyle w:val="1132"/>
              <w:rPr>
                <w:rFonts w:hint="default"/>
                <w:szCs w:val="21"/>
                <w:lang w:val="en-US" w:eastAsia="zh-CN"/>
              </w:rPr>
            </w:pPr>
            <w:r>
              <w:rPr>
                <w:rFonts w:hint="eastAsia"/>
                <w:szCs w:val="21"/>
                <w:lang w:val="en-US" w:eastAsia="zh-CN"/>
              </w:rPr>
              <w:t>59.5</w:t>
            </w:r>
          </w:p>
        </w:tc>
        <w:tc>
          <w:tcPr>
            <w:tcW w:w="821" w:type="dxa"/>
            <w:vAlign w:val="center"/>
          </w:tcPr>
          <w:p>
            <w:pPr>
              <w:pStyle w:val="1132"/>
              <w:rPr>
                <w:rFonts w:hint="default"/>
                <w:szCs w:val="21"/>
                <w:lang w:val="en-US" w:eastAsia="zh-CN"/>
              </w:rPr>
            </w:pPr>
            <w:r>
              <w:rPr>
                <w:rFonts w:hint="eastAsia"/>
                <w:szCs w:val="21"/>
                <w:lang w:val="en-US" w:eastAsia="zh-CN"/>
              </w:rPr>
              <w:t>53.2</w:t>
            </w:r>
          </w:p>
        </w:tc>
        <w:tc>
          <w:tcPr>
            <w:tcW w:w="809" w:type="dxa"/>
            <w:vAlign w:val="center"/>
          </w:tcPr>
          <w:p>
            <w:pPr>
              <w:pStyle w:val="1132"/>
              <w:rPr>
                <w:rFonts w:hint="eastAsia"/>
                <w:szCs w:val="21"/>
                <w:lang w:val="en-US" w:eastAsia="zh-CN"/>
              </w:rPr>
            </w:pPr>
            <w:r>
              <w:rPr>
                <w:rFonts w:hint="eastAsia"/>
                <w:szCs w:val="21"/>
                <w:lang w:val="en-US" w:eastAsia="zh-CN"/>
              </w:rPr>
              <w:t>0</w:t>
            </w:r>
          </w:p>
        </w:tc>
        <w:tc>
          <w:tcPr>
            <w:tcW w:w="943" w:type="dxa"/>
            <w:vAlign w:val="center"/>
          </w:tcPr>
          <w:p>
            <w:pPr>
              <w:pStyle w:val="1132"/>
              <w:rPr>
                <w:rFonts w:hint="eastAsia"/>
                <w:szCs w:val="21"/>
              </w:rPr>
            </w:pPr>
            <w:r>
              <w:rPr>
                <w:rFonts w:hint="eastAsia"/>
                <w:szCs w:val="21"/>
                <w:lang w:val="en-US" w:eastAsia="zh-CN"/>
              </w:rPr>
              <w:t>/</w:t>
            </w:r>
          </w:p>
        </w:tc>
        <w:tc>
          <w:tcPr>
            <w:tcW w:w="678" w:type="dxa"/>
            <w:vAlign w:val="center"/>
          </w:tcPr>
          <w:p>
            <w:pPr>
              <w:pStyle w:val="1132"/>
              <w:rPr>
                <w:rFonts w:hint="eastAsia"/>
                <w:szCs w:val="21"/>
                <w:lang w:val="en-US" w:eastAsia="zh-CN"/>
              </w:rPr>
            </w:pPr>
            <w:r>
              <w:rPr>
                <w:rFonts w:hint="eastAsia"/>
                <w:szCs w:val="21"/>
                <w:lang w:val="en-US" w:eastAsia="zh-CN"/>
              </w:rPr>
              <w:t>0</w:t>
            </w:r>
          </w:p>
        </w:tc>
        <w:tc>
          <w:tcPr>
            <w:tcW w:w="679" w:type="dxa"/>
            <w:vAlign w:val="center"/>
          </w:tcPr>
          <w:p>
            <w:pPr>
              <w:pStyle w:val="1132"/>
              <w:rPr>
                <w:rFonts w:hint="eastAsia"/>
                <w:szCs w:val="21"/>
                <w:lang w:val="en-US" w:eastAsia="zh-CN"/>
              </w:rPr>
            </w:pPr>
            <w:r>
              <w:rPr>
                <w:rFonts w:hint="eastAsia"/>
                <w:szCs w:val="21"/>
                <w:lang w:val="en-US" w:eastAsia="zh-CN"/>
              </w:rPr>
              <w:t>/</w:t>
            </w:r>
          </w:p>
        </w:tc>
        <w:tc>
          <w:tcPr>
            <w:tcW w:w="826" w:type="dxa"/>
            <w:vAlign w:val="center"/>
          </w:tcPr>
          <w:p>
            <w:pPr>
              <w:pStyle w:val="1132"/>
              <w:rPr>
                <w:rFonts w:hint="eastAsia"/>
                <w:szCs w:val="21"/>
              </w:rPr>
            </w:pPr>
            <w:r>
              <w:rPr>
                <w:rFonts w:hint="eastAsia"/>
                <w:szCs w:val="21"/>
                <w:lang w:val="en-US" w:eastAsia="zh-CN"/>
              </w:rPr>
              <w:t>/</w:t>
            </w:r>
          </w:p>
        </w:tc>
        <w:tc>
          <w:tcPr>
            <w:tcW w:w="1480" w:type="dxa"/>
            <w:vAlign w:val="center"/>
          </w:tcPr>
          <w:p>
            <w:pPr>
              <w:pStyle w:val="1132"/>
              <w:rPr>
                <w:rFonts w:hint="eastAsia"/>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rFonts w:hint="eastAsia"/>
                <w:szCs w:val="21"/>
              </w:rPr>
            </w:pPr>
            <w:r>
              <w:rPr>
                <w:rFonts w:hint="eastAsia"/>
                <w:szCs w:val="21"/>
                <w:lang w:val="en-US" w:eastAsia="zh-CN"/>
              </w:rPr>
              <w:t>/</w:t>
            </w:r>
          </w:p>
        </w:tc>
        <w:tc>
          <w:tcPr>
            <w:tcW w:w="871" w:type="dxa"/>
            <w:vAlign w:val="center"/>
          </w:tcPr>
          <w:p>
            <w:pPr>
              <w:pStyle w:val="1132"/>
              <w:rPr>
                <w:szCs w:val="21"/>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continue"/>
            <w:vAlign w:val="center"/>
          </w:tcPr>
          <w:p>
            <w:pPr>
              <w:pStyle w:val="1132"/>
              <w:rPr>
                <w:rFonts w:hint="eastAsia"/>
                <w:szCs w:val="21"/>
                <w:lang w:val="en-US" w:eastAsia="zh-CN"/>
              </w:rPr>
            </w:pPr>
          </w:p>
        </w:tc>
        <w:tc>
          <w:tcPr>
            <w:tcW w:w="960" w:type="dxa"/>
            <w:vMerge w:val="continue"/>
            <w:vAlign w:val="center"/>
          </w:tcPr>
          <w:p>
            <w:pPr>
              <w:pStyle w:val="1132"/>
              <w:rPr>
                <w:rFonts w:hint="eastAsia"/>
              </w:rPr>
            </w:pPr>
          </w:p>
        </w:tc>
        <w:tc>
          <w:tcPr>
            <w:tcW w:w="1608" w:type="dxa"/>
            <w:vMerge w:val="continue"/>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p>
        </w:tc>
        <w:tc>
          <w:tcPr>
            <w:tcW w:w="1188" w:type="dxa"/>
            <w:vAlign w:val="center"/>
          </w:tcPr>
          <w:p>
            <w:pPr>
              <w:pStyle w:val="1132"/>
              <w:rPr>
                <w:rFonts w:hint="default"/>
                <w:szCs w:val="21"/>
                <w:lang w:val="en-US" w:eastAsia="zh-CN"/>
              </w:rPr>
            </w:pPr>
            <w:r>
              <w:rPr>
                <w:rFonts w:hint="eastAsia"/>
                <w:szCs w:val="21"/>
                <w:lang w:val="en-US" w:eastAsia="zh-CN"/>
              </w:rPr>
              <w:t>35</w:t>
            </w:r>
          </w:p>
        </w:tc>
        <w:tc>
          <w:tcPr>
            <w:tcW w:w="753" w:type="dxa"/>
            <w:vMerge w:val="continue"/>
            <w:vAlign w:val="center"/>
          </w:tcPr>
          <w:p>
            <w:pPr>
              <w:pStyle w:val="1132"/>
              <w:rPr>
                <w:rFonts w:hint="eastAsia" w:cs="Times New Roman"/>
                <w:color w:val="auto"/>
                <w:sz w:val="21"/>
                <w:szCs w:val="21"/>
                <w:lang w:val="en-US" w:eastAsia="zh-CN"/>
              </w:rPr>
            </w:pPr>
          </w:p>
        </w:tc>
        <w:tc>
          <w:tcPr>
            <w:tcW w:w="951" w:type="dxa"/>
            <w:vAlign w:val="center"/>
          </w:tcPr>
          <w:p>
            <w:pPr>
              <w:pStyle w:val="1132"/>
              <w:rPr>
                <w:rFonts w:hint="default"/>
                <w:szCs w:val="21"/>
                <w:lang w:val="en-US" w:eastAsia="zh-CN"/>
              </w:rPr>
            </w:pPr>
            <w:r>
              <w:rPr>
                <w:rFonts w:hint="eastAsia"/>
                <w:szCs w:val="21"/>
                <w:lang w:val="en-US" w:eastAsia="zh-CN"/>
              </w:rPr>
              <w:t>57.3</w:t>
            </w:r>
          </w:p>
        </w:tc>
        <w:tc>
          <w:tcPr>
            <w:tcW w:w="821" w:type="dxa"/>
            <w:vAlign w:val="center"/>
          </w:tcPr>
          <w:p>
            <w:pPr>
              <w:pStyle w:val="1132"/>
              <w:rPr>
                <w:rFonts w:hint="default"/>
                <w:szCs w:val="21"/>
                <w:lang w:val="en-US" w:eastAsia="zh-CN"/>
              </w:rPr>
            </w:pPr>
            <w:r>
              <w:rPr>
                <w:rFonts w:hint="eastAsia"/>
                <w:szCs w:val="21"/>
                <w:lang w:val="en-US" w:eastAsia="zh-CN"/>
              </w:rPr>
              <w:t>49.6</w:t>
            </w:r>
          </w:p>
        </w:tc>
        <w:tc>
          <w:tcPr>
            <w:tcW w:w="809" w:type="dxa"/>
            <w:vAlign w:val="center"/>
          </w:tcPr>
          <w:p>
            <w:pPr>
              <w:pStyle w:val="1132"/>
              <w:rPr>
                <w:rFonts w:hint="default"/>
                <w:szCs w:val="21"/>
                <w:lang w:val="en-US" w:eastAsia="zh-CN"/>
              </w:rPr>
            </w:pPr>
            <w:r>
              <w:rPr>
                <w:rFonts w:hint="eastAsia"/>
                <w:szCs w:val="21"/>
                <w:lang w:val="en-US" w:eastAsia="zh-CN"/>
              </w:rPr>
              <w:t>/</w:t>
            </w:r>
          </w:p>
        </w:tc>
        <w:tc>
          <w:tcPr>
            <w:tcW w:w="943" w:type="dxa"/>
            <w:vAlign w:val="center"/>
          </w:tcPr>
          <w:p>
            <w:pPr>
              <w:pStyle w:val="1132"/>
              <w:rPr>
                <w:rFonts w:hint="default"/>
                <w:szCs w:val="21"/>
                <w:lang w:val="en-US" w:eastAsia="zh-CN"/>
              </w:rPr>
            </w:pPr>
            <w:r>
              <w:rPr>
                <w:rFonts w:hint="eastAsia"/>
                <w:szCs w:val="21"/>
                <w:lang w:val="en-US" w:eastAsia="zh-CN"/>
              </w:rPr>
              <w:t>0</w:t>
            </w:r>
          </w:p>
        </w:tc>
        <w:tc>
          <w:tcPr>
            <w:tcW w:w="678" w:type="dxa"/>
            <w:vAlign w:val="center"/>
          </w:tcPr>
          <w:p>
            <w:pPr>
              <w:pStyle w:val="1132"/>
              <w:rPr>
                <w:rFonts w:hint="default"/>
                <w:szCs w:val="21"/>
                <w:lang w:val="en-US" w:eastAsia="zh-CN"/>
              </w:rPr>
            </w:pPr>
            <w:r>
              <w:rPr>
                <w:rFonts w:hint="eastAsia"/>
                <w:szCs w:val="21"/>
                <w:lang w:val="en-US" w:eastAsia="zh-CN"/>
              </w:rPr>
              <w:t>/</w:t>
            </w:r>
          </w:p>
        </w:tc>
        <w:tc>
          <w:tcPr>
            <w:tcW w:w="679" w:type="dxa"/>
            <w:vAlign w:val="center"/>
          </w:tcPr>
          <w:p>
            <w:pPr>
              <w:pStyle w:val="1132"/>
              <w:rPr>
                <w:rFonts w:hint="default"/>
                <w:szCs w:val="21"/>
                <w:lang w:val="en-US" w:eastAsia="zh-CN"/>
              </w:rPr>
            </w:pPr>
            <w:r>
              <w:rPr>
                <w:rFonts w:hint="eastAsia"/>
                <w:szCs w:val="21"/>
                <w:lang w:val="en-US" w:eastAsia="zh-CN"/>
              </w:rPr>
              <w:t>0</w:t>
            </w:r>
          </w:p>
        </w:tc>
        <w:tc>
          <w:tcPr>
            <w:tcW w:w="826" w:type="dxa"/>
            <w:vAlign w:val="center"/>
          </w:tcPr>
          <w:p>
            <w:pPr>
              <w:pStyle w:val="1132"/>
              <w:rPr>
                <w:rFonts w:hint="eastAsia"/>
                <w:szCs w:val="21"/>
                <w:lang w:val="en-US" w:eastAsia="zh-CN"/>
              </w:rPr>
            </w:pPr>
            <w:r>
              <w:rPr>
                <w:rFonts w:hint="eastAsia"/>
                <w:szCs w:val="21"/>
                <w:lang w:val="en-US" w:eastAsia="zh-CN"/>
              </w:rPr>
              <w:t>/</w:t>
            </w:r>
          </w:p>
        </w:tc>
        <w:tc>
          <w:tcPr>
            <w:tcW w:w="1480" w:type="dxa"/>
            <w:vAlign w:val="center"/>
          </w:tcPr>
          <w:p>
            <w:pPr>
              <w:pStyle w:val="113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rFonts w:hint="eastAsia"/>
                <w:szCs w:val="21"/>
                <w:lang w:val="en-US" w:eastAsia="zh-CN"/>
              </w:rPr>
            </w:pPr>
            <w:r>
              <w:rPr>
                <w:rFonts w:hint="eastAsia"/>
                <w:szCs w:val="21"/>
                <w:lang w:val="en-US" w:eastAsia="zh-CN"/>
              </w:rPr>
              <w:t>/</w:t>
            </w:r>
          </w:p>
        </w:tc>
        <w:tc>
          <w:tcPr>
            <w:tcW w:w="871" w:type="dxa"/>
            <w:vAlign w:val="center"/>
          </w:tcPr>
          <w:p>
            <w:pPr>
              <w:pStyle w:val="1132"/>
              <w:rPr>
                <w:rFonts w:hint="eastAsia"/>
                <w:szCs w:val="21"/>
                <w:lang w:val="en-US" w:eastAsia="zh-CN"/>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restart"/>
            <w:vAlign w:val="center"/>
          </w:tcPr>
          <w:p>
            <w:pPr>
              <w:pStyle w:val="1132"/>
              <w:rPr>
                <w:rFonts w:hint="eastAsia" w:eastAsia="宋体"/>
                <w:szCs w:val="21"/>
                <w:lang w:val="en-US" w:eastAsia="zh-CN"/>
              </w:rPr>
            </w:pPr>
            <w:r>
              <w:rPr>
                <w:rFonts w:hint="eastAsia"/>
                <w:szCs w:val="21"/>
                <w:lang w:val="en-US" w:eastAsia="zh-CN"/>
              </w:rPr>
              <w:t>8</w:t>
            </w:r>
          </w:p>
        </w:tc>
        <w:tc>
          <w:tcPr>
            <w:tcW w:w="960" w:type="dxa"/>
            <w:vMerge w:val="restart"/>
            <w:vAlign w:val="center"/>
          </w:tcPr>
          <w:p>
            <w:pPr>
              <w:pStyle w:val="1132"/>
              <w:rPr>
                <w:szCs w:val="21"/>
              </w:rPr>
            </w:pPr>
            <w:r>
              <w:rPr>
                <w:rFonts w:hint="eastAsia"/>
                <w:szCs w:val="21"/>
              </w:rPr>
              <w:t>邵楼村</w:t>
            </w:r>
          </w:p>
        </w:tc>
        <w:tc>
          <w:tcPr>
            <w:tcW w:w="1608" w:type="dxa"/>
            <w:vMerge w:val="restar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szCs w:val="21"/>
              </w:rPr>
            </w:pPr>
            <w:r>
              <w:rPr>
                <w:rFonts w:hint="eastAsia" w:cs="Times New Roman"/>
                <w:color w:val="auto"/>
                <w:sz w:val="21"/>
                <w:szCs w:val="21"/>
                <w:lang w:val="en-US" w:eastAsia="zh-CN"/>
              </w:rPr>
              <w:t>K4+000~K4+740</w:t>
            </w:r>
          </w:p>
        </w:tc>
        <w:tc>
          <w:tcPr>
            <w:tcW w:w="1188" w:type="dxa"/>
            <w:vAlign w:val="center"/>
          </w:tcPr>
          <w:p>
            <w:pPr>
              <w:pStyle w:val="1132"/>
              <w:rPr>
                <w:rFonts w:hint="default" w:eastAsia="宋体"/>
                <w:szCs w:val="21"/>
                <w:lang w:val="en-US" w:eastAsia="zh-CN"/>
              </w:rPr>
            </w:pPr>
            <w:r>
              <w:rPr>
                <w:rFonts w:hint="eastAsia"/>
                <w:szCs w:val="21"/>
                <w:lang w:val="en-US" w:eastAsia="zh-CN"/>
              </w:rPr>
              <w:t>18</w:t>
            </w:r>
          </w:p>
        </w:tc>
        <w:tc>
          <w:tcPr>
            <w:tcW w:w="753" w:type="dxa"/>
            <w:vMerge w:val="restart"/>
            <w:vAlign w:val="center"/>
          </w:tcPr>
          <w:p>
            <w:pPr>
              <w:pStyle w:val="1132"/>
              <w:rPr>
                <w:szCs w:val="21"/>
              </w:rPr>
            </w:pPr>
            <w:r>
              <w:rPr>
                <w:rFonts w:hint="default" w:ascii="Times New Roman" w:hAnsi="Times New Roman" w:cs="Times New Roman"/>
                <w:color w:val="auto"/>
                <w:sz w:val="21"/>
                <w:szCs w:val="21"/>
                <w:lang w:val="en-US" w:eastAsia="zh-CN"/>
              </w:rPr>
              <w:t>0.8~2.5</w:t>
            </w:r>
          </w:p>
        </w:tc>
        <w:tc>
          <w:tcPr>
            <w:tcW w:w="951" w:type="dxa"/>
            <w:vAlign w:val="center"/>
          </w:tcPr>
          <w:p>
            <w:pPr>
              <w:pStyle w:val="1132"/>
              <w:rPr>
                <w:rFonts w:hint="default" w:eastAsia="宋体"/>
                <w:szCs w:val="21"/>
                <w:lang w:val="en-US" w:eastAsia="zh-CN"/>
              </w:rPr>
            </w:pPr>
            <w:r>
              <w:rPr>
                <w:rFonts w:hint="eastAsia"/>
                <w:szCs w:val="21"/>
                <w:lang w:val="en-US" w:eastAsia="zh-CN"/>
              </w:rPr>
              <w:t>59.6</w:t>
            </w:r>
          </w:p>
        </w:tc>
        <w:tc>
          <w:tcPr>
            <w:tcW w:w="821" w:type="dxa"/>
            <w:vAlign w:val="center"/>
          </w:tcPr>
          <w:p>
            <w:pPr>
              <w:pStyle w:val="1132"/>
              <w:rPr>
                <w:rFonts w:hint="default" w:eastAsia="宋体"/>
                <w:szCs w:val="21"/>
                <w:lang w:val="en-US" w:eastAsia="zh-CN"/>
              </w:rPr>
            </w:pPr>
            <w:r>
              <w:rPr>
                <w:rFonts w:hint="eastAsia"/>
                <w:szCs w:val="21"/>
                <w:lang w:val="en-US" w:eastAsia="zh-CN"/>
              </w:rPr>
              <w:t>54.0</w:t>
            </w:r>
          </w:p>
        </w:tc>
        <w:tc>
          <w:tcPr>
            <w:tcW w:w="809" w:type="dxa"/>
            <w:vAlign w:val="center"/>
          </w:tcPr>
          <w:p>
            <w:pPr>
              <w:pStyle w:val="1132"/>
              <w:rPr>
                <w:rFonts w:hint="eastAsia" w:eastAsia="宋体"/>
                <w:szCs w:val="21"/>
                <w:lang w:val="en-US" w:eastAsia="zh-CN"/>
              </w:rPr>
            </w:pPr>
            <w:r>
              <w:rPr>
                <w:rFonts w:hint="eastAsia"/>
                <w:szCs w:val="21"/>
                <w:lang w:val="en-US" w:eastAsia="zh-CN"/>
              </w:rPr>
              <w:t>0</w:t>
            </w:r>
          </w:p>
        </w:tc>
        <w:tc>
          <w:tcPr>
            <w:tcW w:w="943" w:type="dxa"/>
            <w:vAlign w:val="center"/>
          </w:tcPr>
          <w:p>
            <w:pPr>
              <w:pStyle w:val="1132"/>
              <w:rPr>
                <w:rFonts w:hint="eastAsia" w:eastAsia="宋体"/>
                <w:szCs w:val="21"/>
                <w:lang w:eastAsia="zh-CN"/>
              </w:rPr>
            </w:pPr>
            <w:r>
              <w:rPr>
                <w:rFonts w:hint="eastAsia"/>
                <w:szCs w:val="21"/>
                <w:lang w:val="en-US" w:eastAsia="zh-CN"/>
              </w:rPr>
              <w:t>/</w:t>
            </w:r>
          </w:p>
        </w:tc>
        <w:tc>
          <w:tcPr>
            <w:tcW w:w="678" w:type="dxa"/>
            <w:vAlign w:val="center"/>
          </w:tcPr>
          <w:p>
            <w:pPr>
              <w:pStyle w:val="1132"/>
              <w:rPr>
                <w:szCs w:val="21"/>
              </w:rPr>
            </w:pPr>
            <w:r>
              <w:rPr>
                <w:rFonts w:hint="eastAsia"/>
                <w:szCs w:val="21"/>
                <w:lang w:val="en-US" w:eastAsia="zh-CN"/>
              </w:rPr>
              <w:t>0</w:t>
            </w:r>
          </w:p>
        </w:tc>
        <w:tc>
          <w:tcPr>
            <w:tcW w:w="679" w:type="dxa"/>
            <w:vAlign w:val="center"/>
          </w:tcPr>
          <w:p>
            <w:pPr>
              <w:pStyle w:val="1132"/>
              <w:rPr>
                <w:szCs w:val="21"/>
              </w:rPr>
            </w:pPr>
            <w:r>
              <w:rPr>
                <w:rFonts w:hint="eastAsia"/>
                <w:szCs w:val="21"/>
                <w:lang w:val="en-US" w:eastAsia="zh-CN"/>
              </w:rPr>
              <w:t>/</w:t>
            </w:r>
          </w:p>
        </w:tc>
        <w:tc>
          <w:tcPr>
            <w:tcW w:w="826" w:type="dxa"/>
            <w:vAlign w:val="center"/>
          </w:tcPr>
          <w:p>
            <w:pPr>
              <w:pStyle w:val="1132"/>
              <w:rPr>
                <w:szCs w:val="21"/>
              </w:rPr>
            </w:pPr>
            <w:r>
              <w:rPr>
                <w:rFonts w:hint="eastAsia"/>
                <w:szCs w:val="21"/>
                <w:lang w:val="en-US" w:eastAsia="zh-CN"/>
              </w:rPr>
              <w:t>/</w:t>
            </w:r>
          </w:p>
        </w:tc>
        <w:tc>
          <w:tcPr>
            <w:tcW w:w="1480" w:type="dxa"/>
            <w:vAlign w:val="center"/>
          </w:tcPr>
          <w:p>
            <w:pPr>
              <w:pStyle w:val="1132"/>
              <w:rPr>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szCs w:val="21"/>
              </w:rPr>
            </w:pPr>
            <w:r>
              <w:rPr>
                <w:rFonts w:hint="eastAsia"/>
                <w:szCs w:val="21"/>
                <w:lang w:val="en-US" w:eastAsia="zh-CN"/>
              </w:rPr>
              <w:t>/</w:t>
            </w:r>
          </w:p>
        </w:tc>
        <w:tc>
          <w:tcPr>
            <w:tcW w:w="871" w:type="dxa"/>
            <w:vAlign w:val="center"/>
          </w:tcPr>
          <w:p>
            <w:pPr>
              <w:pStyle w:val="1132"/>
              <w:rPr>
                <w:szCs w:val="21"/>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continue"/>
            <w:vAlign w:val="center"/>
          </w:tcPr>
          <w:p>
            <w:pPr>
              <w:pStyle w:val="1132"/>
              <w:rPr>
                <w:rFonts w:hint="eastAsia"/>
                <w:szCs w:val="21"/>
                <w:lang w:val="en-US" w:eastAsia="zh-CN"/>
              </w:rPr>
            </w:pPr>
          </w:p>
        </w:tc>
        <w:tc>
          <w:tcPr>
            <w:tcW w:w="960" w:type="dxa"/>
            <w:vMerge w:val="continue"/>
            <w:vAlign w:val="center"/>
          </w:tcPr>
          <w:p>
            <w:pPr>
              <w:pStyle w:val="1132"/>
              <w:rPr>
                <w:rFonts w:hint="eastAsia"/>
                <w:szCs w:val="21"/>
              </w:rPr>
            </w:pPr>
          </w:p>
        </w:tc>
        <w:tc>
          <w:tcPr>
            <w:tcW w:w="1608" w:type="dxa"/>
            <w:vMerge w:val="continue"/>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p>
        </w:tc>
        <w:tc>
          <w:tcPr>
            <w:tcW w:w="1188" w:type="dxa"/>
            <w:vAlign w:val="center"/>
          </w:tcPr>
          <w:p>
            <w:pPr>
              <w:pStyle w:val="1132"/>
              <w:rPr>
                <w:rFonts w:hint="default"/>
                <w:szCs w:val="21"/>
                <w:lang w:val="en-US" w:eastAsia="zh-CN"/>
              </w:rPr>
            </w:pPr>
            <w:r>
              <w:rPr>
                <w:rFonts w:hint="eastAsia"/>
                <w:szCs w:val="21"/>
                <w:lang w:val="en-US" w:eastAsia="zh-CN"/>
              </w:rPr>
              <w:t>35</w:t>
            </w:r>
          </w:p>
        </w:tc>
        <w:tc>
          <w:tcPr>
            <w:tcW w:w="753" w:type="dxa"/>
            <w:vMerge w:val="continue"/>
            <w:vAlign w:val="center"/>
          </w:tcPr>
          <w:p>
            <w:pPr>
              <w:pStyle w:val="1132"/>
              <w:rPr>
                <w:rFonts w:hint="default" w:ascii="Times New Roman" w:hAnsi="Times New Roman" w:cs="Times New Roman"/>
                <w:color w:val="auto"/>
                <w:sz w:val="21"/>
                <w:szCs w:val="21"/>
                <w:lang w:val="en-US" w:eastAsia="zh-CN"/>
              </w:rPr>
            </w:pPr>
          </w:p>
        </w:tc>
        <w:tc>
          <w:tcPr>
            <w:tcW w:w="951" w:type="dxa"/>
            <w:vAlign w:val="center"/>
          </w:tcPr>
          <w:p>
            <w:pPr>
              <w:pStyle w:val="1132"/>
              <w:rPr>
                <w:rFonts w:hint="default" w:eastAsia="宋体"/>
                <w:szCs w:val="21"/>
                <w:lang w:val="en-US" w:eastAsia="zh-CN"/>
              </w:rPr>
            </w:pPr>
            <w:r>
              <w:rPr>
                <w:rFonts w:hint="eastAsia"/>
                <w:szCs w:val="21"/>
                <w:lang w:val="en-US" w:eastAsia="zh-CN"/>
              </w:rPr>
              <w:t>56.7</w:t>
            </w:r>
          </w:p>
        </w:tc>
        <w:tc>
          <w:tcPr>
            <w:tcW w:w="821" w:type="dxa"/>
            <w:vAlign w:val="center"/>
          </w:tcPr>
          <w:p>
            <w:pPr>
              <w:pStyle w:val="1132"/>
              <w:rPr>
                <w:rFonts w:hint="default" w:eastAsia="宋体"/>
                <w:szCs w:val="21"/>
                <w:lang w:val="en-US" w:eastAsia="zh-CN"/>
              </w:rPr>
            </w:pPr>
            <w:r>
              <w:rPr>
                <w:rFonts w:hint="eastAsia"/>
                <w:szCs w:val="21"/>
                <w:lang w:val="en-US" w:eastAsia="zh-CN"/>
              </w:rPr>
              <w:t>49.8</w:t>
            </w:r>
          </w:p>
        </w:tc>
        <w:tc>
          <w:tcPr>
            <w:tcW w:w="809" w:type="dxa"/>
            <w:vAlign w:val="center"/>
          </w:tcPr>
          <w:p>
            <w:pPr>
              <w:pStyle w:val="1132"/>
              <w:rPr>
                <w:rFonts w:hint="eastAsia"/>
                <w:szCs w:val="21"/>
                <w:lang w:val="en-US" w:eastAsia="zh-CN"/>
              </w:rPr>
            </w:pPr>
            <w:r>
              <w:rPr>
                <w:rFonts w:hint="eastAsia"/>
                <w:szCs w:val="21"/>
                <w:lang w:val="en-US" w:eastAsia="zh-CN"/>
              </w:rPr>
              <w:t>/</w:t>
            </w:r>
          </w:p>
        </w:tc>
        <w:tc>
          <w:tcPr>
            <w:tcW w:w="943" w:type="dxa"/>
            <w:vAlign w:val="center"/>
          </w:tcPr>
          <w:p>
            <w:pPr>
              <w:pStyle w:val="1132"/>
              <w:rPr>
                <w:rFonts w:hint="eastAsia"/>
                <w:szCs w:val="21"/>
              </w:rPr>
            </w:pPr>
            <w:r>
              <w:rPr>
                <w:rFonts w:hint="eastAsia"/>
                <w:szCs w:val="21"/>
                <w:lang w:val="en-US" w:eastAsia="zh-CN"/>
              </w:rPr>
              <w:t>0</w:t>
            </w:r>
          </w:p>
        </w:tc>
        <w:tc>
          <w:tcPr>
            <w:tcW w:w="678" w:type="dxa"/>
            <w:vAlign w:val="center"/>
          </w:tcPr>
          <w:p>
            <w:pPr>
              <w:pStyle w:val="1132"/>
              <w:rPr>
                <w:rFonts w:hint="eastAsia"/>
                <w:szCs w:val="21"/>
                <w:lang w:val="en-US" w:eastAsia="zh-CN"/>
              </w:rPr>
            </w:pPr>
            <w:r>
              <w:rPr>
                <w:rFonts w:hint="eastAsia"/>
                <w:szCs w:val="21"/>
                <w:lang w:val="en-US" w:eastAsia="zh-CN"/>
              </w:rPr>
              <w:t>/</w:t>
            </w:r>
          </w:p>
        </w:tc>
        <w:tc>
          <w:tcPr>
            <w:tcW w:w="679" w:type="dxa"/>
            <w:vAlign w:val="center"/>
          </w:tcPr>
          <w:p>
            <w:pPr>
              <w:pStyle w:val="1132"/>
              <w:rPr>
                <w:rFonts w:hint="eastAsia"/>
                <w:szCs w:val="21"/>
                <w:lang w:val="en-US" w:eastAsia="zh-CN"/>
              </w:rPr>
            </w:pPr>
            <w:r>
              <w:rPr>
                <w:rFonts w:hint="eastAsia"/>
                <w:szCs w:val="21"/>
                <w:lang w:val="en-US" w:eastAsia="zh-CN"/>
              </w:rPr>
              <w:t>0</w:t>
            </w:r>
          </w:p>
        </w:tc>
        <w:tc>
          <w:tcPr>
            <w:tcW w:w="826" w:type="dxa"/>
            <w:vAlign w:val="center"/>
          </w:tcPr>
          <w:p>
            <w:pPr>
              <w:pStyle w:val="1132"/>
              <w:rPr>
                <w:rFonts w:hint="eastAsia"/>
                <w:szCs w:val="21"/>
              </w:rPr>
            </w:pPr>
            <w:r>
              <w:rPr>
                <w:rFonts w:hint="eastAsia"/>
                <w:szCs w:val="21"/>
                <w:lang w:val="en-US" w:eastAsia="zh-CN"/>
              </w:rPr>
              <w:t>/</w:t>
            </w:r>
          </w:p>
        </w:tc>
        <w:tc>
          <w:tcPr>
            <w:tcW w:w="1480" w:type="dxa"/>
            <w:vAlign w:val="center"/>
          </w:tcPr>
          <w:p>
            <w:pPr>
              <w:pStyle w:val="1132"/>
              <w:rPr>
                <w:rFonts w:hint="eastAsia"/>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rFonts w:hint="eastAsia"/>
                <w:szCs w:val="21"/>
              </w:rPr>
            </w:pPr>
            <w:r>
              <w:rPr>
                <w:rFonts w:hint="eastAsia"/>
                <w:szCs w:val="21"/>
                <w:lang w:val="en-US" w:eastAsia="zh-CN"/>
              </w:rPr>
              <w:t>/</w:t>
            </w:r>
          </w:p>
        </w:tc>
        <w:tc>
          <w:tcPr>
            <w:tcW w:w="871" w:type="dxa"/>
            <w:vAlign w:val="center"/>
          </w:tcPr>
          <w:p>
            <w:pPr>
              <w:pStyle w:val="1132"/>
              <w:rPr>
                <w:szCs w:val="21"/>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restart"/>
            <w:vAlign w:val="center"/>
          </w:tcPr>
          <w:p>
            <w:pPr>
              <w:pStyle w:val="1132"/>
              <w:rPr>
                <w:rFonts w:hint="eastAsia" w:eastAsia="宋体"/>
                <w:szCs w:val="21"/>
                <w:lang w:val="en-US" w:eastAsia="zh-CN"/>
              </w:rPr>
            </w:pPr>
            <w:r>
              <w:rPr>
                <w:rFonts w:hint="eastAsia"/>
                <w:szCs w:val="21"/>
                <w:lang w:val="en-US" w:eastAsia="zh-CN"/>
              </w:rPr>
              <w:t>9</w:t>
            </w:r>
          </w:p>
        </w:tc>
        <w:tc>
          <w:tcPr>
            <w:tcW w:w="960" w:type="dxa"/>
            <w:vMerge w:val="restart"/>
            <w:vAlign w:val="center"/>
          </w:tcPr>
          <w:p>
            <w:pPr>
              <w:pStyle w:val="1132"/>
              <w:rPr>
                <w:szCs w:val="21"/>
              </w:rPr>
            </w:pPr>
            <w:r>
              <w:rPr>
                <w:rFonts w:hint="eastAsia"/>
                <w:szCs w:val="21"/>
              </w:rPr>
              <w:t>小沟沿</w:t>
            </w:r>
          </w:p>
        </w:tc>
        <w:tc>
          <w:tcPr>
            <w:tcW w:w="1608" w:type="dxa"/>
            <w:vMerge w:val="restart"/>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szCs w:val="21"/>
              </w:rPr>
            </w:pPr>
            <w:r>
              <w:rPr>
                <w:rFonts w:hint="eastAsia" w:cs="Times New Roman"/>
                <w:color w:val="auto"/>
                <w:sz w:val="21"/>
                <w:szCs w:val="21"/>
                <w:lang w:val="en-US" w:eastAsia="zh-CN"/>
              </w:rPr>
              <w:t>K6+400~K7+000</w:t>
            </w:r>
          </w:p>
        </w:tc>
        <w:tc>
          <w:tcPr>
            <w:tcW w:w="1188" w:type="dxa"/>
            <w:vAlign w:val="center"/>
          </w:tcPr>
          <w:p>
            <w:pPr>
              <w:pStyle w:val="1132"/>
              <w:rPr>
                <w:rFonts w:hint="default" w:eastAsia="宋体"/>
                <w:szCs w:val="21"/>
                <w:lang w:val="en-US" w:eastAsia="zh-CN"/>
              </w:rPr>
            </w:pPr>
            <w:r>
              <w:rPr>
                <w:rFonts w:hint="eastAsia"/>
                <w:szCs w:val="21"/>
                <w:lang w:val="en-US" w:eastAsia="zh-CN"/>
              </w:rPr>
              <w:t>17</w:t>
            </w:r>
          </w:p>
        </w:tc>
        <w:tc>
          <w:tcPr>
            <w:tcW w:w="753" w:type="dxa"/>
            <w:vMerge w:val="restart"/>
            <w:vAlign w:val="center"/>
          </w:tcPr>
          <w:p>
            <w:pPr>
              <w:pStyle w:val="1132"/>
              <w:rPr>
                <w:szCs w:val="21"/>
              </w:rPr>
            </w:pPr>
            <w:r>
              <w:rPr>
                <w:rFonts w:hint="default" w:ascii="Times New Roman" w:hAnsi="Times New Roman" w:cs="Times New Roman"/>
                <w:color w:val="auto"/>
                <w:sz w:val="21"/>
                <w:szCs w:val="21"/>
                <w:lang w:val="en-US" w:eastAsia="zh-CN"/>
              </w:rPr>
              <w:t>0.4~1.8</w:t>
            </w:r>
          </w:p>
        </w:tc>
        <w:tc>
          <w:tcPr>
            <w:tcW w:w="951" w:type="dxa"/>
            <w:vAlign w:val="center"/>
          </w:tcPr>
          <w:p>
            <w:pPr>
              <w:pStyle w:val="1132"/>
              <w:rPr>
                <w:rFonts w:hint="default" w:eastAsia="宋体"/>
                <w:szCs w:val="21"/>
                <w:lang w:val="en-US" w:eastAsia="zh-CN"/>
              </w:rPr>
            </w:pPr>
            <w:r>
              <w:rPr>
                <w:rFonts w:hint="eastAsia"/>
                <w:szCs w:val="21"/>
                <w:lang w:val="en-US" w:eastAsia="zh-CN"/>
              </w:rPr>
              <w:t>60.0</w:t>
            </w:r>
          </w:p>
        </w:tc>
        <w:tc>
          <w:tcPr>
            <w:tcW w:w="821" w:type="dxa"/>
            <w:vAlign w:val="center"/>
          </w:tcPr>
          <w:p>
            <w:pPr>
              <w:pStyle w:val="1132"/>
              <w:rPr>
                <w:rFonts w:hint="default" w:eastAsia="宋体"/>
                <w:szCs w:val="21"/>
                <w:lang w:val="en-US" w:eastAsia="zh-CN"/>
              </w:rPr>
            </w:pPr>
            <w:r>
              <w:rPr>
                <w:rFonts w:hint="eastAsia"/>
                <w:szCs w:val="21"/>
                <w:lang w:val="en-US" w:eastAsia="zh-CN"/>
              </w:rPr>
              <w:t>54.4</w:t>
            </w:r>
          </w:p>
        </w:tc>
        <w:tc>
          <w:tcPr>
            <w:tcW w:w="809" w:type="dxa"/>
            <w:vAlign w:val="center"/>
          </w:tcPr>
          <w:p>
            <w:pPr>
              <w:pStyle w:val="1132"/>
              <w:rPr>
                <w:rFonts w:hint="eastAsia" w:eastAsia="宋体"/>
                <w:szCs w:val="21"/>
                <w:lang w:val="en-US" w:eastAsia="zh-CN"/>
              </w:rPr>
            </w:pPr>
            <w:r>
              <w:rPr>
                <w:rFonts w:hint="eastAsia"/>
                <w:szCs w:val="21"/>
                <w:lang w:val="en-US" w:eastAsia="zh-CN"/>
              </w:rPr>
              <w:t>0</w:t>
            </w:r>
          </w:p>
        </w:tc>
        <w:tc>
          <w:tcPr>
            <w:tcW w:w="943" w:type="dxa"/>
            <w:vAlign w:val="center"/>
          </w:tcPr>
          <w:p>
            <w:pPr>
              <w:pStyle w:val="1132"/>
              <w:rPr>
                <w:rFonts w:hint="eastAsia" w:eastAsia="宋体"/>
                <w:szCs w:val="21"/>
                <w:lang w:eastAsia="zh-CN"/>
              </w:rPr>
            </w:pPr>
            <w:r>
              <w:rPr>
                <w:rFonts w:hint="eastAsia"/>
                <w:szCs w:val="21"/>
                <w:lang w:val="en-US" w:eastAsia="zh-CN"/>
              </w:rPr>
              <w:t>/</w:t>
            </w:r>
          </w:p>
        </w:tc>
        <w:tc>
          <w:tcPr>
            <w:tcW w:w="678" w:type="dxa"/>
            <w:vAlign w:val="center"/>
          </w:tcPr>
          <w:p>
            <w:pPr>
              <w:pStyle w:val="1132"/>
              <w:rPr>
                <w:szCs w:val="21"/>
              </w:rPr>
            </w:pPr>
            <w:r>
              <w:rPr>
                <w:rFonts w:hint="eastAsia"/>
                <w:szCs w:val="21"/>
                <w:lang w:val="en-US" w:eastAsia="zh-CN"/>
              </w:rPr>
              <w:t>0</w:t>
            </w:r>
          </w:p>
        </w:tc>
        <w:tc>
          <w:tcPr>
            <w:tcW w:w="679" w:type="dxa"/>
            <w:vAlign w:val="center"/>
          </w:tcPr>
          <w:p>
            <w:pPr>
              <w:pStyle w:val="1132"/>
              <w:rPr>
                <w:szCs w:val="21"/>
              </w:rPr>
            </w:pPr>
            <w:r>
              <w:rPr>
                <w:rFonts w:hint="eastAsia"/>
                <w:szCs w:val="21"/>
                <w:lang w:val="en-US" w:eastAsia="zh-CN"/>
              </w:rPr>
              <w:t>/</w:t>
            </w:r>
          </w:p>
        </w:tc>
        <w:tc>
          <w:tcPr>
            <w:tcW w:w="826" w:type="dxa"/>
            <w:vAlign w:val="center"/>
          </w:tcPr>
          <w:p>
            <w:pPr>
              <w:pStyle w:val="1132"/>
              <w:rPr>
                <w:szCs w:val="21"/>
              </w:rPr>
            </w:pPr>
            <w:r>
              <w:rPr>
                <w:rFonts w:hint="eastAsia"/>
                <w:szCs w:val="21"/>
                <w:lang w:val="en-US" w:eastAsia="zh-CN"/>
              </w:rPr>
              <w:t>/</w:t>
            </w:r>
          </w:p>
        </w:tc>
        <w:tc>
          <w:tcPr>
            <w:tcW w:w="1480" w:type="dxa"/>
            <w:vAlign w:val="center"/>
          </w:tcPr>
          <w:p>
            <w:pPr>
              <w:pStyle w:val="1132"/>
              <w:rPr>
                <w:szCs w:val="21"/>
              </w:rPr>
            </w:pPr>
            <w:r>
              <w:rPr>
                <w:rFonts w:hint="default" w:ascii="Times New Roman" w:hAnsi="Times New Roman" w:eastAsia="宋体" w:cs="Times New Roman"/>
                <w:color w:val="000000"/>
                <w:sz w:val="21"/>
                <w:szCs w:val="21"/>
              </w:rPr>
              <w:t>均达标，无需降噪</w:t>
            </w:r>
          </w:p>
        </w:tc>
        <w:tc>
          <w:tcPr>
            <w:tcW w:w="1135" w:type="dxa"/>
            <w:vAlign w:val="center"/>
          </w:tcPr>
          <w:p>
            <w:pPr>
              <w:pStyle w:val="1132"/>
              <w:rPr>
                <w:szCs w:val="21"/>
              </w:rPr>
            </w:pPr>
            <w:r>
              <w:rPr>
                <w:rFonts w:hint="eastAsia"/>
                <w:szCs w:val="21"/>
                <w:lang w:val="en-US" w:eastAsia="zh-CN"/>
              </w:rPr>
              <w:t>/</w:t>
            </w:r>
          </w:p>
        </w:tc>
        <w:tc>
          <w:tcPr>
            <w:tcW w:w="871" w:type="dxa"/>
            <w:vAlign w:val="center"/>
          </w:tcPr>
          <w:p>
            <w:pPr>
              <w:pStyle w:val="1132"/>
              <w:rPr>
                <w:szCs w:val="21"/>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14" w:type="dxa"/>
            <w:vMerge w:val="continue"/>
            <w:vAlign w:val="center"/>
          </w:tcPr>
          <w:p>
            <w:pPr>
              <w:pStyle w:val="1132"/>
              <w:rPr>
                <w:rFonts w:hint="eastAsia"/>
                <w:szCs w:val="21"/>
                <w:lang w:val="en-US" w:eastAsia="zh-CN"/>
              </w:rPr>
            </w:pPr>
          </w:p>
        </w:tc>
        <w:tc>
          <w:tcPr>
            <w:tcW w:w="960" w:type="dxa"/>
            <w:vMerge w:val="continue"/>
            <w:vAlign w:val="center"/>
          </w:tcPr>
          <w:p>
            <w:pPr>
              <w:pStyle w:val="1132"/>
              <w:rPr>
                <w:rFonts w:hint="eastAsia"/>
                <w:szCs w:val="21"/>
              </w:rPr>
            </w:pPr>
          </w:p>
        </w:tc>
        <w:tc>
          <w:tcPr>
            <w:tcW w:w="1608" w:type="dxa"/>
            <w:vMerge w:val="continue"/>
            <w:vAlign w:val="center"/>
          </w:tcPr>
          <w:p>
            <w:pPr>
              <w:pStyle w:val="11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color w:val="auto"/>
                <w:sz w:val="21"/>
                <w:szCs w:val="21"/>
                <w:lang w:val="en-US" w:eastAsia="zh-CN"/>
              </w:rPr>
            </w:pPr>
          </w:p>
        </w:tc>
        <w:tc>
          <w:tcPr>
            <w:tcW w:w="1188" w:type="dxa"/>
            <w:vAlign w:val="center"/>
          </w:tcPr>
          <w:p>
            <w:pPr>
              <w:pStyle w:val="1132"/>
              <w:rPr>
                <w:rFonts w:hint="default"/>
                <w:szCs w:val="21"/>
                <w:lang w:val="en-US" w:eastAsia="zh-CN"/>
              </w:rPr>
            </w:pPr>
            <w:r>
              <w:rPr>
                <w:rFonts w:hint="eastAsia"/>
                <w:szCs w:val="21"/>
                <w:lang w:val="en-US" w:eastAsia="zh-CN"/>
              </w:rPr>
              <w:t>35</w:t>
            </w:r>
          </w:p>
        </w:tc>
        <w:tc>
          <w:tcPr>
            <w:tcW w:w="753" w:type="dxa"/>
            <w:vMerge w:val="continue"/>
            <w:vAlign w:val="center"/>
          </w:tcPr>
          <w:p>
            <w:pPr>
              <w:pStyle w:val="1132"/>
              <w:rPr>
                <w:rFonts w:hint="default" w:ascii="Times New Roman" w:hAnsi="Times New Roman" w:cs="Times New Roman"/>
                <w:color w:val="auto"/>
                <w:sz w:val="21"/>
                <w:szCs w:val="21"/>
                <w:lang w:val="en-US" w:eastAsia="zh-CN"/>
              </w:rPr>
            </w:pPr>
          </w:p>
        </w:tc>
        <w:tc>
          <w:tcPr>
            <w:tcW w:w="951" w:type="dxa"/>
            <w:vAlign w:val="center"/>
          </w:tcPr>
          <w:p>
            <w:pPr>
              <w:pStyle w:val="1132"/>
              <w:rPr>
                <w:rFonts w:hint="default" w:eastAsia="宋体"/>
                <w:szCs w:val="21"/>
                <w:lang w:val="en-US" w:eastAsia="zh-CN"/>
              </w:rPr>
            </w:pPr>
            <w:r>
              <w:rPr>
                <w:rFonts w:hint="eastAsia"/>
                <w:szCs w:val="21"/>
                <w:lang w:val="en-US" w:eastAsia="zh-CN"/>
              </w:rPr>
              <w:t>56.9</w:t>
            </w:r>
          </w:p>
        </w:tc>
        <w:tc>
          <w:tcPr>
            <w:tcW w:w="821" w:type="dxa"/>
            <w:vAlign w:val="center"/>
          </w:tcPr>
          <w:p>
            <w:pPr>
              <w:pStyle w:val="1132"/>
              <w:rPr>
                <w:rFonts w:hint="default" w:eastAsia="宋体"/>
                <w:szCs w:val="21"/>
                <w:lang w:val="en-US" w:eastAsia="zh-CN"/>
              </w:rPr>
            </w:pPr>
            <w:r>
              <w:rPr>
                <w:rFonts w:hint="eastAsia"/>
                <w:szCs w:val="21"/>
                <w:lang w:val="en-US" w:eastAsia="zh-CN"/>
              </w:rPr>
              <w:t>50.1</w:t>
            </w:r>
          </w:p>
        </w:tc>
        <w:tc>
          <w:tcPr>
            <w:tcW w:w="809" w:type="dxa"/>
            <w:vAlign w:val="center"/>
          </w:tcPr>
          <w:p>
            <w:pPr>
              <w:pStyle w:val="1132"/>
              <w:rPr>
                <w:rFonts w:hint="eastAsia"/>
                <w:szCs w:val="21"/>
                <w:lang w:val="en-US" w:eastAsia="zh-CN"/>
              </w:rPr>
            </w:pPr>
            <w:r>
              <w:rPr>
                <w:rFonts w:hint="eastAsia"/>
                <w:szCs w:val="21"/>
                <w:lang w:val="en-US" w:eastAsia="zh-CN"/>
              </w:rPr>
              <w:t>/</w:t>
            </w:r>
          </w:p>
        </w:tc>
        <w:tc>
          <w:tcPr>
            <w:tcW w:w="943" w:type="dxa"/>
            <w:vAlign w:val="center"/>
          </w:tcPr>
          <w:p>
            <w:pPr>
              <w:pStyle w:val="1132"/>
              <w:rPr>
                <w:rFonts w:hint="default"/>
                <w:szCs w:val="21"/>
                <w:lang w:val="en-US"/>
              </w:rPr>
            </w:pPr>
            <w:r>
              <w:rPr>
                <w:rFonts w:hint="eastAsia"/>
                <w:szCs w:val="21"/>
                <w:lang w:val="en-US" w:eastAsia="zh-CN"/>
              </w:rPr>
              <w:t>夜间超标0.1</w:t>
            </w:r>
          </w:p>
        </w:tc>
        <w:tc>
          <w:tcPr>
            <w:tcW w:w="678" w:type="dxa"/>
            <w:vAlign w:val="center"/>
          </w:tcPr>
          <w:p>
            <w:pPr>
              <w:pStyle w:val="1132"/>
              <w:rPr>
                <w:rFonts w:hint="default"/>
                <w:szCs w:val="21"/>
                <w:lang w:val="en-US" w:eastAsia="zh-CN"/>
              </w:rPr>
            </w:pPr>
            <w:r>
              <w:rPr>
                <w:rFonts w:hint="eastAsia"/>
                <w:szCs w:val="21"/>
                <w:lang w:val="en-US" w:eastAsia="zh-CN"/>
              </w:rPr>
              <w:t>48</w:t>
            </w:r>
          </w:p>
        </w:tc>
        <w:tc>
          <w:tcPr>
            <w:tcW w:w="679" w:type="dxa"/>
            <w:vAlign w:val="center"/>
          </w:tcPr>
          <w:p>
            <w:pPr>
              <w:pStyle w:val="1132"/>
              <w:rPr>
                <w:rFonts w:hint="eastAsia"/>
                <w:szCs w:val="21"/>
                <w:lang w:val="en-US" w:eastAsia="zh-CN"/>
              </w:rPr>
            </w:pPr>
            <w:r>
              <w:rPr>
                <w:rFonts w:hint="eastAsia"/>
                <w:szCs w:val="21"/>
                <w:lang w:val="en-US" w:eastAsia="zh-CN"/>
              </w:rPr>
              <w:t>0</w:t>
            </w:r>
          </w:p>
        </w:tc>
        <w:tc>
          <w:tcPr>
            <w:tcW w:w="826" w:type="dxa"/>
            <w:vAlign w:val="center"/>
          </w:tcPr>
          <w:p>
            <w:pPr>
              <w:pStyle w:val="1132"/>
              <w:rPr>
                <w:rFonts w:hint="eastAsia"/>
                <w:szCs w:val="21"/>
                <w:lang w:val="en-US" w:eastAsia="zh-CN"/>
              </w:rPr>
            </w:pPr>
            <w:r>
              <w:rPr>
                <w:rFonts w:hint="eastAsia"/>
                <w:szCs w:val="21"/>
              </w:rPr>
              <w:t>禁鸣标志，绿化降噪</w:t>
            </w:r>
          </w:p>
        </w:tc>
        <w:tc>
          <w:tcPr>
            <w:tcW w:w="1480" w:type="dxa"/>
            <w:vAlign w:val="center"/>
          </w:tcPr>
          <w:p>
            <w:pPr>
              <w:pStyle w:val="1132"/>
              <w:rPr>
                <w:rFonts w:hint="default" w:ascii="Times New Roman" w:hAnsi="Times New Roman" w:eastAsia="宋体" w:cs="Times New Roman"/>
                <w:color w:val="000000"/>
                <w:sz w:val="21"/>
                <w:szCs w:val="21"/>
              </w:rPr>
            </w:pPr>
            <w:r>
              <w:rPr>
                <w:rFonts w:hint="eastAsia"/>
                <w:szCs w:val="21"/>
              </w:rPr>
              <w:t>设置5</w:t>
            </w:r>
            <w:r>
              <w:rPr>
                <w:szCs w:val="21"/>
              </w:rPr>
              <w:t>0</w:t>
            </w:r>
            <w:r>
              <w:rPr>
                <w:rFonts w:hint="eastAsia"/>
                <w:szCs w:val="21"/>
              </w:rPr>
              <w:t>m绿化带隔声</w:t>
            </w:r>
          </w:p>
        </w:tc>
        <w:tc>
          <w:tcPr>
            <w:tcW w:w="1135" w:type="dxa"/>
            <w:vAlign w:val="center"/>
          </w:tcPr>
          <w:p>
            <w:pPr>
              <w:pStyle w:val="1132"/>
              <w:rPr>
                <w:rFonts w:hint="eastAsia"/>
                <w:szCs w:val="21"/>
                <w:lang w:val="en-US" w:eastAsia="zh-CN"/>
              </w:rPr>
            </w:pPr>
            <w:r>
              <w:rPr>
                <w:rFonts w:hint="eastAsia"/>
                <w:szCs w:val="21"/>
              </w:rPr>
              <w:t>预计降噪量约5d</w:t>
            </w:r>
            <w:r>
              <w:rPr>
                <w:szCs w:val="21"/>
              </w:rPr>
              <w:t>B</w:t>
            </w:r>
            <w:r>
              <w:rPr>
                <w:rFonts w:hint="eastAsia"/>
                <w:szCs w:val="21"/>
              </w:rPr>
              <w:t>，达标</w:t>
            </w:r>
          </w:p>
        </w:tc>
        <w:tc>
          <w:tcPr>
            <w:tcW w:w="871" w:type="dxa"/>
            <w:vAlign w:val="center"/>
          </w:tcPr>
          <w:p>
            <w:pPr>
              <w:pStyle w:val="1132"/>
              <w:rPr>
                <w:rFonts w:hint="eastAsia"/>
                <w:szCs w:val="21"/>
                <w:lang w:val="en-US" w:eastAsia="zh-CN"/>
              </w:rPr>
            </w:pPr>
            <w:r>
              <w:rPr>
                <w:rFonts w:hint="eastAsia"/>
                <w:szCs w:val="21"/>
                <w:lang w:val="en-US" w:eastAsia="zh-CN"/>
              </w:rPr>
              <w:t>5</w:t>
            </w:r>
          </w:p>
        </w:tc>
      </w:tr>
    </w:tbl>
    <w:p>
      <w:pPr>
        <w:ind w:firstLine="480" w:firstLineChars="200"/>
        <w:jc w:val="left"/>
        <w:rPr>
          <w:color w:val="0070C0"/>
          <w:szCs w:val="21"/>
        </w:rPr>
        <w:sectPr>
          <w:pgSz w:w="16838" w:h="11906" w:orient="landscape"/>
          <w:pgMar w:top="1418" w:right="1418" w:bottom="1418" w:left="1418" w:header="851" w:footer="992" w:gutter="0"/>
          <w:cols w:space="720" w:num="1"/>
          <w:docGrid w:linePitch="312" w:charSpace="0"/>
        </w:sectPr>
      </w:pPr>
    </w:p>
    <w:p>
      <w:pPr>
        <w:pStyle w:val="8"/>
        <w:rPr>
          <w:b/>
          <w:bCs/>
        </w:rPr>
      </w:pPr>
      <w:bookmarkStart w:id="443" w:name="_Toc10487"/>
      <w:r>
        <w:rPr>
          <w:b/>
          <w:bCs/>
        </w:rPr>
        <w:t>固体废物污染防治措施</w:t>
      </w:r>
      <w:bookmarkEnd w:id="443"/>
    </w:p>
    <w:p>
      <w:pPr>
        <w:pStyle w:val="10"/>
        <w:ind w:firstLine="480"/>
      </w:pPr>
      <w:r>
        <w:t>营运期固体废弃物主要是公路养护时产生的养护垃圾。主要包括各类包装袋、烟蒂、废纸巾以及散落货物等。此类垃圾由养护工人清扫收集后带下公路，再由环卫部门统一清运。公路沿线设置环保标志或宣传牌，禁止行车过程随意丢弃垃圾，保护公路沿线环境。</w:t>
      </w:r>
    </w:p>
    <w:p>
      <w:pPr>
        <w:pStyle w:val="8"/>
        <w:rPr>
          <w:b/>
          <w:bCs/>
        </w:rPr>
      </w:pPr>
      <w:bookmarkStart w:id="444" w:name="_Toc14098"/>
      <w:r>
        <w:rPr>
          <w:b/>
          <w:bCs/>
        </w:rPr>
        <w:t>环境风险减缓措施</w:t>
      </w:r>
      <w:bookmarkEnd w:id="444"/>
    </w:p>
    <w:p>
      <w:pPr>
        <w:pStyle w:val="9"/>
      </w:pPr>
      <w:bookmarkStart w:id="445" w:name="_Toc29322"/>
      <w:r>
        <w:t>危险品运输</w:t>
      </w:r>
      <w:bookmarkEnd w:id="445"/>
    </w:p>
    <w:p>
      <w:pPr>
        <w:pStyle w:val="10"/>
        <w:ind w:firstLine="480"/>
      </w:pPr>
      <w:r>
        <w:rPr>
          <w:rFonts w:hint="eastAsia" w:ascii="宋体" w:hAnsi="宋体" w:cs="宋体"/>
        </w:rPr>
        <w:t>（1）</w:t>
      </w:r>
      <w:r>
        <w:t>应加强日常危险品运输车辆的“三证”检查、超载车辆的检查，若“三证”不全或车辆超载可禁止其上路。</w:t>
      </w:r>
    </w:p>
    <w:p>
      <w:pPr>
        <w:pStyle w:val="10"/>
        <w:ind w:firstLine="480"/>
      </w:pPr>
      <w:r>
        <w:rPr>
          <w:rFonts w:hint="eastAsia" w:ascii="宋体" w:hAnsi="宋体" w:cs="宋体"/>
        </w:rPr>
        <w:t>（2）</w:t>
      </w:r>
      <w:r>
        <w:t>运载危险品的车辆上路应报管理中心，经检查批准后方可通行，车辆上要有危险品标志，并不能随意停车。</w:t>
      </w:r>
    </w:p>
    <w:p>
      <w:pPr>
        <w:pStyle w:val="10"/>
        <w:ind w:firstLine="480"/>
      </w:pPr>
      <w:r>
        <w:rPr>
          <w:rFonts w:hint="eastAsia" w:ascii="宋体" w:hAnsi="宋体" w:cs="宋体"/>
        </w:rPr>
        <w:t>（3）</w:t>
      </w:r>
      <w:r>
        <w:t>危险品运输途中，管理中心应予以严密监控，以便发生意外情况时及时采取措施，防患于未然。</w:t>
      </w:r>
    </w:p>
    <w:p>
      <w:pPr>
        <w:pStyle w:val="9"/>
      </w:pPr>
      <w:bookmarkStart w:id="446" w:name="_Toc15993"/>
      <w:r>
        <w:t>事故应急预案</w:t>
      </w:r>
      <w:bookmarkEnd w:id="446"/>
    </w:p>
    <w:p>
      <w:pPr>
        <w:pStyle w:val="112"/>
        <w:ind w:firstLine="480"/>
      </w:pPr>
      <w:r>
        <w:t>（1）事故应急预案的体系定位及应急处置程序</w:t>
      </w:r>
    </w:p>
    <w:p>
      <w:pPr>
        <w:pStyle w:val="112"/>
        <w:ind w:firstLine="480"/>
      </w:pPr>
      <w:r>
        <w:t>根据国务院《国家突发公共事件总体应急预案》（2006年1月8日）确定的全国突发公共事件应急预案体系的划分原则，本工程应定位为突发公共事件地方应急预案和突发公共事件部门应急预案。突发公共事件的应急处理程序主要包括以下4个方面：</w:t>
      </w:r>
    </w:p>
    <w:p>
      <w:pPr>
        <w:pStyle w:val="112"/>
        <w:numPr>
          <w:ilvl w:val="0"/>
          <w:numId w:val="15"/>
        </w:numPr>
        <w:ind w:firstLineChars="0"/>
      </w:pPr>
      <w:r>
        <w:t>信息报告</w:t>
      </w:r>
    </w:p>
    <w:p>
      <w:pPr>
        <w:pStyle w:val="112"/>
        <w:ind w:firstLine="480"/>
      </w:pPr>
      <w:r>
        <w:t>特别重大或者重大突发公共事件发生后，要立即报告上级应急指挥机构并通报有关地区和部门，最迟不得超过4小时。应急处置过程中，要及时续报有关情况。</w:t>
      </w:r>
    </w:p>
    <w:p>
      <w:pPr>
        <w:pStyle w:val="112"/>
        <w:ind w:firstLine="480"/>
      </w:pPr>
      <w:r>
        <w:rPr>
          <w:rFonts w:hint="eastAsia" w:ascii="宋体" w:hAnsi="宋体" w:cs="宋体"/>
        </w:rPr>
        <w:t>②</w:t>
      </w:r>
      <w:r>
        <w:t>先期处置</w:t>
      </w:r>
    </w:p>
    <w:p>
      <w:pPr>
        <w:pStyle w:val="112"/>
        <w:ind w:firstLine="480"/>
      </w:pPr>
      <w:r>
        <w:t>突发公共事件发生后，在报告特别重大、重大突发公共事件信息的同时，要根据职责和规定的权限启动相关应急预案，及时、有效地进行处置，控制事态。</w:t>
      </w:r>
    </w:p>
    <w:p>
      <w:pPr>
        <w:pStyle w:val="112"/>
        <w:ind w:firstLine="480"/>
      </w:pPr>
      <w:r>
        <w:rPr>
          <w:rFonts w:hint="eastAsia" w:ascii="宋体" w:hAnsi="宋体" w:cs="宋体"/>
        </w:rPr>
        <w:t>③</w:t>
      </w:r>
      <w:r>
        <w:t>应急响应</w:t>
      </w:r>
    </w:p>
    <w:p>
      <w:pPr>
        <w:pStyle w:val="112"/>
        <w:ind w:firstLine="480"/>
      </w:pPr>
      <w:r>
        <w:t>对于先期处置未能有效控制事态的特别重大突发公共事件，要及时启动相关预案，由上一级应急指挥机构统一指挥或指导有关地区、部门开展处置工作。</w:t>
      </w:r>
    </w:p>
    <w:p>
      <w:pPr>
        <w:pStyle w:val="112"/>
        <w:ind w:firstLine="480"/>
      </w:pPr>
      <w:r>
        <w:t>现场应急指挥机构负责现场的应急处置工作。</w:t>
      </w:r>
    </w:p>
    <w:p>
      <w:pPr>
        <w:pStyle w:val="112"/>
        <w:ind w:firstLine="480"/>
      </w:pPr>
      <w:r>
        <w:t>需要多个相关部门共同参与处置的突发公共事件，由该类突发公共事件的业务主管部门牵头，其他部门予以协助。</w:t>
      </w:r>
    </w:p>
    <w:p>
      <w:pPr>
        <w:pStyle w:val="112"/>
        <w:ind w:firstLine="480"/>
      </w:pPr>
      <w:r>
        <w:rPr>
          <w:rFonts w:hint="eastAsia" w:ascii="宋体" w:hAnsi="宋体" w:cs="宋体"/>
        </w:rPr>
        <w:t>④</w:t>
      </w:r>
      <w:r>
        <w:t>应急结束</w:t>
      </w:r>
    </w:p>
    <w:p>
      <w:pPr>
        <w:pStyle w:val="112"/>
        <w:ind w:firstLine="480"/>
      </w:pPr>
      <w:r>
        <w:t>特别重大突发公共事件应急处置工作结束，或者相关危险因素消除后，现场应急指挥机构予以撤销。</w:t>
      </w:r>
    </w:p>
    <w:p>
      <w:pPr>
        <w:pStyle w:val="112"/>
        <w:ind w:firstLine="480"/>
      </w:pPr>
      <w:r>
        <w:t>（2）环境风险应急预案</w:t>
      </w:r>
    </w:p>
    <w:p>
      <w:pPr>
        <w:pStyle w:val="112"/>
        <w:ind w:firstLine="480"/>
      </w:pPr>
      <w:r>
        <w:t>本公路危险品运输事故应急系统，结合区域现有的应急体系，如</w:t>
      </w:r>
      <w:r>
        <w:rPr>
          <w:rFonts w:hint="eastAsia"/>
        </w:rPr>
        <w:t>当地</w:t>
      </w:r>
      <w:r>
        <w:t>事故应急体系，给出预防和应急计划，包括应急机构建立、设施建设、人员配置和培训、事故防范和应急管理制度等应急预案，纳入</w:t>
      </w:r>
      <w:r>
        <w:rPr>
          <w:rFonts w:hint="eastAsia"/>
        </w:rPr>
        <w:t>当地</w:t>
      </w:r>
      <w:r>
        <w:t>事故应急体系中。</w:t>
      </w:r>
    </w:p>
    <w:p>
      <w:pPr>
        <w:pStyle w:val="112"/>
        <w:ind w:firstLine="480"/>
      </w:pPr>
      <w:r>
        <w:rPr>
          <w:rFonts w:hint="eastAsia" w:ascii="宋体" w:hAnsi="宋体" w:cs="宋体"/>
        </w:rPr>
        <w:t>①</w:t>
      </w:r>
      <w:r>
        <w:t>应急组织机构</w:t>
      </w:r>
    </w:p>
    <w:p>
      <w:pPr>
        <w:pStyle w:val="112"/>
        <w:ind w:firstLine="480"/>
      </w:pPr>
      <w:r>
        <w:t>应急组织指挥机构成员主要由</w:t>
      </w:r>
      <w:r>
        <w:rPr>
          <w:rFonts w:hint="eastAsia"/>
        </w:rPr>
        <w:t>蚌埠市公路管理服务中心</w:t>
      </w:r>
      <w:r>
        <w:t>主要领导构成。</w:t>
      </w:r>
    </w:p>
    <w:p>
      <w:pPr>
        <w:pStyle w:val="112"/>
        <w:ind w:firstLine="480"/>
      </w:pPr>
      <w:r>
        <w:rPr>
          <w:rFonts w:hint="eastAsia" w:ascii="宋体" w:hAnsi="宋体" w:cs="宋体"/>
        </w:rPr>
        <w:t>②</w:t>
      </w:r>
      <w:r>
        <w:t>事故应急队伍组成</w:t>
      </w:r>
    </w:p>
    <w:p>
      <w:pPr>
        <w:pStyle w:val="112"/>
        <w:ind w:firstLine="480"/>
      </w:pPr>
      <w:r>
        <w:t>事故应急队伍由项目管理人员和外部协作支援队伍组成，其中外部协作支援队伍视事故影响程度和范围就近调配。</w:t>
      </w:r>
    </w:p>
    <w:p>
      <w:pPr>
        <w:pStyle w:val="112"/>
        <w:ind w:firstLine="480"/>
      </w:pPr>
      <w:r>
        <w:rPr>
          <w:rFonts w:hint="eastAsia" w:ascii="宋体" w:hAnsi="宋体" w:cs="宋体"/>
        </w:rPr>
        <w:t>③</w:t>
      </w:r>
      <w:r>
        <w:t>应急设施、设备、材料和管理</w:t>
      </w:r>
    </w:p>
    <w:p>
      <w:pPr>
        <w:pStyle w:val="112"/>
        <w:ind w:firstLine="480"/>
      </w:pPr>
      <w:r>
        <w:t>本工程应自备必要的应急设施和应急行动计划工作人员，以便在突发事故的第一时间采取行动，将事故影响的范围和程度降低到最小，包括沙袋等。</w:t>
      </w:r>
    </w:p>
    <w:p>
      <w:pPr>
        <w:pStyle w:val="112"/>
        <w:ind w:firstLine="480"/>
      </w:pPr>
      <w:r>
        <w:rPr>
          <w:rFonts w:hint="eastAsia" w:ascii="宋体" w:hAnsi="宋体" w:cs="宋体"/>
        </w:rPr>
        <w:t>④</w:t>
      </w:r>
      <w:r>
        <w:t>应急反应</w:t>
      </w:r>
    </w:p>
    <w:p>
      <w:pPr>
        <w:pStyle w:val="112"/>
        <w:ind w:firstLine="480"/>
      </w:pPr>
      <w:r>
        <w:t>事故发现人员应视事故程度需要快速向应急小组报告。应急小组在接到事故现场人员报告后，迅速组织技术评估人员立即评估事故规模，初步确定应急方案。</w:t>
      </w:r>
    </w:p>
    <w:p>
      <w:pPr>
        <w:pStyle w:val="112"/>
        <w:ind w:firstLine="480"/>
      </w:pPr>
      <w:r>
        <w:t>应急小组组长决定是否启动应急计划。若事故规模较小，应急人员、设备具备处理的能力，应立即组织人员、调用设备进行处理，若应急人员、设备不具备处理的能力，应立即启动应急计划。</w:t>
      </w:r>
    </w:p>
    <w:p>
      <w:pPr>
        <w:pStyle w:val="112"/>
        <w:ind w:firstLine="480"/>
      </w:pPr>
      <w:r>
        <w:t>应急计划反应内容包括：由组长或其指定的人员向上级主管部门以及与事故相关的单位和部门报告。报告内容应包括：</w:t>
      </w:r>
    </w:p>
    <w:p>
      <w:pPr>
        <w:pStyle w:val="112"/>
        <w:ind w:firstLine="480"/>
      </w:pPr>
      <w:r>
        <w:t>●事故发生的时间、地点、位置；</w:t>
      </w:r>
    </w:p>
    <w:p>
      <w:pPr>
        <w:pStyle w:val="112"/>
        <w:ind w:firstLine="480"/>
      </w:pPr>
      <w:r>
        <w:t>●事故发生气象、水文情况；</w:t>
      </w:r>
    </w:p>
    <w:p>
      <w:pPr>
        <w:pStyle w:val="112"/>
        <w:ind w:firstLine="480"/>
      </w:pPr>
      <w:r>
        <w:t>●事故发生后已经采取的措施及控制情况；</w:t>
      </w:r>
    </w:p>
    <w:p>
      <w:pPr>
        <w:pStyle w:val="112"/>
        <w:ind w:firstLine="480"/>
      </w:pPr>
      <w:r>
        <w:t>●事故发展势态、可能发生的严重后果；</w:t>
      </w:r>
    </w:p>
    <w:p>
      <w:pPr>
        <w:pStyle w:val="112"/>
        <w:ind w:firstLine="480"/>
      </w:pPr>
      <w:r>
        <w:t>●需要的援助（应急设施和物资、人员、环境监测、医疗援助等）；</w:t>
      </w:r>
    </w:p>
    <w:p>
      <w:pPr>
        <w:pStyle w:val="112"/>
        <w:ind w:firstLine="480"/>
      </w:pPr>
      <w:r>
        <w:t>●事故报警单位、联系人及联系电话等。</w:t>
      </w:r>
    </w:p>
    <w:p>
      <w:pPr>
        <w:pStyle w:val="112"/>
        <w:ind w:firstLine="480"/>
      </w:pPr>
      <w:r>
        <w:t>应急小组全体成员立即采取应急措施。</w:t>
      </w:r>
    </w:p>
    <w:p>
      <w:pPr>
        <w:pStyle w:val="112"/>
        <w:ind w:firstLine="480"/>
      </w:pPr>
      <w:r>
        <w:rPr>
          <w:rFonts w:hint="eastAsia" w:ascii="宋体" w:hAnsi="宋体" w:cs="宋体"/>
        </w:rPr>
        <w:t>⑤</w:t>
      </w:r>
      <w:r>
        <w:t>溢液回收</w:t>
      </w:r>
    </w:p>
    <w:p>
      <w:pPr>
        <w:pStyle w:val="112"/>
        <w:ind w:firstLine="480"/>
      </w:pPr>
      <w:r>
        <w:t>组织人员、外部协作单位并召集附近民众进行清除工作。</w:t>
      </w:r>
    </w:p>
    <w:p>
      <w:pPr>
        <w:pStyle w:val="112"/>
        <w:ind w:firstLine="480"/>
      </w:pPr>
      <w:r>
        <w:rPr>
          <w:rFonts w:hint="eastAsia" w:ascii="宋体" w:hAnsi="宋体" w:cs="宋体"/>
        </w:rPr>
        <w:t>⑥</w:t>
      </w:r>
      <w:r>
        <w:t>事故报告制度</w:t>
      </w:r>
    </w:p>
    <w:p>
      <w:pPr>
        <w:pStyle w:val="112"/>
        <w:ind w:firstLine="480"/>
      </w:pPr>
      <w:r>
        <w:t>发生污染事故时应及时报告，事故处理完毕后，应由当地公路管理局对事故原因、污染清除处理过程、污染范围和影响程度报告当地</w:t>
      </w:r>
      <w:r>
        <w:rPr>
          <w:rFonts w:hint="eastAsia"/>
        </w:rPr>
        <w:t>生态环境部门</w:t>
      </w:r>
      <w:r>
        <w:t>，由当地</w:t>
      </w:r>
      <w:r>
        <w:rPr>
          <w:rFonts w:hint="eastAsia"/>
        </w:rPr>
        <w:t>生态环境部门</w:t>
      </w:r>
      <w:r>
        <w:t>组织调查。</w:t>
      </w:r>
    </w:p>
    <w:p>
      <w:pPr>
        <w:pStyle w:val="112"/>
        <w:ind w:firstLine="480"/>
      </w:pPr>
      <w:r>
        <w:rPr>
          <w:rFonts w:hint="eastAsia" w:ascii="宋体" w:hAnsi="宋体" w:cs="宋体"/>
        </w:rPr>
        <w:t>⑦</w:t>
      </w:r>
      <w:r>
        <w:t>人员培训</w:t>
      </w:r>
    </w:p>
    <w:p>
      <w:pPr>
        <w:pStyle w:val="112"/>
        <w:ind w:firstLine="480"/>
      </w:pPr>
      <w:r>
        <w:t>本项目应急反应的有关管理人员、设施操作人员、应急清污人员应通过专业培训和在职培训，掌握履行其职责所需的相关知识，逐步实现应急反应人员持证上岗，使应急人员具备应急反应理论和清污的实践经验。</w:t>
      </w:r>
    </w:p>
    <w:p>
      <w:pPr>
        <w:pStyle w:val="112"/>
        <w:ind w:firstLine="480"/>
      </w:pPr>
      <w:r>
        <w:rPr>
          <w:rFonts w:hint="eastAsia" w:ascii="宋体" w:hAnsi="宋体" w:cs="宋体"/>
        </w:rPr>
        <w:t>⑧</w:t>
      </w:r>
      <w:r>
        <w:t>演习</w:t>
      </w:r>
    </w:p>
    <w:p>
      <w:pPr>
        <w:pStyle w:val="112"/>
        <w:ind w:firstLine="480"/>
      </w:pPr>
      <w:r>
        <w:t>为了提高应对突发事件的应急处置水平和应急指挥能力，增强应急队伍应急处置和安全保护技能，加强各应急救助单位之间的配合与沟通，检验参与单位应急能力，应适时组织举办综合演习。</w:t>
      </w:r>
    </w:p>
    <w:p>
      <w:pPr>
        <w:pStyle w:val="112"/>
        <w:ind w:firstLine="480"/>
      </w:pPr>
      <w:r>
        <w:rPr>
          <w:rFonts w:hint="eastAsia" w:ascii="宋体" w:hAnsi="宋体" w:cs="宋体"/>
        </w:rPr>
        <w:t>⑨</w:t>
      </w:r>
      <w:r>
        <w:t>检查</w:t>
      </w:r>
    </w:p>
    <w:p>
      <w:pPr>
        <w:pStyle w:val="112"/>
        <w:ind w:firstLine="480"/>
      </w:pPr>
      <w:r>
        <w:t>本应急计划保证相关人员人手一册，并且每年进行一次计划检查，及时对应急组织指挥机构成员及其联系方式进行修改更新。</w:t>
      </w:r>
    </w:p>
    <w:p>
      <w:pPr>
        <w:pStyle w:val="112"/>
        <w:ind w:firstLine="480"/>
        <w:rPr>
          <w:color w:val="0070C0"/>
        </w:rPr>
      </w:pPr>
    </w:p>
    <w:p>
      <w:pPr>
        <w:pStyle w:val="112"/>
        <w:ind w:firstLine="480"/>
        <w:rPr>
          <w:snapToGrid w:val="0"/>
          <w:color w:val="0070C0"/>
          <w:kern w:val="0"/>
        </w:rPr>
        <w:sectPr>
          <w:footerReference r:id="rId14" w:type="even"/>
          <w:pgSz w:w="11906" w:h="16838"/>
          <w:pgMar w:top="1418" w:right="1418" w:bottom="1418" w:left="1418" w:header="851" w:footer="992" w:gutter="0"/>
          <w:cols w:space="720" w:num="1"/>
          <w:docGrid w:linePitch="326" w:charSpace="0"/>
        </w:sectPr>
      </w:pPr>
    </w:p>
    <w:p>
      <w:pPr>
        <w:pStyle w:val="7"/>
        <w:rPr>
          <w:b/>
          <w:bCs/>
          <w:i w:val="0"/>
          <w:iCs w:val="0"/>
          <w:sz w:val="28"/>
          <w:szCs w:val="28"/>
        </w:rPr>
      </w:pPr>
      <w:bookmarkStart w:id="447" w:name="_Toc4247"/>
      <w:bookmarkStart w:id="448" w:name="_Toc29006"/>
      <w:r>
        <w:rPr>
          <w:b/>
          <w:bCs/>
          <w:i w:val="0"/>
          <w:iCs w:val="0"/>
          <w:sz w:val="28"/>
          <w:szCs w:val="28"/>
        </w:rPr>
        <w:t>环保投资</w:t>
      </w:r>
      <w:bookmarkEnd w:id="447"/>
      <w:bookmarkEnd w:id="448"/>
    </w:p>
    <w:p>
      <w:pPr>
        <w:pStyle w:val="10"/>
        <w:ind w:firstLine="480"/>
      </w:pPr>
      <w:r>
        <w:t>工程总投资预计为59515.8</w:t>
      </w:r>
      <w:r>
        <w:rPr>
          <w:rFonts w:hint="eastAsia"/>
        </w:rPr>
        <w:t>万元</w:t>
      </w:r>
      <w:r>
        <w:t>。环保投资包括环保设施、设备、生态保护、环境监理、环境监测等费用，工程环境保护投资初步估算为655万元，占工程总投资的1.1%。环保投资见表6.4-1。</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6.4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环境保护</w:t>
      </w:r>
      <w:r>
        <w:rPr>
          <w:rFonts w:hint="eastAsia"/>
        </w:rPr>
        <w:t>投资</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1138"/>
        <w:gridCol w:w="808"/>
        <w:gridCol w:w="3702"/>
        <w:gridCol w:w="2539"/>
        <w:gridCol w:w="10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Align w:val="center"/>
          </w:tcPr>
          <w:p>
            <w:pPr>
              <w:pStyle w:val="1132"/>
              <w:rPr>
                <w:b/>
                <w:bCs w:val="0"/>
              </w:rPr>
            </w:pPr>
            <w:r>
              <w:rPr>
                <w:b/>
                <w:bCs w:val="0"/>
              </w:rPr>
              <w:t>类别</w:t>
            </w:r>
          </w:p>
        </w:tc>
        <w:tc>
          <w:tcPr>
            <w:tcW w:w="2439" w:type="pct"/>
            <w:gridSpan w:val="2"/>
            <w:vAlign w:val="center"/>
          </w:tcPr>
          <w:p>
            <w:pPr>
              <w:pStyle w:val="1132"/>
              <w:rPr>
                <w:b/>
                <w:bCs w:val="0"/>
              </w:rPr>
            </w:pPr>
            <w:r>
              <w:rPr>
                <w:b/>
                <w:bCs w:val="0"/>
              </w:rPr>
              <w:t>环保措施内容</w:t>
            </w:r>
          </w:p>
        </w:tc>
        <w:tc>
          <w:tcPr>
            <w:tcW w:w="1373" w:type="pct"/>
            <w:vAlign w:val="center"/>
          </w:tcPr>
          <w:p>
            <w:pPr>
              <w:pStyle w:val="1132"/>
              <w:rPr>
                <w:b/>
                <w:bCs w:val="0"/>
              </w:rPr>
            </w:pPr>
            <w:r>
              <w:rPr>
                <w:b/>
                <w:bCs w:val="0"/>
              </w:rPr>
              <w:t>达到的效果</w:t>
            </w:r>
          </w:p>
        </w:tc>
        <w:tc>
          <w:tcPr>
            <w:tcW w:w="569" w:type="pct"/>
            <w:vAlign w:val="center"/>
          </w:tcPr>
          <w:p>
            <w:pPr>
              <w:pStyle w:val="1132"/>
              <w:rPr>
                <w:b/>
                <w:bCs w:val="0"/>
              </w:rPr>
            </w:pPr>
            <w:r>
              <w:rPr>
                <w:b/>
                <w:bCs w:val="0"/>
              </w:rPr>
              <w:t>环保投资（万元）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000" w:type="pct"/>
            <w:gridSpan w:val="5"/>
            <w:vAlign w:val="center"/>
          </w:tcPr>
          <w:p>
            <w:pPr>
              <w:pStyle w:val="1132"/>
            </w:pPr>
            <w:r>
              <w:t>第一部分 环境污染治理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restart"/>
            <w:vAlign w:val="center"/>
          </w:tcPr>
          <w:p>
            <w:pPr>
              <w:pStyle w:val="1132"/>
            </w:pPr>
            <w:r>
              <w:t>噪声</w:t>
            </w:r>
          </w:p>
        </w:tc>
        <w:tc>
          <w:tcPr>
            <w:tcW w:w="436" w:type="pct"/>
            <w:vMerge w:val="restart"/>
            <w:vAlign w:val="center"/>
          </w:tcPr>
          <w:p>
            <w:pPr>
              <w:pStyle w:val="1132"/>
            </w:pPr>
            <w:r>
              <w:t>施工期</w:t>
            </w:r>
          </w:p>
        </w:tc>
        <w:tc>
          <w:tcPr>
            <w:tcW w:w="2003" w:type="pct"/>
            <w:vAlign w:val="center"/>
          </w:tcPr>
          <w:p>
            <w:pPr>
              <w:pStyle w:val="1132"/>
            </w:pPr>
            <w:r>
              <w:t>设置移动式声屏障</w:t>
            </w:r>
          </w:p>
        </w:tc>
        <w:tc>
          <w:tcPr>
            <w:tcW w:w="1373" w:type="pct"/>
            <w:vMerge w:val="restart"/>
            <w:vAlign w:val="center"/>
          </w:tcPr>
          <w:p>
            <w:pPr>
              <w:pStyle w:val="1132"/>
            </w:pPr>
            <w:r>
              <w:t>降低施工噪声对敏感点和施工人员的影响。</w:t>
            </w:r>
          </w:p>
        </w:tc>
        <w:tc>
          <w:tcPr>
            <w:tcW w:w="569" w:type="pct"/>
            <w:vAlign w:val="center"/>
          </w:tcPr>
          <w:p>
            <w:pPr>
              <w:pStyle w:val="1132"/>
              <w:rPr>
                <w:rFonts w:hint="default" w:eastAsia="宋体"/>
                <w:lang w:val="en-US" w:eastAsia="zh-CN"/>
              </w:rPr>
            </w:pPr>
            <w:r>
              <w:rPr>
                <w:rFonts w:hint="eastAsia"/>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continue"/>
            <w:vAlign w:val="center"/>
          </w:tcPr>
          <w:p>
            <w:pPr>
              <w:pStyle w:val="1132"/>
            </w:pPr>
          </w:p>
        </w:tc>
        <w:tc>
          <w:tcPr>
            <w:tcW w:w="436" w:type="pct"/>
            <w:vMerge w:val="continue"/>
            <w:vAlign w:val="center"/>
          </w:tcPr>
          <w:p>
            <w:pPr>
              <w:pStyle w:val="1132"/>
            </w:pPr>
          </w:p>
        </w:tc>
        <w:tc>
          <w:tcPr>
            <w:tcW w:w="2003" w:type="pct"/>
            <w:vAlign w:val="center"/>
          </w:tcPr>
          <w:p>
            <w:pPr>
              <w:pStyle w:val="1132"/>
            </w:pPr>
            <w:r>
              <w:t>为施工操作人员配备耳塞等</w:t>
            </w:r>
          </w:p>
        </w:tc>
        <w:tc>
          <w:tcPr>
            <w:tcW w:w="1373" w:type="pct"/>
            <w:vMerge w:val="continue"/>
            <w:vAlign w:val="center"/>
          </w:tcPr>
          <w:p>
            <w:pPr>
              <w:pStyle w:val="1132"/>
            </w:pPr>
          </w:p>
        </w:tc>
        <w:tc>
          <w:tcPr>
            <w:tcW w:w="569" w:type="pct"/>
            <w:vAlign w:val="center"/>
          </w:tcPr>
          <w:p>
            <w:pPr>
              <w:pStyle w:val="1132"/>
              <w:rPr>
                <w:rFonts w:hint="default" w:eastAsia="宋体"/>
                <w:lang w:val="en-US" w:eastAsia="zh-CN"/>
              </w:rPr>
            </w:pPr>
            <w:r>
              <w:rPr>
                <w:rFonts w:hint="eastAsia"/>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continue"/>
            <w:vAlign w:val="center"/>
          </w:tcPr>
          <w:p>
            <w:pPr>
              <w:pStyle w:val="1132"/>
            </w:pPr>
          </w:p>
        </w:tc>
        <w:tc>
          <w:tcPr>
            <w:tcW w:w="436" w:type="pct"/>
            <w:vMerge w:val="restart"/>
            <w:vAlign w:val="center"/>
          </w:tcPr>
          <w:p>
            <w:pPr>
              <w:pStyle w:val="1132"/>
            </w:pPr>
            <w:r>
              <w:t>营运期</w:t>
            </w:r>
          </w:p>
        </w:tc>
        <w:tc>
          <w:tcPr>
            <w:tcW w:w="2003" w:type="pct"/>
            <w:vAlign w:val="center"/>
          </w:tcPr>
          <w:p>
            <w:pPr>
              <w:pStyle w:val="1132"/>
              <w:rPr>
                <w:rFonts w:hint="default" w:eastAsia="宋体"/>
                <w:lang w:val="en-US" w:eastAsia="zh-CN"/>
              </w:rPr>
            </w:pPr>
            <w:r>
              <w:rPr>
                <w:rFonts w:hint="eastAsia"/>
                <w:lang w:val="en-US" w:eastAsia="zh-CN"/>
              </w:rPr>
              <w:t>设置绿化带隔声降噪</w:t>
            </w:r>
          </w:p>
        </w:tc>
        <w:tc>
          <w:tcPr>
            <w:tcW w:w="1373" w:type="pct"/>
            <w:vMerge w:val="restart"/>
            <w:vAlign w:val="center"/>
          </w:tcPr>
          <w:p>
            <w:pPr>
              <w:pStyle w:val="1132"/>
            </w:pPr>
            <w:r>
              <w:t>敏感点不受运输车辆的道路噪声影响</w:t>
            </w:r>
          </w:p>
        </w:tc>
        <w:tc>
          <w:tcPr>
            <w:tcW w:w="569" w:type="pct"/>
            <w:vAlign w:val="center"/>
          </w:tcPr>
          <w:p>
            <w:pPr>
              <w:pStyle w:val="1132"/>
              <w:rPr>
                <w:rFonts w:hint="default" w:eastAsia="宋体"/>
                <w:lang w:val="en-US" w:eastAsia="zh-CN"/>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continue"/>
            <w:vAlign w:val="center"/>
          </w:tcPr>
          <w:p>
            <w:pPr>
              <w:pStyle w:val="1132"/>
            </w:pPr>
          </w:p>
        </w:tc>
        <w:tc>
          <w:tcPr>
            <w:tcW w:w="436" w:type="pct"/>
            <w:vMerge w:val="continue"/>
            <w:vAlign w:val="center"/>
          </w:tcPr>
          <w:p>
            <w:pPr>
              <w:pStyle w:val="1132"/>
            </w:pPr>
          </w:p>
        </w:tc>
        <w:tc>
          <w:tcPr>
            <w:tcW w:w="2003" w:type="pct"/>
            <w:vAlign w:val="center"/>
          </w:tcPr>
          <w:p>
            <w:pPr>
              <w:pStyle w:val="1132"/>
              <w:rPr>
                <w:rFonts w:hint="default"/>
                <w:lang w:val="en-US" w:eastAsia="zh-CN"/>
              </w:rPr>
            </w:pPr>
            <w:r>
              <w:rPr>
                <w:rFonts w:hint="eastAsia"/>
                <w:lang w:val="en-US" w:eastAsia="zh-CN"/>
              </w:rPr>
              <w:t>预测超标几处敏感点沿线设置禁鸣标识标牌</w:t>
            </w:r>
          </w:p>
        </w:tc>
        <w:tc>
          <w:tcPr>
            <w:tcW w:w="1373" w:type="pct"/>
            <w:vMerge w:val="continue"/>
            <w:vAlign w:val="center"/>
          </w:tcPr>
          <w:p>
            <w:pPr>
              <w:pStyle w:val="1132"/>
            </w:pPr>
          </w:p>
        </w:tc>
        <w:tc>
          <w:tcPr>
            <w:tcW w:w="569" w:type="pct"/>
            <w:vAlign w:val="center"/>
          </w:tcPr>
          <w:p>
            <w:pPr>
              <w:pStyle w:val="1132"/>
              <w:rPr>
                <w:rFonts w:hint="default"/>
                <w:lang w:val="en-US" w:eastAsia="zh-CN"/>
              </w:rPr>
            </w:pPr>
            <w:r>
              <w:rPr>
                <w:rFonts w:hint="eastAsia"/>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continue"/>
            <w:vAlign w:val="center"/>
          </w:tcPr>
          <w:p>
            <w:pPr>
              <w:pStyle w:val="1132"/>
            </w:pPr>
          </w:p>
        </w:tc>
        <w:tc>
          <w:tcPr>
            <w:tcW w:w="436" w:type="pct"/>
            <w:vMerge w:val="continue"/>
            <w:vAlign w:val="center"/>
          </w:tcPr>
          <w:p>
            <w:pPr>
              <w:pStyle w:val="1132"/>
            </w:pPr>
          </w:p>
        </w:tc>
        <w:tc>
          <w:tcPr>
            <w:tcW w:w="2003" w:type="pct"/>
            <w:vAlign w:val="center"/>
          </w:tcPr>
          <w:p>
            <w:pPr>
              <w:pStyle w:val="1132"/>
            </w:pPr>
            <w:r>
              <w:t>加强监测，预留噪声防护费用</w:t>
            </w:r>
          </w:p>
        </w:tc>
        <w:tc>
          <w:tcPr>
            <w:tcW w:w="1373" w:type="pct"/>
            <w:vMerge w:val="continue"/>
            <w:vAlign w:val="center"/>
          </w:tcPr>
          <w:p>
            <w:pPr>
              <w:pStyle w:val="1132"/>
            </w:pPr>
          </w:p>
        </w:tc>
        <w:tc>
          <w:tcPr>
            <w:tcW w:w="569" w:type="pct"/>
            <w:vAlign w:val="center"/>
          </w:tcPr>
          <w:p>
            <w:pPr>
              <w:pStyle w:val="1132"/>
            </w:pPr>
            <w:r>
              <w:rPr>
                <w:rFonts w:hint="eastAsia"/>
              </w:rPr>
              <w:t>1</w:t>
            </w: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Align w:val="center"/>
          </w:tcPr>
          <w:p>
            <w:pPr>
              <w:pStyle w:val="1132"/>
            </w:pPr>
            <w:r>
              <w:t>废气</w:t>
            </w:r>
          </w:p>
        </w:tc>
        <w:tc>
          <w:tcPr>
            <w:tcW w:w="436" w:type="pct"/>
            <w:vAlign w:val="center"/>
          </w:tcPr>
          <w:p>
            <w:pPr>
              <w:pStyle w:val="1132"/>
            </w:pPr>
            <w:r>
              <w:t>施工期</w:t>
            </w:r>
          </w:p>
        </w:tc>
        <w:tc>
          <w:tcPr>
            <w:tcW w:w="2003" w:type="pct"/>
            <w:vAlign w:val="center"/>
          </w:tcPr>
          <w:p>
            <w:pPr>
              <w:pStyle w:val="1132"/>
            </w:pPr>
            <w:r>
              <w:t>租用洒水车，设置施工围挡、物料遮盖、洗车台等</w:t>
            </w:r>
          </w:p>
        </w:tc>
        <w:tc>
          <w:tcPr>
            <w:tcW w:w="1373" w:type="pct"/>
            <w:vAlign w:val="center"/>
          </w:tcPr>
          <w:p>
            <w:pPr>
              <w:pStyle w:val="1132"/>
            </w:pPr>
            <w:r>
              <w:t>降低施工区域粉尘浓度，敏感点不受粉尘污染影响。</w:t>
            </w:r>
          </w:p>
        </w:tc>
        <w:tc>
          <w:tcPr>
            <w:tcW w:w="569" w:type="pct"/>
            <w:vAlign w:val="center"/>
          </w:tcPr>
          <w:p>
            <w:pPr>
              <w:pStyle w:val="1132"/>
            </w:pPr>
            <w:r>
              <w:rPr>
                <w:rFonts w:hint="eastAsia"/>
              </w:rPr>
              <w:t>5</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restart"/>
            <w:vAlign w:val="center"/>
          </w:tcPr>
          <w:p>
            <w:pPr>
              <w:pStyle w:val="1132"/>
            </w:pPr>
            <w:r>
              <w:t>废水</w:t>
            </w:r>
          </w:p>
        </w:tc>
        <w:tc>
          <w:tcPr>
            <w:tcW w:w="436" w:type="pct"/>
            <w:vMerge w:val="restart"/>
            <w:vAlign w:val="center"/>
          </w:tcPr>
          <w:p>
            <w:pPr>
              <w:pStyle w:val="1132"/>
            </w:pPr>
            <w:r>
              <w:t>施工期</w:t>
            </w:r>
          </w:p>
        </w:tc>
        <w:tc>
          <w:tcPr>
            <w:tcW w:w="2003" w:type="pct"/>
            <w:vAlign w:val="center"/>
          </w:tcPr>
          <w:p>
            <w:pPr>
              <w:pStyle w:val="1132"/>
            </w:pPr>
            <w:r>
              <w:t>施工废水截水沟、隔油池、沉淀池、泥浆沉淀池、清水池</w:t>
            </w:r>
          </w:p>
        </w:tc>
        <w:tc>
          <w:tcPr>
            <w:tcW w:w="1373" w:type="pct"/>
            <w:vMerge w:val="restart"/>
            <w:vAlign w:val="center"/>
          </w:tcPr>
          <w:p>
            <w:pPr>
              <w:pStyle w:val="1132"/>
            </w:pPr>
            <w:r>
              <w:rPr>
                <w:rFonts w:hint="eastAsia"/>
              </w:rPr>
              <w:t>全部</w:t>
            </w:r>
            <w:r>
              <w:t>回用，不对外排放，减轻沿途河流水质影响</w:t>
            </w:r>
          </w:p>
        </w:tc>
        <w:tc>
          <w:tcPr>
            <w:tcW w:w="569" w:type="pct"/>
            <w:vAlign w:val="center"/>
          </w:tcPr>
          <w:p>
            <w:pPr>
              <w:pStyle w:val="1132"/>
            </w:pPr>
            <w: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continue"/>
            <w:tcBorders/>
            <w:vAlign w:val="center"/>
          </w:tcPr>
          <w:p>
            <w:pPr>
              <w:pStyle w:val="1132"/>
            </w:pPr>
          </w:p>
        </w:tc>
        <w:tc>
          <w:tcPr>
            <w:tcW w:w="436" w:type="pct"/>
            <w:vMerge w:val="continue"/>
            <w:vAlign w:val="center"/>
          </w:tcPr>
          <w:p>
            <w:pPr>
              <w:pStyle w:val="1132"/>
            </w:pPr>
          </w:p>
        </w:tc>
        <w:tc>
          <w:tcPr>
            <w:tcW w:w="2003" w:type="pct"/>
            <w:vAlign w:val="center"/>
          </w:tcPr>
          <w:p>
            <w:pPr>
              <w:pStyle w:val="1132"/>
            </w:pPr>
            <w:r>
              <w:t>防雨篷布</w:t>
            </w:r>
          </w:p>
        </w:tc>
        <w:tc>
          <w:tcPr>
            <w:tcW w:w="1373" w:type="pct"/>
            <w:vMerge w:val="continue"/>
            <w:vAlign w:val="center"/>
          </w:tcPr>
          <w:p>
            <w:pPr>
              <w:pStyle w:val="1132"/>
            </w:pPr>
          </w:p>
        </w:tc>
        <w:tc>
          <w:tcPr>
            <w:tcW w:w="569" w:type="pct"/>
            <w:vAlign w:val="center"/>
          </w:tcPr>
          <w:p>
            <w:pPr>
              <w:pStyle w:val="1132"/>
            </w:pPr>
            <w: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continue"/>
            <w:tcBorders/>
            <w:vAlign w:val="center"/>
          </w:tcPr>
          <w:p>
            <w:pPr>
              <w:pStyle w:val="1132"/>
            </w:pPr>
          </w:p>
        </w:tc>
        <w:tc>
          <w:tcPr>
            <w:tcW w:w="436" w:type="pct"/>
            <w:vMerge w:val="continue"/>
            <w:vAlign w:val="center"/>
          </w:tcPr>
          <w:p>
            <w:pPr>
              <w:pStyle w:val="1132"/>
            </w:pPr>
          </w:p>
        </w:tc>
        <w:tc>
          <w:tcPr>
            <w:tcW w:w="2003" w:type="pct"/>
            <w:vAlign w:val="center"/>
          </w:tcPr>
          <w:p>
            <w:pPr>
              <w:pStyle w:val="1132"/>
            </w:pPr>
            <w:r>
              <w:t>施工营地设置临时化粪池</w:t>
            </w:r>
          </w:p>
        </w:tc>
        <w:tc>
          <w:tcPr>
            <w:tcW w:w="1373" w:type="pct"/>
            <w:vMerge w:val="continue"/>
            <w:vAlign w:val="center"/>
          </w:tcPr>
          <w:p>
            <w:pPr>
              <w:pStyle w:val="1132"/>
            </w:pPr>
          </w:p>
        </w:tc>
        <w:tc>
          <w:tcPr>
            <w:tcW w:w="569" w:type="pct"/>
            <w:vAlign w:val="center"/>
          </w:tcPr>
          <w:p>
            <w:pPr>
              <w:pStyle w:val="1132"/>
              <w:rPr>
                <w:rFonts w:hint="default" w:eastAsia="宋体"/>
                <w:lang w:val="en-US" w:eastAsia="zh-CN"/>
              </w:rPr>
            </w:pPr>
            <w:r>
              <w:rPr>
                <w:rFonts w:hint="eastAsia"/>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continue"/>
            <w:tcBorders/>
            <w:vAlign w:val="center"/>
          </w:tcPr>
          <w:p>
            <w:pPr>
              <w:pStyle w:val="1132"/>
            </w:pPr>
          </w:p>
        </w:tc>
        <w:tc>
          <w:tcPr>
            <w:tcW w:w="436" w:type="pct"/>
            <w:vAlign w:val="center"/>
          </w:tcPr>
          <w:p>
            <w:pPr>
              <w:pStyle w:val="1132"/>
              <w:rPr>
                <w:rFonts w:hint="eastAsia" w:eastAsia="宋体"/>
                <w:lang w:val="en-US" w:eastAsia="zh-CN"/>
              </w:rPr>
            </w:pPr>
            <w:r>
              <w:rPr>
                <w:rFonts w:hint="eastAsia"/>
                <w:lang w:val="en-US" w:eastAsia="zh-CN"/>
              </w:rPr>
              <w:t>营运期</w:t>
            </w:r>
          </w:p>
        </w:tc>
        <w:tc>
          <w:tcPr>
            <w:tcW w:w="2003" w:type="pct"/>
            <w:vAlign w:val="center"/>
          </w:tcPr>
          <w:p>
            <w:pPr>
              <w:pStyle w:val="1132"/>
              <w:rPr>
                <w:rFonts w:hint="default" w:eastAsia="宋体"/>
                <w:lang w:val="en-US" w:eastAsia="zh-CN"/>
              </w:rPr>
            </w:pPr>
            <w:r>
              <w:rPr>
                <w:rFonts w:hint="eastAsia"/>
                <w:lang w:val="en-US" w:eastAsia="zh-CN"/>
              </w:rPr>
              <w:t>路面收集排水</w:t>
            </w:r>
          </w:p>
        </w:tc>
        <w:tc>
          <w:tcPr>
            <w:tcW w:w="1373" w:type="pct"/>
            <w:vAlign w:val="center"/>
          </w:tcPr>
          <w:p>
            <w:pPr>
              <w:pStyle w:val="1132"/>
            </w:pPr>
            <w:r>
              <w:rPr>
                <w:rFonts w:hint="default" w:ascii="Times New Roman" w:hAnsi="Times New Roman" w:cs="Times New Roman"/>
                <w:sz w:val="21"/>
                <w:szCs w:val="21"/>
              </w:rPr>
              <w:t>减轻沿途</w:t>
            </w:r>
            <w:r>
              <w:rPr>
                <w:rFonts w:hint="eastAsia" w:ascii="Times New Roman" w:hAnsi="Times New Roman" w:cs="Times New Roman"/>
                <w:sz w:val="21"/>
                <w:szCs w:val="21"/>
                <w:lang w:val="en-US" w:eastAsia="zh-CN"/>
              </w:rPr>
              <w:t>地表水</w:t>
            </w:r>
            <w:r>
              <w:rPr>
                <w:rFonts w:hint="default" w:ascii="Times New Roman" w:hAnsi="Times New Roman" w:cs="Times New Roman"/>
                <w:sz w:val="21"/>
                <w:szCs w:val="21"/>
              </w:rPr>
              <w:t>水质影响</w:t>
            </w:r>
          </w:p>
        </w:tc>
        <w:tc>
          <w:tcPr>
            <w:tcW w:w="569" w:type="pct"/>
            <w:vAlign w:val="center"/>
          </w:tcPr>
          <w:p>
            <w:pPr>
              <w:pStyle w:val="1132"/>
              <w:rPr>
                <w:rFonts w:hint="default" w:eastAsia="宋体"/>
                <w:lang w:val="en-US" w:eastAsia="zh-CN"/>
              </w:rPr>
            </w:pPr>
            <w:r>
              <w:rPr>
                <w:rFonts w:hint="eastAsia"/>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restart"/>
            <w:vAlign w:val="center"/>
          </w:tcPr>
          <w:p>
            <w:pPr>
              <w:pStyle w:val="1132"/>
            </w:pPr>
            <w:r>
              <w:t>固废</w:t>
            </w:r>
          </w:p>
        </w:tc>
        <w:tc>
          <w:tcPr>
            <w:tcW w:w="436" w:type="pct"/>
            <w:vMerge w:val="restart"/>
            <w:vAlign w:val="center"/>
          </w:tcPr>
          <w:p>
            <w:pPr>
              <w:pStyle w:val="1132"/>
            </w:pPr>
            <w:r>
              <w:t>施工期</w:t>
            </w:r>
          </w:p>
        </w:tc>
        <w:tc>
          <w:tcPr>
            <w:tcW w:w="2003" w:type="pct"/>
            <w:vAlign w:val="center"/>
          </w:tcPr>
          <w:p>
            <w:pPr>
              <w:pStyle w:val="1132"/>
            </w:pPr>
            <w:r>
              <w:t>生活垃圾环卫处理；建材废料分类收集，分类处理</w:t>
            </w:r>
          </w:p>
        </w:tc>
        <w:tc>
          <w:tcPr>
            <w:tcW w:w="1373" w:type="pct"/>
            <w:vMerge w:val="restart"/>
            <w:vAlign w:val="center"/>
          </w:tcPr>
          <w:p>
            <w:pPr>
              <w:pStyle w:val="1132"/>
            </w:pPr>
            <w:r>
              <w:t>固废和危废得到妥善处置</w:t>
            </w:r>
          </w:p>
        </w:tc>
        <w:tc>
          <w:tcPr>
            <w:tcW w:w="569" w:type="pct"/>
            <w:vAlign w:val="center"/>
          </w:tcPr>
          <w:p>
            <w:pPr>
              <w:pStyle w:val="1132"/>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continue"/>
            <w:vAlign w:val="center"/>
          </w:tcPr>
          <w:p>
            <w:pPr>
              <w:pStyle w:val="1132"/>
            </w:pPr>
          </w:p>
        </w:tc>
        <w:tc>
          <w:tcPr>
            <w:tcW w:w="436" w:type="pct"/>
            <w:vMerge w:val="continue"/>
            <w:vAlign w:val="center"/>
          </w:tcPr>
          <w:p>
            <w:pPr>
              <w:pStyle w:val="1132"/>
            </w:pPr>
          </w:p>
        </w:tc>
        <w:tc>
          <w:tcPr>
            <w:tcW w:w="2003" w:type="pct"/>
            <w:vAlign w:val="center"/>
          </w:tcPr>
          <w:p>
            <w:pPr>
              <w:pStyle w:val="1132"/>
            </w:pPr>
            <w:r>
              <w:t>施工期废机油等危险废物委托相关资质单位处理</w:t>
            </w:r>
          </w:p>
        </w:tc>
        <w:tc>
          <w:tcPr>
            <w:tcW w:w="1373" w:type="pct"/>
            <w:vMerge w:val="continue"/>
            <w:vAlign w:val="center"/>
          </w:tcPr>
          <w:p>
            <w:pPr>
              <w:pStyle w:val="1132"/>
            </w:pPr>
          </w:p>
        </w:tc>
        <w:tc>
          <w:tcPr>
            <w:tcW w:w="569" w:type="pct"/>
            <w:vAlign w:val="center"/>
          </w:tcPr>
          <w:p>
            <w:pPr>
              <w:pStyle w:val="1132"/>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continue"/>
            <w:vAlign w:val="center"/>
          </w:tcPr>
          <w:p>
            <w:pPr>
              <w:pStyle w:val="1132"/>
            </w:pPr>
          </w:p>
        </w:tc>
        <w:tc>
          <w:tcPr>
            <w:tcW w:w="436" w:type="pct"/>
            <w:vAlign w:val="center"/>
          </w:tcPr>
          <w:p>
            <w:pPr>
              <w:pStyle w:val="1132"/>
            </w:pPr>
            <w:r>
              <w:t>营运期</w:t>
            </w:r>
          </w:p>
        </w:tc>
        <w:tc>
          <w:tcPr>
            <w:tcW w:w="2003" w:type="pct"/>
            <w:vAlign w:val="center"/>
          </w:tcPr>
          <w:p>
            <w:pPr>
              <w:pStyle w:val="1132"/>
            </w:pPr>
            <w:r>
              <w:rPr>
                <w:rFonts w:hint="eastAsia"/>
              </w:rPr>
              <w:t>道路养护垃圾</w:t>
            </w:r>
          </w:p>
        </w:tc>
        <w:tc>
          <w:tcPr>
            <w:tcW w:w="1373" w:type="pct"/>
            <w:vAlign w:val="center"/>
          </w:tcPr>
          <w:p>
            <w:pPr>
              <w:pStyle w:val="1132"/>
            </w:pPr>
            <w:r>
              <w:t>保持道路清洁卫生，沿线敏感点不受影响</w:t>
            </w:r>
          </w:p>
        </w:tc>
        <w:tc>
          <w:tcPr>
            <w:tcW w:w="569" w:type="pct"/>
            <w:vAlign w:val="center"/>
          </w:tcPr>
          <w:p>
            <w:pPr>
              <w:pStyle w:val="1132"/>
            </w:pP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1053" w:type="pct"/>
            <w:gridSpan w:val="2"/>
            <w:vAlign w:val="center"/>
          </w:tcPr>
          <w:p>
            <w:pPr>
              <w:pStyle w:val="1132"/>
            </w:pPr>
            <w:r>
              <w:t>环境风险</w:t>
            </w:r>
          </w:p>
        </w:tc>
        <w:tc>
          <w:tcPr>
            <w:tcW w:w="2003" w:type="pct"/>
            <w:vAlign w:val="center"/>
          </w:tcPr>
          <w:p>
            <w:pPr>
              <w:pStyle w:val="1132"/>
            </w:pPr>
            <w:r>
              <w:t>环境风险应急预案、应急设备、物资</w:t>
            </w:r>
          </w:p>
        </w:tc>
        <w:tc>
          <w:tcPr>
            <w:tcW w:w="1373" w:type="pct"/>
            <w:vAlign w:val="center"/>
          </w:tcPr>
          <w:p>
            <w:pPr>
              <w:pStyle w:val="1132"/>
            </w:pPr>
            <w:r>
              <w:t>预防风险事故</w:t>
            </w:r>
          </w:p>
        </w:tc>
        <w:tc>
          <w:tcPr>
            <w:tcW w:w="569" w:type="pct"/>
            <w:vAlign w:val="center"/>
          </w:tcPr>
          <w:p>
            <w:pPr>
              <w:pStyle w:val="1132"/>
            </w:pPr>
            <w: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000" w:type="pct"/>
            <w:gridSpan w:val="5"/>
            <w:vAlign w:val="center"/>
          </w:tcPr>
          <w:p>
            <w:pPr>
              <w:pStyle w:val="1132"/>
            </w:pPr>
            <w:r>
              <w:t>第二部分 生态环境保护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Align w:val="center"/>
          </w:tcPr>
          <w:p>
            <w:pPr>
              <w:pStyle w:val="1132"/>
            </w:pPr>
            <w:r>
              <w:t>工程措施</w:t>
            </w:r>
          </w:p>
        </w:tc>
        <w:tc>
          <w:tcPr>
            <w:tcW w:w="436" w:type="pct"/>
            <w:vMerge w:val="restart"/>
            <w:vAlign w:val="center"/>
          </w:tcPr>
          <w:p>
            <w:pPr>
              <w:pStyle w:val="1132"/>
            </w:pPr>
            <w:r>
              <w:t>施工期</w:t>
            </w:r>
          </w:p>
        </w:tc>
        <w:tc>
          <w:tcPr>
            <w:tcW w:w="2003" w:type="pct"/>
            <w:vAlign w:val="center"/>
          </w:tcPr>
          <w:p>
            <w:pPr>
              <w:pStyle w:val="1132"/>
            </w:pPr>
            <w:r>
              <w:t>表土剥离、回填，截、排水沟，沉砂池</w:t>
            </w:r>
          </w:p>
        </w:tc>
        <w:tc>
          <w:tcPr>
            <w:tcW w:w="1373" w:type="pct"/>
            <w:vMerge w:val="restart"/>
            <w:vAlign w:val="center"/>
          </w:tcPr>
          <w:p>
            <w:pPr>
              <w:pStyle w:val="1132"/>
            </w:pPr>
            <w:r>
              <w:t>保护生态，防治水土流失</w:t>
            </w:r>
          </w:p>
        </w:tc>
        <w:tc>
          <w:tcPr>
            <w:tcW w:w="569" w:type="pct"/>
            <w:vAlign w:val="center"/>
          </w:tcPr>
          <w:p>
            <w:pPr>
              <w:pStyle w:val="1132"/>
            </w:pPr>
            <w: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Align w:val="center"/>
          </w:tcPr>
          <w:p>
            <w:pPr>
              <w:pStyle w:val="1132"/>
              <w:rPr>
                <w:rFonts w:hint="default" w:eastAsia="宋体"/>
                <w:lang w:val="en-US" w:eastAsia="zh-CN"/>
              </w:rPr>
            </w:pPr>
            <w:r>
              <w:rPr>
                <w:rFonts w:hint="eastAsia"/>
                <w:lang w:val="en-US" w:eastAsia="zh-CN"/>
              </w:rPr>
              <w:t>临时用地恢复</w:t>
            </w:r>
          </w:p>
        </w:tc>
        <w:tc>
          <w:tcPr>
            <w:tcW w:w="436" w:type="pct"/>
            <w:vMerge w:val="continue"/>
            <w:vAlign w:val="center"/>
          </w:tcPr>
          <w:p>
            <w:pPr>
              <w:pStyle w:val="1132"/>
            </w:pPr>
          </w:p>
        </w:tc>
        <w:tc>
          <w:tcPr>
            <w:tcW w:w="2003" w:type="pct"/>
            <w:vAlign w:val="center"/>
          </w:tcPr>
          <w:p>
            <w:pPr>
              <w:pStyle w:val="1132"/>
            </w:pPr>
            <w:r>
              <w:t>播撒草籽，骨架护坡</w:t>
            </w:r>
          </w:p>
        </w:tc>
        <w:tc>
          <w:tcPr>
            <w:tcW w:w="1373" w:type="pct"/>
            <w:vMerge w:val="continue"/>
            <w:vAlign w:val="center"/>
          </w:tcPr>
          <w:p>
            <w:pPr>
              <w:pStyle w:val="1132"/>
            </w:pPr>
          </w:p>
        </w:tc>
        <w:tc>
          <w:tcPr>
            <w:tcW w:w="569" w:type="pct"/>
            <w:vAlign w:val="center"/>
          </w:tcPr>
          <w:p>
            <w:pPr>
              <w:pStyle w:val="1132"/>
            </w:pPr>
            <w: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Align w:val="center"/>
          </w:tcPr>
          <w:p>
            <w:pPr>
              <w:pStyle w:val="1132"/>
            </w:pPr>
            <w:r>
              <w:t>临时措施</w:t>
            </w:r>
          </w:p>
        </w:tc>
        <w:tc>
          <w:tcPr>
            <w:tcW w:w="436" w:type="pct"/>
            <w:vMerge w:val="continue"/>
            <w:vAlign w:val="center"/>
          </w:tcPr>
          <w:p>
            <w:pPr>
              <w:pStyle w:val="1132"/>
            </w:pPr>
          </w:p>
        </w:tc>
        <w:tc>
          <w:tcPr>
            <w:tcW w:w="2003" w:type="pct"/>
            <w:vAlign w:val="center"/>
          </w:tcPr>
          <w:p>
            <w:pPr>
              <w:pStyle w:val="1132"/>
            </w:pPr>
            <w:r>
              <w:t>临时设置挡墙、排水沟等措施</w:t>
            </w:r>
          </w:p>
        </w:tc>
        <w:tc>
          <w:tcPr>
            <w:tcW w:w="1373" w:type="pct"/>
            <w:vMerge w:val="continue"/>
            <w:vAlign w:val="center"/>
          </w:tcPr>
          <w:p>
            <w:pPr>
              <w:pStyle w:val="1132"/>
            </w:pPr>
          </w:p>
        </w:tc>
        <w:tc>
          <w:tcPr>
            <w:tcW w:w="569" w:type="pct"/>
            <w:vAlign w:val="center"/>
          </w:tcPr>
          <w:p>
            <w:pPr>
              <w:pStyle w:val="1132"/>
            </w:pPr>
            <w: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Align w:val="center"/>
          </w:tcPr>
          <w:p>
            <w:pPr>
              <w:pStyle w:val="1132"/>
            </w:pPr>
            <w:r>
              <w:t>管理费用</w:t>
            </w:r>
          </w:p>
        </w:tc>
        <w:tc>
          <w:tcPr>
            <w:tcW w:w="436" w:type="pct"/>
            <w:vMerge w:val="continue"/>
            <w:vAlign w:val="center"/>
          </w:tcPr>
          <w:p>
            <w:pPr>
              <w:pStyle w:val="1132"/>
            </w:pPr>
          </w:p>
        </w:tc>
        <w:tc>
          <w:tcPr>
            <w:tcW w:w="2003" w:type="pct"/>
            <w:vAlign w:val="center"/>
          </w:tcPr>
          <w:p>
            <w:pPr>
              <w:pStyle w:val="1132"/>
            </w:pPr>
            <w:r>
              <w:t>建设管理、水土保持、水土保持监测、勘察设计</w:t>
            </w:r>
          </w:p>
        </w:tc>
        <w:tc>
          <w:tcPr>
            <w:tcW w:w="1373" w:type="pct"/>
            <w:vMerge w:val="continue"/>
            <w:vAlign w:val="center"/>
          </w:tcPr>
          <w:p>
            <w:pPr>
              <w:pStyle w:val="1132"/>
            </w:pPr>
          </w:p>
        </w:tc>
        <w:tc>
          <w:tcPr>
            <w:tcW w:w="569" w:type="pct"/>
            <w:vAlign w:val="center"/>
          </w:tcPr>
          <w:p>
            <w:pPr>
              <w:pStyle w:val="1132"/>
            </w:pPr>
            <w: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5000" w:type="pct"/>
            <w:gridSpan w:val="5"/>
            <w:vAlign w:val="center"/>
          </w:tcPr>
          <w:p>
            <w:pPr>
              <w:pStyle w:val="1132"/>
            </w:pPr>
            <w:r>
              <w:t>第三部分 环境监测及环境管理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restart"/>
            <w:vAlign w:val="center"/>
          </w:tcPr>
          <w:p>
            <w:pPr>
              <w:pStyle w:val="1132"/>
            </w:pPr>
            <w:r>
              <w:t>环境监测</w:t>
            </w:r>
          </w:p>
        </w:tc>
        <w:tc>
          <w:tcPr>
            <w:tcW w:w="436" w:type="pct"/>
            <w:vAlign w:val="center"/>
          </w:tcPr>
          <w:p>
            <w:pPr>
              <w:pStyle w:val="1132"/>
            </w:pPr>
            <w:r>
              <w:t>施工期</w:t>
            </w:r>
          </w:p>
        </w:tc>
        <w:tc>
          <w:tcPr>
            <w:tcW w:w="2003" w:type="pct"/>
            <w:vAlign w:val="center"/>
          </w:tcPr>
          <w:p>
            <w:pPr>
              <w:pStyle w:val="1132"/>
            </w:pPr>
            <w:r>
              <w:t>施工期1年，每年10万元计</w:t>
            </w:r>
          </w:p>
        </w:tc>
        <w:tc>
          <w:tcPr>
            <w:tcW w:w="1373" w:type="pct"/>
            <w:vAlign w:val="center"/>
          </w:tcPr>
          <w:p>
            <w:pPr>
              <w:pStyle w:val="1132"/>
            </w:pPr>
            <w:r>
              <w:t>监督施工期环保措施落实效果并指导后期有效措施的实行</w:t>
            </w:r>
          </w:p>
        </w:tc>
        <w:tc>
          <w:tcPr>
            <w:tcW w:w="569" w:type="pct"/>
            <w:vAlign w:val="center"/>
          </w:tcPr>
          <w:p>
            <w:pPr>
              <w:pStyle w:val="1132"/>
            </w:pPr>
            <w: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Merge w:val="continue"/>
            <w:vAlign w:val="center"/>
          </w:tcPr>
          <w:p>
            <w:pPr>
              <w:pStyle w:val="1132"/>
            </w:pPr>
          </w:p>
        </w:tc>
        <w:tc>
          <w:tcPr>
            <w:tcW w:w="436" w:type="pct"/>
            <w:vAlign w:val="center"/>
          </w:tcPr>
          <w:p>
            <w:pPr>
              <w:pStyle w:val="1132"/>
            </w:pPr>
            <w:r>
              <w:t>营运期</w:t>
            </w:r>
          </w:p>
        </w:tc>
        <w:tc>
          <w:tcPr>
            <w:tcW w:w="2003" w:type="pct"/>
            <w:vAlign w:val="center"/>
          </w:tcPr>
          <w:p>
            <w:pPr>
              <w:pStyle w:val="1132"/>
            </w:pPr>
            <w:r>
              <w:t xml:space="preserve">每半年一次 </w:t>
            </w:r>
          </w:p>
        </w:tc>
        <w:tc>
          <w:tcPr>
            <w:tcW w:w="1373" w:type="pct"/>
            <w:vAlign w:val="center"/>
          </w:tcPr>
          <w:p>
            <w:pPr>
              <w:pStyle w:val="1132"/>
            </w:pPr>
            <w:r>
              <w:t>营运期环保措施落实效果并指导后期有效措施的实行</w:t>
            </w:r>
          </w:p>
        </w:tc>
        <w:tc>
          <w:tcPr>
            <w:tcW w:w="569" w:type="pct"/>
            <w:vAlign w:val="center"/>
          </w:tcPr>
          <w:p>
            <w:pPr>
              <w:pStyle w:val="1132"/>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616" w:type="pct"/>
            <w:vAlign w:val="center"/>
          </w:tcPr>
          <w:p>
            <w:pPr>
              <w:pStyle w:val="1132"/>
            </w:pPr>
            <w:r>
              <w:t>环境监理</w:t>
            </w:r>
          </w:p>
        </w:tc>
        <w:tc>
          <w:tcPr>
            <w:tcW w:w="436" w:type="pct"/>
            <w:vAlign w:val="center"/>
          </w:tcPr>
          <w:p>
            <w:pPr>
              <w:pStyle w:val="1132"/>
            </w:pPr>
            <w:r>
              <w:t>施工期</w:t>
            </w:r>
          </w:p>
        </w:tc>
        <w:tc>
          <w:tcPr>
            <w:tcW w:w="2003" w:type="pct"/>
            <w:vAlign w:val="center"/>
          </w:tcPr>
          <w:p>
            <w:pPr>
              <w:pStyle w:val="1132"/>
            </w:pPr>
            <w:r>
              <w:t>按照施工期1年计算</w:t>
            </w:r>
          </w:p>
        </w:tc>
        <w:tc>
          <w:tcPr>
            <w:tcW w:w="1373" w:type="pct"/>
            <w:vAlign w:val="center"/>
          </w:tcPr>
          <w:p>
            <w:pPr>
              <w:pStyle w:val="1132"/>
            </w:pPr>
            <w:r>
              <w:t>加强施工过程环境管理，降低对周围环境的影响</w:t>
            </w:r>
          </w:p>
        </w:tc>
        <w:tc>
          <w:tcPr>
            <w:tcW w:w="569" w:type="pct"/>
            <w:vAlign w:val="center"/>
          </w:tcPr>
          <w:p>
            <w:pPr>
              <w:pStyle w:val="1132"/>
            </w:pPr>
            <w: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1053" w:type="pct"/>
            <w:gridSpan w:val="2"/>
            <w:vAlign w:val="center"/>
          </w:tcPr>
          <w:p>
            <w:pPr>
              <w:pStyle w:val="1132"/>
            </w:pPr>
            <w:r>
              <w:t>环保验收</w:t>
            </w:r>
          </w:p>
        </w:tc>
        <w:tc>
          <w:tcPr>
            <w:tcW w:w="2003" w:type="pct"/>
            <w:vAlign w:val="center"/>
          </w:tcPr>
          <w:p>
            <w:pPr>
              <w:pStyle w:val="1132"/>
            </w:pPr>
            <w:r>
              <w:t>项目环保验收和及监测</w:t>
            </w:r>
          </w:p>
        </w:tc>
        <w:tc>
          <w:tcPr>
            <w:tcW w:w="1373" w:type="pct"/>
            <w:vAlign w:val="center"/>
          </w:tcPr>
          <w:p>
            <w:pPr>
              <w:pStyle w:val="1132"/>
            </w:pPr>
            <w:r>
              <w:t>落实环境保护设施与主体工程同时投产或者使用</w:t>
            </w:r>
          </w:p>
        </w:tc>
        <w:tc>
          <w:tcPr>
            <w:tcW w:w="569" w:type="pct"/>
            <w:vAlign w:val="center"/>
          </w:tcPr>
          <w:p>
            <w:pPr>
              <w:pStyle w:val="1132"/>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cantSplit/>
          <w:jc w:val="center"/>
        </w:trPr>
        <w:tc>
          <w:tcPr>
            <w:tcW w:w="4430" w:type="pct"/>
            <w:gridSpan w:val="4"/>
            <w:vAlign w:val="center"/>
          </w:tcPr>
          <w:p>
            <w:pPr>
              <w:pStyle w:val="1132"/>
            </w:pPr>
            <w:r>
              <w:t>合计</w:t>
            </w:r>
          </w:p>
        </w:tc>
        <w:tc>
          <w:tcPr>
            <w:tcW w:w="569" w:type="pct"/>
            <w:vAlign w:val="center"/>
          </w:tcPr>
          <w:p>
            <w:pPr>
              <w:pStyle w:val="1132"/>
            </w:pPr>
            <w:r>
              <w:t>655</w:t>
            </w:r>
          </w:p>
        </w:tc>
      </w:tr>
    </w:tbl>
    <w:p>
      <w:pPr>
        <w:pStyle w:val="112"/>
        <w:ind w:firstLine="480"/>
        <w:rPr>
          <w:color w:val="0070C0"/>
        </w:rPr>
        <w:sectPr>
          <w:pgSz w:w="11906" w:h="16838"/>
          <w:pgMar w:top="1418" w:right="1418" w:bottom="1418" w:left="1418" w:header="851" w:footer="992" w:gutter="0"/>
          <w:cols w:space="720" w:num="1"/>
          <w:docGrid w:linePitch="326" w:charSpace="0"/>
        </w:sectPr>
      </w:pPr>
    </w:p>
    <w:p>
      <w:pPr>
        <w:pStyle w:val="5"/>
      </w:pPr>
      <w:bookmarkStart w:id="449" w:name="_Toc2951"/>
      <w:bookmarkStart w:id="450" w:name="_Toc9648"/>
      <w:bookmarkStart w:id="451" w:name="_Toc20118"/>
      <w:r>
        <w:t>环境影响经济损益分析</w:t>
      </w:r>
      <w:bookmarkEnd w:id="449"/>
      <w:bookmarkEnd w:id="450"/>
      <w:bookmarkEnd w:id="451"/>
    </w:p>
    <w:p>
      <w:pPr>
        <w:pStyle w:val="7"/>
        <w:rPr>
          <w:b/>
          <w:bCs/>
          <w:sz w:val="28"/>
          <w:szCs w:val="28"/>
        </w:rPr>
      </w:pPr>
      <w:bookmarkStart w:id="452" w:name="_Toc31867"/>
      <w:bookmarkStart w:id="453" w:name="_Toc5925"/>
      <w:r>
        <w:rPr>
          <w:b/>
          <w:bCs/>
          <w:sz w:val="28"/>
          <w:szCs w:val="28"/>
        </w:rPr>
        <w:t>工程带来的环境损失</w:t>
      </w:r>
      <w:bookmarkEnd w:id="452"/>
      <w:bookmarkEnd w:id="453"/>
      <w:r>
        <w:rPr>
          <w:b/>
          <w:bCs/>
          <w:sz w:val="28"/>
          <w:szCs w:val="28"/>
        </w:rPr>
        <w:tab/>
      </w:r>
    </w:p>
    <w:p>
      <w:pPr>
        <w:pStyle w:val="10"/>
        <w:ind w:firstLine="480"/>
        <w:rPr>
          <w:lang w:val="zh-CN"/>
        </w:rPr>
      </w:pPr>
      <w:r>
        <w:rPr>
          <w:lang w:val="zh-CN"/>
        </w:rPr>
        <w:t>公路项目带来的环境损失主要表现在耕地面积的减少、土地资源利用形式的改变，以及项目永久占地和临时占地造成的生物量损失、生态和其它环境的变化。</w:t>
      </w:r>
    </w:p>
    <w:p>
      <w:pPr>
        <w:pStyle w:val="8"/>
        <w:rPr>
          <w:b/>
          <w:bCs/>
        </w:rPr>
      </w:pPr>
      <w:bookmarkStart w:id="454" w:name="_Toc19591"/>
      <w:r>
        <w:rPr>
          <w:b/>
          <w:bCs/>
        </w:rPr>
        <w:t>生态环境损失</w:t>
      </w:r>
      <w:bookmarkEnd w:id="454"/>
    </w:p>
    <w:p>
      <w:pPr>
        <w:pStyle w:val="10"/>
        <w:ind w:firstLine="480"/>
        <w:rPr>
          <w:lang w:val="zh-CN"/>
        </w:rPr>
      </w:pPr>
      <w:r>
        <w:rPr>
          <w:rFonts w:hint="eastAsia"/>
          <w:lang w:val="zh-CN"/>
        </w:rPr>
        <w:t>（1）</w:t>
      </w:r>
      <w:r>
        <w:rPr>
          <w:lang w:val="zh-CN"/>
        </w:rPr>
        <w:t>占用土地带来的生态环境损失</w:t>
      </w:r>
    </w:p>
    <w:p>
      <w:pPr>
        <w:pStyle w:val="10"/>
        <w:ind w:firstLine="480"/>
        <w:rPr>
          <w:lang w:val="zh-CN"/>
        </w:rPr>
      </w:pPr>
      <w:r>
        <w:t>本项目永久占地592.09</w:t>
      </w:r>
      <w:r>
        <w:rPr>
          <w:rFonts w:hint="eastAsia"/>
        </w:rPr>
        <w:t>亩</w:t>
      </w:r>
      <w:r>
        <w:t>。</w:t>
      </w:r>
      <w:r>
        <w:rPr>
          <w:lang w:val="zh-CN"/>
        </w:rPr>
        <w:t>占用的耕地将永久丧失农业生产功能，对占地的村组、农民带来不同程度的经济损失，且评价范围每年的生物量也有所损失。</w:t>
      </w:r>
    </w:p>
    <w:p>
      <w:pPr>
        <w:pStyle w:val="10"/>
        <w:ind w:firstLine="480"/>
        <w:rPr>
          <w:lang w:val="zh-CN"/>
        </w:rPr>
      </w:pPr>
      <w:r>
        <w:rPr>
          <w:rFonts w:hint="eastAsia"/>
          <w:lang w:val="zh-CN"/>
        </w:rPr>
        <w:t>（2）</w:t>
      </w:r>
      <w:r>
        <w:rPr>
          <w:lang w:val="zh-CN"/>
        </w:rPr>
        <w:t>土地资源利用形式的改变</w:t>
      </w:r>
    </w:p>
    <w:p>
      <w:pPr>
        <w:pStyle w:val="10"/>
        <w:ind w:firstLine="480"/>
        <w:rPr>
          <w:lang w:val="zh-CN"/>
        </w:rPr>
      </w:pPr>
      <w:r>
        <w:rPr>
          <w:lang w:val="zh-CN"/>
        </w:rPr>
        <w:t>除占用耕地外，公路还将占用一定面积的林地、灌从和灌草丛等其他类型土地，一旦施工结束，大部分临时占地将会得到绿化或复耕，但永久占地和部分留给当地居民使用的临时占地区域，将会引起沿线土地利用格局的变化，尤其是涉及占地的村组，因此，项目建设引起的土地资源利用形式的改变是必然的。</w:t>
      </w:r>
    </w:p>
    <w:p>
      <w:pPr>
        <w:pStyle w:val="10"/>
        <w:ind w:firstLine="480"/>
        <w:rPr>
          <w:lang w:val="zh-CN"/>
        </w:rPr>
      </w:pPr>
      <w:r>
        <w:rPr>
          <w:lang w:val="zh-CN"/>
        </w:rPr>
        <w:t>从环境保护的角度分析，项目建成后，将对沿线土地利用结构造成带状的切割，尤其是路基路段，进而影响局部路段土地资源的整体开发利用；但是，从土地利用经济价值的改变来看，公路建成后将促进沿线经济发展，公路建设占用的土地资源是增值的，但这种土地利用价值的提升是通过环境局部或暂时的损失换来的。</w:t>
      </w:r>
    </w:p>
    <w:p>
      <w:pPr>
        <w:pStyle w:val="8"/>
        <w:rPr>
          <w:b/>
          <w:bCs/>
        </w:rPr>
      </w:pPr>
      <w:bookmarkStart w:id="455" w:name="_Toc23305"/>
      <w:r>
        <w:rPr>
          <w:b/>
          <w:bCs/>
        </w:rPr>
        <w:t>拆</w:t>
      </w:r>
      <w:r>
        <w:rPr>
          <w:rStyle w:val="116"/>
          <w:b/>
          <w:bCs/>
          <w:szCs w:val="32"/>
        </w:rPr>
        <w:t>迁</w:t>
      </w:r>
      <w:r>
        <w:rPr>
          <w:b/>
          <w:bCs/>
        </w:rPr>
        <w:t>损失</w:t>
      </w:r>
      <w:bookmarkEnd w:id="455"/>
    </w:p>
    <w:p>
      <w:pPr>
        <w:pStyle w:val="10"/>
        <w:ind w:firstLine="480"/>
        <w:rPr>
          <w:lang w:val="zh-CN"/>
        </w:rPr>
      </w:pPr>
      <w:r>
        <w:rPr>
          <w:rFonts w:hint="eastAsia"/>
        </w:rPr>
        <w:t>项目拟拆迁建筑物类型为楼房、砖瓦房、简易房、水泥地坪等，拆迁各类建筑物面积共</w:t>
      </w:r>
      <w:r>
        <w:rPr>
          <w:rFonts w:hint="eastAsia"/>
          <w:szCs w:val="20"/>
        </w:rPr>
        <w:t>38680</w:t>
      </w:r>
      <w:r>
        <w:rPr>
          <w:rFonts w:hint="eastAsia"/>
        </w:rPr>
        <w:t>m</w:t>
      </w:r>
      <w:r>
        <w:rPr>
          <w:vertAlign w:val="superscript"/>
        </w:rPr>
        <w:t>2</w:t>
      </w:r>
      <w:r>
        <w:rPr>
          <w:rFonts w:hint="eastAsia"/>
        </w:rPr>
        <w:t>。</w:t>
      </w:r>
      <w:r>
        <w:rPr>
          <w:lang w:val="zh-CN"/>
        </w:rPr>
        <w:t>居民房屋拆迁将给受影响者的正常生活习惯带来一定的影响。根据调查，沿线房屋拆迁以农村居民为主，因此，</w:t>
      </w:r>
      <w:r>
        <w:rPr>
          <w:rFonts w:hint="eastAsia"/>
          <w:lang w:val="zh-CN"/>
        </w:rPr>
        <w:t>建筑物</w:t>
      </w:r>
      <w:r>
        <w:rPr>
          <w:lang w:val="zh-CN"/>
        </w:rPr>
        <w:t>拆迁期将对居民的生活造成一定干扰。另外沿线基础设施的拆迁还将在一段时间内影响该区域正常的生产、生活。</w:t>
      </w:r>
    </w:p>
    <w:p>
      <w:pPr>
        <w:pStyle w:val="8"/>
        <w:rPr>
          <w:b/>
          <w:bCs/>
        </w:rPr>
      </w:pPr>
      <w:bookmarkStart w:id="456" w:name="_Toc32708"/>
      <w:r>
        <w:rPr>
          <w:b/>
          <w:bCs/>
        </w:rPr>
        <w:t>环境空气、声环境、水环境影响损失</w:t>
      </w:r>
      <w:bookmarkEnd w:id="456"/>
    </w:p>
    <w:p>
      <w:pPr>
        <w:pStyle w:val="10"/>
        <w:ind w:firstLine="480"/>
        <w:rPr>
          <w:lang w:val="zh-CN"/>
        </w:rPr>
      </w:pPr>
      <w:r>
        <w:rPr>
          <w:lang w:val="zh-CN"/>
        </w:rPr>
        <w:t>工程施工期间和运营期均将造成公路沿线的环境空气和声环境损失。其中环境空气损失较小，声环境方面将给沿线部分居民带来一定的损失。</w:t>
      </w:r>
    </w:p>
    <w:p>
      <w:pPr>
        <w:pStyle w:val="8"/>
        <w:rPr>
          <w:b/>
          <w:bCs/>
        </w:rPr>
      </w:pPr>
      <w:bookmarkStart w:id="457" w:name="_Toc31809"/>
      <w:r>
        <w:rPr>
          <w:b/>
          <w:bCs/>
        </w:rPr>
        <w:t>水环境风险事故</w:t>
      </w:r>
      <w:bookmarkEnd w:id="457"/>
    </w:p>
    <w:p>
      <w:pPr>
        <w:pStyle w:val="10"/>
        <w:ind w:firstLine="480"/>
        <w:rPr>
          <w:kern w:val="0"/>
          <w:lang w:val="zh-CN"/>
        </w:rPr>
      </w:pPr>
      <w:r>
        <w:rPr>
          <w:lang w:val="zh-CN"/>
        </w:rPr>
        <w:t>按设计使用期限内若发生危险品事故将导致农业土地耕作的损失，并对城镇</w:t>
      </w:r>
      <w:r>
        <w:rPr>
          <w:rFonts w:hint="eastAsia"/>
          <w:lang w:val="zh-CN"/>
        </w:rPr>
        <w:t>灌溉</w:t>
      </w:r>
      <w:r>
        <w:rPr>
          <w:lang w:val="zh-CN"/>
        </w:rPr>
        <w:t>水源构成威胁。</w:t>
      </w:r>
    </w:p>
    <w:p>
      <w:pPr>
        <w:pStyle w:val="7"/>
        <w:rPr>
          <w:b/>
          <w:bCs/>
          <w:sz w:val="28"/>
          <w:szCs w:val="28"/>
        </w:rPr>
      </w:pPr>
      <w:bookmarkStart w:id="458" w:name="_Toc322717033"/>
      <w:bookmarkStart w:id="459" w:name="_Toc338633862"/>
      <w:bookmarkStart w:id="460" w:name="_Toc29804"/>
      <w:bookmarkStart w:id="461" w:name="_Toc22770"/>
      <w:r>
        <w:rPr>
          <w:b/>
          <w:bCs/>
          <w:sz w:val="28"/>
          <w:szCs w:val="28"/>
        </w:rPr>
        <w:t>环境影响经济损益分析</w:t>
      </w:r>
      <w:bookmarkEnd w:id="458"/>
      <w:bookmarkEnd w:id="459"/>
      <w:bookmarkEnd w:id="460"/>
      <w:bookmarkEnd w:id="461"/>
      <w:bookmarkStart w:id="462" w:name="_Toc455016515"/>
    </w:p>
    <w:p>
      <w:pPr>
        <w:pStyle w:val="8"/>
        <w:rPr>
          <w:b/>
          <w:bCs/>
        </w:rPr>
      </w:pPr>
      <w:bookmarkStart w:id="463" w:name="_Toc31224"/>
      <w:r>
        <w:rPr>
          <w:b/>
          <w:bCs/>
        </w:rPr>
        <w:t>社会效益分析</w:t>
      </w:r>
      <w:bookmarkEnd w:id="463"/>
    </w:p>
    <w:p>
      <w:pPr>
        <w:ind w:firstLine="480" w:firstLineChars="200"/>
        <w:rPr>
          <w:color w:val="0070C0"/>
        </w:rPr>
      </w:pPr>
      <w:r>
        <w:rPr>
          <w:rFonts w:hint="eastAsia"/>
        </w:rPr>
        <w:t>本项目是S311连接包集镇与蚌埠民用机场的重要段落</w:t>
      </w:r>
      <w:r>
        <w:rPr>
          <w:rFonts w:hint="eastAsia"/>
          <w:color w:val="0070C0"/>
        </w:rPr>
        <w:t>，</w:t>
      </w:r>
      <w:r>
        <w:rPr>
          <w:rFonts w:hint="eastAsia"/>
          <w:lang w:bidi="he-IL"/>
        </w:rPr>
        <w:t>项目建设可有效完善区域路网，促进沿线经济发展，密切沿线乡镇经济来往，提升区域综合运输网的服务水平和运输效率具有重要意义。</w:t>
      </w:r>
    </w:p>
    <w:p>
      <w:pPr>
        <w:pStyle w:val="8"/>
        <w:rPr>
          <w:b/>
          <w:bCs/>
        </w:rPr>
      </w:pPr>
      <w:bookmarkStart w:id="464" w:name="_Toc14942"/>
      <w:r>
        <w:rPr>
          <w:b/>
          <w:bCs/>
        </w:rPr>
        <w:t>环境经济效益分析</w:t>
      </w:r>
      <w:bookmarkEnd w:id="464"/>
    </w:p>
    <w:p>
      <w:pPr>
        <w:ind w:firstLine="480" w:firstLineChars="200"/>
        <w:rPr>
          <w:kern w:val="0"/>
          <w:lang w:val="zh-CN"/>
        </w:rPr>
      </w:pPr>
      <w:r>
        <w:rPr>
          <w:rStyle w:val="75"/>
        </w:rPr>
        <w:t>公路建</w:t>
      </w:r>
      <w:r>
        <w:rPr>
          <w:kern w:val="0"/>
          <w:lang w:val="zh-CN"/>
        </w:rPr>
        <w:t>设对环境的影响复杂，涉及面广，公路建设后的噪声、扬尘、水污染等对本区域环境质量产生影响，对道路沿线农作物、植被有负面影响，同时出现一定程度的水土流失。公路建设需要采取必要的措施来减少这些不利影响，降低水土流失带来的环境问题。环保措施主要包括采取合理处置污水、配备事故应急设施等。其它工程中设置涵洞、护坡、排水设施等作为环保间接投资。</w:t>
      </w:r>
    </w:p>
    <w:p>
      <w:pPr>
        <w:pStyle w:val="998"/>
        <w:numPr>
          <w:ilvl w:val="0"/>
          <w:numId w:val="16"/>
        </w:numPr>
        <w:spacing w:line="360" w:lineRule="auto"/>
        <w:ind w:left="0" w:firstLine="476" w:firstLineChars="0"/>
        <w:rPr>
          <w:rFonts w:ascii="Times New Roman" w:hAnsi="Times New Roman"/>
          <w:kern w:val="0"/>
          <w:sz w:val="24"/>
          <w:szCs w:val="28"/>
          <w:lang w:val="zh-CN"/>
        </w:rPr>
      </w:pPr>
      <w:r>
        <w:rPr>
          <w:rFonts w:ascii="Times New Roman" w:hAnsi="Times New Roman"/>
          <w:kern w:val="0"/>
          <w:sz w:val="24"/>
          <w:szCs w:val="28"/>
          <w:lang w:val="zh-CN"/>
        </w:rPr>
        <w:t>施工期沿线气、水、声环境污染防治措施可以保证沿线居民正常的生活秩序。</w:t>
      </w:r>
    </w:p>
    <w:p>
      <w:pPr>
        <w:pStyle w:val="998"/>
        <w:numPr>
          <w:ilvl w:val="0"/>
          <w:numId w:val="16"/>
        </w:numPr>
        <w:spacing w:line="360" w:lineRule="auto"/>
        <w:ind w:left="0" w:firstLine="476" w:firstLineChars="0"/>
        <w:rPr>
          <w:rFonts w:ascii="Times New Roman" w:hAnsi="Times New Roman"/>
          <w:kern w:val="0"/>
          <w:sz w:val="24"/>
          <w:szCs w:val="28"/>
          <w:lang w:val="zh-CN"/>
        </w:rPr>
      </w:pPr>
      <w:r>
        <w:rPr>
          <w:rFonts w:ascii="Times New Roman" w:hAnsi="Times New Roman"/>
          <w:kern w:val="0"/>
          <w:sz w:val="24"/>
          <w:szCs w:val="28"/>
          <w:lang w:val="zh-CN"/>
        </w:rPr>
        <w:t>施工期生态保护措施，可以减少水土流失和植被破坏。</w:t>
      </w:r>
    </w:p>
    <w:p>
      <w:pPr>
        <w:pStyle w:val="998"/>
        <w:numPr>
          <w:ilvl w:val="0"/>
          <w:numId w:val="16"/>
        </w:numPr>
        <w:spacing w:line="360" w:lineRule="auto"/>
        <w:ind w:left="0" w:firstLine="476" w:firstLineChars="0"/>
        <w:rPr>
          <w:rFonts w:ascii="Times New Roman" w:hAnsi="Times New Roman"/>
          <w:kern w:val="0"/>
          <w:sz w:val="24"/>
          <w:szCs w:val="28"/>
          <w:lang w:val="zh-CN"/>
        </w:rPr>
      </w:pPr>
      <w:r>
        <w:rPr>
          <w:rFonts w:ascii="Times New Roman" w:hAnsi="Times New Roman"/>
          <w:kern w:val="0"/>
          <w:sz w:val="24"/>
          <w:szCs w:val="28"/>
          <w:lang w:val="zh-CN"/>
        </w:rPr>
        <w:t>运营期生态环境治理：公路绿化保持水土、稳定路基、美化公路景观，改善区域生态和驾驶人员的视觉环境。</w:t>
      </w:r>
    </w:p>
    <w:p>
      <w:pPr>
        <w:pStyle w:val="998"/>
        <w:numPr>
          <w:ilvl w:val="0"/>
          <w:numId w:val="16"/>
        </w:numPr>
        <w:spacing w:line="360" w:lineRule="auto"/>
        <w:ind w:left="0" w:firstLine="476" w:firstLineChars="0"/>
        <w:rPr>
          <w:rFonts w:ascii="Times New Roman" w:hAnsi="Times New Roman"/>
          <w:kern w:val="0"/>
          <w:sz w:val="24"/>
          <w:szCs w:val="28"/>
          <w:lang w:val="zh-CN"/>
        </w:rPr>
      </w:pPr>
      <w:r>
        <w:rPr>
          <w:rFonts w:ascii="Times New Roman" w:hAnsi="Times New Roman"/>
          <w:kern w:val="0"/>
          <w:sz w:val="24"/>
          <w:szCs w:val="28"/>
          <w:lang w:val="zh-CN"/>
        </w:rPr>
        <w:t>运营期噪声治理：可以最大限度防止公路噪声对沿线环境敏感点居民的干扰，保护居民生活环境。</w:t>
      </w:r>
    </w:p>
    <w:p>
      <w:pPr>
        <w:pStyle w:val="998"/>
        <w:numPr>
          <w:ilvl w:val="0"/>
          <w:numId w:val="16"/>
        </w:numPr>
        <w:spacing w:line="360" w:lineRule="auto"/>
        <w:ind w:left="0" w:firstLine="476" w:firstLineChars="0"/>
        <w:rPr>
          <w:rFonts w:ascii="Times New Roman" w:hAnsi="Times New Roman"/>
          <w:kern w:val="0"/>
          <w:sz w:val="24"/>
          <w:szCs w:val="28"/>
          <w:lang w:val="zh-CN"/>
        </w:rPr>
      </w:pPr>
      <w:r>
        <w:rPr>
          <w:rFonts w:ascii="Times New Roman" w:hAnsi="Times New Roman"/>
          <w:kern w:val="0"/>
          <w:sz w:val="24"/>
          <w:szCs w:val="28"/>
          <w:lang w:val="zh-CN"/>
        </w:rPr>
        <w:t>运营期水环境防治和治理：保护地表水，维护其原有功能，防止</w:t>
      </w:r>
      <w:r>
        <w:rPr>
          <w:rFonts w:hint="eastAsia" w:ascii="Times New Roman" w:hAnsi="Times New Roman"/>
          <w:kern w:val="0"/>
          <w:sz w:val="24"/>
          <w:szCs w:val="28"/>
          <w:lang w:val="zh-CN"/>
        </w:rPr>
        <w:t>发生</w:t>
      </w:r>
      <w:r>
        <w:rPr>
          <w:rFonts w:ascii="Times New Roman" w:hAnsi="Times New Roman"/>
          <w:kern w:val="0"/>
          <w:sz w:val="24"/>
          <w:szCs w:val="28"/>
          <w:lang w:val="zh-CN"/>
        </w:rPr>
        <w:t>事故</w:t>
      </w:r>
      <w:r>
        <w:rPr>
          <w:rFonts w:hint="eastAsia" w:ascii="Times New Roman" w:hAnsi="Times New Roman"/>
          <w:kern w:val="0"/>
          <w:sz w:val="24"/>
          <w:szCs w:val="28"/>
          <w:lang w:val="zh-CN"/>
        </w:rPr>
        <w:t>，</w:t>
      </w:r>
      <w:r>
        <w:rPr>
          <w:rFonts w:ascii="Times New Roman" w:hAnsi="Times New Roman"/>
          <w:kern w:val="0"/>
          <w:sz w:val="24"/>
          <w:szCs w:val="28"/>
          <w:lang w:val="zh-CN"/>
        </w:rPr>
        <w:t>带来的</w:t>
      </w:r>
      <w:r>
        <w:rPr>
          <w:rFonts w:hint="eastAsia" w:ascii="Times New Roman" w:hAnsi="Times New Roman"/>
          <w:kern w:val="0"/>
          <w:sz w:val="24"/>
          <w:szCs w:val="28"/>
          <w:lang w:val="zh-CN"/>
        </w:rPr>
        <w:t>水</w:t>
      </w:r>
      <w:r>
        <w:rPr>
          <w:rFonts w:ascii="Times New Roman" w:hAnsi="Times New Roman"/>
          <w:kern w:val="0"/>
          <w:sz w:val="24"/>
          <w:szCs w:val="28"/>
          <w:lang w:val="zh-CN"/>
        </w:rPr>
        <w:t>环境</w:t>
      </w:r>
      <w:r>
        <w:rPr>
          <w:rFonts w:hint="eastAsia" w:ascii="Times New Roman" w:hAnsi="Times New Roman"/>
          <w:kern w:val="0"/>
          <w:sz w:val="24"/>
          <w:szCs w:val="28"/>
          <w:lang w:val="zh-CN"/>
        </w:rPr>
        <w:t>污染危害</w:t>
      </w:r>
      <w:r>
        <w:rPr>
          <w:rFonts w:ascii="Times New Roman" w:hAnsi="Times New Roman"/>
          <w:kern w:val="0"/>
          <w:sz w:val="24"/>
          <w:szCs w:val="28"/>
          <w:lang w:val="zh-CN"/>
        </w:rPr>
        <w:t>。</w:t>
      </w:r>
    </w:p>
    <w:p>
      <w:pPr>
        <w:pStyle w:val="998"/>
        <w:numPr>
          <w:ilvl w:val="0"/>
          <w:numId w:val="16"/>
        </w:numPr>
        <w:spacing w:line="360" w:lineRule="auto"/>
        <w:ind w:left="0" w:firstLine="476" w:firstLineChars="0"/>
        <w:rPr>
          <w:rFonts w:ascii="Times New Roman" w:hAnsi="Times New Roman"/>
          <w:kern w:val="0"/>
          <w:sz w:val="24"/>
          <w:szCs w:val="28"/>
          <w:lang w:val="zh-CN"/>
        </w:rPr>
      </w:pPr>
      <w:r>
        <w:rPr>
          <w:rFonts w:ascii="Times New Roman" w:hAnsi="Times New Roman"/>
          <w:kern w:val="0"/>
          <w:sz w:val="24"/>
          <w:szCs w:val="28"/>
          <w:lang w:val="zh-CN"/>
        </w:rPr>
        <w:t>环境管理监控：掌握沿线区域环境状况，及时采取环保措施和应急措施，保持本地区环境质量的稳定，使社会、经济和环境协调持续发展。</w:t>
      </w:r>
    </w:p>
    <w:p>
      <w:pPr>
        <w:pStyle w:val="112"/>
        <w:ind w:firstLine="480"/>
      </w:pPr>
      <w:r>
        <w:rPr>
          <w:lang w:val="zh-CN"/>
        </w:rPr>
        <w:t>公路建设给本地区国民经济的发展带来了显而易见的社会效益和经济效益，同时随着工程施工期和使用期环境保护措施的落实，将使短期内受破坏的生态得到最大限度的恢复和改善。</w:t>
      </w:r>
    </w:p>
    <w:p>
      <w:pPr>
        <w:pStyle w:val="8"/>
        <w:rPr>
          <w:b/>
          <w:bCs/>
        </w:rPr>
      </w:pPr>
      <w:bookmarkStart w:id="465" w:name="_Toc29825"/>
      <w:r>
        <w:rPr>
          <w:b/>
          <w:bCs/>
        </w:rPr>
        <w:t>环保效益分析</w:t>
      </w:r>
      <w:bookmarkEnd w:id="465"/>
    </w:p>
    <w:p>
      <w:pPr>
        <w:pStyle w:val="112"/>
        <w:ind w:firstLine="480"/>
      </w:pPr>
      <w:r>
        <w:t>施工和运营期间的机动车尾气排放和交通噪声辐射会对居民生活质量产生不利影响，对当地生态环境产生一定的负面影响。采取切实可行的环保措施后，每年所挽回的经济损失，即环保投资的直接效益是显而易见的，但目前很难用具体货币形式来衡量，只能对若不采取措施时，因工程建设而导致的生态环境、水环境、声环境和环境空气质量的变化所引起的人体健康、生活质量以及农业生产等方面的经济损失作粗略计算或定性分析用以反馈环保投资的直接经济效益。</w:t>
      </w:r>
    </w:p>
    <w:p>
      <w:pPr>
        <w:pStyle w:val="112"/>
        <w:ind w:firstLine="480"/>
      </w:pPr>
      <w:r>
        <w:t>对项目采用的环保措施产生的环境综合效益进行了定性评价见表7.2-1。</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7.2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环保措施综合损益定性分析表</w:t>
      </w: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2336"/>
        <w:gridCol w:w="1818"/>
        <w:gridCol w:w="1984"/>
        <w:gridCol w:w="1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454" w:type="dxa"/>
            <w:gridSpan w:val="2"/>
            <w:vAlign w:val="center"/>
          </w:tcPr>
          <w:p>
            <w:pPr>
              <w:pStyle w:val="1132"/>
              <w:rPr>
                <w:b/>
                <w:bCs w:val="0"/>
              </w:rPr>
            </w:pPr>
            <w:r>
              <w:rPr>
                <w:b/>
                <w:bCs w:val="0"/>
              </w:rPr>
              <w:t>环保措施</w:t>
            </w:r>
          </w:p>
        </w:tc>
        <w:tc>
          <w:tcPr>
            <w:tcW w:w="1818" w:type="dxa"/>
            <w:vAlign w:val="center"/>
          </w:tcPr>
          <w:p>
            <w:pPr>
              <w:pStyle w:val="1132"/>
              <w:rPr>
                <w:b/>
                <w:bCs w:val="0"/>
              </w:rPr>
            </w:pPr>
            <w:r>
              <w:rPr>
                <w:b/>
                <w:bCs w:val="0"/>
              </w:rPr>
              <w:t>环境效益</w:t>
            </w:r>
          </w:p>
        </w:tc>
        <w:tc>
          <w:tcPr>
            <w:tcW w:w="1984" w:type="dxa"/>
            <w:vAlign w:val="center"/>
          </w:tcPr>
          <w:p>
            <w:pPr>
              <w:pStyle w:val="1132"/>
              <w:rPr>
                <w:b/>
                <w:bCs w:val="0"/>
              </w:rPr>
            </w:pPr>
            <w:r>
              <w:rPr>
                <w:b/>
                <w:bCs w:val="0"/>
              </w:rPr>
              <w:t>社会经济效益</w:t>
            </w:r>
          </w:p>
        </w:tc>
        <w:tc>
          <w:tcPr>
            <w:tcW w:w="1584" w:type="dxa"/>
            <w:vAlign w:val="center"/>
          </w:tcPr>
          <w:p>
            <w:pPr>
              <w:pStyle w:val="1132"/>
              <w:rPr>
                <w:b/>
                <w:bCs w:val="0"/>
              </w:rPr>
            </w:pPr>
            <w:r>
              <w:rPr>
                <w:b/>
                <w:bCs w:val="0"/>
              </w:rPr>
              <w:t>综合效益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8" w:type="dxa"/>
            <w:vAlign w:val="center"/>
          </w:tcPr>
          <w:p>
            <w:pPr>
              <w:pStyle w:val="1132"/>
            </w:pPr>
            <w:r>
              <w:t>施工期环保措施</w:t>
            </w:r>
          </w:p>
        </w:tc>
        <w:tc>
          <w:tcPr>
            <w:tcW w:w="2336" w:type="dxa"/>
            <w:vAlign w:val="center"/>
          </w:tcPr>
          <w:p>
            <w:pPr>
              <w:pStyle w:val="1132"/>
            </w:pPr>
            <w:r>
              <w:t>1、施工时间的安排</w:t>
            </w:r>
          </w:p>
          <w:p>
            <w:pPr>
              <w:pStyle w:val="1132"/>
            </w:pPr>
            <w:r>
              <w:t>2、合理布置料场及防尘</w:t>
            </w:r>
          </w:p>
          <w:p>
            <w:pPr>
              <w:pStyle w:val="1132"/>
            </w:pPr>
            <w:r>
              <w:t>3、拆迁及补偿</w:t>
            </w:r>
          </w:p>
          <w:p>
            <w:pPr>
              <w:pStyle w:val="1132"/>
            </w:pPr>
            <w:r>
              <w:t>4、施工废水，生活污水处理</w:t>
            </w:r>
          </w:p>
          <w:p>
            <w:pPr>
              <w:pStyle w:val="1132"/>
            </w:pPr>
            <w:r>
              <w:t>5、基础设施保护</w:t>
            </w:r>
          </w:p>
        </w:tc>
        <w:tc>
          <w:tcPr>
            <w:tcW w:w="1818" w:type="dxa"/>
            <w:vAlign w:val="center"/>
          </w:tcPr>
          <w:p>
            <w:pPr>
              <w:pStyle w:val="1132"/>
            </w:pPr>
            <w:r>
              <w:t>1、防止噪声扰民</w:t>
            </w:r>
          </w:p>
          <w:p>
            <w:pPr>
              <w:pStyle w:val="1132"/>
            </w:pPr>
            <w:r>
              <w:t>2、防止空气污染</w:t>
            </w:r>
          </w:p>
          <w:p>
            <w:pPr>
              <w:pStyle w:val="1132"/>
            </w:pPr>
            <w:r>
              <w:t>3、防止水环境污染</w:t>
            </w:r>
          </w:p>
          <w:p>
            <w:pPr>
              <w:pStyle w:val="1132"/>
            </w:pPr>
            <w:r>
              <w:t>4、保障群众生活</w:t>
            </w:r>
          </w:p>
          <w:p>
            <w:pPr>
              <w:pStyle w:val="1132"/>
            </w:pPr>
            <w:r>
              <w:t>5、减轻项目建设产生的社会环境影响</w:t>
            </w:r>
          </w:p>
        </w:tc>
        <w:tc>
          <w:tcPr>
            <w:tcW w:w="1984" w:type="dxa"/>
            <w:vAlign w:val="center"/>
          </w:tcPr>
          <w:p>
            <w:pPr>
              <w:pStyle w:val="1132"/>
            </w:pPr>
            <w:r>
              <w:t>1、保护人们的生活生产环境</w:t>
            </w:r>
          </w:p>
          <w:p>
            <w:pPr>
              <w:pStyle w:val="1132"/>
            </w:pPr>
            <w:r>
              <w:t>2、保护土地、农业、植被资源</w:t>
            </w:r>
          </w:p>
          <w:p>
            <w:pPr>
              <w:pStyle w:val="1132"/>
            </w:pPr>
            <w:r>
              <w:t>3、保护国家财产安全，公众身体健康</w:t>
            </w:r>
          </w:p>
        </w:tc>
        <w:tc>
          <w:tcPr>
            <w:tcW w:w="1584" w:type="dxa"/>
            <w:vAlign w:val="center"/>
          </w:tcPr>
          <w:p>
            <w:pPr>
              <w:pStyle w:val="1132"/>
            </w:pPr>
            <w:r>
              <w:t>使施工期的不利影响降低到最小程度，公路建设得到社会公众的支持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8" w:type="dxa"/>
            <w:vAlign w:val="center"/>
          </w:tcPr>
          <w:p>
            <w:pPr>
              <w:pStyle w:val="1132"/>
            </w:pPr>
            <w:r>
              <w:t>绿化</w:t>
            </w:r>
          </w:p>
        </w:tc>
        <w:tc>
          <w:tcPr>
            <w:tcW w:w="2336" w:type="dxa"/>
            <w:vAlign w:val="center"/>
          </w:tcPr>
          <w:p>
            <w:pPr>
              <w:pStyle w:val="1132"/>
            </w:pPr>
            <w:r>
              <w:t>1、道路绿化</w:t>
            </w:r>
          </w:p>
          <w:p>
            <w:pPr>
              <w:pStyle w:val="1132"/>
            </w:pPr>
            <w:r>
              <w:t>2、临时用地还耕或绿化</w:t>
            </w:r>
          </w:p>
        </w:tc>
        <w:tc>
          <w:tcPr>
            <w:tcW w:w="1818" w:type="dxa"/>
            <w:vAlign w:val="center"/>
          </w:tcPr>
          <w:p>
            <w:pPr>
              <w:pStyle w:val="1132"/>
            </w:pPr>
            <w:r>
              <w:t>1、道路景观</w:t>
            </w:r>
          </w:p>
          <w:p>
            <w:pPr>
              <w:pStyle w:val="1132"/>
            </w:pPr>
            <w:r>
              <w:t>2、水土保持</w:t>
            </w:r>
          </w:p>
          <w:p>
            <w:pPr>
              <w:pStyle w:val="1132"/>
            </w:pPr>
            <w:r>
              <w:t>3、恢复补偿植被</w:t>
            </w:r>
          </w:p>
        </w:tc>
        <w:tc>
          <w:tcPr>
            <w:tcW w:w="1984" w:type="dxa"/>
            <w:vAlign w:val="center"/>
          </w:tcPr>
          <w:p>
            <w:pPr>
              <w:pStyle w:val="1132"/>
            </w:pPr>
            <w:r>
              <w:t>1、防止土壤侵蚀进一步扩大</w:t>
            </w:r>
          </w:p>
          <w:p>
            <w:pPr>
              <w:pStyle w:val="1132"/>
            </w:pPr>
            <w:r>
              <w:t>2、保护土地资源</w:t>
            </w:r>
          </w:p>
          <w:p>
            <w:pPr>
              <w:pStyle w:val="1132"/>
            </w:pPr>
            <w:r>
              <w:t>3、增加土地使用价值</w:t>
            </w:r>
          </w:p>
          <w:p>
            <w:pPr>
              <w:pStyle w:val="1132"/>
            </w:pPr>
            <w:r>
              <w:t>4、改善道路整体环境</w:t>
            </w:r>
          </w:p>
        </w:tc>
        <w:tc>
          <w:tcPr>
            <w:tcW w:w="1584" w:type="dxa"/>
            <w:vAlign w:val="center"/>
          </w:tcPr>
          <w:p>
            <w:pPr>
              <w:pStyle w:val="1132"/>
            </w:pPr>
            <w:r>
              <w:t>1、改善地区的生态环境</w:t>
            </w:r>
          </w:p>
          <w:p>
            <w:pPr>
              <w:pStyle w:val="1132"/>
            </w:pPr>
            <w:r>
              <w:t>2、增加旅客乘坐安全、舒适感</w:t>
            </w:r>
          </w:p>
          <w:p>
            <w:pPr>
              <w:pStyle w:val="1132"/>
            </w:pPr>
            <w:r>
              <w:t>3、提高司机安全驾驶性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8" w:type="dxa"/>
            <w:vAlign w:val="center"/>
          </w:tcPr>
          <w:p>
            <w:pPr>
              <w:pStyle w:val="1132"/>
            </w:pPr>
            <w:r>
              <w:t>噪声防治工程</w:t>
            </w:r>
          </w:p>
        </w:tc>
        <w:tc>
          <w:tcPr>
            <w:tcW w:w="2336" w:type="dxa"/>
            <w:vAlign w:val="center"/>
          </w:tcPr>
          <w:p>
            <w:pPr>
              <w:pStyle w:val="1132"/>
            </w:pPr>
            <w:r>
              <w:t>1、</w:t>
            </w:r>
            <w:r>
              <w:rPr>
                <w:rFonts w:hint="eastAsia"/>
                <w:lang w:val="en-US" w:eastAsia="zh-CN"/>
              </w:rPr>
              <w:t>施工期</w:t>
            </w:r>
            <w:r>
              <w:t>安装</w:t>
            </w:r>
            <w:r>
              <w:rPr>
                <w:rFonts w:hint="eastAsia"/>
                <w:lang w:val="en-US" w:eastAsia="zh-CN"/>
              </w:rPr>
              <w:t>移动式</w:t>
            </w:r>
            <w:r>
              <w:rPr>
                <w:rFonts w:hint="eastAsia"/>
              </w:rPr>
              <w:t>声屏障</w:t>
            </w:r>
          </w:p>
        </w:tc>
        <w:tc>
          <w:tcPr>
            <w:tcW w:w="1818" w:type="dxa"/>
            <w:vAlign w:val="center"/>
          </w:tcPr>
          <w:p>
            <w:pPr>
              <w:pStyle w:val="1132"/>
            </w:pPr>
            <w:r>
              <w:t>减小</w:t>
            </w:r>
            <w:r>
              <w:rPr>
                <w:rFonts w:hint="eastAsia"/>
                <w:lang w:val="en-US" w:eastAsia="zh-CN"/>
              </w:rPr>
              <w:t>施工期</w:t>
            </w:r>
            <w:r>
              <w:t>噪声对沿线地区的影响</w:t>
            </w:r>
          </w:p>
        </w:tc>
        <w:tc>
          <w:tcPr>
            <w:tcW w:w="1984" w:type="dxa"/>
            <w:vAlign w:val="center"/>
          </w:tcPr>
          <w:p>
            <w:pPr>
              <w:pStyle w:val="1132"/>
            </w:pPr>
            <w:r>
              <w:t>保护镇村居民的生活环境</w:t>
            </w:r>
          </w:p>
        </w:tc>
        <w:tc>
          <w:tcPr>
            <w:tcW w:w="1584" w:type="dxa"/>
            <w:vAlign w:val="center"/>
          </w:tcPr>
          <w:p>
            <w:pPr>
              <w:pStyle w:val="1132"/>
            </w:pPr>
            <w:r>
              <w:t>保护人群生产、生活环境质量及人群的身体健康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8" w:type="dxa"/>
            <w:vAlign w:val="center"/>
          </w:tcPr>
          <w:p>
            <w:pPr>
              <w:pStyle w:val="1132"/>
            </w:pPr>
            <w:r>
              <w:t>排水防护工程</w:t>
            </w:r>
          </w:p>
        </w:tc>
        <w:tc>
          <w:tcPr>
            <w:tcW w:w="2336" w:type="dxa"/>
            <w:vAlign w:val="center"/>
          </w:tcPr>
          <w:p>
            <w:pPr>
              <w:pStyle w:val="1132"/>
            </w:pPr>
            <w:r>
              <w:t>1、排水及防护工程</w:t>
            </w:r>
          </w:p>
        </w:tc>
        <w:tc>
          <w:tcPr>
            <w:tcW w:w="1818" w:type="dxa"/>
            <w:vAlign w:val="center"/>
          </w:tcPr>
          <w:p>
            <w:pPr>
              <w:pStyle w:val="1132"/>
            </w:pPr>
            <w:r>
              <w:t>保护沿线水体水质</w:t>
            </w:r>
          </w:p>
        </w:tc>
        <w:tc>
          <w:tcPr>
            <w:tcW w:w="1984" w:type="dxa"/>
            <w:vAlign w:val="center"/>
          </w:tcPr>
          <w:p>
            <w:pPr>
              <w:pStyle w:val="1132"/>
            </w:pPr>
            <w:r>
              <w:t>1、水资源保护</w:t>
            </w:r>
          </w:p>
          <w:p>
            <w:pPr>
              <w:pStyle w:val="1132"/>
            </w:pPr>
            <w:r>
              <w:t>2、水土保持</w:t>
            </w:r>
          </w:p>
        </w:tc>
        <w:tc>
          <w:tcPr>
            <w:tcW w:w="1584" w:type="dxa"/>
            <w:vAlign w:val="center"/>
          </w:tcPr>
          <w:p>
            <w:pPr>
              <w:pStyle w:val="1132"/>
            </w:pPr>
            <w:r>
              <w:t>保护水资源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18" w:type="dxa"/>
            <w:vAlign w:val="center"/>
          </w:tcPr>
          <w:p>
            <w:pPr>
              <w:pStyle w:val="1132"/>
            </w:pPr>
            <w:r>
              <w:t>环境监测</w:t>
            </w:r>
          </w:p>
          <w:p>
            <w:pPr>
              <w:pStyle w:val="1132"/>
            </w:pPr>
            <w:r>
              <w:t>环境管理</w:t>
            </w:r>
          </w:p>
        </w:tc>
        <w:tc>
          <w:tcPr>
            <w:tcW w:w="2336" w:type="dxa"/>
            <w:vAlign w:val="center"/>
          </w:tcPr>
          <w:p>
            <w:pPr>
              <w:pStyle w:val="1132"/>
            </w:pPr>
            <w:r>
              <w:t>1、施工期监测</w:t>
            </w:r>
          </w:p>
          <w:p>
            <w:pPr>
              <w:pStyle w:val="1132"/>
            </w:pPr>
            <w:r>
              <w:t>2、运营期监测</w:t>
            </w:r>
          </w:p>
        </w:tc>
        <w:tc>
          <w:tcPr>
            <w:tcW w:w="1818" w:type="dxa"/>
            <w:vAlign w:val="center"/>
          </w:tcPr>
          <w:p>
            <w:pPr>
              <w:pStyle w:val="1132"/>
            </w:pPr>
            <w:r>
              <w:t>1、监测沿线地区的环境质量</w:t>
            </w:r>
          </w:p>
          <w:p>
            <w:pPr>
              <w:pStyle w:val="1132"/>
            </w:pPr>
            <w:r>
              <w:t>2、保护沿线地区的生活环境</w:t>
            </w:r>
          </w:p>
        </w:tc>
        <w:tc>
          <w:tcPr>
            <w:tcW w:w="1984" w:type="dxa"/>
            <w:vAlign w:val="center"/>
          </w:tcPr>
          <w:p>
            <w:pPr>
              <w:pStyle w:val="1132"/>
            </w:pPr>
            <w:r>
              <w:t>保护人类及生物生存的环境</w:t>
            </w:r>
          </w:p>
        </w:tc>
        <w:tc>
          <w:tcPr>
            <w:tcW w:w="1584" w:type="dxa"/>
            <w:vAlign w:val="center"/>
          </w:tcPr>
          <w:p>
            <w:pPr>
              <w:pStyle w:val="1132"/>
            </w:pPr>
            <w:r>
              <w:t>使经济与环境协调发展</w:t>
            </w:r>
          </w:p>
        </w:tc>
      </w:tr>
    </w:tbl>
    <w:p>
      <w:pPr>
        <w:pStyle w:val="8"/>
        <w:rPr>
          <w:b/>
          <w:bCs/>
        </w:rPr>
      </w:pPr>
      <w:bookmarkStart w:id="466" w:name="_Toc9684"/>
      <w:r>
        <w:rPr>
          <w:b/>
          <w:bCs/>
        </w:rPr>
        <w:t>环境影响的损益分析</w:t>
      </w:r>
      <w:bookmarkEnd w:id="466"/>
    </w:p>
    <w:p>
      <w:pPr>
        <w:pStyle w:val="10"/>
        <w:ind w:firstLine="480"/>
      </w:pPr>
      <w:r>
        <w:rPr>
          <w:rFonts w:hint="eastAsia"/>
        </w:rPr>
        <w:t>项目在施工期对周边的大气环境、声环境、水环境和生态环境有不同程度的影响，但</w:t>
      </w:r>
      <w:r>
        <w:t>拟建公路项目推荐路线所产生的环境经济的正效益占主导地位，从环保角度来看该项目是可行的。</w:t>
      </w:r>
      <w:r>
        <w:rPr>
          <w:rFonts w:hint="eastAsia"/>
        </w:rPr>
        <w:t>环境影响经济效益分析见下表。</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7.2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环境影响经济效益分析表</w:t>
      </w:r>
    </w:p>
    <w:tbl>
      <w:tblPr>
        <w:tblStyle w:val="47"/>
        <w:tblW w:w="48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3"/>
        <w:gridCol w:w="2614"/>
        <w:gridCol w:w="5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9" w:type="pct"/>
            <w:vAlign w:val="center"/>
          </w:tcPr>
          <w:p>
            <w:pPr>
              <w:pStyle w:val="1132"/>
              <w:rPr>
                <w:b/>
                <w:bCs w:val="0"/>
              </w:rPr>
            </w:pPr>
            <w:r>
              <w:rPr>
                <w:rFonts w:hint="eastAsia"/>
                <w:b/>
                <w:bCs w:val="0"/>
              </w:rPr>
              <w:t>序号</w:t>
            </w:r>
          </w:p>
        </w:tc>
        <w:tc>
          <w:tcPr>
            <w:tcW w:w="1442" w:type="pct"/>
            <w:vAlign w:val="center"/>
          </w:tcPr>
          <w:p>
            <w:pPr>
              <w:pStyle w:val="1132"/>
              <w:rPr>
                <w:b/>
                <w:bCs w:val="0"/>
              </w:rPr>
            </w:pPr>
            <w:r>
              <w:rPr>
                <w:b/>
                <w:bCs w:val="0"/>
              </w:rPr>
              <w:t>环境要素</w:t>
            </w:r>
          </w:p>
        </w:tc>
        <w:tc>
          <w:tcPr>
            <w:tcW w:w="2999" w:type="pct"/>
            <w:vAlign w:val="center"/>
          </w:tcPr>
          <w:p>
            <w:pPr>
              <w:pStyle w:val="1132"/>
              <w:rPr>
                <w:b/>
                <w:bCs w:val="0"/>
              </w:rPr>
            </w:pPr>
            <w:r>
              <w:rPr>
                <w:b/>
                <w:bCs w:val="0"/>
              </w:rPr>
              <w:t>影响程度描述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9" w:type="pct"/>
            <w:vAlign w:val="center"/>
          </w:tcPr>
          <w:p>
            <w:pPr>
              <w:pStyle w:val="1132"/>
            </w:pPr>
            <w:r>
              <w:rPr>
                <w:rFonts w:hint="eastAsia"/>
              </w:rPr>
              <w:t>1</w:t>
            </w:r>
          </w:p>
        </w:tc>
        <w:tc>
          <w:tcPr>
            <w:tcW w:w="1442" w:type="pct"/>
            <w:vAlign w:val="center"/>
          </w:tcPr>
          <w:p>
            <w:pPr>
              <w:pStyle w:val="1132"/>
            </w:pPr>
            <w:r>
              <w:t>大气环境</w:t>
            </w:r>
          </w:p>
        </w:tc>
        <w:tc>
          <w:tcPr>
            <w:tcW w:w="2999" w:type="pct"/>
            <w:vAlign w:val="center"/>
          </w:tcPr>
          <w:p>
            <w:pPr>
              <w:pStyle w:val="1132"/>
            </w:pPr>
            <w:r>
              <w:t>增加机动车尾气向道路两侧环境空气的排放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559" w:type="pct"/>
            <w:vAlign w:val="center"/>
          </w:tcPr>
          <w:p>
            <w:pPr>
              <w:pStyle w:val="1132"/>
            </w:pPr>
            <w:r>
              <w:rPr>
                <w:rFonts w:hint="eastAsia"/>
              </w:rPr>
              <w:t>2</w:t>
            </w:r>
          </w:p>
        </w:tc>
        <w:tc>
          <w:tcPr>
            <w:tcW w:w="1442" w:type="pct"/>
            <w:vAlign w:val="center"/>
          </w:tcPr>
          <w:p>
            <w:pPr>
              <w:pStyle w:val="1132"/>
            </w:pPr>
            <w:r>
              <w:t>声环境</w:t>
            </w:r>
          </w:p>
        </w:tc>
        <w:tc>
          <w:tcPr>
            <w:tcW w:w="2999" w:type="pct"/>
            <w:vAlign w:val="center"/>
          </w:tcPr>
          <w:p>
            <w:pPr>
              <w:pStyle w:val="1132"/>
            </w:pPr>
            <w:r>
              <w:t>道路两侧噪声影响增加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9" w:type="pct"/>
            <w:vAlign w:val="center"/>
          </w:tcPr>
          <w:p>
            <w:pPr>
              <w:pStyle w:val="1132"/>
            </w:pPr>
            <w:r>
              <w:rPr>
                <w:rFonts w:hint="eastAsia"/>
              </w:rPr>
              <w:t>3</w:t>
            </w:r>
          </w:p>
        </w:tc>
        <w:tc>
          <w:tcPr>
            <w:tcW w:w="1442" w:type="pct"/>
            <w:vAlign w:val="center"/>
          </w:tcPr>
          <w:p>
            <w:pPr>
              <w:pStyle w:val="1132"/>
            </w:pPr>
            <w:r>
              <w:t>水环境</w:t>
            </w:r>
          </w:p>
        </w:tc>
        <w:tc>
          <w:tcPr>
            <w:tcW w:w="2999" w:type="pct"/>
            <w:vAlign w:val="center"/>
          </w:tcPr>
          <w:p>
            <w:pPr>
              <w:pStyle w:val="1132"/>
            </w:pPr>
            <w:r>
              <w:t>存在环境风险，增加环境风险防范投资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9" w:type="pct"/>
            <w:vAlign w:val="center"/>
          </w:tcPr>
          <w:p>
            <w:pPr>
              <w:pStyle w:val="1132"/>
            </w:pPr>
            <w:r>
              <w:rPr>
                <w:rFonts w:hint="eastAsia"/>
              </w:rPr>
              <w:t>4</w:t>
            </w:r>
          </w:p>
        </w:tc>
        <w:tc>
          <w:tcPr>
            <w:tcW w:w="1442" w:type="pct"/>
            <w:vAlign w:val="center"/>
          </w:tcPr>
          <w:p>
            <w:pPr>
              <w:pStyle w:val="1132"/>
            </w:pPr>
            <w:r>
              <w:t>人群健康</w:t>
            </w:r>
          </w:p>
        </w:tc>
        <w:tc>
          <w:tcPr>
            <w:tcW w:w="2999" w:type="pct"/>
            <w:vAlign w:val="center"/>
          </w:tcPr>
          <w:p>
            <w:pPr>
              <w:pStyle w:val="1132"/>
            </w:pPr>
            <w:r>
              <w:t>无显著不利影响，交通方便有利于就医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559" w:type="pct"/>
            <w:vAlign w:val="center"/>
          </w:tcPr>
          <w:p>
            <w:pPr>
              <w:pStyle w:val="1132"/>
            </w:pPr>
            <w:r>
              <w:rPr>
                <w:rFonts w:hint="eastAsia"/>
              </w:rPr>
              <w:t>5</w:t>
            </w:r>
          </w:p>
        </w:tc>
        <w:tc>
          <w:tcPr>
            <w:tcW w:w="1442" w:type="pct"/>
            <w:vAlign w:val="center"/>
          </w:tcPr>
          <w:p>
            <w:pPr>
              <w:pStyle w:val="1132"/>
            </w:pPr>
            <w:r>
              <w:t>物产资源</w:t>
            </w:r>
          </w:p>
        </w:tc>
        <w:tc>
          <w:tcPr>
            <w:tcW w:w="2999" w:type="pct"/>
            <w:vAlign w:val="center"/>
          </w:tcPr>
          <w:p>
            <w:pPr>
              <w:pStyle w:val="1132"/>
            </w:pPr>
            <w:r>
              <w:t>有利于资源开发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9" w:type="pct"/>
            <w:vAlign w:val="center"/>
          </w:tcPr>
          <w:p>
            <w:pPr>
              <w:pStyle w:val="1132"/>
            </w:pPr>
            <w:r>
              <w:rPr>
                <w:rFonts w:hint="eastAsia"/>
              </w:rPr>
              <w:t>6</w:t>
            </w:r>
          </w:p>
        </w:tc>
        <w:tc>
          <w:tcPr>
            <w:tcW w:w="1442" w:type="pct"/>
            <w:vAlign w:val="center"/>
          </w:tcPr>
          <w:p>
            <w:pPr>
              <w:pStyle w:val="1132"/>
            </w:pPr>
            <w:r>
              <w:t>旅游资源</w:t>
            </w:r>
          </w:p>
        </w:tc>
        <w:tc>
          <w:tcPr>
            <w:tcW w:w="2999" w:type="pct"/>
            <w:vAlign w:val="center"/>
          </w:tcPr>
          <w:p>
            <w:pPr>
              <w:pStyle w:val="1132"/>
            </w:pPr>
            <w:r>
              <w:t>无显著的不利影响，极大有利于旅游资源开发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9" w:type="pct"/>
            <w:vAlign w:val="center"/>
          </w:tcPr>
          <w:p>
            <w:pPr>
              <w:pStyle w:val="1132"/>
            </w:pPr>
            <w:r>
              <w:rPr>
                <w:rFonts w:hint="eastAsia"/>
              </w:rPr>
              <w:t>7</w:t>
            </w:r>
          </w:p>
        </w:tc>
        <w:tc>
          <w:tcPr>
            <w:tcW w:w="1442" w:type="pct"/>
            <w:vAlign w:val="center"/>
          </w:tcPr>
          <w:p>
            <w:pPr>
              <w:pStyle w:val="1132"/>
            </w:pPr>
            <w:r>
              <w:t>农业</w:t>
            </w:r>
          </w:p>
        </w:tc>
        <w:tc>
          <w:tcPr>
            <w:tcW w:w="2999" w:type="pct"/>
            <w:vAlign w:val="center"/>
          </w:tcPr>
          <w:p>
            <w:pPr>
              <w:pStyle w:val="1132"/>
            </w:pPr>
            <w:r>
              <w:t>占地影响农业生产，但加速对外的物流交换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9" w:type="pct"/>
            <w:vAlign w:val="center"/>
          </w:tcPr>
          <w:p>
            <w:pPr>
              <w:pStyle w:val="1132"/>
            </w:pPr>
            <w:r>
              <w:rPr>
                <w:rFonts w:hint="eastAsia"/>
              </w:rPr>
              <w:t>8</w:t>
            </w:r>
          </w:p>
        </w:tc>
        <w:tc>
          <w:tcPr>
            <w:tcW w:w="1442" w:type="pct"/>
            <w:vAlign w:val="center"/>
          </w:tcPr>
          <w:p>
            <w:pPr>
              <w:pStyle w:val="1132"/>
            </w:pPr>
            <w:r>
              <w:t>城镇规划</w:t>
            </w:r>
          </w:p>
        </w:tc>
        <w:tc>
          <w:tcPr>
            <w:tcW w:w="2999" w:type="pct"/>
            <w:vAlign w:val="center"/>
          </w:tcPr>
          <w:p>
            <w:pPr>
              <w:pStyle w:val="1132"/>
            </w:pPr>
            <w:r>
              <w:t>符合城镇规划，无显著的不利影响，有利于城镇社会发展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559" w:type="pct"/>
            <w:vAlign w:val="center"/>
          </w:tcPr>
          <w:p>
            <w:pPr>
              <w:pStyle w:val="1132"/>
            </w:pPr>
            <w:r>
              <w:rPr>
                <w:rFonts w:hint="eastAsia"/>
              </w:rPr>
              <w:t>9</w:t>
            </w:r>
          </w:p>
        </w:tc>
        <w:tc>
          <w:tcPr>
            <w:tcW w:w="1442" w:type="pct"/>
            <w:vAlign w:val="center"/>
          </w:tcPr>
          <w:p>
            <w:pPr>
              <w:pStyle w:val="1132"/>
            </w:pPr>
            <w:r>
              <w:t>水土保持</w:t>
            </w:r>
          </w:p>
        </w:tc>
        <w:tc>
          <w:tcPr>
            <w:tcW w:w="2999" w:type="pct"/>
            <w:vAlign w:val="center"/>
          </w:tcPr>
          <w:p>
            <w:pPr>
              <w:pStyle w:val="1132"/>
            </w:pPr>
            <w:r>
              <w:t>造成局部水土流失增加；增加防护、排水工程及环保措施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9" w:type="pct"/>
            <w:vAlign w:val="center"/>
          </w:tcPr>
          <w:p>
            <w:pPr>
              <w:pStyle w:val="1132"/>
            </w:pPr>
            <w:r>
              <w:rPr>
                <w:rFonts w:hint="eastAsia"/>
              </w:rPr>
              <w:t>1</w:t>
            </w:r>
            <w:r>
              <w:t>0</w:t>
            </w:r>
          </w:p>
        </w:tc>
        <w:tc>
          <w:tcPr>
            <w:tcW w:w="1442" w:type="pct"/>
            <w:vAlign w:val="center"/>
          </w:tcPr>
          <w:p>
            <w:pPr>
              <w:pStyle w:val="1132"/>
            </w:pPr>
            <w:r>
              <w:t>拆迁安置</w:t>
            </w:r>
          </w:p>
        </w:tc>
        <w:tc>
          <w:tcPr>
            <w:tcW w:w="2999" w:type="pct"/>
            <w:vAlign w:val="center"/>
          </w:tcPr>
          <w:p>
            <w:pPr>
              <w:pStyle w:val="1132"/>
            </w:pPr>
            <w:r>
              <w:t>拆迁货币补偿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9" w:type="pct"/>
            <w:vAlign w:val="center"/>
          </w:tcPr>
          <w:p>
            <w:pPr>
              <w:pStyle w:val="1132"/>
            </w:pPr>
            <w:r>
              <w:rPr>
                <w:rFonts w:hint="eastAsia"/>
              </w:rPr>
              <w:t>1</w:t>
            </w:r>
            <w:r>
              <w:t>1</w:t>
            </w:r>
          </w:p>
        </w:tc>
        <w:tc>
          <w:tcPr>
            <w:tcW w:w="1442" w:type="pct"/>
            <w:vAlign w:val="center"/>
          </w:tcPr>
          <w:p>
            <w:pPr>
              <w:pStyle w:val="1132"/>
            </w:pPr>
            <w:r>
              <w:t>土地价值</w:t>
            </w:r>
          </w:p>
        </w:tc>
        <w:tc>
          <w:tcPr>
            <w:tcW w:w="2999" w:type="pct"/>
            <w:vAlign w:val="center"/>
          </w:tcPr>
          <w:p>
            <w:pPr>
              <w:pStyle w:val="1132"/>
            </w:pPr>
            <w:r>
              <w:t>道路沿线两侧居住用地贬值；产业用地增值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9" w:type="pct"/>
            <w:vAlign w:val="center"/>
          </w:tcPr>
          <w:p>
            <w:pPr>
              <w:pStyle w:val="1132"/>
            </w:pPr>
            <w:r>
              <w:rPr>
                <w:rFonts w:hint="eastAsia"/>
              </w:rPr>
              <w:t>1</w:t>
            </w:r>
            <w:r>
              <w:t>2</w:t>
            </w:r>
          </w:p>
        </w:tc>
        <w:tc>
          <w:tcPr>
            <w:tcW w:w="1442" w:type="pct"/>
            <w:vAlign w:val="center"/>
          </w:tcPr>
          <w:p>
            <w:pPr>
              <w:pStyle w:val="1132"/>
            </w:pPr>
            <w:r>
              <w:t>公路直接社会效益</w:t>
            </w:r>
          </w:p>
        </w:tc>
        <w:tc>
          <w:tcPr>
            <w:tcW w:w="2999" w:type="pct"/>
            <w:vAlign w:val="center"/>
          </w:tcPr>
          <w:p>
            <w:pPr>
              <w:pStyle w:val="1132"/>
            </w:pPr>
            <w:r>
              <w:t>节约时间、降低运输成本、降低油耗、提高安全性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559" w:type="pct"/>
            <w:vAlign w:val="center"/>
          </w:tcPr>
          <w:p>
            <w:pPr>
              <w:pStyle w:val="1132"/>
            </w:pPr>
            <w:r>
              <w:rPr>
                <w:rFonts w:hint="eastAsia"/>
              </w:rPr>
              <w:t>1</w:t>
            </w:r>
            <w:r>
              <w:t>3</w:t>
            </w:r>
          </w:p>
        </w:tc>
        <w:tc>
          <w:tcPr>
            <w:tcW w:w="1442" w:type="pct"/>
            <w:vAlign w:val="center"/>
          </w:tcPr>
          <w:p>
            <w:pPr>
              <w:pStyle w:val="1132"/>
            </w:pPr>
            <w:r>
              <w:t>公路间接社会效益</w:t>
            </w:r>
          </w:p>
        </w:tc>
        <w:tc>
          <w:tcPr>
            <w:tcW w:w="2999" w:type="pct"/>
            <w:vAlign w:val="center"/>
          </w:tcPr>
          <w:p>
            <w:pPr>
              <w:pStyle w:val="1132"/>
            </w:pPr>
            <w:r>
              <w:t>改善投资环境、促进经济发展、增强环境意识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9" w:type="pct"/>
            <w:vAlign w:val="center"/>
          </w:tcPr>
          <w:p>
            <w:pPr>
              <w:pStyle w:val="1132"/>
            </w:pPr>
            <w:r>
              <w:rPr>
                <w:rFonts w:hint="eastAsia"/>
              </w:rPr>
              <w:t>1</w:t>
            </w:r>
            <w:r>
              <w:t>4</w:t>
            </w:r>
          </w:p>
        </w:tc>
        <w:tc>
          <w:tcPr>
            <w:tcW w:w="1442" w:type="pct"/>
            <w:vAlign w:val="center"/>
          </w:tcPr>
          <w:p>
            <w:pPr>
              <w:pStyle w:val="1132"/>
            </w:pPr>
            <w:r>
              <w:t>环保措施</w:t>
            </w:r>
          </w:p>
        </w:tc>
        <w:tc>
          <w:tcPr>
            <w:tcW w:w="2999" w:type="pct"/>
            <w:vAlign w:val="center"/>
          </w:tcPr>
          <w:p>
            <w:pPr>
              <w:pStyle w:val="1132"/>
            </w:pPr>
            <w:r>
              <w:t>增加工程投资</w:t>
            </w:r>
          </w:p>
        </w:tc>
      </w:tr>
    </w:tbl>
    <w:p>
      <w:pPr>
        <w:pStyle w:val="8"/>
        <w:rPr>
          <w:b/>
          <w:bCs/>
        </w:rPr>
      </w:pPr>
      <w:bookmarkStart w:id="467" w:name="_Toc88176270"/>
      <w:bookmarkStart w:id="468" w:name="_Toc6971"/>
      <w:r>
        <w:rPr>
          <w:b/>
          <w:bCs/>
        </w:rPr>
        <w:t>小结</w:t>
      </w:r>
      <w:bookmarkEnd w:id="467"/>
      <w:bookmarkEnd w:id="468"/>
    </w:p>
    <w:p>
      <w:pPr>
        <w:pStyle w:val="112"/>
        <w:ind w:firstLine="480"/>
      </w:pPr>
      <w:r>
        <w:t>本项目的实施将给公路沿线居民带来一个新的社会环境，</w:t>
      </w:r>
      <w:r>
        <w:rPr>
          <w:rFonts w:hint="eastAsia"/>
          <w:lang w:bidi="he-IL"/>
        </w:rPr>
        <w:t>项目建设可有效完善区域路网，促进沿线经济发展，密切沿线乡镇经济来往，对提升区域综合运输网的服务水平和运输效率具有重要意义</w:t>
      </w:r>
      <w:r>
        <w:rPr>
          <w:rFonts w:hint="eastAsia"/>
        </w:rPr>
        <w:t>。</w:t>
      </w:r>
      <w:r>
        <w:t>同时，本项目路线走向方案的选取，得到了当地各级政府的高度重视和人民群众的大力支持，为本项目的实施创造了一个良好的社会环境。从环保措施所带来的各方面效益看，可大大减轻公路新建所带来的不良环境影响，既带动了经济的发展，也保护了环境，项目建设将产生一定的社会效益、经济效益和环境效益。</w:t>
      </w:r>
      <w:r>
        <w:br w:type="page"/>
      </w:r>
    </w:p>
    <w:p>
      <w:pPr>
        <w:pStyle w:val="5"/>
      </w:pPr>
      <w:bookmarkStart w:id="469" w:name="_Toc15541"/>
      <w:bookmarkStart w:id="470" w:name="_Toc1744"/>
      <w:bookmarkStart w:id="471" w:name="_Toc19213"/>
      <w:bookmarkStart w:id="472" w:name="_Toc402509421"/>
      <w:bookmarkStart w:id="473" w:name="_Toc471329468"/>
      <w:r>
        <w:t>环境管理与监测计划</w:t>
      </w:r>
      <w:bookmarkEnd w:id="469"/>
      <w:bookmarkEnd w:id="470"/>
      <w:bookmarkEnd w:id="471"/>
    </w:p>
    <w:p>
      <w:pPr>
        <w:pStyle w:val="10"/>
        <w:ind w:firstLine="480"/>
      </w:pPr>
      <w:r>
        <w:t>从前述分析评价可知，本项目在施工期和营运期都会对周围的生态环境、自然环境、社会经济环境和公众生活质量带来一定的影响，为了及时采取有效的环境保护措施减轻或消除不利影响，需要在项目施工期和营运期制定必要的环境管理计划与监测制度。其主要目的是及时准确监测项目建设工程给环境带来的真实影响；监督工程的各项环保措施实施情况；并检验环境影响报告书的预测结果与评价结论是否正确。下面就项目环境管理计划与监测制度提出如下建议：</w:t>
      </w:r>
    </w:p>
    <w:p>
      <w:pPr>
        <w:pStyle w:val="7"/>
        <w:rPr>
          <w:b/>
          <w:bCs/>
          <w:sz w:val="28"/>
          <w:szCs w:val="28"/>
        </w:rPr>
      </w:pPr>
      <w:bookmarkStart w:id="474" w:name="_Toc19563"/>
      <w:bookmarkStart w:id="475" w:name="_Toc28774"/>
      <w:r>
        <w:rPr>
          <w:b/>
          <w:bCs/>
          <w:sz w:val="28"/>
          <w:szCs w:val="28"/>
        </w:rPr>
        <w:t>环境保护管理计划</w:t>
      </w:r>
      <w:bookmarkEnd w:id="474"/>
      <w:bookmarkEnd w:id="475"/>
    </w:p>
    <w:p>
      <w:pPr>
        <w:pStyle w:val="8"/>
        <w:rPr>
          <w:b/>
          <w:bCs/>
        </w:rPr>
      </w:pPr>
      <w:bookmarkStart w:id="476" w:name="_Toc467512068"/>
      <w:bookmarkStart w:id="477" w:name="_Toc24441"/>
      <w:r>
        <w:rPr>
          <w:b/>
          <w:bCs/>
        </w:rPr>
        <w:t>环境管理目标</w:t>
      </w:r>
      <w:bookmarkEnd w:id="476"/>
      <w:bookmarkEnd w:id="477"/>
    </w:p>
    <w:p>
      <w:pPr>
        <w:pStyle w:val="10"/>
        <w:ind w:firstLine="480"/>
      </w:pPr>
      <w:r>
        <w:t>通过制订系统的、科学的环境管理计划，使本报告书中提出的环境负面影响减缓措施在项目的设计、施工和运营过程中得到落实，从而实现环境保护和项目符合同步设计、同步施工和同步投产的“三同时”制度要求。使环境保护措施得以落实，为环保部门对其进行监督提供依据。</w:t>
      </w:r>
    </w:p>
    <w:p>
      <w:pPr>
        <w:pStyle w:val="10"/>
        <w:ind w:firstLine="480"/>
      </w:pPr>
      <w:r>
        <w:t>通过实施环境管理计划，将本工程建设和运营中对环境带来的不利影响减缓到最低限度，使建设项目的经济效益和环境效益得以协调、持续和稳定发展。</w:t>
      </w:r>
    </w:p>
    <w:p>
      <w:pPr>
        <w:pStyle w:val="8"/>
        <w:rPr>
          <w:b/>
          <w:bCs/>
        </w:rPr>
      </w:pPr>
      <w:bookmarkStart w:id="478" w:name="_Toc467512069"/>
      <w:bookmarkStart w:id="479" w:name="_Toc17373"/>
      <w:r>
        <w:rPr>
          <w:b/>
          <w:bCs/>
        </w:rPr>
        <w:t>环境管理体系</w:t>
      </w:r>
      <w:bookmarkEnd w:id="478"/>
      <w:bookmarkEnd w:id="479"/>
    </w:p>
    <w:p>
      <w:pPr>
        <w:pStyle w:val="10"/>
        <w:ind w:firstLine="480"/>
      </w:pPr>
      <w:r>
        <w:t>本项目环境保护工作的相关机构可分为：管理机构、监督机构、监测机构、监理机构。</w:t>
      </w:r>
    </w:p>
    <w:p>
      <w:pPr>
        <w:pStyle w:val="10"/>
        <w:ind w:firstLine="480"/>
      </w:pPr>
      <w:r>
        <w:t>（1）管理机构</w:t>
      </w:r>
    </w:p>
    <w:p>
      <w:pPr>
        <w:pStyle w:val="10"/>
        <w:ind w:firstLine="480"/>
      </w:pPr>
      <w:r>
        <w:rPr>
          <w:rFonts w:hint="eastAsia" w:ascii="宋体" w:hAnsi="宋体" w:cs="宋体"/>
        </w:rPr>
        <w:t>①</w:t>
      </w:r>
      <w:r>
        <w:t>建设单位：</w:t>
      </w:r>
      <w:r>
        <w:rPr>
          <w:rFonts w:hint="eastAsia"/>
        </w:rPr>
        <w:t>蚌埠市公路管理服务中心</w:t>
      </w:r>
      <w:r>
        <w:t>。</w:t>
      </w:r>
    </w:p>
    <w:p>
      <w:pPr>
        <w:pStyle w:val="10"/>
        <w:ind w:firstLine="480"/>
      </w:pPr>
      <w:r>
        <w:rPr>
          <w:rFonts w:hint="eastAsia"/>
        </w:rPr>
        <w:t>②</w:t>
      </w:r>
      <w:r>
        <w:t>工程建设指挥部：具体负责本工程环境管理计划、环境监理方案、环境监测计划的制定及其实施的检查和监督，处理日常环境事务。</w:t>
      </w:r>
    </w:p>
    <w:p>
      <w:pPr>
        <w:pStyle w:val="10"/>
        <w:ind w:firstLine="480"/>
      </w:pPr>
      <w:r>
        <w:t>（2）监督机构：</w:t>
      </w:r>
      <w:r>
        <w:rPr>
          <w:rFonts w:hint="eastAsia"/>
        </w:rPr>
        <w:t>蚌埠市</w:t>
      </w:r>
      <w:r>
        <w:tab/>
      </w:r>
      <w:r>
        <w:tab/>
      </w:r>
      <w:r>
        <w:rPr>
          <w:rFonts w:hint="eastAsia"/>
        </w:rPr>
        <w:t>生态环境局、怀远县生态环境分局</w:t>
      </w:r>
      <w:r>
        <w:t>。</w:t>
      </w:r>
    </w:p>
    <w:p>
      <w:pPr>
        <w:pStyle w:val="10"/>
        <w:ind w:firstLine="480"/>
      </w:pPr>
      <w:r>
        <w:t>（3）监测机构：施工期及运营期的环境监测工作可委托有资质的单位承担。</w:t>
      </w:r>
    </w:p>
    <w:p>
      <w:pPr>
        <w:pStyle w:val="10"/>
        <w:ind w:firstLine="480"/>
      </w:pPr>
      <w:r>
        <w:t>（4）监理机构：环境监理采用全线有主体工程监理担任或兼任环境监理的监理模式，由总监办负责工程环境监理工作的实施和检查，总监代表处和高级驻地监理组负责监理工作的具体开展。</w:t>
      </w:r>
    </w:p>
    <w:p>
      <w:pPr>
        <w:pStyle w:val="112"/>
        <w:ind w:firstLine="480"/>
        <w:rPr>
          <w:color w:val="0070C0"/>
        </w:rPr>
      </w:pPr>
    </w:p>
    <w:p>
      <w:pPr>
        <w:pStyle w:val="112"/>
        <w:ind w:firstLine="480"/>
        <w:rPr>
          <w:color w:val="0070C0"/>
        </w:rPr>
      </w:pPr>
    </w:p>
    <w:p>
      <w:pPr>
        <w:pStyle w:val="8"/>
        <w:rPr>
          <w:b/>
          <w:bCs/>
        </w:rPr>
      </w:pPr>
      <w:bookmarkStart w:id="480" w:name="_Toc467512070"/>
      <w:bookmarkStart w:id="481" w:name="_Toc8821"/>
      <w:r>
        <w:rPr>
          <w:b/>
          <w:bCs/>
        </w:rPr>
        <w:t>环境管理计划</w:t>
      </w:r>
      <w:bookmarkEnd w:id="480"/>
      <w:bookmarkEnd w:id="481"/>
    </w:p>
    <w:p>
      <w:pPr>
        <w:pStyle w:val="10"/>
        <w:ind w:firstLine="480"/>
      </w:pPr>
      <w:r>
        <w:t>（1）环境管理计划内容</w:t>
      </w:r>
    </w:p>
    <w:p>
      <w:pPr>
        <w:pStyle w:val="10"/>
        <w:ind w:firstLine="480"/>
      </w:pPr>
      <w:r>
        <w:t>为使本项目环境问题能及时得到落实，特制定如下环境管理计划（表8.1-1、表8.1-2）：</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8.1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施工期环境管理计划</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291"/>
        <w:gridCol w:w="5307"/>
        <w:gridCol w:w="1326"/>
        <w:gridCol w:w="1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703" w:type="pct"/>
            <w:vAlign w:val="center"/>
          </w:tcPr>
          <w:p>
            <w:pPr>
              <w:pStyle w:val="1132"/>
              <w:rPr>
                <w:b/>
                <w:bCs w:val="0"/>
              </w:rPr>
            </w:pPr>
            <w:r>
              <w:rPr>
                <w:b/>
                <w:bCs w:val="0"/>
              </w:rPr>
              <w:t>环境问题</w:t>
            </w:r>
          </w:p>
        </w:tc>
        <w:tc>
          <w:tcPr>
            <w:tcW w:w="2889" w:type="pct"/>
            <w:vAlign w:val="center"/>
          </w:tcPr>
          <w:p>
            <w:pPr>
              <w:pStyle w:val="1132"/>
              <w:rPr>
                <w:b/>
                <w:bCs w:val="0"/>
              </w:rPr>
            </w:pPr>
            <w:r>
              <w:rPr>
                <w:b/>
                <w:bCs w:val="0"/>
              </w:rPr>
              <w:t>减缓措施</w:t>
            </w:r>
          </w:p>
        </w:tc>
        <w:tc>
          <w:tcPr>
            <w:tcW w:w="722" w:type="pct"/>
            <w:vAlign w:val="center"/>
          </w:tcPr>
          <w:p>
            <w:pPr>
              <w:pStyle w:val="1132"/>
              <w:rPr>
                <w:b/>
                <w:bCs w:val="0"/>
              </w:rPr>
            </w:pPr>
            <w:r>
              <w:rPr>
                <w:b/>
                <w:bCs w:val="0"/>
              </w:rPr>
              <w:t>实施机构</w:t>
            </w:r>
          </w:p>
        </w:tc>
        <w:tc>
          <w:tcPr>
            <w:tcW w:w="686" w:type="pct"/>
            <w:vAlign w:val="center"/>
          </w:tcPr>
          <w:p>
            <w:pPr>
              <w:pStyle w:val="1132"/>
              <w:rPr>
                <w:b/>
                <w:bCs w:val="0"/>
              </w:rPr>
            </w:pPr>
            <w:r>
              <w:rPr>
                <w:b/>
                <w:bCs w:val="0"/>
              </w:rPr>
              <w:t>管理机构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703" w:type="pct"/>
            <w:vAlign w:val="center"/>
          </w:tcPr>
          <w:p>
            <w:pPr>
              <w:pStyle w:val="1132"/>
            </w:pPr>
            <w:r>
              <w:t>水土流失</w:t>
            </w:r>
          </w:p>
        </w:tc>
        <w:tc>
          <w:tcPr>
            <w:tcW w:w="2889" w:type="pct"/>
            <w:vAlign w:val="center"/>
          </w:tcPr>
          <w:p>
            <w:pPr>
              <w:pStyle w:val="1132"/>
              <w:jc w:val="left"/>
            </w:pPr>
            <w:r>
              <w:t>1、填挖路段应严格落实设计的防护、排水工程设施及本报告提出的水土保持措施；</w:t>
            </w:r>
          </w:p>
          <w:p>
            <w:pPr>
              <w:pStyle w:val="1132"/>
              <w:jc w:val="left"/>
            </w:pPr>
            <w:r>
              <w:t>2、对施工临时占地，应将原有土地表层耕作土推在一旁堆放，待施工完毕，将这些熟土再推平，恢复到土地表层，即复土还耕；</w:t>
            </w:r>
          </w:p>
          <w:p>
            <w:pPr>
              <w:pStyle w:val="1132"/>
              <w:jc w:val="left"/>
            </w:pPr>
            <w:r>
              <w:t>3、加强管理，不准砍伐征地以外的树木，注意保护沿线植被；</w:t>
            </w:r>
          </w:p>
          <w:p>
            <w:pPr>
              <w:pStyle w:val="1132"/>
              <w:jc w:val="left"/>
            </w:pPr>
            <w:r>
              <w:t>4、施工营地应尽量选择设置在非耕地上，以减少耕地、林地、菜地等的损失；</w:t>
            </w:r>
          </w:p>
          <w:p>
            <w:pPr>
              <w:pStyle w:val="1132"/>
              <w:jc w:val="left"/>
            </w:pPr>
            <w:r>
              <w:t>5、工程弃渣的处置不得损害农田，不得阻滞河水的流动，</w:t>
            </w:r>
            <w:r>
              <w:rPr>
                <w:rFonts w:hint="eastAsia"/>
              </w:rPr>
              <w:t>应充分利用现有弃土场</w:t>
            </w:r>
            <w:r>
              <w:t>；</w:t>
            </w:r>
          </w:p>
          <w:p>
            <w:pPr>
              <w:pStyle w:val="1132"/>
              <w:jc w:val="left"/>
            </w:pPr>
            <w:r>
              <w:t>6、加强对施工人员的教育和管理工作，禁止破坏路线选线范围之外的地表植被。</w:t>
            </w:r>
          </w:p>
        </w:tc>
        <w:tc>
          <w:tcPr>
            <w:tcW w:w="722" w:type="pct"/>
            <w:vAlign w:val="center"/>
          </w:tcPr>
          <w:p>
            <w:pPr>
              <w:pStyle w:val="1132"/>
            </w:pPr>
            <w:r>
              <w:t>施工单位</w:t>
            </w:r>
          </w:p>
        </w:tc>
        <w:tc>
          <w:tcPr>
            <w:tcW w:w="686" w:type="pct"/>
            <w:vAlign w:val="center"/>
          </w:tcPr>
          <w:p>
            <w:pPr>
              <w:pStyle w:val="1132"/>
            </w:pPr>
            <w: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703" w:type="pct"/>
            <w:vAlign w:val="center"/>
          </w:tcPr>
          <w:p>
            <w:pPr>
              <w:pStyle w:val="1132"/>
            </w:pPr>
            <w:r>
              <w:t>施工机械噪声</w:t>
            </w:r>
          </w:p>
        </w:tc>
        <w:tc>
          <w:tcPr>
            <w:tcW w:w="2889" w:type="pct"/>
            <w:vAlign w:val="center"/>
          </w:tcPr>
          <w:p>
            <w:pPr>
              <w:pStyle w:val="1132"/>
              <w:jc w:val="left"/>
            </w:pPr>
            <w:r>
              <w:t>1、严禁夜间（22:00～6:00）在沿线的声敏感点附近进行高噪声施工，如因工程原因难以避免，则需上报</w:t>
            </w:r>
            <w:r>
              <w:rPr>
                <w:rFonts w:hint="eastAsia"/>
              </w:rPr>
              <w:t>当地生态主管部门</w:t>
            </w:r>
            <w:r>
              <w:t>通过批准后方可进行；</w:t>
            </w:r>
          </w:p>
          <w:p>
            <w:pPr>
              <w:pStyle w:val="1132"/>
              <w:jc w:val="left"/>
            </w:pPr>
            <w:r>
              <w:t>2、合理选择运输路线，并尽量在昼间进行运输，以减少对运输道路两侧居民夜间休息的影响；此外，在途经现有村镇、学校和医院时，应减速慢行、禁止鸣笛，需新修筑的施工便道应尽量远离村镇等敏感建筑物；</w:t>
            </w:r>
          </w:p>
          <w:p>
            <w:pPr>
              <w:pStyle w:val="1132"/>
              <w:jc w:val="left"/>
            </w:pPr>
            <w:r>
              <w:t>3、加强与道路交叉处的施工组织和施工管理，避免出现对现有交通的严重干扰，以避免出现车辆鸣笛扰民现象；</w:t>
            </w:r>
          </w:p>
          <w:p>
            <w:pPr>
              <w:pStyle w:val="1132"/>
              <w:jc w:val="left"/>
            </w:pPr>
            <w:r>
              <w:t>4、距公路很近、规模较大且受施工期噪声影响严重的敏感点，可以采取临时性的降噪措施，如设置临时降噪声屏障等措施。</w:t>
            </w:r>
          </w:p>
          <w:p>
            <w:pPr>
              <w:pStyle w:val="1132"/>
              <w:jc w:val="left"/>
            </w:pPr>
            <w:r>
              <w:t>5、采用低噪声机械设备，施工过程经常对设备进行维修保养，避免异常噪声；</w:t>
            </w:r>
          </w:p>
          <w:p>
            <w:pPr>
              <w:pStyle w:val="1132"/>
              <w:jc w:val="left"/>
            </w:pPr>
            <w:r>
              <w:t>6、对于桥梁段还要关注打桩的振动和噪声影响，夜间应该禁止打桩；</w:t>
            </w:r>
          </w:p>
          <w:p>
            <w:pPr>
              <w:pStyle w:val="1132"/>
              <w:jc w:val="left"/>
            </w:pPr>
            <w:r>
              <w:t>7、加强施工期噪声监测，发现施工噪声超标并对附近居民点产生影响应及时采取有效的噪声污染防治措施；</w:t>
            </w:r>
          </w:p>
          <w:p>
            <w:pPr>
              <w:pStyle w:val="1132"/>
              <w:jc w:val="left"/>
            </w:pPr>
            <w:r>
              <w:t>8、在施工场地附近设置居民投诉热线，及时接受居民反映，采取相应的措施和协调沟通。</w:t>
            </w:r>
          </w:p>
        </w:tc>
        <w:tc>
          <w:tcPr>
            <w:tcW w:w="722" w:type="pct"/>
            <w:vAlign w:val="center"/>
          </w:tcPr>
          <w:p>
            <w:pPr>
              <w:pStyle w:val="1132"/>
            </w:pPr>
            <w:r>
              <w:t>施工单位</w:t>
            </w:r>
          </w:p>
        </w:tc>
        <w:tc>
          <w:tcPr>
            <w:tcW w:w="686" w:type="pct"/>
            <w:vAlign w:val="center"/>
          </w:tcPr>
          <w:p>
            <w:pPr>
              <w:pStyle w:val="1132"/>
            </w:pPr>
            <w: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703" w:type="pct"/>
            <w:vAlign w:val="center"/>
          </w:tcPr>
          <w:p>
            <w:pPr>
              <w:pStyle w:val="1132"/>
            </w:pPr>
            <w:r>
              <w:t>大气污染</w:t>
            </w:r>
          </w:p>
        </w:tc>
        <w:tc>
          <w:tcPr>
            <w:tcW w:w="2889" w:type="pct"/>
            <w:vAlign w:val="center"/>
          </w:tcPr>
          <w:p>
            <w:pPr>
              <w:pStyle w:val="1132"/>
              <w:jc w:val="left"/>
              <w:rPr>
                <w:rFonts w:hint="eastAsia" w:eastAsia="宋体"/>
                <w:lang w:eastAsia="zh-CN"/>
              </w:rPr>
            </w:pPr>
            <w:r>
              <w:t>1、</w:t>
            </w:r>
            <w:r>
              <w:rPr>
                <w:rFonts w:hint="eastAsia"/>
              </w:rPr>
              <w:t>对物料拌合站应设置在距离敏感区、敏感点300m 以外，并采用集中拌和方式</w:t>
            </w:r>
            <w:r>
              <w:rPr>
                <w:rFonts w:hint="eastAsia"/>
                <w:lang w:eastAsia="zh-CN"/>
              </w:rPr>
              <w:t>；</w:t>
            </w:r>
          </w:p>
          <w:p>
            <w:pPr>
              <w:pStyle w:val="1132"/>
              <w:jc w:val="left"/>
            </w:pPr>
            <w:r>
              <w:rPr>
                <w:rFonts w:hint="eastAsia"/>
                <w:lang w:val="en-US" w:eastAsia="zh-CN"/>
              </w:rPr>
              <w:t>2、</w:t>
            </w:r>
            <w:r>
              <w:t>水泥、砂、石灰等易洒落散装物料运输和临时存放，应采取防风遮盖措施，以减少扬尘；</w:t>
            </w:r>
          </w:p>
          <w:p>
            <w:pPr>
              <w:pStyle w:val="1132"/>
              <w:jc w:val="left"/>
            </w:pPr>
            <w:r>
              <w:rPr>
                <w:rFonts w:hint="eastAsia"/>
                <w:lang w:val="en-US" w:eastAsia="zh-CN"/>
              </w:rPr>
              <w:t>3</w:t>
            </w:r>
            <w:r>
              <w:t>、施工单位配备一定数量的洒水车，对路段内的施工道路或临时道路经常进行洒水处理，以减轻扬尘污染；</w:t>
            </w:r>
          </w:p>
          <w:p>
            <w:pPr>
              <w:pStyle w:val="1132"/>
              <w:jc w:val="left"/>
            </w:pPr>
            <w:r>
              <w:rPr>
                <w:rFonts w:hint="eastAsia"/>
                <w:lang w:val="en-US" w:eastAsia="zh-CN"/>
              </w:rPr>
              <w:t>4</w:t>
            </w:r>
            <w:r>
              <w:rPr>
                <w:rFonts w:hint="eastAsia"/>
              </w:rPr>
              <w:t>、施工场地扬尘治理应满足“六个百分百”治理标准。</w:t>
            </w:r>
          </w:p>
        </w:tc>
        <w:tc>
          <w:tcPr>
            <w:tcW w:w="722" w:type="pct"/>
            <w:vAlign w:val="center"/>
          </w:tcPr>
          <w:p>
            <w:pPr>
              <w:pStyle w:val="1132"/>
            </w:pPr>
            <w:r>
              <w:t>施工单位</w:t>
            </w:r>
          </w:p>
        </w:tc>
        <w:tc>
          <w:tcPr>
            <w:tcW w:w="686" w:type="pct"/>
            <w:vAlign w:val="center"/>
          </w:tcPr>
          <w:p>
            <w:pPr>
              <w:pStyle w:val="1132"/>
            </w:pPr>
            <w: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703" w:type="pct"/>
            <w:vAlign w:val="center"/>
          </w:tcPr>
          <w:p>
            <w:pPr>
              <w:pStyle w:val="1132"/>
            </w:pPr>
            <w:r>
              <w:t>地表水污染</w:t>
            </w:r>
          </w:p>
        </w:tc>
        <w:tc>
          <w:tcPr>
            <w:tcW w:w="2889" w:type="pct"/>
            <w:vAlign w:val="center"/>
          </w:tcPr>
          <w:p>
            <w:pPr>
              <w:pStyle w:val="1132"/>
              <w:numPr>
                <w:ilvl w:val="0"/>
                <w:numId w:val="17"/>
              </w:numPr>
              <w:spacing w:line="240" w:lineRule="auto"/>
              <w:ind w:left="0" w:firstLine="0"/>
              <w:jc w:val="left"/>
            </w:pPr>
            <w:r>
              <w:t>桥梁施工挖出的淤泥、渣土等不得随意弃入河流、沟渠，以减小桥梁施工对跨越水体的影响；</w:t>
            </w:r>
          </w:p>
          <w:p>
            <w:pPr>
              <w:pStyle w:val="1132"/>
              <w:numPr>
                <w:ilvl w:val="0"/>
                <w:numId w:val="17"/>
              </w:numPr>
              <w:spacing w:line="240" w:lineRule="auto"/>
              <w:ind w:left="0" w:firstLine="0"/>
              <w:jc w:val="left"/>
            </w:pPr>
            <w:r>
              <w:t>桥梁施工营地应尽量远离水体，若不得不设在水体附近，其产生的生活污水和施工废水严禁直接排入水体；</w:t>
            </w:r>
          </w:p>
          <w:p>
            <w:pPr>
              <w:pStyle w:val="1132"/>
              <w:numPr>
                <w:ilvl w:val="0"/>
                <w:numId w:val="17"/>
              </w:numPr>
              <w:spacing w:line="240" w:lineRule="auto"/>
              <w:ind w:left="0" w:firstLine="0"/>
              <w:jc w:val="left"/>
            </w:pPr>
            <w:r>
              <w:t>桥梁施工过程中施工机械须严格检查，防止油料泄漏，禁止将废油、施工垃圾等抛入水体；</w:t>
            </w:r>
          </w:p>
          <w:p>
            <w:pPr>
              <w:pStyle w:val="1132"/>
              <w:numPr>
                <w:ilvl w:val="0"/>
                <w:numId w:val="17"/>
              </w:numPr>
              <w:spacing w:line="240" w:lineRule="auto"/>
              <w:ind w:left="0" w:firstLine="0"/>
              <w:jc w:val="left"/>
            </w:pPr>
            <w:r>
              <w:t>跨越沿线河流的施工弃浆、施工材料禁止堆置于河堤岸内侧或最高水位线以下，禁止在上述区域建立施工营地、建材堆场、预制厂、拌合站等，这些临时设施选址应当远离河堤；</w:t>
            </w:r>
          </w:p>
          <w:p>
            <w:pPr>
              <w:pStyle w:val="1132"/>
              <w:numPr>
                <w:ilvl w:val="0"/>
                <w:numId w:val="17"/>
              </w:numPr>
              <w:spacing w:line="240" w:lineRule="auto"/>
              <w:ind w:left="0" w:firstLine="0"/>
              <w:jc w:val="left"/>
            </w:pPr>
            <w:r>
              <w:t>施工营地及施工管理区需设污水处理设施及生活垃圾集中堆放场地，污染物不得随意排放，严禁直接排入河流；</w:t>
            </w:r>
          </w:p>
          <w:p>
            <w:pPr>
              <w:pStyle w:val="1132"/>
              <w:numPr>
                <w:ilvl w:val="0"/>
                <w:numId w:val="17"/>
              </w:numPr>
              <w:spacing w:line="240" w:lineRule="auto"/>
              <w:ind w:left="0" w:firstLine="0"/>
              <w:jc w:val="left"/>
            </w:pPr>
            <w:r>
              <w:t>加强施工人员环保意识教育，严禁将废油、施工垃圾等随意抛入水体；</w:t>
            </w:r>
          </w:p>
          <w:p>
            <w:pPr>
              <w:pStyle w:val="1132"/>
              <w:numPr>
                <w:ilvl w:val="0"/>
                <w:numId w:val="17"/>
              </w:numPr>
              <w:spacing w:line="240" w:lineRule="auto"/>
              <w:ind w:left="0" w:firstLine="0"/>
              <w:jc w:val="left"/>
            </w:pPr>
            <w:r>
              <w:t>对施工现场的水质监测；</w:t>
            </w:r>
          </w:p>
        </w:tc>
        <w:tc>
          <w:tcPr>
            <w:tcW w:w="722" w:type="pct"/>
            <w:vAlign w:val="center"/>
          </w:tcPr>
          <w:p>
            <w:pPr>
              <w:pStyle w:val="1132"/>
            </w:pPr>
            <w:r>
              <w:t>施工单位</w:t>
            </w:r>
          </w:p>
        </w:tc>
        <w:tc>
          <w:tcPr>
            <w:tcW w:w="686" w:type="pct"/>
            <w:vAlign w:val="center"/>
          </w:tcPr>
          <w:p>
            <w:pPr>
              <w:pStyle w:val="1132"/>
            </w:pPr>
            <w: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703" w:type="pct"/>
            <w:vAlign w:val="center"/>
          </w:tcPr>
          <w:p>
            <w:pPr>
              <w:pStyle w:val="1132"/>
            </w:pPr>
            <w:r>
              <w:t>固体废物</w:t>
            </w:r>
          </w:p>
        </w:tc>
        <w:tc>
          <w:tcPr>
            <w:tcW w:w="2889" w:type="pct"/>
            <w:vAlign w:val="center"/>
          </w:tcPr>
          <w:p>
            <w:pPr>
              <w:pStyle w:val="1132"/>
              <w:jc w:val="left"/>
            </w:pPr>
            <w:r>
              <w:t>1、生活垃圾和建筑垃圾应集中收集，定期清空；</w:t>
            </w:r>
          </w:p>
          <w:p>
            <w:pPr>
              <w:pStyle w:val="1132"/>
              <w:jc w:val="left"/>
            </w:pPr>
            <w:r>
              <w:t>2、</w:t>
            </w:r>
            <w:r>
              <w:rPr>
                <w:rFonts w:hint="eastAsia"/>
              </w:rPr>
              <w:t>充分利用现状已有弃土场，弃土场采用统一规划，集中弃土原则，弃土过程中应该分层弃土，先整平，再压实应</w:t>
            </w:r>
            <w:r>
              <w:t>；</w:t>
            </w:r>
          </w:p>
        </w:tc>
        <w:tc>
          <w:tcPr>
            <w:tcW w:w="722" w:type="pct"/>
            <w:vAlign w:val="center"/>
          </w:tcPr>
          <w:p>
            <w:pPr>
              <w:pStyle w:val="1132"/>
            </w:pPr>
            <w:r>
              <w:t>施工单位</w:t>
            </w:r>
          </w:p>
        </w:tc>
        <w:tc>
          <w:tcPr>
            <w:tcW w:w="686" w:type="pct"/>
            <w:vAlign w:val="center"/>
          </w:tcPr>
          <w:p>
            <w:pPr>
              <w:pStyle w:val="1132"/>
            </w:pPr>
            <w: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Pr>
        <w:tc>
          <w:tcPr>
            <w:tcW w:w="703" w:type="pct"/>
            <w:vAlign w:val="center"/>
          </w:tcPr>
          <w:p>
            <w:pPr>
              <w:pStyle w:val="1132"/>
            </w:pPr>
            <w:r>
              <w:t>生态环境</w:t>
            </w:r>
          </w:p>
        </w:tc>
        <w:tc>
          <w:tcPr>
            <w:tcW w:w="2889" w:type="pct"/>
            <w:vAlign w:val="center"/>
          </w:tcPr>
          <w:p>
            <w:pPr>
              <w:pStyle w:val="1132"/>
              <w:jc w:val="left"/>
            </w:pPr>
            <w:r>
              <w:t>1、保护耕地和植被，减少公路临时占地，作好临时用地的恢复工作；</w:t>
            </w:r>
          </w:p>
          <w:p>
            <w:pPr>
              <w:pStyle w:val="1132"/>
              <w:jc w:val="left"/>
            </w:pPr>
            <w:r>
              <w:t>2、施工前应请林业人员对作业带及周边植物进行辨别，如有重点保护植物应考虑避让或移植保护；</w:t>
            </w:r>
          </w:p>
          <w:p>
            <w:pPr>
              <w:pStyle w:val="1132"/>
              <w:jc w:val="left"/>
            </w:pPr>
            <w:r>
              <w:t>3、施工时注意保护大桥下的自然植被，施工后在附近补种一定数量的本地乔木并减少人为活动的痕迹，使杂草、灌木尽早恢复其自然景观，有利于动物通行；</w:t>
            </w:r>
          </w:p>
          <w:p>
            <w:pPr>
              <w:pStyle w:val="1132"/>
              <w:jc w:val="left"/>
            </w:pPr>
            <w:r>
              <w:t>4、施工前应对施工人员进行培训，通过海报、图片等方式使施工人员具备一定的保护动物辨别能力，加强动物保护法律意识；</w:t>
            </w:r>
          </w:p>
          <w:p>
            <w:pPr>
              <w:pStyle w:val="1132"/>
              <w:jc w:val="left"/>
            </w:pPr>
            <w:r>
              <w:t>5、施工过程中一旦发现受伤野生动物，应及时与当地野保站联系，进行救治；</w:t>
            </w:r>
          </w:p>
          <w:p>
            <w:pPr>
              <w:pStyle w:val="1132"/>
              <w:jc w:val="left"/>
            </w:pPr>
            <w:r>
              <w:t>6、林缘带、自然水体周边等生境多样化的区域，多为野生动物集中的区域，应尽量避免改变自然景观，保护重要生境；</w:t>
            </w:r>
          </w:p>
          <w:p>
            <w:pPr>
              <w:pStyle w:val="1132"/>
              <w:jc w:val="left"/>
            </w:pPr>
            <w:r>
              <w:rPr>
                <w:rFonts w:hint="eastAsia"/>
              </w:rPr>
              <w:t>7</w:t>
            </w:r>
            <w:r>
              <w:t>、对弃</w:t>
            </w:r>
            <w:r>
              <w:rPr>
                <w:rFonts w:hint="eastAsia"/>
              </w:rPr>
              <w:t>土</w:t>
            </w:r>
            <w:r>
              <w:t>场采取水土保持措施，工程结束后及时恢复。</w:t>
            </w:r>
          </w:p>
        </w:tc>
        <w:tc>
          <w:tcPr>
            <w:tcW w:w="722" w:type="pct"/>
            <w:vAlign w:val="center"/>
          </w:tcPr>
          <w:p>
            <w:pPr>
              <w:pStyle w:val="1132"/>
            </w:pPr>
            <w:r>
              <w:t>施工单位</w:t>
            </w:r>
          </w:p>
        </w:tc>
        <w:tc>
          <w:tcPr>
            <w:tcW w:w="686" w:type="pct"/>
            <w:vAlign w:val="center"/>
          </w:tcPr>
          <w:p>
            <w:pPr>
              <w:pStyle w:val="1132"/>
            </w:pPr>
            <w:r>
              <w:t>建设单位</w:t>
            </w:r>
          </w:p>
        </w:tc>
      </w:tr>
    </w:tbl>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8.1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营运期环境管理计划</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291"/>
        <w:gridCol w:w="5307"/>
        <w:gridCol w:w="1326"/>
        <w:gridCol w:w="1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703" w:type="pct"/>
            <w:vAlign w:val="center"/>
          </w:tcPr>
          <w:p>
            <w:pPr>
              <w:pStyle w:val="1132"/>
              <w:rPr>
                <w:b/>
                <w:bCs w:val="0"/>
              </w:rPr>
            </w:pPr>
            <w:r>
              <w:rPr>
                <w:b/>
                <w:bCs w:val="0"/>
              </w:rPr>
              <w:t>环境问题</w:t>
            </w:r>
          </w:p>
        </w:tc>
        <w:tc>
          <w:tcPr>
            <w:tcW w:w="2889" w:type="pct"/>
            <w:vAlign w:val="center"/>
          </w:tcPr>
          <w:p>
            <w:pPr>
              <w:pStyle w:val="1132"/>
              <w:rPr>
                <w:b/>
                <w:bCs w:val="0"/>
              </w:rPr>
            </w:pPr>
            <w:r>
              <w:rPr>
                <w:b/>
                <w:bCs w:val="0"/>
              </w:rPr>
              <w:t>减缓措施</w:t>
            </w:r>
          </w:p>
        </w:tc>
        <w:tc>
          <w:tcPr>
            <w:tcW w:w="722" w:type="pct"/>
            <w:vAlign w:val="center"/>
          </w:tcPr>
          <w:p>
            <w:pPr>
              <w:pStyle w:val="1132"/>
              <w:rPr>
                <w:b/>
                <w:bCs w:val="0"/>
              </w:rPr>
            </w:pPr>
            <w:r>
              <w:rPr>
                <w:b/>
                <w:bCs w:val="0"/>
              </w:rPr>
              <w:t>实施机构</w:t>
            </w:r>
          </w:p>
        </w:tc>
        <w:tc>
          <w:tcPr>
            <w:tcW w:w="686" w:type="pct"/>
            <w:vAlign w:val="center"/>
          </w:tcPr>
          <w:p>
            <w:pPr>
              <w:pStyle w:val="1132"/>
              <w:rPr>
                <w:b/>
                <w:bCs w:val="0"/>
              </w:rPr>
            </w:pPr>
            <w:r>
              <w:rPr>
                <w:b/>
                <w:bCs w:val="0"/>
              </w:rPr>
              <w:t>管理机构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703" w:type="pct"/>
            <w:vAlign w:val="center"/>
          </w:tcPr>
          <w:p>
            <w:pPr>
              <w:pStyle w:val="1132"/>
            </w:pPr>
            <w:r>
              <w:t>绿化、美化路容景观</w:t>
            </w:r>
          </w:p>
        </w:tc>
        <w:tc>
          <w:tcPr>
            <w:tcW w:w="2889" w:type="pct"/>
            <w:vAlign w:val="center"/>
          </w:tcPr>
          <w:p>
            <w:pPr>
              <w:pStyle w:val="1132"/>
              <w:jc w:val="both"/>
            </w:pPr>
            <w:r>
              <w:t>实施绿色通道工程，工程沿线两侧建绿化带；</w:t>
            </w:r>
          </w:p>
        </w:tc>
        <w:tc>
          <w:tcPr>
            <w:tcW w:w="722" w:type="pct"/>
            <w:vAlign w:val="center"/>
          </w:tcPr>
          <w:p>
            <w:pPr>
              <w:pStyle w:val="1132"/>
            </w:pPr>
            <w:r>
              <w:t>公路管理单位</w:t>
            </w:r>
          </w:p>
        </w:tc>
        <w:tc>
          <w:tcPr>
            <w:tcW w:w="686" w:type="pct"/>
            <w:vAlign w:val="center"/>
          </w:tcPr>
          <w:p>
            <w:pPr>
              <w:pStyle w:val="1132"/>
            </w:pPr>
            <w:r>
              <w:t>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703" w:type="pct"/>
            <w:vAlign w:val="center"/>
          </w:tcPr>
          <w:p>
            <w:pPr>
              <w:pStyle w:val="1132"/>
            </w:pPr>
            <w:r>
              <w:t>交通噪声及空气污染</w:t>
            </w:r>
          </w:p>
        </w:tc>
        <w:tc>
          <w:tcPr>
            <w:tcW w:w="2889" w:type="pct"/>
            <w:vAlign w:val="center"/>
          </w:tcPr>
          <w:p>
            <w:pPr>
              <w:pStyle w:val="1132"/>
              <w:jc w:val="both"/>
            </w:pPr>
            <w:r>
              <w:t>1、选择有代表性的监测点进行监测，根据监测结果确定采取降噪措施；</w:t>
            </w:r>
          </w:p>
          <w:p>
            <w:pPr>
              <w:pStyle w:val="1132"/>
              <w:jc w:val="both"/>
            </w:pPr>
            <w:r>
              <w:t>2、考虑今后</w:t>
            </w:r>
            <w:r>
              <w:rPr>
                <w:rFonts w:hint="eastAsia"/>
              </w:rPr>
              <w:t>项目所在地</w:t>
            </w:r>
            <w:r>
              <w:t>的发展，在道</w:t>
            </w:r>
            <w:r>
              <w:rPr>
                <w:szCs w:val="21"/>
              </w:rPr>
              <w:t>路边界线</w:t>
            </w:r>
            <w:r>
              <w:t>两侧新建住宅、学校时落实噪声</w:t>
            </w:r>
            <w:r>
              <w:rPr>
                <w:szCs w:val="21"/>
              </w:rPr>
              <w:t>达标边界线退</w:t>
            </w:r>
            <w:r>
              <w:t>让距离；</w:t>
            </w:r>
          </w:p>
          <w:p>
            <w:pPr>
              <w:pStyle w:val="1132"/>
              <w:jc w:val="both"/>
            </w:pPr>
            <w:r>
              <w:t>3、根据交通量增长情况实施监测计划，对交通噪声超标路段，视情况采取必要减缓措施；</w:t>
            </w:r>
          </w:p>
          <w:p>
            <w:pPr>
              <w:pStyle w:val="1132"/>
              <w:jc w:val="both"/>
              <w:rPr>
                <w:rFonts w:hint="eastAsia"/>
              </w:rPr>
            </w:pPr>
            <w:r>
              <w:t>4、加强组织管理，禁止车况差、超载、装卸物品遮盖不严容易洒落的车辆上路；</w:t>
            </w:r>
          </w:p>
        </w:tc>
        <w:tc>
          <w:tcPr>
            <w:tcW w:w="722" w:type="pct"/>
            <w:vAlign w:val="center"/>
          </w:tcPr>
          <w:p>
            <w:pPr>
              <w:pStyle w:val="1132"/>
            </w:pPr>
            <w:r>
              <w:t>公路管理单位及地方政府</w:t>
            </w:r>
          </w:p>
        </w:tc>
        <w:tc>
          <w:tcPr>
            <w:tcW w:w="686" w:type="pct"/>
            <w:vAlign w:val="center"/>
          </w:tcPr>
          <w:p>
            <w:pPr>
              <w:pStyle w:val="1132"/>
            </w:pPr>
            <w:r>
              <w:t>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703" w:type="pct"/>
            <w:vAlign w:val="center"/>
          </w:tcPr>
          <w:p>
            <w:pPr>
              <w:pStyle w:val="1132"/>
            </w:pPr>
            <w:r>
              <w:t>危险品事故风险</w:t>
            </w:r>
          </w:p>
        </w:tc>
        <w:tc>
          <w:tcPr>
            <w:tcW w:w="2889" w:type="pct"/>
            <w:vAlign w:val="center"/>
          </w:tcPr>
          <w:p>
            <w:pPr>
              <w:pStyle w:val="1132"/>
              <w:jc w:val="both"/>
            </w:pPr>
            <w:r>
              <w:t>1、设立警示标志，严禁运输危险品的车辆驶入相关路段；</w:t>
            </w:r>
          </w:p>
          <w:p>
            <w:pPr>
              <w:pStyle w:val="1132"/>
              <w:jc w:val="both"/>
            </w:pPr>
            <w:r>
              <w:t>2、由公路管理单位牵头、由</w:t>
            </w:r>
            <w:r>
              <w:rPr>
                <w:rFonts w:hint="eastAsia"/>
              </w:rPr>
              <w:t>当地市</w:t>
            </w:r>
            <w:r>
              <w:t>政府及公安、消防、环保部门组成应急领导小组，专门处理危险品泄漏风险事故；</w:t>
            </w:r>
          </w:p>
          <w:p>
            <w:pPr>
              <w:pStyle w:val="1132"/>
              <w:jc w:val="both"/>
            </w:pPr>
            <w:r>
              <w:t>3、如发生危险品意外溢出事件，应立即通知有关部门，采取应急行动。</w:t>
            </w:r>
          </w:p>
        </w:tc>
        <w:tc>
          <w:tcPr>
            <w:tcW w:w="722" w:type="pct"/>
            <w:vAlign w:val="center"/>
          </w:tcPr>
          <w:p>
            <w:pPr>
              <w:pStyle w:val="1132"/>
            </w:pPr>
            <w:r>
              <w:t>公路管理单位及公安交通部门</w:t>
            </w:r>
          </w:p>
        </w:tc>
        <w:tc>
          <w:tcPr>
            <w:tcW w:w="686" w:type="pct"/>
            <w:vAlign w:val="center"/>
          </w:tcPr>
          <w:p>
            <w:pPr>
              <w:pStyle w:val="1132"/>
            </w:pPr>
            <w:r>
              <w:t>市生态环境局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703" w:type="pct"/>
            <w:vAlign w:val="center"/>
          </w:tcPr>
          <w:p>
            <w:pPr>
              <w:pStyle w:val="1132"/>
            </w:pPr>
            <w:r>
              <w:t>环境监测</w:t>
            </w:r>
          </w:p>
        </w:tc>
        <w:tc>
          <w:tcPr>
            <w:tcW w:w="2889" w:type="pct"/>
            <w:vAlign w:val="center"/>
          </w:tcPr>
          <w:p>
            <w:pPr>
              <w:pStyle w:val="1132"/>
              <w:jc w:val="both"/>
            </w:pPr>
            <w:r>
              <w:t>按照环境监测技术规范及</w:t>
            </w:r>
            <w:r>
              <w:rPr>
                <w:rFonts w:hint="eastAsia"/>
              </w:rPr>
              <w:t>生态环境部</w:t>
            </w:r>
            <w:r>
              <w:t>颁布的监测标准、方法执行；</w:t>
            </w:r>
          </w:p>
        </w:tc>
        <w:tc>
          <w:tcPr>
            <w:tcW w:w="722" w:type="pct"/>
            <w:vAlign w:val="center"/>
          </w:tcPr>
          <w:p>
            <w:pPr>
              <w:pStyle w:val="1132"/>
            </w:pPr>
            <w:r>
              <w:t>委托有资质的监测单位</w:t>
            </w:r>
          </w:p>
        </w:tc>
        <w:tc>
          <w:tcPr>
            <w:tcW w:w="686" w:type="pct"/>
            <w:vAlign w:val="center"/>
          </w:tcPr>
          <w:p>
            <w:pPr>
              <w:pStyle w:val="1132"/>
            </w:pPr>
            <w:r>
              <w:t>市生态环境局</w:t>
            </w:r>
          </w:p>
        </w:tc>
      </w:tr>
    </w:tbl>
    <w:p>
      <w:pPr>
        <w:pStyle w:val="10"/>
        <w:ind w:firstLine="480"/>
      </w:pPr>
      <w:r>
        <w:t>（2）环境管理计划实施和负责单位</w:t>
      </w:r>
    </w:p>
    <w:p>
      <w:pPr>
        <w:pStyle w:val="10"/>
        <w:ind w:firstLine="480"/>
      </w:pPr>
      <w:r>
        <w:t>项目计划和设计阶段的环境管理计划由项目设计和建设单位负责；施工期环境管理计划由项目建设单位负责，由项目建设的承包单位实施；营运期的环境管理计划由建设单位、</w:t>
      </w:r>
      <w:r>
        <w:rPr>
          <w:rFonts w:hint="eastAsia"/>
        </w:rPr>
        <w:t>蚌埠</w:t>
      </w:r>
      <w:r>
        <w:t>市</w:t>
      </w:r>
      <w:r>
        <w:rPr>
          <w:rFonts w:hint="eastAsia"/>
        </w:rPr>
        <w:t>生态环境</w:t>
      </w:r>
      <w:r>
        <w:t>局联合监督、实施。</w:t>
      </w:r>
    </w:p>
    <w:p>
      <w:pPr>
        <w:pStyle w:val="10"/>
        <w:ind w:firstLine="480"/>
      </w:pPr>
      <w:r>
        <w:t>（3）环境监理</w:t>
      </w:r>
    </w:p>
    <w:p>
      <w:pPr>
        <w:pStyle w:val="10"/>
        <w:ind w:firstLine="480"/>
      </w:pPr>
      <w:r>
        <w:t>项目施工期</w:t>
      </w:r>
      <w:r>
        <w:rPr>
          <w:rFonts w:hint="eastAsia"/>
        </w:rPr>
        <w:t>和营运期</w:t>
      </w:r>
      <w:r>
        <w:t>的环境监理由专门的环境监理工程师负责，主要内容如下：</w:t>
      </w:r>
    </w:p>
    <w:p>
      <w:pPr>
        <w:pStyle w:val="10"/>
        <w:ind w:firstLine="480"/>
      </w:pPr>
      <w:r>
        <w:rPr>
          <w:rFonts w:hint="eastAsia" w:ascii="宋体" w:hAnsi="宋体" w:cs="宋体"/>
        </w:rPr>
        <w:t>①</w:t>
      </w:r>
      <w:r>
        <w:t>有专人负责清理路面卫生，及时清除路面障碍物保证交通安全，由区域环卫部门负责。</w:t>
      </w:r>
    </w:p>
    <w:p>
      <w:pPr>
        <w:pStyle w:val="10"/>
        <w:ind w:firstLine="480"/>
      </w:pPr>
      <w:r>
        <w:rPr>
          <w:rFonts w:hint="eastAsia" w:ascii="宋体" w:hAnsi="宋体" w:cs="宋体"/>
        </w:rPr>
        <w:t>②</w:t>
      </w:r>
      <w:r>
        <w:t>定期维护、检查路标、警示牌和路灯照明，保证行车畅通。</w:t>
      </w:r>
    </w:p>
    <w:p>
      <w:pPr>
        <w:pStyle w:val="10"/>
        <w:ind w:firstLine="480"/>
      </w:pPr>
      <w:r>
        <w:rPr>
          <w:rFonts w:hint="eastAsia" w:ascii="宋体" w:hAnsi="宋体" w:cs="宋体"/>
        </w:rPr>
        <w:t>③</w:t>
      </w:r>
      <w:r>
        <w:t>道路两侧绿化带、隔离带、人行步道、树木要生长态势良好，无死株，病枯枝，造型植物保持优美形态，长青旺盛。</w:t>
      </w:r>
    </w:p>
    <w:p>
      <w:pPr>
        <w:pStyle w:val="7"/>
        <w:rPr>
          <w:b/>
          <w:bCs/>
          <w:sz w:val="28"/>
          <w:szCs w:val="28"/>
        </w:rPr>
      </w:pPr>
      <w:bookmarkStart w:id="482" w:name="_Toc467512071"/>
      <w:bookmarkStart w:id="483" w:name="_Toc30224"/>
      <w:bookmarkStart w:id="484" w:name="_Toc26324"/>
      <w:r>
        <w:rPr>
          <w:b/>
          <w:bCs/>
          <w:sz w:val="28"/>
          <w:szCs w:val="28"/>
        </w:rPr>
        <w:t>环境监测计划</w:t>
      </w:r>
      <w:bookmarkEnd w:id="482"/>
      <w:bookmarkEnd w:id="483"/>
      <w:bookmarkEnd w:id="484"/>
    </w:p>
    <w:p>
      <w:pPr>
        <w:pStyle w:val="8"/>
        <w:rPr>
          <w:b/>
          <w:bCs/>
        </w:rPr>
      </w:pPr>
      <w:bookmarkStart w:id="485" w:name="_Toc467512072"/>
      <w:bookmarkStart w:id="486" w:name="_Toc13580"/>
      <w:r>
        <w:rPr>
          <w:b/>
          <w:bCs/>
        </w:rPr>
        <w:t>制定目的</w:t>
      </w:r>
      <w:bookmarkEnd w:id="485"/>
      <w:bookmarkEnd w:id="486"/>
    </w:p>
    <w:p>
      <w:pPr>
        <w:pStyle w:val="10"/>
        <w:ind w:firstLine="480"/>
      </w:pPr>
      <w:r>
        <w:t>制定环境监测计划的目的是为了及时掌握工程环境污染状况，采取有效措施减轻和控制公路建设和营运造成的环境影响。建设单位能够根据监测结果，适时有针对性地调整环境保护行动计划。同时，为环保管理部门、行业管理部门加强环境管理提供科学的依据。</w:t>
      </w:r>
    </w:p>
    <w:p>
      <w:pPr>
        <w:pStyle w:val="8"/>
        <w:rPr>
          <w:b/>
          <w:bCs/>
        </w:rPr>
      </w:pPr>
      <w:bookmarkStart w:id="487" w:name="_Toc29409"/>
      <w:r>
        <w:rPr>
          <w:b/>
          <w:bCs/>
        </w:rPr>
        <w:t>监测计划</w:t>
      </w:r>
      <w:bookmarkEnd w:id="487"/>
    </w:p>
    <w:p>
      <w:pPr>
        <w:pStyle w:val="10"/>
        <w:ind w:firstLine="480"/>
      </w:pPr>
      <w:r>
        <w:t>监测重点为环境噪声、水质、生态和环境空气，常规监测要求定点和不定点、定时和不定时抽检相结合的方式进行。因此应根据施工时间，对不同监测点的监测时间进行适当调整。本项目环境监测计划见表8.2-1、表8.2-2、表8.2-3。</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8.2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rPr>
          <w:lang w:val="zh-CN"/>
        </w:rPr>
        <w:t xml:space="preserve">  环境空气监测计划</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32"/>
        <w:gridCol w:w="2683"/>
        <w:gridCol w:w="1516"/>
        <w:gridCol w:w="1884"/>
        <w:gridCol w:w="1228"/>
        <w:gridCol w:w="1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44" w:type="pct"/>
            <w:vAlign w:val="center"/>
          </w:tcPr>
          <w:p>
            <w:pPr>
              <w:pStyle w:val="1132"/>
              <w:rPr>
                <w:b/>
                <w:bCs w:val="0"/>
              </w:rPr>
            </w:pPr>
            <w:r>
              <w:rPr>
                <w:b/>
                <w:bCs w:val="0"/>
              </w:rPr>
              <w:t>阶段</w:t>
            </w:r>
          </w:p>
        </w:tc>
        <w:tc>
          <w:tcPr>
            <w:tcW w:w="1460" w:type="pct"/>
            <w:vAlign w:val="center"/>
          </w:tcPr>
          <w:p>
            <w:pPr>
              <w:pStyle w:val="1132"/>
              <w:rPr>
                <w:b/>
                <w:bCs w:val="0"/>
              </w:rPr>
            </w:pPr>
            <w:r>
              <w:rPr>
                <w:b/>
                <w:bCs w:val="0"/>
              </w:rPr>
              <w:t>监测点</w:t>
            </w:r>
          </w:p>
        </w:tc>
        <w:tc>
          <w:tcPr>
            <w:tcW w:w="825" w:type="pct"/>
            <w:vAlign w:val="center"/>
          </w:tcPr>
          <w:p>
            <w:pPr>
              <w:pStyle w:val="1132"/>
              <w:rPr>
                <w:b/>
                <w:bCs w:val="0"/>
              </w:rPr>
            </w:pPr>
            <w:r>
              <w:rPr>
                <w:b/>
                <w:bCs w:val="0"/>
              </w:rPr>
              <w:t>监测项目</w:t>
            </w:r>
          </w:p>
        </w:tc>
        <w:tc>
          <w:tcPr>
            <w:tcW w:w="1025" w:type="pct"/>
            <w:vAlign w:val="center"/>
          </w:tcPr>
          <w:p>
            <w:pPr>
              <w:pStyle w:val="1132"/>
              <w:rPr>
                <w:b/>
                <w:bCs w:val="0"/>
              </w:rPr>
            </w:pPr>
            <w:r>
              <w:rPr>
                <w:b/>
                <w:bCs w:val="0"/>
              </w:rPr>
              <w:t>监测频次</w:t>
            </w:r>
          </w:p>
        </w:tc>
        <w:tc>
          <w:tcPr>
            <w:tcW w:w="668" w:type="pct"/>
            <w:vAlign w:val="center"/>
          </w:tcPr>
          <w:p>
            <w:pPr>
              <w:pStyle w:val="1132"/>
              <w:rPr>
                <w:b/>
                <w:bCs w:val="0"/>
              </w:rPr>
            </w:pPr>
            <w:r>
              <w:rPr>
                <w:b/>
                <w:bCs w:val="0"/>
              </w:rPr>
              <w:t>设施机构</w:t>
            </w:r>
          </w:p>
        </w:tc>
        <w:tc>
          <w:tcPr>
            <w:tcW w:w="675" w:type="pct"/>
            <w:vAlign w:val="center"/>
          </w:tcPr>
          <w:p>
            <w:pPr>
              <w:pStyle w:val="1132"/>
              <w:rPr>
                <w:b/>
                <w:bCs w:val="0"/>
              </w:rPr>
            </w:pPr>
            <w:r>
              <w:rPr>
                <w:b/>
                <w:bCs w:val="0"/>
              </w:rPr>
              <w:t>负责机构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44" w:type="pct"/>
            <w:vAlign w:val="center"/>
          </w:tcPr>
          <w:p>
            <w:pPr>
              <w:pStyle w:val="1132"/>
            </w:pPr>
            <w:r>
              <w:t>施工期</w:t>
            </w:r>
          </w:p>
        </w:tc>
        <w:tc>
          <w:tcPr>
            <w:tcW w:w="1460" w:type="pct"/>
            <w:vAlign w:val="center"/>
          </w:tcPr>
          <w:p>
            <w:pPr>
              <w:pStyle w:val="1132"/>
            </w:pPr>
            <w:r>
              <w:rPr>
                <w:rFonts w:hint="eastAsia"/>
              </w:rPr>
              <w:t>选择公路沿线施工预制场、料场等附近200m范围内的环境敏感点；</w:t>
            </w:r>
          </w:p>
        </w:tc>
        <w:tc>
          <w:tcPr>
            <w:tcW w:w="825" w:type="pct"/>
            <w:vAlign w:val="center"/>
          </w:tcPr>
          <w:p>
            <w:pPr>
              <w:pStyle w:val="1132"/>
            </w:pPr>
            <w:r>
              <w:t>TSP</w:t>
            </w:r>
            <w:r>
              <w:rPr>
                <w:rFonts w:hint="eastAsia"/>
                <w:lang w:eastAsia="zh-CN"/>
              </w:rPr>
              <w:t>、</w:t>
            </w:r>
            <w:r>
              <w:rPr>
                <w:rFonts w:hint="eastAsia"/>
                <w:lang w:val="en-US" w:eastAsia="zh-CN"/>
              </w:rPr>
              <w:t>沥青烟气</w:t>
            </w:r>
            <w:r>
              <w:rPr>
                <w:rFonts w:hint="eastAsia"/>
              </w:rPr>
              <w:t>等</w:t>
            </w:r>
          </w:p>
        </w:tc>
        <w:tc>
          <w:tcPr>
            <w:tcW w:w="1025" w:type="pct"/>
            <w:vAlign w:val="center"/>
          </w:tcPr>
          <w:p>
            <w:pPr>
              <w:pStyle w:val="1132"/>
            </w:pPr>
            <w:r>
              <w:rPr>
                <w:rFonts w:hint="eastAsia"/>
              </w:rPr>
              <w:t>每天</w:t>
            </w:r>
            <w:r>
              <w:t>1次（具体视施工情况而变化</w:t>
            </w:r>
            <w:r>
              <w:rPr>
                <w:rFonts w:hint="eastAsia"/>
              </w:rPr>
              <w:t>）</w:t>
            </w:r>
          </w:p>
        </w:tc>
        <w:tc>
          <w:tcPr>
            <w:tcW w:w="668" w:type="pct"/>
            <w:vAlign w:val="center"/>
          </w:tcPr>
          <w:p>
            <w:pPr>
              <w:pStyle w:val="1132"/>
            </w:pPr>
            <w:r>
              <w:t>受委托的有资质单位</w:t>
            </w:r>
          </w:p>
        </w:tc>
        <w:tc>
          <w:tcPr>
            <w:tcW w:w="675" w:type="pct"/>
            <w:vAlign w:val="center"/>
          </w:tcPr>
          <w:p>
            <w:pPr>
              <w:pStyle w:val="1132"/>
            </w:pPr>
            <w:r>
              <w:t>建设单位</w:t>
            </w:r>
          </w:p>
        </w:tc>
      </w:tr>
    </w:tbl>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8.2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噪声监测计划</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91"/>
        <w:gridCol w:w="2455"/>
        <w:gridCol w:w="827"/>
        <w:gridCol w:w="1547"/>
        <w:gridCol w:w="928"/>
        <w:gridCol w:w="1082"/>
        <w:gridCol w:w="884"/>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67" w:type="pct"/>
            <w:vAlign w:val="center"/>
          </w:tcPr>
          <w:p>
            <w:pPr>
              <w:pStyle w:val="1132"/>
            </w:pPr>
            <w:r>
              <w:t>阶段</w:t>
            </w:r>
          </w:p>
        </w:tc>
        <w:tc>
          <w:tcPr>
            <w:tcW w:w="1336" w:type="pct"/>
            <w:vAlign w:val="center"/>
          </w:tcPr>
          <w:p>
            <w:pPr>
              <w:pStyle w:val="1132"/>
            </w:pPr>
            <w:r>
              <w:t>监测点</w:t>
            </w:r>
          </w:p>
        </w:tc>
        <w:tc>
          <w:tcPr>
            <w:tcW w:w="450" w:type="pct"/>
            <w:vAlign w:val="center"/>
          </w:tcPr>
          <w:p>
            <w:pPr>
              <w:pStyle w:val="1132"/>
            </w:pPr>
            <w:r>
              <w:t>监测项目</w:t>
            </w:r>
          </w:p>
        </w:tc>
        <w:tc>
          <w:tcPr>
            <w:tcW w:w="842" w:type="pct"/>
            <w:vAlign w:val="center"/>
          </w:tcPr>
          <w:p>
            <w:pPr>
              <w:pStyle w:val="1132"/>
            </w:pPr>
            <w:r>
              <w:t>监测频次</w:t>
            </w:r>
          </w:p>
        </w:tc>
        <w:tc>
          <w:tcPr>
            <w:tcW w:w="505" w:type="pct"/>
            <w:vAlign w:val="center"/>
          </w:tcPr>
          <w:p>
            <w:pPr>
              <w:pStyle w:val="1132"/>
            </w:pPr>
            <w:r>
              <w:t>监测历时</w:t>
            </w:r>
          </w:p>
        </w:tc>
        <w:tc>
          <w:tcPr>
            <w:tcW w:w="589" w:type="pct"/>
            <w:vAlign w:val="center"/>
          </w:tcPr>
          <w:p>
            <w:pPr>
              <w:pStyle w:val="1132"/>
            </w:pPr>
            <w:r>
              <w:t>采样时间</w:t>
            </w:r>
          </w:p>
        </w:tc>
        <w:tc>
          <w:tcPr>
            <w:tcW w:w="481" w:type="pct"/>
            <w:vAlign w:val="center"/>
          </w:tcPr>
          <w:p>
            <w:pPr>
              <w:pStyle w:val="1132"/>
            </w:pPr>
            <w:r>
              <w:t>设施机构</w:t>
            </w:r>
          </w:p>
        </w:tc>
        <w:tc>
          <w:tcPr>
            <w:tcW w:w="528" w:type="pct"/>
            <w:vAlign w:val="center"/>
          </w:tcPr>
          <w:p>
            <w:pPr>
              <w:pStyle w:val="1132"/>
            </w:pPr>
            <w:r>
              <w:t>负责机构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2" w:hRule="atLeast"/>
          <w:jc w:val="center"/>
        </w:trPr>
        <w:tc>
          <w:tcPr>
            <w:tcW w:w="267" w:type="pct"/>
            <w:vAlign w:val="center"/>
          </w:tcPr>
          <w:p>
            <w:pPr>
              <w:pStyle w:val="1132"/>
            </w:pPr>
            <w:r>
              <w:t>施工期</w:t>
            </w:r>
          </w:p>
        </w:tc>
        <w:tc>
          <w:tcPr>
            <w:tcW w:w="1336" w:type="pct"/>
            <w:vAlign w:val="center"/>
          </w:tcPr>
          <w:p>
            <w:pPr>
              <w:pStyle w:val="1132"/>
            </w:pPr>
            <w:r>
              <w:t>施工场界、</w:t>
            </w:r>
            <w:r>
              <w:rPr>
                <w:rFonts w:hint="eastAsia"/>
              </w:rPr>
              <w:t>选择公路沿线施工场地等附近200m范围内的环境敏感点；</w:t>
            </w:r>
          </w:p>
        </w:tc>
        <w:tc>
          <w:tcPr>
            <w:tcW w:w="450" w:type="pct"/>
            <w:vAlign w:val="center"/>
          </w:tcPr>
          <w:p>
            <w:pPr>
              <w:pStyle w:val="1132"/>
            </w:pPr>
            <w:r>
              <w:t>L</w:t>
            </w:r>
            <w:r>
              <w:rPr>
                <w:vertAlign w:val="subscript"/>
              </w:rPr>
              <w:t>Aeq</w:t>
            </w:r>
          </w:p>
        </w:tc>
        <w:tc>
          <w:tcPr>
            <w:tcW w:w="842" w:type="pct"/>
            <w:vAlign w:val="center"/>
          </w:tcPr>
          <w:p>
            <w:pPr>
              <w:pStyle w:val="1132"/>
            </w:pPr>
            <w:r>
              <w:t>1季1次（具体视施工情况而变化</w:t>
            </w:r>
          </w:p>
        </w:tc>
        <w:tc>
          <w:tcPr>
            <w:tcW w:w="505" w:type="pct"/>
            <w:vAlign w:val="center"/>
          </w:tcPr>
          <w:p>
            <w:pPr>
              <w:pStyle w:val="1132"/>
            </w:pPr>
            <w:r>
              <w:t>2日</w:t>
            </w:r>
          </w:p>
        </w:tc>
        <w:tc>
          <w:tcPr>
            <w:tcW w:w="589" w:type="pct"/>
            <w:vAlign w:val="center"/>
          </w:tcPr>
          <w:p>
            <w:pPr>
              <w:pStyle w:val="1132"/>
            </w:pPr>
            <w:r>
              <w:t>施工时间昼夜各1次</w:t>
            </w:r>
          </w:p>
        </w:tc>
        <w:tc>
          <w:tcPr>
            <w:tcW w:w="481" w:type="pct"/>
            <w:vMerge w:val="restart"/>
            <w:vAlign w:val="center"/>
          </w:tcPr>
          <w:p>
            <w:pPr>
              <w:pStyle w:val="1132"/>
            </w:pPr>
            <w:r>
              <w:t>受委托的有资质单位</w:t>
            </w:r>
          </w:p>
        </w:tc>
        <w:tc>
          <w:tcPr>
            <w:tcW w:w="528" w:type="pct"/>
            <w:vMerge w:val="restart"/>
            <w:vAlign w:val="center"/>
          </w:tcPr>
          <w:p>
            <w:pPr>
              <w:pStyle w:val="1132"/>
            </w:pPr>
            <w: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8" w:hRule="atLeast"/>
          <w:jc w:val="center"/>
        </w:trPr>
        <w:tc>
          <w:tcPr>
            <w:tcW w:w="267" w:type="pct"/>
            <w:vAlign w:val="center"/>
          </w:tcPr>
          <w:p>
            <w:pPr>
              <w:pStyle w:val="1132"/>
            </w:pPr>
            <w:r>
              <w:t>营运期</w:t>
            </w:r>
          </w:p>
        </w:tc>
        <w:tc>
          <w:tcPr>
            <w:tcW w:w="1336" w:type="pct"/>
            <w:vAlign w:val="center"/>
          </w:tcPr>
          <w:p>
            <w:pPr>
              <w:pStyle w:val="1132"/>
              <w:rPr>
                <w:rFonts w:hint="eastAsia" w:eastAsia="宋体"/>
                <w:lang w:eastAsia="zh-CN"/>
              </w:rPr>
            </w:pPr>
            <w:r>
              <w:rPr>
                <w:rFonts w:hint="eastAsia"/>
              </w:rPr>
              <w:t>选择公路沿线选择3处具有代表性的敏感点</w:t>
            </w:r>
            <w:r>
              <w:rPr>
                <w:rFonts w:hint="eastAsia"/>
                <w:lang w:eastAsia="zh-CN"/>
              </w:rPr>
              <w:t>（</w:t>
            </w:r>
            <w:r>
              <w:rPr>
                <w:rFonts w:hint="eastAsia"/>
                <w:lang w:val="en-US" w:eastAsia="zh-CN"/>
              </w:rPr>
              <w:t>汤庄、王庄、小沟沿</w:t>
            </w:r>
            <w:r>
              <w:rPr>
                <w:rFonts w:hint="eastAsia"/>
                <w:lang w:eastAsia="zh-CN"/>
              </w:rPr>
              <w:t>）</w:t>
            </w:r>
          </w:p>
        </w:tc>
        <w:tc>
          <w:tcPr>
            <w:tcW w:w="450" w:type="pct"/>
            <w:vAlign w:val="center"/>
          </w:tcPr>
          <w:p>
            <w:pPr>
              <w:pStyle w:val="1132"/>
            </w:pPr>
            <w:r>
              <w:t>L</w:t>
            </w:r>
            <w:r>
              <w:rPr>
                <w:vertAlign w:val="subscript"/>
              </w:rPr>
              <w:t>Aeq</w:t>
            </w:r>
          </w:p>
        </w:tc>
        <w:tc>
          <w:tcPr>
            <w:tcW w:w="842" w:type="pct"/>
            <w:vAlign w:val="center"/>
          </w:tcPr>
          <w:p>
            <w:pPr>
              <w:pStyle w:val="1132"/>
            </w:pPr>
            <w:r>
              <w:rPr>
                <w:rFonts w:hint="eastAsia"/>
              </w:rPr>
              <w:t>1</w:t>
            </w:r>
            <w:r>
              <w:t>年1次</w:t>
            </w:r>
          </w:p>
        </w:tc>
        <w:tc>
          <w:tcPr>
            <w:tcW w:w="505" w:type="pct"/>
            <w:vAlign w:val="center"/>
          </w:tcPr>
          <w:p>
            <w:pPr>
              <w:pStyle w:val="1132"/>
            </w:pPr>
            <w:r>
              <w:t>2日</w:t>
            </w:r>
          </w:p>
        </w:tc>
        <w:tc>
          <w:tcPr>
            <w:tcW w:w="589" w:type="pct"/>
            <w:vAlign w:val="center"/>
          </w:tcPr>
          <w:p>
            <w:pPr>
              <w:pStyle w:val="1132"/>
            </w:pPr>
            <w:r>
              <w:t>昼夜各1次</w:t>
            </w:r>
          </w:p>
        </w:tc>
        <w:tc>
          <w:tcPr>
            <w:tcW w:w="481" w:type="pct"/>
            <w:vMerge w:val="continue"/>
            <w:vAlign w:val="center"/>
          </w:tcPr>
          <w:p>
            <w:pPr>
              <w:pStyle w:val="1132"/>
            </w:pPr>
          </w:p>
        </w:tc>
        <w:tc>
          <w:tcPr>
            <w:tcW w:w="528" w:type="pct"/>
            <w:vMerge w:val="continue"/>
            <w:vAlign w:val="center"/>
          </w:tcPr>
          <w:p>
            <w:pPr>
              <w:pStyle w:val="1132"/>
            </w:pPr>
          </w:p>
        </w:tc>
      </w:tr>
    </w:tbl>
    <w:p>
      <w:pPr>
        <w:pStyle w:val="8"/>
        <w:rPr>
          <w:b/>
          <w:bCs/>
        </w:rPr>
      </w:pPr>
      <w:bookmarkStart w:id="488" w:name="_Toc467512075"/>
      <w:bookmarkStart w:id="489" w:name="_Toc4208"/>
      <w:r>
        <w:rPr>
          <w:b/>
          <w:bCs/>
        </w:rPr>
        <w:t>监测报告制度</w:t>
      </w:r>
      <w:bookmarkEnd w:id="488"/>
      <w:bookmarkEnd w:id="489"/>
    </w:p>
    <w:p>
      <w:pPr>
        <w:pStyle w:val="10"/>
        <w:ind w:firstLine="480"/>
      </w:pPr>
      <w:r>
        <w:t>本项目施工期和营运期的环境监测可以委托有资质的监测单位承担，应定期定点监测，编制监测报告，提供给</w:t>
      </w:r>
      <w:r>
        <w:rPr>
          <w:rFonts w:hint="eastAsia"/>
        </w:rPr>
        <w:t>建设单位</w:t>
      </w:r>
      <w:r>
        <w:t>，以备省市县</w:t>
      </w:r>
      <w:r>
        <w:rPr>
          <w:rFonts w:hint="eastAsia"/>
        </w:rPr>
        <w:t>生态环境部门</w:t>
      </w:r>
      <w:r>
        <w:t>监督。若在监测中发现问题应及时报告，以便及时有效的采取措施</w:t>
      </w:r>
      <w:r>
        <w:rPr>
          <w:lang w:val="zh-CN"/>
        </w:rPr>
        <w:t>。</w:t>
      </w:r>
    </w:p>
    <w:p>
      <w:pPr>
        <w:pStyle w:val="7"/>
        <w:rPr>
          <w:b/>
          <w:bCs/>
          <w:sz w:val="28"/>
          <w:szCs w:val="28"/>
        </w:rPr>
      </w:pPr>
      <w:bookmarkStart w:id="490" w:name="_Toc471329456"/>
      <w:bookmarkStart w:id="491" w:name="_Toc7240"/>
      <w:bookmarkStart w:id="492" w:name="_Toc974"/>
      <w:r>
        <w:rPr>
          <w:b/>
          <w:bCs/>
          <w:sz w:val="28"/>
          <w:szCs w:val="28"/>
        </w:rPr>
        <w:t>竣工环保验收内容</w:t>
      </w:r>
      <w:bookmarkEnd w:id="490"/>
      <w:bookmarkEnd w:id="491"/>
      <w:bookmarkEnd w:id="492"/>
    </w:p>
    <w:p>
      <w:pPr>
        <w:pStyle w:val="10"/>
        <w:ind w:firstLine="480"/>
      </w:pPr>
      <w:r>
        <w:t>本项目对环境的影响以生态和噪声影响为主，工程建设单位应按《建设项目竣工环境保护验收技术规范-公路》（HJ552-2010）的要求进行环境保护验收调查并提交环境保护验收调查报告。本项目“三同时”环保设施验收一览表见表8.4-1。</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8.4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本项目“三同时”环保设施验收一览表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7"/>
        <w:gridCol w:w="1365"/>
        <w:gridCol w:w="5005"/>
        <w:gridCol w:w="2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1062" w:type="pct"/>
            <w:gridSpan w:val="2"/>
            <w:vAlign w:val="center"/>
          </w:tcPr>
          <w:p>
            <w:pPr>
              <w:pStyle w:val="1132"/>
              <w:rPr>
                <w:b/>
                <w:bCs w:val="0"/>
              </w:rPr>
            </w:pPr>
            <w:r>
              <w:rPr>
                <w:b/>
                <w:bCs w:val="0"/>
              </w:rPr>
              <w:t>分项</w:t>
            </w:r>
          </w:p>
        </w:tc>
        <w:tc>
          <w:tcPr>
            <w:tcW w:w="2695" w:type="pct"/>
            <w:vAlign w:val="center"/>
          </w:tcPr>
          <w:p>
            <w:pPr>
              <w:pStyle w:val="1132"/>
              <w:rPr>
                <w:b/>
                <w:bCs w:val="0"/>
              </w:rPr>
            </w:pPr>
            <w:r>
              <w:rPr>
                <w:b/>
                <w:bCs w:val="0"/>
              </w:rPr>
              <w:t>验收主要内容</w:t>
            </w:r>
          </w:p>
        </w:tc>
        <w:tc>
          <w:tcPr>
            <w:tcW w:w="1243" w:type="pct"/>
            <w:vAlign w:val="center"/>
          </w:tcPr>
          <w:p>
            <w:pPr>
              <w:pStyle w:val="1132"/>
              <w:rPr>
                <w:b/>
                <w:bCs w:val="0"/>
              </w:rPr>
            </w:pPr>
            <w:r>
              <w:rPr>
                <w:b/>
                <w:bCs w:val="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1062" w:type="pct"/>
            <w:gridSpan w:val="2"/>
            <w:vAlign w:val="center"/>
          </w:tcPr>
          <w:p>
            <w:pPr>
              <w:pStyle w:val="1132"/>
            </w:pPr>
            <w:r>
              <w:t>组织机构设置</w:t>
            </w:r>
          </w:p>
        </w:tc>
        <w:tc>
          <w:tcPr>
            <w:tcW w:w="2695" w:type="pct"/>
            <w:vAlign w:val="center"/>
          </w:tcPr>
          <w:p>
            <w:pPr>
              <w:pStyle w:val="1132"/>
            </w:pPr>
            <w:r>
              <w:t>按照环评报告书和管理要求成立了相应的</w:t>
            </w:r>
            <w:r>
              <w:rPr>
                <w:rFonts w:hint="eastAsia"/>
              </w:rPr>
              <w:t>环境管理机构，建立相应的管理制度</w:t>
            </w:r>
          </w:p>
        </w:tc>
        <w:tc>
          <w:tcPr>
            <w:tcW w:w="1243" w:type="pct"/>
            <w:vMerge w:val="restart"/>
            <w:vAlign w:val="center"/>
          </w:tcPr>
          <w:p>
            <w:pPr>
              <w:pStyle w:val="1132"/>
            </w:pPr>
            <w:r>
              <w:t>由项目业主在提交验收申请报告时提供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1062" w:type="pct"/>
            <w:gridSpan w:val="2"/>
            <w:vAlign w:val="center"/>
          </w:tcPr>
          <w:p>
            <w:pPr>
              <w:pStyle w:val="1132"/>
            </w:pPr>
            <w:r>
              <w:t>环保设施效果检验</w:t>
            </w:r>
          </w:p>
        </w:tc>
        <w:tc>
          <w:tcPr>
            <w:tcW w:w="2695" w:type="pct"/>
            <w:vAlign w:val="center"/>
          </w:tcPr>
          <w:p>
            <w:pPr>
              <w:pStyle w:val="1132"/>
            </w:pPr>
            <w:r>
              <w:t>试运营期间对环保设施效果的检验报告</w:t>
            </w:r>
          </w:p>
        </w:tc>
        <w:tc>
          <w:tcPr>
            <w:tcW w:w="1243" w:type="pct"/>
            <w:vMerge w:val="continue"/>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0" w:hRule="atLeast"/>
          <w:jc w:val="center"/>
        </w:trPr>
        <w:tc>
          <w:tcPr>
            <w:tcW w:w="1062" w:type="pct"/>
            <w:gridSpan w:val="2"/>
            <w:vAlign w:val="center"/>
          </w:tcPr>
          <w:p>
            <w:pPr>
              <w:pStyle w:val="1132"/>
            </w:pPr>
            <w:r>
              <w:t>环保设施</w:t>
            </w:r>
          </w:p>
        </w:tc>
        <w:tc>
          <w:tcPr>
            <w:tcW w:w="2695" w:type="pct"/>
            <w:vAlign w:val="center"/>
          </w:tcPr>
          <w:p>
            <w:pPr>
              <w:pStyle w:val="1132"/>
            </w:pPr>
            <w:r>
              <w:t>工程设计及环评确定的环保设施</w:t>
            </w:r>
          </w:p>
        </w:tc>
        <w:tc>
          <w:tcPr>
            <w:tcW w:w="1243" w:type="pct"/>
            <w:vMerge w:val="continue"/>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1062" w:type="pct"/>
            <w:gridSpan w:val="2"/>
            <w:tcMar>
              <w:top w:w="0" w:type="dxa"/>
              <w:left w:w="0" w:type="dxa"/>
              <w:bottom w:w="0" w:type="dxa"/>
              <w:right w:w="0" w:type="dxa"/>
            </w:tcMar>
            <w:vAlign w:val="center"/>
          </w:tcPr>
          <w:p>
            <w:pPr>
              <w:pStyle w:val="1132"/>
            </w:pPr>
            <w:r>
              <w:t>分类</w:t>
            </w:r>
          </w:p>
        </w:tc>
        <w:tc>
          <w:tcPr>
            <w:tcW w:w="2695" w:type="pct"/>
            <w:tcMar>
              <w:top w:w="0" w:type="dxa"/>
              <w:left w:w="0" w:type="dxa"/>
              <w:bottom w:w="0" w:type="dxa"/>
              <w:right w:w="0" w:type="dxa"/>
            </w:tcMar>
            <w:vAlign w:val="center"/>
          </w:tcPr>
          <w:p>
            <w:pPr>
              <w:pStyle w:val="1132"/>
            </w:pPr>
            <w:r>
              <w:t>防治或减缓措施</w:t>
            </w:r>
          </w:p>
        </w:tc>
        <w:tc>
          <w:tcPr>
            <w:tcW w:w="1243" w:type="pct"/>
            <w:tcMar>
              <w:top w:w="0" w:type="dxa"/>
              <w:left w:w="0" w:type="dxa"/>
              <w:bottom w:w="0" w:type="dxa"/>
              <w:right w:w="0" w:type="dxa"/>
            </w:tcMar>
            <w:vAlign w:val="center"/>
          </w:tcPr>
          <w:p>
            <w:pPr>
              <w:pStyle w:val="1132"/>
            </w:pPr>
            <w:r>
              <w:t>预期效果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327" w:type="pct"/>
            <w:vMerge w:val="restart"/>
            <w:tcMar>
              <w:top w:w="0" w:type="dxa"/>
              <w:left w:w="0" w:type="dxa"/>
              <w:bottom w:w="0" w:type="dxa"/>
              <w:right w:w="0" w:type="dxa"/>
            </w:tcMar>
            <w:vAlign w:val="center"/>
          </w:tcPr>
          <w:p>
            <w:pPr>
              <w:pStyle w:val="1132"/>
            </w:pPr>
            <w:r>
              <w:t>施</w:t>
            </w:r>
          </w:p>
          <w:p>
            <w:pPr>
              <w:pStyle w:val="1132"/>
            </w:pPr>
            <w:r>
              <w:t>工</w:t>
            </w:r>
          </w:p>
          <w:p>
            <w:pPr>
              <w:pStyle w:val="1132"/>
            </w:pPr>
            <w:r>
              <w:t>期</w:t>
            </w:r>
          </w:p>
        </w:tc>
        <w:tc>
          <w:tcPr>
            <w:tcW w:w="735" w:type="pct"/>
            <w:vMerge w:val="restart"/>
            <w:tcMar>
              <w:top w:w="0" w:type="dxa"/>
              <w:left w:w="0" w:type="dxa"/>
              <w:bottom w:w="0" w:type="dxa"/>
              <w:right w:w="0" w:type="dxa"/>
            </w:tcMar>
            <w:vAlign w:val="center"/>
          </w:tcPr>
          <w:p>
            <w:pPr>
              <w:pStyle w:val="1132"/>
            </w:pPr>
            <w:r>
              <w:t>生态保护及恢复</w:t>
            </w:r>
          </w:p>
        </w:tc>
        <w:tc>
          <w:tcPr>
            <w:tcW w:w="2695" w:type="pct"/>
            <w:tcMar>
              <w:top w:w="0" w:type="dxa"/>
              <w:left w:w="0" w:type="dxa"/>
              <w:bottom w:w="0" w:type="dxa"/>
              <w:right w:w="0" w:type="dxa"/>
            </w:tcMar>
            <w:vAlign w:val="center"/>
          </w:tcPr>
          <w:p>
            <w:pPr>
              <w:pStyle w:val="1132"/>
            </w:pPr>
            <w:r>
              <w:t>施工场地料场四周修建截水排水沟，并在出口设置沉淀池</w:t>
            </w:r>
          </w:p>
        </w:tc>
        <w:tc>
          <w:tcPr>
            <w:tcW w:w="1243" w:type="pct"/>
            <w:vMerge w:val="restart"/>
            <w:tcMar>
              <w:top w:w="0" w:type="dxa"/>
              <w:left w:w="0" w:type="dxa"/>
              <w:bottom w:w="0" w:type="dxa"/>
              <w:right w:w="0" w:type="dxa"/>
            </w:tcMar>
            <w:vAlign w:val="center"/>
          </w:tcPr>
          <w:p>
            <w:pPr>
              <w:pStyle w:val="1132"/>
            </w:pPr>
            <w:r>
              <w:t>维持区域生态环境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327" w:type="pct"/>
            <w:vMerge w:val="continue"/>
            <w:vAlign w:val="center"/>
          </w:tcPr>
          <w:p>
            <w:pPr>
              <w:pStyle w:val="1132"/>
            </w:pPr>
          </w:p>
        </w:tc>
        <w:tc>
          <w:tcPr>
            <w:tcW w:w="735" w:type="pct"/>
            <w:vMerge w:val="continue"/>
            <w:vAlign w:val="center"/>
          </w:tcPr>
          <w:p>
            <w:pPr>
              <w:pStyle w:val="1132"/>
            </w:pPr>
          </w:p>
        </w:tc>
        <w:tc>
          <w:tcPr>
            <w:tcW w:w="2695" w:type="pct"/>
            <w:tcMar>
              <w:top w:w="0" w:type="dxa"/>
              <w:left w:w="0" w:type="dxa"/>
              <w:bottom w:w="0" w:type="dxa"/>
              <w:right w:w="0" w:type="dxa"/>
            </w:tcMar>
            <w:vAlign w:val="center"/>
          </w:tcPr>
          <w:p>
            <w:pPr>
              <w:pStyle w:val="1132"/>
            </w:pPr>
            <w:r>
              <w:t>边坡、道路两侧景观绿化</w:t>
            </w:r>
          </w:p>
        </w:tc>
        <w:tc>
          <w:tcPr>
            <w:tcW w:w="1243" w:type="pct"/>
            <w:vMerge w:val="continue"/>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327" w:type="pct"/>
            <w:vMerge w:val="continue"/>
            <w:vAlign w:val="center"/>
          </w:tcPr>
          <w:p>
            <w:pPr>
              <w:pStyle w:val="1132"/>
            </w:pPr>
          </w:p>
        </w:tc>
        <w:tc>
          <w:tcPr>
            <w:tcW w:w="735" w:type="pct"/>
            <w:vMerge w:val="continue"/>
            <w:vAlign w:val="center"/>
          </w:tcPr>
          <w:p>
            <w:pPr>
              <w:pStyle w:val="1132"/>
            </w:pPr>
          </w:p>
        </w:tc>
        <w:tc>
          <w:tcPr>
            <w:tcW w:w="2695" w:type="pct"/>
            <w:tcMar>
              <w:top w:w="0" w:type="dxa"/>
              <w:left w:w="0" w:type="dxa"/>
              <w:bottom w:w="0" w:type="dxa"/>
              <w:right w:w="0" w:type="dxa"/>
            </w:tcMar>
            <w:vAlign w:val="center"/>
          </w:tcPr>
          <w:p>
            <w:pPr>
              <w:pStyle w:val="1132"/>
            </w:pPr>
            <w:r>
              <w:t>路面施工设临时拦渣或导排水措施</w:t>
            </w:r>
          </w:p>
        </w:tc>
        <w:tc>
          <w:tcPr>
            <w:tcW w:w="1243" w:type="pct"/>
            <w:vMerge w:val="continue"/>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327" w:type="pct"/>
            <w:vMerge w:val="continue"/>
            <w:vAlign w:val="center"/>
          </w:tcPr>
          <w:p>
            <w:pPr>
              <w:pStyle w:val="1132"/>
            </w:pPr>
          </w:p>
        </w:tc>
        <w:tc>
          <w:tcPr>
            <w:tcW w:w="735" w:type="pct"/>
            <w:vMerge w:val="continue"/>
            <w:vAlign w:val="center"/>
          </w:tcPr>
          <w:p>
            <w:pPr>
              <w:pStyle w:val="1132"/>
            </w:pPr>
          </w:p>
        </w:tc>
        <w:tc>
          <w:tcPr>
            <w:tcW w:w="2695" w:type="pct"/>
            <w:tcMar>
              <w:top w:w="0" w:type="dxa"/>
              <w:left w:w="0" w:type="dxa"/>
              <w:bottom w:w="0" w:type="dxa"/>
              <w:right w:w="0" w:type="dxa"/>
            </w:tcMar>
            <w:vAlign w:val="center"/>
          </w:tcPr>
          <w:p>
            <w:pPr>
              <w:pStyle w:val="1132"/>
            </w:pPr>
            <w:r>
              <w:t>公路沿线绿化及景观</w:t>
            </w:r>
          </w:p>
        </w:tc>
        <w:tc>
          <w:tcPr>
            <w:tcW w:w="1243" w:type="pct"/>
            <w:vMerge w:val="continue"/>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327" w:type="pct"/>
            <w:vMerge w:val="continue"/>
            <w:vAlign w:val="center"/>
          </w:tcPr>
          <w:p>
            <w:pPr>
              <w:pStyle w:val="1132"/>
            </w:pPr>
          </w:p>
        </w:tc>
        <w:tc>
          <w:tcPr>
            <w:tcW w:w="735" w:type="pct"/>
            <w:vMerge w:val="continue"/>
            <w:vAlign w:val="center"/>
          </w:tcPr>
          <w:p>
            <w:pPr>
              <w:pStyle w:val="1132"/>
            </w:pPr>
          </w:p>
        </w:tc>
        <w:tc>
          <w:tcPr>
            <w:tcW w:w="2695" w:type="pct"/>
            <w:tcMar>
              <w:top w:w="0" w:type="dxa"/>
              <w:left w:w="0" w:type="dxa"/>
              <w:bottom w:w="0" w:type="dxa"/>
              <w:right w:w="0" w:type="dxa"/>
            </w:tcMar>
            <w:vAlign w:val="center"/>
          </w:tcPr>
          <w:p>
            <w:pPr>
              <w:pStyle w:val="1132"/>
            </w:pPr>
            <w:r>
              <w:t>临时占地生态恢复</w:t>
            </w:r>
          </w:p>
        </w:tc>
        <w:tc>
          <w:tcPr>
            <w:tcW w:w="1243" w:type="pct"/>
            <w:vMerge w:val="continue"/>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327" w:type="pct"/>
            <w:vMerge w:val="continue"/>
            <w:vAlign w:val="center"/>
          </w:tcPr>
          <w:p>
            <w:pPr>
              <w:pStyle w:val="1132"/>
            </w:pPr>
          </w:p>
        </w:tc>
        <w:tc>
          <w:tcPr>
            <w:tcW w:w="735" w:type="pct"/>
            <w:tcMar>
              <w:top w:w="0" w:type="dxa"/>
              <w:left w:w="0" w:type="dxa"/>
              <w:bottom w:w="0" w:type="dxa"/>
              <w:right w:w="0" w:type="dxa"/>
            </w:tcMar>
            <w:vAlign w:val="center"/>
          </w:tcPr>
          <w:p>
            <w:pPr>
              <w:pStyle w:val="1132"/>
            </w:pPr>
            <w:r>
              <w:t>废气</w:t>
            </w:r>
          </w:p>
        </w:tc>
        <w:tc>
          <w:tcPr>
            <w:tcW w:w="2695" w:type="pct"/>
            <w:tcMar>
              <w:top w:w="0" w:type="dxa"/>
              <w:left w:w="0" w:type="dxa"/>
              <w:bottom w:w="0" w:type="dxa"/>
              <w:right w:w="0" w:type="dxa"/>
            </w:tcMar>
            <w:vAlign w:val="center"/>
          </w:tcPr>
          <w:p>
            <w:pPr>
              <w:pStyle w:val="1132"/>
            </w:pPr>
            <w:r>
              <w:t>洒水车</w:t>
            </w:r>
            <w:r>
              <w:rPr>
                <w:rFonts w:hint="eastAsia"/>
              </w:rPr>
              <w:t>等</w:t>
            </w:r>
            <w:r>
              <w:t>环保设施配备、粉状材料，袋装或罐装运输，堆放设篷</w:t>
            </w:r>
          </w:p>
        </w:tc>
        <w:tc>
          <w:tcPr>
            <w:tcW w:w="1243" w:type="pct"/>
            <w:tcMar>
              <w:top w:w="0" w:type="dxa"/>
              <w:left w:w="0" w:type="dxa"/>
              <w:bottom w:w="0" w:type="dxa"/>
              <w:right w:w="0" w:type="dxa"/>
            </w:tcMar>
            <w:vAlign w:val="center"/>
          </w:tcPr>
          <w:p>
            <w:pPr>
              <w:pStyle w:val="1132"/>
            </w:pPr>
            <w:r>
              <w:t>达到《大气污染物综合排放标准》</w:t>
            </w:r>
            <w:r>
              <w:rPr>
                <w:rFonts w:hint="eastAsia"/>
              </w:rPr>
              <w:t>（</w:t>
            </w:r>
            <w:r>
              <w:t>GB 16297-1996</w:t>
            </w:r>
            <w:r>
              <w:rPr>
                <w:rFonts w:hint="eastAsia"/>
              </w:rPr>
              <w:t>）</w:t>
            </w:r>
            <w:r>
              <w:t>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327" w:type="pct"/>
            <w:vMerge w:val="continue"/>
            <w:vAlign w:val="center"/>
          </w:tcPr>
          <w:p>
            <w:pPr>
              <w:pStyle w:val="1132"/>
            </w:pPr>
          </w:p>
        </w:tc>
        <w:tc>
          <w:tcPr>
            <w:tcW w:w="735" w:type="pct"/>
            <w:vMerge w:val="restart"/>
            <w:tcMar>
              <w:top w:w="0" w:type="dxa"/>
              <w:left w:w="0" w:type="dxa"/>
              <w:bottom w:w="0" w:type="dxa"/>
              <w:right w:w="0" w:type="dxa"/>
            </w:tcMar>
            <w:vAlign w:val="center"/>
          </w:tcPr>
          <w:p>
            <w:pPr>
              <w:pStyle w:val="1132"/>
            </w:pPr>
            <w:r>
              <w:t>噪声防治</w:t>
            </w:r>
          </w:p>
        </w:tc>
        <w:tc>
          <w:tcPr>
            <w:tcW w:w="2695" w:type="pct"/>
            <w:tcMar>
              <w:top w:w="0" w:type="dxa"/>
              <w:left w:w="0" w:type="dxa"/>
              <w:bottom w:w="0" w:type="dxa"/>
              <w:right w:w="0" w:type="dxa"/>
            </w:tcMar>
            <w:vAlign w:val="center"/>
          </w:tcPr>
          <w:p>
            <w:pPr>
              <w:pStyle w:val="1132"/>
            </w:pPr>
            <w:r>
              <w:t>采用低噪声机械，对超过国家标准的机械应禁止其入场施工</w:t>
            </w:r>
          </w:p>
        </w:tc>
        <w:tc>
          <w:tcPr>
            <w:tcW w:w="1243" w:type="pct"/>
            <w:vMerge w:val="restart"/>
            <w:tcMar>
              <w:top w:w="0" w:type="dxa"/>
              <w:left w:w="0" w:type="dxa"/>
              <w:bottom w:w="0" w:type="dxa"/>
              <w:right w:w="0" w:type="dxa"/>
            </w:tcMar>
            <w:vAlign w:val="center"/>
          </w:tcPr>
          <w:p>
            <w:pPr>
              <w:pStyle w:val="1132"/>
            </w:pPr>
            <w:r>
              <w:t>达到《建筑施工场界环境噪声排放标准》</w:t>
            </w:r>
            <w:r>
              <w:rPr>
                <w:rFonts w:hint="eastAsia"/>
              </w:rPr>
              <w:t>（</w:t>
            </w:r>
            <w:r>
              <w:t>GB12523-2011</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9" w:hRule="atLeast"/>
          <w:jc w:val="center"/>
        </w:trPr>
        <w:tc>
          <w:tcPr>
            <w:tcW w:w="327" w:type="pct"/>
            <w:vMerge w:val="continue"/>
            <w:vAlign w:val="center"/>
          </w:tcPr>
          <w:p>
            <w:pPr>
              <w:pStyle w:val="1132"/>
            </w:pPr>
          </w:p>
        </w:tc>
        <w:tc>
          <w:tcPr>
            <w:tcW w:w="735" w:type="pct"/>
            <w:vMerge w:val="continue"/>
            <w:vAlign w:val="center"/>
          </w:tcPr>
          <w:p>
            <w:pPr>
              <w:pStyle w:val="1132"/>
            </w:pPr>
          </w:p>
        </w:tc>
        <w:tc>
          <w:tcPr>
            <w:tcW w:w="2695" w:type="pct"/>
            <w:tcMar>
              <w:top w:w="0" w:type="dxa"/>
              <w:left w:w="0" w:type="dxa"/>
              <w:bottom w:w="0" w:type="dxa"/>
              <w:right w:w="0" w:type="dxa"/>
            </w:tcMar>
            <w:vAlign w:val="center"/>
          </w:tcPr>
          <w:p>
            <w:pPr>
              <w:pStyle w:val="1132"/>
            </w:pPr>
            <w:r>
              <w:t>敏感点附近在22：00~次日6：00不得施工，路段施工需设置临时隔断设施，如施工围栏、隔墙、移动式声屏障</w:t>
            </w:r>
          </w:p>
        </w:tc>
        <w:tc>
          <w:tcPr>
            <w:tcW w:w="1243" w:type="pct"/>
            <w:vMerge w:val="continue"/>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2" w:hRule="atLeast"/>
          <w:jc w:val="center"/>
        </w:trPr>
        <w:tc>
          <w:tcPr>
            <w:tcW w:w="327" w:type="pct"/>
            <w:vMerge w:val="continue"/>
            <w:vAlign w:val="center"/>
          </w:tcPr>
          <w:p>
            <w:pPr>
              <w:pStyle w:val="1132"/>
            </w:pPr>
          </w:p>
        </w:tc>
        <w:tc>
          <w:tcPr>
            <w:tcW w:w="735" w:type="pct"/>
            <w:vMerge w:val="continue"/>
            <w:vAlign w:val="center"/>
          </w:tcPr>
          <w:p>
            <w:pPr>
              <w:pStyle w:val="1132"/>
            </w:pPr>
          </w:p>
        </w:tc>
        <w:tc>
          <w:tcPr>
            <w:tcW w:w="2695" w:type="pct"/>
            <w:tcMar>
              <w:top w:w="0" w:type="dxa"/>
              <w:left w:w="0" w:type="dxa"/>
              <w:bottom w:w="0" w:type="dxa"/>
              <w:right w:w="0" w:type="dxa"/>
            </w:tcMar>
            <w:vAlign w:val="center"/>
          </w:tcPr>
          <w:p>
            <w:pPr>
              <w:pStyle w:val="1132"/>
            </w:pPr>
            <w:r>
              <w:t>如必须连续施工作业的工点，施工单位应视具体情况及时向当地环保部门取得联系，按规定申领夜间施工证，同时发布公告最大限度地争取民众支持</w:t>
            </w:r>
          </w:p>
        </w:tc>
        <w:tc>
          <w:tcPr>
            <w:tcW w:w="1243" w:type="pct"/>
            <w:vMerge w:val="continue"/>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5" w:hRule="atLeast"/>
          <w:jc w:val="center"/>
        </w:trPr>
        <w:tc>
          <w:tcPr>
            <w:tcW w:w="327" w:type="pct"/>
            <w:vMerge w:val="continue"/>
            <w:vAlign w:val="center"/>
          </w:tcPr>
          <w:p>
            <w:pPr>
              <w:pStyle w:val="1132"/>
            </w:pPr>
          </w:p>
        </w:tc>
        <w:tc>
          <w:tcPr>
            <w:tcW w:w="735" w:type="pct"/>
            <w:vMerge w:val="restart"/>
            <w:tcMar>
              <w:top w:w="0" w:type="dxa"/>
              <w:left w:w="0" w:type="dxa"/>
              <w:bottom w:w="0" w:type="dxa"/>
              <w:right w:w="0" w:type="dxa"/>
            </w:tcMar>
            <w:vAlign w:val="center"/>
          </w:tcPr>
          <w:p>
            <w:pPr>
              <w:pStyle w:val="1132"/>
            </w:pPr>
            <w:r>
              <w:t>生产废水</w:t>
            </w:r>
          </w:p>
        </w:tc>
        <w:tc>
          <w:tcPr>
            <w:tcW w:w="2695" w:type="pct"/>
            <w:tcMar>
              <w:top w:w="0" w:type="dxa"/>
              <w:left w:w="0" w:type="dxa"/>
              <w:bottom w:w="0" w:type="dxa"/>
              <w:right w:w="0" w:type="dxa"/>
            </w:tcMar>
            <w:vAlign w:val="center"/>
          </w:tcPr>
          <w:p>
            <w:pPr>
              <w:pStyle w:val="1132"/>
            </w:pPr>
            <w:r>
              <w:t>施工废水截水沟、隔油池、沉淀池、泥浆沉淀池、清水池</w:t>
            </w:r>
          </w:p>
        </w:tc>
        <w:tc>
          <w:tcPr>
            <w:tcW w:w="1243" w:type="pct"/>
            <w:vMerge w:val="restart"/>
            <w:tcMar>
              <w:top w:w="0" w:type="dxa"/>
              <w:left w:w="0" w:type="dxa"/>
              <w:bottom w:w="0" w:type="dxa"/>
              <w:right w:w="0" w:type="dxa"/>
            </w:tcMar>
            <w:vAlign w:val="center"/>
          </w:tcPr>
          <w:p>
            <w:pPr>
              <w:pStyle w:val="1132"/>
            </w:pPr>
            <w:r>
              <w:rPr>
                <w:rFonts w:hint="eastAsia"/>
              </w:rPr>
              <w:t>废水处理后</w:t>
            </w:r>
            <w:r>
              <w:t>回用</w:t>
            </w:r>
            <w:r>
              <w:rPr>
                <w:rFonts w:hint="eastAsia"/>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327" w:type="pct"/>
            <w:vMerge w:val="continue"/>
            <w:vAlign w:val="center"/>
          </w:tcPr>
          <w:p>
            <w:pPr>
              <w:pStyle w:val="1132"/>
            </w:pPr>
          </w:p>
        </w:tc>
        <w:tc>
          <w:tcPr>
            <w:tcW w:w="735" w:type="pct"/>
            <w:vMerge w:val="continue"/>
            <w:tcMar>
              <w:top w:w="0" w:type="dxa"/>
              <w:left w:w="0" w:type="dxa"/>
              <w:bottom w:w="0" w:type="dxa"/>
              <w:right w:w="0" w:type="dxa"/>
            </w:tcMar>
            <w:vAlign w:val="center"/>
          </w:tcPr>
          <w:p>
            <w:pPr>
              <w:pStyle w:val="1132"/>
            </w:pPr>
          </w:p>
        </w:tc>
        <w:tc>
          <w:tcPr>
            <w:tcW w:w="2695" w:type="pct"/>
            <w:tcMar>
              <w:top w:w="0" w:type="dxa"/>
              <w:left w:w="0" w:type="dxa"/>
              <w:bottom w:w="0" w:type="dxa"/>
              <w:right w:w="0" w:type="dxa"/>
            </w:tcMar>
            <w:vAlign w:val="center"/>
          </w:tcPr>
          <w:p>
            <w:pPr>
              <w:pStyle w:val="1132"/>
            </w:pPr>
            <w:r>
              <w:t>生产废水沉淀池和隔油中和处理</w:t>
            </w:r>
          </w:p>
        </w:tc>
        <w:tc>
          <w:tcPr>
            <w:tcW w:w="1243" w:type="pct"/>
            <w:vMerge w:val="continue"/>
            <w:tcMar>
              <w:top w:w="0" w:type="dxa"/>
              <w:left w:w="0" w:type="dxa"/>
              <w:bottom w:w="0" w:type="dxa"/>
              <w:right w:w="0" w:type="dxa"/>
            </w:tcMar>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5" w:hRule="atLeast"/>
          <w:jc w:val="center"/>
        </w:trPr>
        <w:tc>
          <w:tcPr>
            <w:tcW w:w="327" w:type="pct"/>
            <w:vMerge w:val="continue"/>
            <w:vAlign w:val="center"/>
          </w:tcPr>
          <w:p>
            <w:pPr>
              <w:pStyle w:val="1132"/>
            </w:pPr>
          </w:p>
        </w:tc>
        <w:tc>
          <w:tcPr>
            <w:tcW w:w="735" w:type="pct"/>
            <w:vMerge w:val="restart"/>
            <w:tcMar>
              <w:top w:w="0" w:type="dxa"/>
              <w:left w:w="0" w:type="dxa"/>
              <w:bottom w:w="0" w:type="dxa"/>
              <w:right w:w="0" w:type="dxa"/>
            </w:tcMar>
            <w:vAlign w:val="center"/>
          </w:tcPr>
          <w:p>
            <w:pPr>
              <w:pStyle w:val="1132"/>
            </w:pPr>
            <w:r>
              <w:t>固体废物</w:t>
            </w:r>
          </w:p>
        </w:tc>
        <w:tc>
          <w:tcPr>
            <w:tcW w:w="2695" w:type="pct"/>
            <w:tcMar>
              <w:top w:w="0" w:type="dxa"/>
              <w:left w:w="0" w:type="dxa"/>
              <w:bottom w:w="0" w:type="dxa"/>
              <w:right w:w="0" w:type="dxa"/>
            </w:tcMar>
            <w:vAlign w:val="center"/>
          </w:tcPr>
          <w:p>
            <w:pPr>
              <w:pStyle w:val="1132"/>
            </w:pPr>
            <w:r>
              <w:t>生活垃圾集中存放，环卫定期清运</w:t>
            </w:r>
          </w:p>
        </w:tc>
        <w:tc>
          <w:tcPr>
            <w:tcW w:w="1243" w:type="pct"/>
            <w:vMerge w:val="restart"/>
            <w:tcMar>
              <w:top w:w="0" w:type="dxa"/>
              <w:left w:w="0" w:type="dxa"/>
              <w:bottom w:w="0" w:type="dxa"/>
              <w:right w:w="0" w:type="dxa"/>
            </w:tcMar>
            <w:vAlign w:val="center"/>
          </w:tcPr>
          <w:p>
            <w:pPr>
              <w:pStyle w:val="1132"/>
            </w:pPr>
            <w:r>
              <w:t>妥善处置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5" w:hRule="atLeast"/>
          <w:jc w:val="center"/>
        </w:trPr>
        <w:tc>
          <w:tcPr>
            <w:tcW w:w="327" w:type="pct"/>
            <w:vMerge w:val="continue"/>
            <w:vAlign w:val="center"/>
          </w:tcPr>
          <w:p>
            <w:pPr>
              <w:pStyle w:val="1132"/>
            </w:pPr>
          </w:p>
        </w:tc>
        <w:tc>
          <w:tcPr>
            <w:tcW w:w="735" w:type="pct"/>
            <w:vMerge w:val="continue"/>
            <w:tcMar>
              <w:top w:w="0" w:type="dxa"/>
              <w:left w:w="0" w:type="dxa"/>
              <w:bottom w:w="0" w:type="dxa"/>
              <w:right w:w="0" w:type="dxa"/>
            </w:tcMar>
            <w:vAlign w:val="center"/>
          </w:tcPr>
          <w:p>
            <w:pPr>
              <w:pStyle w:val="1132"/>
            </w:pPr>
          </w:p>
        </w:tc>
        <w:tc>
          <w:tcPr>
            <w:tcW w:w="2695" w:type="pct"/>
            <w:tcMar>
              <w:top w:w="0" w:type="dxa"/>
              <w:left w:w="0" w:type="dxa"/>
              <w:bottom w:w="0" w:type="dxa"/>
              <w:right w:w="0" w:type="dxa"/>
            </w:tcMar>
            <w:vAlign w:val="center"/>
          </w:tcPr>
          <w:p>
            <w:pPr>
              <w:pStyle w:val="1132"/>
              <w:rPr>
                <w:rFonts w:hint="default" w:eastAsia="宋体"/>
                <w:lang w:val="en-US" w:eastAsia="zh-CN"/>
              </w:rPr>
            </w:pPr>
            <w:r>
              <w:rPr>
                <w:rFonts w:hint="eastAsia"/>
                <w:lang w:val="en-US" w:eastAsia="zh-CN"/>
              </w:rPr>
              <w:t>废弃土方集中堆放</w:t>
            </w:r>
          </w:p>
        </w:tc>
        <w:tc>
          <w:tcPr>
            <w:tcW w:w="1243" w:type="pct"/>
            <w:vMerge w:val="continue"/>
            <w:tcMar>
              <w:top w:w="0" w:type="dxa"/>
              <w:left w:w="0" w:type="dxa"/>
              <w:bottom w:w="0" w:type="dxa"/>
              <w:right w:w="0" w:type="dxa"/>
            </w:tcMar>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22" w:hRule="atLeast"/>
          <w:jc w:val="center"/>
        </w:trPr>
        <w:tc>
          <w:tcPr>
            <w:tcW w:w="327" w:type="pct"/>
            <w:vMerge w:val="continue"/>
            <w:vAlign w:val="center"/>
          </w:tcPr>
          <w:p>
            <w:pPr>
              <w:pStyle w:val="1132"/>
            </w:pPr>
          </w:p>
        </w:tc>
        <w:tc>
          <w:tcPr>
            <w:tcW w:w="735" w:type="pct"/>
            <w:vMerge w:val="continue"/>
            <w:tcMar>
              <w:top w:w="0" w:type="dxa"/>
              <w:left w:w="0" w:type="dxa"/>
              <w:bottom w:w="0" w:type="dxa"/>
              <w:right w:w="0" w:type="dxa"/>
            </w:tcMar>
            <w:vAlign w:val="center"/>
          </w:tcPr>
          <w:p>
            <w:pPr>
              <w:pStyle w:val="1132"/>
            </w:pPr>
          </w:p>
        </w:tc>
        <w:tc>
          <w:tcPr>
            <w:tcW w:w="2695" w:type="pct"/>
            <w:tcMar>
              <w:top w:w="0" w:type="dxa"/>
              <w:left w:w="0" w:type="dxa"/>
              <w:bottom w:w="0" w:type="dxa"/>
              <w:right w:w="0" w:type="dxa"/>
            </w:tcMar>
            <w:vAlign w:val="center"/>
          </w:tcPr>
          <w:p>
            <w:pPr>
              <w:pStyle w:val="1132"/>
            </w:pPr>
            <w:r>
              <w:t>建材废料分类收集，分类处理</w:t>
            </w:r>
          </w:p>
        </w:tc>
        <w:tc>
          <w:tcPr>
            <w:tcW w:w="1243" w:type="pct"/>
            <w:vMerge w:val="continue"/>
            <w:tcMar>
              <w:top w:w="0" w:type="dxa"/>
              <w:left w:w="0" w:type="dxa"/>
              <w:bottom w:w="0" w:type="dxa"/>
              <w:right w:w="0" w:type="dxa"/>
            </w:tcMar>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5" w:hRule="atLeast"/>
          <w:jc w:val="center"/>
        </w:trPr>
        <w:tc>
          <w:tcPr>
            <w:tcW w:w="327" w:type="pct"/>
            <w:vMerge w:val="continue"/>
            <w:vAlign w:val="center"/>
          </w:tcPr>
          <w:p>
            <w:pPr>
              <w:pStyle w:val="1132"/>
            </w:pPr>
          </w:p>
        </w:tc>
        <w:tc>
          <w:tcPr>
            <w:tcW w:w="735" w:type="pct"/>
            <w:vMerge w:val="continue"/>
            <w:tcMar>
              <w:top w:w="0" w:type="dxa"/>
              <w:left w:w="0" w:type="dxa"/>
              <w:bottom w:w="0" w:type="dxa"/>
              <w:right w:w="0" w:type="dxa"/>
            </w:tcMar>
            <w:vAlign w:val="center"/>
          </w:tcPr>
          <w:p>
            <w:pPr>
              <w:pStyle w:val="1132"/>
            </w:pPr>
          </w:p>
        </w:tc>
        <w:tc>
          <w:tcPr>
            <w:tcW w:w="2695" w:type="pct"/>
            <w:tcMar>
              <w:top w:w="0" w:type="dxa"/>
              <w:left w:w="0" w:type="dxa"/>
              <w:bottom w:w="0" w:type="dxa"/>
              <w:right w:w="0" w:type="dxa"/>
            </w:tcMar>
            <w:vAlign w:val="center"/>
          </w:tcPr>
          <w:p>
            <w:pPr>
              <w:pStyle w:val="1132"/>
            </w:pPr>
            <w:r>
              <w:t>施工期废</w:t>
            </w:r>
            <w:r>
              <w:rPr>
                <w:rFonts w:hint="eastAsia"/>
                <w:lang w:val="en-US" w:eastAsia="zh-CN"/>
              </w:rPr>
              <w:t>油泥</w:t>
            </w:r>
            <w:r>
              <w:t>等危险废物委托相关资质单位处理</w:t>
            </w:r>
          </w:p>
        </w:tc>
        <w:tc>
          <w:tcPr>
            <w:tcW w:w="1243" w:type="pct"/>
            <w:vMerge w:val="continue"/>
            <w:tcMar>
              <w:top w:w="0" w:type="dxa"/>
              <w:left w:w="0" w:type="dxa"/>
              <w:bottom w:w="0" w:type="dxa"/>
              <w:right w:w="0" w:type="dxa"/>
            </w:tcMar>
            <w:vAlign w:val="center"/>
          </w:tcPr>
          <w:p>
            <w:pPr>
              <w:pStyle w:val="11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62" w:hRule="atLeast"/>
          <w:jc w:val="center"/>
        </w:trPr>
        <w:tc>
          <w:tcPr>
            <w:tcW w:w="327" w:type="pct"/>
            <w:vMerge w:val="restart"/>
            <w:tcMar>
              <w:top w:w="0" w:type="dxa"/>
              <w:left w:w="0" w:type="dxa"/>
              <w:bottom w:w="0" w:type="dxa"/>
              <w:right w:w="0" w:type="dxa"/>
            </w:tcMar>
            <w:vAlign w:val="center"/>
          </w:tcPr>
          <w:p>
            <w:pPr>
              <w:pStyle w:val="1132"/>
            </w:pPr>
            <w:r>
              <w:t>营</w:t>
            </w:r>
          </w:p>
          <w:p>
            <w:pPr>
              <w:pStyle w:val="1132"/>
            </w:pPr>
            <w:r>
              <w:t>运</w:t>
            </w:r>
          </w:p>
          <w:p>
            <w:pPr>
              <w:pStyle w:val="1132"/>
            </w:pPr>
            <w:r>
              <w:t>期</w:t>
            </w:r>
          </w:p>
        </w:tc>
        <w:tc>
          <w:tcPr>
            <w:tcW w:w="735" w:type="pct"/>
            <w:tcMar>
              <w:top w:w="0" w:type="dxa"/>
              <w:left w:w="0" w:type="dxa"/>
              <w:bottom w:w="0" w:type="dxa"/>
              <w:right w:w="0" w:type="dxa"/>
            </w:tcMar>
            <w:vAlign w:val="center"/>
          </w:tcPr>
          <w:p>
            <w:pPr>
              <w:pStyle w:val="1132"/>
            </w:pPr>
            <w:r>
              <w:t>交通噪声防治</w:t>
            </w:r>
          </w:p>
        </w:tc>
        <w:tc>
          <w:tcPr>
            <w:tcW w:w="2695" w:type="pct"/>
            <w:tcMar>
              <w:top w:w="0" w:type="dxa"/>
              <w:left w:w="0" w:type="dxa"/>
              <w:bottom w:w="0" w:type="dxa"/>
              <w:right w:w="0" w:type="dxa"/>
            </w:tcMar>
            <w:vAlign w:val="center"/>
          </w:tcPr>
          <w:p>
            <w:pPr>
              <w:pStyle w:val="1132"/>
              <w:rPr>
                <w:rFonts w:hint="default" w:eastAsia="宋体"/>
                <w:lang w:val="en-US" w:eastAsia="zh-CN"/>
              </w:rPr>
            </w:pPr>
            <w:r>
              <w:t>噪声</w:t>
            </w:r>
            <w:r>
              <w:rPr>
                <w:rFonts w:hint="eastAsia"/>
              </w:rPr>
              <w:t>跟踪</w:t>
            </w:r>
            <w:r>
              <w:t>监测</w:t>
            </w:r>
            <w:r>
              <w:rPr>
                <w:rFonts w:hint="eastAsia"/>
              </w:rPr>
              <w:t>，敏感点噪声超标</w:t>
            </w:r>
            <w:r>
              <w:rPr>
                <w:rFonts w:hint="eastAsia"/>
                <w:lang w:val="en-US" w:eastAsia="zh-CN"/>
              </w:rPr>
              <w:t>处设置禁鸣标志，设置绿化带隔声降噪</w:t>
            </w:r>
          </w:p>
        </w:tc>
        <w:tc>
          <w:tcPr>
            <w:tcW w:w="1243" w:type="pct"/>
            <w:tcMar>
              <w:top w:w="0" w:type="dxa"/>
              <w:left w:w="0" w:type="dxa"/>
              <w:bottom w:w="0" w:type="dxa"/>
              <w:right w:w="0" w:type="dxa"/>
            </w:tcMar>
            <w:vAlign w:val="center"/>
          </w:tcPr>
          <w:p>
            <w:pPr>
              <w:pStyle w:val="1132"/>
            </w:pPr>
            <w:r>
              <w:t>边界线35m范围内、外分别达到《声环境质量标准》（GB3096-2008）中的4a类和2类标准要求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65" w:hRule="atLeast"/>
          <w:jc w:val="center"/>
        </w:trPr>
        <w:tc>
          <w:tcPr>
            <w:tcW w:w="327" w:type="pct"/>
            <w:vMerge w:val="continue"/>
            <w:vAlign w:val="center"/>
          </w:tcPr>
          <w:p>
            <w:pPr>
              <w:pStyle w:val="1132"/>
            </w:pPr>
          </w:p>
        </w:tc>
        <w:tc>
          <w:tcPr>
            <w:tcW w:w="735" w:type="pct"/>
            <w:tcMar>
              <w:top w:w="0" w:type="dxa"/>
              <w:left w:w="0" w:type="dxa"/>
              <w:bottom w:w="0" w:type="dxa"/>
              <w:right w:w="0" w:type="dxa"/>
            </w:tcMar>
            <w:vAlign w:val="center"/>
          </w:tcPr>
          <w:p>
            <w:pPr>
              <w:pStyle w:val="1132"/>
            </w:pPr>
            <w:r>
              <w:t>废气</w:t>
            </w:r>
          </w:p>
        </w:tc>
        <w:tc>
          <w:tcPr>
            <w:tcW w:w="2695" w:type="pct"/>
            <w:tcMar>
              <w:top w:w="0" w:type="dxa"/>
              <w:left w:w="0" w:type="dxa"/>
              <w:bottom w:w="0" w:type="dxa"/>
              <w:right w:w="0" w:type="dxa"/>
            </w:tcMar>
            <w:vAlign w:val="center"/>
          </w:tcPr>
          <w:p>
            <w:pPr>
              <w:pStyle w:val="1132"/>
            </w:pPr>
            <w:r>
              <w:t>加强道路两侧的绿化；加强交通管理</w:t>
            </w:r>
          </w:p>
        </w:tc>
        <w:tc>
          <w:tcPr>
            <w:tcW w:w="1243" w:type="pct"/>
            <w:tcMar>
              <w:top w:w="0" w:type="dxa"/>
              <w:left w:w="0" w:type="dxa"/>
              <w:bottom w:w="0" w:type="dxa"/>
              <w:right w:w="0" w:type="dxa"/>
            </w:tcMar>
            <w:vAlign w:val="center"/>
          </w:tcPr>
          <w:p>
            <w:pPr>
              <w:pStyle w:val="1132"/>
            </w:pPr>
            <w:r>
              <w:rPr>
                <w:rFonts w:hint="eastAsia"/>
              </w:rPr>
              <w:t>维持现有环境空气质量现状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327" w:type="pct"/>
            <w:vMerge w:val="continue"/>
            <w:vAlign w:val="center"/>
          </w:tcPr>
          <w:p>
            <w:pPr>
              <w:pStyle w:val="1132"/>
            </w:pPr>
          </w:p>
        </w:tc>
        <w:tc>
          <w:tcPr>
            <w:tcW w:w="735" w:type="pct"/>
            <w:tcMar>
              <w:top w:w="0" w:type="dxa"/>
              <w:left w:w="0" w:type="dxa"/>
              <w:bottom w:w="0" w:type="dxa"/>
              <w:right w:w="0" w:type="dxa"/>
            </w:tcMar>
            <w:vAlign w:val="center"/>
          </w:tcPr>
          <w:p>
            <w:pPr>
              <w:pStyle w:val="1132"/>
            </w:pPr>
            <w:r>
              <w:t>固体废物</w:t>
            </w:r>
          </w:p>
        </w:tc>
        <w:tc>
          <w:tcPr>
            <w:tcW w:w="2695" w:type="pct"/>
            <w:tcMar>
              <w:top w:w="0" w:type="dxa"/>
              <w:left w:w="0" w:type="dxa"/>
              <w:bottom w:w="0" w:type="dxa"/>
              <w:right w:w="0" w:type="dxa"/>
            </w:tcMar>
            <w:vAlign w:val="center"/>
          </w:tcPr>
          <w:p>
            <w:pPr>
              <w:pStyle w:val="1132"/>
            </w:pPr>
            <w:r>
              <w:rPr>
                <w:rFonts w:hint="eastAsia"/>
              </w:rPr>
              <w:t>公路养护垃圾</w:t>
            </w:r>
          </w:p>
        </w:tc>
        <w:tc>
          <w:tcPr>
            <w:tcW w:w="1243" w:type="pct"/>
            <w:tcMar>
              <w:top w:w="0" w:type="dxa"/>
              <w:left w:w="0" w:type="dxa"/>
              <w:bottom w:w="0" w:type="dxa"/>
              <w:right w:w="0" w:type="dxa"/>
            </w:tcMar>
            <w:vAlign w:val="center"/>
          </w:tcPr>
          <w:p>
            <w:pPr>
              <w:pStyle w:val="1132"/>
            </w:pPr>
            <w:r>
              <w:t>固废得到妥善处置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327" w:type="pct"/>
            <w:vMerge w:val="continue"/>
            <w:vAlign w:val="center"/>
          </w:tcPr>
          <w:p>
            <w:pPr>
              <w:pStyle w:val="1132"/>
            </w:pPr>
          </w:p>
        </w:tc>
        <w:tc>
          <w:tcPr>
            <w:tcW w:w="735" w:type="pct"/>
            <w:tcMar>
              <w:top w:w="0" w:type="dxa"/>
              <w:left w:w="0" w:type="dxa"/>
              <w:bottom w:w="0" w:type="dxa"/>
              <w:right w:w="0" w:type="dxa"/>
            </w:tcMar>
            <w:vAlign w:val="center"/>
          </w:tcPr>
          <w:p>
            <w:pPr>
              <w:pStyle w:val="1132"/>
              <w:rPr>
                <w:spacing w:val="-20"/>
              </w:rPr>
            </w:pPr>
            <w:r>
              <w:rPr>
                <w:spacing w:val="-20"/>
              </w:rPr>
              <w:t>环境风险防范</w:t>
            </w:r>
          </w:p>
        </w:tc>
        <w:tc>
          <w:tcPr>
            <w:tcW w:w="2695" w:type="pct"/>
            <w:tcMar>
              <w:top w:w="0" w:type="dxa"/>
              <w:left w:w="0" w:type="dxa"/>
              <w:bottom w:w="0" w:type="dxa"/>
              <w:right w:w="0" w:type="dxa"/>
            </w:tcMar>
            <w:vAlign w:val="center"/>
          </w:tcPr>
          <w:p>
            <w:pPr>
              <w:pStyle w:val="1132"/>
            </w:pPr>
            <w:r>
              <w:t>制定环境风险应急预案和防范措施，并配备应急设备</w:t>
            </w:r>
          </w:p>
        </w:tc>
        <w:tc>
          <w:tcPr>
            <w:tcW w:w="1243" w:type="pct"/>
            <w:tcMar>
              <w:top w:w="0" w:type="dxa"/>
              <w:left w:w="0" w:type="dxa"/>
              <w:bottom w:w="0" w:type="dxa"/>
              <w:right w:w="0" w:type="dxa"/>
            </w:tcMar>
            <w:vAlign w:val="center"/>
          </w:tcPr>
          <w:p>
            <w:pPr>
              <w:pStyle w:val="1132"/>
            </w:pPr>
            <w:r>
              <w:t>降低环境风险</w:t>
            </w:r>
          </w:p>
        </w:tc>
      </w:tr>
      <w:bookmarkEnd w:id="462"/>
      <w:bookmarkEnd w:id="472"/>
      <w:bookmarkEnd w:id="473"/>
    </w:tbl>
    <w:p>
      <w:pPr>
        <w:widowControl/>
        <w:spacing w:line="240" w:lineRule="auto"/>
        <w:ind w:firstLine="480"/>
        <w:jc w:val="left"/>
        <w:rPr>
          <w:rFonts w:ascii="黑体" w:hAnsi="黑体"/>
          <w:b/>
          <w:color w:val="0070C0"/>
          <w:kern w:val="0"/>
          <w:sz w:val="44"/>
        </w:rPr>
      </w:pPr>
      <w:bookmarkStart w:id="493" w:name="_Toc16253930"/>
      <w:bookmarkStart w:id="494" w:name="_Toc513449074"/>
      <w:r>
        <w:rPr>
          <w:color w:val="0070C0"/>
        </w:rPr>
        <w:br w:type="page"/>
      </w:r>
    </w:p>
    <w:p>
      <w:pPr>
        <w:pStyle w:val="5"/>
      </w:pPr>
      <w:bookmarkStart w:id="495" w:name="_Toc11962"/>
      <w:bookmarkStart w:id="496" w:name="_Toc20006"/>
      <w:bookmarkStart w:id="497" w:name="_Toc20737"/>
      <w:r>
        <w:t>环境影响评价结论</w:t>
      </w:r>
      <w:bookmarkEnd w:id="493"/>
      <w:bookmarkEnd w:id="494"/>
      <w:bookmarkEnd w:id="495"/>
      <w:bookmarkEnd w:id="496"/>
      <w:bookmarkEnd w:id="497"/>
    </w:p>
    <w:p>
      <w:pPr>
        <w:pStyle w:val="7"/>
        <w:rPr>
          <w:b/>
          <w:bCs/>
          <w:sz w:val="28"/>
          <w:szCs w:val="28"/>
        </w:rPr>
      </w:pPr>
      <w:bookmarkStart w:id="498" w:name="_Toc16253931"/>
      <w:bookmarkStart w:id="499" w:name="_Toc28558"/>
      <w:bookmarkStart w:id="500" w:name="_Toc20018"/>
      <w:r>
        <w:rPr>
          <w:b/>
          <w:bCs/>
          <w:sz w:val="28"/>
          <w:szCs w:val="28"/>
        </w:rPr>
        <w:t>工程概况</w:t>
      </w:r>
      <w:bookmarkEnd w:id="498"/>
      <w:bookmarkEnd w:id="499"/>
      <w:bookmarkEnd w:id="500"/>
      <w:r>
        <w:rPr>
          <w:b/>
          <w:bCs/>
          <w:sz w:val="28"/>
          <w:szCs w:val="28"/>
        </w:rPr>
        <w:t xml:space="preserve"> </w:t>
      </w:r>
    </w:p>
    <w:p>
      <w:pPr>
        <w:pStyle w:val="112"/>
        <w:ind w:firstLine="480"/>
        <w:rPr>
          <w:color w:val="auto"/>
        </w:rPr>
      </w:pPr>
      <w:r>
        <w:rPr>
          <w:rFonts w:hint="eastAsia" w:cs="Times New Roman"/>
          <w:color w:val="auto"/>
          <w:lang w:val="en-US" w:eastAsia="zh-CN"/>
        </w:rPr>
        <w:t>S311怀远包集至蚌埠民用机场一级公路工程</w:t>
      </w:r>
      <w:r>
        <w:rPr>
          <w:rFonts w:hint="default" w:ascii="Times New Roman" w:hAnsi="Times New Roman" w:cs="Times New Roman"/>
          <w:color w:val="auto"/>
          <w:lang w:val="en-US" w:eastAsia="zh-CN"/>
        </w:rPr>
        <w:t>路线</w:t>
      </w:r>
      <w:r>
        <w:rPr>
          <w:rFonts w:hint="eastAsia" w:cs="Times New Roman"/>
          <w:color w:val="auto"/>
          <w:lang w:val="en-US" w:eastAsia="zh-CN"/>
        </w:rPr>
        <w:t>起于包集互通出入口，与原G206十字交叉，线位沿现状S311下穿京台高速、与在建新G206交叉后，向西北偏转，经仁和村、邵楼村，与机场出入道路衔接后向西延伸至小沟沿北侧，接刘褚路（S419），S311怀远包集至蚌埠民用机场一级公路工程</w:t>
      </w:r>
      <w:r>
        <w:rPr>
          <w:rFonts w:hint="eastAsia"/>
          <w:color w:val="auto"/>
        </w:rPr>
        <w:t>起终点范围为</w:t>
      </w:r>
      <w:r>
        <w:rPr>
          <w:color w:val="auto"/>
        </w:rPr>
        <w:t>K</w:t>
      </w:r>
      <w:r>
        <w:rPr>
          <w:rFonts w:hint="eastAsia"/>
          <w:color w:val="auto"/>
          <w:lang w:val="en-US" w:eastAsia="zh-CN"/>
        </w:rPr>
        <w:t>00</w:t>
      </w:r>
      <w:r>
        <w:rPr>
          <w:color w:val="auto"/>
        </w:rPr>
        <w:t>+</w:t>
      </w:r>
      <w:r>
        <w:rPr>
          <w:rFonts w:hint="eastAsia"/>
          <w:color w:val="auto"/>
          <w:lang w:val="en-US" w:eastAsia="zh-CN"/>
        </w:rPr>
        <w:t>000</w:t>
      </w:r>
      <w:r>
        <w:rPr>
          <w:color w:val="auto"/>
        </w:rPr>
        <w:t>~K</w:t>
      </w:r>
      <w:r>
        <w:rPr>
          <w:rFonts w:hint="eastAsia"/>
          <w:color w:val="auto"/>
          <w:lang w:val="en-US" w:eastAsia="zh-CN"/>
        </w:rPr>
        <w:t>7</w:t>
      </w:r>
      <w:r>
        <w:rPr>
          <w:color w:val="auto"/>
        </w:rPr>
        <w:t>+</w:t>
      </w:r>
      <w:r>
        <w:rPr>
          <w:rFonts w:hint="eastAsia"/>
          <w:color w:val="auto"/>
          <w:lang w:val="en-US" w:eastAsia="zh-CN"/>
        </w:rPr>
        <w:t>700.604</w:t>
      </w:r>
      <w:r>
        <w:rPr>
          <w:rFonts w:hint="eastAsia"/>
          <w:color w:val="auto"/>
        </w:rPr>
        <w:t>，拟建项目全长约7.70km，全部为新建道路。</w:t>
      </w:r>
    </w:p>
    <w:p>
      <w:pPr>
        <w:pStyle w:val="112"/>
        <w:ind w:firstLine="480"/>
        <w:rPr>
          <w:rFonts w:hint="eastAsia"/>
          <w:color w:val="auto"/>
          <w:sz w:val="24"/>
          <w:szCs w:val="24"/>
        </w:rPr>
      </w:pPr>
      <w:r>
        <w:rPr>
          <w:rFonts w:hint="eastAsia" w:ascii="Times New Roman" w:hAnsi="Times New Roman" w:eastAsia="宋体" w:cs="Times New Roman"/>
          <w:color w:val="auto"/>
          <w:highlight w:val="none"/>
          <w:lang w:val="en-US" w:eastAsia="zh-CN"/>
        </w:rPr>
        <w:t>本项目按双向六车道一级公路标准建设</w:t>
      </w:r>
      <w:r>
        <w:rPr>
          <w:rFonts w:ascii="Times New Roman" w:hAnsi="Times New Roman" w:cs="Times New Roman"/>
          <w:color w:val="auto"/>
        </w:rPr>
        <w:t>，路基宽度</w:t>
      </w:r>
      <w:r>
        <w:rPr>
          <w:rFonts w:hint="eastAsia" w:ascii="Times New Roman" w:hAnsi="Times New Roman" w:cs="Times New Roman"/>
          <w:color w:val="auto"/>
          <w:lang w:val="en-US" w:eastAsia="zh-CN"/>
        </w:rPr>
        <w:t>33</w:t>
      </w:r>
      <w:r>
        <w:rPr>
          <w:rFonts w:ascii="Times New Roman" w:hAnsi="Times New Roman" w:cs="Times New Roman"/>
          <w:color w:val="auto"/>
        </w:rPr>
        <w:t>.5米，设计速度</w:t>
      </w:r>
      <w:r>
        <w:rPr>
          <w:rFonts w:hint="eastAsia" w:ascii="Times New Roman" w:hAnsi="Times New Roman" w:cs="Times New Roman"/>
          <w:color w:val="auto"/>
          <w:lang w:val="en-US" w:eastAsia="zh-CN"/>
        </w:rPr>
        <w:t>6</w:t>
      </w:r>
      <w:r>
        <w:rPr>
          <w:rFonts w:ascii="Times New Roman" w:hAnsi="Times New Roman" w:cs="Times New Roman"/>
          <w:color w:val="auto"/>
        </w:rPr>
        <w:t>0</w:t>
      </w:r>
      <w:r>
        <w:rPr>
          <w:rFonts w:hint="eastAsia" w:ascii="Times New Roman" w:hAnsi="Times New Roman" w:cs="Times New Roman"/>
          <w:color w:val="auto"/>
          <w:lang w:val="en-US" w:eastAsia="zh-CN"/>
        </w:rPr>
        <w:t>k</w:t>
      </w:r>
      <w:r>
        <w:rPr>
          <w:rFonts w:ascii="Times New Roman" w:hAnsi="Times New Roman" w:cs="Times New Roman"/>
          <w:color w:val="auto"/>
        </w:rPr>
        <w:t>m/h</w:t>
      </w:r>
      <w:r>
        <w:rPr>
          <w:rFonts w:hint="eastAsia" w:ascii="Times New Roman" w:hAnsi="Times New Roman" w:cs="Times New Roman"/>
          <w:color w:val="auto"/>
          <w:lang w:eastAsia="zh-CN"/>
        </w:rPr>
        <w:t>。</w:t>
      </w:r>
      <w:r>
        <w:rPr>
          <w:rFonts w:ascii="Times New Roman" w:hAnsi="Times New Roman" w:cs="Times New Roman"/>
          <w:color w:val="auto"/>
        </w:rPr>
        <w:t>新建中</w:t>
      </w:r>
      <w:r>
        <w:rPr>
          <w:rFonts w:hint="eastAsia" w:ascii="Times New Roman" w:hAnsi="Times New Roman" w:cs="Times New Roman"/>
          <w:color w:val="auto"/>
          <w:lang w:val="en-US" w:eastAsia="zh-CN"/>
        </w:rPr>
        <w:t>型</w:t>
      </w:r>
      <w:r>
        <w:rPr>
          <w:rFonts w:ascii="Times New Roman" w:hAnsi="Times New Roman" w:cs="Times New Roman"/>
          <w:color w:val="auto"/>
        </w:rPr>
        <w:t>桥梁</w:t>
      </w:r>
      <w:r>
        <w:rPr>
          <w:rFonts w:hint="eastAsia" w:ascii="Times New Roman" w:hAnsi="Times New Roman" w:cs="Times New Roman"/>
          <w:color w:val="auto"/>
          <w:lang w:val="en-US" w:eastAsia="zh-CN"/>
        </w:rPr>
        <w:t>2</w:t>
      </w:r>
      <w:r>
        <w:rPr>
          <w:rFonts w:ascii="Times New Roman" w:hAnsi="Times New Roman" w:cs="Times New Roman"/>
          <w:color w:val="auto"/>
        </w:rPr>
        <w:t>座总长</w:t>
      </w:r>
      <w:r>
        <w:rPr>
          <w:rFonts w:hint="eastAsia" w:ascii="Times New Roman" w:hAnsi="Times New Roman" w:cs="Times New Roman"/>
          <w:color w:val="auto"/>
          <w:lang w:val="en-US" w:eastAsia="zh-CN"/>
        </w:rPr>
        <w:t>108</w:t>
      </w:r>
      <w:r>
        <w:rPr>
          <w:rFonts w:ascii="Times New Roman" w:hAnsi="Times New Roman" w:cs="Times New Roman"/>
          <w:color w:val="auto"/>
        </w:rPr>
        <w:t>米，</w:t>
      </w:r>
      <w:r>
        <w:rPr>
          <w:rFonts w:hint="eastAsia" w:ascii="Times New Roman" w:hAnsi="Times New Roman" w:cs="Times New Roman"/>
          <w:color w:val="auto"/>
        </w:rPr>
        <w:t>全线共设置2</w:t>
      </w:r>
      <w:r>
        <w:rPr>
          <w:rFonts w:hint="eastAsia" w:cs="Times New Roman"/>
          <w:color w:val="auto"/>
          <w:lang w:val="en-US" w:eastAsia="zh-CN"/>
        </w:rPr>
        <w:t>8</w:t>
      </w:r>
      <w:r>
        <w:rPr>
          <w:rFonts w:hint="eastAsia" w:ascii="Times New Roman" w:hAnsi="Times New Roman" w:cs="Times New Roman"/>
          <w:color w:val="auto"/>
        </w:rPr>
        <w:t>道涵洞，其中φ1.5m圆管涵共1</w:t>
      </w:r>
      <w:r>
        <w:rPr>
          <w:rFonts w:hint="eastAsia" w:cs="Times New Roman"/>
          <w:color w:val="auto"/>
          <w:lang w:val="en-US" w:eastAsia="zh-CN"/>
        </w:rPr>
        <w:t>7</w:t>
      </w:r>
      <w:r>
        <w:rPr>
          <w:rFonts w:hint="eastAsia" w:ascii="Times New Roman" w:hAnsi="Times New Roman" w:cs="Times New Roman"/>
          <w:color w:val="auto"/>
        </w:rPr>
        <w:t>道；跨径4m箱涵共3道；跨径6m箱涵共8道；</w:t>
      </w:r>
      <w:r>
        <w:rPr>
          <w:rFonts w:hint="eastAsia" w:ascii="Times New Roman" w:hAnsi="Times New Roman" w:cs="Times New Roman"/>
          <w:color w:val="auto"/>
          <w:lang w:val="en-US" w:eastAsia="zh-CN"/>
        </w:rPr>
        <w:t>设置</w:t>
      </w:r>
      <w:r>
        <w:rPr>
          <w:rFonts w:hint="eastAsia" w:ascii="Times New Roman" w:hAnsi="Times New Roman"/>
          <w:color w:val="auto"/>
          <w:highlight w:val="none"/>
          <w:lang w:eastAsia="zh-CN"/>
        </w:rPr>
        <w:t>平面</w:t>
      </w:r>
      <w:r>
        <w:rPr>
          <w:rFonts w:hint="eastAsia" w:ascii="Times New Roman" w:hAnsi="Times New Roman"/>
          <w:color w:val="auto"/>
          <w:highlight w:val="none"/>
        </w:rPr>
        <w:t>交叉</w:t>
      </w:r>
      <w:r>
        <w:rPr>
          <w:rFonts w:hint="eastAsia" w:ascii="Times New Roman" w:hAnsi="Times New Roman"/>
          <w:color w:val="auto"/>
          <w:highlight w:val="none"/>
          <w:lang w:val="en-US" w:eastAsia="zh-CN"/>
        </w:rPr>
        <w:t>6</w:t>
      </w:r>
      <w:r>
        <w:rPr>
          <w:rFonts w:hint="eastAsia" w:ascii="Times New Roman" w:hAnsi="Times New Roman"/>
          <w:color w:val="auto"/>
          <w:highlight w:val="none"/>
        </w:rPr>
        <w:t>处，交</w:t>
      </w:r>
      <w:r>
        <w:rPr>
          <w:rFonts w:hint="eastAsia" w:ascii="Times New Roman" w:hAnsi="Times New Roman"/>
          <w:color w:val="auto"/>
          <w:highlight w:val="none"/>
          <w:lang w:eastAsia="zh-CN"/>
        </w:rPr>
        <w:t>体交</w:t>
      </w:r>
      <w:r>
        <w:rPr>
          <w:rFonts w:hint="eastAsia" w:ascii="Times New Roman" w:hAnsi="Times New Roman"/>
          <w:color w:val="auto"/>
          <w:highlight w:val="none"/>
        </w:rPr>
        <w:t>叉</w:t>
      </w:r>
      <w:r>
        <w:rPr>
          <w:rFonts w:hint="eastAsia" w:ascii="Times New Roman" w:hAnsi="Times New Roman"/>
          <w:color w:val="auto"/>
          <w:highlight w:val="none"/>
          <w:lang w:val="en-US" w:eastAsia="zh-CN"/>
        </w:rPr>
        <w:t>1</w:t>
      </w:r>
      <w:r>
        <w:rPr>
          <w:rFonts w:hint="eastAsia" w:ascii="Times New Roman" w:hAnsi="Times New Roman"/>
          <w:color w:val="auto"/>
          <w:highlight w:val="none"/>
        </w:rPr>
        <w:t>处</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本项目</w:t>
      </w:r>
      <w:r>
        <w:rPr>
          <w:rFonts w:hint="eastAsia"/>
          <w:color w:val="auto"/>
          <w:lang w:val="en-US" w:eastAsia="zh-CN"/>
        </w:rPr>
        <w:t>永久占地</w:t>
      </w:r>
      <w:r>
        <w:rPr>
          <w:rFonts w:hint="eastAsia" w:ascii="Times New Roman" w:hAnsi="Times New Roman" w:cs="Times New Roman"/>
          <w:color w:val="auto"/>
          <w:lang w:val="en-US" w:eastAsia="zh-CN"/>
        </w:rPr>
        <w:t>592.09亩</w:t>
      </w:r>
      <w:r>
        <w:rPr>
          <w:rFonts w:hint="eastAsia"/>
          <w:color w:val="auto"/>
        </w:rPr>
        <w:t>，</w:t>
      </w:r>
      <w:r>
        <w:rPr>
          <w:rFonts w:hint="eastAsia"/>
          <w:color w:val="auto"/>
          <w:lang w:val="en-US" w:eastAsia="zh-CN"/>
        </w:rPr>
        <w:t>临时占地248.06亩</w:t>
      </w:r>
      <w:r>
        <w:rPr>
          <w:rFonts w:hint="eastAsia"/>
          <w:color w:val="auto"/>
        </w:rPr>
        <w:t>；本项目全线共计挖方473584m</w:t>
      </w:r>
      <w:r>
        <w:rPr>
          <w:color w:val="auto"/>
          <w:vertAlign w:val="superscript"/>
        </w:rPr>
        <w:t>3</w:t>
      </w:r>
      <w:r>
        <w:rPr>
          <w:rFonts w:hint="eastAsia"/>
          <w:color w:val="auto"/>
        </w:rPr>
        <w:t>，填方446419m</w:t>
      </w:r>
      <w:r>
        <w:rPr>
          <w:color w:val="auto"/>
          <w:vertAlign w:val="superscript"/>
        </w:rPr>
        <w:t>3</w:t>
      </w:r>
      <w:r>
        <w:rPr>
          <w:rFonts w:hint="eastAsia"/>
          <w:color w:val="auto"/>
        </w:rPr>
        <w:t>，多余土石方运往弃</w:t>
      </w:r>
      <w:r>
        <w:rPr>
          <w:rFonts w:hint="eastAsia"/>
          <w:color w:val="auto"/>
          <w:sz w:val="24"/>
          <w:szCs w:val="24"/>
        </w:rPr>
        <w:t>土场。</w:t>
      </w:r>
      <w:r>
        <w:rPr>
          <w:rFonts w:hint="eastAsia"/>
          <w:color w:val="auto"/>
          <w:sz w:val="24"/>
          <w:szCs w:val="24"/>
          <w:lang w:val="en-US" w:eastAsia="zh-CN"/>
        </w:rPr>
        <w:t>拆迁建筑物面积共计38680m</w:t>
      </w:r>
      <w:r>
        <w:rPr>
          <w:rFonts w:hint="eastAsia"/>
          <w:color w:val="auto"/>
          <w:sz w:val="24"/>
          <w:szCs w:val="24"/>
          <w:vertAlign w:val="superscript"/>
          <w:lang w:val="en-US" w:eastAsia="zh-CN"/>
        </w:rPr>
        <w:t>2</w:t>
      </w:r>
      <w:r>
        <w:rPr>
          <w:rFonts w:hint="eastAsia"/>
          <w:color w:val="auto"/>
          <w:sz w:val="24"/>
          <w:szCs w:val="24"/>
          <w:lang w:val="en-US" w:eastAsia="zh-CN"/>
        </w:rPr>
        <w:t>，</w:t>
      </w:r>
      <w:r>
        <w:rPr>
          <w:rFonts w:hint="eastAsia" w:cs="Times New Roman"/>
          <w:b w:val="0"/>
          <w:bCs w:val="0"/>
          <w:color w:val="auto"/>
          <w:sz w:val="24"/>
          <w:szCs w:val="24"/>
          <w:highlight w:val="none"/>
          <w:lang w:val="en-US" w:eastAsia="zh-CN"/>
        </w:rPr>
        <w:t>楼房33710m</w:t>
      </w:r>
      <w:r>
        <w:rPr>
          <w:rFonts w:hint="eastAsia" w:cs="Times New Roman"/>
          <w:b w:val="0"/>
          <w:bCs w:val="0"/>
          <w:color w:val="auto"/>
          <w:sz w:val="24"/>
          <w:szCs w:val="24"/>
          <w:highlight w:val="none"/>
          <w:vertAlign w:val="superscript"/>
          <w:lang w:val="en-US" w:eastAsia="zh-CN"/>
        </w:rPr>
        <w:t>2</w:t>
      </w:r>
      <w:r>
        <w:rPr>
          <w:rFonts w:hint="eastAsia" w:cs="Times New Roman"/>
          <w:b w:val="0"/>
          <w:bCs w:val="0"/>
          <w:color w:val="auto"/>
          <w:sz w:val="24"/>
          <w:szCs w:val="24"/>
          <w:highlight w:val="none"/>
          <w:lang w:val="en-US" w:eastAsia="zh-CN"/>
        </w:rPr>
        <w:t>，砖瓦房3180m</w:t>
      </w:r>
      <w:r>
        <w:rPr>
          <w:rFonts w:hint="eastAsia" w:cs="Times New Roman"/>
          <w:b w:val="0"/>
          <w:bCs w:val="0"/>
          <w:color w:val="auto"/>
          <w:sz w:val="24"/>
          <w:szCs w:val="24"/>
          <w:highlight w:val="none"/>
          <w:vertAlign w:val="superscript"/>
          <w:lang w:val="en-US" w:eastAsia="zh-CN"/>
        </w:rPr>
        <w:t>2</w:t>
      </w:r>
      <w:r>
        <w:rPr>
          <w:rFonts w:hint="eastAsia" w:cs="Times New Roman"/>
          <w:b w:val="0"/>
          <w:bCs w:val="0"/>
          <w:color w:val="auto"/>
          <w:sz w:val="24"/>
          <w:szCs w:val="24"/>
          <w:highlight w:val="none"/>
          <w:lang w:val="en-US" w:eastAsia="zh-CN"/>
        </w:rPr>
        <w:t>，简易房1790m</w:t>
      </w:r>
      <w:r>
        <w:rPr>
          <w:rFonts w:hint="eastAsia" w:cs="Times New Roman"/>
          <w:b w:val="0"/>
          <w:bCs w:val="0"/>
          <w:color w:val="auto"/>
          <w:sz w:val="24"/>
          <w:szCs w:val="24"/>
          <w:highlight w:val="none"/>
          <w:vertAlign w:val="superscript"/>
          <w:lang w:val="en-US" w:eastAsia="zh-CN"/>
        </w:rPr>
        <w:t>2</w:t>
      </w:r>
      <w:r>
        <w:rPr>
          <w:rFonts w:hint="eastAsia"/>
          <w:color w:val="auto"/>
          <w:sz w:val="24"/>
          <w:szCs w:val="24"/>
        </w:rPr>
        <w:t>。</w:t>
      </w:r>
    </w:p>
    <w:p>
      <w:pPr>
        <w:pStyle w:val="112"/>
        <w:ind w:firstLine="480"/>
        <w:rPr>
          <w:rFonts w:hint="eastAsia" w:eastAsia="宋体"/>
          <w:color w:val="auto"/>
          <w:lang w:val="en-US" w:eastAsia="zh-CN"/>
        </w:rPr>
      </w:pPr>
      <w:r>
        <w:rPr>
          <w:rFonts w:hint="eastAsia"/>
          <w:color w:val="auto"/>
          <w:lang w:val="en-US" w:eastAsia="zh-CN"/>
        </w:rPr>
        <w:t>本项目</w:t>
      </w:r>
      <w:r>
        <w:rPr>
          <w:rFonts w:hint="eastAsia"/>
          <w:color w:val="auto"/>
        </w:rPr>
        <w:t>总投资预计为59515.8万元</w:t>
      </w:r>
      <w:r>
        <w:rPr>
          <w:rFonts w:hint="eastAsia"/>
          <w:color w:val="auto"/>
          <w:lang w:eastAsia="zh-CN"/>
        </w:rPr>
        <w:t>，</w:t>
      </w:r>
      <w:r>
        <w:rPr>
          <w:rFonts w:hint="eastAsia"/>
          <w:color w:val="auto"/>
          <w:lang w:val="en-US" w:eastAsia="zh-CN"/>
        </w:rPr>
        <w:t>其中环保投资655</w:t>
      </w:r>
      <w:r>
        <w:rPr>
          <w:rFonts w:hint="eastAsia"/>
          <w:color w:val="auto"/>
        </w:rPr>
        <w:t>万元，占工程总投资的1.</w:t>
      </w:r>
      <w:r>
        <w:rPr>
          <w:rFonts w:hint="eastAsia"/>
          <w:color w:val="auto"/>
          <w:lang w:val="en-US" w:eastAsia="zh-CN"/>
        </w:rPr>
        <w:t>1</w:t>
      </w:r>
      <w:r>
        <w:rPr>
          <w:rFonts w:hint="eastAsia"/>
          <w:color w:val="auto"/>
        </w:rPr>
        <w:t>%。工程计划202</w:t>
      </w:r>
      <w:r>
        <w:rPr>
          <w:rFonts w:hint="eastAsia"/>
          <w:color w:val="auto"/>
          <w:lang w:val="en-US" w:eastAsia="zh-CN"/>
        </w:rPr>
        <w:t>3</w:t>
      </w:r>
      <w:r>
        <w:rPr>
          <w:rFonts w:hint="eastAsia"/>
          <w:color w:val="auto"/>
        </w:rPr>
        <w:t>年</w:t>
      </w:r>
      <w:r>
        <w:rPr>
          <w:rFonts w:hint="eastAsia"/>
          <w:color w:val="auto"/>
          <w:lang w:val="en-US" w:eastAsia="zh-CN"/>
        </w:rPr>
        <w:t>1</w:t>
      </w:r>
      <w:r>
        <w:rPr>
          <w:rFonts w:hint="eastAsia"/>
          <w:color w:val="auto"/>
        </w:rPr>
        <w:t>月开工建设，202</w:t>
      </w:r>
      <w:r>
        <w:rPr>
          <w:rFonts w:hint="eastAsia"/>
          <w:color w:val="auto"/>
          <w:lang w:val="en-US" w:eastAsia="zh-CN"/>
        </w:rPr>
        <w:t>3</w:t>
      </w:r>
      <w:r>
        <w:rPr>
          <w:rFonts w:hint="eastAsia"/>
          <w:color w:val="auto"/>
        </w:rPr>
        <w:t>年12月底竣工，总工期</w:t>
      </w:r>
      <w:r>
        <w:rPr>
          <w:rFonts w:hint="eastAsia"/>
          <w:color w:val="auto"/>
          <w:lang w:val="en-US" w:eastAsia="zh-CN"/>
        </w:rPr>
        <w:t>12</w:t>
      </w:r>
      <w:r>
        <w:rPr>
          <w:rFonts w:hint="eastAsia"/>
          <w:color w:val="auto"/>
        </w:rPr>
        <w:t>个月</w:t>
      </w:r>
      <w:r>
        <w:rPr>
          <w:rFonts w:hint="eastAsia"/>
          <w:color w:val="auto"/>
          <w:lang w:eastAsia="zh-CN"/>
        </w:rPr>
        <w:t>。</w:t>
      </w:r>
    </w:p>
    <w:p>
      <w:pPr>
        <w:pStyle w:val="7"/>
        <w:rPr>
          <w:b/>
          <w:bCs/>
          <w:sz w:val="28"/>
          <w:szCs w:val="28"/>
        </w:rPr>
      </w:pPr>
      <w:bookmarkStart w:id="501" w:name="_Toc188"/>
      <w:bookmarkStart w:id="502" w:name="_Toc29878"/>
      <w:bookmarkStart w:id="503" w:name="_Toc104264598"/>
      <w:bookmarkStart w:id="504" w:name="_Toc16253933"/>
      <w:bookmarkStart w:id="505" w:name="_Toc433956906"/>
      <w:bookmarkStart w:id="506" w:name="_Toc157780477"/>
      <w:bookmarkStart w:id="507" w:name="_Toc174954570"/>
      <w:bookmarkStart w:id="508" w:name="_Toc96832630"/>
      <w:bookmarkStart w:id="509" w:name="_Toc335615832"/>
      <w:bookmarkStart w:id="510" w:name="_Toc425230507"/>
      <w:bookmarkStart w:id="511" w:name="_Toc157918846"/>
      <w:bookmarkStart w:id="512" w:name="_Toc408125166"/>
      <w:bookmarkStart w:id="513" w:name="_Toc415814784"/>
      <w:r>
        <w:rPr>
          <w:b/>
          <w:bCs/>
          <w:sz w:val="28"/>
          <w:szCs w:val="28"/>
        </w:rPr>
        <w:t>环境质量现状</w:t>
      </w:r>
      <w:bookmarkEnd w:id="501"/>
      <w:bookmarkEnd w:id="502"/>
    </w:p>
    <w:p>
      <w:pPr>
        <w:pStyle w:val="8"/>
        <w:rPr>
          <w:b/>
          <w:bCs/>
        </w:rPr>
      </w:pPr>
      <w:bookmarkStart w:id="514" w:name="_Toc23988"/>
      <w:r>
        <w:rPr>
          <w:b/>
          <w:bCs/>
        </w:rPr>
        <w:t>大气环境质量现状</w:t>
      </w:r>
      <w:bookmarkEnd w:id="514"/>
    </w:p>
    <w:p>
      <w:pPr>
        <w:pStyle w:val="10"/>
        <w:ind w:firstLine="480"/>
      </w:pPr>
      <w:r>
        <w:t>由评价结果可知，项目所在区域</w:t>
      </w:r>
      <w:r>
        <w:rPr>
          <w:rFonts w:hint="eastAsia"/>
        </w:rPr>
        <w:t>环境空气质量污染因子除P</w:t>
      </w:r>
      <w:r>
        <w:t>M</w:t>
      </w:r>
      <w:r>
        <w:rPr>
          <w:vertAlign w:val="subscript"/>
        </w:rPr>
        <w:t>2.5</w:t>
      </w:r>
      <w:r>
        <w:rPr>
          <w:rFonts w:hint="eastAsia"/>
        </w:rPr>
        <w:t>外均</w:t>
      </w:r>
      <w:r>
        <w:t>满足《环境空气质量标准》（GB3095-2012）及2018年修改单中二级标准，</w:t>
      </w:r>
      <w:r>
        <w:rPr>
          <w:rFonts w:hint="eastAsia"/>
        </w:rPr>
        <w:t>因此</w:t>
      </w:r>
      <w:r>
        <w:t>项目所在区域为</w:t>
      </w:r>
      <w:r>
        <w:rPr>
          <w:rFonts w:hint="eastAsia"/>
        </w:rPr>
        <w:t>环境空气质量不</w:t>
      </w:r>
      <w:r>
        <w:t>达标</w:t>
      </w:r>
      <w:r>
        <w:rPr>
          <w:rFonts w:hint="eastAsia"/>
        </w:rPr>
        <w:t>区。</w:t>
      </w:r>
    </w:p>
    <w:p>
      <w:pPr>
        <w:pStyle w:val="8"/>
        <w:rPr>
          <w:b/>
          <w:bCs/>
        </w:rPr>
      </w:pPr>
      <w:bookmarkStart w:id="515" w:name="_Toc821"/>
      <w:r>
        <w:rPr>
          <w:b/>
          <w:bCs/>
        </w:rPr>
        <w:t>水环境质量现状</w:t>
      </w:r>
      <w:bookmarkEnd w:id="515"/>
    </w:p>
    <w:p>
      <w:pPr>
        <w:pStyle w:val="10"/>
        <w:ind w:firstLine="480"/>
      </w:pPr>
      <w:r>
        <w:t>从现状监测结果可知，</w:t>
      </w:r>
      <w:r>
        <w:rPr>
          <w:rFonts w:hint="eastAsia"/>
        </w:rPr>
        <w:t>清</w:t>
      </w:r>
      <w:r>
        <w:rPr>
          <w:rFonts w:hint="eastAsia"/>
          <w:lang w:val="en-US" w:eastAsia="zh-CN"/>
        </w:rPr>
        <w:t>沟</w:t>
      </w:r>
      <w:r>
        <w:rPr>
          <w:rFonts w:hint="eastAsia"/>
        </w:rPr>
        <w:t>河</w:t>
      </w:r>
      <w:r>
        <w:rPr>
          <w:snapToGrid w:val="0"/>
        </w:rPr>
        <w:t>各监测因子</w:t>
      </w:r>
      <w:r>
        <w:t>均达到《地表水环境质量标准》（GB3838-2002）</w:t>
      </w:r>
      <w:r>
        <w:rPr>
          <w:rFonts w:hint="eastAsia"/>
        </w:rPr>
        <w:t>I</w:t>
      </w:r>
      <w:r>
        <w:t>II</w:t>
      </w:r>
      <w:r>
        <w:rPr>
          <w:rFonts w:hint="eastAsia"/>
        </w:rPr>
        <w:t>类</w:t>
      </w:r>
      <w:r>
        <w:t>水质标准要求。</w:t>
      </w:r>
    </w:p>
    <w:p>
      <w:pPr>
        <w:pStyle w:val="8"/>
        <w:rPr>
          <w:b/>
          <w:bCs/>
        </w:rPr>
      </w:pPr>
      <w:bookmarkStart w:id="516" w:name="_Toc21418"/>
      <w:r>
        <w:rPr>
          <w:b/>
          <w:bCs/>
        </w:rPr>
        <w:t>声环境质量现状</w:t>
      </w:r>
      <w:bookmarkEnd w:id="516"/>
    </w:p>
    <w:p>
      <w:pPr>
        <w:pStyle w:val="10"/>
        <w:ind w:firstLine="480"/>
      </w:pPr>
      <w:r>
        <w:t>根据声环境质量监测结果，项目沿线各敏感目标声环境质量现状昼、夜噪声值均能满足相应的声环境质量标准。</w:t>
      </w:r>
    </w:p>
    <w:p>
      <w:pPr>
        <w:pStyle w:val="8"/>
        <w:rPr>
          <w:b/>
          <w:bCs/>
        </w:rPr>
      </w:pPr>
      <w:bookmarkStart w:id="517" w:name="_Toc31954"/>
      <w:r>
        <w:rPr>
          <w:b/>
          <w:bCs/>
        </w:rPr>
        <w:t>生态环境质量现状</w:t>
      </w:r>
      <w:bookmarkEnd w:id="517"/>
    </w:p>
    <w:bookmarkEnd w:id="503"/>
    <w:bookmarkEnd w:id="504"/>
    <w:bookmarkEnd w:id="505"/>
    <w:bookmarkEnd w:id="506"/>
    <w:bookmarkEnd w:id="507"/>
    <w:bookmarkEnd w:id="508"/>
    <w:bookmarkEnd w:id="509"/>
    <w:bookmarkEnd w:id="510"/>
    <w:bookmarkEnd w:id="511"/>
    <w:bookmarkEnd w:id="512"/>
    <w:bookmarkEnd w:id="513"/>
    <w:p>
      <w:pPr>
        <w:pStyle w:val="10"/>
        <w:ind w:firstLine="480"/>
      </w:pPr>
      <w:bookmarkStart w:id="518" w:name="_Toc16253934"/>
      <w:r>
        <w:rPr>
          <w:rFonts w:hint="eastAsia"/>
        </w:rPr>
        <w:t>（1）</w:t>
      </w:r>
      <w:r>
        <w:t>农业生态系统是沿线主要的生态类型，以种植业为主；</w:t>
      </w:r>
    </w:p>
    <w:p>
      <w:pPr>
        <w:pStyle w:val="10"/>
        <w:ind w:firstLine="480"/>
      </w:pPr>
      <w:r>
        <w:rPr>
          <w:rFonts w:hint="eastAsia"/>
        </w:rPr>
        <w:t>（2）</w:t>
      </w:r>
      <w:r>
        <w:t>项目沿线土地利用格局为以农用耕地为主，项目占用的土地以</w:t>
      </w:r>
      <w:r>
        <w:rPr>
          <w:rFonts w:hint="eastAsia"/>
        </w:rPr>
        <w:t>耕地</w:t>
      </w:r>
      <w:r>
        <w:t>为主；</w:t>
      </w:r>
    </w:p>
    <w:p>
      <w:pPr>
        <w:pStyle w:val="10"/>
        <w:ind w:firstLine="480"/>
      </w:pPr>
      <w:r>
        <w:rPr>
          <w:rFonts w:hint="eastAsia"/>
        </w:rPr>
        <w:t>（3）</w:t>
      </w:r>
      <w:r>
        <w:t>项目沿线没有珍贵野生动植物分布。</w:t>
      </w:r>
    </w:p>
    <w:p>
      <w:pPr>
        <w:pStyle w:val="7"/>
        <w:rPr>
          <w:b/>
          <w:bCs/>
          <w:sz w:val="28"/>
          <w:szCs w:val="28"/>
        </w:rPr>
      </w:pPr>
      <w:bookmarkStart w:id="519" w:name="_Toc22903"/>
      <w:bookmarkStart w:id="520" w:name="_Toc404"/>
      <w:r>
        <w:rPr>
          <w:b/>
          <w:bCs/>
          <w:sz w:val="28"/>
          <w:szCs w:val="28"/>
        </w:rPr>
        <w:t>环境影响分析</w:t>
      </w:r>
      <w:bookmarkEnd w:id="518"/>
      <w:bookmarkEnd w:id="519"/>
      <w:bookmarkEnd w:id="520"/>
    </w:p>
    <w:p>
      <w:pPr>
        <w:pStyle w:val="8"/>
        <w:rPr>
          <w:b/>
          <w:bCs/>
        </w:rPr>
      </w:pPr>
      <w:bookmarkStart w:id="521" w:name="_Toc10129"/>
      <w:r>
        <w:rPr>
          <w:rFonts w:hint="eastAsia" w:ascii="宋体" w:hAnsi="宋体"/>
          <w:b/>
          <w:bCs/>
          <w:szCs w:val="24"/>
        </w:rPr>
        <w:t>生态</w:t>
      </w:r>
      <w:r>
        <w:rPr>
          <w:b/>
          <w:bCs/>
        </w:rPr>
        <w:t>环境影响分析</w:t>
      </w:r>
      <w:bookmarkEnd w:id="521"/>
    </w:p>
    <w:p>
      <w:pPr>
        <w:pStyle w:val="10"/>
        <w:ind w:firstLine="480"/>
      </w:pPr>
      <w:r>
        <w:t>本项目的永久占地、临时占地及施工活动带来的生态影响，主要体现在对土地利用、农业生产、生物量及生物多样性等多方面的影响，通过耕地补偿、施工活动限制，临时工程的及时恢复及道路两侧绿化建设等措施会将对生态环境的影响较低到最低水平。沿线设置的弃</w:t>
      </w:r>
      <w:r>
        <w:rPr>
          <w:rFonts w:hint="eastAsia"/>
        </w:rPr>
        <w:t>土</w:t>
      </w:r>
      <w:r>
        <w:t>场、</w:t>
      </w:r>
      <w:r>
        <w:rPr>
          <w:rFonts w:hint="eastAsia"/>
        </w:rPr>
        <w:t>临时</w:t>
      </w:r>
      <w:r>
        <w:t>施工场地等，建议远离敏感区和居民点，同时也避开崩塌、滑坡、泥石易发区等危险路段，同时加强弃</w:t>
      </w:r>
      <w:r>
        <w:rPr>
          <w:rFonts w:hint="eastAsia"/>
        </w:rPr>
        <w:t>土</w:t>
      </w:r>
      <w:r>
        <w:t>场管理工作，避免突发事故。</w:t>
      </w:r>
    </w:p>
    <w:p>
      <w:pPr>
        <w:pStyle w:val="10"/>
        <w:ind w:firstLine="480"/>
      </w:pPr>
      <w:r>
        <w:t>评价区由于人类的长期干扰和生态环境的改变，现存动物主要为常见的小型啮齿类动物、鸟类等，此类动物生态适应性强，项目建设不会对其造成较大影响。</w:t>
      </w:r>
    </w:p>
    <w:p>
      <w:pPr>
        <w:pStyle w:val="10"/>
        <w:ind w:firstLine="480"/>
      </w:pPr>
      <w:r>
        <w:t>路基及管沟开挖、土方临时堆存等施工活动在雨季会形成水土流失，项目采取避开雨季施工、修建临时排水措施、土方及时回填、废方及时清运、覆盖等措施后，水土流失影响可降至最低。</w:t>
      </w:r>
    </w:p>
    <w:p>
      <w:pPr>
        <w:pStyle w:val="8"/>
        <w:rPr>
          <w:b/>
          <w:bCs/>
        </w:rPr>
      </w:pPr>
      <w:bookmarkStart w:id="522" w:name="_Toc25454"/>
      <w:r>
        <w:rPr>
          <w:b/>
          <w:bCs/>
        </w:rPr>
        <w:t>水环境影响分析</w:t>
      </w:r>
      <w:bookmarkEnd w:id="522"/>
    </w:p>
    <w:p>
      <w:pPr>
        <w:pStyle w:val="10"/>
        <w:ind w:firstLine="480"/>
      </w:pPr>
      <w:r>
        <w:t>（1）施工期</w:t>
      </w:r>
    </w:p>
    <w:p>
      <w:pPr>
        <w:pStyle w:val="10"/>
        <w:ind w:firstLine="480"/>
      </w:pPr>
      <w:r>
        <w:t>本项目施工场地及施工营地远离地表水体布置。施工期施工废水经隔油、沉淀处理后用于施工场地、施工便道洒水防尘和车辆机械冲洗；施工营地内设置防渗旱厕，定期清理用作附近农田用肥。因此，本项目施工期不直接向地表水体排放污水，对水环境的影响较小。</w:t>
      </w:r>
    </w:p>
    <w:p>
      <w:pPr>
        <w:pStyle w:val="10"/>
        <w:ind w:firstLine="480"/>
      </w:pPr>
      <w:r>
        <w:t>（2）营运期</w:t>
      </w:r>
    </w:p>
    <w:p>
      <w:pPr>
        <w:pStyle w:val="10"/>
        <w:ind w:firstLine="480"/>
      </w:pPr>
      <w:r>
        <w:t>路面雨水径流中的污染物对受纳水体污染物的贡献量很小，不会改变收纳水体的水质类别和影响其使用功能。因此，本项目运营期路面径流对沿线地表水环境的影响较小。</w:t>
      </w:r>
    </w:p>
    <w:p>
      <w:pPr>
        <w:pStyle w:val="8"/>
        <w:rPr>
          <w:b/>
          <w:bCs/>
        </w:rPr>
      </w:pPr>
      <w:bookmarkStart w:id="523" w:name="_Toc19435"/>
      <w:r>
        <w:rPr>
          <w:b/>
          <w:bCs/>
        </w:rPr>
        <w:t>声环境影响分析</w:t>
      </w:r>
      <w:bookmarkEnd w:id="523"/>
    </w:p>
    <w:p>
      <w:pPr>
        <w:pStyle w:val="112"/>
        <w:ind w:firstLine="480"/>
      </w:pPr>
      <w:r>
        <w:t>（1）施工期</w:t>
      </w:r>
    </w:p>
    <w:p>
      <w:pPr>
        <w:pStyle w:val="112"/>
        <w:ind w:firstLine="480"/>
        <w:rPr>
          <w:color w:val="0070C0"/>
        </w:rPr>
      </w:pPr>
      <w:r>
        <w:t>从预测结果来看，在路基施工阶段、路面施工阶段噪声对本项目周边敏感目标居民建筑的噪声预测值</w:t>
      </w:r>
      <w:r>
        <w:rPr>
          <w:kern w:val="0"/>
        </w:rPr>
        <w:t>均超过《声环境质量标准》（GB3096-2008）中</w:t>
      </w:r>
      <w:r>
        <w:t>2类及4a类环境噪声标准的要求，对周围声环境的影响较大，需采取措施减少噪声对周围居民的影响。</w:t>
      </w:r>
      <w:r>
        <w:rPr>
          <w:rStyle w:val="75"/>
        </w:rPr>
        <w:t>项目昼间施工时可以采取在施工场界处设置实心围挡措施，作为声屏障阻挡施工噪声的传播，以降低昼间施工区域对附近敏感点噪声的影响；夜间施工对拟建道路两侧评价范围内敏感点处的声环境质量产生显著影响，特别是夜间睡眠的影响较大。因此，施工期间应禁止夜间（22:00-6:00）施工，如必须连续施工作业的工点，施工单位应视具体情况及时向当地环保部门取得联系，按规定申领夜间施工证，同时发布公告最大限度地争取民众支持。通过采取上述措施控制施工噪声污染，以减轻施工对沿线居民生活的不利影响。</w:t>
      </w:r>
    </w:p>
    <w:p>
      <w:pPr>
        <w:pStyle w:val="112"/>
        <w:ind w:firstLine="480"/>
      </w:pPr>
      <w:r>
        <w:t>（2）运营期</w:t>
      </w:r>
    </w:p>
    <w:p>
      <w:pPr>
        <w:pStyle w:val="112"/>
        <w:ind w:firstLine="480"/>
      </w:pPr>
      <w:r>
        <w:t>经预测，本公路建成营运后，车辆交通噪声对沿线</w:t>
      </w:r>
      <w:r>
        <w:rPr>
          <w:rFonts w:hint="eastAsia"/>
        </w:rPr>
        <w:t>部分</w:t>
      </w:r>
      <w:r>
        <w:t>敏感点会产生影响，</w:t>
      </w:r>
      <w:r>
        <w:rPr>
          <w:rFonts w:hint="eastAsia"/>
        </w:rPr>
        <w:t>本项目通过设置禁鸣标志，路边靠敏感点侧种植绿化作物，可以有效减弱公路噪声污染的影响；运营后执行噪声监测计划，</w:t>
      </w:r>
      <w:r>
        <w:t>保证环境质量达标。</w:t>
      </w:r>
    </w:p>
    <w:p>
      <w:pPr>
        <w:pStyle w:val="8"/>
        <w:rPr>
          <w:b/>
          <w:bCs/>
        </w:rPr>
      </w:pPr>
      <w:bookmarkStart w:id="524" w:name="_Toc21032"/>
      <w:r>
        <w:rPr>
          <w:b/>
          <w:bCs/>
        </w:rPr>
        <w:t>环境空气环境影响分析</w:t>
      </w:r>
      <w:bookmarkEnd w:id="524"/>
    </w:p>
    <w:p>
      <w:pPr>
        <w:pStyle w:val="10"/>
        <w:ind w:firstLine="480"/>
      </w:pPr>
      <w:r>
        <w:t>（1）施工期</w:t>
      </w:r>
    </w:p>
    <w:p>
      <w:pPr>
        <w:pStyle w:val="10"/>
        <w:ind w:firstLine="480"/>
      </w:pPr>
      <w:r>
        <w:t>施工期的环境空气污染主要来自施工现场中未完工路面、堆场和进出工地道路以及沥青摊铺时的烟气和动力机械排出的尾气污染，其中以粉尘污染和沥青烟气对周围环境的影响较突出。</w:t>
      </w:r>
    </w:p>
    <w:p>
      <w:pPr>
        <w:pStyle w:val="10"/>
        <w:ind w:firstLine="480"/>
      </w:pPr>
      <w:r>
        <w:t>采取设置围挡，施工现场洒水，施工营地、场地合理选址等措施，工程建设不会对环境空气造成明显影响。随着施工的结束，上述环境影响也将消失。因此，在采取上述污染防治措施的情况下，本项目施工期大气污染物排放对沿线敏感点的影响处于可以接受的程度。</w:t>
      </w:r>
    </w:p>
    <w:p>
      <w:pPr>
        <w:pStyle w:val="10"/>
        <w:ind w:firstLine="480"/>
      </w:pPr>
      <w:r>
        <w:t>（2）运营期</w:t>
      </w:r>
    </w:p>
    <w:p>
      <w:pPr>
        <w:pStyle w:val="10"/>
        <w:ind w:firstLine="480"/>
      </w:pPr>
      <w:r>
        <w:t>营运期本工程大气污染物主要来自汽车尾气。</w:t>
      </w:r>
    </w:p>
    <w:p>
      <w:pPr>
        <w:pStyle w:val="10"/>
        <w:ind w:firstLine="480"/>
      </w:pPr>
      <w:r>
        <w:t>根据预测结果，本项目在营运期不同距离处NO</w:t>
      </w:r>
      <w:r>
        <w:rPr>
          <w:vertAlign w:val="subscript"/>
        </w:rPr>
        <w:t>2</w:t>
      </w:r>
      <w:r>
        <w:rPr>
          <w:snapToGrid w:val="0"/>
          <w:kern w:val="0"/>
        </w:rPr>
        <w:t>、CO</w:t>
      </w:r>
      <w:r>
        <w:t>的扩散浓度均满足《环境空气质量标准》（GB3095-2012）中二级标准，不会对环境造成明显影响。根据以上类比分析，项目建成后一定程度上会提高道路两侧NO</w:t>
      </w:r>
      <w:r>
        <w:rPr>
          <w:vertAlign w:val="subscript"/>
        </w:rPr>
        <w:t>2</w:t>
      </w:r>
      <w:r>
        <w:t>浓度，但对居民区不会带来NO</w:t>
      </w:r>
      <w:r>
        <w:rPr>
          <w:vertAlign w:val="subscript"/>
        </w:rPr>
        <w:t>2</w:t>
      </w:r>
      <w:r>
        <w:t>污染影响，项目营运期汽车尾气对大气环境影响很小，对周围居民基本没有影响。</w:t>
      </w:r>
    </w:p>
    <w:p>
      <w:pPr>
        <w:pStyle w:val="8"/>
        <w:rPr>
          <w:b/>
          <w:bCs/>
        </w:rPr>
      </w:pPr>
      <w:bookmarkStart w:id="525" w:name="_Toc1160"/>
      <w:r>
        <w:rPr>
          <w:b/>
          <w:bCs/>
        </w:rPr>
        <w:t>固体废物环境影响分析</w:t>
      </w:r>
      <w:bookmarkEnd w:id="525"/>
    </w:p>
    <w:p>
      <w:pPr>
        <w:pStyle w:val="10"/>
        <w:ind w:firstLine="480"/>
      </w:pPr>
      <w:r>
        <w:t>施工期固体废物主要包括废弃土石方、建筑拆迁</w:t>
      </w:r>
      <w:r>
        <w:rPr>
          <w:rFonts w:hint="eastAsia"/>
          <w:lang w:val="en-US" w:eastAsia="zh-CN"/>
        </w:rPr>
        <w:t>及老路改造</w:t>
      </w:r>
      <w:r>
        <w:t>垃圾、施工人员生活垃圾以及危险废物等；营运期固体废物主要来自营运期行驶车辆抛洒的垃圾</w:t>
      </w:r>
      <w:r>
        <w:rPr>
          <w:rFonts w:hint="eastAsia"/>
          <w:lang w:val="en-US" w:eastAsia="zh-CN"/>
        </w:rPr>
        <w:t>等</w:t>
      </w:r>
      <w:r>
        <w:t>。</w:t>
      </w:r>
    </w:p>
    <w:p>
      <w:pPr>
        <w:pStyle w:val="10"/>
        <w:ind w:firstLine="480"/>
      </w:pPr>
      <w:r>
        <w:t>施工期和营运期固体废物按本评价要求采取相应的综合利用、处理、处置措施后，部分固体废物可以变废为宝，危险废物得到妥善处置，固体废物所产生的环境影响是可以接受的。</w:t>
      </w:r>
    </w:p>
    <w:p>
      <w:pPr>
        <w:pStyle w:val="7"/>
        <w:rPr>
          <w:b/>
          <w:bCs/>
          <w:sz w:val="28"/>
          <w:szCs w:val="28"/>
        </w:rPr>
      </w:pPr>
      <w:bookmarkStart w:id="526" w:name="_Toc20885"/>
      <w:bookmarkStart w:id="527" w:name="_Toc2472"/>
      <w:r>
        <w:rPr>
          <w:b/>
          <w:bCs/>
          <w:sz w:val="28"/>
          <w:szCs w:val="28"/>
        </w:rPr>
        <w:t>环境风险评价</w:t>
      </w:r>
      <w:bookmarkEnd w:id="526"/>
      <w:bookmarkEnd w:id="527"/>
    </w:p>
    <w:p>
      <w:pPr>
        <w:pStyle w:val="10"/>
        <w:ind w:firstLine="480"/>
      </w:pPr>
      <w:r>
        <w:t>对于环境风险最大的是运输危险品的车辆在发生交通事故造成危险品泄漏。</w:t>
      </w:r>
    </w:p>
    <w:p>
      <w:pPr>
        <w:pStyle w:val="10"/>
        <w:ind w:firstLine="480"/>
      </w:pPr>
      <w:r>
        <w:t>为了保护生态环境安全，</w:t>
      </w:r>
      <w:r>
        <w:rPr>
          <w:rFonts w:hint="eastAsia"/>
        </w:rPr>
        <w:t>本次评价</w:t>
      </w:r>
      <w:r>
        <w:t>建议对</w:t>
      </w:r>
      <w:r>
        <w:rPr>
          <w:rFonts w:hint="eastAsia"/>
        </w:rPr>
        <w:t>跨河桥梁</w:t>
      </w:r>
      <w:r>
        <w:t>设置防撞护栏，提高防撞等级。为了减小发生危险品运输事故泄漏对环境造成污染，本项目还应当建立事故应急处理预案，并纳入到沿线县、市环境事件应急预案之中，并配备必要的应急设备与器材。</w:t>
      </w:r>
    </w:p>
    <w:p>
      <w:pPr>
        <w:pStyle w:val="7"/>
        <w:rPr>
          <w:b/>
          <w:bCs/>
          <w:sz w:val="28"/>
          <w:szCs w:val="28"/>
        </w:rPr>
      </w:pPr>
      <w:bookmarkStart w:id="528" w:name="_Toc25491"/>
      <w:bookmarkStart w:id="529" w:name="_Toc5523"/>
      <w:r>
        <w:rPr>
          <w:b/>
          <w:bCs/>
          <w:sz w:val="28"/>
          <w:szCs w:val="28"/>
        </w:rPr>
        <w:t>环境保护措施</w:t>
      </w:r>
      <w:bookmarkEnd w:id="528"/>
      <w:bookmarkEnd w:id="529"/>
    </w:p>
    <w:p>
      <w:pPr>
        <w:pStyle w:val="8"/>
        <w:rPr>
          <w:b/>
          <w:bCs/>
        </w:rPr>
      </w:pPr>
      <w:bookmarkStart w:id="530" w:name="_Toc4373"/>
      <w:r>
        <w:rPr>
          <w:b/>
          <w:bCs/>
        </w:rPr>
        <w:t>施工期环境保护措施</w:t>
      </w:r>
      <w:bookmarkEnd w:id="530"/>
    </w:p>
    <w:p>
      <w:pPr>
        <w:pStyle w:val="10"/>
        <w:ind w:firstLine="480"/>
      </w:pPr>
      <w:r>
        <w:t>施工期环境保护措施见表9.5-1。</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9.5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施工期环境保护措施</w:t>
      </w:r>
    </w:p>
    <w:tbl>
      <w:tblPr>
        <w:tblStyle w:val="47"/>
        <w:tblW w:w="505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9"/>
        <w:gridCol w:w="8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9" w:type="pct"/>
            <w:vAlign w:val="center"/>
          </w:tcPr>
          <w:p>
            <w:pPr>
              <w:pStyle w:val="1132"/>
              <w:rPr>
                <w:b/>
                <w:bCs w:val="0"/>
              </w:rPr>
            </w:pPr>
            <w:r>
              <w:rPr>
                <w:b/>
                <w:bCs w:val="0"/>
              </w:rPr>
              <w:t>环境要素</w:t>
            </w:r>
          </w:p>
        </w:tc>
        <w:tc>
          <w:tcPr>
            <w:tcW w:w="4361" w:type="pct"/>
            <w:vAlign w:val="center"/>
          </w:tcPr>
          <w:p>
            <w:pPr>
              <w:pStyle w:val="1132"/>
              <w:rPr>
                <w:b/>
                <w:bCs w:val="0"/>
              </w:rPr>
            </w:pPr>
            <w:r>
              <w:rPr>
                <w:b/>
                <w:bCs w:val="0"/>
              </w:rPr>
              <w:t>环保措施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9" w:type="pct"/>
            <w:vAlign w:val="center"/>
          </w:tcPr>
          <w:p>
            <w:pPr>
              <w:pStyle w:val="1132"/>
            </w:pPr>
            <w:r>
              <w:t>大气环境</w:t>
            </w:r>
          </w:p>
        </w:tc>
        <w:tc>
          <w:tcPr>
            <w:tcW w:w="4361" w:type="pct"/>
            <w:vAlign w:val="center"/>
          </w:tcPr>
          <w:p>
            <w:pPr>
              <w:pStyle w:val="1132"/>
              <w:jc w:val="left"/>
            </w:pPr>
            <w:r>
              <w:t>1.施工工地周边100%围挡，出入车辆100%冲洗，拆迁工地100%湿法作业，渣土车辆100%密闭运输，施工现场地面100%硬化，物料堆放100%覆盖的要求。</w:t>
            </w:r>
            <w:r>
              <w:rPr>
                <w:kern w:val="0"/>
                <w:lang w:val="zh-CN"/>
              </w:rPr>
              <w:t>施工场地应设置洗车台，砂石料堆存场四周应设置围挡并加盖篷布；</w:t>
            </w:r>
          </w:p>
          <w:p>
            <w:pPr>
              <w:pStyle w:val="1132"/>
              <w:jc w:val="left"/>
            </w:pPr>
            <w:r>
              <w:t>2.道路施工现场采用大于2.5m临时隔板围护；施工现场地坪应进行硬化处理，挖土、装土、堆土、钻孔、回填等过程中，洒水使作业面保持一定的湿度。</w:t>
            </w:r>
          </w:p>
          <w:p>
            <w:pPr>
              <w:pStyle w:val="1132"/>
              <w:jc w:val="left"/>
            </w:pPr>
            <w:r>
              <w:t xml:space="preserve">3.要制定土方表面压实、定期喷水、覆盖等措施；不需要的泥土，建筑材料弃渣应及时运。 </w:t>
            </w:r>
          </w:p>
          <w:p>
            <w:pPr>
              <w:pStyle w:val="1132"/>
              <w:jc w:val="left"/>
            </w:pPr>
            <w:r>
              <w:t>4.运土卡车及建筑材料运输车应加盖处理，施工场地应配备一辆洒水车，并定期对施工场地及施工便道洒水抑尘。</w:t>
            </w:r>
          </w:p>
          <w:p>
            <w:pPr>
              <w:pStyle w:val="1132"/>
              <w:jc w:val="left"/>
            </w:pPr>
            <w:r>
              <w:t>5.施工过程中，严禁将废弃的建筑材料作为燃料燃烧。</w:t>
            </w:r>
          </w:p>
          <w:p>
            <w:pPr>
              <w:pStyle w:val="1132"/>
              <w:jc w:val="left"/>
            </w:pPr>
            <w:r>
              <w:rPr>
                <w:rFonts w:hint="eastAsia"/>
                <w:lang w:val="en-US" w:eastAsia="zh-CN"/>
              </w:rPr>
              <w:t>6.</w:t>
            </w:r>
            <w:r>
              <w:t>拌合站</w:t>
            </w:r>
            <w:r>
              <w:rPr>
                <w:rFonts w:hint="eastAsia"/>
              </w:rPr>
              <w:t>等</w:t>
            </w:r>
            <w:r>
              <w:t>合理选址，尽量远离敏感目标，</w:t>
            </w:r>
            <w:r>
              <w:rPr>
                <w:rFonts w:hint="eastAsia"/>
              </w:rPr>
              <w:t>物料仓需全封闭堆存，</w:t>
            </w:r>
            <w:r>
              <w:t>拌合站四周设置围挡，产生分拌合废气（颗粒物、非甲烷总烃）均要采取相应的措施处理后达标有组织排放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9" w:type="pct"/>
            <w:vAlign w:val="center"/>
          </w:tcPr>
          <w:p>
            <w:pPr>
              <w:pStyle w:val="1132"/>
            </w:pPr>
            <w:r>
              <w:t>水环境</w:t>
            </w:r>
          </w:p>
        </w:tc>
        <w:tc>
          <w:tcPr>
            <w:tcW w:w="4361" w:type="pct"/>
            <w:vAlign w:val="center"/>
          </w:tcPr>
          <w:p>
            <w:pPr>
              <w:pStyle w:val="1132"/>
              <w:jc w:val="left"/>
            </w:pPr>
            <w:r>
              <w:t>1.应避免在河流附近设置施工营地和施工场地。施工营地应尽量利用附近两侧现有居民住宅，所有的施工营地，应加强管理，禁止将粪便污水直接排入地表水体中；各类生产废水均应进行集中收集处理，上清液进行回用，严禁直排。</w:t>
            </w:r>
          </w:p>
          <w:p>
            <w:pPr>
              <w:pStyle w:val="1132"/>
              <w:jc w:val="left"/>
            </w:pPr>
            <w:r>
              <w:t>2.在跨河流、沟渠桥梁施工尽量安排在枯水季进行，以减小污染水质；同时应加强施工管理和监理工作，定期检查施工机械，防止油料发生泄漏污染水体。</w:t>
            </w:r>
          </w:p>
          <w:p>
            <w:pPr>
              <w:pStyle w:val="1132"/>
              <w:jc w:val="left"/>
            </w:pPr>
            <w:r>
              <w:t>3.施工材料如油料、化学品等不得堆放在路线两侧水塘及农田灌溉沟渠附近，堆放时并应备有临时遮挡的雨布；采取必要的措施防止泥土和散体施工材料阻塞水渠或现有的灌溉沟渠及水管。</w:t>
            </w:r>
          </w:p>
          <w:p>
            <w:pPr>
              <w:pStyle w:val="1132"/>
              <w:jc w:val="left"/>
            </w:pPr>
            <w:r>
              <w:t>4.量减少路基和桥梁施工过程中产生的污水直接流入灌渠，开挖节水沟集中排放，并设沉淀池处理。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9" w:type="pct"/>
            <w:vAlign w:val="center"/>
          </w:tcPr>
          <w:p>
            <w:pPr>
              <w:pStyle w:val="1132"/>
            </w:pPr>
            <w:r>
              <w:t>声环境</w:t>
            </w:r>
          </w:p>
        </w:tc>
        <w:tc>
          <w:tcPr>
            <w:tcW w:w="4361" w:type="pct"/>
            <w:vAlign w:val="center"/>
          </w:tcPr>
          <w:p>
            <w:pPr>
              <w:pStyle w:val="1132"/>
              <w:jc w:val="left"/>
            </w:pPr>
            <w:r>
              <w:t>1.尽量采用低噪声机械。</w:t>
            </w:r>
          </w:p>
          <w:p>
            <w:pPr>
              <w:pStyle w:val="1132"/>
              <w:jc w:val="left"/>
            </w:pPr>
            <w:r>
              <w:t>2.合理安排好施工时间与施工场所，高噪声作业区应远离声敏感点，靠近居民点路段应禁止高噪声机械夜间(22：00～6：00)施工作业；如必须连续施工作业的工点，施工单位应视具体情况及时向当地环保部门取得联系，按规定申领夜间施工证，同时发布公告最大限度地争取民众支持。</w:t>
            </w:r>
          </w:p>
          <w:p>
            <w:pPr>
              <w:pStyle w:val="1132"/>
              <w:jc w:val="left"/>
            </w:pPr>
            <w:r>
              <w:t>3.应合理选择运输线路，并尽量安排在昼间运输。</w:t>
            </w:r>
          </w:p>
          <w:p>
            <w:pPr>
              <w:pStyle w:val="1132"/>
              <w:jc w:val="left"/>
            </w:pPr>
            <w:r>
              <w:t>4.建设单位应责成施工单位在施工现场张贴通告和投诉电话，建设单位在接到报案后应及时与当地环保部门取得联系，以便及时处理各种环境纠纷。</w:t>
            </w:r>
          </w:p>
          <w:p>
            <w:pPr>
              <w:pStyle w:val="1132"/>
              <w:jc w:val="left"/>
            </w:pPr>
            <w:r>
              <w:t>5.加强施工期噪声监测，一旦发现噪声污染，及时采取有效的降噪措施。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9" w:type="pct"/>
            <w:vAlign w:val="center"/>
          </w:tcPr>
          <w:p>
            <w:pPr>
              <w:pStyle w:val="1132"/>
            </w:pPr>
            <w:r>
              <w:t>固废</w:t>
            </w:r>
          </w:p>
        </w:tc>
        <w:tc>
          <w:tcPr>
            <w:tcW w:w="4361" w:type="pct"/>
            <w:vAlign w:val="center"/>
          </w:tcPr>
          <w:p>
            <w:pPr>
              <w:pStyle w:val="1132"/>
              <w:jc w:val="left"/>
            </w:pPr>
            <w:r>
              <w:t>1.施工方应对运输车辆采取全封闭防护，装土后应清除车辆外露面的遗土、杂物，防止车辆在运输过程中造成土壤流失，淤塞城市雨水管道，影响运输线路周边环境；</w:t>
            </w:r>
          </w:p>
          <w:p>
            <w:pPr>
              <w:pStyle w:val="1132"/>
              <w:jc w:val="left"/>
            </w:pPr>
            <w:r>
              <w:t>2.施工人员产生的生活垃圾应收集后由当地环卫部门统一清运处置，禁止乱扔乱；</w:t>
            </w:r>
          </w:p>
          <w:p>
            <w:pPr>
              <w:pStyle w:val="1132"/>
              <w:jc w:val="left"/>
            </w:pPr>
            <w:r>
              <w:t>3.产生的含油污泥委托有相应处置资质的单位统一代为处置。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9" w:type="pct"/>
            <w:vAlign w:val="center"/>
          </w:tcPr>
          <w:p>
            <w:pPr>
              <w:pStyle w:val="1132"/>
            </w:pPr>
            <w:r>
              <w:t>生态保护</w:t>
            </w:r>
          </w:p>
        </w:tc>
        <w:tc>
          <w:tcPr>
            <w:tcW w:w="4361" w:type="pct"/>
            <w:vAlign w:val="center"/>
          </w:tcPr>
          <w:p>
            <w:pPr>
              <w:pStyle w:val="1132"/>
              <w:jc w:val="left"/>
            </w:pPr>
            <w:r>
              <w:t>1.为了减少对植被的扰动和生态影响，项目在施工期前应合理规划施工场区和材料堆场，减少临时占地；对于临时占地应收集、保存表层土壤，待施工结束后及时对临时占地等区域进行复耕，或作为绿化用土；</w:t>
            </w:r>
          </w:p>
          <w:p>
            <w:pPr>
              <w:pStyle w:val="1132"/>
              <w:jc w:val="left"/>
            </w:pPr>
            <w:r>
              <w:t>2.工程活动严格控制在批准的红线内进行，限制植被破坏区域；</w:t>
            </w:r>
          </w:p>
          <w:p>
            <w:pPr>
              <w:pStyle w:val="1132"/>
              <w:jc w:val="left"/>
            </w:pPr>
            <w:r>
              <w:t>3.在施工过程中如发现珍稀植物和古树、名木等树种，应立即停止施工，保护好现场，立即通知当地林业主管部门，由有关的植物专家提出合理的处置措施；</w:t>
            </w:r>
          </w:p>
          <w:p>
            <w:pPr>
              <w:pStyle w:val="1132"/>
              <w:jc w:val="left"/>
            </w:pPr>
            <w:r>
              <w:t>4.施工期如遇到国家级重点保护动物，严禁伤害，未避免伤害可以适度驱赶；如遇到野生动物受到意外伤害，应立即与林业局野保部门联系，由专业人员处理；</w:t>
            </w:r>
          </w:p>
          <w:p>
            <w:pPr>
              <w:pStyle w:val="1132"/>
              <w:jc w:val="left"/>
            </w:pPr>
            <w:r>
              <w:t>5.公路建设应对永久和临时占地范围内表层有肥力的耕作层土壤进行保护，并选取适当位置堆存，表土剥离厚度不小于30cm；</w:t>
            </w:r>
          </w:p>
          <w:p>
            <w:pPr>
              <w:pStyle w:val="1132"/>
              <w:jc w:val="left"/>
            </w:pPr>
            <w:r>
              <w:t>6.进行全面景观绿化。在施工开始时，就应进行绿化工作，施工过程中，弃土场、施工便道等均可逐渐开始采取绿化，施工结束后边坡、道路两侧均需进行景观绿化。道路两侧的绿化还应从视线诱导、缓冲、防音、美化环境等多重角度来综合考虑，选择最佳的绿化方案；</w:t>
            </w:r>
          </w:p>
          <w:p>
            <w:pPr>
              <w:pStyle w:val="1132"/>
              <w:jc w:val="left"/>
            </w:pPr>
            <w:r>
              <w:t>7.施工前明确作业带范围，严禁施工人员到非施工区域活动</w:t>
            </w:r>
            <w:r>
              <w:rPr>
                <w:rFonts w:hint="eastAsia"/>
              </w:rPr>
              <w:t>。</w:t>
            </w:r>
          </w:p>
        </w:tc>
      </w:tr>
    </w:tbl>
    <w:p>
      <w:pPr>
        <w:pStyle w:val="8"/>
        <w:rPr>
          <w:b/>
          <w:bCs/>
        </w:rPr>
      </w:pPr>
      <w:bookmarkStart w:id="531" w:name="_Toc12622"/>
      <w:r>
        <w:rPr>
          <w:b/>
          <w:bCs/>
        </w:rPr>
        <w:t>营运期环境保护措施</w:t>
      </w:r>
      <w:bookmarkEnd w:id="531"/>
    </w:p>
    <w:p>
      <w:pPr>
        <w:pStyle w:val="10"/>
        <w:ind w:firstLine="480"/>
      </w:pPr>
      <w:r>
        <w:t>营运期环境保护措施见表9.5-2。</w:t>
      </w:r>
    </w:p>
    <w:p>
      <w:pPr>
        <w:pStyle w:val="19"/>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9.5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营运期环境保护措施</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0"/>
        <w:gridCol w:w="8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646" w:type="pct"/>
            <w:vAlign w:val="center"/>
          </w:tcPr>
          <w:p>
            <w:pPr>
              <w:pStyle w:val="1132"/>
              <w:rPr>
                <w:b/>
                <w:bCs w:val="0"/>
              </w:rPr>
            </w:pPr>
            <w:r>
              <w:rPr>
                <w:b/>
                <w:bCs w:val="0"/>
              </w:rPr>
              <w:t>环境要素</w:t>
            </w:r>
          </w:p>
        </w:tc>
        <w:tc>
          <w:tcPr>
            <w:tcW w:w="4354" w:type="pct"/>
            <w:vAlign w:val="center"/>
          </w:tcPr>
          <w:p>
            <w:pPr>
              <w:pStyle w:val="1132"/>
              <w:rPr>
                <w:b/>
                <w:bCs w:val="0"/>
              </w:rPr>
            </w:pPr>
            <w:r>
              <w:rPr>
                <w:b/>
                <w:bCs w:val="0"/>
              </w:rPr>
              <w:t>环保措施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646" w:type="pct"/>
            <w:vAlign w:val="center"/>
          </w:tcPr>
          <w:p>
            <w:pPr>
              <w:pStyle w:val="1132"/>
            </w:pPr>
            <w:r>
              <w:t>大气环境</w:t>
            </w:r>
          </w:p>
        </w:tc>
        <w:tc>
          <w:tcPr>
            <w:tcW w:w="4354" w:type="pct"/>
            <w:vAlign w:val="center"/>
          </w:tcPr>
          <w:p>
            <w:pPr>
              <w:pStyle w:val="1132"/>
              <w:jc w:val="left"/>
            </w:pPr>
            <w:r>
              <w:t>1.加强交通管理，严格车管制度，严格执行国家颁布的机动车排放限值标。</w:t>
            </w:r>
          </w:p>
          <w:p>
            <w:pPr>
              <w:pStyle w:val="1132"/>
              <w:jc w:val="left"/>
            </w:pPr>
            <w:r>
              <w:t>2.加强对公路路面的养护和清洁，维护良好的路况，保证汽车在良好的路况下行驶，减少扬尘和汽车尾气污。</w:t>
            </w:r>
          </w:p>
          <w:p>
            <w:pPr>
              <w:pStyle w:val="1132"/>
              <w:jc w:val="left"/>
            </w:pPr>
            <w:r>
              <w:t>3.道路沿线环境空气污染防治应结合景观绿化设计，选择有吸附或净化能力，适合当地气候、土壤条件的草木、灌木和乔木，种植多层次的绿化林带，并做好绿化带的维护。</w:t>
            </w:r>
          </w:p>
          <w:p>
            <w:pPr>
              <w:pStyle w:val="1132"/>
              <w:jc w:val="left"/>
            </w:pPr>
            <w:r>
              <w:t>4.公路管理部门设环境管理机构，委托有组织的检测单位定期对评价中规定的监测点进行环境空气监测。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trPr>
        <w:tc>
          <w:tcPr>
            <w:tcW w:w="646" w:type="pct"/>
            <w:vAlign w:val="center"/>
          </w:tcPr>
          <w:p>
            <w:pPr>
              <w:pStyle w:val="1132"/>
            </w:pPr>
            <w:r>
              <w:t>水环境</w:t>
            </w:r>
          </w:p>
        </w:tc>
        <w:tc>
          <w:tcPr>
            <w:tcW w:w="4354" w:type="pct"/>
            <w:vAlign w:val="center"/>
          </w:tcPr>
          <w:p>
            <w:pPr>
              <w:pStyle w:val="1132"/>
              <w:jc w:val="left"/>
            </w:pPr>
            <w:r>
              <w:t>1.切实加强桥梁工程安全检查、监控，确保水域路段的安全；</w:t>
            </w:r>
          </w:p>
          <w:p>
            <w:pPr>
              <w:pStyle w:val="1132"/>
              <w:jc w:val="left"/>
            </w:pPr>
            <w:r>
              <w:t>2.加强对过往车辆的监督管理，禁止漏油、不安装保护帆布的货车和超载车上。</w:t>
            </w:r>
          </w:p>
          <w:p>
            <w:pPr>
              <w:pStyle w:val="1132"/>
              <w:jc w:val="left"/>
            </w:pPr>
            <w:r>
              <w:t>3.工程桥梁路段，应在桥梁两端醒目位置设置限速、禁止超车等警示标志，防止桥面事故造成车辆直接坠河。</w:t>
            </w:r>
          </w:p>
          <w:p>
            <w:pPr>
              <w:pStyle w:val="1132"/>
              <w:jc w:val="left"/>
            </w:pPr>
            <w:r>
              <w:t>4.装载煤、石灰、石膏、土方等易起尘散货的车辆，必须加蓬覆盖后，才能上路行驶，防治洒落的材料经雨水冲刷后造成水体污染。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46" w:type="pct"/>
            <w:vAlign w:val="center"/>
          </w:tcPr>
          <w:p>
            <w:pPr>
              <w:pStyle w:val="1132"/>
            </w:pPr>
            <w:r>
              <w:t>声环境</w:t>
            </w:r>
          </w:p>
        </w:tc>
        <w:tc>
          <w:tcPr>
            <w:tcW w:w="4354" w:type="pct"/>
            <w:vAlign w:val="center"/>
          </w:tcPr>
          <w:p>
            <w:pPr>
              <w:pStyle w:val="1132"/>
              <w:jc w:val="left"/>
            </w:pPr>
            <w:r>
              <w:t>1.选择枝叶繁茂生长迅速的常绿植物靠近村庄一侧绿化。</w:t>
            </w:r>
          </w:p>
          <w:p>
            <w:pPr>
              <w:pStyle w:val="1132"/>
              <w:jc w:val="left"/>
            </w:pPr>
            <w:r>
              <w:t>2.应该加强道路的维护，保证路面的平整。</w:t>
            </w:r>
          </w:p>
          <w:p>
            <w:pPr>
              <w:pStyle w:val="1132"/>
              <w:jc w:val="left"/>
            </w:pPr>
            <w:r>
              <w:t>3.预留噪声治理措施资金，并加强对道路交通噪声的监测，发现噪声超标问题，及时采取补救措施。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4" w:hRule="atLeast"/>
        </w:trPr>
        <w:tc>
          <w:tcPr>
            <w:tcW w:w="646" w:type="pct"/>
            <w:vAlign w:val="center"/>
          </w:tcPr>
          <w:p>
            <w:pPr>
              <w:pStyle w:val="1132"/>
            </w:pPr>
            <w:r>
              <w:t>固体废物</w:t>
            </w:r>
          </w:p>
        </w:tc>
        <w:tc>
          <w:tcPr>
            <w:tcW w:w="4354" w:type="pct"/>
            <w:vAlign w:val="center"/>
          </w:tcPr>
          <w:p>
            <w:pPr>
              <w:pStyle w:val="1132"/>
              <w:jc w:val="left"/>
            </w:pPr>
            <w:r>
              <w:t>1.运营期固体废物收集和运输分类处理或混合处理，按时清运。</w:t>
            </w:r>
          </w:p>
          <w:p>
            <w:pPr>
              <w:pStyle w:val="1132"/>
              <w:jc w:val="left"/>
            </w:pPr>
            <w:r>
              <w:t>2.公路沿线树木花草产生的绿化垃圾较为分散，可采取定期人力清扫的方法加以定时收集，再送入收集车辆，不能就地焚烧处理。</w:t>
            </w:r>
          </w:p>
          <w:p>
            <w:pPr>
              <w:pStyle w:val="1132"/>
              <w:jc w:val="left"/>
            </w:pPr>
            <w:r>
              <w:t>3.对机动车运输过程严加防范，以防洒漏。期间必须使用密封良好的车辆运送生活垃圾，不允许装载不严的车辆上路。</w:t>
            </w:r>
          </w:p>
          <w:p>
            <w:pPr>
              <w:pStyle w:val="1132"/>
              <w:jc w:val="left"/>
            </w:pPr>
            <w:r>
              <w:t>4.加强对工作人员的环境意识教育，严格执行环境管理措施。</w:t>
            </w:r>
          </w:p>
          <w:p>
            <w:pPr>
              <w:pStyle w:val="1132"/>
              <w:jc w:val="left"/>
            </w:pPr>
            <w:r>
              <w:t>5.沿线辅助设施生活垃圾集中收集，由当地环卫部门定时清运至附近县区垃圾填埋场处置。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646" w:type="pct"/>
            <w:vAlign w:val="center"/>
          </w:tcPr>
          <w:p>
            <w:pPr>
              <w:pStyle w:val="1132"/>
            </w:pPr>
            <w:r>
              <w:t>环境风险</w:t>
            </w:r>
          </w:p>
        </w:tc>
        <w:tc>
          <w:tcPr>
            <w:tcW w:w="4354" w:type="pct"/>
            <w:vAlign w:val="center"/>
          </w:tcPr>
          <w:p>
            <w:pPr>
              <w:pStyle w:val="1132"/>
              <w:jc w:val="left"/>
            </w:pPr>
            <w:r>
              <w:t>对</w:t>
            </w:r>
            <w:r>
              <w:rPr>
                <w:rFonts w:hint="eastAsia"/>
              </w:rPr>
              <w:t>跨河桥梁</w:t>
            </w:r>
            <w:r>
              <w:t>设置防撞护栏，提高防撞等级</w:t>
            </w:r>
            <w:r>
              <w:rPr>
                <w:rFonts w:hint="eastAsia"/>
              </w:rPr>
              <w:t>。</w:t>
            </w:r>
          </w:p>
        </w:tc>
      </w:tr>
    </w:tbl>
    <w:p>
      <w:pPr>
        <w:pStyle w:val="7"/>
        <w:rPr>
          <w:b/>
          <w:bCs/>
          <w:sz w:val="28"/>
          <w:szCs w:val="28"/>
        </w:rPr>
      </w:pPr>
      <w:bookmarkStart w:id="532" w:name="_Toc7383"/>
      <w:bookmarkStart w:id="533" w:name="_Toc13521"/>
      <w:r>
        <w:rPr>
          <w:b/>
          <w:bCs/>
          <w:sz w:val="28"/>
          <w:szCs w:val="28"/>
        </w:rPr>
        <w:t>环境管理与环境影响经济损益分析结论</w:t>
      </w:r>
      <w:bookmarkEnd w:id="532"/>
      <w:bookmarkEnd w:id="533"/>
    </w:p>
    <w:p>
      <w:pPr>
        <w:pStyle w:val="10"/>
        <w:ind w:firstLine="480"/>
      </w:pPr>
      <w:r>
        <w:t>通过环境主管部门、建设单位和施工单位的环境管理，以及监理单位的工程环境监理，将国家有关的资源环境保护法律法规、环境质量法规、建设项目环境影响评价报告书等要求贯彻落实到工程的设计和施工管理工作中。</w:t>
      </w:r>
    </w:p>
    <w:p>
      <w:pPr>
        <w:pStyle w:val="10"/>
        <w:ind w:firstLine="480"/>
      </w:pPr>
      <w:r>
        <w:t>本工程环保经费总额约</w:t>
      </w:r>
      <w:r>
        <w:rPr>
          <w:rFonts w:hint="eastAsia"/>
          <w:lang w:val="en-US" w:eastAsia="zh-CN"/>
        </w:rPr>
        <w:t>655</w:t>
      </w:r>
      <w:r>
        <w:t>万元，占工程总投资59515.8</w:t>
      </w:r>
      <w:r>
        <w:rPr>
          <w:rFonts w:hint="eastAsia"/>
        </w:rPr>
        <w:t>万元</w:t>
      </w:r>
      <w:r>
        <w:t>的1.</w:t>
      </w:r>
      <w:r>
        <w:rPr>
          <w:rFonts w:hint="eastAsia"/>
          <w:lang w:val="en-US" w:eastAsia="zh-CN"/>
        </w:rPr>
        <w:t>1</w:t>
      </w:r>
      <w:r>
        <w:t>%。环保投资比例合理，可以实现社会效益、经济效益及环境效益三效益的统一和谐发展。</w:t>
      </w:r>
    </w:p>
    <w:p>
      <w:pPr>
        <w:pStyle w:val="7"/>
        <w:rPr>
          <w:b/>
          <w:bCs/>
          <w:sz w:val="28"/>
          <w:szCs w:val="28"/>
        </w:rPr>
      </w:pPr>
      <w:bookmarkStart w:id="534" w:name="_Toc16253937"/>
      <w:bookmarkStart w:id="535" w:name="_Toc25169"/>
      <w:bookmarkStart w:id="536" w:name="_Toc16325"/>
      <w:r>
        <w:rPr>
          <w:b/>
          <w:bCs/>
          <w:sz w:val="28"/>
          <w:szCs w:val="28"/>
        </w:rPr>
        <w:t>公众参与</w:t>
      </w:r>
      <w:bookmarkEnd w:id="534"/>
      <w:bookmarkEnd w:id="535"/>
      <w:bookmarkEnd w:id="536"/>
    </w:p>
    <w:p>
      <w:pPr>
        <w:pStyle w:val="10"/>
        <w:ind w:firstLine="480"/>
      </w:pPr>
      <w:r>
        <w:rPr>
          <w:rFonts w:hint="eastAsia"/>
        </w:rPr>
        <w:t>公众参与调查显示，无人表示反对本项目的建设。被调查公众认为在工程建设过程 中应按国家现行环保法律、法规要求，做好环保工作，采取切实可行的措施，项目建设及相应环保设施、监控设施内容的宣传，最大限度地减少对居民和环境的影响。</w:t>
      </w:r>
    </w:p>
    <w:p>
      <w:pPr>
        <w:pStyle w:val="7"/>
        <w:rPr>
          <w:b/>
          <w:bCs/>
          <w:sz w:val="28"/>
          <w:szCs w:val="28"/>
        </w:rPr>
      </w:pPr>
      <w:bookmarkStart w:id="537" w:name="_Toc29585"/>
      <w:bookmarkStart w:id="538" w:name="_Toc4047"/>
      <w:r>
        <w:rPr>
          <w:rFonts w:hint="eastAsia"/>
          <w:b/>
          <w:bCs/>
          <w:sz w:val="28"/>
          <w:szCs w:val="28"/>
        </w:rPr>
        <w:t>结论</w:t>
      </w:r>
      <w:bookmarkEnd w:id="537"/>
      <w:bookmarkEnd w:id="538"/>
    </w:p>
    <w:p>
      <w:pPr>
        <w:pStyle w:val="112"/>
        <w:ind w:firstLine="480"/>
        <w:rPr>
          <w:color w:val="0070C0"/>
        </w:rPr>
      </w:pPr>
      <w:bookmarkStart w:id="539" w:name="_Hlk88561061"/>
      <w:r>
        <w:rPr>
          <w:rFonts w:hint="eastAsia"/>
        </w:rPr>
        <w:t>S311怀远包集至蚌埠民用机场一级公路工程是国省公路升级改造的重要组成部分，</w:t>
      </w:r>
      <w:r>
        <w:rPr>
          <w:rFonts w:hint="eastAsia"/>
          <w:lang w:bidi="he-IL"/>
        </w:rPr>
        <w:t>项目建设可</w:t>
      </w:r>
      <w:r>
        <w:rPr>
          <w:rStyle w:val="75"/>
          <w:rFonts w:hint="eastAsia"/>
        </w:rPr>
        <w:t>有效完善区域路网，促进沿线经济发展，密切沿线乡镇经济来往，对提升区域综合运输网的服务水平和运输效率具有重要意义</w:t>
      </w:r>
      <w:r>
        <w:rPr>
          <w:rStyle w:val="75"/>
        </w:rPr>
        <w:t>。</w:t>
      </w:r>
      <w:r>
        <w:rPr>
          <w:rStyle w:val="75"/>
          <w:rFonts w:hint="eastAsia"/>
        </w:rPr>
        <w:t>本项目的</w:t>
      </w:r>
      <w:r>
        <w:rPr>
          <w:rStyle w:val="75"/>
        </w:rPr>
        <w:t>建设将会对沿线地区的生态环境、声环境、水环境及大气环境等产生一定的不利影响，但通过落实本报告所提出的污染防治措施、生态保护措施和环境风险防范措施，可将项目建设对周围环境的影响降到最低，环境风险可以接受。因此，本次评价认为从环境</w:t>
      </w:r>
      <w:r>
        <w:rPr>
          <w:rStyle w:val="75"/>
          <w:rFonts w:hint="eastAsia"/>
        </w:rPr>
        <w:t>保护</w:t>
      </w:r>
      <w:r>
        <w:rPr>
          <w:rStyle w:val="75"/>
        </w:rPr>
        <w:t>的角度而言，拟建项目的建设是可行的。</w:t>
      </w:r>
      <w:bookmarkEnd w:id="539"/>
    </w:p>
    <w:sectPr>
      <w:pgSz w:w="11906" w:h="16838"/>
      <w:pgMar w:top="1418" w:right="1418" w:bottom="1418" w:left="1418" w:header="851" w:footer="992" w:gutter="0"/>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Palatino Linotype">
    <w:panose1 w:val="02040502050505030304"/>
    <w:charset w:val="00"/>
    <w:family w:val="roman"/>
    <w:pitch w:val="default"/>
    <w:sig w:usb0="E0000287" w:usb1="40000013" w:usb2="00000000" w:usb3="00000000" w:csb0="2000019F"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方正仿宋_GBK">
    <w:altName w:val="微软雅黑"/>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华文中宋">
    <w:panose1 w:val="02010600040101010101"/>
    <w:charset w:val="86"/>
    <w:family w:val="auto"/>
    <w:pitch w:val="default"/>
    <w:sig w:usb0="00000287" w:usb1="080F0000" w:usb2="00000000" w:usb3="00000000" w:csb0="0004009F" w:csb1="DFD70000"/>
  </w:font>
  <w:font w:name="@宋体">
    <w:panose1 w:val="02010600030101010101"/>
    <w:charset w:val="86"/>
    <w:family w:val="auto"/>
    <w:pitch w:val="default"/>
    <w:sig w:usb0="00000203" w:usb1="288F0000" w:usb2="00000006" w:usb3="00000000" w:csb0="00040001" w:csb1="00000000"/>
  </w:font>
  <w:font w:name="幼圆">
    <w:panose1 w:val="0201050906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203" w:usb1="288F0000" w:usb2="00000006" w:usb3="00000000" w:csb0="00040001" w:csb1="00000000"/>
  </w:font>
  <w:font w:name="Arial Unicode MS">
    <w:panose1 w:val="020B0604020202020204"/>
    <w:charset w:val="86"/>
    <w:family w:val="swiss"/>
    <w:pitch w:val="default"/>
    <w:sig w:usb0="FFFFFFFF" w:usb1="E9FFFFFF" w:usb2="0000003F" w:usb3="00000000" w:csb0="603F01FF" w:csb1="FFFF0000"/>
  </w:font>
  <w:font w:name="宋体-18030">
    <w:altName w:val="宋体"/>
    <w:panose1 w:val="00000000000000000000"/>
    <w:charset w:val="86"/>
    <w:family w:val="modern"/>
    <w:pitch w:val="default"/>
    <w:sig w:usb0="00000000" w:usb1="00000000" w:usb2="000A005E" w:usb3="00000000" w:csb0="00040001" w:csb1="00000000"/>
  </w:font>
  <w:font w:name="ArialMT">
    <w:altName w:val="Courier New"/>
    <w:panose1 w:val="00000000000000000000"/>
    <w:charset w:val="00"/>
    <w:family w:val="auto"/>
    <w:pitch w:val="default"/>
    <w:sig w:usb0="00000000" w:usb1="00000000" w:usb2="00000000" w:usb3="00000000" w:csb0="00040001" w:csb1="00000000"/>
  </w:font>
  <w:font w:name="汉鼎简书宋">
    <w:altName w:val="宋体"/>
    <w:panose1 w:val="00000000000000000000"/>
    <w:charset w:val="86"/>
    <w:family w:val="modern"/>
    <w:pitch w:val="default"/>
    <w:sig w:usb0="00000000" w:usb1="00000000" w:usb2="00000010" w:usb3="00000000" w:csb0="00040000" w:csb1="00000000"/>
  </w:font>
  <w:font w:name="Arial Narrow">
    <w:panose1 w:val="020B0606020202030204"/>
    <w:charset w:val="00"/>
    <w:family w:val="swiss"/>
    <w:pitch w:val="default"/>
    <w:sig w:usb0="00000287" w:usb1="00000800" w:usb2="00000000" w:usb3="00000000" w:csb0="2000009F" w:csb1="DFD70000"/>
  </w:font>
  <w:font w:name="Romantic">
    <w:panose1 w:val="00000400000000000000"/>
    <w:charset w:val="02"/>
    <w:family w:val="auto"/>
    <w:pitch w:val="default"/>
    <w:sig w:usb0="00000000" w:usb1="00000000" w:usb2="00000000" w:usb3="00000000" w:csb0="00000000"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方正小标宋_GBK">
    <w:altName w:val="微软雅黑"/>
    <w:panose1 w:val="00000000000000000000"/>
    <w:charset w:val="86"/>
    <w:family w:val="script"/>
    <w:pitch w:val="default"/>
    <w:sig w:usb0="00000000" w:usb1="00000000" w:usb2="00000010" w:usb3="00000000" w:csb0="00040000"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 w:name="Wingdings 2">
    <w:panose1 w:val="05020102010507070707"/>
    <w:charset w:val="02"/>
    <w:family w:val="roman"/>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96"/>
      <w:spacing w:line="240" w:lineRule="auto"/>
      <w:ind w:firstLine="360"/>
      <w:jc w:val="center"/>
      <w:rPr>
        <w:b w:val="0"/>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96"/>
      <w:spacing w:line="240" w:lineRule="auto"/>
      <w:ind w:firstLine="420"/>
      <w:jc w:val="center"/>
      <w:rPr>
        <w:b w:val="0"/>
        <w:sz w:val="21"/>
        <w:szCs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96"/>
      <w:spacing w:line="240" w:lineRule="auto"/>
      <w:ind w:firstLine="420"/>
      <w:jc w:val="center"/>
      <w:rPr>
        <w:b w:val="0"/>
        <w:sz w:val="21"/>
        <w:szCs w:val="21"/>
      </w:rPr>
    </w:pPr>
    <w:r>
      <w:rPr>
        <w:b w:val="0"/>
        <w:sz w:val="21"/>
        <w:szCs w:val="21"/>
      </w:rPr>
      <w:fldChar w:fldCharType="begin"/>
    </w:r>
    <w:r>
      <w:rPr>
        <w:b w:val="0"/>
        <w:sz w:val="21"/>
        <w:szCs w:val="21"/>
      </w:rPr>
      <w:instrText xml:space="preserve"> PAGE   \* MERGEFORMAT </w:instrText>
    </w:r>
    <w:r>
      <w:rPr>
        <w:b w:val="0"/>
        <w:sz w:val="21"/>
        <w:szCs w:val="21"/>
      </w:rPr>
      <w:fldChar w:fldCharType="separate"/>
    </w:r>
    <w:r>
      <w:rPr>
        <w:b w:val="0"/>
        <w:sz w:val="21"/>
        <w:szCs w:val="21"/>
      </w:rPr>
      <w:t>174</w:t>
    </w:r>
    <w:r>
      <w:rPr>
        <w:b w:val="0"/>
        <w:sz w:val="21"/>
        <w:szCs w:val="21"/>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framePr w:wrap="around" w:vAnchor="text" w:hAnchor="margin" w:xAlign="center" w:y="1"/>
      <w:ind w:firstLine="360"/>
      <w:rPr>
        <w:rStyle w:val="51"/>
      </w:rPr>
    </w:pPr>
    <w:r>
      <w:fldChar w:fldCharType="begin"/>
    </w:r>
    <w:r>
      <w:rPr>
        <w:rStyle w:val="51"/>
      </w:rPr>
      <w:instrText xml:space="preserve">PAGE  </w:instrText>
    </w:r>
    <w:r>
      <w:fldChar w:fldCharType="end"/>
    </w:r>
  </w:p>
  <w:p>
    <w:pPr>
      <w:pStyle w:val="33"/>
      <w:ind w:right="360" w:firstLine="360"/>
    </w:pPr>
    <w:r>
      <w:t>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framePr w:wrap="around" w:vAnchor="text" w:hAnchor="margin" w:xAlign="center" w:y="1"/>
      <w:ind w:firstLine="360"/>
      <w:rPr>
        <w:rStyle w:val="51"/>
      </w:rPr>
    </w:pPr>
    <w:r>
      <w:fldChar w:fldCharType="begin"/>
    </w:r>
    <w:r>
      <w:rPr>
        <w:rStyle w:val="51"/>
      </w:rPr>
      <w:instrText xml:space="preserve">PAGE  </w:instrText>
    </w:r>
    <w:r>
      <w:fldChar w:fldCharType="end"/>
    </w:r>
  </w:p>
  <w:p>
    <w:pPr>
      <w:pStyle w:val="33"/>
      <w:ind w:right="360" w:firstLine="360"/>
    </w:pPr>
    <w:r>
      <w:t> </w:t>
    </w:r>
  </w:p>
  <w:p>
    <w:pPr>
      <w:ind w:firstLine="4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Bdr>
        <w:bottom w:val="none" w:color="auto" w:sz="0" w:space="0"/>
      </w:pBdr>
      <w:spacing w:line="240" w:lineRule="auto"/>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Bdr>
        <w:bottom w:val="none" w:color="auto" w:sz="0" w:space="1"/>
      </w:pBdr>
      <w:spacing w:line="240" w:lineRule="auto"/>
      <w:ind w:firstLine="420"/>
      <w:jc w:val="both"/>
      <w:rPr>
        <w:rFonts w:ascii="Times New Roman" w:hAnsi="Times New Roman"/>
        <w:sz w:val="21"/>
        <w:szCs w:val="21"/>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spacing w:line="240" w:lineRule="auto"/>
      <w:ind w:firstLine="420"/>
      <w:rPr>
        <w:rFonts w:ascii="Times New Roman" w:hAnsi="Times New Roman"/>
        <w:sz w:val="21"/>
        <w:szCs w:val="21"/>
      </w:rPr>
    </w:pPr>
    <w:r>
      <w:rPr>
        <w:rFonts w:hint="eastAsia" w:ascii="Times New Roman" w:hAnsi="Times New Roman"/>
        <w:sz w:val="21"/>
        <w:szCs w:val="21"/>
      </w:rPr>
      <w:t>S311怀远包集至蚌埠民用机场一级公路工程</w:t>
    </w:r>
    <w:r>
      <w:rPr>
        <w:rFonts w:ascii="Times New Roman" w:hAnsi="Times New Roman"/>
        <w:sz w:val="21"/>
        <w:szCs w:val="21"/>
      </w:rPr>
      <w:t>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spacing w:line="240" w:lineRule="auto"/>
      <w:ind w:firstLine="420"/>
      <w:rPr>
        <w:rFonts w:ascii="Times New Roman" w:hAnsi="Times New Roman"/>
        <w:sz w:val="21"/>
        <w:szCs w:val="21"/>
      </w:rPr>
    </w:pPr>
    <w:bookmarkStart w:id="540" w:name="_Hlk116996171"/>
    <w:r>
      <w:rPr>
        <w:rFonts w:hint="eastAsia" w:ascii="Times New Roman" w:hAnsi="Times New Roman"/>
        <w:sz w:val="21"/>
        <w:szCs w:val="21"/>
      </w:rPr>
      <w:t>S311怀远包集至蚌埠民用机场一级公路工程</w:t>
    </w:r>
    <w:bookmarkEnd w:id="540"/>
    <w:r>
      <w:rPr>
        <w:rFonts w:ascii="Times New Roman" w:hAnsi="Times New Roman"/>
        <w:sz w:val="21"/>
        <w:szCs w:val="21"/>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D42AB9"/>
    <w:multiLevelType w:val="singleLevel"/>
    <w:tmpl w:val="AED42AB9"/>
    <w:lvl w:ilvl="0" w:tentative="0">
      <w:start w:val="2"/>
      <w:numFmt w:val="decimal"/>
      <w:suff w:val="nothing"/>
      <w:lvlText w:val="（%1）"/>
      <w:lvlJc w:val="left"/>
    </w:lvl>
  </w:abstractNum>
  <w:abstractNum w:abstractNumId="1">
    <w:nsid w:val="E34A1D5C"/>
    <w:multiLevelType w:val="singleLevel"/>
    <w:tmpl w:val="E34A1D5C"/>
    <w:lvl w:ilvl="0" w:tentative="0">
      <w:start w:val="2"/>
      <w:numFmt w:val="decimal"/>
      <w:suff w:val="nothing"/>
      <w:lvlText w:val="%1）"/>
      <w:lvlJc w:val="left"/>
    </w:lvl>
  </w:abstractNum>
  <w:abstractNum w:abstractNumId="2">
    <w:nsid w:val="11F356DD"/>
    <w:multiLevelType w:val="multilevel"/>
    <w:tmpl w:val="11F356DD"/>
    <w:lvl w:ilvl="0" w:tentative="0">
      <w:start w:val="16"/>
      <w:numFmt w:val="decimal"/>
      <w:lvlText w:val="（%1）"/>
      <w:lvlJc w:val="left"/>
      <w:pPr>
        <w:ind w:left="704"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9D047F3"/>
    <w:multiLevelType w:val="singleLevel"/>
    <w:tmpl w:val="19D047F3"/>
    <w:lvl w:ilvl="0" w:tentative="0">
      <w:start w:val="3"/>
      <w:numFmt w:val="decimal"/>
      <w:suff w:val="nothing"/>
      <w:lvlText w:val="（%1）"/>
      <w:lvlJc w:val="left"/>
    </w:lvl>
  </w:abstractNum>
  <w:abstractNum w:abstractNumId="4">
    <w:nsid w:val="1EAB30B7"/>
    <w:multiLevelType w:val="multilevel"/>
    <w:tmpl w:val="1EAB30B7"/>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215F65E9"/>
    <w:multiLevelType w:val="multilevel"/>
    <w:tmpl w:val="215F65E9"/>
    <w:lvl w:ilvl="0" w:tentative="0">
      <w:start w:val="1"/>
      <w:numFmt w:val="decimal"/>
      <w:lvlText w:val="附图%1 "/>
      <w:lvlJc w:val="left"/>
      <w:pPr>
        <w:ind w:left="222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
    <w:nsid w:val="2C9D2DD5"/>
    <w:multiLevelType w:val="multilevel"/>
    <w:tmpl w:val="2C9D2DD5"/>
    <w:lvl w:ilvl="0" w:tentative="0">
      <w:start w:val="1"/>
      <w:numFmt w:val="decimal"/>
      <w:pStyle w:val="5"/>
      <w:suff w:val="space"/>
      <w:lvlText w:val="%1"/>
      <w:lvlJc w:val="left"/>
      <w:pPr>
        <w:ind w:left="432" w:hanging="432"/>
      </w:pPr>
      <w:rPr>
        <w:rFonts w:hint="default" w:ascii="Times New Roman" w:hAnsi="Times New Roman" w:cs="Times New Roman"/>
        <w:b/>
      </w:rPr>
    </w:lvl>
    <w:lvl w:ilvl="1" w:tentative="0">
      <w:start w:val="1"/>
      <w:numFmt w:val="decimal"/>
      <w:pStyle w:val="7"/>
      <w:suff w:val="space"/>
      <w:lvlText w:val="%1.%2"/>
      <w:lvlJc w:val="left"/>
      <w:pPr>
        <w:ind w:left="0" w:firstLine="0"/>
      </w:pPr>
      <w:rPr>
        <w:rFonts w:hint="eastAsia"/>
      </w:rPr>
    </w:lvl>
    <w:lvl w:ilvl="2" w:tentative="0">
      <w:start w:val="1"/>
      <w:numFmt w:val="decimal"/>
      <w:pStyle w:val="8"/>
      <w:suff w:val="space"/>
      <w:lvlText w:val="%1.%2.%3"/>
      <w:lvlJc w:val="left"/>
      <w:pPr>
        <w:ind w:left="0" w:firstLine="0"/>
      </w:pPr>
      <w:rPr>
        <w:rFonts w:hint="eastAsia"/>
      </w:rPr>
    </w:lvl>
    <w:lvl w:ilvl="3" w:tentative="0">
      <w:start w:val="1"/>
      <w:numFmt w:val="decimal"/>
      <w:pStyle w:val="9"/>
      <w:suff w:val="space"/>
      <w:lvlText w:val="%1.%2.%3.%4"/>
      <w:lvlJc w:val="left"/>
      <w:pPr>
        <w:ind w:left="0" w:firstLine="0"/>
      </w:pPr>
      <w:rPr>
        <w:rFonts w:hint="eastAsia"/>
      </w:rPr>
    </w:lvl>
    <w:lvl w:ilvl="4" w:tentative="0">
      <w:start w:val="1"/>
      <w:numFmt w:val="decimal"/>
      <w:pStyle w:val="11"/>
      <w:lvlText w:val="%1.%2.%3.%4.%5"/>
      <w:lvlJc w:val="left"/>
      <w:pPr>
        <w:ind w:left="1008" w:hanging="1008"/>
      </w:pPr>
      <w:rPr>
        <w:rFonts w:hint="eastAsia"/>
      </w:rPr>
    </w:lvl>
    <w:lvl w:ilvl="5" w:tentative="0">
      <w:start w:val="1"/>
      <w:numFmt w:val="decimal"/>
      <w:pStyle w:val="12"/>
      <w:lvlText w:val="%1.%2.%3.%4.%5.%6"/>
      <w:lvlJc w:val="left"/>
      <w:pPr>
        <w:ind w:left="1152" w:hanging="1152"/>
      </w:pPr>
      <w:rPr>
        <w:rFonts w:hint="eastAsia"/>
      </w:rPr>
    </w:lvl>
    <w:lvl w:ilvl="6" w:tentative="0">
      <w:start w:val="1"/>
      <w:numFmt w:val="decimal"/>
      <w:pStyle w:val="13"/>
      <w:lvlText w:val="%1.%2.%3.%4.%5.%6.%7"/>
      <w:lvlJc w:val="left"/>
      <w:pPr>
        <w:ind w:left="1296" w:hanging="1296"/>
      </w:pPr>
      <w:rPr>
        <w:rFonts w:hint="eastAsia"/>
      </w:rPr>
    </w:lvl>
    <w:lvl w:ilvl="7" w:tentative="0">
      <w:start w:val="1"/>
      <w:numFmt w:val="decimal"/>
      <w:pStyle w:val="14"/>
      <w:lvlText w:val="%1.%2.%3.%4.%5.%6.%7.%8"/>
      <w:lvlJc w:val="left"/>
      <w:pPr>
        <w:ind w:left="1440" w:hanging="1440"/>
      </w:pPr>
      <w:rPr>
        <w:rFonts w:hint="eastAsia"/>
      </w:rPr>
    </w:lvl>
    <w:lvl w:ilvl="8" w:tentative="0">
      <w:start w:val="1"/>
      <w:numFmt w:val="decimal"/>
      <w:pStyle w:val="15"/>
      <w:lvlText w:val="%1.%2.%3.%4.%5.%6.%7.%8.%9"/>
      <w:lvlJc w:val="left"/>
      <w:pPr>
        <w:ind w:left="1584" w:hanging="1584"/>
      </w:pPr>
      <w:rPr>
        <w:rFonts w:hint="eastAsia"/>
      </w:rPr>
    </w:lvl>
  </w:abstractNum>
  <w:abstractNum w:abstractNumId="7">
    <w:nsid w:val="30FD653F"/>
    <w:multiLevelType w:val="singleLevel"/>
    <w:tmpl w:val="30FD653F"/>
    <w:lvl w:ilvl="0" w:tentative="0">
      <w:start w:val="4"/>
      <w:numFmt w:val="decimal"/>
      <w:suff w:val="nothing"/>
      <w:lvlText w:val="（%1）"/>
      <w:lvlJc w:val="left"/>
    </w:lvl>
  </w:abstractNum>
  <w:abstractNum w:abstractNumId="8">
    <w:nsid w:val="3F027627"/>
    <w:multiLevelType w:val="multilevel"/>
    <w:tmpl w:val="3F027627"/>
    <w:lvl w:ilvl="0" w:tentative="0">
      <w:start w:val="1"/>
      <w:numFmt w:val="decimal"/>
      <w:lvlText w:val="（%1）"/>
      <w:lvlJc w:val="left"/>
      <w:pPr>
        <w:ind w:left="900" w:hanging="420"/>
      </w:pPr>
      <w:rPr>
        <w:rFonts w:hint="eastAsia"/>
      </w:rPr>
    </w:lvl>
    <w:lvl w:ilvl="1" w:tentative="0">
      <w:start w:val="1"/>
      <w:numFmt w:val="decimalEnclosedCircle"/>
      <w:lvlText w:val="%2"/>
      <w:lvlJc w:val="left"/>
      <w:pPr>
        <w:ind w:left="1260" w:hanging="360"/>
      </w:pPr>
      <w:rPr>
        <w:rFonts w:hint="default"/>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46003F1E"/>
    <w:multiLevelType w:val="multilevel"/>
    <w:tmpl w:val="46003F1E"/>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0">
    <w:nsid w:val="46433574"/>
    <w:multiLevelType w:val="multilevel"/>
    <w:tmpl w:val="46433574"/>
    <w:lvl w:ilvl="0" w:tentative="0">
      <w:start w:val="1"/>
      <w:numFmt w:val="upperLetter"/>
      <w:pStyle w:val="1110"/>
      <w:lvlText w:val="%1."/>
      <w:lvlJc w:val="left"/>
      <w:pPr>
        <w:tabs>
          <w:tab w:val="left" w:pos="902"/>
        </w:tabs>
        <w:ind w:left="902" w:hanging="420"/>
      </w:pPr>
    </w:lvl>
    <w:lvl w:ilvl="1" w:tentative="0">
      <w:start w:val="3"/>
      <w:numFmt w:val="upperLetter"/>
      <w:lvlText w:val="%2."/>
      <w:lvlJc w:val="left"/>
      <w:pPr>
        <w:tabs>
          <w:tab w:val="left" w:pos="1322"/>
        </w:tabs>
        <w:ind w:left="1322" w:hanging="420"/>
      </w:pPr>
      <w:rPr>
        <w:rFonts w:hint="eastAsia"/>
      </w:rPr>
    </w:lvl>
    <w:lvl w:ilvl="2" w:tentative="0">
      <w:start w:val="1"/>
      <w:numFmt w:val="bullet"/>
      <w:lvlText w:val=""/>
      <w:lvlJc w:val="left"/>
      <w:pPr>
        <w:tabs>
          <w:tab w:val="left" w:pos="1742"/>
        </w:tabs>
        <w:ind w:left="1742" w:hanging="420"/>
      </w:pPr>
      <w:rPr>
        <w:rFonts w:hint="default" w:ascii="Wingdings" w:hAnsi="Wingdings"/>
      </w:rPr>
    </w:lvl>
    <w:lvl w:ilvl="3" w:tentative="0">
      <w:start w:val="1"/>
      <w:numFmt w:val="bullet"/>
      <w:lvlText w:val=""/>
      <w:lvlJc w:val="left"/>
      <w:pPr>
        <w:tabs>
          <w:tab w:val="left" w:pos="2162"/>
        </w:tabs>
        <w:ind w:left="2162" w:hanging="420"/>
      </w:pPr>
      <w:rPr>
        <w:rFonts w:hint="default" w:ascii="Wingdings" w:hAnsi="Wingdings"/>
      </w:rPr>
    </w:lvl>
    <w:lvl w:ilvl="4" w:tentative="0">
      <w:start w:val="1"/>
      <w:numFmt w:val="bullet"/>
      <w:lvlText w:val=""/>
      <w:lvlJc w:val="left"/>
      <w:pPr>
        <w:tabs>
          <w:tab w:val="left" w:pos="2582"/>
        </w:tabs>
        <w:ind w:left="2582" w:hanging="420"/>
      </w:pPr>
      <w:rPr>
        <w:rFonts w:hint="default" w:ascii="Wingdings" w:hAnsi="Wingdings"/>
      </w:rPr>
    </w:lvl>
    <w:lvl w:ilvl="5" w:tentative="0">
      <w:start w:val="1"/>
      <w:numFmt w:val="bullet"/>
      <w:lvlText w:val=""/>
      <w:lvlJc w:val="left"/>
      <w:pPr>
        <w:tabs>
          <w:tab w:val="left" w:pos="3002"/>
        </w:tabs>
        <w:ind w:left="3002" w:hanging="420"/>
      </w:pPr>
      <w:rPr>
        <w:rFonts w:hint="default" w:ascii="Wingdings" w:hAnsi="Wingdings"/>
      </w:rPr>
    </w:lvl>
    <w:lvl w:ilvl="6" w:tentative="0">
      <w:start w:val="1"/>
      <w:numFmt w:val="bullet"/>
      <w:lvlText w:val=""/>
      <w:lvlJc w:val="left"/>
      <w:pPr>
        <w:tabs>
          <w:tab w:val="left" w:pos="3422"/>
        </w:tabs>
        <w:ind w:left="3422" w:hanging="420"/>
      </w:pPr>
      <w:rPr>
        <w:rFonts w:hint="default" w:ascii="Wingdings" w:hAnsi="Wingdings"/>
      </w:rPr>
    </w:lvl>
    <w:lvl w:ilvl="7" w:tentative="0">
      <w:start w:val="1"/>
      <w:numFmt w:val="bullet"/>
      <w:lvlText w:val=""/>
      <w:lvlJc w:val="left"/>
      <w:pPr>
        <w:tabs>
          <w:tab w:val="left" w:pos="3842"/>
        </w:tabs>
        <w:ind w:left="3842" w:hanging="420"/>
      </w:pPr>
      <w:rPr>
        <w:rFonts w:hint="default" w:ascii="Wingdings" w:hAnsi="Wingdings"/>
      </w:rPr>
    </w:lvl>
    <w:lvl w:ilvl="8" w:tentative="0">
      <w:start w:val="1"/>
      <w:numFmt w:val="bullet"/>
      <w:lvlText w:val=""/>
      <w:lvlJc w:val="left"/>
      <w:pPr>
        <w:tabs>
          <w:tab w:val="left" w:pos="4262"/>
        </w:tabs>
        <w:ind w:left="4262" w:hanging="420"/>
      </w:pPr>
      <w:rPr>
        <w:rFonts w:hint="default" w:ascii="Wingdings" w:hAnsi="Wingdings"/>
      </w:rPr>
    </w:lvl>
  </w:abstractNum>
  <w:abstractNum w:abstractNumId="11">
    <w:nsid w:val="4C7208D7"/>
    <w:multiLevelType w:val="multilevel"/>
    <w:tmpl w:val="4C7208D7"/>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53B6277F"/>
    <w:multiLevelType w:val="multilevel"/>
    <w:tmpl w:val="53B6277F"/>
    <w:lvl w:ilvl="0" w:tentative="0">
      <w:start w:val="1"/>
      <w:numFmt w:val="decimal"/>
      <w:lvlText w:val="（%1）"/>
      <w:lvlJc w:val="left"/>
      <w:pPr>
        <w:ind w:left="900" w:hanging="420"/>
      </w:pPr>
      <w:rPr>
        <w:rFonts w:hint="eastAsia"/>
      </w:rPr>
    </w:lvl>
    <w:lvl w:ilvl="1" w:tentative="0">
      <w:start w:val="1"/>
      <w:numFmt w:val="decimalEnclosedCircle"/>
      <w:lvlText w:val="%2"/>
      <w:lvlJc w:val="left"/>
      <w:pPr>
        <w:ind w:left="1260" w:hanging="360"/>
      </w:pPr>
      <w:rPr>
        <w:rFonts w:hint="default"/>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56203F21"/>
    <w:multiLevelType w:val="multilevel"/>
    <w:tmpl w:val="56203F21"/>
    <w:lvl w:ilvl="0" w:tentative="0">
      <w:start w:val="1"/>
      <w:numFmt w:val="decimal"/>
      <w:lvlText w:val="附件%1 "/>
      <w:lvlJc w:val="left"/>
      <w:pPr>
        <w:ind w:left="132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4">
    <w:nsid w:val="589343AB"/>
    <w:multiLevelType w:val="multilevel"/>
    <w:tmpl w:val="589343AB"/>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684B485D"/>
    <w:multiLevelType w:val="multilevel"/>
    <w:tmpl w:val="684B485D"/>
    <w:lvl w:ilvl="0" w:tentative="0">
      <w:start w:val="1"/>
      <w:numFmt w:val="decimal"/>
      <w:pStyle w:val="1113"/>
      <w:suff w:val="nothing"/>
      <w:lvlText w:val="%1"/>
      <w:lvlJc w:val="left"/>
      <w:pPr>
        <w:ind w:left="0" w:firstLine="0"/>
      </w:pPr>
      <w:rPr>
        <w:rFonts w:hint="default" w:ascii="Times New Roman" w:hAnsi="Times New Roman" w:eastAsia="宋体"/>
        <w:b/>
        <w:i w:val="0"/>
        <w:sz w:val="32"/>
        <w:szCs w:val="32"/>
      </w:rPr>
    </w:lvl>
    <w:lvl w:ilvl="1" w:tentative="0">
      <w:start w:val="1"/>
      <w:numFmt w:val="decimal"/>
      <w:pStyle w:val="1114"/>
      <w:suff w:val="nothing"/>
      <w:lvlText w:val="%1.%2"/>
      <w:lvlJc w:val="left"/>
      <w:pPr>
        <w:ind w:left="0" w:firstLine="0"/>
      </w:pPr>
      <w:rPr>
        <w:rFonts w:hint="default" w:ascii="Times New Roman" w:hAnsi="Times New Roman" w:eastAsia="宋体"/>
        <w:b/>
        <w:i w:val="0"/>
        <w:sz w:val="28"/>
        <w:szCs w:val="28"/>
      </w:rPr>
    </w:lvl>
    <w:lvl w:ilvl="2" w:tentative="0">
      <w:start w:val="1"/>
      <w:numFmt w:val="decimal"/>
      <w:pStyle w:val="1115"/>
      <w:suff w:val="nothing"/>
      <w:lvlText w:val="%1.%2.%3"/>
      <w:lvlJc w:val="left"/>
      <w:pPr>
        <w:ind w:left="0" w:firstLine="0"/>
      </w:pPr>
      <w:rPr>
        <w:rFonts w:hint="default" w:ascii="Times New Roman" w:hAnsi="Times New Roman" w:eastAsia="宋体"/>
        <w:b/>
        <w:i w:val="0"/>
        <w:sz w:val="24"/>
        <w:szCs w:val="24"/>
      </w:rPr>
    </w:lvl>
    <w:lvl w:ilvl="3" w:tentative="0">
      <w:start w:val="1"/>
      <w:numFmt w:val="decimal"/>
      <w:pStyle w:val="1117"/>
      <w:suff w:val="nothing"/>
      <w:lvlText w:val="%1.%2.%3.%4"/>
      <w:lvlJc w:val="left"/>
      <w:pPr>
        <w:ind w:left="568" w:firstLine="0"/>
      </w:pPr>
      <w:rPr>
        <w:rFonts w:hint="default" w:ascii="Times New Roman" w:hAnsi="Times New Roman" w:eastAsia="宋体"/>
        <w:b/>
        <w:i w:val="0"/>
        <w:sz w:val="24"/>
      </w:rPr>
    </w:lvl>
    <w:lvl w:ilvl="4" w:tentative="0">
      <w:start w:val="1"/>
      <w:numFmt w:val="decimal"/>
      <w:lvlRestart w:val="0"/>
      <w:lvlText w:val="%1.%2.%3.%4.%5"/>
      <w:lvlJc w:val="left"/>
      <w:pPr>
        <w:ind w:left="2551" w:hanging="850"/>
      </w:pPr>
      <w:rPr>
        <w:rFonts w:hint="eastAsia"/>
      </w:rPr>
    </w:lvl>
    <w:lvl w:ilvl="5" w:tentative="0">
      <w:start w:val="1"/>
      <w:numFmt w:val="decimal"/>
      <w:lvlRestart w:val="2"/>
      <w:pStyle w:val="1118"/>
      <w:suff w:val="space"/>
      <w:lvlText w:val="表%1.%2-%6"/>
      <w:lvlJc w:val="center"/>
      <w:pPr>
        <w:ind w:left="6096" w:firstLine="0"/>
      </w:pPr>
      <w:rPr>
        <w:rFonts w:hint="default" w:ascii="Times New Roman" w:hAnsi="Times New Roman" w:eastAsia="宋体"/>
        <w:b/>
        <w:i w:val="0"/>
        <w:color w:val="auto"/>
        <w:sz w:val="24"/>
        <w:lang w:val="en-US"/>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6">
    <w:nsid w:val="68AD1083"/>
    <w:multiLevelType w:val="multilevel"/>
    <w:tmpl w:val="68AD1083"/>
    <w:lvl w:ilvl="0" w:tentative="0">
      <w:start w:val="1"/>
      <w:numFmt w:val="decimalEnclosedCircle"/>
      <w:lvlText w:val="%1"/>
      <w:lvlJc w:val="left"/>
      <w:pPr>
        <w:ind w:left="840" w:hanging="360"/>
      </w:pPr>
      <w:rPr>
        <w:rFonts w:hint="default" w:ascii="宋体" w:hAnsi="宋体" w:cs="宋体"/>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6"/>
  </w:num>
  <w:num w:numId="2">
    <w:abstractNumId w:val="10"/>
  </w:num>
  <w:num w:numId="3">
    <w:abstractNumId w:val="15"/>
  </w:num>
  <w:num w:numId="4">
    <w:abstractNumId w:val="5"/>
  </w:num>
  <w:num w:numId="5">
    <w:abstractNumId w:val="13"/>
  </w:num>
  <w:num w:numId="6">
    <w:abstractNumId w:val="7"/>
  </w:num>
  <w:num w:numId="7">
    <w:abstractNumId w:val="2"/>
  </w:num>
  <w:num w:numId="8">
    <w:abstractNumId w:val="12"/>
  </w:num>
  <w:num w:numId="9">
    <w:abstractNumId w:val="8"/>
  </w:num>
  <w:num w:numId="10">
    <w:abstractNumId w:val="4"/>
  </w:num>
  <w:num w:numId="11">
    <w:abstractNumId w:val="3"/>
  </w:num>
  <w:num w:numId="12">
    <w:abstractNumId w:val="0"/>
  </w:num>
  <w:num w:numId="13">
    <w:abstractNumId w:val="1"/>
  </w:num>
  <w:num w:numId="14">
    <w:abstractNumId w:val="11"/>
  </w:num>
  <w:num w:numId="15">
    <w:abstractNumId w:val="16"/>
  </w:num>
  <w:num w:numId="16">
    <w:abstractNumId w:val="9"/>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6"/>
  <w:displayBackgroundShape w:val="1"/>
  <w:bordersDoNotSurroundHeader w:val="0"/>
  <w:bordersDoNotSurroundFooter w:val="0"/>
  <w:hideSpellingErrors/>
  <w:documentProtection w:edit="comments" w:enforcement="0"/>
  <w:defaultTabStop w:val="0"/>
  <w:drawingGridHorizontalSpacing w:val="120"/>
  <w:drawingGridVerticalSpacing w:val="163"/>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VjYjcxMGZlODdkMTJiY2NkMmEzZTJmOTQ4Y2QxOGYifQ=="/>
  </w:docVars>
  <w:rsids>
    <w:rsidRoot w:val="004B31E4"/>
    <w:rsid w:val="00000C58"/>
    <w:rsid w:val="00000DBE"/>
    <w:rsid w:val="000017F8"/>
    <w:rsid w:val="000025FE"/>
    <w:rsid w:val="00002B9D"/>
    <w:rsid w:val="000030F8"/>
    <w:rsid w:val="000034D0"/>
    <w:rsid w:val="00005036"/>
    <w:rsid w:val="00005A9A"/>
    <w:rsid w:val="00005D4C"/>
    <w:rsid w:val="0000628F"/>
    <w:rsid w:val="000065C0"/>
    <w:rsid w:val="000067BE"/>
    <w:rsid w:val="00006CA6"/>
    <w:rsid w:val="00006EB2"/>
    <w:rsid w:val="0000711F"/>
    <w:rsid w:val="000076CE"/>
    <w:rsid w:val="00007F44"/>
    <w:rsid w:val="00010030"/>
    <w:rsid w:val="0001027E"/>
    <w:rsid w:val="000102AF"/>
    <w:rsid w:val="00010383"/>
    <w:rsid w:val="000103DC"/>
    <w:rsid w:val="0001041C"/>
    <w:rsid w:val="0001084F"/>
    <w:rsid w:val="00010DFC"/>
    <w:rsid w:val="000118CE"/>
    <w:rsid w:val="00013B9F"/>
    <w:rsid w:val="00014A90"/>
    <w:rsid w:val="0001508C"/>
    <w:rsid w:val="00015531"/>
    <w:rsid w:val="00015645"/>
    <w:rsid w:val="00015C9A"/>
    <w:rsid w:val="00015C9E"/>
    <w:rsid w:val="000160C1"/>
    <w:rsid w:val="0001709D"/>
    <w:rsid w:val="00017F75"/>
    <w:rsid w:val="00020278"/>
    <w:rsid w:val="00020496"/>
    <w:rsid w:val="000204F8"/>
    <w:rsid w:val="000207BD"/>
    <w:rsid w:val="00021136"/>
    <w:rsid w:val="00021D0F"/>
    <w:rsid w:val="00022928"/>
    <w:rsid w:val="00022A3B"/>
    <w:rsid w:val="000231DD"/>
    <w:rsid w:val="0002359F"/>
    <w:rsid w:val="00023EE0"/>
    <w:rsid w:val="00024099"/>
    <w:rsid w:val="0002438F"/>
    <w:rsid w:val="000244CF"/>
    <w:rsid w:val="000253DE"/>
    <w:rsid w:val="00025408"/>
    <w:rsid w:val="00025C02"/>
    <w:rsid w:val="00025E49"/>
    <w:rsid w:val="000262AD"/>
    <w:rsid w:val="00026896"/>
    <w:rsid w:val="00026A21"/>
    <w:rsid w:val="00027D94"/>
    <w:rsid w:val="00027DCE"/>
    <w:rsid w:val="00027F33"/>
    <w:rsid w:val="000303B9"/>
    <w:rsid w:val="00030CB0"/>
    <w:rsid w:val="00030D03"/>
    <w:rsid w:val="00030D0C"/>
    <w:rsid w:val="0003119E"/>
    <w:rsid w:val="000311A0"/>
    <w:rsid w:val="00032B47"/>
    <w:rsid w:val="00032D06"/>
    <w:rsid w:val="00033B4E"/>
    <w:rsid w:val="00033D43"/>
    <w:rsid w:val="00034021"/>
    <w:rsid w:val="00034850"/>
    <w:rsid w:val="00034B54"/>
    <w:rsid w:val="000369BD"/>
    <w:rsid w:val="00036A30"/>
    <w:rsid w:val="00036B2F"/>
    <w:rsid w:val="0003791E"/>
    <w:rsid w:val="00037E9D"/>
    <w:rsid w:val="00040A52"/>
    <w:rsid w:val="00040AF4"/>
    <w:rsid w:val="000417D9"/>
    <w:rsid w:val="000420BD"/>
    <w:rsid w:val="0004210A"/>
    <w:rsid w:val="00043276"/>
    <w:rsid w:val="0004369F"/>
    <w:rsid w:val="000438C7"/>
    <w:rsid w:val="0004453E"/>
    <w:rsid w:val="00044743"/>
    <w:rsid w:val="00044A70"/>
    <w:rsid w:val="00045552"/>
    <w:rsid w:val="00045815"/>
    <w:rsid w:val="00045C87"/>
    <w:rsid w:val="00045DFC"/>
    <w:rsid w:val="00045FB7"/>
    <w:rsid w:val="00047496"/>
    <w:rsid w:val="000474C1"/>
    <w:rsid w:val="00047518"/>
    <w:rsid w:val="00047DD6"/>
    <w:rsid w:val="00047DED"/>
    <w:rsid w:val="0005069E"/>
    <w:rsid w:val="0005115E"/>
    <w:rsid w:val="00051B5A"/>
    <w:rsid w:val="00051C4E"/>
    <w:rsid w:val="000522A5"/>
    <w:rsid w:val="00053042"/>
    <w:rsid w:val="00053200"/>
    <w:rsid w:val="00053A4A"/>
    <w:rsid w:val="000552A5"/>
    <w:rsid w:val="00057892"/>
    <w:rsid w:val="00057B1E"/>
    <w:rsid w:val="00060633"/>
    <w:rsid w:val="00060789"/>
    <w:rsid w:val="00061F04"/>
    <w:rsid w:val="00062518"/>
    <w:rsid w:val="0006271B"/>
    <w:rsid w:val="00063167"/>
    <w:rsid w:val="0006446D"/>
    <w:rsid w:val="0006465D"/>
    <w:rsid w:val="000646BC"/>
    <w:rsid w:val="00064704"/>
    <w:rsid w:val="00064D16"/>
    <w:rsid w:val="00064E9C"/>
    <w:rsid w:val="00064F78"/>
    <w:rsid w:val="000666E1"/>
    <w:rsid w:val="000675D2"/>
    <w:rsid w:val="00067AD2"/>
    <w:rsid w:val="00067C6C"/>
    <w:rsid w:val="00067CF5"/>
    <w:rsid w:val="00071259"/>
    <w:rsid w:val="000712BC"/>
    <w:rsid w:val="00071AC9"/>
    <w:rsid w:val="000728D4"/>
    <w:rsid w:val="00072B44"/>
    <w:rsid w:val="00072DE9"/>
    <w:rsid w:val="0007388C"/>
    <w:rsid w:val="00074357"/>
    <w:rsid w:val="00074746"/>
    <w:rsid w:val="000748D1"/>
    <w:rsid w:val="00076000"/>
    <w:rsid w:val="00077233"/>
    <w:rsid w:val="000774E9"/>
    <w:rsid w:val="0007770C"/>
    <w:rsid w:val="00077B4B"/>
    <w:rsid w:val="00077BFB"/>
    <w:rsid w:val="00080B2F"/>
    <w:rsid w:val="00080B47"/>
    <w:rsid w:val="00080B6D"/>
    <w:rsid w:val="00080D5E"/>
    <w:rsid w:val="00080F1D"/>
    <w:rsid w:val="00081345"/>
    <w:rsid w:val="00081455"/>
    <w:rsid w:val="00081991"/>
    <w:rsid w:val="00081E01"/>
    <w:rsid w:val="00081E62"/>
    <w:rsid w:val="00081F65"/>
    <w:rsid w:val="00082249"/>
    <w:rsid w:val="0008256F"/>
    <w:rsid w:val="00083071"/>
    <w:rsid w:val="00083512"/>
    <w:rsid w:val="000837F4"/>
    <w:rsid w:val="00084EB4"/>
    <w:rsid w:val="0008530C"/>
    <w:rsid w:val="00085445"/>
    <w:rsid w:val="00085513"/>
    <w:rsid w:val="00085564"/>
    <w:rsid w:val="000863C6"/>
    <w:rsid w:val="000867B9"/>
    <w:rsid w:val="00086A37"/>
    <w:rsid w:val="0008792D"/>
    <w:rsid w:val="00087CFF"/>
    <w:rsid w:val="00087E7A"/>
    <w:rsid w:val="00087F47"/>
    <w:rsid w:val="0009001E"/>
    <w:rsid w:val="00090403"/>
    <w:rsid w:val="00090D34"/>
    <w:rsid w:val="000915C5"/>
    <w:rsid w:val="00091B18"/>
    <w:rsid w:val="00091FF3"/>
    <w:rsid w:val="000928E3"/>
    <w:rsid w:val="00093216"/>
    <w:rsid w:val="000935E3"/>
    <w:rsid w:val="00093797"/>
    <w:rsid w:val="00093A28"/>
    <w:rsid w:val="000941A2"/>
    <w:rsid w:val="000942ED"/>
    <w:rsid w:val="00094373"/>
    <w:rsid w:val="000946E0"/>
    <w:rsid w:val="00094D9C"/>
    <w:rsid w:val="0009506E"/>
    <w:rsid w:val="00095184"/>
    <w:rsid w:val="00095925"/>
    <w:rsid w:val="0009597A"/>
    <w:rsid w:val="0009599B"/>
    <w:rsid w:val="00095F64"/>
    <w:rsid w:val="00096354"/>
    <w:rsid w:val="00096735"/>
    <w:rsid w:val="000969E1"/>
    <w:rsid w:val="00097558"/>
    <w:rsid w:val="00097676"/>
    <w:rsid w:val="00097D2E"/>
    <w:rsid w:val="000A08C2"/>
    <w:rsid w:val="000A0BA4"/>
    <w:rsid w:val="000A192C"/>
    <w:rsid w:val="000A1A30"/>
    <w:rsid w:val="000A1A3F"/>
    <w:rsid w:val="000A1C8F"/>
    <w:rsid w:val="000A1DD5"/>
    <w:rsid w:val="000A34AB"/>
    <w:rsid w:val="000A357E"/>
    <w:rsid w:val="000A3A79"/>
    <w:rsid w:val="000A3AA7"/>
    <w:rsid w:val="000A3FBD"/>
    <w:rsid w:val="000A44B5"/>
    <w:rsid w:val="000A4A36"/>
    <w:rsid w:val="000A51C5"/>
    <w:rsid w:val="000A59DD"/>
    <w:rsid w:val="000A5F02"/>
    <w:rsid w:val="000A6057"/>
    <w:rsid w:val="000A6140"/>
    <w:rsid w:val="000A614C"/>
    <w:rsid w:val="000A6635"/>
    <w:rsid w:val="000A671C"/>
    <w:rsid w:val="000A73BC"/>
    <w:rsid w:val="000A775B"/>
    <w:rsid w:val="000B0BE0"/>
    <w:rsid w:val="000B0D32"/>
    <w:rsid w:val="000B1B1E"/>
    <w:rsid w:val="000B1E87"/>
    <w:rsid w:val="000B2316"/>
    <w:rsid w:val="000B2BBE"/>
    <w:rsid w:val="000B3A69"/>
    <w:rsid w:val="000B440D"/>
    <w:rsid w:val="000B4776"/>
    <w:rsid w:val="000B47B1"/>
    <w:rsid w:val="000B523B"/>
    <w:rsid w:val="000B5F5B"/>
    <w:rsid w:val="000B651F"/>
    <w:rsid w:val="000B66AD"/>
    <w:rsid w:val="000B6709"/>
    <w:rsid w:val="000B687D"/>
    <w:rsid w:val="000B72C6"/>
    <w:rsid w:val="000B7F97"/>
    <w:rsid w:val="000C026C"/>
    <w:rsid w:val="000C07B5"/>
    <w:rsid w:val="000C15F0"/>
    <w:rsid w:val="000C220D"/>
    <w:rsid w:val="000C260E"/>
    <w:rsid w:val="000C313E"/>
    <w:rsid w:val="000C3737"/>
    <w:rsid w:val="000C3E07"/>
    <w:rsid w:val="000C448F"/>
    <w:rsid w:val="000C459F"/>
    <w:rsid w:val="000C4712"/>
    <w:rsid w:val="000C4D6B"/>
    <w:rsid w:val="000C5048"/>
    <w:rsid w:val="000C5929"/>
    <w:rsid w:val="000C5FB5"/>
    <w:rsid w:val="000C6248"/>
    <w:rsid w:val="000C643D"/>
    <w:rsid w:val="000C6E0A"/>
    <w:rsid w:val="000C710F"/>
    <w:rsid w:val="000C721B"/>
    <w:rsid w:val="000C7B71"/>
    <w:rsid w:val="000D0C54"/>
    <w:rsid w:val="000D137D"/>
    <w:rsid w:val="000D1E70"/>
    <w:rsid w:val="000D22A1"/>
    <w:rsid w:val="000D27A2"/>
    <w:rsid w:val="000D34F2"/>
    <w:rsid w:val="000D3ACA"/>
    <w:rsid w:val="000D3E00"/>
    <w:rsid w:val="000D41C5"/>
    <w:rsid w:val="000D44D4"/>
    <w:rsid w:val="000D4740"/>
    <w:rsid w:val="000D4B50"/>
    <w:rsid w:val="000D4F96"/>
    <w:rsid w:val="000D5715"/>
    <w:rsid w:val="000D583A"/>
    <w:rsid w:val="000D5ADA"/>
    <w:rsid w:val="000D5DF3"/>
    <w:rsid w:val="000D6607"/>
    <w:rsid w:val="000D6CB0"/>
    <w:rsid w:val="000D6DA9"/>
    <w:rsid w:val="000D718B"/>
    <w:rsid w:val="000E0171"/>
    <w:rsid w:val="000E0404"/>
    <w:rsid w:val="000E1052"/>
    <w:rsid w:val="000E1546"/>
    <w:rsid w:val="000E15F3"/>
    <w:rsid w:val="000E1C20"/>
    <w:rsid w:val="000E1C2D"/>
    <w:rsid w:val="000E206A"/>
    <w:rsid w:val="000E25D8"/>
    <w:rsid w:val="000E2AE8"/>
    <w:rsid w:val="000E2D20"/>
    <w:rsid w:val="000E489E"/>
    <w:rsid w:val="000E4DE6"/>
    <w:rsid w:val="000E4F78"/>
    <w:rsid w:val="000E5829"/>
    <w:rsid w:val="000E5A57"/>
    <w:rsid w:val="000E5E32"/>
    <w:rsid w:val="000E68B9"/>
    <w:rsid w:val="000E6DFE"/>
    <w:rsid w:val="000E7631"/>
    <w:rsid w:val="000F04B2"/>
    <w:rsid w:val="000F0AAA"/>
    <w:rsid w:val="000F1CF9"/>
    <w:rsid w:val="000F230A"/>
    <w:rsid w:val="000F2316"/>
    <w:rsid w:val="000F257B"/>
    <w:rsid w:val="000F2AD7"/>
    <w:rsid w:val="000F34E4"/>
    <w:rsid w:val="000F34E8"/>
    <w:rsid w:val="000F4510"/>
    <w:rsid w:val="000F45EA"/>
    <w:rsid w:val="000F4AFB"/>
    <w:rsid w:val="000F4B6B"/>
    <w:rsid w:val="000F5457"/>
    <w:rsid w:val="000F5620"/>
    <w:rsid w:val="000F6372"/>
    <w:rsid w:val="000F68C2"/>
    <w:rsid w:val="000F699B"/>
    <w:rsid w:val="000F6C92"/>
    <w:rsid w:val="000F6D4B"/>
    <w:rsid w:val="000F73A3"/>
    <w:rsid w:val="000F79F3"/>
    <w:rsid w:val="000F7A24"/>
    <w:rsid w:val="000F7BD2"/>
    <w:rsid w:val="0010000F"/>
    <w:rsid w:val="001003E4"/>
    <w:rsid w:val="001007CB"/>
    <w:rsid w:val="00100AED"/>
    <w:rsid w:val="001010E6"/>
    <w:rsid w:val="0010179F"/>
    <w:rsid w:val="00102094"/>
    <w:rsid w:val="00103006"/>
    <w:rsid w:val="001033FC"/>
    <w:rsid w:val="00103493"/>
    <w:rsid w:val="001044CB"/>
    <w:rsid w:val="00104A51"/>
    <w:rsid w:val="00104C39"/>
    <w:rsid w:val="0010513A"/>
    <w:rsid w:val="001058B9"/>
    <w:rsid w:val="001061C2"/>
    <w:rsid w:val="001069A5"/>
    <w:rsid w:val="00106C8F"/>
    <w:rsid w:val="001073D7"/>
    <w:rsid w:val="00107BF4"/>
    <w:rsid w:val="0011077A"/>
    <w:rsid w:val="00111029"/>
    <w:rsid w:val="001113E1"/>
    <w:rsid w:val="001114B9"/>
    <w:rsid w:val="00111CBD"/>
    <w:rsid w:val="0011224C"/>
    <w:rsid w:val="001123A8"/>
    <w:rsid w:val="001139C1"/>
    <w:rsid w:val="00113B52"/>
    <w:rsid w:val="00113F7F"/>
    <w:rsid w:val="0011409D"/>
    <w:rsid w:val="00114927"/>
    <w:rsid w:val="00115D98"/>
    <w:rsid w:val="001161AE"/>
    <w:rsid w:val="00116276"/>
    <w:rsid w:val="00116820"/>
    <w:rsid w:val="00116FAC"/>
    <w:rsid w:val="001175D9"/>
    <w:rsid w:val="00117CE3"/>
    <w:rsid w:val="00120279"/>
    <w:rsid w:val="00120685"/>
    <w:rsid w:val="00120ACE"/>
    <w:rsid w:val="00121A41"/>
    <w:rsid w:val="00122B52"/>
    <w:rsid w:val="00122BD4"/>
    <w:rsid w:val="00122ED1"/>
    <w:rsid w:val="00123855"/>
    <w:rsid w:val="00123BAF"/>
    <w:rsid w:val="00123C90"/>
    <w:rsid w:val="00123EFF"/>
    <w:rsid w:val="00124055"/>
    <w:rsid w:val="0012417F"/>
    <w:rsid w:val="00125452"/>
    <w:rsid w:val="0012567C"/>
    <w:rsid w:val="0012576A"/>
    <w:rsid w:val="00125C51"/>
    <w:rsid w:val="00125F03"/>
    <w:rsid w:val="0012609C"/>
    <w:rsid w:val="00126479"/>
    <w:rsid w:val="00126BB8"/>
    <w:rsid w:val="00126CC3"/>
    <w:rsid w:val="001272C2"/>
    <w:rsid w:val="00127422"/>
    <w:rsid w:val="001279EA"/>
    <w:rsid w:val="00127A9A"/>
    <w:rsid w:val="00127AB7"/>
    <w:rsid w:val="00127B9A"/>
    <w:rsid w:val="00130546"/>
    <w:rsid w:val="0013073A"/>
    <w:rsid w:val="0013115F"/>
    <w:rsid w:val="00131C6A"/>
    <w:rsid w:val="001323C5"/>
    <w:rsid w:val="00132676"/>
    <w:rsid w:val="001331D1"/>
    <w:rsid w:val="00133564"/>
    <w:rsid w:val="00134707"/>
    <w:rsid w:val="00134A4E"/>
    <w:rsid w:val="00134C1C"/>
    <w:rsid w:val="00134C38"/>
    <w:rsid w:val="00135042"/>
    <w:rsid w:val="0013594A"/>
    <w:rsid w:val="00135F0C"/>
    <w:rsid w:val="001361E3"/>
    <w:rsid w:val="001363FE"/>
    <w:rsid w:val="00137115"/>
    <w:rsid w:val="001372DE"/>
    <w:rsid w:val="00137810"/>
    <w:rsid w:val="0013795F"/>
    <w:rsid w:val="0014036A"/>
    <w:rsid w:val="00140FD8"/>
    <w:rsid w:val="00141112"/>
    <w:rsid w:val="00141E0A"/>
    <w:rsid w:val="00141EF7"/>
    <w:rsid w:val="0014213C"/>
    <w:rsid w:val="001425DB"/>
    <w:rsid w:val="00142D94"/>
    <w:rsid w:val="001432D6"/>
    <w:rsid w:val="00143348"/>
    <w:rsid w:val="00143A79"/>
    <w:rsid w:val="001446AF"/>
    <w:rsid w:val="001447C9"/>
    <w:rsid w:val="00144C07"/>
    <w:rsid w:val="00145178"/>
    <w:rsid w:val="001453D3"/>
    <w:rsid w:val="0014540D"/>
    <w:rsid w:val="00145639"/>
    <w:rsid w:val="00145722"/>
    <w:rsid w:val="00145911"/>
    <w:rsid w:val="00145CBA"/>
    <w:rsid w:val="00145F18"/>
    <w:rsid w:val="0014619E"/>
    <w:rsid w:val="0014626B"/>
    <w:rsid w:val="00146992"/>
    <w:rsid w:val="00146ED4"/>
    <w:rsid w:val="0014700A"/>
    <w:rsid w:val="001470FA"/>
    <w:rsid w:val="001478E3"/>
    <w:rsid w:val="0014796A"/>
    <w:rsid w:val="00147B9A"/>
    <w:rsid w:val="0015027C"/>
    <w:rsid w:val="001502F3"/>
    <w:rsid w:val="001508C9"/>
    <w:rsid w:val="00150BB8"/>
    <w:rsid w:val="001518F4"/>
    <w:rsid w:val="0015289F"/>
    <w:rsid w:val="00152EC9"/>
    <w:rsid w:val="001536BA"/>
    <w:rsid w:val="0015417B"/>
    <w:rsid w:val="0015446F"/>
    <w:rsid w:val="00154DD4"/>
    <w:rsid w:val="0015507D"/>
    <w:rsid w:val="00155114"/>
    <w:rsid w:val="001557B1"/>
    <w:rsid w:val="00157548"/>
    <w:rsid w:val="00157E5F"/>
    <w:rsid w:val="001601D5"/>
    <w:rsid w:val="0016033E"/>
    <w:rsid w:val="001611C8"/>
    <w:rsid w:val="00161B17"/>
    <w:rsid w:val="00161FC1"/>
    <w:rsid w:val="00162603"/>
    <w:rsid w:val="00162635"/>
    <w:rsid w:val="00163354"/>
    <w:rsid w:val="0016416E"/>
    <w:rsid w:val="00164A8D"/>
    <w:rsid w:val="001651F3"/>
    <w:rsid w:val="001657BC"/>
    <w:rsid w:val="0016594F"/>
    <w:rsid w:val="00165986"/>
    <w:rsid w:val="0016733D"/>
    <w:rsid w:val="00170B18"/>
    <w:rsid w:val="00170B48"/>
    <w:rsid w:val="00171218"/>
    <w:rsid w:val="0017180E"/>
    <w:rsid w:val="00171846"/>
    <w:rsid w:val="00171FE5"/>
    <w:rsid w:val="00172D70"/>
    <w:rsid w:val="00173077"/>
    <w:rsid w:val="0017307E"/>
    <w:rsid w:val="0017359C"/>
    <w:rsid w:val="00173A13"/>
    <w:rsid w:val="0017431F"/>
    <w:rsid w:val="001745E6"/>
    <w:rsid w:val="00175084"/>
    <w:rsid w:val="001753C1"/>
    <w:rsid w:val="00176133"/>
    <w:rsid w:val="0017647F"/>
    <w:rsid w:val="00177E44"/>
    <w:rsid w:val="0018096F"/>
    <w:rsid w:val="00180AD7"/>
    <w:rsid w:val="00180DEB"/>
    <w:rsid w:val="001812D0"/>
    <w:rsid w:val="00182A6E"/>
    <w:rsid w:val="00182B92"/>
    <w:rsid w:val="001830B3"/>
    <w:rsid w:val="00183154"/>
    <w:rsid w:val="0018352D"/>
    <w:rsid w:val="00183FFC"/>
    <w:rsid w:val="0018510A"/>
    <w:rsid w:val="001852BB"/>
    <w:rsid w:val="00185C28"/>
    <w:rsid w:val="001868E6"/>
    <w:rsid w:val="00186ABC"/>
    <w:rsid w:val="00186C07"/>
    <w:rsid w:val="0018718D"/>
    <w:rsid w:val="001875F8"/>
    <w:rsid w:val="001877AE"/>
    <w:rsid w:val="00190617"/>
    <w:rsid w:val="0019093F"/>
    <w:rsid w:val="00190B03"/>
    <w:rsid w:val="00190DDC"/>
    <w:rsid w:val="001911DF"/>
    <w:rsid w:val="00191F83"/>
    <w:rsid w:val="001927CD"/>
    <w:rsid w:val="0019288B"/>
    <w:rsid w:val="00193490"/>
    <w:rsid w:val="0019352A"/>
    <w:rsid w:val="00193A1E"/>
    <w:rsid w:val="00193CAD"/>
    <w:rsid w:val="00193CC2"/>
    <w:rsid w:val="00193E1E"/>
    <w:rsid w:val="00194272"/>
    <w:rsid w:val="00194C5A"/>
    <w:rsid w:val="0019521E"/>
    <w:rsid w:val="0019552D"/>
    <w:rsid w:val="0019600B"/>
    <w:rsid w:val="001969F5"/>
    <w:rsid w:val="001A0415"/>
    <w:rsid w:val="001A10AE"/>
    <w:rsid w:val="001A1298"/>
    <w:rsid w:val="001A1AA3"/>
    <w:rsid w:val="001A3140"/>
    <w:rsid w:val="001A34FF"/>
    <w:rsid w:val="001A3924"/>
    <w:rsid w:val="001A3F75"/>
    <w:rsid w:val="001A4176"/>
    <w:rsid w:val="001A4906"/>
    <w:rsid w:val="001A51C0"/>
    <w:rsid w:val="001A5BC9"/>
    <w:rsid w:val="001A5C7F"/>
    <w:rsid w:val="001A6053"/>
    <w:rsid w:val="001A6214"/>
    <w:rsid w:val="001A7550"/>
    <w:rsid w:val="001A7B87"/>
    <w:rsid w:val="001B077F"/>
    <w:rsid w:val="001B0A23"/>
    <w:rsid w:val="001B0CE9"/>
    <w:rsid w:val="001B2FD4"/>
    <w:rsid w:val="001B3763"/>
    <w:rsid w:val="001B41D3"/>
    <w:rsid w:val="001B42EE"/>
    <w:rsid w:val="001B4902"/>
    <w:rsid w:val="001B4A0A"/>
    <w:rsid w:val="001B5253"/>
    <w:rsid w:val="001B5BFA"/>
    <w:rsid w:val="001B6AD6"/>
    <w:rsid w:val="001B6B78"/>
    <w:rsid w:val="001B6FC4"/>
    <w:rsid w:val="001B712B"/>
    <w:rsid w:val="001B71DE"/>
    <w:rsid w:val="001B7BE6"/>
    <w:rsid w:val="001B7CAC"/>
    <w:rsid w:val="001B7FF2"/>
    <w:rsid w:val="001C006F"/>
    <w:rsid w:val="001C04B0"/>
    <w:rsid w:val="001C075A"/>
    <w:rsid w:val="001C1A42"/>
    <w:rsid w:val="001C21AF"/>
    <w:rsid w:val="001C230D"/>
    <w:rsid w:val="001C272D"/>
    <w:rsid w:val="001C297E"/>
    <w:rsid w:val="001C33E2"/>
    <w:rsid w:val="001C3432"/>
    <w:rsid w:val="001C3567"/>
    <w:rsid w:val="001C35CB"/>
    <w:rsid w:val="001C36F6"/>
    <w:rsid w:val="001C441A"/>
    <w:rsid w:val="001C44A2"/>
    <w:rsid w:val="001C4DF0"/>
    <w:rsid w:val="001C5429"/>
    <w:rsid w:val="001C5DE1"/>
    <w:rsid w:val="001C7A4A"/>
    <w:rsid w:val="001C7D07"/>
    <w:rsid w:val="001C7DF6"/>
    <w:rsid w:val="001C7E2E"/>
    <w:rsid w:val="001D063F"/>
    <w:rsid w:val="001D0B6F"/>
    <w:rsid w:val="001D0FD6"/>
    <w:rsid w:val="001D1252"/>
    <w:rsid w:val="001D1AE2"/>
    <w:rsid w:val="001D1DBC"/>
    <w:rsid w:val="001D1EB4"/>
    <w:rsid w:val="001D212E"/>
    <w:rsid w:val="001D24E2"/>
    <w:rsid w:val="001D26D8"/>
    <w:rsid w:val="001D29FC"/>
    <w:rsid w:val="001D2BAE"/>
    <w:rsid w:val="001D306E"/>
    <w:rsid w:val="001D417B"/>
    <w:rsid w:val="001D46BB"/>
    <w:rsid w:val="001D4713"/>
    <w:rsid w:val="001D48C9"/>
    <w:rsid w:val="001D48F3"/>
    <w:rsid w:val="001D5062"/>
    <w:rsid w:val="001D5261"/>
    <w:rsid w:val="001E09A4"/>
    <w:rsid w:val="001E0B9F"/>
    <w:rsid w:val="001E17CB"/>
    <w:rsid w:val="001E1C83"/>
    <w:rsid w:val="001E1C96"/>
    <w:rsid w:val="001E1F13"/>
    <w:rsid w:val="001E21A4"/>
    <w:rsid w:val="001E258B"/>
    <w:rsid w:val="001E2C0A"/>
    <w:rsid w:val="001E2E9D"/>
    <w:rsid w:val="001E37B1"/>
    <w:rsid w:val="001E3999"/>
    <w:rsid w:val="001E3AAC"/>
    <w:rsid w:val="001E4C3A"/>
    <w:rsid w:val="001E54A7"/>
    <w:rsid w:val="001E5810"/>
    <w:rsid w:val="001E5D2A"/>
    <w:rsid w:val="001E6A22"/>
    <w:rsid w:val="001E74CA"/>
    <w:rsid w:val="001F088E"/>
    <w:rsid w:val="001F0D70"/>
    <w:rsid w:val="001F10D5"/>
    <w:rsid w:val="001F15ED"/>
    <w:rsid w:val="001F1B03"/>
    <w:rsid w:val="001F1D5E"/>
    <w:rsid w:val="001F2ADD"/>
    <w:rsid w:val="001F31CC"/>
    <w:rsid w:val="001F3D86"/>
    <w:rsid w:val="001F3F70"/>
    <w:rsid w:val="001F5727"/>
    <w:rsid w:val="001F5799"/>
    <w:rsid w:val="001F587B"/>
    <w:rsid w:val="001F6667"/>
    <w:rsid w:val="001F66CC"/>
    <w:rsid w:val="001F6D79"/>
    <w:rsid w:val="001F7620"/>
    <w:rsid w:val="001F7642"/>
    <w:rsid w:val="001F7752"/>
    <w:rsid w:val="001F7EA6"/>
    <w:rsid w:val="00200A86"/>
    <w:rsid w:val="00200C22"/>
    <w:rsid w:val="0020156D"/>
    <w:rsid w:val="00201771"/>
    <w:rsid w:val="00201B13"/>
    <w:rsid w:val="00202423"/>
    <w:rsid w:val="00202836"/>
    <w:rsid w:val="0020288C"/>
    <w:rsid w:val="00202A5F"/>
    <w:rsid w:val="00203112"/>
    <w:rsid w:val="00203805"/>
    <w:rsid w:val="00203978"/>
    <w:rsid w:val="00203ED3"/>
    <w:rsid w:val="00203FDA"/>
    <w:rsid w:val="0020406F"/>
    <w:rsid w:val="00204B1B"/>
    <w:rsid w:val="00204EA2"/>
    <w:rsid w:val="00205677"/>
    <w:rsid w:val="00205858"/>
    <w:rsid w:val="00206027"/>
    <w:rsid w:val="00206BCD"/>
    <w:rsid w:val="0020786B"/>
    <w:rsid w:val="00207915"/>
    <w:rsid w:val="002101AC"/>
    <w:rsid w:val="00210592"/>
    <w:rsid w:val="00210CC7"/>
    <w:rsid w:val="002122AE"/>
    <w:rsid w:val="0021283C"/>
    <w:rsid w:val="00212998"/>
    <w:rsid w:val="00212D80"/>
    <w:rsid w:val="00213095"/>
    <w:rsid w:val="00213173"/>
    <w:rsid w:val="00214264"/>
    <w:rsid w:val="002144C2"/>
    <w:rsid w:val="0021450D"/>
    <w:rsid w:val="00214BAA"/>
    <w:rsid w:val="00214CE2"/>
    <w:rsid w:val="00214CE3"/>
    <w:rsid w:val="002158DB"/>
    <w:rsid w:val="002172F5"/>
    <w:rsid w:val="0021771E"/>
    <w:rsid w:val="00220C8C"/>
    <w:rsid w:val="00221289"/>
    <w:rsid w:val="002219E1"/>
    <w:rsid w:val="00221D51"/>
    <w:rsid w:val="00222618"/>
    <w:rsid w:val="002230FD"/>
    <w:rsid w:val="0022366B"/>
    <w:rsid w:val="00223759"/>
    <w:rsid w:val="00223CDC"/>
    <w:rsid w:val="00223EE8"/>
    <w:rsid w:val="00224359"/>
    <w:rsid w:val="00224487"/>
    <w:rsid w:val="00224CF2"/>
    <w:rsid w:val="00224FAB"/>
    <w:rsid w:val="00225260"/>
    <w:rsid w:val="002254C0"/>
    <w:rsid w:val="00225557"/>
    <w:rsid w:val="00225900"/>
    <w:rsid w:val="00225A8F"/>
    <w:rsid w:val="0022665F"/>
    <w:rsid w:val="002266EA"/>
    <w:rsid w:val="002301D2"/>
    <w:rsid w:val="00230655"/>
    <w:rsid w:val="00230D70"/>
    <w:rsid w:val="002319F9"/>
    <w:rsid w:val="00233021"/>
    <w:rsid w:val="002334B8"/>
    <w:rsid w:val="002334DC"/>
    <w:rsid w:val="002339B5"/>
    <w:rsid w:val="00233AED"/>
    <w:rsid w:val="00234484"/>
    <w:rsid w:val="00234EFF"/>
    <w:rsid w:val="00234F72"/>
    <w:rsid w:val="00235462"/>
    <w:rsid w:val="002355C2"/>
    <w:rsid w:val="00235638"/>
    <w:rsid w:val="002356A0"/>
    <w:rsid w:val="002357C6"/>
    <w:rsid w:val="00235C9A"/>
    <w:rsid w:val="002362C9"/>
    <w:rsid w:val="00236463"/>
    <w:rsid w:val="00236965"/>
    <w:rsid w:val="00236D51"/>
    <w:rsid w:val="00236D72"/>
    <w:rsid w:val="00236EAE"/>
    <w:rsid w:val="002370F9"/>
    <w:rsid w:val="00237841"/>
    <w:rsid w:val="002422D8"/>
    <w:rsid w:val="0024276A"/>
    <w:rsid w:val="00242D7E"/>
    <w:rsid w:val="00242D85"/>
    <w:rsid w:val="00242E7B"/>
    <w:rsid w:val="00243151"/>
    <w:rsid w:val="002433C3"/>
    <w:rsid w:val="00244163"/>
    <w:rsid w:val="00244C4D"/>
    <w:rsid w:val="00244DE5"/>
    <w:rsid w:val="00245539"/>
    <w:rsid w:val="00245C07"/>
    <w:rsid w:val="0024606C"/>
    <w:rsid w:val="0024625C"/>
    <w:rsid w:val="002464A9"/>
    <w:rsid w:val="002467B7"/>
    <w:rsid w:val="00247948"/>
    <w:rsid w:val="00247B62"/>
    <w:rsid w:val="00247EEA"/>
    <w:rsid w:val="00247EF7"/>
    <w:rsid w:val="00250071"/>
    <w:rsid w:val="002506DA"/>
    <w:rsid w:val="00251F8F"/>
    <w:rsid w:val="002527E1"/>
    <w:rsid w:val="00252F64"/>
    <w:rsid w:val="00253074"/>
    <w:rsid w:val="002534A3"/>
    <w:rsid w:val="00253A68"/>
    <w:rsid w:val="00253A8A"/>
    <w:rsid w:val="00253C91"/>
    <w:rsid w:val="0025425E"/>
    <w:rsid w:val="00256123"/>
    <w:rsid w:val="002565B7"/>
    <w:rsid w:val="002566DA"/>
    <w:rsid w:val="00256792"/>
    <w:rsid w:val="00256AF2"/>
    <w:rsid w:val="00256C31"/>
    <w:rsid w:val="00257802"/>
    <w:rsid w:val="00257C39"/>
    <w:rsid w:val="0026006C"/>
    <w:rsid w:val="002607F9"/>
    <w:rsid w:val="00260B87"/>
    <w:rsid w:val="002611ED"/>
    <w:rsid w:val="0026124B"/>
    <w:rsid w:val="00262E7D"/>
    <w:rsid w:val="002630B8"/>
    <w:rsid w:val="002631E3"/>
    <w:rsid w:val="002637A4"/>
    <w:rsid w:val="00263C76"/>
    <w:rsid w:val="00263C84"/>
    <w:rsid w:val="00263FC6"/>
    <w:rsid w:val="0026441F"/>
    <w:rsid w:val="00264459"/>
    <w:rsid w:val="0026504D"/>
    <w:rsid w:val="0026585C"/>
    <w:rsid w:val="00265957"/>
    <w:rsid w:val="00265F42"/>
    <w:rsid w:val="00266352"/>
    <w:rsid w:val="00266F8B"/>
    <w:rsid w:val="00267539"/>
    <w:rsid w:val="00267849"/>
    <w:rsid w:val="00267CEC"/>
    <w:rsid w:val="0027154C"/>
    <w:rsid w:val="00272593"/>
    <w:rsid w:val="0027331E"/>
    <w:rsid w:val="00273424"/>
    <w:rsid w:val="00273E07"/>
    <w:rsid w:val="002742DA"/>
    <w:rsid w:val="0027493D"/>
    <w:rsid w:val="00275069"/>
    <w:rsid w:val="00275627"/>
    <w:rsid w:val="0027588C"/>
    <w:rsid w:val="00275F5E"/>
    <w:rsid w:val="002764E8"/>
    <w:rsid w:val="00280115"/>
    <w:rsid w:val="00280E78"/>
    <w:rsid w:val="00281594"/>
    <w:rsid w:val="00281F8C"/>
    <w:rsid w:val="00282316"/>
    <w:rsid w:val="0028235D"/>
    <w:rsid w:val="002824B0"/>
    <w:rsid w:val="002828B1"/>
    <w:rsid w:val="002832AA"/>
    <w:rsid w:val="0028355D"/>
    <w:rsid w:val="00284032"/>
    <w:rsid w:val="0028415E"/>
    <w:rsid w:val="00284762"/>
    <w:rsid w:val="00284A93"/>
    <w:rsid w:val="00284FDE"/>
    <w:rsid w:val="00285E93"/>
    <w:rsid w:val="0028619C"/>
    <w:rsid w:val="002862E4"/>
    <w:rsid w:val="00286333"/>
    <w:rsid w:val="00287A33"/>
    <w:rsid w:val="00287D02"/>
    <w:rsid w:val="00290089"/>
    <w:rsid w:val="00290A39"/>
    <w:rsid w:val="00290B4C"/>
    <w:rsid w:val="00290E91"/>
    <w:rsid w:val="00291435"/>
    <w:rsid w:val="0029169E"/>
    <w:rsid w:val="00291952"/>
    <w:rsid w:val="00291FFF"/>
    <w:rsid w:val="00292CDF"/>
    <w:rsid w:val="00292F2F"/>
    <w:rsid w:val="00293A33"/>
    <w:rsid w:val="00294085"/>
    <w:rsid w:val="0029409F"/>
    <w:rsid w:val="0029440E"/>
    <w:rsid w:val="00295388"/>
    <w:rsid w:val="002961C7"/>
    <w:rsid w:val="002968C2"/>
    <w:rsid w:val="002975C1"/>
    <w:rsid w:val="00297C9D"/>
    <w:rsid w:val="002A08B9"/>
    <w:rsid w:val="002A09CF"/>
    <w:rsid w:val="002A1747"/>
    <w:rsid w:val="002A1798"/>
    <w:rsid w:val="002A1893"/>
    <w:rsid w:val="002A29FC"/>
    <w:rsid w:val="002A3421"/>
    <w:rsid w:val="002A3493"/>
    <w:rsid w:val="002A3DF9"/>
    <w:rsid w:val="002A4112"/>
    <w:rsid w:val="002A4495"/>
    <w:rsid w:val="002A45F3"/>
    <w:rsid w:val="002A4823"/>
    <w:rsid w:val="002A4848"/>
    <w:rsid w:val="002A4FE3"/>
    <w:rsid w:val="002A57C6"/>
    <w:rsid w:val="002A5AEB"/>
    <w:rsid w:val="002A61E5"/>
    <w:rsid w:val="002A6617"/>
    <w:rsid w:val="002A6E5C"/>
    <w:rsid w:val="002A7E4E"/>
    <w:rsid w:val="002A7E6E"/>
    <w:rsid w:val="002B02D6"/>
    <w:rsid w:val="002B0305"/>
    <w:rsid w:val="002B0E4C"/>
    <w:rsid w:val="002B182D"/>
    <w:rsid w:val="002B20EC"/>
    <w:rsid w:val="002B2A5B"/>
    <w:rsid w:val="002B2D20"/>
    <w:rsid w:val="002B352D"/>
    <w:rsid w:val="002B4996"/>
    <w:rsid w:val="002B4C30"/>
    <w:rsid w:val="002B4C80"/>
    <w:rsid w:val="002B5A76"/>
    <w:rsid w:val="002B63F3"/>
    <w:rsid w:val="002B65DF"/>
    <w:rsid w:val="002B6C21"/>
    <w:rsid w:val="002B6C73"/>
    <w:rsid w:val="002B6E3F"/>
    <w:rsid w:val="002B70CC"/>
    <w:rsid w:val="002B7649"/>
    <w:rsid w:val="002B7CC6"/>
    <w:rsid w:val="002C0310"/>
    <w:rsid w:val="002C05E8"/>
    <w:rsid w:val="002C1242"/>
    <w:rsid w:val="002C19F6"/>
    <w:rsid w:val="002C1CAA"/>
    <w:rsid w:val="002C1CAB"/>
    <w:rsid w:val="002C26C7"/>
    <w:rsid w:val="002C28A9"/>
    <w:rsid w:val="002C294D"/>
    <w:rsid w:val="002C2F51"/>
    <w:rsid w:val="002C4AD3"/>
    <w:rsid w:val="002C52B4"/>
    <w:rsid w:val="002C58CD"/>
    <w:rsid w:val="002C5D51"/>
    <w:rsid w:val="002C61CC"/>
    <w:rsid w:val="002C64DF"/>
    <w:rsid w:val="002C6D45"/>
    <w:rsid w:val="002C6EBD"/>
    <w:rsid w:val="002C7B33"/>
    <w:rsid w:val="002C7CE9"/>
    <w:rsid w:val="002D01D3"/>
    <w:rsid w:val="002D09CE"/>
    <w:rsid w:val="002D0B31"/>
    <w:rsid w:val="002D176F"/>
    <w:rsid w:val="002D17E3"/>
    <w:rsid w:val="002D1BB2"/>
    <w:rsid w:val="002D1C1E"/>
    <w:rsid w:val="002D2340"/>
    <w:rsid w:val="002D297B"/>
    <w:rsid w:val="002D2C98"/>
    <w:rsid w:val="002D2CFE"/>
    <w:rsid w:val="002D4352"/>
    <w:rsid w:val="002D4BA4"/>
    <w:rsid w:val="002D4D9F"/>
    <w:rsid w:val="002D513B"/>
    <w:rsid w:val="002D57F2"/>
    <w:rsid w:val="002D5AFB"/>
    <w:rsid w:val="002D65AF"/>
    <w:rsid w:val="002D7EB4"/>
    <w:rsid w:val="002E0270"/>
    <w:rsid w:val="002E03D7"/>
    <w:rsid w:val="002E0411"/>
    <w:rsid w:val="002E0D5C"/>
    <w:rsid w:val="002E0F50"/>
    <w:rsid w:val="002E1596"/>
    <w:rsid w:val="002E1799"/>
    <w:rsid w:val="002E17D1"/>
    <w:rsid w:val="002E1BE4"/>
    <w:rsid w:val="002E2DFE"/>
    <w:rsid w:val="002E6B7B"/>
    <w:rsid w:val="002E6CEC"/>
    <w:rsid w:val="002E6EE1"/>
    <w:rsid w:val="002E6F12"/>
    <w:rsid w:val="002E790C"/>
    <w:rsid w:val="002E7C32"/>
    <w:rsid w:val="002F06C1"/>
    <w:rsid w:val="002F0745"/>
    <w:rsid w:val="002F07E8"/>
    <w:rsid w:val="002F0B65"/>
    <w:rsid w:val="002F1062"/>
    <w:rsid w:val="002F1065"/>
    <w:rsid w:val="002F162D"/>
    <w:rsid w:val="002F168A"/>
    <w:rsid w:val="002F2166"/>
    <w:rsid w:val="002F2309"/>
    <w:rsid w:val="002F2CC8"/>
    <w:rsid w:val="002F328A"/>
    <w:rsid w:val="002F3B8B"/>
    <w:rsid w:val="002F3F2E"/>
    <w:rsid w:val="002F459E"/>
    <w:rsid w:val="002F4620"/>
    <w:rsid w:val="002F4671"/>
    <w:rsid w:val="002F63E6"/>
    <w:rsid w:val="002F67A8"/>
    <w:rsid w:val="002F6806"/>
    <w:rsid w:val="002F68EB"/>
    <w:rsid w:val="002F6DEC"/>
    <w:rsid w:val="002F6F7A"/>
    <w:rsid w:val="002F73FC"/>
    <w:rsid w:val="002F754F"/>
    <w:rsid w:val="002F78C5"/>
    <w:rsid w:val="00300300"/>
    <w:rsid w:val="003006A6"/>
    <w:rsid w:val="00301145"/>
    <w:rsid w:val="003023D2"/>
    <w:rsid w:val="00302B12"/>
    <w:rsid w:val="0030393F"/>
    <w:rsid w:val="00303A10"/>
    <w:rsid w:val="00303BE4"/>
    <w:rsid w:val="003041BA"/>
    <w:rsid w:val="0030463D"/>
    <w:rsid w:val="00304A9B"/>
    <w:rsid w:val="00304EC1"/>
    <w:rsid w:val="0030670D"/>
    <w:rsid w:val="00307936"/>
    <w:rsid w:val="00307DBC"/>
    <w:rsid w:val="00310979"/>
    <w:rsid w:val="0031111B"/>
    <w:rsid w:val="00311E1A"/>
    <w:rsid w:val="0031266A"/>
    <w:rsid w:val="00312E09"/>
    <w:rsid w:val="0031305D"/>
    <w:rsid w:val="00313950"/>
    <w:rsid w:val="00314E7A"/>
    <w:rsid w:val="00315012"/>
    <w:rsid w:val="00315040"/>
    <w:rsid w:val="00315E02"/>
    <w:rsid w:val="0031680B"/>
    <w:rsid w:val="00316FEA"/>
    <w:rsid w:val="0031751E"/>
    <w:rsid w:val="003179C9"/>
    <w:rsid w:val="00317D02"/>
    <w:rsid w:val="00317F8B"/>
    <w:rsid w:val="0032018F"/>
    <w:rsid w:val="00320390"/>
    <w:rsid w:val="00320C15"/>
    <w:rsid w:val="00320CDA"/>
    <w:rsid w:val="00320E49"/>
    <w:rsid w:val="00321A36"/>
    <w:rsid w:val="00321C2A"/>
    <w:rsid w:val="00323817"/>
    <w:rsid w:val="00323D85"/>
    <w:rsid w:val="003246D7"/>
    <w:rsid w:val="0032501D"/>
    <w:rsid w:val="00325063"/>
    <w:rsid w:val="0032572F"/>
    <w:rsid w:val="00325813"/>
    <w:rsid w:val="003258FF"/>
    <w:rsid w:val="00325FC2"/>
    <w:rsid w:val="00326161"/>
    <w:rsid w:val="0032649A"/>
    <w:rsid w:val="0032657D"/>
    <w:rsid w:val="003265BD"/>
    <w:rsid w:val="003277DC"/>
    <w:rsid w:val="003277EC"/>
    <w:rsid w:val="0032782A"/>
    <w:rsid w:val="003279AC"/>
    <w:rsid w:val="00327A07"/>
    <w:rsid w:val="00327A4B"/>
    <w:rsid w:val="00327D78"/>
    <w:rsid w:val="003300E9"/>
    <w:rsid w:val="003305FF"/>
    <w:rsid w:val="003310BD"/>
    <w:rsid w:val="00331231"/>
    <w:rsid w:val="0033208E"/>
    <w:rsid w:val="00332147"/>
    <w:rsid w:val="0033281F"/>
    <w:rsid w:val="0033288B"/>
    <w:rsid w:val="00332E6E"/>
    <w:rsid w:val="00332EA2"/>
    <w:rsid w:val="00333A77"/>
    <w:rsid w:val="003344C3"/>
    <w:rsid w:val="00335ED4"/>
    <w:rsid w:val="0033616D"/>
    <w:rsid w:val="003372E5"/>
    <w:rsid w:val="00337A58"/>
    <w:rsid w:val="00337D97"/>
    <w:rsid w:val="00337E77"/>
    <w:rsid w:val="0034045A"/>
    <w:rsid w:val="0034066A"/>
    <w:rsid w:val="00340865"/>
    <w:rsid w:val="0034182B"/>
    <w:rsid w:val="003421C6"/>
    <w:rsid w:val="00342336"/>
    <w:rsid w:val="00342F50"/>
    <w:rsid w:val="00343088"/>
    <w:rsid w:val="00343715"/>
    <w:rsid w:val="0034377B"/>
    <w:rsid w:val="003438D4"/>
    <w:rsid w:val="0034417C"/>
    <w:rsid w:val="00344237"/>
    <w:rsid w:val="0034495D"/>
    <w:rsid w:val="00344B09"/>
    <w:rsid w:val="00344B28"/>
    <w:rsid w:val="00345197"/>
    <w:rsid w:val="00345CF7"/>
    <w:rsid w:val="003467B7"/>
    <w:rsid w:val="003468FF"/>
    <w:rsid w:val="00346950"/>
    <w:rsid w:val="00346D82"/>
    <w:rsid w:val="003470E5"/>
    <w:rsid w:val="00350990"/>
    <w:rsid w:val="00350A6A"/>
    <w:rsid w:val="0035177E"/>
    <w:rsid w:val="00351907"/>
    <w:rsid w:val="00351CE5"/>
    <w:rsid w:val="00351EB2"/>
    <w:rsid w:val="0035281D"/>
    <w:rsid w:val="00352FBC"/>
    <w:rsid w:val="00353207"/>
    <w:rsid w:val="003533BD"/>
    <w:rsid w:val="00353C5F"/>
    <w:rsid w:val="00353DDA"/>
    <w:rsid w:val="00354AF5"/>
    <w:rsid w:val="00355EB4"/>
    <w:rsid w:val="0035635F"/>
    <w:rsid w:val="00356890"/>
    <w:rsid w:val="003568F3"/>
    <w:rsid w:val="00356B59"/>
    <w:rsid w:val="00356DA6"/>
    <w:rsid w:val="00360C3C"/>
    <w:rsid w:val="00360F3D"/>
    <w:rsid w:val="00360FA0"/>
    <w:rsid w:val="0036134B"/>
    <w:rsid w:val="003616A1"/>
    <w:rsid w:val="00361F5D"/>
    <w:rsid w:val="00362324"/>
    <w:rsid w:val="003627D2"/>
    <w:rsid w:val="0036322F"/>
    <w:rsid w:val="00363308"/>
    <w:rsid w:val="0036353C"/>
    <w:rsid w:val="003647F7"/>
    <w:rsid w:val="00364BD0"/>
    <w:rsid w:val="00364E8F"/>
    <w:rsid w:val="00364F62"/>
    <w:rsid w:val="00365050"/>
    <w:rsid w:val="003652E0"/>
    <w:rsid w:val="003656E8"/>
    <w:rsid w:val="00365EEA"/>
    <w:rsid w:val="00365FF0"/>
    <w:rsid w:val="00366B57"/>
    <w:rsid w:val="00366FBA"/>
    <w:rsid w:val="003674FA"/>
    <w:rsid w:val="00367B03"/>
    <w:rsid w:val="0037004E"/>
    <w:rsid w:val="003700F5"/>
    <w:rsid w:val="0037019A"/>
    <w:rsid w:val="003706C0"/>
    <w:rsid w:val="003708FE"/>
    <w:rsid w:val="00370A44"/>
    <w:rsid w:val="00370D9B"/>
    <w:rsid w:val="00371828"/>
    <w:rsid w:val="0037228C"/>
    <w:rsid w:val="00372742"/>
    <w:rsid w:val="00372F54"/>
    <w:rsid w:val="003732BA"/>
    <w:rsid w:val="003735AA"/>
    <w:rsid w:val="00373835"/>
    <w:rsid w:val="00373B0B"/>
    <w:rsid w:val="00374072"/>
    <w:rsid w:val="0037470C"/>
    <w:rsid w:val="003749E9"/>
    <w:rsid w:val="00374EE4"/>
    <w:rsid w:val="00375216"/>
    <w:rsid w:val="00377A08"/>
    <w:rsid w:val="00377A87"/>
    <w:rsid w:val="00377B9C"/>
    <w:rsid w:val="00377C20"/>
    <w:rsid w:val="003807DC"/>
    <w:rsid w:val="00380EC3"/>
    <w:rsid w:val="003827AF"/>
    <w:rsid w:val="003827CE"/>
    <w:rsid w:val="003827DE"/>
    <w:rsid w:val="00383501"/>
    <w:rsid w:val="003835B4"/>
    <w:rsid w:val="003839D1"/>
    <w:rsid w:val="00383BD7"/>
    <w:rsid w:val="00384295"/>
    <w:rsid w:val="003847DF"/>
    <w:rsid w:val="00384EB1"/>
    <w:rsid w:val="00385560"/>
    <w:rsid w:val="003866DF"/>
    <w:rsid w:val="00386906"/>
    <w:rsid w:val="00386CC2"/>
    <w:rsid w:val="00387817"/>
    <w:rsid w:val="0038783C"/>
    <w:rsid w:val="003879A6"/>
    <w:rsid w:val="00390D5D"/>
    <w:rsid w:val="0039166F"/>
    <w:rsid w:val="00391982"/>
    <w:rsid w:val="00391BED"/>
    <w:rsid w:val="00392622"/>
    <w:rsid w:val="00393001"/>
    <w:rsid w:val="00393B2D"/>
    <w:rsid w:val="00393C5F"/>
    <w:rsid w:val="00394FD3"/>
    <w:rsid w:val="003951AD"/>
    <w:rsid w:val="0039576C"/>
    <w:rsid w:val="00395BED"/>
    <w:rsid w:val="00396401"/>
    <w:rsid w:val="00397E78"/>
    <w:rsid w:val="003A03F0"/>
    <w:rsid w:val="003A0AF4"/>
    <w:rsid w:val="003A0E0B"/>
    <w:rsid w:val="003A0E41"/>
    <w:rsid w:val="003A131A"/>
    <w:rsid w:val="003A16F5"/>
    <w:rsid w:val="003A1D91"/>
    <w:rsid w:val="003A34F1"/>
    <w:rsid w:val="003A357F"/>
    <w:rsid w:val="003A3BAB"/>
    <w:rsid w:val="003A3EFE"/>
    <w:rsid w:val="003A3FC9"/>
    <w:rsid w:val="003A49B6"/>
    <w:rsid w:val="003A4D3D"/>
    <w:rsid w:val="003A4DCA"/>
    <w:rsid w:val="003A52B3"/>
    <w:rsid w:val="003A5589"/>
    <w:rsid w:val="003A579A"/>
    <w:rsid w:val="003A5952"/>
    <w:rsid w:val="003A59AB"/>
    <w:rsid w:val="003A5E22"/>
    <w:rsid w:val="003A6950"/>
    <w:rsid w:val="003A6BFD"/>
    <w:rsid w:val="003A7947"/>
    <w:rsid w:val="003A7969"/>
    <w:rsid w:val="003A7ABA"/>
    <w:rsid w:val="003B05AB"/>
    <w:rsid w:val="003B0702"/>
    <w:rsid w:val="003B0E41"/>
    <w:rsid w:val="003B1C01"/>
    <w:rsid w:val="003B2206"/>
    <w:rsid w:val="003B228B"/>
    <w:rsid w:val="003B24FF"/>
    <w:rsid w:val="003B3376"/>
    <w:rsid w:val="003B3701"/>
    <w:rsid w:val="003B3F03"/>
    <w:rsid w:val="003B4E23"/>
    <w:rsid w:val="003B5AB3"/>
    <w:rsid w:val="003B5C40"/>
    <w:rsid w:val="003B67F6"/>
    <w:rsid w:val="003B6B53"/>
    <w:rsid w:val="003B7324"/>
    <w:rsid w:val="003B7F0E"/>
    <w:rsid w:val="003C0F7F"/>
    <w:rsid w:val="003C203E"/>
    <w:rsid w:val="003C254B"/>
    <w:rsid w:val="003C2C5E"/>
    <w:rsid w:val="003C4885"/>
    <w:rsid w:val="003C4E5B"/>
    <w:rsid w:val="003C4FAF"/>
    <w:rsid w:val="003C5767"/>
    <w:rsid w:val="003C5D95"/>
    <w:rsid w:val="003C6CCA"/>
    <w:rsid w:val="003C700E"/>
    <w:rsid w:val="003C75A7"/>
    <w:rsid w:val="003C78EF"/>
    <w:rsid w:val="003C7A8F"/>
    <w:rsid w:val="003C7C84"/>
    <w:rsid w:val="003D04CD"/>
    <w:rsid w:val="003D0D94"/>
    <w:rsid w:val="003D1456"/>
    <w:rsid w:val="003D1B98"/>
    <w:rsid w:val="003D1CBC"/>
    <w:rsid w:val="003D1F98"/>
    <w:rsid w:val="003D279A"/>
    <w:rsid w:val="003D2858"/>
    <w:rsid w:val="003D31EA"/>
    <w:rsid w:val="003D3B61"/>
    <w:rsid w:val="003D3E17"/>
    <w:rsid w:val="003D4435"/>
    <w:rsid w:val="003D5EAF"/>
    <w:rsid w:val="003D758A"/>
    <w:rsid w:val="003E0634"/>
    <w:rsid w:val="003E07CB"/>
    <w:rsid w:val="003E0FCB"/>
    <w:rsid w:val="003E1028"/>
    <w:rsid w:val="003E140D"/>
    <w:rsid w:val="003E21AB"/>
    <w:rsid w:val="003E24A8"/>
    <w:rsid w:val="003E288D"/>
    <w:rsid w:val="003E3135"/>
    <w:rsid w:val="003E36E7"/>
    <w:rsid w:val="003E36EC"/>
    <w:rsid w:val="003E3A87"/>
    <w:rsid w:val="003E3FC6"/>
    <w:rsid w:val="003E4274"/>
    <w:rsid w:val="003E4810"/>
    <w:rsid w:val="003E4EF5"/>
    <w:rsid w:val="003E53E9"/>
    <w:rsid w:val="003E5653"/>
    <w:rsid w:val="003E5B83"/>
    <w:rsid w:val="003E5EFE"/>
    <w:rsid w:val="003E5F7F"/>
    <w:rsid w:val="003E6971"/>
    <w:rsid w:val="003E733C"/>
    <w:rsid w:val="003E7872"/>
    <w:rsid w:val="003E7BE6"/>
    <w:rsid w:val="003F01C7"/>
    <w:rsid w:val="003F094A"/>
    <w:rsid w:val="003F0BFA"/>
    <w:rsid w:val="003F13C4"/>
    <w:rsid w:val="003F15C3"/>
    <w:rsid w:val="003F248C"/>
    <w:rsid w:val="003F2C0D"/>
    <w:rsid w:val="003F38E7"/>
    <w:rsid w:val="003F3B00"/>
    <w:rsid w:val="003F4F1D"/>
    <w:rsid w:val="003F53DE"/>
    <w:rsid w:val="003F5774"/>
    <w:rsid w:val="003F5DFA"/>
    <w:rsid w:val="003F62D4"/>
    <w:rsid w:val="003F63D4"/>
    <w:rsid w:val="003F767F"/>
    <w:rsid w:val="003F7768"/>
    <w:rsid w:val="003F78AC"/>
    <w:rsid w:val="00400ABF"/>
    <w:rsid w:val="00400DA1"/>
    <w:rsid w:val="004012CB"/>
    <w:rsid w:val="004016A1"/>
    <w:rsid w:val="00401AF0"/>
    <w:rsid w:val="00401C1A"/>
    <w:rsid w:val="00402009"/>
    <w:rsid w:val="0040224E"/>
    <w:rsid w:val="004028E1"/>
    <w:rsid w:val="00402947"/>
    <w:rsid w:val="004029D8"/>
    <w:rsid w:val="00402AB3"/>
    <w:rsid w:val="0040379A"/>
    <w:rsid w:val="004038A0"/>
    <w:rsid w:val="00403A12"/>
    <w:rsid w:val="00403A5F"/>
    <w:rsid w:val="00404DBF"/>
    <w:rsid w:val="0040531B"/>
    <w:rsid w:val="004054BF"/>
    <w:rsid w:val="00405999"/>
    <w:rsid w:val="0040601C"/>
    <w:rsid w:val="00406BA3"/>
    <w:rsid w:val="00406E9F"/>
    <w:rsid w:val="004070E3"/>
    <w:rsid w:val="004071E9"/>
    <w:rsid w:val="004101D8"/>
    <w:rsid w:val="0041042D"/>
    <w:rsid w:val="00411321"/>
    <w:rsid w:val="004125A6"/>
    <w:rsid w:val="00412CF0"/>
    <w:rsid w:val="00413307"/>
    <w:rsid w:val="0041384E"/>
    <w:rsid w:val="00413A9B"/>
    <w:rsid w:val="004144A6"/>
    <w:rsid w:val="0041565B"/>
    <w:rsid w:val="0041570E"/>
    <w:rsid w:val="00415B99"/>
    <w:rsid w:val="00415DEB"/>
    <w:rsid w:val="00415F2C"/>
    <w:rsid w:val="00416823"/>
    <w:rsid w:val="0041699F"/>
    <w:rsid w:val="00417295"/>
    <w:rsid w:val="00417308"/>
    <w:rsid w:val="004202FD"/>
    <w:rsid w:val="004203C5"/>
    <w:rsid w:val="004203CF"/>
    <w:rsid w:val="0042074C"/>
    <w:rsid w:val="00420944"/>
    <w:rsid w:val="00420E6C"/>
    <w:rsid w:val="00420FCC"/>
    <w:rsid w:val="004211B5"/>
    <w:rsid w:val="00421AB6"/>
    <w:rsid w:val="0042297F"/>
    <w:rsid w:val="00423A32"/>
    <w:rsid w:val="00423A9A"/>
    <w:rsid w:val="00423DC5"/>
    <w:rsid w:val="00423EDF"/>
    <w:rsid w:val="004246D0"/>
    <w:rsid w:val="00424969"/>
    <w:rsid w:val="00424A9F"/>
    <w:rsid w:val="00424E77"/>
    <w:rsid w:val="0042515C"/>
    <w:rsid w:val="004251BF"/>
    <w:rsid w:val="00425A96"/>
    <w:rsid w:val="00425B73"/>
    <w:rsid w:val="00425DFA"/>
    <w:rsid w:val="00426538"/>
    <w:rsid w:val="00426789"/>
    <w:rsid w:val="00427035"/>
    <w:rsid w:val="004270EF"/>
    <w:rsid w:val="0042786E"/>
    <w:rsid w:val="00427CA5"/>
    <w:rsid w:val="0043014F"/>
    <w:rsid w:val="00430738"/>
    <w:rsid w:val="00430AE3"/>
    <w:rsid w:val="0043113C"/>
    <w:rsid w:val="004325DE"/>
    <w:rsid w:val="0043338B"/>
    <w:rsid w:val="00433793"/>
    <w:rsid w:val="00433D4A"/>
    <w:rsid w:val="0043413A"/>
    <w:rsid w:val="0043422F"/>
    <w:rsid w:val="00434BA1"/>
    <w:rsid w:val="00434E4F"/>
    <w:rsid w:val="004351DA"/>
    <w:rsid w:val="0043556F"/>
    <w:rsid w:val="00435859"/>
    <w:rsid w:val="00435ABE"/>
    <w:rsid w:val="00435CB7"/>
    <w:rsid w:val="00435D1A"/>
    <w:rsid w:val="0043604C"/>
    <w:rsid w:val="0043616B"/>
    <w:rsid w:val="00436B32"/>
    <w:rsid w:val="00437144"/>
    <w:rsid w:val="004374F6"/>
    <w:rsid w:val="004378A8"/>
    <w:rsid w:val="0044010B"/>
    <w:rsid w:val="0044059B"/>
    <w:rsid w:val="00440902"/>
    <w:rsid w:val="004411BA"/>
    <w:rsid w:val="004414C3"/>
    <w:rsid w:val="00441DC3"/>
    <w:rsid w:val="00441FA1"/>
    <w:rsid w:val="004424E8"/>
    <w:rsid w:val="004426BF"/>
    <w:rsid w:val="00442BD2"/>
    <w:rsid w:val="00443481"/>
    <w:rsid w:val="00443F96"/>
    <w:rsid w:val="0044454C"/>
    <w:rsid w:val="0044499A"/>
    <w:rsid w:val="00444DD7"/>
    <w:rsid w:val="004451F9"/>
    <w:rsid w:val="00445ADE"/>
    <w:rsid w:val="00445E33"/>
    <w:rsid w:val="00446161"/>
    <w:rsid w:val="0044696E"/>
    <w:rsid w:val="00446AF8"/>
    <w:rsid w:val="00446E67"/>
    <w:rsid w:val="00447A6C"/>
    <w:rsid w:val="00447B2A"/>
    <w:rsid w:val="00450135"/>
    <w:rsid w:val="004503E3"/>
    <w:rsid w:val="004509C4"/>
    <w:rsid w:val="00451492"/>
    <w:rsid w:val="00452B76"/>
    <w:rsid w:val="00453241"/>
    <w:rsid w:val="004546BA"/>
    <w:rsid w:val="00454AD3"/>
    <w:rsid w:val="00454DEA"/>
    <w:rsid w:val="0045511C"/>
    <w:rsid w:val="00455BED"/>
    <w:rsid w:val="0045621C"/>
    <w:rsid w:val="00456F8D"/>
    <w:rsid w:val="00457A41"/>
    <w:rsid w:val="00457BF0"/>
    <w:rsid w:val="00457C21"/>
    <w:rsid w:val="00460C6A"/>
    <w:rsid w:val="004611C2"/>
    <w:rsid w:val="0046135C"/>
    <w:rsid w:val="00461DDE"/>
    <w:rsid w:val="00461ED0"/>
    <w:rsid w:val="004622A6"/>
    <w:rsid w:val="004624BB"/>
    <w:rsid w:val="00462565"/>
    <w:rsid w:val="00462592"/>
    <w:rsid w:val="004629A6"/>
    <w:rsid w:val="00462FB7"/>
    <w:rsid w:val="0046391B"/>
    <w:rsid w:val="004641FB"/>
    <w:rsid w:val="004651D6"/>
    <w:rsid w:val="00465558"/>
    <w:rsid w:val="004660B9"/>
    <w:rsid w:val="004662B4"/>
    <w:rsid w:val="0046711E"/>
    <w:rsid w:val="00467C71"/>
    <w:rsid w:val="00467FBE"/>
    <w:rsid w:val="004702D8"/>
    <w:rsid w:val="0047086B"/>
    <w:rsid w:val="0047103A"/>
    <w:rsid w:val="004718ED"/>
    <w:rsid w:val="00472985"/>
    <w:rsid w:val="00472D55"/>
    <w:rsid w:val="00472E8E"/>
    <w:rsid w:val="004736BC"/>
    <w:rsid w:val="004738E5"/>
    <w:rsid w:val="0047399E"/>
    <w:rsid w:val="00473F26"/>
    <w:rsid w:val="00474FE1"/>
    <w:rsid w:val="00475DCF"/>
    <w:rsid w:val="00476268"/>
    <w:rsid w:val="0047671F"/>
    <w:rsid w:val="00477594"/>
    <w:rsid w:val="00477B8E"/>
    <w:rsid w:val="00477E5A"/>
    <w:rsid w:val="00480CA5"/>
    <w:rsid w:val="004810C8"/>
    <w:rsid w:val="0048110C"/>
    <w:rsid w:val="0048131B"/>
    <w:rsid w:val="0048197D"/>
    <w:rsid w:val="00482149"/>
    <w:rsid w:val="00482E26"/>
    <w:rsid w:val="0048322D"/>
    <w:rsid w:val="00483F9B"/>
    <w:rsid w:val="004850FE"/>
    <w:rsid w:val="00485D34"/>
    <w:rsid w:val="00486C5E"/>
    <w:rsid w:val="00486FBD"/>
    <w:rsid w:val="0048737A"/>
    <w:rsid w:val="004909E3"/>
    <w:rsid w:val="0049177A"/>
    <w:rsid w:val="004925B8"/>
    <w:rsid w:val="004926C0"/>
    <w:rsid w:val="004928D2"/>
    <w:rsid w:val="00493502"/>
    <w:rsid w:val="00493633"/>
    <w:rsid w:val="004938D0"/>
    <w:rsid w:val="00494112"/>
    <w:rsid w:val="004944D0"/>
    <w:rsid w:val="004947CE"/>
    <w:rsid w:val="0049515F"/>
    <w:rsid w:val="00495639"/>
    <w:rsid w:val="00495868"/>
    <w:rsid w:val="00495A85"/>
    <w:rsid w:val="00496411"/>
    <w:rsid w:val="00496667"/>
    <w:rsid w:val="0049700D"/>
    <w:rsid w:val="00497239"/>
    <w:rsid w:val="004976B0"/>
    <w:rsid w:val="004977F7"/>
    <w:rsid w:val="0049792E"/>
    <w:rsid w:val="00497EDB"/>
    <w:rsid w:val="004A04F2"/>
    <w:rsid w:val="004A0CA1"/>
    <w:rsid w:val="004A1123"/>
    <w:rsid w:val="004A1787"/>
    <w:rsid w:val="004A1A3D"/>
    <w:rsid w:val="004A20D7"/>
    <w:rsid w:val="004A2592"/>
    <w:rsid w:val="004A2C3E"/>
    <w:rsid w:val="004A2C69"/>
    <w:rsid w:val="004A2DB5"/>
    <w:rsid w:val="004A340C"/>
    <w:rsid w:val="004A3C40"/>
    <w:rsid w:val="004A42E4"/>
    <w:rsid w:val="004A48BE"/>
    <w:rsid w:val="004A4A23"/>
    <w:rsid w:val="004A4A84"/>
    <w:rsid w:val="004A4BFA"/>
    <w:rsid w:val="004A5266"/>
    <w:rsid w:val="004A5CB9"/>
    <w:rsid w:val="004A63B7"/>
    <w:rsid w:val="004A6515"/>
    <w:rsid w:val="004A6CC0"/>
    <w:rsid w:val="004A735E"/>
    <w:rsid w:val="004B018A"/>
    <w:rsid w:val="004B01F5"/>
    <w:rsid w:val="004B03DB"/>
    <w:rsid w:val="004B0BFC"/>
    <w:rsid w:val="004B0CB4"/>
    <w:rsid w:val="004B0DDA"/>
    <w:rsid w:val="004B231E"/>
    <w:rsid w:val="004B239B"/>
    <w:rsid w:val="004B2606"/>
    <w:rsid w:val="004B2BC7"/>
    <w:rsid w:val="004B3002"/>
    <w:rsid w:val="004B31D8"/>
    <w:rsid w:val="004B31E4"/>
    <w:rsid w:val="004B3271"/>
    <w:rsid w:val="004B43C4"/>
    <w:rsid w:val="004B440B"/>
    <w:rsid w:val="004B4456"/>
    <w:rsid w:val="004B4CA7"/>
    <w:rsid w:val="004B54A1"/>
    <w:rsid w:val="004B5D77"/>
    <w:rsid w:val="004B5DD9"/>
    <w:rsid w:val="004B5E38"/>
    <w:rsid w:val="004B6B67"/>
    <w:rsid w:val="004B7747"/>
    <w:rsid w:val="004C0F21"/>
    <w:rsid w:val="004C23A9"/>
    <w:rsid w:val="004C25DA"/>
    <w:rsid w:val="004C37D5"/>
    <w:rsid w:val="004C3B64"/>
    <w:rsid w:val="004C4362"/>
    <w:rsid w:val="004C446C"/>
    <w:rsid w:val="004C4500"/>
    <w:rsid w:val="004C4ED8"/>
    <w:rsid w:val="004C7375"/>
    <w:rsid w:val="004C7566"/>
    <w:rsid w:val="004C7D96"/>
    <w:rsid w:val="004C7E72"/>
    <w:rsid w:val="004D0579"/>
    <w:rsid w:val="004D0BD9"/>
    <w:rsid w:val="004D1529"/>
    <w:rsid w:val="004D1B9C"/>
    <w:rsid w:val="004D1CB2"/>
    <w:rsid w:val="004D2325"/>
    <w:rsid w:val="004D23FD"/>
    <w:rsid w:val="004D2489"/>
    <w:rsid w:val="004D30AE"/>
    <w:rsid w:val="004D374A"/>
    <w:rsid w:val="004D398D"/>
    <w:rsid w:val="004D40EC"/>
    <w:rsid w:val="004D4437"/>
    <w:rsid w:val="004D4597"/>
    <w:rsid w:val="004D4748"/>
    <w:rsid w:val="004D5753"/>
    <w:rsid w:val="004D596D"/>
    <w:rsid w:val="004D5B93"/>
    <w:rsid w:val="004D6346"/>
    <w:rsid w:val="004D659A"/>
    <w:rsid w:val="004D661E"/>
    <w:rsid w:val="004D707A"/>
    <w:rsid w:val="004D7276"/>
    <w:rsid w:val="004E03CF"/>
    <w:rsid w:val="004E07DB"/>
    <w:rsid w:val="004E0F89"/>
    <w:rsid w:val="004E1323"/>
    <w:rsid w:val="004E17CE"/>
    <w:rsid w:val="004E18AD"/>
    <w:rsid w:val="004E1C23"/>
    <w:rsid w:val="004E27ED"/>
    <w:rsid w:val="004E3184"/>
    <w:rsid w:val="004E3580"/>
    <w:rsid w:val="004E3853"/>
    <w:rsid w:val="004E3F1A"/>
    <w:rsid w:val="004E4B95"/>
    <w:rsid w:val="004E4BEF"/>
    <w:rsid w:val="004E5010"/>
    <w:rsid w:val="004E5239"/>
    <w:rsid w:val="004E5B9B"/>
    <w:rsid w:val="004E6000"/>
    <w:rsid w:val="004E6173"/>
    <w:rsid w:val="004E6B87"/>
    <w:rsid w:val="004E6E1F"/>
    <w:rsid w:val="004E6F1B"/>
    <w:rsid w:val="004E73E6"/>
    <w:rsid w:val="004E7467"/>
    <w:rsid w:val="004F05AB"/>
    <w:rsid w:val="004F0BD9"/>
    <w:rsid w:val="004F1766"/>
    <w:rsid w:val="004F1CE9"/>
    <w:rsid w:val="004F25EA"/>
    <w:rsid w:val="004F2746"/>
    <w:rsid w:val="004F2B26"/>
    <w:rsid w:val="004F2E57"/>
    <w:rsid w:val="004F38A4"/>
    <w:rsid w:val="004F3961"/>
    <w:rsid w:val="004F4050"/>
    <w:rsid w:val="004F4C5B"/>
    <w:rsid w:val="004F52FA"/>
    <w:rsid w:val="004F5448"/>
    <w:rsid w:val="004F5BCF"/>
    <w:rsid w:val="004F5F3F"/>
    <w:rsid w:val="004F6B47"/>
    <w:rsid w:val="004F7355"/>
    <w:rsid w:val="004F7981"/>
    <w:rsid w:val="004F7A50"/>
    <w:rsid w:val="004F7C9F"/>
    <w:rsid w:val="004F7CA1"/>
    <w:rsid w:val="00500DC7"/>
    <w:rsid w:val="00500E9A"/>
    <w:rsid w:val="005013FF"/>
    <w:rsid w:val="005014EE"/>
    <w:rsid w:val="0050252E"/>
    <w:rsid w:val="00502D32"/>
    <w:rsid w:val="0050336D"/>
    <w:rsid w:val="005033F4"/>
    <w:rsid w:val="0050375E"/>
    <w:rsid w:val="00503ADC"/>
    <w:rsid w:val="0050414B"/>
    <w:rsid w:val="005046A6"/>
    <w:rsid w:val="00505F67"/>
    <w:rsid w:val="005062FB"/>
    <w:rsid w:val="00510153"/>
    <w:rsid w:val="00510351"/>
    <w:rsid w:val="00510CA2"/>
    <w:rsid w:val="005116D1"/>
    <w:rsid w:val="00511761"/>
    <w:rsid w:val="00511FF2"/>
    <w:rsid w:val="0051210C"/>
    <w:rsid w:val="00512A0E"/>
    <w:rsid w:val="005133F5"/>
    <w:rsid w:val="005135F3"/>
    <w:rsid w:val="00513AE7"/>
    <w:rsid w:val="00513C3B"/>
    <w:rsid w:val="005156F1"/>
    <w:rsid w:val="00515856"/>
    <w:rsid w:val="0051613E"/>
    <w:rsid w:val="005166C8"/>
    <w:rsid w:val="005169C7"/>
    <w:rsid w:val="005179AD"/>
    <w:rsid w:val="00517D11"/>
    <w:rsid w:val="00520133"/>
    <w:rsid w:val="00520A78"/>
    <w:rsid w:val="00520D89"/>
    <w:rsid w:val="0052199A"/>
    <w:rsid w:val="00521EBE"/>
    <w:rsid w:val="00522894"/>
    <w:rsid w:val="0052382B"/>
    <w:rsid w:val="0052396F"/>
    <w:rsid w:val="005239CD"/>
    <w:rsid w:val="00523B10"/>
    <w:rsid w:val="00523CA4"/>
    <w:rsid w:val="00524613"/>
    <w:rsid w:val="00524FF2"/>
    <w:rsid w:val="005254BB"/>
    <w:rsid w:val="00525C9F"/>
    <w:rsid w:val="00525DA4"/>
    <w:rsid w:val="00526415"/>
    <w:rsid w:val="0052664E"/>
    <w:rsid w:val="0052669F"/>
    <w:rsid w:val="00526C4E"/>
    <w:rsid w:val="00526E96"/>
    <w:rsid w:val="0052759D"/>
    <w:rsid w:val="005279B5"/>
    <w:rsid w:val="00527E02"/>
    <w:rsid w:val="0053075C"/>
    <w:rsid w:val="00530B85"/>
    <w:rsid w:val="00530D25"/>
    <w:rsid w:val="0053103D"/>
    <w:rsid w:val="00532171"/>
    <w:rsid w:val="00532CF8"/>
    <w:rsid w:val="005330DE"/>
    <w:rsid w:val="005331C0"/>
    <w:rsid w:val="00533320"/>
    <w:rsid w:val="0053343D"/>
    <w:rsid w:val="005338A7"/>
    <w:rsid w:val="00533A78"/>
    <w:rsid w:val="00533AA8"/>
    <w:rsid w:val="00533AD3"/>
    <w:rsid w:val="00533B4C"/>
    <w:rsid w:val="00533EDC"/>
    <w:rsid w:val="00534217"/>
    <w:rsid w:val="005342D2"/>
    <w:rsid w:val="005344AC"/>
    <w:rsid w:val="00534AE4"/>
    <w:rsid w:val="00534EF2"/>
    <w:rsid w:val="00534FEF"/>
    <w:rsid w:val="00535A35"/>
    <w:rsid w:val="005360A6"/>
    <w:rsid w:val="00536770"/>
    <w:rsid w:val="00536E8E"/>
    <w:rsid w:val="005371F9"/>
    <w:rsid w:val="005379EA"/>
    <w:rsid w:val="00537B23"/>
    <w:rsid w:val="00537D94"/>
    <w:rsid w:val="00540181"/>
    <w:rsid w:val="0054019F"/>
    <w:rsid w:val="00540264"/>
    <w:rsid w:val="0054090E"/>
    <w:rsid w:val="005409DB"/>
    <w:rsid w:val="00542AAC"/>
    <w:rsid w:val="005434B9"/>
    <w:rsid w:val="00543760"/>
    <w:rsid w:val="0054418C"/>
    <w:rsid w:val="0054469C"/>
    <w:rsid w:val="005446B7"/>
    <w:rsid w:val="00545507"/>
    <w:rsid w:val="00546EB3"/>
    <w:rsid w:val="00547846"/>
    <w:rsid w:val="00547BFC"/>
    <w:rsid w:val="00547D3A"/>
    <w:rsid w:val="00550AB3"/>
    <w:rsid w:val="00550E41"/>
    <w:rsid w:val="00551B48"/>
    <w:rsid w:val="00551DBD"/>
    <w:rsid w:val="0055276C"/>
    <w:rsid w:val="00552929"/>
    <w:rsid w:val="00552CCB"/>
    <w:rsid w:val="00552E2C"/>
    <w:rsid w:val="00553A03"/>
    <w:rsid w:val="00553D01"/>
    <w:rsid w:val="00554000"/>
    <w:rsid w:val="005542A6"/>
    <w:rsid w:val="005546A5"/>
    <w:rsid w:val="00554FDA"/>
    <w:rsid w:val="005550D0"/>
    <w:rsid w:val="0055561C"/>
    <w:rsid w:val="00556365"/>
    <w:rsid w:val="00556925"/>
    <w:rsid w:val="00557495"/>
    <w:rsid w:val="00557A15"/>
    <w:rsid w:val="00557FB0"/>
    <w:rsid w:val="00560807"/>
    <w:rsid w:val="0056214A"/>
    <w:rsid w:val="00562179"/>
    <w:rsid w:val="0056219B"/>
    <w:rsid w:val="00564436"/>
    <w:rsid w:val="00565F7E"/>
    <w:rsid w:val="005666E6"/>
    <w:rsid w:val="005667F4"/>
    <w:rsid w:val="00567128"/>
    <w:rsid w:val="005673E8"/>
    <w:rsid w:val="0056770E"/>
    <w:rsid w:val="00570423"/>
    <w:rsid w:val="005716CE"/>
    <w:rsid w:val="0057277E"/>
    <w:rsid w:val="00572A3D"/>
    <w:rsid w:val="00572FE1"/>
    <w:rsid w:val="005730D6"/>
    <w:rsid w:val="005734B2"/>
    <w:rsid w:val="00574EF3"/>
    <w:rsid w:val="005754A7"/>
    <w:rsid w:val="005754E5"/>
    <w:rsid w:val="00575AE1"/>
    <w:rsid w:val="00575B38"/>
    <w:rsid w:val="0057634E"/>
    <w:rsid w:val="0057671A"/>
    <w:rsid w:val="005769D9"/>
    <w:rsid w:val="00577007"/>
    <w:rsid w:val="00577565"/>
    <w:rsid w:val="005777F5"/>
    <w:rsid w:val="005778A7"/>
    <w:rsid w:val="00577C74"/>
    <w:rsid w:val="00580582"/>
    <w:rsid w:val="00580B78"/>
    <w:rsid w:val="00581C45"/>
    <w:rsid w:val="00581FFB"/>
    <w:rsid w:val="005821EB"/>
    <w:rsid w:val="00582207"/>
    <w:rsid w:val="005824A7"/>
    <w:rsid w:val="00582DC0"/>
    <w:rsid w:val="00583290"/>
    <w:rsid w:val="00583613"/>
    <w:rsid w:val="0058435B"/>
    <w:rsid w:val="0058448D"/>
    <w:rsid w:val="005859AC"/>
    <w:rsid w:val="00585D5C"/>
    <w:rsid w:val="0058608D"/>
    <w:rsid w:val="0058620C"/>
    <w:rsid w:val="00586AE5"/>
    <w:rsid w:val="00587517"/>
    <w:rsid w:val="00587734"/>
    <w:rsid w:val="00587824"/>
    <w:rsid w:val="00587970"/>
    <w:rsid w:val="00587A59"/>
    <w:rsid w:val="00587CFC"/>
    <w:rsid w:val="00587DC4"/>
    <w:rsid w:val="005903A7"/>
    <w:rsid w:val="005904CB"/>
    <w:rsid w:val="005906A7"/>
    <w:rsid w:val="00590D97"/>
    <w:rsid w:val="005927D0"/>
    <w:rsid w:val="0059387C"/>
    <w:rsid w:val="00593BF0"/>
    <w:rsid w:val="00594326"/>
    <w:rsid w:val="005952ED"/>
    <w:rsid w:val="00595550"/>
    <w:rsid w:val="005970FB"/>
    <w:rsid w:val="00597292"/>
    <w:rsid w:val="005972F6"/>
    <w:rsid w:val="005977F5"/>
    <w:rsid w:val="00597BF0"/>
    <w:rsid w:val="00597DA2"/>
    <w:rsid w:val="005A065C"/>
    <w:rsid w:val="005A199B"/>
    <w:rsid w:val="005A1AE0"/>
    <w:rsid w:val="005A1F66"/>
    <w:rsid w:val="005A30EB"/>
    <w:rsid w:val="005A38D0"/>
    <w:rsid w:val="005A43FF"/>
    <w:rsid w:val="005A44B9"/>
    <w:rsid w:val="005A58BE"/>
    <w:rsid w:val="005A5BF1"/>
    <w:rsid w:val="005A7592"/>
    <w:rsid w:val="005A7807"/>
    <w:rsid w:val="005A7E67"/>
    <w:rsid w:val="005A7ED0"/>
    <w:rsid w:val="005B054D"/>
    <w:rsid w:val="005B0C84"/>
    <w:rsid w:val="005B0DA0"/>
    <w:rsid w:val="005B1789"/>
    <w:rsid w:val="005B1AEF"/>
    <w:rsid w:val="005B1E88"/>
    <w:rsid w:val="005B24D5"/>
    <w:rsid w:val="005B3C85"/>
    <w:rsid w:val="005B4166"/>
    <w:rsid w:val="005B46D0"/>
    <w:rsid w:val="005B4CDF"/>
    <w:rsid w:val="005B4D59"/>
    <w:rsid w:val="005B5EEF"/>
    <w:rsid w:val="005B6AE6"/>
    <w:rsid w:val="005B7208"/>
    <w:rsid w:val="005B7795"/>
    <w:rsid w:val="005B7B58"/>
    <w:rsid w:val="005C04B2"/>
    <w:rsid w:val="005C0CDF"/>
    <w:rsid w:val="005C17AB"/>
    <w:rsid w:val="005C204A"/>
    <w:rsid w:val="005C2114"/>
    <w:rsid w:val="005C3984"/>
    <w:rsid w:val="005C3D2E"/>
    <w:rsid w:val="005C3D5C"/>
    <w:rsid w:val="005C44C6"/>
    <w:rsid w:val="005C456E"/>
    <w:rsid w:val="005C51EC"/>
    <w:rsid w:val="005C53A0"/>
    <w:rsid w:val="005C54F7"/>
    <w:rsid w:val="005C5968"/>
    <w:rsid w:val="005C77A6"/>
    <w:rsid w:val="005C7CE6"/>
    <w:rsid w:val="005D02DA"/>
    <w:rsid w:val="005D0AB6"/>
    <w:rsid w:val="005D0BB3"/>
    <w:rsid w:val="005D149A"/>
    <w:rsid w:val="005D14A9"/>
    <w:rsid w:val="005D1752"/>
    <w:rsid w:val="005D1C82"/>
    <w:rsid w:val="005D2179"/>
    <w:rsid w:val="005D2664"/>
    <w:rsid w:val="005D28A6"/>
    <w:rsid w:val="005D30F7"/>
    <w:rsid w:val="005D32DD"/>
    <w:rsid w:val="005D3CBC"/>
    <w:rsid w:val="005D4797"/>
    <w:rsid w:val="005D4AB5"/>
    <w:rsid w:val="005D58B8"/>
    <w:rsid w:val="005D6661"/>
    <w:rsid w:val="005D6C1E"/>
    <w:rsid w:val="005D6D97"/>
    <w:rsid w:val="005D7170"/>
    <w:rsid w:val="005D7B45"/>
    <w:rsid w:val="005D7BE8"/>
    <w:rsid w:val="005D7C40"/>
    <w:rsid w:val="005D7C90"/>
    <w:rsid w:val="005D7DC9"/>
    <w:rsid w:val="005E03F7"/>
    <w:rsid w:val="005E07C4"/>
    <w:rsid w:val="005E0B42"/>
    <w:rsid w:val="005E0EA1"/>
    <w:rsid w:val="005E14ED"/>
    <w:rsid w:val="005E1F53"/>
    <w:rsid w:val="005E240E"/>
    <w:rsid w:val="005E2EF8"/>
    <w:rsid w:val="005E35DE"/>
    <w:rsid w:val="005E3C25"/>
    <w:rsid w:val="005E3FA2"/>
    <w:rsid w:val="005E44FA"/>
    <w:rsid w:val="005E4884"/>
    <w:rsid w:val="005E4B81"/>
    <w:rsid w:val="005E4E3D"/>
    <w:rsid w:val="005E545F"/>
    <w:rsid w:val="005E58A6"/>
    <w:rsid w:val="005E5CB7"/>
    <w:rsid w:val="005E65AE"/>
    <w:rsid w:val="005E753E"/>
    <w:rsid w:val="005E770C"/>
    <w:rsid w:val="005F0005"/>
    <w:rsid w:val="005F0047"/>
    <w:rsid w:val="005F03AF"/>
    <w:rsid w:val="005F0847"/>
    <w:rsid w:val="005F0D6F"/>
    <w:rsid w:val="005F174A"/>
    <w:rsid w:val="005F1884"/>
    <w:rsid w:val="005F1E7A"/>
    <w:rsid w:val="005F2FA5"/>
    <w:rsid w:val="005F355C"/>
    <w:rsid w:val="005F41A1"/>
    <w:rsid w:val="005F43F9"/>
    <w:rsid w:val="005F4436"/>
    <w:rsid w:val="005F46F5"/>
    <w:rsid w:val="005F4CEF"/>
    <w:rsid w:val="005F5224"/>
    <w:rsid w:val="005F5BD8"/>
    <w:rsid w:val="005F626B"/>
    <w:rsid w:val="005F6919"/>
    <w:rsid w:val="005F7C95"/>
    <w:rsid w:val="005F7CB5"/>
    <w:rsid w:val="00600A0F"/>
    <w:rsid w:val="00601515"/>
    <w:rsid w:val="00602442"/>
    <w:rsid w:val="00602B94"/>
    <w:rsid w:val="0060483A"/>
    <w:rsid w:val="006049B0"/>
    <w:rsid w:val="00604C43"/>
    <w:rsid w:val="00604FE4"/>
    <w:rsid w:val="0060519D"/>
    <w:rsid w:val="0060537F"/>
    <w:rsid w:val="006053FF"/>
    <w:rsid w:val="0060694F"/>
    <w:rsid w:val="00607B27"/>
    <w:rsid w:val="00607F08"/>
    <w:rsid w:val="006105F4"/>
    <w:rsid w:val="006123E3"/>
    <w:rsid w:val="0061253A"/>
    <w:rsid w:val="0061258C"/>
    <w:rsid w:val="00612C4C"/>
    <w:rsid w:val="00613102"/>
    <w:rsid w:val="006138E0"/>
    <w:rsid w:val="00613D9C"/>
    <w:rsid w:val="00613F39"/>
    <w:rsid w:val="006145C7"/>
    <w:rsid w:val="00614CD1"/>
    <w:rsid w:val="0061536A"/>
    <w:rsid w:val="00615C02"/>
    <w:rsid w:val="006160E9"/>
    <w:rsid w:val="00617527"/>
    <w:rsid w:val="00617946"/>
    <w:rsid w:val="00620B94"/>
    <w:rsid w:val="00620C46"/>
    <w:rsid w:val="006214A9"/>
    <w:rsid w:val="00621990"/>
    <w:rsid w:val="00622560"/>
    <w:rsid w:val="00622AA5"/>
    <w:rsid w:val="00623376"/>
    <w:rsid w:val="0062362A"/>
    <w:rsid w:val="00623F83"/>
    <w:rsid w:val="006246B5"/>
    <w:rsid w:val="00624779"/>
    <w:rsid w:val="0062644B"/>
    <w:rsid w:val="006264A9"/>
    <w:rsid w:val="0062682D"/>
    <w:rsid w:val="00626D71"/>
    <w:rsid w:val="00626F13"/>
    <w:rsid w:val="00627A8D"/>
    <w:rsid w:val="006303CE"/>
    <w:rsid w:val="00630509"/>
    <w:rsid w:val="0063145D"/>
    <w:rsid w:val="0063192B"/>
    <w:rsid w:val="00631CEC"/>
    <w:rsid w:val="0063227C"/>
    <w:rsid w:val="006322CE"/>
    <w:rsid w:val="006325F0"/>
    <w:rsid w:val="00634645"/>
    <w:rsid w:val="006353B9"/>
    <w:rsid w:val="00635530"/>
    <w:rsid w:val="00635659"/>
    <w:rsid w:val="00635AF5"/>
    <w:rsid w:val="00635B12"/>
    <w:rsid w:val="00635F8E"/>
    <w:rsid w:val="00636092"/>
    <w:rsid w:val="00636203"/>
    <w:rsid w:val="0063626C"/>
    <w:rsid w:val="00636A76"/>
    <w:rsid w:val="00637B41"/>
    <w:rsid w:val="00637C9C"/>
    <w:rsid w:val="006402B2"/>
    <w:rsid w:val="006406E2"/>
    <w:rsid w:val="0064145E"/>
    <w:rsid w:val="00641A9C"/>
    <w:rsid w:val="00641AC8"/>
    <w:rsid w:val="00641DE6"/>
    <w:rsid w:val="00641E68"/>
    <w:rsid w:val="006424F7"/>
    <w:rsid w:val="006426FA"/>
    <w:rsid w:val="00642E76"/>
    <w:rsid w:val="00643058"/>
    <w:rsid w:val="00643059"/>
    <w:rsid w:val="00643184"/>
    <w:rsid w:val="006433C3"/>
    <w:rsid w:val="00643627"/>
    <w:rsid w:val="00643A07"/>
    <w:rsid w:val="00643A95"/>
    <w:rsid w:val="00643CC0"/>
    <w:rsid w:val="00643E37"/>
    <w:rsid w:val="0064452E"/>
    <w:rsid w:val="0064458D"/>
    <w:rsid w:val="006446BA"/>
    <w:rsid w:val="00644701"/>
    <w:rsid w:val="00644727"/>
    <w:rsid w:val="0064491C"/>
    <w:rsid w:val="006453FE"/>
    <w:rsid w:val="00646155"/>
    <w:rsid w:val="00646293"/>
    <w:rsid w:val="006465EA"/>
    <w:rsid w:val="006466F5"/>
    <w:rsid w:val="00647823"/>
    <w:rsid w:val="00647D6F"/>
    <w:rsid w:val="00650681"/>
    <w:rsid w:val="006509AB"/>
    <w:rsid w:val="00650C32"/>
    <w:rsid w:val="00651165"/>
    <w:rsid w:val="00651B4A"/>
    <w:rsid w:val="00651C62"/>
    <w:rsid w:val="00651EEF"/>
    <w:rsid w:val="0065248A"/>
    <w:rsid w:val="0065275C"/>
    <w:rsid w:val="00653CA4"/>
    <w:rsid w:val="00654082"/>
    <w:rsid w:val="006541CF"/>
    <w:rsid w:val="006546F6"/>
    <w:rsid w:val="00654AC2"/>
    <w:rsid w:val="00654DBB"/>
    <w:rsid w:val="00654E98"/>
    <w:rsid w:val="00654FC9"/>
    <w:rsid w:val="00654FFB"/>
    <w:rsid w:val="006550F6"/>
    <w:rsid w:val="0065511A"/>
    <w:rsid w:val="00655805"/>
    <w:rsid w:val="00655D41"/>
    <w:rsid w:val="00656A38"/>
    <w:rsid w:val="006575FE"/>
    <w:rsid w:val="00657E42"/>
    <w:rsid w:val="00657F64"/>
    <w:rsid w:val="0066024C"/>
    <w:rsid w:val="006607F3"/>
    <w:rsid w:val="00661461"/>
    <w:rsid w:val="00661C71"/>
    <w:rsid w:val="00662399"/>
    <w:rsid w:val="006628E3"/>
    <w:rsid w:val="00662B05"/>
    <w:rsid w:val="00662BD4"/>
    <w:rsid w:val="00663290"/>
    <w:rsid w:val="00664ACF"/>
    <w:rsid w:val="00664BDA"/>
    <w:rsid w:val="006651FC"/>
    <w:rsid w:val="006655F3"/>
    <w:rsid w:val="0066622A"/>
    <w:rsid w:val="00666993"/>
    <w:rsid w:val="006669DE"/>
    <w:rsid w:val="00666B18"/>
    <w:rsid w:val="00666C1B"/>
    <w:rsid w:val="0066749D"/>
    <w:rsid w:val="006677A0"/>
    <w:rsid w:val="00667A40"/>
    <w:rsid w:val="00667AA9"/>
    <w:rsid w:val="0067090A"/>
    <w:rsid w:val="0067123C"/>
    <w:rsid w:val="006717A1"/>
    <w:rsid w:val="00671CBE"/>
    <w:rsid w:val="0067225B"/>
    <w:rsid w:val="00672501"/>
    <w:rsid w:val="00672EC5"/>
    <w:rsid w:val="00672F5D"/>
    <w:rsid w:val="0067329D"/>
    <w:rsid w:val="006740F5"/>
    <w:rsid w:val="006743FB"/>
    <w:rsid w:val="0067499A"/>
    <w:rsid w:val="00675393"/>
    <w:rsid w:val="00675501"/>
    <w:rsid w:val="0067683F"/>
    <w:rsid w:val="00676F5C"/>
    <w:rsid w:val="00680096"/>
    <w:rsid w:val="006812E1"/>
    <w:rsid w:val="00681B4C"/>
    <w:rsid w:val="00681F83"/>
    <w:rsid w:val="00683FA8"/>
    <w:rsid w:val="0068426C"/>
    <w:rsid w:val="0068600C"/>
    <w:rsid w:val="00686C9D"/>
    <w:rsid w:val="00687B30"/>
    <w:rsid w:val="00690421"/>
    <w:rsid w:val="006909EA"/>
    <w:rsid w:val="00690C9E"/>
    <w:rsid w:val="006912D8"/>
    <w:rsid w:val="00691B78"/>
    <w:rsid w:val="0069253E"/>
    <w:rsid w:val="00692664"/>
    <w:rsid w:val="00692694"/>
    <w:rsid w:val="00692853"/>
    <w:rsid w:val="00692895"/>
    <w:rsid w:val="00692BF6"/>
    <w:rsid w:val="00693B40"/>
    <w:rsid w:val="006940AD"/>
    <w:rsid w:val="00694C87"/>
    <w:rsid w:val="006953D0"/>
    <w:rsid w:val="0069617D"/>
    <w:rsid w:val="0069670D"/>
    <w:rsid w:val="006971E0"/>
    <w:rsid w:val="006976D6"/>
    <w:rsid w:val="0069777F"/>
    <w:rsid w:val="00697BA4"/>
    <w:rsid w:val="006A0C75"/>
    <w:rsid w:val="006A109A"/>
    <w:rsid w:val="006A35FA"/>
    <w:rsid w:val="006A3D76"/>
    <w:rsid w:val="006A3E11"/>
    <w:rsid w:val="006A4112"/>
    <w:rsid w:val="006A4691"/>
    <w:rsid w:val="006A49FE"/>
    <w:rsid w:val="006A4B01"/>
    <w:rsid w:val="006A4B3B"/>
    <w:rsid w:val="006A5CEB"/>
    <w:rsid w:val="006A5DAF"/>
    <w:rsid w:val="006A602B"/>
    <w:rsid w:val="006A60B4"/>
    <w:rsid w:val="006A65C1"/>
    <w:rsid w:val="006B0B49"/>
    <w:rsid w:val="006B0D4E"/>
    <w:rsid w:val="006B207E"/>
    <w:rsid w:val="006B22BF"/>
    <w:rsid w:val="006B250C"/>
    <w:rsid w:val="006B2705"/>
    <w:rsid w:val="006B29FB"/>
    <w:rsid w:val="006B34BE"/>
    <w:rsid w:val="006B3B62"/>
    <w:rsid w:val="006B413E"/>
    <w:rsid w:val="006B4652"/>
    <w:rsid w:val="006B4779"/>
    <w:rsid w:val="006B52DC"/>
    <w:rsid w:val="006B5A6D"/>
    <w:rsid w:val="006B5BB7"/>
    <w:rsid w:val="006B677A"/>
    <w:rsid w:val="006B6D0A"/>
    <w:rsid w:val="006B6EE1"/>
    <w:rsid w:val="006B71C0"/>
    <w:rsid w:val="006B7CA7"/>
    <w:rsid w:val="006B7D82"/>
    <w:rsid w:val="006C0441"/>
    <w:rsid w:val="006C111A"/>
    <w:rsid w:val="006C158F"/>
    <w:rsid w:val="006C2A66"/>
    <w:rsid w:val="006C36ED"/>
    <w:rsid w:val="006C3A41"/>
    <w:rsid w:val="006C400A"/>
    <w:rsid w:val="006C41CE"/>
    <w:rsid w:val="006C4477"/>
    <w:rsid w:val="006C4A11"/>
    <w:rsid w:val="006C50C6"/>
    <w:rsid w:val="006C531E"/>
    <w:rsid w:val="006C5A78"/>
    <w:rsid w:val="006C5C13"/>
    <w:rsid w:val="006C647A"/>
    <w:rsid w:val="006C68E9"/>
    <w:rsid w:val="006D04CA"/>
    <w:rsid w:val="006D085F"/>
    <w:rsid w:val="006D0F50"/>
    <w:rsid w:val="006D1487"/>
    <w:rsid w:val="006D1CE7"/>
    <w:rsid w:val="006D219D"/>
    <w:rsid w:val="006D25AE"/>
    <w:rsid w:val="006D2B2F"/>
    <w:rsid w:val="006D2C16"/>
    <w:rsid w:val="006D3561"/>
    <w:rsid w:val="006D41F6"/>
    <w:rsid w:val="006D4A73"/>
    <w:rsid w:val="006D4B59"/>
    <w:rsid w:val="006D5027"/>
    <w:rsid w:val="006D6606"/>
    <w:rsid w:val="006D6AD9"/>
    <w:rsid w:val="006E0029"/>
    <w:rsid w:val="006E1479"/>
    <w:rsid w:val="006E2255"/>
    <w:rsid w:val="006E23AE"/>
    <w:rsid w:val="006E25F8"/>
    <w:rsid w:val="006E30C5"/>
    <w:rsid w:val="006E39FB"/>
    <w:rsid w:val="006E3CB8"/>
    <w:rsid w:val="006E3E10"/>
    <w:rsid w:val="006E5632"/>
    <w:rsid w:val="006E69CD"/>
    <w:rsid w:val="006E6A47"/>
    <w:rsid w:val="006E7121"/>
    <w:rsid w:val="006E722C"/>
    <w:rsid w:val="006E726E"/>
    <w:rsid w:val="006E7306"/>
    <w:rsid w:val="006F1099"/>
    <w:rsid w:val="006F1B76"/>
    <w:rsid w:val="006F2AB3"/>
    <w:rsid w:val="006F3859"/>
    <w:rsid w:val="006F4479"/>
    <w:rsid w:val="006F5811"/>
    <w:rsid w:val="006F689D"/>
    <w:rsid w:val="00700482"/>
    <w:rsid w:val="0070057C"/>
    <w:rsid w:val="00700B07"/>
    <w:rsid w:val="00701252"/>
    <w:rsid w:val="00701BA5"/>
    <w:rsid w:val="00701D30"/>
    <w:rsid w:val="00702469"/>
    <w:rsid w:val="00702B90"/>
    <w:rsid w:val="00702BF9"/>
    <w:rsid w:val="007038C4"/>
    <w:rsid w:val="00703D6B"/>
    <w:rsid w:val="00703E7A"/>
    <w:rsid w:val="00704778"/>
    <w:rsid w:val="00704B8A"/>
    <w:rsid w:val="00705314"/>
    <w:rsid w:val="007055B3"/>
    <w:rsid w:val="00705E09"/>
    <w:rsid w:val="00705E0E"/>
    <w:rsid w:val="00706505"/>
    <w:rsid w:val="00707CF0"/>
    <w:rsid w:val="0071020B"/>
    <w:rsid w:val="007108AA"/>
    <w:rsid w:val="007108DE"/>
    <w:rsid w:val="00711070"/>
    <w:rsid w:val="007114E8"/>
    <w:rsid w:val="00711B3E"/>
    <w:rsid w:val="00711E59"/>
    <w:rsid w:val="00712D04"/>
    <w:rsid w:val="0071338F"/>
    <w:rsid w:val="0071437B"/>
    <w:rsid w:val="007147B6"/>
    <w:rsid w:val="00714F35"/>
    <w:rsid w:val="00715AEB"/>
    <w:rsid w:val="00716144"/>
    <w:rsid w:val="0071657F"/>
    <w:rsid w:val="00716947"/>
    <w:rsid w:val="00716F11"/>
    <w:rsid w:val="00717AE9"/>
    <w:rsid w:val="00717AFC"/>
    <w:rsid w:val="0072164F"/>
    <w:rsid w:val="007216CB"/>
    <w:rsid w:val="007223CD"/>
    <w:rsid w:val="0072240E"/>
    <w:rsid w:val="0072291F"/>
    <w:rsid w:val="0072346D"/>
    <w:rsid w:val="0072376D"/>
    <w:rsid w:val="00723BA4"/>
    <w:rsid w:val="00723D9C"/>
    <w:rsid w:val="00723F7C"/>
    <w:rsid w:val="0072441F"/>
    <w:rsid w:val="007244E6"/>
    <w:rsid w:val="0072450A"/>
    <w:rsid w:val="00725726"/>
    <w:rsid w:val="00725CD1"/>
    <w:rsid w:val="00730B21"/>
    <w:rsid w:val="00730BDD"/>
    <w:rsid w:val="00730E50"/>
    <w:rsid w:val="00730EFA"/>
    <w:rsid w:val="00731039"/>
    <w:rsid w:val="007318FE"/>
    <w:rsid w:val="0073206A"/>
    <w:rsid w:val="00732A34"/>
    <w:rsid w:val="007332B9"/>
    <w:rsid w:val="00733574"/>
    <w:rsid w:val="00733586"/>
    <w:rsid w:val="00735B05"/>
    <w:rsid w:val="0073635E"/>
    <w:rsid w:val="00736AF4"/>
    <w:rsid w:val="00736D60"/>
    <w:rsid w:val="007375C4"/>
    <w:rsid w:val="00737D51"/>
    <w:rsid w:val="00737E6B"/>
    <w:rsid w:val="0074048A"/>
    <w:rsid w:val="00740512"/>
    <w:rsid w:val="00740B24"/>
    <w:rsid w:val="007417F0"/>
    <w:rsid w:val="0074184C"/>
    <w:rsid w:val="00741D4F"/>
    <w:rsid w:val="00742105"/>
    <w:rsid w:val="00742253"/>
    <w:rsid w:val="00743C3C"/>
    <w:rsid w:val="00743D63"/>
    <w:rsid w:val="00744A9F"/>
    <w:rsid w:val="00744BED"/>
    <w:rsid w:val="00744FA3"/>
    <w:rsid w:val="0074559E"/>
    <w:rsid w:val="0074560A"/>
    <w:rsid w:val="00745C12"/>
    <w:rsid w:val="00745D66"/>
    <w:rsid w:val="00745F78"/>
    <w:rsid w:val="00746B64"/>
    <w:rsid w:val="00746EF1"/>
    <w:rsid w:val="0074793E"/>
    <w:rsid w:val="00750AF3"/>
    <w:rsid w:val="00750C71"/>
    <w:rsid w:val="00752607"/>
    <w:rsid w:val="00752778"/>
    <w:rsid w:val="0075370A"/>
    <w:rsid w:val="0075370D"/>
    <w:rsid w:val="00753DE4"/>
    <w:rsid w:val="00753FD3"/>
    <w:rsid w:val="00755B14"/>
    <w:rsid w:val="0075665B"/>
    <w:rsid w:val="00756758"/>
    <w:rsid w:val="00756890"/>
    <w:rsid w:val="007569FF"/>
    <w:rsid w:val="00756B69"/>
    <w:rsid w:val="007572F7"/>
    <w:rsid w:val="007578D9"/>
    <w:rsid w:val="00760233"/>
    <w:rsid w:val="00760561"/>
    <w:rsid w:val="007606E1"/>
    <w:rsid w:val="00763F87"/>
    <w:rsid w:val="00764134"/>
    <w:rsid w:val="007645EF"/>
    <w:rsid w:val="00764F3B"/>
    <w:rsid w:val="007652EF"/>
    <w:rsid w:val="00765628"/>
    <w:rsid w:val="007656BA"/>
    <w:rsid w:val="00765CA6"/>
    <w:rsid w:val="00765D44"/>
    <w:rsid w:val="00765DFC"/>
    <w:rsid w:val="00766452"/>
    <w:rsid w:val="007667E8"/>
    <w:rsid w:val="00766998"/>
    <w:rsid w:val="00766A6D"/>
    <w:rsid w:val="00766C55"/>
    <w:rsid w:val="007709C8"/>
    <w:rsid w:val="00771522"/>
    <w:rsid w:val="00771BEB"/>
    <w:rsid w:val="0077217A"/>
    <w:rsid w:val="007723F0"/>
    <w:rsid w:val="00772514"/>
    <w:rsid w:val="007725B9"/>
    <w:rsid w:val="00772E37"/>
    <w:rsid w:val="00773491"/>
    <w:rsid w:val="0077378B"/>
    <w:rsid w:val="007738AF"/>
    <w:rsid w:val="00773E48"/>
    <w:rsid w:val="00774294"/>
    <w:rsid w:val="0077430A"/>
    <w:rsid w:val="00774940"/>
    <w:rsid w:val="00774B4D"/>
    <w:rsid w:val="00774C8F"/>
    <w:rsid w:val="0077526E"/>
    <w:rsid w:val="007754C9"/>
    <w:rsid w:val="0077551A"/>
    <w:rsid w:val="007757AD"/>
    <w:rsid w:val="00775D7E"/>
    <w:rsid w:val="00775F58"/>
    <w:rsid w:val="00776AE0"/>
    <w:rsid w:val="00776FCF"/>
    <w:rsid w:val="00777425"/>
    <w:rsid w:val="0078079C"/>
    <w:rsid w:val="00780820"/>
    <w:rsid w:val="00780E15"/>
    <w:rsid w:val="007813C8"/>
    <w:rsid w:val="00781666"/>
    <w:rsid w:val="00781AB1"/>
    <w:rsid w:val="00781BFC"/>
    <w:rsid w:val="00781FCC"/>
    <w:rsid w:val="0078211D"/>
    <w:rsid w:val="0078237A"/>
    <w:rsid w:val="00782EE7"/>
    <w:rsid w:val="00782F88"/>
    <w:rsid w:val="007831C0"/>
    <w:rsid w:val="007833F8"/>
    <w:rsid w:val="00783B0C"/>
    <w:rsid w:val="007843AD"/>
    <w:rsid w:val="00784406"/>
    <w:rsid w:val="007856B5"/>
    <w:rsid w:val="00785907"/>
    <w:rsid w:val="00785DA9"/>
    <w:rsid w:val="00785E86"/>
    <w:rsid w:val="00787441"/>
    <w:rsid w:val="007874C9"/>
    <w:rsid w:val="00787755"/>
    <w:rsid w:val="00787A34"/>
    <w:rsid w:val="00790466"/>
    <w:rsid w:val="0079171E"/>
    <w:rsid w:val="00792BCC"/>
    <w:rsid w:val="00793203"/>
    <w:rsid w:val="00793B73"/>
    <w:rsid w:val="007947AA"/>
    <w:rsid w:val="0079574E"/>
    <w:rsid w:val="007960EF"/>
    <w:rsid w:val="007970BE"/>
    <w:rsid w:val="00797358"/>
    <w:rsid w:val="007A015B"/>
    <w:rsid w:val="007A02D5"/>
    <w:rsid w:val="007A0FEA"/>
    <w:rsid w:val="007A1320"/>
    <w:rsid w:val="007A13A7"/>
    <w:rsid w:val="007A21EC"/>
    <w:rsid w:val="007A2271"/>
    <w:rsid w:val="007A3011"/>
    <w:rsid w:val="007A3826"/>
    <w:rsid w:val="007A3915"/>
    <w:rsid w:val="007A4B97"/>
    <w:rsid w:val="007A4D1C"/>
    <w:rsid w:val="007A5AEA"/>
    <w:rsid w:val="007A6351"/>
    <w:rsid w:val="007A643D"/>
    <w:rsid w:val="007A66A5"/>
    <w:rsid w:val="007A67DC"/>
    <w:rsid w:val="007A67EA"/>
    <w:rsid w:val="007A72E5"/>
    <w:rsid w:val="007A7747"/>
    <w:rsid w:val="007B0F8A"/>
    <w:rsid w:val="007B129D"/>
    <w:rsid w:val="007B13F7"/>
    <w:rsid w:val="007B16AF"/>
    <w:rsid w:val="007B1E5E"/>
    <w:rsid w:val="007B1E7D"/>
    <w:rsid w:val="007B1E7E"/>
    <w:rsid w:val="007B2558"/>
    <w:rsid w:val="007B2564"/>
    <w:rsid w:val="007B2723"/>
    <w:rsid w:val="007B2C53"/>
    <w:rsid w:val="007B2E07"/>
    <w:rsid w:val="007B2FCC"/>
    <w:rsid w:val="007B3AB7"/>
    <w:rsid w:val="007B4ECF"/>
    <w:rsid w:val="007B5E86"/>
    <w:rsid w:val="007B69EE"/>
    <w:rsid w:val="007B6A65"/>
    <w:rsid w:val="007B7041"/>
    <w:rsid w:val="007B729D"/>
    <w:rsid w:val="007B791B"/>
    <w:rsid w:val="007B7C4C"/>
    <w:rsid w:val="007C0387"/>
    <w:rsid w:val="007C074A"/>
    <w:rsid w:val="007C0B18"/>
    <w:rsid w:val="007C1297"/>
    <w:rsid w:val="007C186E"/>
    <w:rsid w:val="007C1C93"/>
    <w:rsid w:val="007C1CE7"/>
    <w:rsid w:val="007C2339"/>
    <w:rsid w:val="007C2C6D"/>
    <w:rsid w:val="007C2E1A"/>
    <w:rsid w:val="007C3070"/>
    <w:rsid w:val="007C3255"/>
    <w:rsid w:val="007C3A24"/>
    <w:rsid w:val="007C3CDD"/>
    <w:rsid w:val="007C3DFB"/>
    <w:rsid w:val="007C42EB"/>
    <w:rsid w:val="007C573D"/>
    <w:rsid w:val="007C5D92"/>
    <w:rsid w:val="007C600B"/>
    <w:rsid w:val="007C6636"/>
    <w:rsid w:val="007C7C2D"/>
    <w:rsid w:val="007D010C"/>
    <w:rsid w:val="007D04D9"/>
    <w:rsid w:val="007D0C7D"/>
    <w:rsid w:val="007D0C87"/>
    <w:rsid w:val="007D0D2F"/>
    <w:rsid w:val="007D14A3"/>
    <w:rsid w:val="007D1646"/>
    <w:rsid w:val="007D169A"/>
    <w:rsid w:val="007D382C"/>
    <w:rsid w:val="007D3DE1"/>
    <w:rsid w:val="007D3E69"/>
    <w:rsid w:val="007D40DD"/>
    <w:rsid w:val="007D4672"/>
    <w:rsid w:val="007D46A0"/>
    <w:rsid w:val="007D7226"/>
    <w:rsid w:val="007D774B"/>
    <w:rsid w:val="007E0C7F"/>
    <w:rsid w:val="007E0DFF"/>
    <w:rsid w:val="007E0EED"/>
    <w:rsid w:val="007E1418"/>
    <w:rsid w:val="007E19F7"/>
    <w:rsid w:val="007E1F73"/>
    <w:rsid w:val="007E3324"/>
    <w:rsid w:val="007E3625"/>
    <w:rsid w:val="007E3803"/>
    <w:rsid w:val="007E3B23"/>
    <w:rsid w:val="007E3DA6"/>
    <w:rsid w:val="007E4181"/>
    <w:rsid w:val="007E5343"/>
    <w:rsid w:val="007E6503"/>
    <w:rsid w:val="007E6695"/>
    <w:rsid w:val="007E7126"/>
    <w:rsid w:val="007E7D0B"/>
    <w:rsid w:val="007F01BC"/>
    <w:rsid w:val="007F02D4"/>
    <w:rsid w:val="007F0341"/>
    <w:rsid w:val="007F08E6"/>
    <w:rsid w:val="007F113B"/>
    <w:rsid w:val="007F2355"/>
    <w:rsid w:val="007F2AC2"/>
    <w:rsid w:val="007F31CA"/>
    <w:rsid w:val="007F32E0"/>
    <w:rsid w:val="007F36E9"/>
    <w:rsid w:val="007F3713"/>
    <w:rsid w:val="007F3A80"/>
    <w:rsid w:val="007F42D6"/>
    <w:rsid w:val="007F42EF"/>
    <w:rsid w:val="007F43BF"/>
    <w:rsid w:val="007F4E26"/>
    <w:rsid w:val="007F531D"/>
    <w:rsid w:val="007F58C4"/>
    <w:rsid w:val="007F60AA"/>
    <w:rsid w:val="007F61D4"/>
    <w:rsid w:val="007F63AF"/>
    <w:rsid w:val="007F6C36"/>
    <w:rsid w:val="007F72CC"/>
    <w:rsid w:val="00800676"/>
    <w:rsid w:val="0080077C"/>
    <w:rsid w:val="00800AD7"/>
    <w:rsid w:val="00800BFA"/>
    <w:rsid w:val="00800D86"/>
    <w:rsid w:val="0080278E"/>
    <w:rsid w:val="00802B41"/>
    <w:rsid w:val="00803052"/>
    <w:rsid w:val="008032A0"/>
    <w:rsid w:val="008034B8"/>
    <w:rsid w:val="00803C18"/>
    <w:rsid w:val="008046AB"/>
    <w:rsid w:val="00804CEE"/>
    <w:rsid w:val="008052A0"/>
    <w:rsid w:val="008054F9"/>
    <w:rsid w:val="00805519"/>
    <w:rsid w:val="008056BB"/>
    <w:rsid w:val="00805AED"/>
    <w:rsid w:val="00806322"/>
    <w:rsid w:val="00806909"/>
    <w:rsid w:val="00806FB6"/>
    <w:rsid w:val="0080725E"/>
    <w:rsid w:val="00807440"/>
    <w:rsid w:val="00807691"/>
    <w:rsid w:val="00807931"/>
    <w:rsid w:val="00807B03"/>
    <w:rsid w:val="00807CA2"/>
    <w:rsid w:val="00807DFB"/>
    <w:rsid w:val="008110CF"/>
    <w:rsid w:val="008119E2"/>
    <w:rsid w:val="00811A0F"/>
    <w:rsid w:val="00811B5A"/>
    <w:rsid w:val="00811BB3"/>
    <w:rsid w:val="00811CB6"/>
    <w:rsid w:val="008133CF"/>
    <w:rsid w:val="00814241"/>
    <w:rsid w:val="00814338"/>
    <w:rsid w:val="008159BB"/>
    <w:rsid w:val="00815C73"/>
    <w:rsid w:val="00815EA3"/>
    <w:rsid w:val="008171A2"/>
    <w:rsid w:val="00817417"/>
    <w:rsid w:val="00817909"/>
    <w:rsid w:val="00817FA8"/>
    <w:rsid w:val="00820418"/>
    <w:rsid w:val="00820473"/>
    <w:rsid w:val="00820E3E"/>
    <w:rsid w:val="00821AF4"/>
    <w:rsid w:val="00821BB1"/>
    <w:rsid w:val="0082207F"/>
    <w:rsid w:val="0082265A"/>
    <w:rsid w:val="008229EE"/>
    <w:rsid w:val="00822A40"/>
    <w:rsid w:val="00822AD5"/>
    <w:rsid w:val="00822B58"/>
    <w:rsid w:val="00822E9B"/>
    <w:rsid w:val="0082375D"/>
    <w:rsid w:val="00824294"/>
    <w:rsid w:val="008246ED"/>
    <w:rsid w:val="0082474A"/>
    <w:rsid w:val="00824D59"/>
    <w:rsid w:val="00824DA0"/>
    <w:rsid w:val="0082555E"/>
    <w:rsid w:val="00825866"/>
    <w:rsid w:val="0082630B"/>
    <w:rsid w:val="00826606"/>
    <w:rsid w:val="0082694B"/>
    <w:rsid w:val="00826B0B"/>
    <w:rsid w:val="00826FCA"/>
    <w:rsid w:val="0082701A"/>
    <w:rsid w:val="00827847"/>
    <w:rsid w:val="008279C4"/>
    <w:rsid w:val="00830AB2"/>
    <w:rsid w:val="00830DA1"/>
    <w:rsid w:val="0083116D"/>
    <w:rsid w:val="00831568"/>
    <w:rsid w:val="0083159E"/>
    <w:rsid w:val="0083181D"/>
    <w:rsid w:val="008328F4"/>
    <w:rsid w:val="00832A8F"/>
    <w:rsid w:val="0083321B"/>
    <w:rsid w:val="00833AC8"/>
    <w:rsid w:val="008345F4"/>
    <w:rsid w:val="00834959"/>
    <w:rsid w:val="00835819"/>
    <w:rsid w:val="00835C11"/>
    <w:rsid w:val="00836DC7"/>
    <w:rsid w:val="0084025E"/>
    <w:rsid w:val="008404BB"/>
    <w:rsid w:val="00840C9B"/>
    <w:rsid w:val="00842B7B"/>
    <w:rsid w:val="0084300A"/>
    <w:rsid w:val="00844185"/>
    <w:rsid w:val="008446A3"/>
    <w:rsid w:val="008459ED"/>
    <w:rsid w:val="00845A54"/>
    <w:rsid w:val="0084620A"/>
    <w:rsid w:val="00846996"/>
    <w:rsid w:val="00846A4A"/>
    <w:rsid w:val="00846CFC"/>
    <w:rsid w:val="00846DA5"/>
    <w:rsid w:val="008471E8"/>
    <w:rsid w:val="0084736F"/>
    <w:rsid w:val="00850F3E"/>
    <w:rsid w:val="00851323"/>
    <w:rsid w:val="00851815"/>
    <w:rsid w:val="00852457"/>
    <w:rsid w:val="0085250F"/>
    <w:rsid w:val="00852D08"/>
    <w:rsid w:val="00853581"/>
    <w:rsid w:val="0085380E"/>
    <w:rsid w:val="0085386B"/>
    <w:rsid w:val="00853A14"/>
    <w:rsid w:val="00853ED7"/>
    <w:rsid w:val="0085456D"/>
    <w:rsid w:val="008548D6"/>
    <w:rsid w:val="00855409"/>
    <w:rsid w:val="0085566E"/>
    <w:rsid w:val="00855A31"/>
    <w:rsid w:val="00855D04"/>
    <w:rsid w:val="0085602A"/>
    <w:rsid w:val="008561E4"/>
    <w:rsid w:val="0085641C"/>
    <w:rsid w:val="0085679F"/>
    <w:rsid w:val="00856B77"/>
    <w:rsid w:val="008570CF"/>
    <w:rsid w:val="00857482"/>
    <w:rsid w:val="0085785F"/>
    <w:rsid w:val="008602B2"/>
    <w:rsid w:val="008602FE"/>
    <w:rsid w:val="00860BAF"/>
    <w:rsid w:val="00861DC7"/>
    <w:rsid w:val="00861EC5"/>
    <w:rsid w:val="008622C4"/>
    <w:rsid w:val="008625DD"/>
    <w:rsid w:val="00863345"/>
    <w:rsid w:val="008636D2"/>
    <w:rsid w:val="008639A0"/>
    <w:rsid w:val="00863F30"/>
    <w:rsid w:val="00864A0B"/>
    <w:rsid w:val="00864F83"/>
    <w:rsid w:val="00865269"/>
    <w:rsid w:val="0086548B"/>
    <w:rsid w:val="00865495"/>
    <w:rsid w:val="008655DD"/>
    <w:rsid w:val="00865AB4"/>
    <w:rsid w:val="0086651B"/>
    <w:rsid w:val="00866A4A"/>
    <w:rsid w:val="0086768E"/>
    <w:rsid w:val="008677BF"/>
    <w:rsid w:val="00867A3D"/>
    <w:rsid w:val="008701CD"/>
    <w:rsid w:val="008704EC"/>
    <w:rsid w:val="0087065A"/>
    <w:rsid w:val="0087067A"/>
    <w:rsid w:val="00870DB0"/>
    <w:rsid w:val="00871929"/>
    <w:rsid w:val="00871AD2"/>
    <w:rsid w:val="00871E0A"/>
    <w:rsid w:val="008728BC"/>
    <w:rsid w:val="00873677"/>
    <w:rsid w:val="008736E1"/>
    <w:rsid w:val="0087395E"/>
    <w:rsid w:val="00875254"/>
    <w:rsid w:val="00876C3E"/>
    <w:rsid w:val="00876FAA"/>
    <w:rsid w:val="008771F9"/>
    <w:rsid w:val="0087741B"/>
    <w:rsid w:val="00877C32"/>
    <w:rsid w:val="00877D09"/>
    <w:rsid w:val="008803B4"/>
    <w:rsid w:val="008804BD"/>
    <w:rsid w:val="008808E3"/>
    <w:rsid w:val="008816E7"/>
    <w:rsid w:val="0088185A"/>
    <w:rsid w:val="008828A9"/>
    <w:rsid w:val="00882C0F"/>
    <w:rsid w:val="00882DF1"/>
    <w:rsid w:val="00883DD9"/>
    <w:rsid w:val="008841E6"/>
    <w:rsid w:val="00884213"/>
    <w:rsid w:val="00884346"/>
    <w:rsid w:val="00884545"/>
    <w:rsid w:val="00885AA6"/>
    <w:rsid w:val="00886413"/>
    <w:rsid w:val="0088674C"/>
    <w:rsid w:val="008868A8"/>
    <w:rsid w:val="0088762B"/>
    <w:rsid w:val="0089028B"/>
    <w:rsid w:val="00892508"/>
    <w:rsid w:val="00892750"/>
    <w:rsid w:val="00893007"/>
    <w:rsid w:val="00893B74"/>
    <w:rsid w:val="00893D71"/>
    <w:rsid w:val="00894001"/>
    <w:rsid w:val="0089415F"/>
    <w:rsid w:val="00894628"/>
    <w:rsid w:val="008952F7"/>
    <w:rsid w:val="00895534"/>
    <w:rsid w:val="0089581B"/>
    <w:rsid w:val="00895F90"/>
    <w:rsid w:val="008966F6"/>
    <w:rsid w:val="008967A9"/>
    <w:rsid w:val="00896FD4"/>
    <w:rsid w:val="00897424"/>
    <w:rsid w:val="008A04A3"/>
    <w:rsid w:val="008A0AFD"/>
    <w:rsid w:val="008A0D30"/>
    <w:rsid w:val="008A0E37"/>
    <w:rsid w:val="008A125F"/>
    <w:rsid w:val="008A17F2"/>
    <w:rsid w:val="008A2025"/>
    <w:rsid w:val="008A2308"/>
    <w:rsid w:val="008A26C5"/>
    <w:rsid w:val="008A28BC"/>
    <w:rsid w:val="008A2DF9"/>
    <w:rsid w:val="008A3273"/>
    <w:rsid w:val="008A35A6"/>
    <w:rsid w:val="008A3E17"/>
    <w:rsid w:val="008A4113"/>
    <w:rsid w:val="008A4381"/>
    <w:rsid w:val="008A4703"/>
    <w:rsid w:val="008A4DC6"/>
    <w:rsid w:val="008A5644"/>
    <w:rsid w:val="008A574F"/>
    <w:rsid w:val="008A575F"/>
    <w:rsid w:val="008A6D50"/>
    <w:rsid w:val="008A70A0"/>
    <w:rsid w:val="008A77EA"/>
    <w:rsid w:val="008A7800"/>
    <w:rsid w:val="008A7C6B"/>
    <w:rsid w:val="008A7E2E"/>
    <w:rsid w:val="008A7E4E"/>
    <w:rsid w:val="008B01A4"/>
    <w:rsid w:val="008B0AF3"/>
    <w:rsid w:val="008B1184"/>
    <w:rsid w:val="008B2B7A"/>
    <w:rsid w:val="008B3531"/>
    <w:rsid w:val="008B3555"/>
    <w:rsid w:val="008B37ED"/>
    <w:rsid w:val="008B3AC7"/>
    <w:rsid w:val="008B3C85"/>
    <w:rsid w:val="008B4030"/>
    <w:rsid w:val="008B4321"/>
    <w:rsid w:val="008B447F"/>
    <w:rsid w:val="008B4887"/>
    <w:rsid w:val="008B575B"/>
    <w:rsid w:val="008B5A12"/>
    <w:rsid w:val="008B6533"/>
    <w:rsid w:val="008B6683"/>
    <w:rsid w:val="008B69C0"/>
    <w:rsid w:val="008B6BC2"/>
    <w:rsid w:val="008B70C9"/>
    <w:rsid w:val="008B7177"/>
    <w:rsid w:val="008B7EFA"/>
    <w:rsid w:val="008C02A3"/>
    <w:rsid w:val="008C087E"/>
    <w:rsid w:val="008C0B84"/>
    <w:rsid w:val="008C0CD6"/>
    <w:rsid w:val="008C0ECF"/>
    <w:rsid w:val="008C0F33"/>
    <w:rsid w:val="008C0FD4"/>
    <w:rsid w:val="008C1151"/>
    <w:rsid w:val="008C167A"/>
    <w:rsid w:val="008C2BD3"/>
    <w:rsid w:val="008C2F05"/>
    <w:rsid w:val="008C3034"/>
    <w:rsid w:val="008C32FE"/>
    <w:rsid w:val="008C3E71"/>
    <w:rsid w:val="008C5051"/>
    <w:rsid w:val="008C5A7E"/>
    <w:rsid w:val="008C64FA"/>
    <w:rsid w:val="008C6AEF"/>
    <w:rsid w:val="008C6C3A"/>
    <w:rsid w:val="008C7EE9"/>
    <w:rsid w:val="008D037B"/>
    <w:rsid w:val="008D0389"/>
    <w:rsid w:val="008D0984"/>
    <w:rsid w:val="008D117A"/>
    <w:rsid w:val="008D1270"/>
    <w:rsid w:val="008D2437"/>
    <w:rsid w:val="008D2584"/>
    <w:rsid w:val="008D25D2"/>
    <w:rsid w:val="008D28A3"/>
    <w:rsid w:val="008D2E83"/>
    <w:rsid w:val="008D3A4E"/>
    <w:rsid w:val="008D3CBE"/>
    <w:rsid w:val="008D4708"/>
    <w:rsid w:val="008D50B4"/>
    <w:rsid w:val="008D5469"/>
    <w:rsid w:val="008D5597"/>
    <w:rsid w:val="008D6063"/>
    <w:rsid w:val="008D617E"/>
    <w:rsid w:val="008D6A0A"/>
    <w:rsid w:val="008D6AC0"/>
    <w:rsid w:val="008D6EA3"/>
    <w:rsid w:val="008D74D7"/>
    <w:rsid w:val="008D766A"/>
    <w:rsid w:val="008D79BE"/>
    <w:rsid w:val="008E0A51"/>
    <w:rsid w:val="008E0E06"/>
    <w:rsid w:val="008E1933"/>
    <w:rsid w:val="008E2267"/>
    <w:rsid w:val="008E2829"/>
    <w:rsid w:val="008E3DE4"/>
    <w:rsid w:val="008E3E0D"/>
    <w:rsid w:val="008E41F3"/>
    <w:rsid w:val="008E4310"/>
    <w:rsid w:val="008E47EB"/>
    <w:rsid w:val="008E4CE3"/>
    <w:rsid w:val="008E4E7D"/>
    <w:rsid w:val="008E5778"/>
    <w:rsid w:val="008E5C19"/>
    <w:rsid w:val="008E5C5B"/>
    <w:rsid w:val="008E5ED8"/>
    <w:rsid w:val="008E667E"/>
    <w:rsid w:val="008E6BB7"/>
    <w:rsid w:val="008E7252"/>
    <w:rsid w:val="008F0124"/>
    <w:rsid w:val="008F029C"/>
    <w:rsid w:val="008F0734"/>
    <w:rsid w:val="008F0809"/>
    <w:rsid w:val="008F08BF"/>
    <w:rsid w:val="008F0DDB"/>
    <w:rsid w:val="008F1061"/>
    <w:rsid w:val="008F136F"/>
    <w:rsid w:val="008F1391"/>
    <w:rsid w:val="008F21EF"/>
    <w:rsid w:val="008F2DF8"/>
    <w:rsid w:val="008F3195"/>
    <w:rsid w:val="008F3A45"/>
    <w:rsid w:val="008F3AD6"/>
    <w:rsid w:val="008F3C8E"/>
    <w:rsid w:val="008F540C"/>
    <w:rsid w:val="008F59A1"/>
    <w:rsid w:val="008F5BA9"/>
    <w:rsid w:val="008F5F1E"/>
    <w:rsid w:val="008F6358"/>
    <w:rsid w:val="008F7389"/>
    <w:rsid w:val="008F770C"/>
    <w:rsid w:val="008F784E"/>
    <w:rsid w:val="0090110B"/>
    <w:rsid w:val="00901316"/>
    <w:rsid w:val="009019EE"/>
    <w:rsid w:val="00901B50"/>
    <w:rsid w:val="00901DDA"/>
    <w:rsid w:val="0090290A"/>
    <w:rsid w:val="009035BD"/>
    <w:rsid w:val="00903A9A"/>
    <w:rsid w:val="00904159"/>
    <w:rsid w:val="00904312"/>
    <w:rsid w:val="00904362"/>
    <w:rsid w:val="009045D3"/>
    <w:rsid w:val="00904CAB"/>
    <w:rsid w:val="00904ED7"/>
    <w:rsid w:val="009056D7"/>
    <w:rsid w:val="00905937"/>
    <w:rsid w:val="00905B17"/>
    <w:rsid w:val="00905C15"/>
    <w:rsid w:val="00905FCA"/>
    <w:rsid w:val="009067FA"/>
    <w:rsid w:val="00910017"/>
    <w:rsid w:val="00910106"/>
    <w:rsid w:val="0091095C"/>
    <w:rsid w:val="00910EB2"/>
    <w:rsid w:val="00911941"/>
    <w:rsid w:val="00911A61"/>
    <w:rsid w:val="0091209E"/>
    <w:rsid w:val="009126FF"/>
    <w:rsid w:val="009129EA"/>
    <w:rsid w:val="00912B9A"/>
    <w:rsid w:val="00912D6A"/>
    <w:rsid w:val="00912E6B"/>
    <w:rsid w:val="00912FFA"/>
    <w:rsid w:val="009142A9"/>
    <w:rsid w:val="00914837"/>
    <w:rsid w:val="00915281"/>
    <w:rsid w:val="00915967"/>
    <w:rsid w:val="00915A1E"/>
    <w:rsid w:val="00915D54"/>
    <w:rsid w:val="009160A3"/>
    <w:rsid w:val="00916B9E"/>
    <w:rsid w:val="00917BA3"/>
    <w:rsid w:val="00917BB5"/>
    <w:rsid w:val="00921BD3"/>
    <w:rsid w:val="00922064"/>
    <w:rsid w:val="0092224C"/>
    <w:rsid w:val="00922631"/>
    <w:rsid w:val="00922D01"/>
    <w:rsid w:val="00922F1B"/>
    <w:rsid w:val="0092319A"/>
    <w:rsid w:val="00923258"/>
    <w:rsid w:val="00923AE9"/>
    <w:rsid w:val="0092499F"/>
    <w:rsid w:val="009253D0"/>
    <w:rsid w:val="0092563A"/>
    <w:rsid w:val="00925CAB"/>
    <w:rsid w:val="00926294"/>
    <w:rsid w:val="009264A4"/>
    <w:rsid w:val="009265CF"/>
    <w:rsid w:val="00926EB2"/>
    <w:rsid w:val="0092744F"/>
    <w:rsid w:val="009276AB"/>
    <w:rsid w:val="00927ACF"/>
    <w:rsid w:val="00927BD5"/>
    <w:rsid w:val="0093082D"/>
    <w:rsid w:val="009308E2"/>
    <w:rsid w:val="00930953"/>
    <w:rsid w:val="00930AFB"/>
    <w:rsid w:val="00930B41"/>
    <w:rsid w:val="0093144C"/>
    <w:rsid w:val="00931F24"/>
    <w:rsid w:val="00932310"/>
    <w:rsid w:val="009332FE"/>
    <w:rsid w:val="00933AC5"/>
    <w:rsid w:val="009342CA"/>
    <w:rsid w:val="009344C9"/>
    <w:rsid w:val="00934971"/>
    <w:rsid w:val="00934A8D"/>
    <w:rsid w:val="0093542C"/>
    <w:rsid w:val="009368C3"/>
    <w:rsid w:val="00936A6A"/>
    <w:rsid w:val="00937382"/>
    <w:rsid w:val="009378DA"/>
    <w:rsid w:val="009379E1"/>
    <w:rsid w:val="00937A7F"/>
    <w:rsid w:val="00940714"/>
    <w:rsid w:val="009411BC"/>
    <w:rsid w:val="00941BFA"/>
    <w:rsid w:val="00941C0A"/>
    <w:rsid w:val="00943163"/>
    <w:rsid w:val="00943402"/>
    <w:rsid w:val="00944A31"/>
    <w:rsid w:val="00944CA3"/>
    <w:rsid w:val="00945228"/>
    <w:rsid w:val="00945F26"/>
    <w:rsid w:val="00947680"/>
    <w:rsid w:val="00947A85"/>
    <w:rsid w:val="00947F98"/>
    <w:rsid w:val="00950019"/>
    <w:rsid w:val="0095053A"/>
    <w:rsid w:val="00950A59"/>
    <w:rsid w:val="00950F35"/>
    <w:rsid w:val="00952054"/>
    <w:rsid w:val="00952232"/>
    <w:rsid w:val="00952328"/>
    <w:rsid w:val="00952999"/>
    <w:rsid w:val="009538FF"/>
    <w:rsid w:val="009540C8"/>
    <w:rsid w:val="009540E4"/>
    <w:rsid w:val="009544D4"/>
    <w:rsid w:val="00954866"/>
    <w:rsid w:val="00954A43"/>
    <w:rsid w:val="00954ABE"/>
    <w:rsid w:val="009552D0"/>
    <w:rsid w:val="00955556"/>
    <w:rsid w:val="009560BF"/>
    <w:rsid w:val="00956A04"/>
    <w:rsid w:val="009575E0"/>
    <w:rsid w:val="009579E3"/>
    <w:rsid w:val="00960339"/>
    <w:rsid w:val="009604FF"/>
    <w:rsid w:val="00960558"/>
    <w:rsid w:val="0096062B"/>
    <w:rsid w:val="00960ABC"/>
    <w:rsid w:val="00960C2F"/>
    <w:rsid w:val="00960D5A"/>
    <w:rsid w:val="0096193F"/>
    <w:rsid w:val="00961C8B"/>
    <w:rsid w:val="00962134"/>
    <w:rsid w:val="00962282"/>
    <w:rsid w:val="00962B64"/>
    <w:rsid w:val="00962D68"/>
    <w:rsid w:val="00963EE7"/>
    <w:rsid w:val="0096663A"/>
    <w:rsid w:val="009672C1"/>
    <w:rsid w:val="00967E8B"/>
    <w:rsid w:val="00970D11"/>
    <w:rsid w:val="009716C2"/>
    <w:rsid w:val="0097181C"/>
    <w:rsid w:val="009721AD"/>
    <w:rsid w:val="00972417"/>
    <w:rsid w:val="00972427"/>
    <w:rsid w:val="00972902"/>
    <w:rsid w:val="00972B38"/>
    <w:rsid w:val="00972F80"/>
    <w:rsid w:val="009732C3"/>
    <w:rsid w:val="00973725"/>
    <w:rsid w:val="00973BD7"/>
    <w:rsid w:val="00973C03"/>
    <w:rsid w:val="00975026"/>
    <w:rsid w:val="00975298"/>
    <w:rsid w:val="00975525"/>
    <w:rsid w:val="00975C5A"/>
    <w:rsid w:val="00975F0E"/>
    <w:rsid w:val="00976599"/>
    <w:rsid w:val="009769D0"/>
    <w:rsid w:val="00977285"/>
    <w:rsid w:val="009775CE"/>
    <w:rsid w:val="009803CD"/>
    <w:rsid w:val="0098067A"/>
    <w:rsid w:val="009811E0"/>
    <w:rsid w:val="00981385"/>
    <w:rsid w:val="00981A85"/>
    <w:rsid w:val="00982A34"/>
    <w:rsid w:val="009830BB"/>
    <w:rsid w:val="0098312E"/>
    <w:rsid w:val="00983914"/>
    <w:rsid w:val="00983E3F"/>
    <w:rsid w:val="00984038"/>
    <w:rsid w:val="00984321"/>
    <w:rsid w:val="009848B4"/>
    <w:rsid w:val="00984A6B"/>
    <w:rsid w:val="00984D8D"/>
    <w:rsid w:val="0098502B"/>
    <w:rsid w:val="00985E5B"/>
    <w:rsid w:val="00985E67"/>
    <w:rsid w:val="009868A6"/>
    <w:rsid w:val="00987A2D"/>
    <w:rsid w:val="00990374"/>
    <w:rsid w:val="00991ADE"/>
    <w:rsid w:val="00991B0A"/>
    <w:rsid w:val="009925EB"/>
    <w:rsid w:val="009930FD"/>
    <w:rsid w:val="009931A4"/>
    <w:rsid w:val="00993306"/>
    <w:rsid w:val="00994152"/>
    <w:rsid w:val="0099487A"/>
    <w:rsid w:val="00994B0B"/>
    <w:rsid w:val="00996D85"/>
    <w:rsid w:val="009971A5"/>
    <w:rsid w:val="00997519"/>
    <w:rsid w:val="00997775"/>
    <w:rsid w:val="0099793F"/>
    <w:rsid w:val="00997D45"/>
    <w:rsid w:val="009A02EA"/>
    <w:rsid w:val="009A0604"/>
    <w:rsid w:val="009A192F"/>
    <w:rsid w:val="009A3154"/>
    <w:rsid w:val="009A322E"/>
    <w:rsid w:val="009A32E1"/>
    <w:rsid w:val="009A33DA"/>
    <w:rsid w:val="009A3847"/>
    <w:rsid w:val="009A39F1"/>
    <w:rsid w:val="009A3AAC"/>
    <w:rsid w:val="009A3CDB"/>
    <w:rsid w:val="009A4244"/>
    <w:rsid w:val="009A4E14"/>
    <w:rsid w:val="009A4F4D"/>
    <w:rsid w:val="009A51D8"/>
    <w:rsid w:val="009A53EB"/>
    <w:rsid w:val="009A5F16"/>
    <w:rsid w:val="009A67DF"/>
    <w:rsid w:val="009B0941"/>
    <w:rsid w:val="009B0A3B"/>
    <w:rsid w:val="009B147B"/>
    <w:rsid w:val="009B150F"/>
    <w:rsid w:val="009B16B7"/>
    <w:rsid w:val="009B16B9"/>
    <w:rsid w:val="009B235E"/>
    <w:rsid w:val="009B23CE"/>
    <w:rsid w:val="009B23D0"/>
    <w:rsid w:val="009B27AE"/>
    <w:rsid w:val="009B2D6C"/>
    <w:rsid w:val="009B3044"/>
    <w:rsid w:val="009B4825"/>
    <w:rsid w:val="009B4D01"/>
    <w:rsid w:val="009B526D"/>
    <w:rsid w:val="009B5510"/>
    <w:rsid w:val="009B5E1B"/>
    <w:rsid w:val="009B5FCC"/>
    <w:rsid w:val="009B63B3"/>
    <w:rsid w:val="009B6FA8"/>
    <w:rsid w:val="009B72EB"/>
    <w:rsid w:val="009B7B01"/>
    <w:rsid w:val="009C04DA"/>
    <w:rsid w:val="009C053C"/>
    <w:rsid w:val="009C1CFC"/>
    <w:rsid w:val="009C28DD"/>
    <w:rsid w:val="009C3557"/>
    <w:rsid w:val="009C3EBF"/>
    <w:rsid w:val="009C4022"/>
    <w:rsid w:val="009C42DB"/>
    <w:rsid w:val="009C535D"/>
    <w:rsid w:val="009C5400"/>
    <w:rsid w:val="009C5526"/>
    <w:rsid w:val="009C58A0"/>
    <w:rsid w:val="009C5A57"/>
    <w:rsid w:val="009C5D83"/>
    <w:rsid w:val="009C6027"/>
    <w:rsid w:val="009C6494"/>
    <w:rsid w:val="009C6B5A"/>
    <w:rsid w:val="009C713F"/>
    <w:rsid w:val="009C7499"/>
    <w:rsid w:val="009C7A10"/>
    <w:rsid w:val="009C7FDB"/>
    <w:rsid w:val="009D0479"/>
    <w:rsid w:val="009D17E6"/>
    <w:rsid w:val="009D197A"/>
    <w:rsid w:val="009D1983"/>
    <w:rsid w:val="009D1985"/>
    <w:rsid w:val="009D21A9"/>
    <w:rsid w:val="009D23A2"/>
    <w:rsid w:val="009D2C63"/>
    <w:rsid w:val="009D2FE5"/>
    <w:rsid w:val="009D3028"/>
    <w:rsid w:val="009D38D5"/>
    <w:rsid w:val="009D3E20"/>
    <w:rsid w:val="009D4897"/>
    <w:rsid w:val="009D53A8"/>
    <w:rsid w:val="009D661D"/>
    <w:rsid w:val="009D6B6F"/>
    <w:rsid w:val="009D7165"/>
    <w:rsid w:val="009D78DC"/>
    <w:rsid w:val="009E05CE"/>
    <w:rsid w:val="009E0FCD"/>
    <w:rsid w:val="009E128E"/>
    <w:rsid w:val="009E12D6"/>
    <w:rsid w:val="009E2E7F"/>
    <w:rsid w:val="009E32F6"/>
    <w:rsid w:val="009E3D5C"/>
    <w:rsid w:val="009E4595"/>
    <w:rsid w:val="009E4B7C"/>
    <w:rsid w:val="009E4DE9"/>
    <w:rsid w:val="009E4F22"/>
    <w:rsid w:val="009E54B7"/>
    <w:rsid w:val="009E5D28"/>
    <w:rsid w:val="009E6B56"/>
    <w:rsid w:val="009E7018"/>
    <w:rsid w:val="009E7C1F"/>
    <w:rsid w:val="009E7F71"/>
    <w:rsid w:val="009F0165"/>
    <w:rsid w:val="009F072E"/>
    <w:rsid w:val="009F08FF"/>
    <w:rsid w:val="009F09E2"/>
    <w:rsid w:val="009F0CAC"/>
    <w:rsid w:val="009F0F2B"/>
    <w:rsid w:val="009F199B"/>
    <w:rsid w:val="009F2120"/>
    <w:rsid w:val="009F23ED"/>
    <w:rsid w:val="009F254A"/>
    <w:rsid w:val="009F3154"/>
    <w:rsid w:val="009F3282"/>
    <w:rsid w:val="009F399F"/>
    <w:rsid w:val="009F3DAC"/>
    <w:rsid w:val="009F4182"/>
    <w:rsid w:val="009F5516"/>
    <w:rsid w:val="009F553D"/>
    <w:rsid w:val="009F5EA3"/>
    <w:rsid w:val="009F65C2"/>
    <w:rsid w:val="009F74C5"/>
    <w:rsid w:val="009F7530"/>
    <w:rsid w:val="009F78E2"/>
    <w:rsid w:val="00A002BD"/>
    <w:rsid w:val="00A00837"/>
    <w:rsid w:val="00A00838"/>
    <w:rsid w:val="00A00F6E"/>
    <w:rsid w:val="00A01477"/>
    <w:rsid w:val="00A01719"/>
    <w:rsid w:val="00A0178A"/>
    <w:rsid w:val="00A019A6"/>
    <w:rsid w:val="00A01B27"/>
    <w:rsid w:val="00A01C32"/>
    <w:rsid w:val="00A01CE4"/>
    <w:rsid w:val="00A026F4"/>
    <w:rsid w:val="00A028EF"/>
    <w:rsid w:val="00A029FA"/>
    <w:rsid w:val="00A02AC0"/>
    <w:rsid w:val="00A036A8"/>
    <w:rsid w:val="00A037C3"/>
    <w:rsid w:val="00A03B9C"/>
    <w:rsid w:val="00A0441E"/>
    <w:rsid w:val="00A04EC0"/>
    <w:rsid w:val="00A04F3F"/>
    <w:rsid w:val="00A0528B"/>
    <w:rsid w:val="00A052EE"/>
    <w:rsid w:val="00A053D3"/>
    <w:rsid w:val="00A053F5"/>
    <w:rsid w:val="00A05DC8"/>
    <w:rsid w:val="00A06F87"/>
    <w:rsid w:val="00A07AB0"/>
    <w:rsid w:val="00A07B20"/>
    <w:rsid w:val="00A07D08"/>
    <w:rsid w:val="00A1021A"/>
    <w:rsid w:val="00A11D1B"/>
    <w:rsid w:val="00A1253F"/>
    <w:rsid w:val="00A12DED"/>
    <w:rsid w:val="00A12E17"/>
    <w:rsid w:val="00A13C9E"/>
    <w:rsid w:val="00A14E75"/>
    <w:rsid w:val="00A1509F"/>
    <w:rsid w:val="00A15200"/>
    <w:rsid w:val="00A158FA"/>
    <w:rsid w:val="00A15B3D"/>
    <w:rsid w:val="00A16E53"/>
    <w:rsid w:val="00A17170"/>
    <w:rsid w:val="00A1770C"/>
    <w:rsid w:val="00A201D1"/>
    <w:rsid w:val="00A2049A"/>
    <w:rsid w:val="00A206E0"/>
    <w:rsid w:val="00A20C6A"/>
    <w:rsid w:val="00A2101B"/>
    <w:rsid w:val="00A21124"/>
    <w:rsid w:val="00A2136A"/>
    <w:rsid w:val="00A213BB"/>
    <w:rsid w:val="00A218EC"/>
    <w:rsid w:val="00A21BAC"/>
    <w:rsid w:val="00A21C4A"/>
    <w:rsid w:val="00A222DC"/>
    <w:rsid w:val="00A226C8"/>
    <w:rsid w:val="00A22D4C"/>
    <w:rsid w:val="00A231C9"/>
    <w:rsid w:val="00A23262"/>
    <w:rsid w:val="00A2342F"/>
    <w:rsid w:val="00A234CD"/>
    <w:rsid w:val="00A23927"/>
    <w:rsid w:val="00A23A35"/>
    <w:rsid w:val="00A23B15"/>
    <w:rsid w:val="00A24311"/>
    <w:rsid w:val="00A2447C"/>
    <w:rsid w:val="00A244C7"/>
    <w:rsid w:val="00A24726"/>
    <w:rsid w:val="00A2495C"/>
    <w:rsid w:val="00A24DA2"/>
    <w:rsid w:val="00A24E9A"/>
    <w:rsid w:val="00A25973"/>
    <w:rsid w:val="00A263BF"/>
    <w:rsid w:val="00A26669"/>
    <w:rsid w:val="00A26B91"/>
    <w:rsid w:val="00A26EDB"/>
    <w:rsid w:val="00A270FA"/>
    <w:rsid w:val="00A309CB"/>
    <w:rsid w:val="00A3148D"/>
    <w:rsid w:val="00A31853"/>
    <w:rsid w:val="00A32858"/>
    <w:rsid w:val="00A3292D"/>
    <w:rsid w:val="00A329CB"/>
    <w:rsid w:val="00A33525"/>
    <w:rsid w:val="00A33DAF"/>
    <w:rsid w:val="00A34F66"/>
    <w:rsid w:val="00A3625A"/>
    <w:rsid w:val="00A366E6"/>
    <w:rsid w:val="00A36777"/>
    <w:rsid w:val="00A36DB4"/>
    <w:rsid w:val="00A37441"/>
    <w:rsid w:val="00A377B2"/>
    <w:rsid w:val="00A37CCC"/>
    <w:rsid w:val="00A37CEF"/>
    <w:rsid w:val="00A37FBC"/>
    <w:rsid w:val="00A40145"/>
    <w:rsid w:val="00A40688"/>
    <w:rsid w:val="00A4113A"/>
    <w:rsid w:val="00A423B9"/>
    <w:rsid w:val="00A43122"/>
    <w:rsid w:val="00A432E0"/>
    <w:rsid w:val="00A434C9"/>
    <w:rsid w:val="00A43F71"/>
    <w:rsid w:val="00A44ADB"/>
    <w:rsid w:val="00A44DD6"/>
    <w:rsid w:val="00A44EBF"/>
    <w:rsid w:val="00A4585D"/>
    <w:rsid w:val="00A45978"/>
    <w:rsid w:val="00A45DBD"/>
    <w:rsid w:val="00A4650A"/>
    <w:rsid w:val="00A47107"/>
    <w:rsid w:val="00A4760A"/>
    <w:rsid w:val="00A50395"/>
    <w:rsid w:val="00A5046D"/>
    <w:rsid w:val="00A50F90"/>
    <w:rsid w:val="00A51274"/>
    <w:rsid w:val="00A513C2"/>
    <w:rsid w:val="00A51DE5"/>
    <w:rsid w:val="00A523BF"/>
    <w:rsid w:val="00A5299C"/>
    <w:rsid w:val="00A52E09"/>
    <w:rsid w:val="00A5369D"/>
    <w:rsid w:val="00A5436C"/>
    <w:rsid w:val="00A55424"/>
    <w:rsid w:val="00A555AE"/>
    <w:rsid w:val="00A56991"/>
    <w:rsid w:val="00A57146"/>
    <w:rsid w:val="00A5726F"/>
    <w:rsid w:val="00A572A1"/>
    <w:rsid w:val="00A573B1"/>
    <w:rsid w:val="00A57400"/>
    <w:rsid w:val="00A57512"/>
    <w:rsid w:val="00A57B30"/>
    <w:rsid w:val="00A60906"/>
    <w:rsid w:val="00A61004"/>
    <w:rsid w:val="00A61137"/>
    <w:rsid w:val="00A61145"/>
    <w:rsid w:val="00A61953"/>
    <w:rsid w:val="00A61969"/>
    <w:rsid w:val="00A619B6"/>
    <w:rsid w:val="00A62591"/>
    <w:rsid w:val="00A62763"/>
    <w:rsid w:val="00A639E0"/>
    <w:rsid w:val="00A63D48"/>
    <w:rsid w:val="00A63F07"/>
    <w:rsid w:val="00A64D9F"/>
    <w:rsid w:val="00A65112"/>
    <w:rsid w:val="00A657F4"/>
    <w:rsid w:val="00A65A34"/>
    <w:rsid w:val="00A65EF4"/>
    <w:rsid w:val="00A65F4F"/>
    <w:rsid w:val="00A663ED"/>
    <w:rsid w:val="00A6664E"/>
    <w:rsid w:val="00A66873"/>
    <w:rsid w:val="00A669E0"/>
    <w:rsid w:val="00A66BA6"/>
    <w:rsid w:val="00A66BD1"/>
    <w:rsid w:val="00A67C6D"/>
    <w:rsid w:val="00A67E2C"/>
    <w:rsid w:val="00A70863"/>
    <w:rsid w:val="00A71A33"/>
    <w:rsid w:val="00A73299"/>
    <w:rsid w:val="00A73908"/>
    <w:rsid w:val="00A7409A"/>
    <w:rsid w:val="00A74525"/>
    <w:rsid w:val="00A7462B"/>
    <w:rsid w:val="00A7472E"/>
    <w:rsid w:val="00A74A14"/>
    <w:rsid w:val="00A74A47"/>
    <w:rsid w:val="00A74B65"/>
    <w:rsid w:val="00A74C43"/>
    <w:rsid w:val="00A750C5"/>
    <w:rsid w:val="00A7589B"/>
    <w:rsid w:val="00A75E0B"/>
    <w:rsid w:val="00A760C9"/>
    <w:rsid w:val="00A768D2"/>
    <w:rsid w:val="00A768ED"/>
    <w:rsid w:val="00A76F65"/>
    <w:rsid w:val="00A77109"/>
    <w:rsid w:val="00A77467"/>
    <w:rsid w:val="00A7763E"/>
    <w:rsid w:val="00A77A25"/>
    <w:rsid w:val="00A77D9E"/>
    <w:rsid w:val="00A806CF"/>
    <w:rsid w:val="00A80BA3"/>
    <w:rsid w:val="00A80F59"/>
    <w:rsid w:val="00A81010"/>
    <w:rsid w:val="00A81808"/>
    <w:rsid w:val="00A82175"/>
    <w:rsid w:val="00A8260E"/>
    <w:rsid w:val="00A8299D"/>
    <w:rsid w:val="00A82A35"/>
    <w:rsid w:val="00A832FF"/>
    <w:rsid w:val="00A84308"/>
    <w:rsid w:val="00A846E9"/>
    <w:rsid w:val="00A86993"/>
    <w:rsid w:val="00A86F35"/>
    <w:rsid w:val="00A90956"/>
    <w:rsid w:val="00A909A8"/>
    <w:rsid w:val="00A90A77"/>
    <w:rsid w:val="00A90AD6"/>
    <w:rsid w:val="00A914DB"/>
    <w:rsid w:val="00A92740"/>
    <w:rsid w:val="00A92F4F"/>
    <w:rsid w:val="00A932B9"/>
    <w:rsid w:val="00A940FC"/>
    <w:rsid w:val="00A94437"/>
    <w:rsid w:val="00A9469D"/>
    <w:rsid w:val="00A94E32"/>
    <w:rsid w:val="00A94EA4"/>
    <w:rsid w:val="00A94F04"/>
    <w:rsid w:val="00A95A73"/>
    <w:rsid w:val="00A96880"/>
    <w:rsid w:val="00A96992"/>
    <w:rsid w:val="00A970B6"/>
    <w:rsid w:val="00A9739A"/>
    <w:rsid w:val="00A97C04"/>
    <w:rsid w:val="00A97E37"/>
    <w:rsid w:val="00A97F26"/>
    <w:rsid w:val="00AA0407"/>
    <w:rsid w:val="00AA13EA"/>
    <w:rsid w:val="00AA2006"/>
    <w:rsid w:val="00AA2105"/>
    <w:rsid w:val="00AA268F"/>
    <w:rsid w:val="00AA2C92"/>
    <w:rsid w:val="00AA2D9E"/>
    <w:rsid w:val="00AA37B4"/>
    <w:rsid w:val="00AA3AA0"/>
    <w:rsid w:val="00AA468C"/>
    <w:rsid w:val="00AA493D"/>
    <w:rsid w:val="00AA576A"/>
    <w:rsid w:val="00AA69E1"/>
    <w:rsid w:val="00AA6C4B"/>
    <w:rsid w:val="00AA6F32"/>
    <w:rsid w:val="00AA7018"/>
    <w:rsid w:val="00AA7EC3"/>
    <w:rsid w:val="00AA7FDB"/>
    <w:rsid w:val="00AB13C0"/>
    <w:rsid w:val="00AB167C"/>
    <w:rsid w:val="00AB187C"/>
    <w:rsid w:val="00AB28F0"/>
    <w:rsid w:val="00AB2A1A"/>
    <w:rsid w:val="00AB2C7C"/>
    <w:rsid w:val="00AB3600"/>
    <w:rsid w:val="00AB3826"/>
    <w:rsid w:val="00AB3B9D"/>
    <w:rsid w:val="00AB483E"/>
    <w:rsid w:val="00AB4F0B"/>
    <w:rsid w:val="00AB6B64"/>
    <w:rsid w:val="00AB6C98"/>
    <w:rsid w:val="00AB6ED9"/>
    <w:rsid w:val="00AB7446"/>
    <w:rsid w:val="00AB749E"/>
    <w:rsid w:val="00AB7F21"/>
    <w:rsid w:val="00AC03E0"/>
    <w:rsid w:val="00AC095F"/>
    <w:rsid w:val="00AC0EDC"/>
    <w:rsid w:val="00AC159E"/>
    <w:rsid w:val="00AC1FCD"/>
    <w:rsid w:val="00AC288C"/>
    <w:rsid w:val="00AC2B3B"/>
    <w:rsid w:val="00AC323D"/>
    <w:rsid w:val="00AC475F"/>
    <w:rsid w:val="00AC4C2E"/>
    <w:rsid w:val="00AC4FCC"/>
    <w:rsid w:val="00AC52A5"/>
    <w:rsid w:val="00AC6282"/>
    <w:rsid w:val="00AC6D48"/>
    <w:rsid w:val="00AC6E44"/>
    <w:rsid w:val="00AC73F4"/>
    <w:rsid w:val="00AC7B0B"/>
    <w:rsid w:val="00AC7CEA"/>
    <w:rsid w:val="00AD0264"/>
    <w:rsid w:val="00AD03B5"/>
    <w:rsid w:val="00AD066A"/>
    <w:rsid w:val="00AD0715"/>
    <w:rsid w:val="00AD0DD3"/>
    <w:rsid w:val="00AD1168"/>
    <w:rsid w:val="00AD1299"/>
    <w:rsid w:val="00AD229A"/>
    <w:rsid w:val="00AD2410"/>
    <w:rsid w:val="00AD3244"/>
    <w:rsid w:val="00AD36A4"/>
    <w:rsid w:val="00AD3E48"/>
    <w:rsid w:val="00AD4E75"/>
    <w:rsid w:val="00AD5022"/>
    <w:rsid w:val="00AD5960"/>
    <w:rsid w:val="00AD6F96"/>
    <w:rsid w:val="00AD7C5B"/>
    <w:rsid w:val="00AD7EAA"/>
    <w:rsid w:val="00AD7F5E"/>
    <w:rsid w:val="00AE061B"/>
    <w:rsid w:val="00AE0880"/>
    <w:rsid w:val="00AE137C"/>
    <w:rsid w:val="00AE1766"/>
    <w:rsid w:val="00AE2AB9"/>
    <w:rsid w:val="00AE340F"/>
    <w:rsid w:val="00AE34E2"/>
    <w:rsid w:val="00AE3594"/>
    <w:rsid w:val="00AE3744"/>
    <w:rsid w:val="00AE3C9D"/>
    <w:rsid w:val="00AE41A7"/>
    <w:rsid w:val="00AE4361"/>
    <w:rsid w:val="00AE43C0"/>
    <w:rsid w:val="00AE44F2"/>
    <w:rsid w:val="00AE52AE"/>
    <w:rsid w:val="00AE5330"/>
    <w:rsid w:val="00AE5671"/>
    <w:rsid w:val="00AE5713"/>
    <w:rsid w:val="00AE643D"/>
    <w:rsid w:val="00AE66F7"/>
    <w:rsid w:val="00AE6AEC"/>
    <w:rsid w:val="00AE7288"/>
    <w:rsid w:val="00AE76D3"/>
    <w:rsid w:val="00AE7A5F"/>
    <w:rsid w:val="00AE7D70"/>
    <w:rsid w:val="00AF0692"/>
    <w:rsid w:val="00AF06BF"/>
    <w:rsid w:val="00AF0BD5"/>
    <w:rsid w:val="00AF0C2F"/>
    <w:rsid w:val="00AF29FC"/>
    <w:rsid w:val="00AF2C64"/>
    <w:rsid w:val="00AF2EBC"/>
    <w:rsid w:val="00AF2F0D"/>
    <w:rsid w:val="00AF3482"/>
    <w:rsid w:val="00AF3719"/>
    <w:rsid w:val="00AF3C56"/>
    <w:rsid w:val="00AF4641"/>
    <w:rsid w:val="00AF4BBC"/>
    <w:rsid w:val="00AF4D7C"/>
    <w:rsid w:val="00AF4D9F"/>
    <w:rsid w:val="00AF4E48"/>
    <w:rsid w:val="00AF4E7A"/>
    <w:rsid w:val="00AF5010"/>
    <w:rsid w:val="00AF5093"/>
    <w:rsid w:val="00AF5573"/>
    <w:rsid w:val="00AF5F67"/>
    <w:rsid w:val="00AF61CD"/>
    <w:rsid w:val="00AF658D"/>
    <w:rsid w:val="00AF6643"/>
    <w:rsid w:val="00AF6A33"/>
    <w:rsid w:val="00AF6AD3"/>
    <w:rsid w:val="00AF6FD3"/>
    <w:rsid w:val="00AF786D"/>
    <w:rsid w:val="00AF7918"/>
    <w:rsid w:val="00B006C5"/>
    <w:rsid w:val="00B00AA5"/>
    <w:rsid w:val="00B00E18"/>
    <w:rsid w:val="00B0169C"/>
    <w:rsid w:val="00B01A85"/>
    <w:rsid w:val="00B0250B"/>
    <w:rsid w:val="00B02785"/>
    <w:rsid w:val="00B03F0C"/>
    <w:rsid w:val="00B03F2F"/>
    <w:rsid w:val="00B04CB5"/>
    <w:rsid w:val="00B05539"/>
    <w:rsid w:val="00B05AD6"/>
    <w:rsid w:val="00B05B65"/>
    <w:rsid w:val="00B05E54"/>
    <w:rsid w:val="00B064AB"/>
    <w:rsid w:val="00B06859"/>
    <w:rsid w:val="00B0751A"/>
    <w:rsid w:val="00B07926"/>
    <w:rsid w:val="00B07A93"/>
    <w:rsid w:val="00B1031D"/>
    <w:rsid w:val="00B10DEF"/>
    <w:rsid w:val="00B11213"/>
    <w:rsid w:val="00B11489"/>
    <w:rsid w:val="00B11621"/>
    <w:rsid w:val="00B126D0"/>
    <w:rsid w:val="00B12F3B"/>
    <w:rsid w:val="00B133A0"/>
    <w:rsid w:val="00B133BC"/>
    <w:rsid w:val="00B13709"/>
    <w:rsid w:val="00B13A51"/>
    <w:rsid w:val="00B13E77"/>
    <w:rsid w:val="00B1553B"/>
    <w:rsid w:val="00B16193"/>
    <w:rsid w:val="00B1724A"/>
    <w:rsid w:val="00B1725E"/>
    <w:rsid w:val="00B1773E"/>
    <w:rsid w:val="00B2000B"/>
    <w:rsid w:val="00B203C3"/>
    <w:rsid w:val="00B20D45"/>
    <w:rsid w:val="00B211F4"/>
    <w:rsid w:val="00B2129D"/>
    <w:rsid w:val="00B2138A"/>
    <w:rsid w:val="00B22298"/>
    <w:rsid w:val="00B22A1C"/>
    <w:rsid w:val="00B2339D"/>
    <w:rsid w:val="00B23723"/>
    <w:rsid w:val="00B2373D"/>
    <w:rsid w:val="00B23850"/>
    <w:rsid w:val="00B23D9F"/>
    <w:rsid w:val="00B24B33"/>
    <w:rsid w:val="00B24BD3"/>
    <w:rsid w:val="00B24DFD"/>
    <w:rsid w:val="00B250B0"/>
    <w:rsid w:val="00B263F5"/>
    <w:rsid w:val="00B269AC"/>
    <w:rsid w:val="00B26C48"/>
    <w:rsid w:val="00B26C66"/>
    <w:rsid w:val="00B26D37"/>
    <w:rsid w:val="00B26D7C"/>
    <w:rsid w:val="00B26F5F"/>
    <w:rsid w:val="00B270B4"/>
    <w:rsid w:val="00B277CE"/>
    <w:rsid w:val="00B27A9B"/>
    <w:rsid w:val="00B27D5C"/>
    <w:rsid w:val="00B302F9"/>
    <w:rsid w:val="00B30876"/>
    <w:rsid w:val="00B30954"/>
    <w:rsid w:val="00B30A44"/>
    <w:rsid w:val="00B315DE"/>
    <w:rsid w:val="00B3191D"/>
    <w:rsid w:val="00B31926"/>
    <w:rsid w:val="00B3314C"/>
    <w:rsid w:val="00B3315F"/>
    <w:rsid w:val="00B332DA"/>
    <w:rsid w:val="00B33791"/>
    <w:rsid w:val="00B349BD"/>
    <w:rsid w:val="00B349EE"/>
    <w:rsid w:val="00B34A84"/>
    <w:rsid w:val="00B354BF"/>
    <w:rsid w:val="00B35627"/>
    <w:rsid w:val="00B3585D"/>
    <w:rsid w:val="00B363DF"/>
    <w:rsid w:val="00B402CD"/>
    <w:rsid w:val="00B40803"/>
    <w:rsid w:val="00B40D4C"/>
    <w:rsid w:val="00B418C3"/>
    <w:rsid w:val="00B41C1A"/>
    <w:rsid w:val="00B437F4"/>
    <w:rsid w:val="00B43AFA"/>
    <w:rsid w:val="00B43B98"/>
    <w:rsid w:val="00B4540A"/>
    <w:rsid w:val="00B45459"/>
    <w:rsid w:val="00B4653F"/>
    <w:rsid w:val="00B47475"/>
    <w:rsid w:val="00B4765D"/>
    <w:rsid w:val="00B47934"/>
    <w:rsid w:val="00B50089"/>
    <w:rsid w:val="00B50157"/>
    <w:rsid w:val="00B50377"/>
    <w:rsid w:val="00B5055F"/>
    <w:rsid w:val="00B523B1"/>
    <w:rsid w:val="00B524EF"/>
    <w:rsid w:val="00B5294B"/>
    <w:rsid w:val="00B52A45"/>
    <w:rsid w:val="00B52C7B"/>
    <w:rsid w:val="00B53215"/>
    <w:rsid w:val="00B53A3B"/>
    <w:rsid w:val="00B53A64"/>
    <w:rsid w:val="00B5443F"/>
    <w:rsid w:val="00B54C66"/>
    <w:rsid w:val="00B54F8F"/>
    <w:rsid w:val="00B56080"/>
    <w:rsid w:val="00B561B5"/>
    <w:rsid w:val="00B56A1E"/>
    <w:rsid w:val="00B56C39"/>
    <w:rsid w:val="00B57334"/>
    <w:rsid w:val="00B60DFB"/>
    <w:rsid w:val="00B62620"/>
    <w:rsid w:val="00B628B4"/>
    <w:rsid w:val="00B631AE"/>
    <w:rsid w:val="00B6321E"/>
    <w:rsid w:val="00B63880"/>
    <w:rsid w:val="00B63960"/>
    <w:rsid w:val="00B63B79"/>
    <w:rsid w:val="00B63BCA"/>
    <w:rsid w:val="00B649D2"/>
    <w:rsid w:val="00B64B47"/>
    <w:rsid w:val="00B64BC7"/>
    <w:rsid w:val="00B64C23"/>
    <w:rsid w:val="00B65B00"/>
    <w:rsid w:val="00B65B13"/>
    <w:rsid w:val="00B65DB9"/>
    <w:rsid w:val="00B663CD"/>
    <w:rsid w:val="00B66533"/>
    <w:rsid w:val="00B67DDD"/>
    <w:rsid w:val="00B700FE"/>
    <w:rsid w:val="00B710C0"/>
    <w:rsid w:val="00B719EB"/>
    <w:rsid w:val="00B7280F"/>
    <w:rsid w:val="00B72947"/>
    <w:rsid w:val="00B72F7C"/>
    <w:rsid w:val="00B73EF7"/>
    <w:rsid w:val="00B743F9"/>
    <w:rsid w:val="00B74496"/>
    <w:rsid w:val="00B76395"/>
    <w:rsid w:val="00B76482"/>
    <w:rsid w:val="00B767B4"/>
    <w:rsid w:val="00B76884"/>
    <w:rsid w:val="00B76C9F"/>
    <w:rsid w:val="00B77BCE"/>
    <w:rsid w:val="00B800A0"/>
    <w:rsid w:val="00B802A4"/>
    <w:rsid w:val="00B80861"/>
    <w:rsid w:val="00B80CA5"/>
    <w:rsid w:val="00B81084"/>
    <w:rsid w:val="00B81303"/>
    <w:rsid w:val="00B8213B"/>
    <w:rsid w:val="00B82341"/>
    <w:rsid w:val="00B833B2"/>
    <w:rsid w:val="00B83467"/>
    <w:rsid w:val="00B8410E"/>
    <w:rsid w:val="00B84798"/>
    <w:rsid w:val="00B84ED6"/>
    <w:rsid w:val="00B8509D"/>
    <w:rsid w:val="00B85798"/>
    <w:rsid w:val="00B85A4D"/>
    <w:rsid w:val="00B85BEB"/>
    <w:rsid w:val="00B8628F"/>
    <w:rsid w:val="00B863E6"/>
    <w:rsid w:val="00B87829"/>
    <w:rsid w:val="00B903C3"/>
    <w:rsid w:val="00B9063D"/>
    <w:rsid w:val="00B9076F"/>
    <w:rsid w:val="00B9077F"/>
    <w:rsid w:val="00B911DF"/>
    <w:rsid w:val="00B9134C"/>
    <w:rsid w:val="00B91E6D"/>
    <w:rsid w:val="00B91F4B"/>
    <w:rsid w:val="00B9207B"/>
    <w:rsid w:val="00B9254D"/>
    <w:rsid w:val="00B92C54"/>
    <w:rsid w:val="00B930C0"/>
    <w:rsid w:val="00B93BD5"/>
    <w:rsid w:val="00B94659"/>
    <w:rsid w:val="00B9543C"/>
    <w:rsid w:val="00B966DD"/>
    <w:rsid w:val="00B96ECE"/>
    <w:rsid w:val="00B9705E"/>
    <w:rsid w:val="00B970D6"/>
    <w:rsid w:val="00B97153"/>
    <w:rsid w:val="00B97FB1"/>
    <w:rsid w:val="00BA0BB7"/>
    <w:rsid w:val="00BA19EF"/>
    <w:rsid w:val="00BA19FD"/>
    <w:rsid w:val="00BA1E4A"/>
    <w:rsid w:val="00BA338D"/>
    <w:rsid w:val="00BA34D5"/>
    <w:rsid w:val="00BA37D6"/>
    <w:rsid w:val="00BA3D32"/>
    <w:rsid w:val="00BA44B0"/>
    <w:rsid w:val="00BA4919"/>
    <w:rsid w:val="00BA49FD"/>
    <w:rsid w:val="00BA53F3"/>
    <w:rsid w:val="00BA5574"/>
    <w:rsid w:val="00BA5E89"/>
    <w:rsid w:val="00BA5F98"/>
    <w:rsid w:val="00BA5F9C"/>
    <w:rsid w:val="00BA734A"/>
    <w:rsid w:val="00BA7D16"/>
    <w:rsid w:val="00BA7DD5"/>
    <w:rsid w:val="00BB0320"/>
    <w:rsid w:val="00BB09D1"/>
    <w:rsid w:val="00BB0A40"/>
    <w:rsid w:val="00BB0F35"/>
    <w:rsid w:val="00BB1A59"/>
    <w:rsid w:val="00BB2199"/>
    <w:rsid w:val="00BB29FC"/>
    <w:rsid w:val="00BB3140"/>
    <w:rsid w:val="00BB3437"/>
    <w:rsid w:val="00BB4075"/>
    <w:rsid w:val="00BB429D"/>
    <w:rsid w:val="00BB4DBD"/>
    <w:rsid w:val="00BB5578"/>
    <w:rsid w:val="00BB5A35"/>
    <w:rsid w:val="00BB6117"/>
    <w:rsid w:val="00BB6D3F"/>
    <w:rsid w:val="00BB6E34"/>
    <w:rsid w:val="00BB7D24"/>
    <w:rsid w:val="00BC0646"/>
    <w:rsid w:val="00BC078E"/>
    <w:rsid w:val="00BC0BA0"/>
    <w:rsid w:val="00BC0E5B"/>
    <w:rsid w:val="00BC114B"/>
    <w:rsid w:val="00BC13A2"/>
    <w:rsid w:val="00BC1A32"/>
    <w:rsid w:val="00BC1F1E"/>
    <w:rsid w:val="00BC2AE4"/>
    <w:rsid w:val="00BC2C53"/>
    <w:rsid w:val="00BC3B28"/>
    <w:rsid w:val="00BC3C86"/>
    <w:rsid w:val="00BC3F89"/>
    <w:rsid w:val="00BC3FC9"/>
    <w:rsid w:val="00BC454C"/>
    <w:rsid w:val="00BC49E2"/>
    <w:rsid w:val="00BC6D1C"/>
    <w:rsid w:val="00BC6E54"/>
    <w:rsid w:val="00BC6F59"/>
    <w:rsid w:val="00BC7254"/>
    <w:rsid w:val="00BC7470"/>
    <w:rsid w:val="00BC757F"/>
    <w:rsid w:val="00BC7814"/>
    <w:rsid w:val="00BC79C6"/>
    <w:rsid w:val="00BD029D"/>
    <w:rsid w:val="00BD0324"/>
    <w:rsid w:val="00BD0408"/>
    <w:rsid w:val="00BD052C"/>
    <w:rsid w:val="00BD0537"/>
    <w:rsid w:val="00BD10A9"/>
    <w:rsid w:val="00BD10B3"/>
    <w:rsid w:val="00BD1B98"/>
    <w:rsid w:val="00BD275F"/>
    <w:rsid w:val="00BD2BD0"/>
    <w:rsid w:val="00BD3597"/>
    <w:rsid w:val="00BD3CD3"/>
    <w:rsid w:val="00BD4392"/>
    <w:rsid w:val="00BD4856"/>
    <w:rsid w:val="00BD5693"/>
    <w:rsid w:val="00BD56EB"/>
    <w:rsid w:val="00BD6256"/>
    <w:rsid w:val="00BD6952"/>
    <w:rsid w:val="00BD6E42"/>
    <w:rsid w:val="00BD7319"/>
    <w:rsid w:val="00BD7EA9"/>
    <w:rsid w:val="00BE091E"/>
    <w:rsid w:val="00BE11FC"/>
    <w:rsid w:val="00BE1B84"/>
    <w:rsid w:val="00BE1DA6"/>
    <w:rsid w:val="00BE2341"/>
    <w:rsid w:val="00BE2423"/>
    <w:rsid w:val="00BE280D"/>
    <w:rsid w:val="00BE317E"/>
    <w:rsid w:val="00BE3447"/>
    <w:rsid w:val="00BE3DC5"/>
    <w:rsid w:val="00BE3E73"/>
    <w:rsid w:val="00BE3EFC"/>
    <w:rsid w:val="00BE3F0C"/>
    <w:rsid w:val="00BE4810"/>
    <w:rsid w:val="00BE567C"/>
    <w:rsid w:val="00BE5D2D"/>
    <w:rsid w:val="00BE5DD0"/>
    <w:rsid w:val="00BE6157"/>
    <w:rsid w:val="00BE6165"/>
    <w:rsid w:val="00BE6740"/>
    <w:rsid w:val="00BE6CDD"/>
    <w:rsid w:val="00BE6E12"/>
    <w:rsid w:val="00BE6F00"/>
    <w:rsid w:val="00BE797B"/>
    <w:rsid w:val="00BF00A1"/>
    <w:rsid w:val="00BF05AD"/>
    <w:rsid w:val="00BF124F"/>
    <w:rsid w:val="00BF1AC7"/>
    <w:rsid w:val="00BF1D3C"/>
    <w:rsid w:val="00BF240B"/>
    <w:rsid w:val="00BF34CD"/>
    <w:rsid w:val="00BF36A9"/>
    <w:rsid w:val="00BF381C"/>
    <w:rsid w:val="00BF39A5"/>
    <w:rsid w:val="00BF3E4A"/>
    <w:rsid w:val="00BF49B2"/>
    <w:rsid w:val="00BF515E"/>
    <w:rsid w:val="00BF6014"/>
    <w:rsid w:val="00BF61A1"/>
    <w:rsid w:val="00BF67D4"/>
    <w:rsid w:val="00BF74AE"/>
    <w:rsid w:val="00BF7792"/>
    <w:rsid w:val="00BF7B3B"/>
    <w:rsid w:val="00C011D8"/>
    <w:rsid w:val="00C01AB1"/>
    <w:rsid w:val="00C01B53"/>
    <w:rsid w:val="00C022AE"/>
    <w:rsid w:val="00C023A5"/>
    <w:rsid w:val="00C02FB8"/>
    <w:rsid w:val="00C036F2"/>
    <w:rsid w:val="00C044F9"/>
    <w:rsid w:val="00C0476F"/>
    <w:rsid w:val="00C049EC"/>
    <w:rsid w:val="00C04C00"/>
    <w:rsid w:val="00C04CDC"/>
    <w:rsid w:val="00C04D0D"/>
    <w:rsid w:val="00C05630"/>
    <w:rsid w:val="00C0574C"/>
    <w:rsid w:val="00C06183"/>
    <w:rsid w:val="00C0638D"/>
    <w:rsid w:val="00C07290"/>
    <w:rsid w:val="00C07B51"/>
    <w:rsid w:val="00C10245"/>
    <w:rsid w:val="00C10CDF"/>
    <w:rsid w:val="00C110E8"/>
    <w:rsid w:val="00C1133E"/>
    <w:rsid w:val="00C11C82"/>
    <w:rsid w:val="00C11D80"/>
    <w:rsid w:val="00C12773"/>
    <w:rsid w:val="00C129BE"/>
    <w:rsid w:val="00C12A6F"/>
    <w:rsid w:val="00C14411"/>
    <w:rsid w:val="00C1569D"/>
    <w:rsid w:val="00C1600E"/>
    <w:rsid w:val="00C162F6"/>
    <w:rsid w:val="00C1666B"/>
    <w:rsid w:val="00C16FA9"/>
    <w:rsid w:val="00C170F6"/>
    <w:rsid w:val="00C17786"/>
    <w:rsid w:val="00C17AAD"/>
    <w:rsid w:val="00C17E17"/>
    <w:rsid w:val="00C17EAF"/>
    <w:rsid w:val="00C2117D"/>
    <w:rsid w:val="00C21684"/>
    <w:rsid w:val="00C21A78"/>
    <w:rsid w:val="00C22BF9"/>
    <w:rsid w:val="00C22DB9"/>
    <w:rsid w:val="00C22F4D"/>
    <w:rsid w:val="00C23021"/>
    <w:rsid w:val="00C2318E"/>
    <w:rsid w:val="00C25AD3"/>
    <w:rsid w:val="00C25E03"/>
    <w:rsid w:val="00C2695B"/>
    <w:rsid w:val="00C305B7"/>
    <w:rsid w:val="00C30A34"/>
    <w:rsid w:val="00C30C18"/>
    <w:rsid w:val="00C312AD"/>
    <w:rsid w:val="00C3284C"/>
    <w:rsid w:val="00C32F59"/>
    <w:rsid w:val="00C332E6"/>
    <w:rsid w:val="00C3385B"/>
    <w:rsid w:val="00C339C3"/>
    <w:rsid w:val="00C34285"/>
    <w:rsid w:val="00C34615"/>
    <w:rsid w:val="00C3464B"/>
    <w:rsid w:val="00C34807"/>
    <w:rsid w:val="00C35260"/>
    <w:rsid w:val="00C3643E"/>
    <w:rsid w:val="00C365E0"/>
    <w:rsid w:val="00C36E07"/>
    <w:rsid w:val="00C37815"/>
    <w:rsid w:val="00C3792B"/>
    <w:rsid w:val="00C40A2E"/>
    <w:rsid w:val="00C41651"/>
    <w:rsid w:val="00C4181C"/>
    <w:rsid w:val="00C41915"/>
    <w:rsid w:val="00C41C97"/>
    <w:rsid w:val="00C41EC9"/>
    <w:rsid w:val="00C42048"/>
    <w:rsid w:val="00C42719"/>
    <w:rsid w:val="00C42947"/>
    <w:rsid w:val="00C43FE1"/>
    <w:rsid w:val="00C44169"/>
    <w:rsid w:val="00C44170"/>
    <w:rsid w:val="00C442B4"/>
    <w:rsid w:val="00C44E4B"/>
    <w:rsid w:val="00C457BD"/>
    <w:rsid w:val="00C4640A"/>
    <w:rsid w:val="00C4697E"/>
    <w:rsid w:val="00C470F1"/>
    <w:rsid w:val="00C473C4"/>
    <w:rsid w:val="00C47540"/>
    <w:rsid w:val="00C47854"/>
    <w:rsid w:val="00C47A67"/>
    <w:rsid w:val="00C47F75"/>
    <w:rsid w:val="00C50087"/>
    <w:rsid w:val="00C50368"/>
    <w:rsid w:val="00C5090A"/>
    <w:rsid w:val="00C50962"/>
    <w:rsid w:val="00C50BE0"/>
    <w:rsid w:val="00C50D9E"/>
    <w:rsid w:val="00C50E72"/>
    <w:rsid w:val="00C514D2"/>
    <w:rsid w:val="00C52677"/>
    <w:rsid w:val="00C538C9"/>
    <w:rsid w:val="00C53976"/>
    <w:rsid w:val="00C5487A"/>
    <w:rsid w:val="00C54A4F"/>
    <w:rsid w:val="00C54D91"/>
    <w:rsid w:val="00C54E27"/>
    <w:rsid w:val="00C5512E"/>
    <w:rsid w:val="00C551C7"/>
    <w:rsid w:val="00C55246"/>
    <w:rsid w:val="00C5542A"/>
    <w:rsid w:val="00C55498"/>
    <w:rsid w:val="00C55A99"/>
    <w:rsid w:val="00C56801"/>
    <w:rsid w:val="00C56BA8"/>
    <w:rsid w:val="00C5788D"/>
    <w:rsid w:val="00C578F0"/>
    <w:rsid w:val="00C57F7D"/>
    <w:rsid w:val="00C6008D"/>
    <w:rsid w:val="00C60B7B"/>
    <w:rsid w:val="00C60BB8"/>
    <w:rsid w:val="00C61139"/>
    <w:rsid w:val="00C6118F"/>
    <w:rsid w:val="00C61367"/>
    <w:rsid w:val="00C615FD"/>
    <w:rsid w:val="00C61EE3"/>
    <w:rsid w:val="00C621B0"/>
    <w:rsid w:val="00C624CE"/>
    <w:rsid w:val="00C626AC"/>
    <w:rsid w:val="00C6319A"/>
    <w:rsid w:val="00C63333"/>
    <w:rsid w:val="00C63AB7"/>
    <w:rsid w:val="00C63BB9"/>
    <w:rsid w:val="00C63F2B"/>
    <w:rsid w:val="00C648B8"/>
    <w:rsid w:val="00C64B42"/>
    <w:rsid w:val="00C65811"/>
    <w:rsid w:val="00C65A50"/>
    <w:rsid w:val="00C65CDC"/>
    <w:rsid w:val="00C65D7D"/>
    <w:rsid w:val="00C66246"/>
    <w:rsid w:val="00C664C5"/>
    <w:rsid w:val="00C66649"/>
    <w:rsid w:val="00C668C5"/>
    <w:rsid w:val="00C673D4"/>
    <w:rsid w:val="00C67824"/>
    <w:rsid w:val="00C70E53"/>
    <w:rsid w:val="00C71A1D"/>
    <w:rsid w:val="00C72578"/>
    <w:rsid w:val="00C725D9"/>
    <w:rsid w:val="00C72A59"/>
    <w:rsid w:val="00C73267"/>
    <w:rsid w:val="00C7333C"/>
    <w:rsid w:val="00C73635"/>
    <w:rsid w:val="00C73738"/>
    <w:rsid w:val="00C73926"/>
    <w:rsid w:val="00C73A94"/>
    <w:rsid w:val="00C73B84"/>
    <w:rsid w:val="00C74571"/>
    <w:rsid w:val="00C746DB"/>
    <w:rsid w:val="00C756BB"/>
    <w:rsid w:val="00C7590F"/>
    <w:rsid w:val="00C76426"/>
    <w:rsid w:val="00C76AC0"/>
    <w:rsid w:val="00C76E2F"/>
    <w:rsid w:val="00C76F1C"/>
    <w:rsid w:val="00C7744A"/>
    <w:rsid w:val="00C8041C"/>
    <w:rsid w:val="00C80CA5"/>
    <w:rsid w:val="00C80CBD"/>
    <w:rsid w:val="00C80F2C"/>
    <w:rsid w:val="00C8106C"/>
    <w:rsid w:val="00C81401"/>
    <w:rsid w:val="00C81744"/>
    <w:rsid w:val="00C81A3E"/>
    <w:rsid w:val="00C83C45"/>
    <w:rsid w:val="00C848C2"/>
    <w:rsid w:val="00C84D1B"/>
    <w:rsid w:val="00C84FC8"/>
    <w:rsid w:val="00C85277"/>
    <w:rsid w:val="00C8575F"/>
    <w:rsid w:val="00C85983"/>
    <w:rsid w:val="00C86198"/>
    <w:rsid w:val="00C870D7"/>
    <w:rsid w:val="00C87153"/>
    <w:rsid w:val="00C87BD1"/>
    <w:rsid w:val="00C87C69"/>
    <w:rsid w:val="00C906EA"/>
    <w:rsid w:val="00C909BA"/>
    <w:rsid w:val="00C90C9A"/>
    <w:rsid w:val="00C917A4"/>
    <w:rsid w:val="00C92257"/>
    <w:rsid w:val="00C9238A"/>
    <w:rsid w:val="00C93143"/>
    <w:rsid w:val="00C93315"/>
    <w:rsid w:val="00C93AAF"/>
    <w:rsid w:val="00C94AEF"/>
    <w:rsid w:val="00C95559"/>
    <w:rsid w:val="00C9584A"/>
    <w:rsid w:val="00C95CBB"/>
    <w:rsid w:val="00C95CFA"/>
    <w:rsid w:val="00C95E46"/>
    <w:rsid w:val="00C96C56"/>
    <w:rsid w:val="00C96C87"/>
    <w:rsid w:val="00C97865"/>
    <w:rsid w:val="00C9798A"/>
    <w:rsid w:val="00C97F3C"/>
    <w:rsid w:val="00CA02C1"/>
    <w:rsid w:val="00CA0427"/>
    <w:rsid w:val="00CA125C"/>
    <w:rsid w:val="00CA1396"/>
    <w:rsid w:val="00CA14A3"/>
    <w:rsid w:val="00CA1A1A"/>
    <w:rsid w:val="00CA1AAD"/>
    <w:rsid w:val="00CA1B3D"/>
    <w:rsid w:val="00CA1BB0"/>
    <w:rsid w:val="00CA1DA8"/>
    <w:rsid w:val="00CA21C8"/>
    <w:rsid w:val="00CA22C9"/>
    <w:rsid w:val="00CA230A"/>
    <w:rsid w:val="00CA2634"/>
    <w:rsid w:val="00CA4AAE"/>
    <w:rsid w:val="00CA5027"/>
    <w:rsid w:val="00CA52AA"/>
    <w:rsid w:val="00CA53AF"/>
    <w:rsid w:val="00CA5B69"/>
    <w:rsid w:val="00CA5B8C"/>
    <w:rsid w:val="00CA5E45"/>
    <w:rsid w:val="00CA6680"/>
    <w:rsid w:val="00CA6F0A"/>
    <w:rsid w:val="00CA718E"/>
    <w:rsid w:val="00CA7D40"/>
    <w:rsid w:val="00CA7DC9"/>
    <w:rsid w:val="00CA7EF6"/>
    <w:rsid w:val="00CB051C"/>
    <w:rsid w:val="00CB082A"/>
    <w:rsid w:val="00CB09CA"/>
    <w:rsid w:val="00CB0D83"/>
    <w:rsid w:val="00CB1106"/>
    <w:rsid w:val="00CB13A7"/>
    <w:rsid w:val="00CB1459"/>
    <w:rsid w:val="00CB1836"/>
    <w:rsid w:val="00CB1DE4"/>
    <w:rsid w:val="00CB2078"/>
    <w:rsid w:val="00CB2393"/>
    <w:rsid w:val="00CB245B"/>
    <w:rsid w:val="00CB28A4"/>
    <w:rsid w:val="00CB30BA"/>
    <w:rsid w:val="00CB3F91"/>
    <w:rsid w:val="00CB412E"/>
    <w:rsid w:val="00CB4136"/>
    <w:rsid w:val="00CB4341"/>
    <w:rsid w:val="00CB541E"/>
    <w:rsid w:val="00CB573C"/>
    <w:rsid w:val="00CB6753"/>
    <w:rsid w:val="00CB678F"/>
    <w:rsid w:val="00CB69A9"/>
    <w:rsid w:val="00CB6CFE"/>
    <w:rsid w:val="00CB6F76"/>
    <w:rsid w:val="00CC034E"/>
    <w:rsid w:val="00CC0352"/>
    <w:rsid w:val="00CC0C98"/>
    <w:rsid w:val="00CC0F05"/>
    <w:rsid w:val="00CC19C4"/>
    <w:rsid w:val="00CC26C5"/>
    <w:rsid w:val="00CC2C59"/>
    <w:rsid w:val="00CC32EC"/>
    <w:rsid w:val="00CC3303"/>
    <w:rsid w:val="00CC468E"/>
    <w:rsid w:val="00CC595E"/>
    <w:rsid w:val="00CC5CB9"/>
    <w:rsid w:val="00CC5EED"/>
    <w:rsid w:val="00CC6464"/>
    <w:rsid w:val="00CC743E"/>
    <w:rsid w:val="00CC7482"/>
    <w:rsid w:val="00CC74A7"/>
    <w:rsid w:val="00CD00F1"/>
    <w:rsid w:val="00CD02B2"/>
    <w:rsid w:val="00CD06F6"/>
    <w:rsid w:val="00CD0770"/>
    <w:rsid w:val="00CD0DB3"/>
    <w:rsid w:val="00CD0DDC"/>
    <w:rsid w:val="00CD1115"/>
    <w:rsid w:val="00CD35AA"/>
    <w:rsid w:val="00CD4134"/>
    <w:rsid w:val="00CD4247"/>
    <w:rsid w:val="00CD4248"/>
    <w:rsid w:val="00CD495B"/>
    <w:rsid w:val="00CD5263"/>
    <w:rsid w:val="00CD571C"/>
    <w:rsid w:val="00CD5E65"/>
    <w:rsid w:val="00CD6D43"/>
    <w:rsid w:val="00CD6D6F"/>
    <w:rsid w:val="00CD7BA6"/>
    <w:rsid w:val="00CE0192"/>
    <w:rsid w:val="00CE0A74"/>
    <w:rsid w:val="00CE0BB5"/>
    <w:rsid w:val="00CE1368"/>
    <w:rsid w:val="00CE19C7"/>
    <w:rsid w:val="00CE26E1"/>
    <w:rsid w:val="00CE2825"/>
    <w:rsid w:val="00CE2B99"/>
    <w:rsid w:val="00CE2CAB"/>
    <w:rsid w:val="00CE30CB"/>
    <w:rsid w:val="00CE318B"/>
    <w:rsid w:val="00CE36D0"/>
    <w:rsid w:val="00CE4BEE"/>
    <w:rsid w:val="00CE4C59"/>
    <w:rsid w:val="00CE6526"/>
    <w:rsid w:val="00CF027E"/>
    <w:rsid w:val="00CF06B6"/>
    <w:rsid w:val="00CF09F8"/>
    <w:rsid w:val="00CF0D8E"/>
    <w:rsid w:val="00CF1135"/>
    <w:rsid w:val="00CF1901"/>
    <w:rsid w:val="00CF2276"/>
    <w:rsid w:val="00CF2F02"/>
    <w:rsid w:val="00CF2F43"/>
    <w:rsid w:val="00CF30F4"/>
    <w:rsid w:val="00CF325D"/>
    <w:rsid w:val="00CF39A3"/>
    <w:rsid w:val="00CF3E0A"/>
    <w:rsid w:val="00CF4657"/>
    <w:rsid w:val="00CF46D8"/>
    <w:rsid w:val="00CF4E3D"/>
    <w:rsid w:val="00CF5254"/>
    <w:rsid w:val="00CF5BBE"/>
    <w:rsid w:val="00CF5DEB"/>
    <w:rsid w:val="00CF6BA6"/>
    <w:rsid w:val="00CF716B"/>
    <w:rsid w:val="00CF74DE"/>
    <w:rsid w:val="00D01341"/>
    <w:rsid w:val="00D0174E"/>
    <w:rsid w:val="00D0276E"/>
    <w:rsid w:val="00D028E5"/>
    <w:rsid w:val="00D036D1"/>
    <w:rsid w:val="00D038E0"/>
    <w:rsid w:val="00D040C0"/>
    <w:rsid w:val="00D04C74"/>
    <w:rsid w:val="00D063B7"/>
    <w:rsid w:val="00D10B1F"/>
    <w:rsid w:val="00D10FF8"/>
    <w:rsid w:val="00D11971"/>
    <w:rsid w:val="00D11B67"/>
    <w:rsid w:val="00D11C80"/>
    <w:rsid w:val="00D11EFA"/>
    <w:rsid w:val="00D137B2"/>
    <w:rsid w:val="00D13BB2"/>
    <w:rsid w:val="00D14B43"/>
    <w:rsid w:val="00D15CE2"/>
    <w:rsid w:val="00D16146"/>
    <w:rsid w:val="00D165A6"/>
    <w:rsid w:val="00D16811"/>
    <w:rsid w:val="00D175FA"/>
    <w:rsid w:val="00D17765"/>
    <w:rsid w:val="00D2030C"/>
    <w:rsid w:val="00D20317"/>
    <w:rsid w:val="00D2053C"/>
    <w:rsid w:val="00D214F2"/>
    <w:rsid w:val="00D21631"/>
    <w:rsid w:val="00D21A3F"/>
    <w:rsid w:val="00D21B9B"/>
    <w:rsid w:val="00D21DDA"/>
    <w:rsid w:val="00D2215B"/>
    <w:rsid w:val="00D22DB5"/>
    <w:rsid w:val="00D22FF4"/>
    <w:rsid w:val="00D248AA"/>
    <w:rsid w:val="00D24CA4"/>
    <w:rsid w:val="00D25105"/>
    <w:rsid w:val="00D2510D"/>
    <w:rsid w:val="00D25603"/>
    <w:rsid w:val="00D25FA8"/>
    <w:rsid w:val="00D263C1"/>
    <w:rsid w:val="00D26954"/>
    <w:rsid w:val="00D269B0"/>
    <w:rsid w:val="00D26F93"/>
    <w:rsid w:val="00D271DD"/>
    <w:rsid w:val="00D276B5"/>
    <w:rsid w:val="00D277B1"/>
    <w:rsid w:val="00D27B45"/>
    <w:rsid w:val="00D308A1"/>
    <w:rsid w:val="00D3189E"/>
    <w:rsid w:val="00D318A7"/>
    <w:rsid w:val="00D31BB0"/>
    <w:rsid w:val="00D31C45"/>
    <w:rsid w:val="00D323EE"/>
    <w:rsid w:val="00D3344A"/>
    <w:rsid w:val="00D34EEA"/>
    <w:rsid w:val="00D35F24"/>
    <w:rsid w:val="00D36181"/>
    <w:rsid w:val="00D36478"/>
    <w:rsid w:val="00D4074B"/>
    <w:rsid w:val="00D4077C"/>
    <w:rsid w:val="00D4137A"/>
    <w:rsid w:val="00D41CE3"/>
    <w:rsid w:val="00D41EE9"/>
    <w:rsid w:val="00D423F0"/>
    <w:rsid w:val="00D4242D"/>
    <w:rsid w:val="00D4274D"/>
    <w:rsid w:val="00D431DA"/>
    <w:rsid w:val="00D431F2"/>
    <w:rsid w:val="00D43514"/>
    <w:rsid w:val="00D44BC3"/>
    <w:rsid w:val="00D44D66"/>
    <w:rsid w:val="00D45040"/>
    <w:rsid w:val="00D4505D"/>
    <w:rsid w:val="00D452E4"/>
    <w:rsid w:val="00D4544D"/>
    <w:rsid w:val="00D45879"/>
    <w:rsid w:val="00D45CCA"/>
    <w:rsid w:val="00D46644"/>
    <w:rsid w:val="00D469CF"/>
    <w:rsid w:val="00D4711D"/>
    <w:rsid w:val="00D472BC"/>
    <w:rsid w:val="00D4739B"/>
    <w:rsid w:val="00D476D0"/>
    <w:rsid w:val="00D47958"/>
    <w:rsid w:val="00D504A4"/>
    <w:rsid w:val="00D50EC4"/>
    <w:rsid w:val="00D51138"/>
    <w:rsid w:val="00D51214"/>
    <w:rsid w:val="00D51CA7"/>
    <w:rsid w:val="00D525EA"/>
    <w:rsid w:val="00D53391"/>
    <w:rsid w:val="00D550E5"/>
    <w:rsid w:val="00D555F8"/>
    <w:rsid w:val="00D559FF"/>
    <w:rsid w:val="00D5689A"/>
    <w:rsid w:val="00D56B4F"/>
    <w:rsid w:val="00D57561"/>
    <w:rsid w:val="00D60364"/>
    <w:rsid w:val="00D60CCE"/>
    <w:rsid w:val="00D614AA"/>
    <w:rsid w:val="00D6183B"/>
    <w:rsid w:val="00D61C09"/>
    <w:rsid w:val="00D61C0F"/>
    <w:rsid w:val="00D61DC7"/>
    <w:rsid w:val="00D620BB"/>
    <w:rsid w:val="00D625D5"/>
    <w:rsid w:val="00D625D8"/>
    <w:rsid w:val="00D62F19"/>
    <w:rsid w:val="00D63BAE"/>
    <w:rsid w:val="00D64B48"/>
    <w:rsid w:val="00D6500B"/>
    <w:rsid w:val="00D65263"/>
    <w:rsid w:val="00D656A1"/>
    <w:rsid w:val="00D65E32"/>
    <w:rsid w:val="00D65F92"/>
    <w:rsid w:val="00D660A8"/>
    <w:rsid w:val="00D6637C"/>
    <w:rsid w:val="00D668C1"/>
    <w:rsid w:val="00D67492"/>
    <w:rsid w:val="00D677E0"/>
    <w:rsid w:val="00D67AA1"/>
    <w:rsid w:val="00D70ABA"/>
    <w:rsid w:val="00D70C0D"/>
    <w:rsid w:val="00D70E02"/>
    <w:rsid w:val="00D710A0"/>
    <w:rsid w:val="00D7122B"/>
    <w:rsid w:val="00D715FE"/>
    <w:rsid w:val="00D71F0B"/>
    <w:rsid w:val="00D724D7"/>
    <w:rsid w:val="00D72C16"/>
    <w:rsid w:val="00D72DC7"/>
    <w:rsid w:val="00D72E7D"/>
    <w:rsid w:val="00D73843"/>
    <w:rsid w:val="00D73C54"/>
    <w:rsid w:val="00D73E76"/>
    <w:rsid w:val="00D741AB"/>
    <w:rsid w:val="00D74A1F"/>
    <w:rsid w:val="00D7568E"/>
    <w:rsid w:val="00D76951"/>
    <w:rsid w:val="00D76BB1"/>
    <w:rsid w:val="00D76BB6"/>
    <w:rsid w:val="00D77BF0"/>
    <w:rsid w:val="00D804AA"/>
    <w:rsid w:val="00D8091C"/>
    <w:rsid w:val="00D80F0A"/>
    <w:rsid w:val="00D81216"/>
    <w:rsid w:val="00D81ABA"/>
    <w:rsid w:val="00D82044"/>
    <w:rsid w:val="00D82716"/>
    <w:rsid w:val="00D82DA4"/>
    <w:rsid w:val="00D836FB"/>
    <w:rsid w:val="00D83812"/>
    <w:rsid w:val="00D8388C"/>
    <w:rsid w:val="00D8392A"/>
    <w:rsid w:val="00D83CCD"/>
    <w:rsid w:val="00D84596"/>
    <w:rsid w:val="00D8487E"/>
    <w:rsid w:val="00D8497A"/>
    <w:rsid w:val="00D84C9A"/>
    <w:rsid w:val="00D84D0E"/>
    <w:rsid w:val="00D85077"/>
    <w:rsid w:val="00D860D2"/>
    <w:rsid w:val="00D863C6"/>
    <w:rsid w:val="00D863F9"/>
    <w:rsid w:val="00D8644E"/>
    <w:rsid w:val="00D86488"/>
    <w:rsid w:val="00D8698F"/>
    <w:rsid w:val="00D86F66"/>
    <w:rsid w:val="00D874AB"/>
    <w:rsid w:val="00D90459"/>
    <w:rsid w:val="00D90594"/>
    <w:rsid w:val="00D90607"/>
    <w:rsid w:val="00D907B0"/>
    <w:rsid w:val="00D91288"/>
    <w:rsid w:val="00D92DD0"/>
    <w:rsid w:val="00D92DF0"/>
    <w:rsid w:val="00D934E4"/>
    <w:rsid w:val="00D9364A"/>
    <w:rsid w:val="00D93B88"/>
    <w:rsid w:val="00D94F57"/>
    <w:rsid w:val="00D9504A"/>
    <w:rsid w:val="00D961EC"/>
    <w:rsid w:val="00D97500"/>
    <w:rsid w:val="00D97A76"/>
    <w:rsid w:val="00DA0223"/>
    <w:rsid w:val="00DA1604"/>
    <w:rsid w:val="00DA225D"/>
    <w:rsid w:val="00DA2701"/>
    <w:rsid w:val="00DA2860"/>
    <w:rsid w:val="00DA2B57"/>
    <w:rsid w:val="00DA30C6"/>
    <w:rsid w:val="00DA3B66"/>
    <w:rsid w:val="00DA3C5E"/>
    <w:rsid w:val="00DA46F7"/>
    <w:rsid w:val="00DA47EB"/>
    <w:rsid w:val="00DA47F8"/>
    <w:rsid w:val="00DA4CD9"/>
    <w:rsid w:val="00DA4E15"/>
    <w:rsid w:val="00DA6CBF"/>
    <w:rsid w:val="00DA6DE2"/>
    <w:rsid w:val="00DA6E7A"/>
    <w:rsid w:val="00DB02D0"/>
    <w:rsid w:val="00DB0405"/>
    <w:rsid w:val="00DB08D0"/>
    <w:rsid w:val="00DB0A42"/>
    <w:rsid w:val="00DB0EFC"/>
    <w:rsid w:val="00DB0FA4"/>
    <w:rsid w:val="00DB1329"/>
    <w:rsid w:val="00DB13C5"/>
    <w:rsid w:val="00DB146E"/>
    <w:rsid w:val="00DB1D79"/>
    <w:rsid w:val="00DB27A4"/>
    <w:rsid w:val="00DB2976"/>
    <w:rsid w:val="00DB2DED"/>
    <w:rsid w:val="00DB2EF0"/>
    <w:rsid w:val="00DB2F5D"/>
    <w:rsid w:val="00DB302A"/>
    <w:rsid w:val="00DB308A"/>
    <w:rsid w:val="00DB316F"/>
    <w:rsid w:val="00DB32DA"/>
    <w:rsid w:val="00DB32F8"/>
    <w:rsid w:val="00DB3CC1"/>
    <w:rsid w:val="00DB3F46"/>
    <w:rsid w:val="00DB4628"/>
    <w:rsid w:val="00DB4D52"/>
    <w:rsid w:val="00DB5036"/>
    <w:rsid w:val="00DB5910"/>
    <w:rsid w:val="00DB5C9A"/>
    <w:rsid w:val="00DB5EC4"/>
    <w:rsid w:val="00DB795C"/>
    <w:rsid w:val="00DC0408"/>
    <w:rsid w:val="00DC15D4"/>
    <w:rsid w:val="00DC224E"/>
    <w:rsid w:val="00DC2488"/>
    <w:rsid w:val="00DC24F5"/>
    <w:rsid w:val="00DC2E72"/>
    <w:rsid w:val="00DC2EC4"/>
    <w:rsid w:val="00DC4444"/>
    <w:rsid w:val="00DC4623"/>
    <w:rsid w:val="00DC5063"/>
    <w:rsid w:val="00DC5A50"/>
    <w:rsid w:val="00DC5A51"/>
    <w:rsid w:val="00DC722E"/>
    <w:rsid w:val="00DC7858"/>
    <w:rsid w:val="00DC79EA"/>
    <w:rsid w:val="00DD0D62"/>
    <w:rsid w:val="00DD168C"/>
    <w:rsid w:val="00DD176E"/>
    <w:rsid w:val="00DD38E6"/>
    <w:rsid w:val="00DD3B8B"/>
    <w:rsid w:val="00DD4163"/>
    <w:rsid w:val="00DD44EA"/>
    <w:rsid w:val="00DD4CBC"/>
    <w:rsid w:val="00DD61DD"/>
    <w:rsid w:val="00DD6EA7"/>
    <w:rsid w:val="00DD76BB"/>
    <w:rsid w:val="00DD774B"/>
    <w:rsid w:val="00DD7EC8"/>
    <w:rsid w:val="00DE04C1"/>
    <w:rsid w:val="00DE0B4C"/>
    <w:rsid w:val="00DE1246"/>
    <w:rsid w:val="00DE1340"/>
    <w:rsid w:val="00DE21EF"/>
    <w:rsid w:val="00DE25E0"/>
    <w:rsid w:val="00DE27D9"/>
    <w:rsid w:val="00DE2B6B"/>
    <w:rsid w:val="00DE32CB"/>
    <w:rsid w:val="00DE36EE"/>
    <w:rsid w:val="00DE3777"/>
    <w:rsid w:val="00DE3EFE"/>
    <w:rsid w:val="00DE45B3"/>
    <w:rsid w:val="00DE4658"/>
    <w:rsid w:val="00DE47C5"/>
    <w:rsid w:val="00DE4B41"/>
    <w:rsid w:val="00DE4E46"/>
    <w:rsid w:val="00DE511C"/>
    <w:rsid w:val="00DE5594"/>
    <w:rsid w:val="00DE5656"/>
    <w:rsid w:val="00DE61B8"/>
    <w:rsid w:val="00DE6EDA"/>
    <w:rsid w:val="00DF0A89"/>
    <w:rsid w:val="00DF0BBD"/>
    <w:rsid w:val="00DF0CAD"/>
    <w:rsid w:val="00DF13EF"/>
    <w:rsid w:val="00DF1F6C"/>
    <w:rsid w:val="00DF2247"/>
    <w:rsid w:val="00DF26AA"/>
    <w:rsid w:val="00DF34A6"/>
    <w:rsid w:val="00DF3579"/>
    <w:rsid w:val="00DF3733"/>
    <w:rsid w:val="00DF38C0"/>
    <w:rsid w:val="00DF3B48"/>
    <w:rsid w:val="00DF3FF3"/>
    <w:rsid w:val="00DF4422"/>
    <w:rsid w:val="00DF5803"/>
    <w:rsid w:val="00DF65B8"/>
    <w:rsid w:val="00DF7042"/>
    <w:rsid w:val="00DF740A"/>
    <w:rsid w:val="00DF74B4"/>
    <w:rsid w:val="00DF76B4"/>
    <w:rsid w:val="00DF77AF"/>
    <w:rsid w:val="00E001E0"/>
    <w:rsid w:val="00E00217"/>
    <w:rsid w:val="00E002DF"/>
    <w:rsid w:val="00E003EA"/>
    <w:rsid w:val="00E00E97"/>
    <w:rsid w:val="00E018B4"/>
    <w:rsid w:val="00E01942"/>
    <w:rsid w:val="00E01F23"/>
    <w:rsid w:val="00E028C9"/>
    <w:rsid w:val="00E033A8"/>
    <w:rsid w:val="00E03555"/>
    <w:rsid w:val="00E03595"/>
    <w:rsid w:val="00E0362A"/>
    <w:rsid w:val="00E03DD6"/>
    <w:rsid w:val="00E04540"/>
    <w:rsid w:val="00E04B4D"/>
    <w:rsid w:val="00E04CBB"/>
    <w:rsid w:val="00E0586A"/>
    <w:rsid w:val="00E05964"/>
    <w:rsid w:val="00E05A44"/>
    <w:rsid w:val="00E070D0"/>
    <w:rsid w:val="00E10525"/>
    <w:rsid w:val="00E1062B"/>
    <w:rsid w:val="00E10692"/>
    <w:rsid w:val="00E11B06"/>
    <w:rsid w:val="00E12401"/>
    <w:rsid w:val="00E12429"/>
    <w:rsid w:val="00E1361F"/>
    <w:rsid w:val="00E1372F"/>
    <w:rsid w:val="00E13BD4"/>
    <w:rsid w:val="00E13C30"/>
    <w:rsid w:val="00E13D2D"/>
    <w:rsid w:val="00E1460D"/>
    <w:rsid w:val="00E151DC"/>
    <w:rsid w:val="00E15393"/>
    <w:rsid w:val="00E15576"/>
    <w:rsid w:val="00E15FE8"/>
    <w:rsid w:val="00E15FF3"/>
    <w:rsid w:val="00E1612A"/>
    <w:rsid w:val="00E16D87"/>
    <w:rsid w:val="00E16E2B"/>
    <w:rsid w:val="00E170F0"/>
    <w:rsid w:val="00E17457"/>
    <w:rsid w:val="00E17499"/>
    <w:rsid w:val="00E17714"/>
    <w:rsid w:val="00E17991"/>
    <w:rsid w:val="00E17B56"/>
    <w:rsid w:val="00E20042"/>
    <w:rsid w:val="00E20237"/>
    <w:rsid w:val="00E21632"/>
    <w:rsid w:val="00E2163A"/>
    <w:rsid w:val="00E21C26"/>
    <w:rsid w:val="00E22CF4"/>
    <w:rsid w:val="00E23153"/>
    <w:rsid w:val="00E2347E"/>
    <w:rsid w:val="00E2379D"/>
    <w:rsid w:val="00E239E8"/>
    <w:rsid w:val="00E24356"/>
    <w:rsid w:val="00E24779"/>
    <w:rsid w:val="00E24A15"/>
    <w:rsid w:val="00E2528C"/>
    <w:rsid w:val="00E258DA"/>
    <w:rsid w:val="00E27935"/>
    <w:rsid w:val="00E27B60"/>
    <w:rsid w:val="00E27C07"/>
    <w:rsid w:val="00E27C78"/>
    <w:rsid w:val="00E3177C"/>
    <w:rsid w:val="00E31CD6"/>
    <w:rsid w:val="00E3249B"/>
    <w:rsid w:val="00E3278A"/>
    <w:rsid w:val="00E32993"/>
    <w:rsid w:val="00E33E5E"/>
    <w:rsid w:val="00E347B0"/>
    <w:rsid w:val="00E351A5"/>
    <w:rsid w:val="00E351AA"/>
    <w:rsid w:val="00E355A9"/>
    <w:rsid w:val="00E36492"/>
    <w:rsid w:val="00E3677A"/>
    <w:rsid w:val="00E37B70"/>
    <w:rsid w:val="00E37DAC"/>
    <w:rsid w:val="00E40870"/>
    <w:rsid w:val="00E408BB"/>
    <w:rsid w:val="00E41564"/>
    <w:rsid w:val="00E417AB"/>
    <w:rsid w:val="00E41E95"/>
    <w:rsid w:val="00E41F78"/>
    <w:rsid w:val="00E423D7"/>
    <w:rsid w:val="00E43182"/>
    <w:rsid w:val="00E434AD"/>
    <w:rsid w:val="00E45256"/>
    <w:rsid w:val="00E45909"/>
    <w:rsid w:val="00E45B00"/>
    <w:rsid w:val="00E4679B"/>
    <w:rsid w:val="00E46A1A"/>
    <w:rsid w:val="00E46AA6"/>
    <w:rsid w:val="00E474AC"/>
    <w:rsid w:val="00E4781C"/>
    <w:rsid w:val="00E4784D"/>
    <w:rsid w:val="00E5010D"/>
    <w:rsid w:val="00E5058F"/>
    <w:rsid w:val="00E51141"/>
    <w:rsid w:val="00E51451"/>
    <w:rsid w:val="00E516CB"/>
    <w:rsid w:val="00E51822"/>
    <w:rsid w:val="00E52279"/>
    <w:rsid w:val="00E52AA7"/>
    <w:rsid w:val="00E52BCC"/>
    <w:rsid w:val="00E53082"/>
    <w:rsid w:val="00E531F5"/>
    <w:rsid w:val="00E541AF"/>
    <w:rsid w:val="00E55FD7"/>
    <w:rsid w:val="00E565FD"/>
    <w:rsid w:val="00E5766D"/>
    <w:rsid w:val="00E57A71"/>
    <w:rsid w:val="00E60A34"/>
    <w:rsid w:val="00E6106B"/>
    <w:rsid w:val="00E61AD5"/>
    <w:rsid w:val="00E61B75"/>
    <w:rsid w:val="00E61F80"/>
    <w:rsid w:val="00E6221B"/>
    <w:rsid w:val="00E62C78"/>
    <w:rsid w:val="00E63038"/>
    <w:rsid w:val="00E633EC"/>
    <w:rsid w:val="00E634AB"/>
    <w:rsid w:val="00E634CD"/>
    <w:rsid w:val="00E635FD"/>
    <w:rsid w:val="00E64C89"/>
    <w:rsid w:val="00E65AE8"/>
    <w:rsid w:val="00E65C4A"/>
    <w:rsid w:val="00E66342"/>
    <w:rsid w:val="00E663E1"/>
    <w:rsid w:val="00E6692C"/>
    <w:rsid w:val="00E676BC"/>
    <w:rsid w:val="00E704D4"/>
    <w:rsid w:val="00E7061B"/>
    <w:rsid w:val="00E70828"/>
    <w:rsid w:val="00E709C3"/>
    <w:rsid w:val="00E70A91"/>
    <w:rsid w:val="00E70B4F"/>
    <w:rsid w:val="00E70EF0"/>
    <w:rsid w:val="00E7122B"/>
    <w:rsid w:val="00E716BF"/>
    <w:rsid w:val="00E71B4A"/>
    <w:rsid w:val="00E71B92"/>
    <w:rsid w:val="00E71CE0"/>
    <w:rsid w:val="00E71E74"/>
    <w:rsid w:val="00E726F7"/>
    <w:rsid w:val="00E72CF4"/>
    <w:rsid w:val="00E730FE"/>
    <w:rsid w:val="00E731D5"/>
    <w:rsid w:val="00E73D60"/>
    <w:rsid w:val="00E74973"/>
    <w:rsid w:val="00E75155"/>
    <w:rsid w:val="00E752AE"/>
    <w:rsid w:val="00E7532F"/>
    <w:rsid w:val="00E753E0"/>
    <w:rsid w:val="00E756A6"/>
    <w:rsid w:val="00E75869"/>
    <w:rsid w:val="00E75B95"/>
    <w:rsid w:val="00E75F1A"/>
    <w:rsid w:val="00E76017"/>
    <w:rsid w:val="00E76580"/>
    <w:rsid w:val="00E7670B"/>
    <w:rsid w:val="00E76B17"/>
    <w:rsid w:val="00E76EB2"/>
    <w:rsid w:val="00E773D3"/>
    <w:rsid w:val="00E77EFB"/>
    <w:rsid w:val="00E80180"/>
    <w:rsid w:val="00E80697"/>
    <w:rsid w:val="00E807E3"/>
    <w:rsid w:val="00E8088F"/>
    <w:rsid w:val="00E80D7A"/>
    <w:rsid w:val="00E812AB"/>
    <w:rsid w:val="00E8159A"/>
    <w:rsid w:val="00E81DCA"/>
    <w:rsid w:val="00E81E46"/>
    <w:rsid w:val="00E82BF5"/>
    <w:rsid w:val="00E82D97"/>
    <w:rsid w:val="00E83818"/>
    <w:rsid w:val="00E8398C"/>
    <w:rsid w:val="00E83EC1"/>
    <w:rsid w:val="00E83F1B"/>
    <w:rsid w:val="00E84791"/>
    <w:rsid w:val="00E84AA2"/>
    <w:rsid w:val="00E8535C"/>
    <w:rsid w:val="00E85BDE"/>
    <w:rsid w:val="00E871E1"/>
    <w:rsid w:val="00E879C5"/>
    <w:rsid w:val="00E87B95"/>
    <w:rsid w:val="00E87C38"/>
    <w:rsid w:val="00E90ABC"/>
    <w:rsid w:val="00E91176"/>
    <w:rsid w:val="00E913DC"/>
    <w:rsid w:val="00E920B8"/>
    <w:rsid w:val="00E92304"/>
    <w:rsid w:val="00E924BF"/>
    <w:rsid w:val="00E9274F"/>
    <w:rsid w:val="00E928E7"/>
    <w:rsid w:val="00E92B87"/>
    <w:rsid w:val="00E92CA0"/>
    <w:rsid w:val="00E92DFC"/>
    <w:rsid w:val="00E92F7D"/>
    <w:rsid w:val="00E92FCB"/>
    <w:rsid w:val="00E92FF8"/>
    <w:rsid w:val="00E931C7"/>
    <w:rsid w:val="00E9430F"/>
    <w:rsid w:val="00E95054"/>
    <w:rsid w:val="00E95880"/>
    <w:rsid w:val="00E95884"/>
    <w:rsid w:val="00E96582"/>
    <w:rsid w:val="00E96A62"/>
    <w:rsid w:val="00E97034"/>
    <w:rsid w:val="00E97736"/>
    <w:rsid w:val="00E977AD"/>
    <w:rsid w:val="00E9796E"/>
    <w:rsid w:val="00E97D0E"/>
    <w:rsid w:val="00E97D0F"/>
    <w:rsid w:val="00EA01E7"/>
    <w:rsid w:val="00EA0527"/>
    <w:rsid w:val="00EA0D1C"/>
    <w:rsid w:val="00EA15A7"/>
    <w:rsid w:val="00EA1A29"/>
    <w:rsid w:val="00EA2960"/>
    <w:rsid w:val="00EA2C44"/>
    <w:rsid w:val="00EA3101"/>
    <w:rsid w:val="00EA3288"/>
    <w:rsid w:val="00EA4029"/>
    <w:rsid w:val="00EA41E7"/>
    <w:rsid w:val="00EA489D"/>
    <w:rsid w:val="00EA4E75"/>
    <w:rsid w:val="00EA5D98"/>
    <w:rsid w:val="00EA6734"/>
    <w:rsid w:val="00EA67F4"/>
    <w:rsid w:val="00EA7292"/>
    <w:rsid w:val="00EA73E6"/>
    <w:rsid w:val="00EA7E5F"/>
    <w:rsid w:val="00EB1D3F"/>
    <w:rsid w:val="00EB1D85"/>
    <w:rsid w:val="00EB24F8"/>
    <w:rsid w:val="00EB2D8B"/>
    <w:rsid w:val="00EB308E"/>
    <w:rsid w:val="00EB32EE"/>
    <w:rsid w:val="00EB33AE"/>
    <w:rsid w:val="00EB4CF9"/>
    <w:rsid w:val="00EB52FB"/>
    <w:rsid w:val="00EB692D"/>
    <w:rsid w:val="00EB73B1"/>
    <w:rsid w:val="00EB73C4"/>
    <w:rsid w:val="00EB7611"/>
    <w:rsid w:val="00EB7783"/>
    <w:rsid w:val="00EC04AC"/>
    <w:rsid w:val="00EC1261"/>
    <w:rsid w:val="00EC133B"/>
    <w:rsid w:val="00EC14D8"/>
    <w:rsid w:val="00EC1CA0"/>
    <w:rsid w:val="00EC2B78"/>
    <w:rsid w:val="00EC3178"/>
    <w:rsid w:val="00EC3AB7"/>
    <w:rsid w:val="00EC3DE6"/>
    <w:rsid w:val="00EC4620"/>
    <w:rsid w:val="00EC4693"/>
    <w:rsid w:val="00EC4772"/>
    <w:rsid w:val="00EC4877"/>
    <w:rsid w:val="00EC4B3A"/>
    <w:rsid w:val="00EC509F"/>
    <w:rsid w:val="00EC53F0"/>
    <w:rsid w:val="00EC564D"/>
    <w:rsid w:val="00EC5B3C"/>
    <w:rsid w:val="00EC64D8"/>
    <w:rsid w:val="00EC6C33"/>
    <w:rsid w:val="00ED02C5"/>
    <w:rsid w:val="00ED0391"/>
    <w:rsid w:val="00ED13E7"/>
    <w:rsid w:val="00ED1553"/>
    <w:rsid w:val="00ED1A29"/>
    <w:rsid w:val="00ED1DB1"/>
    <w:rsid w:val="00ED202D"/>
    <w:rsid w:val="00ED21C3"/>
    <w:rsid w:val="00ED23D3"/>
    <w:rsid w:val="00ED2519"/>
    <w:rsid w:val="00ED266E"/>
    <w:rsid w:val="00ED38F9"/>
    <w:rsid w:val="00ED390C"/>
    <w:rsid w:val="00ED3BA3"/>
    <w:rsid w:val="00ED3C43"/>
    <w:rsid w:val="00ED500E"/>
    <w:rsid w:val="00ED51FB"/>
    <w:rsid w:val="00ED6524"/>
    <w:rsid w:val="00ED672D"/>
    <w:rsid w:val="00ED7788"/>
    <w:rsid w:val="00EE0D9E"/>
    <w:rsid w:val="00EE1D48"/>
    <w:rsid w:val="00EE1D4F"/>
    <w:rsid w:val="00EE213C"/>
    <w:rsid w:val="00EE2158"/>
    <w:rsid w:val="00EE3A5D"/>
    <w:rsid w:val="00EE43A2"/>
    <w:rsid w:val="00EE4AE0"/>
    <w:rsid w:val="00EE4F05"/>
    <w:rsid w:val="00EE4FB8"/>
    <w:rsid w:val="00EE55B5"/>
    <w:rsid w:val="00EE5650"/>
    <w:rsid w:val="00EE57F0"/>
    <w:rsid w:val="00EE6307"/>
    <w:rsid w:val="00EE701F"/>
    <w:rsid w:val="00EE70CA"/>
    <w:rsid w:val="00EE7499"/>
    <w:rsid w:val="00EE760B"/>
    <w:rsid w:val="00EE7811"/>
    <w:rsid w:val="00EE7A4C"/>
    <w:rsid w:val="00EE7DF0"/>
    <w:rsid w:val="00EE7EC7"/>
    <w:rsid w:val="00EF020D"/>
    <w:rsid w:val="00EF0B08"/>
    <w:rsid w:val="00EF0B0F"/>
    <w:rsid w:val="00EF14FE"/>
    <w:rsid w:val="00EF1E51"/>
    <w:rsid w:val="00EF23F6"/>
    <w:rsid w:val="00EF2A79"/>
    <w:rsid w:val="00EF3A46"/>
    <w:rsid w:val="00EF3A77"/>
    <w:rsid w:val="00EF3A8E"/>
    <w:rsid w:val="00EF4662"/>
    <w:rsid w:val="00EF47AF"/>
    <w:rsid w:val="00EF58B3"/>
    <w:rsid w:val="00EF5BA3"/>
    <w:rsid w:val="00EF5E2D"/>
    <w:rsid w:val="00EF66A8"/>
    <w:rsid w:val="00EF72B3"/>
    <w:rsid w:val="00EF7796"/>
    <w:rsid w:val="00EF7B14"/>
    <w:rsid w:val="00F003FE"/>
    <w:rsid w:val="00F00D6A"/>
    <w:rsid w:val="00F01965"/>
    <w:rsid w:val="00F01C26"/>
    <w:rsid w:val="00F01F3F"/>
    <w:rsid w:val="00F02918"/>
    <w:rsid w:val="00F02EDD"/>
    <w:rsid w:val="00F03ED6"/>
    <w:rsid w:val="00F04FB0"/>
    <w:rsid w:val="00F050B0"/>
    <w:rsid w:val="00F0526A"/>
    <w:rsid w:val="00F05957"/>
    <w:rsid w:val="00F059E5"/>
    <w:rsid w:val="00F05A26"/>
    <w:rsid w:val="00F0672C"/>
    <w:rsid w:val="00F0694B"/>
    <w:rsid w:val="00F06F23"/>
    <w:rsid w:val="00F072C3"/>
    <w:rsid w:val="00F0774E"/>
    <w:rsid w:val="00F0789D"/>
    <w:rsid w:val="00F07AF2"/>
    <w:rsid w:val="00F07CA4"/>
    <w:rsid w:val="00F107EF"/>
    <w:rsid w:val="00F1097A"/>
    <w:rsid w:val="00F12868"/>
    <w:rsid w:val="00F130AA"/>
    <w:rsid w:val="00F137F9"/>
    <w:rsid w:val="00F13A56"/>
    <w:rsid w:val="00F13D73"/>
    <w:rsid w:val="00F13F7D"/>
    <w:rsid w:val="00F14777"/>
    <w:rsid w:val="00F14BB8"/>
    <w:rsid w:val="00F1687F"/>
    <w:rsid w:val="00F16924"/>
    <w:rsid w:val="00F17012"/>
    <w:rsid w:val="00F1740C"/>
    <w:rsid w:val="00F174F1"/>
    <w:rsid w:val="00F179D2"/>
    <w:rsid w:val="00F2033E"/>
    <w:rsid w:val="00F20F1D"/>
    <w:rsid w:val="00F2153E"/>
    <w:rsid w:val="00F21D1A"/>
    <w:rsid w:val="00F22006"/>
    <w:rsid w:val="00F22B87"/>
    <w:rsid w:val="00F2342C"/>
    <w:rsid w:val="00F2376B"/>
    <w:rsid w:val="00F237F5"/>
    <w:rsid w:val="00F25FA1"/>
    <w:rsid w:val="00F26BB6"/>
    <w:rsid w:val="00F27127"/>
    <w:rsid w:val="00F27799"/>
    <w:rsid w:val="00F27D9E"/>
    <w:rsid w:val="00F27F74"/>
    <w:rsid w:val="00F30016"/>
    <w:rsid w:val="00F313D1"/>
    <w:rsid w:val="00F31890"/>
    <w:rsid w:val="00F319FE"/>
    <w:rsid w:val="00F320F4"/>
    <w:rsid w:val="00F32652"/>
    <w:rsid w:val="00F32939"/>
    <w:rsid w:val="00F3314D"/>
    <w:rsid w:val="00F332C4"/>
    <w:rsid w:val="00F34254"/>
    <w:rsid w:val="00F34597"/>
    <w:rsid w:val="00F34C75"/>
    <w:rsid w:val="00F34F6E"/>
    <w:rsid w:val="00F35899"/>
    <w:rsid w:val="00F35DAB"/>
    <w:rsid w:val="00F362AB"/>
    <w:rsid w:val="00F36963"/>
    <w:rsid w:val="00F36AE4"/>
    <w:rsid w:val="00F36B0F"/>
    <w:rsid w:val="00F370F4"/>
    <w:rsid w:val="00F37861"/>
    <w:rsid w:val="00F402D9"/>
    <w:rsid w:val="00F41208"/>
    <w:rsid w:val="00F416E5"/>
    <w:rsid w:val="00F41874"/>
    <w:rsid w:val="00F42206"/>
    <w:rsid w:val="00F42FBD"/>
    <w:rsid w:val="00F4316F"/>
    <w:rsid w:val="00F432C8"/>
    <w:rsid w:val="00F43F81"/>
    <w:rsid w:val="00F447F1"/>
    <w:rsid w:val="00F4493A"/>
    <w:rsid w:val="00F44E2F"/>
    <w:rsid w:val="00F45308"/>
    <w:rsid w:val="00F45B3F"/>
    <w:rsid w:val="00F45ED4"/>
    <w:rsid w:val="00F46182"/>
    <w:rsid w:val="00F468F4"/>
    <w:rsid w:val="00F46CE9"/>
    <w:rsid w:val="00F4778C"/>
    <w:rsid w:val="00F518D2"/>
    <w:rsid w:val="00F51A71"/>
    <w:rsid w:val="00F51B6F"/>
    <w:rsid w:val="00F51C67"/>
    <w:rsid w:val="00F5318A"/>
    <w:rsid w:val="00F53BF5"/>
    <w:rsid w:val="00F54837"/>
    <w:rsid w:val="00F54B40"/>
    <w:rsid w:val="00F54B57"/>
    <w:rsid w:val="00F54B60"/>
    <w:rsid w:val="00F54B9E"/>
    <w:rsid w:val="00F56479"/>
    <w:rsid w:val="00F56CD2"/>
    <w:rsid w:val="00F57862"/>
    <w:rsid w:val="00F5798C"/>
    <w:rsid w:val="00F57B03"/>
    <w:rsid w:val="00F60EB1"/>
    <w:rsid w:val="00F6158D"/>
    <w:rsid w:val="00F61A61"/>
    <w:rsid w:val="00F628DD"/>
    <w:rsid w:val="00F62AEB"/>
    <w:rsid w:val="00F62D46"/>
    <w:rsid w:val="00F63DA9"/>
    <w:rsid w:val="00F640EF"/>
    <w:rsid w:val="00F64600"/>
    <w:rsid w:val="00F65AAC"/>
    <w:rsid w:val="00F65E1C"/>
    <w:rsid w:val="00F66438"/>
    <w:rsid w:val="00F665AF"/>
    <w:rsid w:val="00F66FB5"/>
    <w:rsid w:val="00F66FD4"/>
    <w:rsid w:val="00F670D5"/>
    <w:rsid w:val="00F674C9"/>
    <w:rsid w:val="00F67A9F"/>
    <w:rsid w:val="00F70244"/>
    <w:rsid w:val="00F70A3A"/>
    <w:rsid w:val="00F7115C"/>
    <w:rsid w:val="00F7197F"/>
    <w:rsid w:val="00F71E34"/>
    <w:rsid w:val="00F71EEA"/>
    <w:rsid w:val="00F7227E"/>
    <w:rsid w:val="00F72C2D"/>
    <w:rsid w:val="00F7329B"/>
    <w:rsid w:val="00F73427"/>
    <w:rsid w:val="00F74087"/>
    <w:rsid w:val="00F741FA"/>
    <w:rsid w:val="00F74322"/>
    <w:rsid w:val="00F744D1"/>
    <w:rsid w:val="00F74F22"/>
    <w:rsid w:val="00F75868"/>
    <w:rsid w:val="00F75C22"/>
    <w:rsid w:val="00F766FA"/>
    <w:rsid w:val="00F77247"/>
    <w:rsid w:val="00F7733E"/>
    <w:rsid w:val="00F77377"/>
    <w:rsid w:val="00F77674"/>
    <w:rsid w:val="00F77892"/>
    <w:rsid w:val="00F77C59"/>
    <w:rsid w:val="00F80D0A"/>
    <w:rsid w:val="00F8143B"/>
    <w:rsid w:val="00F81E6D"/>
    <w:rsid w:val="00F8285C"/>
    <w:rsid w:val="00F83818"/>
    <w:rsid w:val="00F83F93"/>
    <w:rsid w:val="00F844FA"/>
    <w:rsid w:val="00F848F6"/>
    <w:rsid w:val="00F849EA"/>
    <w:rsid w:val="00F84C40"/>
    <w:rsid w:val="00F84FC1"/>
    <w:rsid w:val="00F8501F"/>
    <w:rsid w:val="00F85058"/>
    <w:rsid w:val="00F851A8"/>
    <w:rsid w:val="00F85403"/>
    <w:rsid w:val="00F85EC0"/>
    <w:rsid w:val="00F85F5B"/>
    <w:rsid w:val="00F86BD3"/>
    <w:rsid w:val="00F86DBC"/>
    <w:rsid w:val="00F872BD"/>
    <w:rsid w:val="00F8780D"/>
    <w:rsid w:val="00F87947"/>
    <w:rsid w:val="00F9022B"/>
    <w:rsid w:val="00F903BA"/>
    <w:rsid w:val="00F90999"/>
    <w:rsid w:val="00F91A37"/>
    <w:rsid w:val="00F92CE2"/>
    <w:rsid w:val="00F932A5"/>
    <w:rsid w:val="00F93FED"/>
    <w:rsid w:val="00F953C2"/>
    <w:rsid w:val="00F95C88"/>
    <w:rsid w:val="00F95C8D"/>
    <w:rsid w:val="00F96241"/>
    <w:rsid w:val="00F96A7E"/>
    <w:rsid w:val="00F96AC4"/>
    <w:rsid w:val="00F96AF1"/>
    <w:rsid w:val="00F974BF"/>
    <w:rsid w:val="00F979B4"/>
    <w:rsid w:val="00F97F7B"/>
    <w:rsid w:val="00FA0178"/>
    <w:rsid w:val="00FA0631"/>
    <w:rsid w:val="00FA0CEB"/>
    <w:rsid w:val="00FA11C8"/>
    <w:rsid w:val="00FA1886"/>
    <w:rsid w:val="00FA1C71"/>
    <w:rsid w:val="00FA297C"/>
    <w:rsid w:val="00FA2B8D"/>
    <w:rsid w:val="00FA2B90"/>
    <w:rsid w:val="00FA325D"/>
    <w:rsid w:val="00FA3A7A"/>
    <w:rsid w:val="00FA3FFC"/>
    <w:rsid w:val="00FA409A"/>
    <w:rsid w:val="00FA46ED"/>
    <w:rsid w:val="00FA48B8"/>
    <w:rsid w:val="00FA4F60"/>
    <w:rsid w:val="00FA4FA8"/>
    <w:rsid w:val="00FA5040"/>
    <w:rsid w:val="00FA50BC"/>
    <w:rsid w:val="00FA5389"/>
    <w:rsid w:val="00FA5820"/>
    <w:rsid w:val="00FA6010"/>
    <w:rsid w:val="00FA60BE"/>
    <w:rsid w:val="00FA7FDB"/>
    <w:rsid w:val="00FB043C"/>
    <w:rsid w:val="00FB0D14"/>
    <w:rsid w:val="00FB0EA2"/>
    <w:rsid w:val="00FB15C2"/>
    <w:rsid w:val="00FB1988"/>
    <w:rsid w:val="00FB265F"/>
    <w:rsid w:val="00FB2D2B"/>
    <w:rsid w:val="00FB3497"/>
    <w:rsid w:val="00FB3705"/>
    <w:rsid w:val="00FB3AE9"/>
    <w:rsid w:val="00FB3B1E"/>
    <w:rsid w:val="00FB3FD8"/>
    <w:rsid w:val="00FB4808"/>
    <w:rsid w:val="00FB491A"/>
    <w:rsid w:val="00FB4E9D"/>
    <w:rsid w:val="00FB5463"/>
    <w:rsid w:val="00FB5476"/>
    <w:rsid w:val="00FB6916"/>
    <w:rsid w:val="00FB6981"/>
    <w:rsid w:val="00FB6FA1"/>
    <w:rsid w:val="00FB7954"/>
    <w:rsid w:val="00FC08AA"/>
    <w:rsid w:val="00FC0B6E"/>
    <w:rsid w:val="00FC0D79"/>
    <w:rsid w:val="00FC0EBC"/>
    <w:rsid w:val="00FC0FBA"/>
    <w:rsid w:val="00FC1593"/>
    <w:rsid w:val="00FC18E5"/>
    <w:rsid w:val="00FC1C9E"/>
    <w:rsid w:val="00FC1DDD"/>
    <w:rsid w:val="00FC2831"/>
    <w:rsid w:val="00FC2977"/>
    <w:rsid w:val="00FC2AE4"/>
    <w:rsid w:val="00FC3B3E"/>
    <w:rsid w:val="00FC3FE8"/>
    <w:rsid w:val="00FC532B"/>
    <w:rsid w:val="00FC5F2F"/>
    <w:rsid w:val="00FC60C1"/>
    <w:rsid w:val="00FC6C52"/>
    <w:rsid w:val="00FC6D79"/>
    <w:rsid w:val="00FC7114"/>
    <w:rsid w:val="00FC7234"/>
    <w:rsid w:val="00FC7522"/>
    <w:rsid w:val="00FC79FE"/>
    <w:rsid w:val="00FD0011"/>
    <w:rsid w:val="00FD00E9"/>
    <w:rsid w:val="00FD01A5"/>
    <w:rsid w:val="00FD0266"/>
    <w:rsid w:val="00FD1274"/>
    <w:rsid w:val="00FD163E"/>
    <w:rsid w:val="00FD1C0F"/>
    <w:rsid w:val="00FD235F"/>
    <w:rsid w:val="00FD385D"/>
    <w:rsid w:val="00FD3A5B"/>
    <w:rsid w:val="00FD3F1F"/>
    <w:rsid w:val="00FD437F"/>
    <w:rsid w:val="00FD488B"/>
    <w:rsid w:val="00FD4DB0"/>
    <w:rsid w:val="00FD531B"/>
    <w:rsid w:val="00FD5B90"/>
    <w:rsid w:val="00FD680C"/>
    <w:rsid w:val="00FD699E"/>
    <w:rsid w:val="00FD6D3D"/>
    <w:rsid w:val="00FD6E51"/>
    <w:rsid w:val="00FD7160"/>
    <w:rsid w:val="00FE08FA"/>
    <w:rsid w:val="00FE09F6"/>
    <w:rsid w:val="00FE0D1B"/>
    <w:rsid w:val="00FE176A"/>
    <w:rsid w:val="00FE1B7D"/>
    <w:rsid w:val="00FE2947"/>
    <w:rsid w:val="00FE3225"/>
    <w:rsid w:val="00FE36F3"/>
    <w:rsid w:val="00FE3DDD"/>
    <w:rsid w:val="00FE4406"/>
    <w:rsid w:val="00FE47DD"/>
    <w:rsid w:val="00FE65F1"/>
    <w:rsid w:val="00FE68DA"/>
    <w:rsid w:val="00FF0A64"/>
    <w:rsid w:val="00FF0ED4"/>
    <w:rsid w:val="00FF11F6"/>
    <w:rsid w:val="00FF2298"/>
    <w:rsid w:val="00FF253D"/>
    <w:rsid w:val="00FF263D"/>
    <w:rsid w:val="00FF294F"/>
    <w:rsid w:val="00FF2994"/>
    <w:rsid w:val="00FF2B44"/>
    <w:rsid w:val="00FF3084"/>
    <w:rsid w:val="00FF3A21"/>
    <w:rsid w:val="00FF3E46"/>
    <w:rsid w:val="00FF4225"/>
    <w:rsid w:val="00FF4565"/>
    <w:rsid w:val="00FF4646"/>
    <w:rsid w:val="00FF465B"/>
    <w:rsid w:val="00FF4B0B"/>
    <w:rsid w:val="00FF5390"/>
    <w:rsid w:val="00FF5978"/>
    <w:rsid w:val="00FF5A7E"/>
    <w:rsid w:val="00FF62D1"/>
    <w:rsid w:val="00FF73EF"/>
    <w:rsid w:val="0139268E"/>
    <w:rsid w:val="015500B5"/>
    <w:rsid w:val="018B7A32"/>
    <w:rsid w:val="01B33980"/>
    <w:rsid w:val="032E4F76"/>
    <w:rsid w:val="03550A7E"/>
    <w:rsid w:val="038257AC"/>
    <w:rsid w:val="03B536F3"/>
    <w:rsid w:val="03BD0E79"/>
    <w:rsid w:val="03C25AC3"/>
    <w:rsid w:val="03C2759E"/>
    <w:rsid w:val="04301D26"/>
    <w:rsid w:val="04EE0644"/>
    <w:rsid w:val="05222F09"/>
    <w:rsid w:val="059211B6"/>
    <w:rsid w:val="06A05345"/>
    <w:rsid w:val="06A8514D"/>
    <w:rsid w:val="071874A4"/>
    <w:rsid w:val="073754EC"/>
    <w:rsid w:val="07510DA0"/>
    <w:rsid w:val="075E12C0"/>
    <w:rsid w:val="07D515FE"/>
    <w:rsid w:val="07F17FC2"/>
    <w:rsid w:val="081E798A"/>
    <w:rsid w:val="083676BA"/>
    <w:rsid w:val="08B66B9D"/>
    <w:rsid w:val="092250D1"/>
    <w:rsid w:val="0ADF5567"/>
    <w:rsid w:val="0B3667F0"/>
    <w:rsid w:val="0BD1767C"/>
    <w:rsid w:val="0C154D9D"/>
    <w:rsid w:val="0C5C0F41"/>
    <w:rsid w:val="0C765C89"/>
    <w:rsid w:val="0DCC478E"/>
    <w:rsid w:val="0E0C0D70"/>
    <w:rsid w:val="0E220B95"/>
    <w:rsid w:val="0E377A6A"/>
    <w:rsid w:val="0EDD444D"/>
    <w:rsid w:val="0EF763F9"/>
    <w:rsid w:val="0F556ADB"/>
    <w:rsid w:val="0F696689"/>
    <w:rsid w:val="10003C14"/>
    <w:rsid w:val="10081EF9"/>
    <w:rsid w:val="105C584D"/>
    <w:rsid w:val="1062213D"/>
    <w:rsid w:val="10952499"/>
    <w:rsid w:val="10B53D68"/>
    <w:rsid w:val="11181EC3"/>
    <w:rsid w:val="12313D01"/>
    <w:rsid w:val="13B02729"/>
    <w:rsid w:val="13DF6A2A"/>
    <w:rsid w:val="13E729A1"/>
    <w:rsid w:val="14421D34"/>
    <w:rsid w:val="14515EB5"/>
    <w:rsid w:val="166016B8"/>
    <w:rsid w:val="16957B07"/>
    <w:rsid w:val="169F7948"/>
    <w:rsid w:val="16A80F0A"/>
    <w:rsid w:val="176E475F"/>
    <w:rsid w:val="17E73194"/>
    <w:rsid w:val="18291542"/>
    <w:rsid w:val="18F9177D"/>
    <w:rsid w:val="199778E3"/>
    <w:rsid w:val="1A3B1496"/>
    <w:rsid w:val="1A417692"/>
    <w:rsid w:val="1A9A3121"/>
    <w:rsid w:val="1B633DBC"/>
    <w:rsid w:val="1C5C13DA"/>
    <w:rsid w:val="1C8A6408"/>
    <w:rsid w:val="1C9471D5"/>
    <w:rsid w:val="1CB40433"/>
    <w:rsid w:val="1CED32AB"/>
    <w:rsid w:val="1D727626"/>
    <w:rsid w:val="1D8C3A4A"/>
    <w:rsid w:val="1DD637BF"/>
    <w:rsid w:val="1E042E8B"/>
    <w:rsid w:val="1E20045D"/>
    <w:rsid w:val="1E8454F3"/>
    <w:rsid w:val="1EA26BE1"/>
    <w:rsid w:val="1F9C6A5A"/>
    <w:rsid w:val="1FF720F9"/>
    <w:rsid w:val="2075117D"/>
    <w:rsid w:val="2275142A"/>
    <w:rsid w:val="23790D0F"/>
    <w:rsid w:val="240F3F38"/>
    <w:rsid w:val="244B0A92"/>
    <w:rsid w:val="2535779F"/>
    <w:rsid w:val="25BF1092"/>
    <w:rsid w:val="25F637EA"/>
    <w:rsid w:val="25F924A7"/>
    <w:rsid w:val="26054E73"/>
    <w:rsid w:val="265D2567"/>
    <w:rsid w:val="26A5387D"/>
    <w:rsid w:val="27183E77"/>
    <w:rsid w:val="27204189"/>
    <w:rsid w:val="27576354"/>
    <w:rsid w:val="276A57FE"/>
    <w:rsid w:val="28611FEF"/>
    <w:rsid w:val="288A782F"/>
    <w:rsid w:val="28BD75E1"/>
    <w:rsid w:val="293F2F0D"/>
    <w:rsid w:val="29777BE0"/>
    <w:rsid w:val="29B6211C"/>
    <w:rsid w:val="2A2303E4"/>
    <w:rsid w:val="2A253BB1"/>
    <w:rsid w:val="2A59570A"/>
    <w:rsid w:val="2A6B7AB4"/>
    <w:rsid w:val="2B0702DC"/>
    <w:rsid w:val="2C233A74"/>
    <w:rsid w:val="2C4C0802"/>
    <w:rsid w:val="2CA3146B"/>
    <w:rsid w:val="2CE4621B"/>
    <w:rsid w:val="2D3376D8"/>
    <w:rsid w:val="2D600025"/>
    <w:rsid w:val="2D8A6556"/>
    <w:rsid w:val="2E037827"/>
    <w:rsid w:val="2E496803"/>
    <w:rsid w:val="2E5F2166"/>
    <w:rsid w:val="2E9905CB"/>
    <w:rsid w:val="2EAF4C5B"/>
    <w:rsid w:val="2ECC051D"/>
    <w:rsid w:val="2ECF367B"/>
    <w:rsid w:val="2F3E26E6"/>
    <w:rsid w:val="30341A1A"/>
    <w:rsid w:val="30BF6D19"/>
    <w:rsid w:val="30C71879"/>
    <w:rsid w:val="3103192D"/>
    <w:rsid w:val="31515040"/>
    <w:rsid w:val="31575186"/>
    <w:rsid w:val="317122CD"/>
    <w:rsid w:val="317B6FE0"/>
    <w:rsid w:val="31937CDE"/>
    <w:rsid w:val="31C0486E"/>
    <w:rsid w:val="32152A31"/>
    <w:rsid w:val="32257E09"/>
    <w:rsid w:val="32FB61D9"/>
    <w:rsid w:val="33184CCC"/>
    <w:rsid w:val="33656C21"/>
    <w:rsid w:val="33914B07"/>
    <w:rsid w:val="33C4701E"/>
    <w:rsid w:val="33E941A1"/>
    <w:rsid w:val="36000C85"/>
    <w:rsid w:val="36D24B8A"/>
    <w:rsid w:val="3700428E"/>
    <w:rsid w:val="376B478E"/>
    <w:rsid w:val="37E9417E"/>
    <w:rsid w:val="385418A4"/>
    <w:rsid w:val="38E20788"/>
    <w:rsid w:val="39700D94"/>
    <w:rsid w:val="39C6661C"/>
    <w:rsid w:val="3A9A3DF6"/>
    <w:rsid w:val="3B22182D"/>
    <w:rsid w:val="3B6837E2"/>
    <w:rsid w:val="3BBD2693"/>
    <w:rsid w:val="3C082B2D"/>
    <w:rsid w:val="3C57491F"/>
    <w:rsid w:val="3C58742F"/>
    <w:rsid w:val="3C8F4665"/>
    <w:rsid w:val="3D0077D2"/>
    <w:rsid w:val="3D7F1E32"/>
    <w:rsid w:val="3DF50B23"/>
    <w:rsid w:val="3E393C7A"/>
    <w:rsid w:val="3FB70A12"/>
    <w:rsid w:val="3FDD2F01"/>
    <w:rsid w:val="40624111"/>
    <w:rsid w:val="406C55EC"/>
    <w:rsid w:val="4182205F"/>
    <w:rsid w:val="41C11BBD"/>
    <w:rsid w:val="4257135A"/>
    <w:rsid w:val="425C182B"/>
    <w:rsid w:val="42D737C5"/>
    <w:rsid w:val="42DA0759"/>
    <w:rsid w:val="44A27E03"/>
    <w:rsid w:val="450B3BFA"/>
    <w:rsid w:val="459528DE"/>
    <w:rsid w:val="46101655"/>
    <w:rsid w:val="462D596A"/>
    <w:rsid w:val="464F72E8"/>
    <w:rsid w:val="469A5290"/>
    <w:rsid w:val="46CE2831"/>
    <w:rsid w:val="4726324E"/>
    <w:rsid w:val="47610213"/>
    <w:rsid w:val="477C493B"/>
    <w:rsid w:val="491B304D"/>
    <w:rsid w:val="49505F56"/>
    <w:rsid w:val="4A2646FA"/>
    <w:rsid w:val="4A2E1214"/>
    <w:rsid w:val="4AC30C54"/>
    <w:rsid w:val="4AC661C4"/>
    <w:rsid w:val="4B2647A7"/>
    <w:rsid w:val="4B3E78F7"/>
    <w:rsid w:val="4B404E95"/>
    <w:rsid w:val="4B45100F"/>
    <w:rsid w:val="4B5577FC"/>
    <w:rsid w:val="4B742D2A"/>
    <w:rsid w:val="4B897ADD"/>
    <w:rsid w:val="4BE83DFC"/>
    <w:rsid w:val="4BFB5D19"/>
    <w:rsid w:val="4CB9699B"/>
    <w:rsid w:val="4D162A97"/>
    <w:rsid w:val="4D9F0B02"/>
    <w:rsid w:val="4F027E1C"/>
    <w:rsid w:val="4F6700F2"/>
    <w:rsid w:val="5088249E"/>
    <w:rsid w:val="50B00707"/>
    <w:rsid w:val="514540D0"/>
    <w:rsid w:val="51791FA7"/>
    <w:rsid w:val="51D9748D"/>
    <w:rsid w:val="5219730B"/>
    <w:rsid w:val="52AF7F48"/>
    <w:rsid w:val="534C2BE5"/>
    <w:rsid w:val="53E93358"/>
    <w:rsid w:val="549D2F36"/>
    <w:rsid w:val="54FC1026"/>
    <w:rsid w:val="55480662"/>
    <w:rsid w:val="55FF0BC4"/>
    <w:rsid w:val="561677BF"/>
    <w:rsid w:val="562348D9"/>
    <w:rsid w:val="566C0581"/>
    <w:rsid w:val="56764C4B"/>
    <w:rsid w:val="569F30E3"/>
    <w:rsid w:val="584F0BFF"/>
    <w:rsid w:val="58B67977"/>
    <w:rsid w:val="591F49A5"/>
    <w:rsid w:val="59F317E2"/>
    <w:rsid w:val="59F96654"/>
    <w:rsid w:val="5A7D23BC"/>
    <w:rsid w:val="5A8C7525"/>
    <w:rsid w:val="5AAC56B8"/>
    <w:rsid w:val="5AC66FBC"/>
    <w:rsid w:val="5B6B685F"/>
    <w:rsid w:val="5B7E4063"/>
    <w:rsid w:val="5B933D82"/>
    <w:rsid w:val="5BEC3B6A"/>
    <w:rsid w:val="5C5B2503"/>
    <w:rsid w:val="5CA52AC0"/>
    <w:rsid w:val="5CEA4BB9"/>
    <w:rsid w:val="5D1D2103"/>
    <w:rsid w:val="5D9C1A89"/>
    <w:rsid w:val="5DFC0573"/>
    <w:rsid w:val="5E021BE6"/>
    <w:rsid w:val="5E924DF8"/>
    <w:rsid w:val="5EB968A4"/>
    <w:rsid w:val="5F074758"/>
    <w:rsid w:val="5F450155"/>
    <w:rsid w:val="5F5275C5"/>
    <w:rsid w:val="60DA0257"/>
    <w:rsid w:val="61E803EC"/>
    <w:rsid w:val="625A4A44"/>
    <w:rsid w:val="627F6FE1"/>
    <w:rsid w:val="62CE79E1"/>
    <w:rsid w:val="62D37D34"/>
    <w:rsid w:val="6349352D"/>
    <w:rsid w:val="637159C9"/>
    <w:rsid w:val="64031649"/>
    <w:rsid w:val="646030EF"/>
    <w:rsid w:val="646A5DEF"/>
    <w:rsid w:val="64AF6D9F"/>
    <w:rsid w:val="64C73849"/>
    <w:rsid w:val="65605AD8"/>
    <w:rsid w:val="65841054"/>
    <w:rsid w:val="659276B3"/>
    <w:rsid w:val="659A04F5"/>
    <w:rsid w:val="65CF7252"/>
    <w:rsid w:val="66342B59"/>
    <w:rsid w:val="66806C39"/>
    <w:rsid w:val="66E02314"/>
    <w:rsid w:val="670E3EE5"/>
    <w:rsid w:val="67AF1A9E"/>
    <w:rsid w:val="67B45A9E"/>
    <w:rsid w:val="67D068B1"/>
    <w:rsid w:val="687A6ADF"/>
    <w:rsid w:val="69007B3D"/>
    <w:rsid w:val="690A420D"/>
    <w:rsid w:val="6A2A69C6"/>
    <w:rsid w:val="6ACB087E"/>
    <w:rsid w:val="6AE032AF"/>
    <w:rsid w:val="6AE342CE"/>
    <w:rsid w:val="6B9876E6"/>
    <w:rsid w:val="6BC229B5"/>
    <w:rsid w:val="6C271881"/>
    <w:rsid w:val="6D891248"/>
    <w:rsid w:val="6DA66ABF"/>
    <w:rsid w:val="6DF743A5"/>
    <w:rsid w:val="6EA72431"/>
    <w:rsid w:val="6F226C6F"/>
    <w:rsid w:val="706C3D0A"/>
    <w:rsid w:val="70944063"/>
    <w:rsid w:val="71081BC2"/>
    <w:rsid w:val="72C25048"/>
    <w:rsid w:val="735C2DCF"/>
    <w:rsid w:val="74BF0B84"/>
    <w:rsid w:val="74F1504B"/>
    <w:rsid w:val="75092E66"/>
    <w:rsid w:val="75720FA8"/>
    <w:rsid w:val="75803EF0"/>
    <w:rsid w:val="766B1BE1"/>
    <w:rsid w:val="76712962"/>
    <w:rsid w:val="76823CCE"/>
    <w:rsid w:val="769573A5"/>
    <w:rsid w:val="76AF24B8"/>
    <w:rsid w:val="772C31EE"/>
    <w:rsid w:val="78324AFF"/>
    <w:rsid w:val="78750153"/>
    <w:rsid w:val="78D55E0C"/>
    <w:rsid w:val="78FB12B4"/>
    <w:rsid w:val="78FE1160"/>
    <w:rsid w:val="79441629"/>
    <w:rsid w:val="7984417B"/>
    <w:rsid w:val="7A2F5B40"/>
    <w:rsid w:val="7A4B0587"/>
    <w:rsid w:val="7A827452"/>
    <w:rsid w:val="7AD4278C"/>
    <w:rsid w:val="7AFD323A"/>
    <w:rsid w:val="7B7A677E"/>
    <w:rsid w:val="7BD06F5C"/>
    <w:rsid w:val="7BE05CA3"/>
    <w:rsid w:val="7C077F47"/>
    <w:rsid w:val="7C0A18EE"/>
    <w:rsid w:val="7C6B475E"/>
    <w:rsid w:val="7CBD0CC2"/>
    <w:rsid w:val="7DA4249D"/>
    <w:rsid w:val="7DF37818"/>
    <w:rsid w:val="7EEF6674"/>
    <w:rsid w:val="7F0B7D77"/>
    <w:rsid w:val="7FF375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iPriority="0" w:semiHidden="0" w:name="Normal Indent"/>
    <w:lsdException w:uiPriority="0" w:name="footnote text"/>
    <w:lsdException w:qFormat="1" w:uiPriority="0" w:semiHidden="0" w:name="annotation text"/>
    <w:lsdException w:qFormat="1" w:uiPriority="99" w:semiHidden="0" w:name="header"/>
    <w:lsdException w:qFormat="1" w:uiPriority="99" w:semiHidden="0" w:name="footer"/>
    <w:lsdException w:uiPriority="0" w:name="index heading"/>
    <w:lsdException w:qFormat="1" w:unhideWhenUsed="0" w:uiPriority="99" w:semiHidden="0" w:name="caption"/>
    <w:lsdException w:uiPriority="0" w:name="table of figures"/>
    <w:lsdException w:uiPriority="0" w:name="envelope address"/>
    <w:lsdException w:uiPriority="0" w:name="envelope return"/>
    <w:lsdException w:uiPriority="0" w:name="footnote reference"/>
    <w:lsdException w:qFormat="1"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qFormat="1" w:unhideWhenUsed="0" w:uiPriority="0" w:semiHidden="0" w:name="table of authorities"/>
    <w:lsdException w:uiPriority="0" w:name="macro"/>
    <w:lsdException w:qFormat="1" w:unhideWhenUsed="0" w:uiPriority="0" w:semiHidden="0" w:name="toa heading"/>
    <w:lsdException w:qFormat="1" w:uiPriority="0" w:semiHidden="0" w:name="List"/>
    <w:lsdException w:qFormat="1" w:unhideWhenUsed="0" w:uiPriority="99"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iPriority="0" w:semiHidden="0" w:name="Body Text Indent"/>
    <w:lsdException w:uiPriority="0" w:name="List Continue"/>
    <w:lsdException w:uiPriority="0" w:name="List Continue 2"/>
    <w:lsdException w:uiPriority="0" w:name="List Continue 3"/>
    <w:lsdException w:uiPriority="0" w:name="List Continue 4"/>
    <w:lsdException w:qFormat="1" w:uiPriority="0" w:semiHidden="0" w:name="List Continue 5"/>
    <w:lsdException w:qFormat="1" w:unhideWhenUsed="0" w:uiPriority="0" w:semiHidden="0" w:name="Message Header"/>
    <w:lsdException w:unhideWhenUsed="0" w:uiPriority="0" w:semiHidden="0" w:name="Subtitle"/>
    <w:lsdException w:uiPriority="0" w:name="Salutation"/>
    <w:lsdException w:qFormat="1" w:uiPriority="0" w:semiHidden="0" w:name="Date"/>
    <w:lsdException w:qFormat="1" w:uiPriority="99" w:semiHidden="0" w:name="Body Text First Indent"/>
    <w:lsdException w:qFormat="1" w:unhideWhenUsed="0" w:uiPriority="0" w:semiHidden="0" w:name="Body Text First Indent 2"/>
    <w:lsdException w:qFormat="1" w:unhideWhenUsed="0" w:uiPriority="0" w:semiHidden="0" w:name="Note Heading"/>
    <w:lsdException w:qFormat="1" w:unhideWhenUsed="0" w:uiPriority="99"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20" w:semiHidden="0" w:name="Emphasis"/>
    <w:lsdException w:qFormat="1" w:uiPriority="99" w:semiHidden="0" w:name="Document Map"/>
    <w:lsdException w:qFormat="1" w:uiPriority="0" w:semiHidden="0" w:name="Plain Text"/>
    <w:lsdException w:uiPriority="0" w:name="E-mail Signature"/>
    <w:lsdException w:qFormat="1" w:unhideWhenUsed="0" w:uiPriority="99" w:semiHidden="0" w:name="Normal (Web)"/>
    <w:lsdException w:qFormat="1" w:uiPriority="0" w:semiHidden="0" w:name="HTML Acronym"/>
    <w:lsdException w:uiPriority="0" w:name="HTML Address"/>
    <w:lsdException w:qFormat="1" w:uiPriority="0" w:semiHidden="0" w:name="HTML Cite"/>
    <w:lsdException w:qFormat="1" w:uiPriority="0" w:semiHidden="0" w:name="HTML Code"/>
    <w:lsdException w:qFormat="1" w:uiPriority="0" w:semiHidden="0" w:name="HTML Definition"/>
    <w:lsdException w:uiPriority="0" w:name="HTML Keyboard"/>
    <w:lsdException w:uiPriority="0" w:name="HTML Preformatted"/>
    <w:lsdException w:uiPriority="0" w:name="HTML Sample"/>
    <w:lsdException w:uiPriority="0" w:name="HTML Typewriter"/>
    <w:lsdException w:qFormat="1" w:uiPriority="0" w:semiHidden="0" w:name="HTML Variable"/>
    <w:lsdException w:qFormat="1" w:uiPriority="99" w:name="Normal Table"/>
    <w:lsdException w:qFormat="1" w:uiPriority="0" w:semiHidden="0" w:name="annotation subject"/>
    <w:lsdException w:uiPriority="0"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0" w:name="Table Grid 1"/>
    <w:lsdException w:uiPriority="0" w:name="Table Grid 2"/>
    <w:lsdException w:uiPriority="99" w:name="Table Grid 3"/>
    <w:lsdException w:uiPriority="99" w:name="Table Grid 4"/>
    <w:lsdException w:uiPriority="99" w:name="Table Grid 5"/>
    <w:lsdException w:uiPriority="0"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59" w:semiHidden="0" w:name="Table Grid"/>
    <w:lsdException w:uiPriority="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5">
    <w:name w:val="heading 1"/>
    <w:basedOn w:val="6"/>
    <w:next w:val="1"/>
    <w:link w:val="65"/>
    <w:qFormat/>
    <w:uiPriority w:val="0"/>
    <w:pPr>
      <w:numPr>
        <w:ilvl w:val="0"/>
        <w:numId w:val="1"/>
      </w:numPr>
      <w:jc w:val="center"/>
      <w:outlineLvl w:val="0"/>
    </w:pPr>
    <w:rPr>
      <w:rFonts w:ascii="黑体" w:hAnsi="黑体"/>
      <w:b/>
      <w:sz w:val="44"/>
    </w:rPr>
  </w:style>
  <w:style w:type="paragraph" w:styleId="7">
    <w:name w:val="heading 2"/>
    <w:basedOn w:val="1"/>
    <w:next w:val="1"/>
    <w:link w:val="66"/>
    <w:qFormat/>
    <w:uiPriority w:val="0"/>
    <w:pPr>
      <w:numPr>
        <w:ilvl w:val="1"/>
        <w:numId w:val="1"/>
      </w:numPr>
      <w:tabs>
        <w:tab w:val="left" w:pos="180"/>
        <w:tab w:val="left" w:pos="540"/>
        <w:tab w:val="left" w:pos="720"/>
        <w:tab w:val="left" w:pos="2072"/>
      </w:tabs>
    </w:pPr>
    <w:rPr>
      <w:rFonts w:eastAsia="宋体"/>
    </w:rPr>
  </w:style>
  <w:style w:type="paragraph" w:styleId="8">
    <w:name w:val="heading 3"/>
    <w:basedOn w:val="1"/>
    <w:next w:val="1"/>
    <w:link w:val="67"/>
    <w:qFormat/>
    <w:uiPriority w:val="0"/>
    <w:pPr>
      <w:numPr>
        <w:ilvl w:val="2"/>
        <w:numId w:val="1"/>
      </w:numPr>
      <w:tabs>
        <w:tab w:val="left" w:pos="-1800"/>
        <w:tab w:val="left" w:pos="900"/>
      </w:tabs>
    </w:pPr>
    <w:rPr>
      <w:szCs w:val="32"/>
    </w:rPr>
  </w:style>
  <w:style w:type="paragraph" w:styleId="9">
    <w:name w:val="heading 4"/>
    <w:basedOn w:val="1"/>
    <w:next w:val="10"/>
    <w:link w:val="68"/>
    <w:qFormat/>
    <w:uiPriority w:val="0"/>
    <w:pPr>
      <w:keepNext/>
      <w:keepLines/>
      <w:numPr>
        <w:ilvl w:val="3"/>
        <w:numId w:val="1"/>
      </w:numPr>
      <w:outlineLvl w:val="3"/>
    </w:pPr>
    <w:rPr>
      <w:b/>
      <w:bCs/>
      <w:kern w:val="0"/>
      <w:szCs w:val="28"/>
    </w:rPr>
  </w:style>
  <w:style w:type="paragraph" w:styleId="11">
    <w:name w:val="heading 5"/>
    <w:next w:val="1"/>
    <w:link w:val="69"/>
    <w:qFormat/>
    <w:uiPriority w:val="0"/>
    <w:pPr>
      <w:keepNext/>
      <w:keepLines/>
      <w:numPr>
        <w:ilvl w:val="4"/>
        <w:numId w:val="1"/>
      </w:numPr>
      <w:spacing w:line="600" w:lineRule="auto"/>
      <w:outlineLvl w:val="4"/>
    </w:pPr>
    <w:rPr>
      <w:rFonts w:ascii="Times New Roman" w:hAnsi="Times New Roman" w:eastAsia="宋体" w:cs="Times New Roman"/>
      <w:b/>
      <w:bCs/>
      <w:sz w:val="24"/>
      <w:szCs w:val="28"/>
      <w:lang w:val="en-US" w:eastAsia="zh-CN" w:bidi="ar-SA"/>
    </w:rPr>
  </w:style>
  <w:style w:type="paragraph" w:styleId="12">
    <w:name w:val="heading 6"/>
    <w:basedOn w:val="1"/>
    <w:next w:val="1"/>
    <w:link w:val="70"/>
    <w:qFormat/>
    <w:uiPriority w:val="0"/>
    <w:pPr>
      <w:keepNext/>
      <w:keepLines/>
      <w:numPr>
        <w:ilvl w:val="5"/>
        <w:numId w:val="1"/>
      </w:numPr>
      <w:spacing w:before="240" w:after="64" w:line="320" w:lineRule="auto"/>
      <w:outlineLvl w:val="5"/>
    </w:pPr>
    <w:rPr>
      <w:rFonts w:ascii="Cambria" w:hAnsi="Cambria"/>
      <w:b/>
      <w:bCs/>
      <w:kern w:val="0"/>
    </w:rPr>
  </w:style>
  <w:style w:type="paragraph" w:styleId="13">
    <w:name w:val="heading 7"/>
    <w:basedOn w:val="1"/>
    <w:next w:val="1"/>
    <w:link w:val="71"/>
    <w:qFormat/>
    <w:uiPriority w:val="0"/>
    <w:pPr>
      <w:keepNext/>
      <w:keepLines/>
      <w:numPr>
        <w:ilvl w:val="6"/>
        <w:numId w:val="1"/>
      </w:numPr>
      <w:spacing w:before="240" w:after="64" w:line="320" w:lineRule="auto"/>
      <w:outlineLvl w:val="6"/>
    </w:pPr>
    <w:rPr>
      <w:b/>
      <w:bCs/>
      <w:kern w:val="0"/>
    </w:rPr>
  </w:style>
  <w:style w:type="paragraph" w:styleId="14">
    <w:name w:val="heading 8"/>
    <w:basedOn w:val="1"/>
    <w:next w:val="1"/>
    <w:link w:val="72"/>
    <w:qFormat/>
    <w:uiPriority w:val="0"/>
    <w:pPr>
      <w:keepNext/>
      <w:keepLines/>
      <w:numPr>
        <w:ilvl w:val="7"/>
        <w:numId w:val="1"/>
      </w:numPr>
      <w:spacing w:before="240" w:after="64" w:line="320" w:lineRule="auto"/>
      <w:outlineLvl w:val="7"/>
    </w:pPr>
    <w:rPr>
      <w:rFonts w:ascii="Cambria" w:hAnsi="Cambria"/>
      <w:kern w:val="0"/>
    </w:rPr>
  </w:style>
  <w:style w:type="paragraph" w:styleId="15">
    <w:name w:val="heading 9"/>
    <w:basedOn w:val="1"/>
    <w:next w:val="1"/>
    <w:link w:val="73"/>
    <w:qFormat/>
    <w:uiPriority w:val="0"/>
    <w:pPr>
      <w:keepNext/>
      <w:keepLines/>
      <w:numPr>
        <w:ilvl w:val="8"/>
        <w:numId w:val="1"/>
      </w:numPr>
      <w:spacing w:before="240" w:after="64" w:line="320" w:lineRule="auto"/>
      <w:outlineLvl w:val="8"/>
    </w:pPr>
    <w:rPr>
      <w:rFonts w:ascii="Cambria" w:hAnsi="Cambria"/>
      <w:kern w:val="0"/>
      <w:sz w:val="20"/>
      <w:szCs w:val="21"/>
    </w:rPr>
  </w:style>
  <w:style w:type="character" w:default="1" w:styleId="49">
    <w:name w:val="Default Paragraph Font"/>
    <w:semiHidden/>
    <w:unhideWhenUsed/>
    <w:qFormat/>
    <w:uiPriority w:val="1"/>
  </w:style>
  <w:style w:type="table" w:default="1" w:styleId="47">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92"/>
    <w:qFormat/>
    <w:uiPriority w:val="0"/>
    <w:pPr>
      <w:spacing w:line="240" w:lineRule="auto"/>
      <w:ind w:firstLine="420" w:firstLineChars="200"/>
    </w:pPr>
    <w:rPr>
      <w:rFonts w:eastAsia="楷体_GB2312"/>
      <w:sz w:val="21"/>
    </w:rPr>
  </w:style>
  <w:style w:type="paragraph" w:styleId="3">
    <w:name w:val="Body Text Indent"/>
    <w:basedOn w:val="1"/>
    <w:next w:val="4"/>
    <w:link w:val="80"/>
    <w:unhideWhenUsed/>
    <w:qFormat/>
    <w:uiPriority w:val="0"/>
    <w:pPr>
      <w:spacing w:after="120"/>
      <w:ind w:left="420" w:leftChars="200"/>
    </w:pPr>
  </w:style>
  <w:style w:type="paragraph" w:styleId="4">
    <w:name w:val="Body Text Indent 2"/>
    <w:basedOn w:val="1"/>
    <w:next w:val="2"/>
    <w:link w:val="83"/>
    <w:qFormat/>
    <w:uiPriority w:val="99"/>
    <w:pPr>
      <w:spacing w:after="120" w:line="480" w:lineRule="auto"/>
      <w:ind w:left="420" w:leftChars="200"/>
    </w:pPr>
    <w:rPr>
      <w:rFonts w:ascii="Calibri" w:hAnsi="Calibri" w:cs="黑体"/>
      <w:sz w:val="21"/>
      <w:szCs w:val="21"/>
    </w:rPr>
  </w:style>
  <w:style w:type="paragraph" w:customStyle="1" w:styleId="6">
    <w:name w:val="样式1"/>
    <w:basedOn w:val="1"/>
    <w:link w:val="64"/>
    <w:qFormat/>
    <w:uiPriority w:val="0"/>
    <w:rPr>
      <w:kern w:val="0"/>
    </w:rPr>
  </w:style>
  <w:style w:type="paragraph" w:styleId="10">
    <w:name w:val="Normal Indent"/>
    <w:basedOn w:val="1"/>
    <w:link w:val="75"/>
    <w:unhideWhenUsed/>
    <w:qFormat/>
    <w:uiPriority w:val="0"/>
    <w:pPr>
      <w:ind w:firstLine="200" w:firstLineChars="200"/>
    </w:pPr>
  </w:style>
  <w:style w:type="paragraph" w:styleId="16">
    <w:name w:val="toc 7"/>
    <w:basedOn w:val="1"/>
    <w:next w:val="1"/>
    <w:qFormat/>
    <w:uiPriority w:val="39"/>
    <w:pPr>
      <w:ind w:left="1440"/>
      <w:jc w:val="left"/>
    </w:pPr>
    <w:rPr>
      <w:rFonts w:ascii="Calibri" w:hAnsi="Calibri" w:cs="Calibri"/>
      <w:sz w:val="18"/>
      <w:szCs w:val="18"/>
    </w:rPr>
  </w:style>
  <w:style w:type="paragraph" w:styleId="17">
    <w:name w:val="table of authorities"/>
    <w:basedOn w:val="1"/>
    <w:next w:val="1"/>
    <w:qFormat/>
    <w:uiPriority w:val="0"/>
    <w:pPr>
      <w:spacing w:line="240" w:lineRule="auto"/>
      <w:ind w:left="420" w:leftChars="200"/>
    </w:pPr>
    <w:rPr>
      <w:sz w:val="21"/>
    </w:rPr>
  </w:style>
  <w:style w:type="paragraph" w:styleId="18">
    <w:name w:val="Note Heading"/>
    <w:basedOn w:val="1"/>
    <w:next w:val="1"/>
    <w:link w:val="74"/>
    <w:qFormat/>
    <w:uiPriority w:val="0"/>
    <w:pPr>
      <w:spacing w:line="240" w:lineRule="auto"/>
      <w:jc w:val="center"/>
    </w:pPr>
    <w:rPr>
      <w:rFonts w:ascii="宋体" w:hAnsi="宋体"/>
      <w:color w:val="666600"/>
      <w:sz w:val="21"/>
      <w:szCs w:val="20"/>
    </w:rPr>
  </w:style>
  <w:style w:type="paragraph" w:styleId="19">
    <w:name w:val="caption"/>
    <w:basedOn w:val="1"/>
    <w:next w:val="1"/>
    <w:qFormat/>
    <w:uiPriority w:val="99"/>
    <w:pPr>
      <w:jc w:val="center"/>
    </w:pPr>
    <w:rPr>
      <w:b/>
      <w:kern w:val="0"/>
      <w:szCs w:val="20"/>
    </w:rPr>
  </w:style>
  <w:style w:type="paragraph" w:styleId="20">
    <w:name w:val="List Bullet"/>
    <w:basedOn w:val="1"/>
    <w:qFormat/>
    <w:uiPriority w:val="99"/>
    <w:pPr>
      <w:spacing w:line="240" w:lineRule="auto"/>
    </w:pPr>
    <w:rPr>
      <w:sz w:val="21"/>
    </w:rPr>
  </w:style>
  <w:style w:type="paragraph" w:styleId="21">
    <w:name w:val="Document Map"/>
    <w:basedOn w:val="1"/>
    <w:link w:val="76"/>
    <w:unhideWhenUsed/>
    <w:qFormat/>
    <w:uiPriority w:val="99"/>
    <w:pPr>
      <w:spacing w:line="240" w:lineRule="auto"/>
    </w:pPr>
    <w:rPr>
      <w:rFonts w:ascii="宋体" w:hAnsi="Calibri"/>
      <w:sz w:val="18"/>
      <w:szCs w:val="18"/>
    </w:rPr>
  </w:style>
  <w:style w:type="paragraph" w:styleId="22">
    <w:name w:val="toa heading"/>
    <w:basedOn w:val="1"/>
    <w:next w:val="1"/>
    <w:qFormat/>
    <w:uiPriority w:val="0"/>
    <w:pPr>
      <w:spacing w:before="120" w:line="240" w:lineRule="auto"/>
    </w:pPr>
    <w:rPr>
      <w:rFonts w:ascii="Arial" w:hAnsi="Arial" w:cs="Arial"/>
    </w:rPr>
  </w:style>
  <w:style w:type="paragraph" w:styleId="23">
    <w:name w:val="annotation text"/>
    <w:basedOn w:val="1"/>
    <w:link w:val="77"/>
    <w:unhideWhenUsed/>
    <w:qFormat/>
    <w:uiPriority w:val="0"/>
    <w:pPr>
      <w:jc w:val="left"/>
    </w:pPr>
  </w:style>
  <w:style w:type="paragraph" w:styleId="24">
    <w:name w:val="Body Text 3"/>
    <w:basedOn w:val="1"/>
    <w:link w:val="78"/>
    <w:qFormat/>
    <w:uiPriority w:val="0"/>
    <w:pPr>
      <w:spacing w:after="120" w:line="240" w:lineRule="auto"/>
    </w:pPr>
    <w:rPr>
      <w:rFonts w:ascii="Calibri" w:hAnsi="Calibri" w:cs="黑体"/>
      <w:sz w:val="16"/>
      <w:szCs w:val="16"/>
    </w:rPr>
  </w:style>
  <w:style w:type="paragraph" w:styleId="25">
    <w:name w:val="Body Text"/>
    <w:basedOn w:val="1"/>
    <w:next w:val="1"/>
    <w:link w:val="79"/>
    <w:qFormat/>
    <w:uiPriority w:val="99"/>
    <w:pPr>
      <w:widowControl/>
      <w:shd w:val="clear" w:color="auto" w:fill="FFFFFF"/>
      <w:spacing w:before="180" w:line="397" w:lineRule="exact"/>
      <w:ind w:hanging="520"/>
      <w:jc w:val="distribute"/>
    </w:pPr>
    <w:rPr>
      <w:rFonts w:ascii="宋体" w:hAnsi="Calibri"/>
      <w:kern w:val="0"/>
      <w:sz w:val="20"/>
      <w:szCs w:val="20"/>
    </w:rPr>
  </w:style>
  <w:style w:type="paragraph" w:styleId="26">
    <w:name w:val="toc 5"/>
    <w:basedOn w:val="1"/>
    <w:next w:val="1"/>
    <w:qFormat/>
    <w:uiPriority w:val="39"/>
    <w:pPr>
      <w:ind w:left="960"/>
      <w:jc w:val="left"/>
    </w:pPr>
    <w:rPr>
      <w:rFonts w:ascii="Calibri" w:hAnsi="Calibri" w:cs="Calibri"/>
      <w:sz w:val="18"/>
      <w:szCs w:val="18"/>
    </w:rPr>
  </w:style>
  <w:style w:type="paragraph" w:styleId="27">
    <w:name w:val="toc 3"/>
    <w:basedOn w:val="1"/>
    <w:next w:val="1"/>
    <w:qFormat/>
    <w:uiPriority w:val="39"/>
    <w:pPr>
      <w:ind w:left="480"/>
      <w:jc w:val="left"/>
    </w:pPr>
    <w:rPr>
      <w:rFonts w:ascii="Calibri" w:hAnsi="Calibri" w:cs="Calibri"/>
      <w:i/>
      <w:iCs/>
      <w:sz w:val="20"/>
      <w:szCs w:val="20"/>
    </w:rPr>
  </w:style>
  <w:style w:type="paragraph" w:styleId="28">
    <w:name w:val="Plain Text"/>
    <w:basedOn w:val="1"/>
    <w:link w:val="81"/>
    <w:unhideWhenUsed/>
    <w:qFormat/>
    <w:uiPriority w:val="0"/>
    <w:pPr>
      <w:spacing w:line="240" w:lineRule="auto"/>
    </w:pPr>
    <w:rPr>
      <w:rFonts w:ascii="宋体" w:hAnsi="Courier New" w:cs="Courier New"/>
      <w:sz w:val="21"/>
      <w:szCs w:val="21"/>
    </w:rPr>
  </w:style>
  <w:style w:type="paragraph" w:styleId="29">
    <w:name w:val="toc 8"/>
    <w:basedOn w:val="1"/>
    <w:next w:val="1"/>
    <w:qFormat/>
    <w:uiPriority w:val="39"/>
    <w:pPr>
      <w:ind w:left="1680"/>
      <w:jc w:val="left"/>
    </w:pPr>
    <w:rPr>
      <w:rFonts w:ascii="Calibri" w:hAnsi="Calibri" w:cs="Calibri"/>
      <w:sz w:val="18"/>
      <w:szCs w:val="18"/>
    </w:rPr>
  </w:style>
  <w:style w:type="paragraph" w:styleId="30">
    <w:name w:val="Date"/>
    <w:basedOn w:val="1"/>
    <w:next w:val="1"/>
    <w:link w:val="82"/>
    <w:unhideWhenUsed/>
    <w:qFormat/>
    <w:uiPriority w:val="0"/>
    <w:pPr>
      <w:ind w:left="100" w:leftChars="2500"/>
    </w:pPr>
  </w:style>
  <w:style w:type="paragraph" w:styleId="31">
    <w:name w:val="List Continue 5"/>
    <w:basedOn w:val="1"/>
    <w:unhideWhenUsed/>
    <w:qFormat/>
    <w:uiPriority w:val="0"/>
    <w:pPr>
      <w:spacing w:after="120"/>
      <w:ind w:left="2100" w:leftChars="1000"/>
      <w:contextualSpacing/>
    </w:pPr>
  </w:style>
  <w:style w:type="paragraph" w:styleId="32">
    <w:name w:val="Balloon Text"/>
    <w:basedOn w:val="1"/>
    <w:link w:val="84"/>
    <w:unhideWhenUsed/>
    <w:qFormat/>
    <w:uiPriority w:val="0"/>
    <w:pPr>
      <w:spacing w:line="240" w:lineRule="auto"/>
    </w:pPr>
    <w:rPr>
      <w:sz w:val="18"/>
      <w:szCs w:val="18"/>
    </w:rPr>
  </w:style>
  <w:style w:type="paragraph" w:styleId="33">
    <w:name w:val="footer"/>
    <w:basedOn w:val="1"/>
    <w:link w:val="85"/>
    <w:unhideWhenUsed/>
    <w:qFormat/>
    <w:uiPriority w:val="99"/>
    <w:pPr>
      <w:tabs>
        <w:tab w:val="center" w:pos="4153"/>
        <w:tab w:val="right" w:pos="8306"/>
      </w:tabs>
      <w:snapToGrid w:val="0"/>
      <w:jc w:val="left"/>
    </w:pPr>
    <w:rPr>
      <w:rFonts w:ascii="Calibri" w:hAnsi="Calibri"/>
      <w:kern w:val="0"/>
      <w:sz w:val="18"/>
      <w:szCs w:val="18"/>
    </w:rPr>
  </w:style>
  <w:style w:type="paragraph" w:styleId="34">
    <w:name w:val="header"/>
    <w:basedOn w:val="1"/>
    <w:link w:val="86"/>
    <w:unhideWhenUsed/>
    <w:qFormat/>
    <w:uiPriority w:val="99"/>
    <w:pPr>
      <w:pBdr>
        <w:bottom w:val="single" w:color="auto" w:sz="6" w:space="1"/>
      </w:pBdr>
      <w:tabs>
        <w:tab w:val="center" w:pos="4153"/>
        <w:tab w:val="right" w:pos="8306"/>
      </w:tabs>
      <w:snapToGrid w:val="0"/>
      <w:jc w:val="center"/>
    </w:pPr>
    <w:rPr>
      <w:rFonts w:ascii="Calibri" w:hAnsi="Calibri"/>
      <w:kern w:val="0"/>
      <w:sz w:val="18"/>
      <w:szCs w:val="18"/>
    </w:rPr>
  </w:style>
  <w:style w:type="paragraph" w:styleId="35">
    <w:name w:val="toc 1"/>
    <w:basedOn w:val="1"/>
    <w:next w:val="1"/>
    <w:qFormat/>
    <w:uiPriority w:val="39"/>
    <w:pPr>
      <w:jc w:val="left"/>
    </w:pPr>
    <w:rPr>
      <w:rFonts w:cs="Calibri"/>
      <w:b/>
      <w:bCs/>
      <w:caps/>
      <w:szCs w:val="20"/>
    </w:rPr>
  </w:style>
  <w:style w:type="paragraph" w:styleId="36">
    <w:name w:val="toc 4"/>
    <w:basedOn w:val="1"/>
    <w:next w:val="1"/>
    <w:qFormat/>
    <w:uiPriority w:val="39"/>
    <w:pPr>
      <w:ind w:left="720"/>
      <w:jc w:val="left"/>
    </w:pPr>
    <w:rPr>
      <w:rFonts w:ascii="Calibri" w:hAnsi="Calibri" w:cs="Calibri"/>
      <w:sz w:val="18"/>
      <w:szCs w:val="18"/>
    </w:rPr>
  </w:style>
  <w:style w:type="paragraph" w:styleId="37">
    <w:name w:val="List"/>
    <w:basedOn w:val="1"/>
    <w:unhideWhenUsed/>
    <w:qFormat/>
    <w:uiPriority w:val="0"/>
    <w:pPr>
      <w:spacing w:line="240" w:lineRule="auto"/>
      <w:ind w:left="200" w:hanging="200" w:hangingChars="200"/>
    </w:pPr>
    <w:rPr>
      <w:sz w:val="21"/>
    </w:rPr>
  </w:style>
  <w:style w:type="paragraph" w:styleId="38">
    <w:name w:val="toc 6"/>
    <w:basedOn w:val="1"/>
    <w:next w:val="1"/>
    <w:qFormat/>
    <w:uiPriority w:val="39"/>
    <w:pPr>
      <w:ind w:left="1200"/>
      <w:jc w:val="left"/>
    </w:pPr>
    <w:rPr>
      <w:rFonts w:ascii="Calibri" w:hAnsi="Calibri" w:cs="Calibri"/>
      <w:sz w:val="18"/>
      <w:szCs w:val="18"/>
    </w:rPr>
  </w:style>
  <w:style w:type="paragraph" w:styleId="39">
    <w:name w:val="Body Text Indent 3"/>
    <w:basedOn w:val="1"/>
    <w:link w:val="87"/>
    <w:qFormat/>
    <w:uiPriority w:val="0"/>
    <w:pPr>
      <w:spacing w:after="120" w:line="240" w:lineRule="auto"/>
      <w:ind w:left="420" w:leftChars="200"/>
    </w:pPr>
    <w:rPr>
      <w:rFonts w:ascii="Calibri" w:hAnsi="Calibri" w:cs="黑体"/>
      <w:sz w:val="16"/>
      <w:szCs w:val="16"/>
    </w:rPr>
  </w:style>
  <w:style w:type="paragraph" w:styleId="40">
    <w:name w:val="toc 2"/>
    <w:basedOn w:val="1"/>
    <w:next w:val="1"/>
    <w:qFormat/>
    <w:uiPriority w:val="39"/>
    <w:pPr>
      <w:ind w:left="238"/>
      <w:jc w:val="left"/>
    </w:pPr>
    <w:rPr>
      <w:rFonts w:cs="Calibri"/>
      <w:smallCaps/>
      <w:szCs w:val="20"/>
    </w:rPr>
  </w:style>
  <w:style w:type="paragraph" w:styleId="41">
    <w:name w:val="toc 9"/>
    <w:basedOn w:val="1"/>
    <w:next w:val="1"/>
    <w:qFormat/>
    <w:uiPriority w:val="39"/>
    <w:pPr>
      <w:ind w:left="1920"/>
      <w:jc w:val="left"/>
    </w:pPr>
    <w:rPr>
      <w:rFonts w:ascii="Calibri" w:hAnsi="Calibri" w:cs="Calibri"/>
      <w:sz w:val="18"/>
      <w:szCs w:val="18"/>
    </w:rPr>
  </w:style>
  <w:style w:type="paragraph" w:styleId="42">
    <w:name w:val="Body Text 2"/>
    <w:basedOn w:val="1"/>
    <w:link w:val="88"/>
    <w:qFormat/>
    <w:uiPriority w:val="99"/>
    <w:pPr>
      <w:spacing w:before="93" w:after="120" w:line="480" w:lineRule="auto"/>
    </w:pPr>
  </w:style>
  <w:style w:type="paragraph" w:styleId="43">
    <w:name w:val="Message Header"/>
    <w:basedOn w:val="1"/>
    <w:link w:val="89"/>
    <w:qFormat/>
    <w:uiPriority w:val="0"/>
    <w:pPr>
      <w:pBdr>
        <w:top w:val="single" w:color="auto" w:sz="6" w:space="1"/>
        <w:left w:val="single" w:color="auto" w:sz="6" w:space="1"/>
        <w:bottom w:val="single" w:color="auto" w:sz="6" w:space="1"/>
        <w:right w:val="single" w:color="auto" w:sz="6" w:space="1"/>
      </w:pBdr>
      <w:shd w:val="pct20" w:color="auto" w:fill="auto"/>
      <w:spacing w:line="240" w:lineRule="auto"/>
      <w:ind w:left="1080" w:leftChars="500" w:hanging="1080" w:hangingChars="500"/>
    </w:pPr>
    <w:rPr>
      <w:rFonts w:ascii="Arial" w:hAnsi="Arial" w:cs="Arial"/>
    </w:rPr>
  </w:style>
  <w:style w:type="paragraph" w:styleId="44">
    <w:name w:val="Normal (Web)"/>
    <w:basedOn w:val="1"/>
    <w:qFormat/>
    <w:uiPriority w:val="99"/>
    <w:pPr>
      <w:widowControl/>
      <w:spacing w:before="100" w:beforeAutospacing="1" w:after="100" w:afterAutospacing="1" w:line="240" w:lineRule="auto"/>
      <w:jc w:val="left"/>
    </w:pPr>
    <w:rPr>
      <w:rFonts w:ascii="宋体" w:hAnsi="宋体" w:cs="宋体"/>
      <w:kern w:val="0"/>
    </w:rPr>
  </w:style>
  <w:style w:type="paragraph" w:styleId="45">
    <w:name w:val="annotation subject"/>
    <w:basedOn w:val="23"/>
    <w:next w:val="23"/>
    <w:link w:val="90"/>
    <w:unhideWhenUsed/>
    <w:qFormat/>
    <w:uiPriority w:val="0"/>
    <w:rPr>
      <w:b/>
      <w:bCs/>
    </w:rPr>
  </w:style>
  <w:style w:type="paragraph" w:styleId="46">
    <w:name w:val="Body Text First Indent"/>
    <w:basedOn w:val="25"/>
    <w:link w:val="91"/>
    <w:unhideWhenUsed/>
    <w:qFormat/>
    <w:uiPriority w:val="99"/>
    <w:pPr>
      <w:widowControl w:val="0"/>
      <w:shd w:val="clear" w:color="auto" w:fill="auto"/>
      <w:spacing w:before="0" w:after="120" w:line="360" w:lineRule="auto"/>
      <w:ind w:firstLine="420" w:firstLineChars="100"/>
      <w:jc w:val="both"/>
    </w:pPr>
    <w:rPr>
      <w:rFonts w:ascii="Times New Roman" w:hAnsi="Times New Roman"/>
      <w:kern w:val="2"/>
      <w:sz w:val="24"/>
      <w:szCs w:val="24"/>
    </w:rPr>
  </w:style>
  <w:style w:type="table" w:styleId="48">
    <w:name w:val="Table Grid"/>
    <w:basedOn w:val="4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0">
    <w:name w:val="Strong"/>
    <w:qFormat/>
    <w:uiPriority w:val="0"/>
    <w:rPr>
      <w:b/>
      <w:bCs/>
    </w:rPr>
  </w:style>
  <w:style w:type="character" w:styleId="51">
    <w:name w:val="page number"/>
    <w:qFormat/>
    <w:uiPriority w:val="0"/>
  </w:style>
  <w:style w:type="character" w:styleId="52">
    <w:name w:val="FollowedHyperlink"/>
    <w:unhideWhenUsed/>
    <w:qFormat/>
    <w:uiPriority w:val="99"/>
    <w:rPr>
      <w:color w:val="800080"/>
      <w:u w:val="single"/>
    </w:rPr>
  </w:style>
  <w:style w:type="character" w:styleId="53">
    <w:name w:val="Emphasis"/>
    <w:qFormat/>
    <w:uiPriority w:val="20"/>
    <w:rPr>
      <w:i/>
      <w:iCs/>
    </w:rPr>
  </w:style>
  <w:style w:type="character" w:styleId="54">
    <w:name w:val="HTML Definition"/>
    <w:unhideWhenUsed/>
    <w:qFormat/>
    <w:uiPriority w:val="0"/>
  </w:style>
  <w:style w:type="character" w:styleId="55">
    <w:name w:val="HTML Acronym"/>
    <w:unhideWhenUsed/>
    <w:qFormat/>
    <w:uiPriority w:val="0"/>
  </w:style>
  <w:style w:type="character" w:styleId="56">
    <w:name w:val="HTML Variable"/>
    <w:unhideWhenUsed/>
    <w:qFormat/>
    <w:uiPriority w:val="0"/>
  </w:style>
  <w:style w:type="character" w:styleId="57">
    <w:name w:val="Hyperlink"/>
    <w:qFormat/>
    <w:uiPriority w:val="99"/>
    <w:rPr>
      <w:rFonts w:cs="Times New Roman"/>
      <w:color w:val="0000FF"/>
      <w:u w:val="single"/>
    </w:rPr>
  </w:style>
  <w:style w:type="character" w:styleId="58">
    <w:name w:val="HTML Code"/>
    <w:unhideWhenUsed/>
    <w:qFormat/>
    <w:uiPriority w:val="0"/>
    <w:rPr>
      <w:rFonts w:ascii="Courier New" w:hAnsi="Courier New"/>
      <w:sz w:val="20"/>
    </w:rPr>
  </w:style>
  <w:style w:type="character" w:styleId="59">
    <w:name w:val="annotation reference"/>
    <w:unhideWhenUsed/>
    <w:qFormat/>
    <w:uiPriority w:val="0"/>
    <w:rPr>
      <w:sz w:val="21"/>
      <w:szCs w:val="21"/>
    </w:rPr>
  </w:style>
  <w:style w:type="character" w:styleId="60">
    <w:name w:val="HTML Cite"/>
    <w:unhideWhenUsed/>
    <w:qFormat/>
    <w:uiPriority w:val="0"/>
  </w:style>
  <w:style w:type="paragraph" w:customStyle="1" w:styleId="61">
    <w:name w:val="吴2级"/>
    <w:basedOn w:val="1"/>
    <w:link w:val="111"/>
    <w:qFormat/>
    <w:uiPriority w:val="0"/>
    <w:pPr>
      <w:keepNext/>
      <w:keepLines/>
      <w:tabs>
        <w:tab w:val="left" w:pos="180"/>
        <w:tab w:val="left" w:pos="540"/>
        <w:tab w:val="left" w:pos="720"/>
        <w:tab w:val="left" w:pos="2072"/>
      </w:tabs>
      <w:jc w:val="left"/>
      <w:outlineLvl w:val="1"/>
    </w:pPr>
    <w:rPr>
      <w:rFonts w:eastAsia="Times New Roman"/>
      <w:b/>
      <w:bCs/>
      <w:kern w:val="0"/>
      <w:sz w:val="28"/>
      <w:szCs w:val="32"/>
    </w:rPr>
  </w:style>
  <w:style w:type="paragraph" w:customStyle="1" w:styleId="62">
    <w:name w:val="吴3级"/>
    <w:basedOn w:val="1"/>
    <w:link w:val="116"/>
    <w:qFormat/>
    <w:uiPriority w:val="0"/>
    <w:pPr>
      <w:keepNext/>
      <w:keepLines/>
      <w:tabs>
        <w:tab w:val="left" w:pos="-1800"/>
        <w:tab w:val="left" w:pos="900"/>
      </w:tabs>
      <w:jc w:val="left"/>
      <w:outlineLvl w:val="2"/>
    </w:pPr>
    <w:rPr>
      <w:rFonts w:cs="宋体"/>
      <w:b/>
      <w:bCs/>
      <w:kern w:val="0"/>
      <w:szCs w:val="28"/>
    </w:rPr>
  </w:style>
  <w:style w:type="paragraph" w:customStyle="1" w:styleId="63">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64">
    <w:name w:val="样式1 Char"/>
    <w:link w:val="6"/>
    <w:qFormat/>
    <w:uiPriority w:val="0"/>
    <w:rPr>
      <w:rFonts w:ascii="Times New Roman" w:hAnsi="Times New Roman" w:cs="Times New Roman"/>
      <w:sz w:val="24"/>
      <w:szCs w:val="24"/>
    </w:rPr>
  </w:style>
  <w:style w:type="character" w:customStyle="1" w:styleId="65">
    <w:name w:val="标题 1 字符3"/>
    <w:link w:val="5"/>
    <w:qFormat/>
    <w:uiPriority w:val="0"/>
    <w:rPr>
      <w:rFonts w:ascii="黑体" w:hAnsi="黑体"/>
      <w:b/>
      <w:sz w:val="44"/>
      <w:szCs w:val="24"/>
    </w:rPr>
  </w:style>
  <w:style w:type="character" w:customStyle="1" w:styleId="66">
    <w:name w:val="标题 2 字符3"/>
    <w:link w:val="7"/>
    <w:qFormat/>
    <w:uiPriority w:val="0"/>
    <w:rPr>
      <w:b/>
      <w:sz w:val="28"/>
      <w:szCs w:val="32"/>
    </w:rPr>
  </w:style>
  <w:style w:type="character" w:customStyle="1" w:styleId="67">
    <w:name w:val="标题 3 字符2"/>
    <w:link w:val="8"/>
    <w:qFormat/>
    <w:uiPriority w:val="0"/>
    <w:rPr>
      <w:rFonts w:cs="宋体"/>
      <w:b/>
      <w:sz w:val="24"/>
      <w:szCs w:val="32"/>
    </w:rPr>
  </w:style>
  <w:style w:type="character" w:customStyle="1" w:styleId="68">
    <w:name w:val="标题 4 字符1"/>
    <w:link w:val="9"/>
    <w:qFormat/>
    <w:uiPriority w:val="0"/>
    <w:rPr>
      <w:b/>
      <w:bCs/>
      <w:sz w:val="24"/>
      <w:szCs w:val="28"/>
    </w:rPr>
  </w:style>
  <w:style w:type="character" w:customStyle="1" w:styleId="69">
    <w:name w:val="标题 5 字符1"/>
    <w:link w:val="11"/>
    <w:qFormat/>
    <w:uiPriority w:val="0"/>
    <w:rPr>
      <w:b/>
      <w:bCs/>
      <w:sz w:val="24"/>
      <w:szCs w:val="28"/>
    </w:rPr>
  </w:style>
  <w:style w:type="character" w:customStyle="1" w:styleId="70">
    <w:name w:val="标题 6 字符1"/>
    <w:link w:val="12"/>
    <w:qFormat/>
    <w:uiPriority w:val="0"/>
    <w:rPr>
      <w:rFonts w:ascii="Cambria" w:hAnsi="Cambria"/>
      <w:b/>
      <w:bCs/>
      <w:sz w:val="24"/>
      <w:szCs w:val="24"/>
    </w:rPr>
  </w:style>
  <w:style w:type="character" w:customStyle="1" w:styleId="71">
    <w:name w:val="标题 7 字符1"/>
    <w:link w:val="13"/>
    <w:qFormat/>
    <w:uiPriority w:val="0"/>
    <w:rPr>
      <w:b/>
      <w:bCs/>
      <w:sz w:val="24"/>
      <w:szCs w:val="24"/>
    </w:rPr>
  </w:style>
  <w:style w:type="character" w:customStyle="1" w:styleId="72">
    <w:name w:val="标题 8 字符1"/>
    <w:link w:val="14"/>
    <w:qFormat/>
    <w:uiPriority w:val="0"/>
    <w:rPr>
      <w:rFonts w:ascii="Cambria" w:hAnsi="Cambria"/>
      <w:sz w:val="24"/>
      <w:szCs w:val="24"/>
    </w:rPr>
  </w:style>
  <w:style w:type="character" w:customStyle="1" w:styleId="73">
    <w:name w:val="标题 9 字符1"/>
    <w:link w:val="15"/>
    <w:qFormat/>
    <w:uiPriority w:val="0"/>
    <w:rPr>
      <w:rFonts w:ascii="Cambria" w:hAnsi="Cambria"/>
      <w:szCs w:val="21"/>
    </w:rPr>
  </w:style>
  <w:style w:type="character" w:customStyle="1" w:styleId="74">
    <w:name w:val="注释标题 字符1"/>
    <w:link w:val="18"/>
    <w:qFormat/>
    <w:uiPriority w:val="0"/>
    <w:rPr>
      <w:rFonts w:ascii="宋体" w:hAnsi="宋体"/>
      <w:color w:val="666600"/>
      <w:kern w:val="2"/>
      <w:sz w:val="21"/>
    </w:rPr>
  </w:style>
  <w:style w:type="character" w:customStyle="1" w:styleId="75">
    <w:name w:val="正文缩进 字符2"/>
    <w:link w:val="10"/>
    <w:qFormat/>
    <w:uiPriority w:val="0"/>
    <w:rPr>
      <w:kern w:val="2"/>
      <w:sz w:val="24"/>
      <w:szCs w:val="24"/>
    </w:rPr>
  </w:style>
  <w:style w:type="character" w:customStyle="1" w:styleId="76">
    <w:name w:val="文档结构图 字符1"/>
    <w:link w:val="21"/>
    <w:qFormat/>
    <w:uiPriority w:val="99"/>
    <w:rPr>
      <w:rFonts w:ascii="宋体"/>
      <w:kern w:val="2"/>
      <w:sz w:val="18"/>
      <w:szCs w:val="18"/>
    </w:rPr>
  </w:style>
  <w:style w:type="character" w:customStyle="1" w:styleId="77">
    <w:name w:val="批注文字 字符1"/>
    <w:link w:val="23"/>
    <w:qFormat/>
    <w:uiPriority w:val="0"/>
    <w:rPr>
      <w:rFonts w:ascii="Times New Roman" w:hAnsi="Times New Roman"/>
      <w:kern w:val="2"/>
      <w:sz w:val="24"/>
      <w:szCs w:val="24"/>
    </w:rPr>
  </w:style>
  <w:style w:type="character" w:customStyle="1" w:styleId="78">
    <w:name w:val="正文文本 3 字符"/>
    <w:link w:val="24"/>
    <w:qFormat/>
    <w:uiPriority w:val="0"/>
    <w:rPr>
      <w:rFonts w:cs="黑体"/>
      <w:kern w:val="2"/>
      <w:sz w:val="16"/>
      <w:szCs w:val="16"/>
    </w:rPr>
  </w:style>
  <w:style w:type="character" w:customStyle="1" w:styleId="79">
    <w:name w:val="正文文本 字符"/>
    <w:link w:val="25"/>
    <w:qFormat/>
    <w:locked/>
    <w:uiPriority w:val="99"/>
    <w:rPr>
      <w:rFonts w:ascii="宋体" w:eastAsia="宋体" w:cs="宋体"/>
      <w:sz w:val="20"/>
      <w:szCs w:val="20"/>
      <w:shd w:val="clear" w:color="auto" w:fill="FFFFFF"/>
    </w:rPr>
  </w:style>
  <w:style w:type="character" w:customStyle="1" w:styleId="80">
    <w:name w:val="正文文本缩进 字符1"/>
    <w:link w:val="3"/>
    <w:qFormat/>
    <w:uiPriority w:val="0"/>
    <w:rPr>
      <w:rFonts w:ascii="Times New Roman" w:hAnsi="Times New Roman"/>
      <w:kern w:val="2"/>
      <w:sz w:val="24"/>
      <w:szCs w:val="24"/>
    </w:rPr>
  </w:style>
  <w:style w:type="character" w:customStyle="1" w:styleId="81">
    <w:name w:val="纯文本 字符2"/>
    <w:link w:val="28"/>
    <w:qFormat/>
    <w:uiPriority w:val="0"/>
    <w:rPr>
      <w:rFonts w:ascii="宋体" w:hAnsi="Courier New" w:cs="Courier New"/>
      <w:kern w:val="2"/>
      <w:sz w:val="21"/>
      <w:szCs w:val="21"/>
    </w:rPr>
  </w:style>
  <w:style w:type="character" w:customStyle="1" w:styleId="82">
    <w:name w:val="日期 字符1"/>
    <w:link w:val="30"/>
    <w:qFormat/>
    <w:uiPriority w:val="0"/>
    <w:rPr>
      <w:rFonts w:ascii="Times New Roman" w:hAnsi="Times New Roman"/>
      <w:kern w:val="2"/>
      <w:sz w:val="24"/>
      <w:szCs w:val="24"/>
    </w:rPr>
  </w:style>
  <w:style w:type="character" w:customStyle="1" w:styleId="83">
    <w:name w:val="正文文本缩进 2 字符1"/>
    <w:link w:val="4"/>
    <w:qFormat/>
    <w:uiPriority w:val="99"/>
    <w:rPr>
      <w:rFonts w:cs="黑体"/>
      <w:kern w:val="2"/>
      <w:sz w:val="21"/>
      <w:szCs w:val="21"/>
    </w:rPr>
  </w:style>
  <w:style w:type="character" w:customStyle="1" w:styleId="84">
    <w:name w:val="批注框文本 字符1"/>
    <w:link w:val="32"/>
    <w:semiHidden/>
    <w:qFormat/>
    <w:uiPriority w:val="99"/>
    <w:rPr>
      <w:rFonts w:ascii="Times New Roman" w:hAnsi="Times New Roman"/>
      <w:kern w:val="2"/>
      <w:sz w:val="18"/>
      <w:szCs w:val="18"/>
    </w:rPr>
  </w:style>
  <w:style w:type="character" w:customStyle="1" w:styleId="85">
    <w:name w:val="页脚 字符2"/>
    <w:link w:val="33"/>
    <w:qFormat/>
    <w:uiPriority w:val="0"/>
    <w:rPr>
      <w:sz w:val="18"/>
      <w:szCs w:val="18"/>
    </w:rPr>
  </w:style>
  <w:style w:type="character" w:customStyle="1" w:styleId="86">
    <w:name w:val="页眉 字符2"/>
    <w:link w:val="34"/>
    <w:qFormat/>
    <w:uiPriority w:val="0"/>
    <w:rPr>
      <w:sz w:val="18"/>
      <w:szCs w:val="18"/>
    </w:rPr>
  </w:style>
  <w:style w:type="character" w:customStyle="1" w:styleId="87">
    <w:name w:val="正文文本缩进 3 字符1"/>
    <w:link w:val="39"/>
    <w:qFormat/>
    <w:uiPriority w:val="0"/>
    <w:rPr>
      <w:rFonts w:cs="黑体"/>
      <w:kern w:val="2"/>
      <w:sz w:val="16"/>
      <w:szCs w:val="16"/>
    </w:rPr>
  </w:style>
  <w:style w:type="character" w:customStyle="1" w:styleId="88">
    <w:name w:val="正文文本 2 字符1"/>
    <w:link w:val="42"/>
    <w:qFormat/>
    <w:uiPriority w:val="99"/>
    <w:rPr>
      <w:rFonts w:ascii="Times New Roman" w:hAnsi="Times New Roman"/>
      <w:kern w:val="2"/>
      <w:sz w:val="24"/>
      <w:szCs w:val="24"/>
    </w:rPr>
  </w:style>
  <w:style w:type="character" w:customStyle="1" w:styleId="89">
    <w:name w:val="信息标题 字符"/>
    <w:link w:val="43"/>
    <w:qFormat/>
    <w:uiPriority w:val="0"/>
    <w:rPr>
      <w:rFonts w:ascii="Arial" w:hAnsi="Arial" w:cs="Arial"/>
      <w:kern w:val="2"/>
      <w:sz w:val="24"/>
      <w:szCs w:val="24"/>
      <w:shd w:val="pct20" w:color="auto" w:fill="auto"/>
    </w:rPr>
  </w:style>
  <w:style w:type="character" w:customStyle="1" w:styleId="90">
    <w:name w:val="批注主题 字符1"/>
    <w:link w:val="45"/>
    <w:qFormat/>
    <w:uiPriority w:val="0"/>
    <w:rPr>
      <w:rFonts w:ascii="Times New Roman" w:hAnsi="Times New Roman"/>
      <w:b/>
      <w:bCs/>
      <w:kern w:val="2"/>
      <w:sz w:val="24"/>
      <w:szCs w:val="24"/>
    </w:rPr>
  </w:style>
  <w:style w:type="character" w:customStyle="1" w:styleId="91">
    <w:name w:val="正文文本首行缩进 字符1"/>
    <w:link w:val="46"/>
    <w:qFormat/>
    <w:uiPriority w:val="99"/>
    <w:rPr>
      <w:rFonts w:ascii="Times New Roman" w:hAnsi="Times New Roman" w:eastAsia="宋体" w:cs="宋体"/>
      <w:kern w:val="2"/>
      <w:sz w:val="24"/>
      <w:szCs w:val="24"/>
      <w:shd w:val="clear" w:color="auto" w:fill="FFFFFF"/>
    </w:rPr>
  </w:style>
  <w:style w:type="character" w:customStyle="1" w:styleId="92">
    <w:name w:val="正文文本首行缩进 2 字符"/>
    <w:link w:val="2"/>
    <w:qFormat/>
    <w:uiPriority w:val="0"/>
    <w:rPr>
      <w:rFonts w:ascii="Times New Roman" w:hAnsi="Times New Roman" w:eastAsia="楷体_GB2312"/>
      <w:kern w:val="2"/>
      <w:sz w:val="21"/>
      <w:szCs w:val="24"/>
    </w:rPr>
  </w:style>
  <w:style w:type="character" w:customStyle="1" w:styleId="93">
    <w:name w:val="页眉 Char2"/>
    <w:qFormat/>
    <w:uiPriority w:val="0"/>
    <w:rPr>
      <w:rFonts w:eastAsia="宋体"/>
      <w:kern w:val="2"/>
      <w:sz w:val="18"/>
      <w:szCs w:val="18"/>
      <w:lang w:val="zh-CN" w:eastAsia="zh-CN" w:bidi="ar-SA"/>
    </w:rPr>
  </w:style>
  <w:style w:type="paragraph" w:customStyle="1" w:styleId="94">
    <w:name w:val="样式 标题3 + Times New Roman 黑色"/>
    <w:basedOn w:val="1"/>
    <w:link w:val="95"/>
    <w:qFormat/>
    <w:uiPriority w:val="0"/>
    <w:pPr>
      <w:keepNext/>
      <w:keepLines/>
      <w:widowControl/>
      <w:spacing w:before="80"/>
      <w:ind w:left="720" w:hanging="720"/>
      <w:jc w:val="left"/>
      <w:outlineLvl w:val="2"/>
    </w:pPr>
    <w:rPr>
      <w:rFonts w:eastAsia="黑体"/>
      <w:color w:val="000000"/>
      <w:kern w:val="0"/>
      <w:szCs w:val="20"/>
      <w:lang w:val="zh-CN"/>
    </w:rPr>
  </w:style>
  <w:style w:type="character" w:customStyle="1" w:styleId="95">
    <w:name w:val="样式 标题3 + Times New Roman 黑色 Char"/>
    <w:link w:val="94"/>
    <w:qFormat/>
    <w:uiPriority w:val="0"/>
    <w:rPr>
      <w:rFonts w:ascii="Times New Roman" w:hAnsi="Times New Roman" w:eastAsia="黑体" w:cs="Times New Roman"/>
      <w:color w:val="000000"/>
      <w:sz w:val="24"/>
      <w:szCs w:val="20"/>
      <w:lang w:val="zh-CN"/>
    </w:rPr>
  </w:style>
  <w:style w:type="paragraph" w:customStyle="1" w:styleId="96">
    <w:name w:val="样式 宋体 小四 行距: 固定值 26 磅"/>
    <w:basedOn w:val="1"/>
    <w:link w:val="97"/>
    <w:qFormat/>
    <w:uiPriority w:val="0"/>
    <w:pPr>
      <w:spacing w:line="520" w:lineRule="exact"/>
      <w:ind w:firstLine="480" w:firstLineChars="200"/>
    </w:pPr>
    <w:rPr>
      <w:kern w:val="0"/>
    </w:rPr>
  </w:style>
  <w:style w:type="character" w:customStyle="1" w:styleId="97">
    <w:name w:val="样式 宋体 小四 行距: 固定值 26 磅 Char"/>
    <w:link w:val="96"/>
    <w:qFormat/>
    <w:uiPriority w:val="0"/>
    <w:rPr>
      <w:rFonts w:ascii="Times New Roman" w:hAnsi="Times New Roman" w:eastAsia="宋体" w:cs="宋体"/>
      <w:sz w:val="24"/>
      <w:szCs w:val="24"/>
    </w:rPr>
  </w:style>
  <w:style w:type="paragraph" w:customStyle="1" w:styleId="98">
    <w:name w:val="宗兴正文"/>
    <w:basedOn w:val="1"/>
    <w:link w:val="99"/>
    <w:qFormat/>
    <w:uiPriority w:val="0"/>
    <w:pPr>
      <w:ind w:firstLine="480" w:firstLineChars="200"/>
      <w:jc w:val="left"/>
    </w:pPr>
    <w:rPr>
      <w:kern w:val="0"/>
    </w:rPr>
  </w:style>
  <w:style w:type="character" w:customStyle="1" w:styleId="99">
    <w:name w:val="宗兴正文 Char"/>
    <w:link w:val="98"/>
    <w:qFormat/>
    <w:uiPriority w:val="0"/>
    <w:rPr>
      <w:rFonts w:ascii="Times New Roman" w:hAnsi="Times New Roman" w:eastAsia="宋体" w:cs="Times New Roman"/>
      <w:sz w:val="24"/>
      <w:szCs w:val="24"/>
    </w:rPr>
  </w:style>
  <w:style w:type="character" w:customStyle="1" w:styleId="100">
    <w:name w:val="正文文本 Char"/>
    <w:qFormat/>
    <w:uiPriority w:val="99"/>
    <w:rPr>
      <w:rFonts w:ascii="Times New Roman" w:hAnsi="Times New Roman" w:cs="Times New Roman"/>
      <w:sz w:val="24"/>
      <w:szCs w:val="24"/>
    </w:rPr>
  </w:style>
  <w:style w:type="paragraph" w:customStyle="1" w:styleId="101">
    <w:name w:val="样式 标题 2 + (西文) 黑体"/>
    <w:basedOn w:val="7"/>
    <w:qFormat/>
    <w:uiPriority w:val="0"/>
    <w:pPr>
      <w:numPr>
        <w:ilvl w:val="0"/>
        <w:numId w:val="0"/>
      </w:numPr>
      <w:tabs>
        <w:tab w:val="left" w:pos="567"/>
        <w:tab w:val="left" w:pos="840"/>
      </w:tabs>
      <w:snapToGrid w:val="0"/>
      <w:spacing w:before="240" w:after="120" w:line="360" w:lineRule="atLeast"/>
      <w:ind w:left="840" w:hanging="420"/>
    </w:pPr>
    <w:rPr>
      <w:rFonts w:eastAsia="黑体"/>
      <w:spacing w:val="4"/>
      <w:szCs w:val="20"/>
    </w:rPr>
  </w:style>
  <w:style w:type="paragraph" w:customStyle="1" w:styleId="102">
    <w:name w:val="振文"/>
    <w:basedOn w:val="1"/>
    <w:link w:val="103"/>
    <w:qFormat/>
    <w:uiPriority w:val="0"/>
    <w:pPr>
      <w:ind w:firstLine="420"/>
    </w:pPr>
    <w:rPr>
      <w:rFonts w:ascii="宋体" w:hAnsi="宋体"/>
      <w:kern w:val="0"/>
    </w:rPr>
  </w:style>
  <w:style w:type="character" w:customStyle="1" w:styleId="103">
    <w:name w:val="振文 Char"/>
    <w:link w:val="102"/>
    <w:qFormat/>
    <w:uiPriority w:val="0"/>
    <w:rPr>
      <w:rFonts w:ascii="宋体" w:hAnsi="宋体" w:eastAsia="宋体" w:cs="Times New Roman"/>
      <w:sz w:val="24"/>
      <w:szCs w:val="24"/>
    </w:rPr>
  </w:style>
  <w:style w:type="character" w:customStyle="1" w:styleId="104">
    <w:name w:val="正文文本 + Palatino Linotype2"/>
    <w:qFormat/>
    <w:uiPriority w:val="99"/>
    <w:rPr>
      <w:rFonts w:ascii="Palatino Linotype" w:hAnsi="Palatino Linotype" w:eastAsia="宋体" w:cs="Palatino Linotype"/>
      <w:spacing w:val="-5"/>
      <w:kern w:val="2"/>
      <w:sz w:val="21"/>
      <w:szCs w:val="21"/>
      <w:lang w:val="zh-CN" w:eastAsia="zh-CN" w:bidi="ar-SA"/>
    </w:rPr>
  </w:style>
  <w:style w:type="paragraph" w:customStyle="1" w:styleId="105">
    <w:name w:val="样式 haydonli + 首行缩进:  2 字符"/>
    <w:basedOn w:val="1"/>
    <w:qFormat/>
    <w:uiPriority w:val="0"/>
    <w:pPr>
      <w:adjustRightInd w:val="0"/>
      <w:snapToGrid w:val="0"/>
      <w:spacing w:line="400" w:lineRule="exact"/>
      <w:ind w:firstLine="420"/>
    </w:pPr>
    <w:rPr>
      <w:rFonts w:ascii="宋体" w:hAnsi="宋体" w:cs="宋体"/>
      <w:kern w:val="0"/>
    </w:rPr>
  </w:style>
  <w:style w:type="character" w:styleId="106">
    <w:name w:val="Placeholder Text"/>
    <w:semiHidden/>
    <w:qFormat/>
    <w:uiPriority w:val="99"/>
    <w:rPr>
      <w:color w:val="808080"/>
    </w:rPr>
  </w:style>
  <w:style w:type="paragraph" w:customStyle="1" w:styleId="107">
    <w:name w:val="五号表格"/>
    <w:basedOn w:val="1"/>
    <w:qFormat/>
    <w:uiPriority w:val="0"/>
    <w:pPr>
      <w:spacing w:line="240" w:lineRule="atLeast"/>
      <w:jc w:val="center"/>
    </w:pPr>
    <w:rPr>
      <w:sz w:val="21"/>
    </w:rPr>
  </w:style>
  <w:style w:type="paragraph" w:customStyle="1" w:styleId="108">
    <w:name w:val="样式 样式 (中文) 仿宋_GB2312 居中1 + 小四"/>
    <w:basedOn w:val="1"/>
    <w:qFormat/>
    <w:uiPriority w:val="0"/>
    <w:pPr>
      <w:spacing w:line="240" w:lineRule="auto"/>
      <w:jc w:val="center"/>
    </w:pPr>
    <w:rPr>
      <w:rFonts w:cs="宋体"/>
      <w:szCs w:val="20"/>
    </w:rPr>
  </w:style>
  <w:style w:type="paragraph" w:customStyle="1" w:styleId="109">
    <w:name w:val="正文啊"/>
    <w:basedOn w:val="1"/>
    <w:link w:val="110"/>
    <w:qFormat/>
    <w:uiPriority w:val="0"/>
    <w:pPr>
      <w:widowControl/>
      <w:ind w:firstLine="420"/>
    </w:pPr>
    <w:rPr>
      <w:rFonts w:ascii="Calibri" w:hAnsi="Calibri"/>
      <w:kern w:val="0"/>
      <w:szCs w:val="20"/>
    </w:rPr>
  </w:style>
  <w:style w:type="character" w:customStyle="1" w:styleId="110">
    <w:name w:val="正文啊 Char"/>
    <w:link w:val="109"/>
    <w:qFormat/>
    <w:uiPriority w:val="0"/>
    <w:rPr>
      <w:rFonts w:ascii="Calibri" w:hAnsi="Calibri" w:eastAsia="宋体" w:cs="Times New Roman"/>
      <w:sz w:val="24"/>
    </w:rPr>
  </w:style>
  <w:style w:type="character" w:customStyle="1" w:styleId="111">
    <w:name w:val="吴2级 Char Char"/>
    <w:link w:val="61"/>
    <w:qFormat/>
    <w:uiPriority w:val="0"/>
    <w:rPr>
      <w:rFonts w:ascii="Times New Roman" w:hAnsi="Times New Roman" w:eastAsia="Times New Roman"/>
      <w:b/>
      <w:bCs/>
      <w:sz w:val="28"/>
      <w:szCs w:val="32"/>
    </w:rPr>
  </w:style>
  <w:style w:type="paragraph" w:customStyle="1" w:styleId="112">
    <w:name w:val="吴正文"/>
    <w:basedOn w:val="1"/>
    <w:link w:val="113"/>
    <w:qFormat/>
    <w:uiPriority w:val="0"/>
    <w:pPr>
      <w:widowControl/>
      <w:ind w:firstLine="200" w:firstLineChars="200"/>
    </w:pPr>
  </w:style>
  <w:style w:type="character" w:customStyle="1" w:styleId="113">
    <w:name w:val="吴正文 Char Char"/>
    <w:link w:val="112"/>
    <w:qFormat/>
    <w:uiPriority w:val="0"/>
    <w:rPr>
      <w:rFonts w:ascii="Times New Roman" w:hAnsi="Times New Roman"/>
      <w:kern w:val="2"/>
      <w:sz w:val="24"/>
      <w:szCs w:val="24"/>
    </w:rPr>
  </w:style>
  <w:style w:type="paragraph" w:customStyle="1" w:styleId="114">
    <w:name w:val="吴1级"/>
    <w:basedOn w:val="1"/>
    <w:next w:val="1"/>
    <w:link w:val="115"/>
    <w:qFormat/>
    <w:uiPriority w:val="0"/>
    <w:pPr>
      <w:keepNext/>
      <w:keepLines/>
      <w:tabs>
        <w:tab w:val="left" w:pos="360"/>
      </w:tabs>
      <w:spacing w:before="440" w:after="440"/>
      <w:outlineLvl w:val="0"/>
    </w:pPr>
    <w:rPr>
      <w:b/>
      <w:bCs/>
      <w:color w:val="000000"/>
      <w:sz w:val="44"/>
      <w:szCs w:val="28"/>
    </w:rPr>
  </w:style>
  <w:style w:type="character" w:customStyle="1" w:styleId="115">
    <w:name w:val="吴1级 Char Char"/>
    <w:link w:val="114"/>
    <w:qFormat/>
    <w:uiPriority w:val="0"/>
    <w:rPr>
      <w:rFonts w:ascii="Times New Roman" w:hAnsi="Times New Roman"/>
      <w:b/>
      <w:bCs/>
      <w:color w:val="000000"/>
      <w:kern w:val="2"/>
      <w:sz w:val="44"/>
      <w:szCs w:val="28"/>
    </w:rPr>
  </w:style>
  <w:style w:type="character" w:customStyle="1" w:styleId="116">
    <w:name w:val="吴3级 Char Char"/>
    <w:link w:val="62"/>
    <w:qFormat/>
    <w:uiPriority w:val="0"/>
    <w:rPr>
      <w:rFonts w:ascii="Times New Roman" w:hAnsi="Times New Roman" w:cs="宋体"/>
      <w:b/>
      <w:bCs/>
      <w:sz w:val="24"/>
      <w:szCs w:val="28"/>
    </w:rPr>
  </w:style>
  <w:style w:type="paragraph" w:customStyle="1" w:styleId="117">
    <w:name w:val="吴表头"/>
    <w:basedOn w:val="1"/>
    <w:link w:val="118"/>
    <w:qFormat/>
    <w:uiPriority w:val="0"/>
    <w:pPr>
      <w:adjustRightInd w:val="0"/>
      <w:snapToGrid w:val="0"/>
      <w:ind w:firstLine="200" w:firstLineChars="200"/>
      <w:jc w:val="center"/>
    </w:pPr>
    <w:rPr>
      <w:b/>
    </w:rPr>
  </w:style>
  <w:style w:type="character" w:customStyle="1" w:styleId="118">
    <w:name w:val="吴表头 Char Char"/>
    <w:link w:val="117"/>
    <w:qFormat/>
    <w:uiPriority w:val="0"/>
    <w:rPr>
      <w:rFonts w:ascii="Times New Roman" w:hAnsi="Times New Roman"/>
      <w:b/>
      <w:kern w:val="2"/>
      <w:sz w:val="24"/>
      <w:szCs w:val="24"/>
    </w:rPr>
  </w:style>
  <w:style w:type="paragraph" w:customStyle="1" w:styleId="119">
    <w:name w:val="吴表格"/>
    <w:basedOn w:val="1"/>
    <w:link w:val="120"/>
    <w:qFormat/>
    <w:uiPriority w:val="0"/>
    <w:pPr>
      <w:spacing w:line="240" w:lineRule="auto"/>
      <w:jc w:val="center"/>
    </w:pPr>
    <w:rPr>
      <w:sz w:val="21"/>
      <w:szCs w:val="21"/>
    </w:rPr>
  </w:style>
  <w:style w:type="character" w:customStyle="1" w:styleId="120">
    <w:name w:val="吴表格 Char Char"/>
    <w:link w:val="119"/>
    <w:qFormat/>
    <w:uiPriority w:val="0"/>
    <w:rPr>
      <w:rFonts w:ascii="Times New Roman" w:hAnsi="Times New Roman"/>
      <w:kern w:val="2"/>
      <w:sz w:val="21"/>
      <w:szCs w:val="21"/>
    </w:rPr>
  </w:style>
  <w:style w:type="paragraph" w:customStyle="1" w:styleId="121">
    <w:name w:val="样式321131"/>
    <w:basedOn w:val="25"/>
    <w:qFormat/>
    <w:uiPriority w:val="0"/>
    <w:pPr>
      <w:widowControl w:val="0"/>
      <w:shd w:val="clear" w:color="auto" w:fill="auto"/>
      <w:spacing w:before="0" w:line="420" w:lineRule="exact"/>
      <w:ind w:firstLine="200" w:firstLineChars="200"/>
      <w:jc w:val="both"/>
    </w:pPr>
    <w:rPr>
      <w:rFonts w:ascii="Times New Roman" w:hAnsi="Times New Roman"/>
      <w:kern w:val="2"/>
      <w:sz w:val="21"/>
      <w:szCs w:val="28"/>
    </w:rPr>
  </w:style>
  <w:style w:type="paragraph" w:customStyle="1" w:styleId="122">
    <w:name w:val="样式4 宋体 Char"/>
    <w:basedOn w:val="1"/>
    <w:qFormat/>
    <w:uiPriority w:val="0"/>
    <w:pPr>
      <w:spacing w:line="240" w:lineRule="auto"/>
    </w:pPr>
    <w:rPr>
      <w:sz w:val="21"/>
    </w:rPr>
  </w:style>
  <w:style w:type="paragraph" w:customStyle="1" w:styleId="123">
    <w:name w:val="正文文本缩进 21"/>
    <w:basedOn w:val="1"/>
    <w:qFormat/>
    <w:uiPriority w:val="0"/>
    <w:pPr>
      <w:adjustRightInd w:val="0"/>
      <w:ind w:firstLine="480"/>
      <w:textAlignment w:val="baseline"/>
    </w:pPr>
    <w:rPr>
      <w:rFonts w:ascii="宋体"/>
      <w:kern w:val="0"/>
      <w:szCs w:val="20"/>
    </w:rPr>
  </w:style>
  <w:style w:type="paragraph" w:customStyle="1" w:styleId="124">
    <w:name w:val="下划线"/>
    <w:basedOn w:val="1"/>
    <w:next w:val="1"/>
    <w:qFormat/>
    <w:uiPriority w:val="0"/>
    <w:pPr>
      <w:spacing w:line="240" w:lineRule="exact"/>
      <w:jc w:val="center"/>
    </w:pPr>
    <w:rPr>
      <w:sz w:val="18"/>
      <w:szCs w:val="18"/>
    </w:rPr>
  </w:style>
  <w:style w:type="paragraph" w:customStyle="1" w:styleId="125">
    <w:name w:val="样式 小四 居中"/>
    <w:link w:val="126"/>
    <w:qFormat/>
    <w:uiPriority w:val="0"/>
    <w:pPr>
      <w:widowControl w:val="0"/>
      <w:spacing w:before="60" w:after="60"/>
      <w:jc w:val="center"/>
    </w:pPr>
    <w:rPr>
      <w:rFonts w:ascii="楷体_GB2312" w:hAnsi="Times New Roman" w:eastAsia="楷体_GB2312" w:cs="Times New Roman"/>
      <w:b/>
      <w:bCs/>
      <w:sz w:val="24"/>
      <w:szCs w:val="24"/>
      <w:lang w:val="en-US" w:eastAsia="zh-CN" w:bidi="ar-SA"/>
    </w:rPr>
  </w:style>
  <w:style w:type="character" w:customStyle="1" w:styleId="126">
    <w:name w:val="样式 小四 居中 Char Char"/>
    <w:link w:val="125"/>
    <w:qFormat/>
    <w:uiPriority w:val="0"/>
    <w:rPr>
      <w:rFonts w:ascii="楷体_GB2312" w:hAnsi="Times New Roman" w:eastAsia="楷体_GB2312"/>
      <w:b/>
      <w:bCs/>
      <w:sz w:val="24"/>
      <w:szCs w:val="24"/>
    </w:rPr>
  </w:style>
  <w:style w:type="paragraph" w:customStyle="1" w:styleId="127">
    <w:name w:val="样式 表格 32 + 首行缩进:  2 字符1"/>
    <w:basedOn w:val="1"/>
    <w:qFormat/>
    <w:uiPriority w:val="0"/>
    <w:pPr>
      <w:autoSpaceDE w:val="0"/>
      <w:autoSpaceDN w:val="0"/>
      <w:adjustRightInd w:val="0"/>
      <w:spacing w:line="240" w:lineRule="auto"/>
      <w:jc w:val="center"/>
      <w:textAlignment w:val="baseline"/>
    </w:pPr>
    <w:rPr>
      <w:kern w:val="0"/>
      <w:sz w:val="21"/>
      <w:szCs w:val="21"/>
    </w:rPr>
  </w:style>
  <w:style w:type="paragraph" w:customStyle="1" w:styleId="128">
    <w:name w:val="小标题"/>
    <w:basedOn w:val="1"/>
    <w:link w:val="129"/>
    <w:qFormat/>
    <w:uiPriority w:val="0"/>
    <w:pPr>
      <w:autoSpaceDE w:val="0"/>
      <w:autoSpaceDN w:val="0"/>
      <w:adjustRightInd w:val="0"/>
      <w:spacing w:before="120" w:after="120" w:line="400" w:lineRule="atLeast"/>
      <w:ind w:firstLine="482" w:firstLineChars="200"/>
      <w:textAlignment w:val="baseline"/>
    </w:pPr>
    <w:rPr>
      <w:rFonts w:ascii="宋体" w:hAnsi="Tms Rmn"/>
      <w:b/>
      <w:bCs/>
      <w:kern w:val="0"/>
      <w:szCs w:val="20"/>
      <w:u w:val="single"/>
    </w:rPr>
  </w:style>
  <w:style w:type="character" w:customStyle="1" w:styleId="129">
    <w:name w:val="小标题 Char Char"/>
    <w:link w:val="128"/>
    <w:qFormat/>
    <w:uiPriority w:val="0"/>
    <w:rPr>
      <w:rFonts w:ascii="宋体" w:hAnsi="Tms Rmn"/>
      <w:b/>
      <w:bCs/>
      <w:sz w:val="24"/>
      <w:u w:val="single"/>
    </w:rPr>
  </w:style>
  <w:style w:type="paragraph" w:customStyle="1" w:styleId="130">
    <w:name w:val="样式 报告 + 首行缩进:  2 字符"/>
    <w:basedOn w:val="1"/>
    <w:qFormat/>
    <w:uiPriority w:val="0"/>
    <w:pPr>
      <w:widowControl/>
      <w:tabs>
        <w:tab w:val="left" w:pos="946"/>
      </w:tabs>
      <w:overflowPunct w:val="0"/>
      <w:autoSpaceDE w:val="0"/>
      <w:autoSpaceDN w:val="0"/>
      <w:adjustRightInd w:val="0"/>
      <w:spacing w:before="120" w:after="120" w:line="400" w:lineRule="atLeast"/>
      <w:ind w:firstLine="480" w:firstLineChars="200"/>
      <w:textAlignment w:val="baseline"/>
    </w:pPr>
    <w:rPr>
      <w:kern w:val="0"/>
      <w:szCs w:val="20"/>
    </w:rPr>
  </w:style>
  <w:style w:type="paragraph" w:customStyle="1" w:styleId="131">
    <w:name w:val="正文(首行缩进)"/>
    <w:basedOn w:val="1"/>
    <w:link w:val="132"/>
    <w:qFormat/>
    <w:uiPriority w:val="0"/>
    <w:pPr>
      <w:adjustRightInd w:val="0"/>
      <w:snapToGrid w:val="0"/>
      <w:ind w:firstLine="200" w:firstLineChars="200"/>
    </w:pPr>
    <w:rPr>
      <w:rFonts w:ascii="Calibri" w:hAnsi="Calibri" w:cs="黑体"/>
    </w:rPr>
  </w:style>
  <w:style w:type="character" w:customStyle="1" w:styleId="132">
    <w:name w:val="正文(首行缩进) Char Char"/>
    <w:link w:val="131"/>
    <w:qFormat/>
    <w:uiPriority w:val="0"/>
    <w:rPr>
      <w:rFonts w:cs="黑体"/>
      <w:snapToGrid/>
      <w:kern w:val="2"/>
      <w:sz w:val="24"/>
      <w:szCs w:val="24"/>
    </w:rPr>
  </w:style>
  <w:style w:type="paragraph" w:customStyle="1" w:styleId="133">
    <w:name w:val="正文（1）"/>
    <w:basedOn w:val="1"/>
    <w:qFormat/>
    <w:uiPriority w:val="0"/>
    <w:pPr>
      <w:autoSpaceDE w:val="0"/>
      <w:autoSpaceDN w:val="0"/>
      <w:adjustRightInd w:val="0"/>
      <w:snapToGrid w:val="0"/>
      <w:spacing w:line="440" w:lineRule="exact"/>
      <w:ind w:firstLine="480" w:firstLineChars="200"/>
    </w:pPr>
    <w:rPr>
      <w:rFonts w:hAnsi="宋体"/>
      <w:color w:val="000000"/>
      <w:lang w:val="zh-CN"/>
    </w:rPr>
  </w:style>
  <w:style w:type="paragraph" w:customStyle="1" w:styleId="134">
    <w:name w:val="正文01"/>
    <w:basedOn w:val="1"/>
    <w:link w:val="135"/>
    <w:qFormat/>
    <w:uiPriority w:val="0"/>
    <w:pPr>
      <w:spacing w:before="60" w:line="460" w:lineRule="exact"/>
      <w:ind w:firstLine="200" w:firstLineChars="200"/>
    </w:pPr>
    <w:rPr>
      <w:szCs w:val="20"/>
    </w:rPr>
  </w:style>
  <w:style w:type="character" w:customStyle="1" w:styleId="135">
    <w:name w:val="正文01 Char Char"/>
    <w:link w:val="134"/>
    <w:qFormat/>
    <w:locked/>
    <w:uiPriority w:val="0"/>
    <w:rPr>
      <w:rFonts w:ascii="Times New Roman" w:hAnsi="Times New Roman"/>
      <w:kern w:val="2"/>
      <w:sz w:val="24"/>
    </w:rPr>
  </w:style>
  <w:style w:type="paragraph" w:customStyle="1" w:styleId="136">
    <w:name w:val="正文格式111"/>
    <w:basedOn w:val="1"/>
    <w:link w:val="137"/>
    <w:qFormat/>
    <w:uiPriority w:val="0"/>
    <w:pPr>
      <w:snapToGrid w:val="0"/>
      <w:spacing w:line="300" w:lineRule="auto"/>
      <w:ind w:firstLine="480" w:firstLineChars="200"/>
    </w:pPr>
    <w:rPr>
      <w:rFonts w:ascii="宋体" w:hAnsi="宋体"/>
    </w:rPr>
  </w:style>
  <w:style w:type="character" w:customStyle="1" w:styleId="137">
    <w:name w:val="正文格式111 Char Char"/>
    <w:link w:val="136"/>
    <w:qFormat/>
    <w:uiPriority w:val="0"/>
    <w:rPr>
      <w:rFonts w:ascii="宋体" w:hAnsi="宋体"/>
      <w:kern w:val="2"/>
      <w:sz w:val="24"/>
      <w:szCs w:val="24"/>
    </w:rPr>
  </w:style>
  <w:style w:type="paragraph" w:customStyle="1" w:styleId="138">
    <w:name w:val="样式 表格11 + 居中"/>
    <w:basedOn w:val="1"/>
    <w:link w:val="139"/>
    <w:qFormat/>
    <w:uiPriority w:val="0"/>
    <w:pPr>
      <w:adjustRightInd w:val="0"/>
      <w:snapToGrid w:val="0"/>
      <w:spacing w:line="240" w:lineRule="auto"/>
      <w:jc w:val="center"/>
    </w:pPr>
    <w:rPr>
      <w:rFonts w:cs="宋体"/>
      <w:kern w:val="0"/>
      <w:sz w:val="21"/>
      <w:szCs w:val="20"/>
    </w:rPr>
  </w:style>
  <w:style w:type="character" w:customStyle="1" w:styleId="139">
    <w:name w:val="样式 表格11 + 居中 Char Char"/>
    <w:link w:val="138"/>
    <w:qFormat/>
    <w:uiPriority w:val="0"/>
    <w:rPr>
      <w:rFonts w:ascii="Times New Roman" w:hAnsi="Times New Roman" w:cs="宋体"/>
      <w:sz w:val="21"/>
    </w:rPr>
  </w:style>
  <w:style w:type="paragraph" w:customStyle="1" w:styleId="140">
    <w:name w:val="正文2002"/>
    <w:basedOn w:val="1"/>
    <w:qFormat/>
    <w:uiPriority w:val="0"/>
    <w:pPr>
      <w:spacing w:line="280" w:lineRule="exact"/>
      <w:jc w:val="center"/>
    </w:pPr>
    <w:rPr>
      <w:rFonts w:hAnsi="宋体"/>
      <w:color w:val="000000"/>
      <w:spacing w:val="-12"/>
      <w:sz w:val="21"/>
      <w:szCs w:val="21"/>
    </w:rPr>
  </w:style>
  <w:style w:type="paragraph" w:customStyle="1" w:styleId="141">
    <w:name w:val="正文文本缩进1"/>
    <w:basedOn w:val="1"/>
    <w:qFormat/>
    <w:uiPriority w:val="0"/>
    <w:pPr>
      <w:spacing w:line="560" w:lineRule="exact"/>
      <w:ind w:firstLine="538" w:firstLineChars="192"/>
    </w:pPr>
    <w:rPr>
      <w:rFonts w:ascii="Calibri" w:hAnsi="Calibri" w:eastAsia="楷体_GB2312" w:cs="黑体"/>
      <w:sz w:val="28"/>
    </w:rPr>
  </w:style>
  <w:style w:type="paragraph" w:customStyle="1" w:styleId="142">
    <w:name w:val="样式 报告 + 首行缩进:  2 字符 段前: 3 磅 段后: 3 磅"/>
    <w:basedOn w:val="1"/>
    <w:qFormat/>
    <w:uiPriority w:val="0"/>
    <w:pPr>
      <w:overflowPunct w:val="0"/>
      <w:autoSpaceDE w:val="0"/>
      <w:autoSpaceDN w:val="0"/>
      <w:adjustRightInd w:val="0"/>
      <w:spacing w:before="60" w:after="60" w:line="400" w:lineRule="atLeast"/>
      <w:ind w:firstLine="480" w:firstLineChars="200"/>
      <w:jc w:val="left"/>
      <w:textAlignment w:val="baseline"/>
    </w:pPr>
    <w:rPr>
      <w:rFonts w:cs="宋体"/>
      <w:kern w:val="0"/>
    </w:rPr>
  </w:style>
  <w:style w:type="paragraph" w:customStyle="1" w:styleId="143">
    <w:name w:val="注释"/>
    <w:basedOn w:val="1"/>
    <w:link w:val="144"/>
    <w:qFormat/>
    <w:uiPriority w:val="0"/>
    <w:pPr>
      <w:spacing w:before="120" w:after="120"/>
      <w:ind w:firstLine="360" w:firstLineChars="200"/>
    </w:pPr>
    <w:rPr>
      <w:kern w:val="0"/>
      <w:sz w:val="18"/>
      <w:szCs w:val="18"/>
    </w:rPr>
  </w:style>
  <w:style w:type="character" w:customStyle="1" w:styleId="144">
    <w:name w:val="注释 Char Char"/>
    <w:link w:val="143"/>
    <w:qFormat/>
    <w:uiPriority w:val="0"/>
    <w:rPr>
      <w:rFonts w:ascii="Times New Roman" w:hAnsi="Times New Roman"/>
      <w:sz w:val="18"/>
      <w:szCs w:val="18"/>
    </w:rPr>
  </w:style>
  <w:style w:type="paragraph" w:customStyle="1" w:styleId="145">
    <w:name w:val="宗兴表格"/>
    <w:basedOn w:val="1"/>
    <w:qFormat/>
    <w:uiPriority w:val="0"/>
    <w:pPr>
      <w:snapToGrid w:val="0"/>
      <w:spacing w:beforeLines="20" w:afterLines="20" w:line="240" w:lineRule="auto"/>
      <w:jc w:val="center"/>
    </w:pPr>
    <w:rPr>
      <w:bCs/>
      <w:sz w:val="21"/>
      <w:szCs w:val="21"/>
    </w:rPr>
  </w:style>
  <w:style w:type="paragraph" w:customStyle="1" w:styleId="146">
    <w:name w:val="样式100"/>
    <w:basedOn w:val="1"/>
    <w:link w:val="147"/>
    <w:qFormat/>
    <w:uiPriority w:val="0"/>
    <w:pPr>
      <w:spacing w:line="520" w:lineRule="exact"/>
      <w:ind w:firstLine="480" w:firstLineChars="200"/>
    </w:pPr>
    <w:rPr>
      <w:rFonts w:ascii="宋体" w:hAnsi="宋体" w:eastAsia="仿宋_GB2312" w:cs="黑体"/>
      <w:kern w:val="11"/>
    </w:rPr>
  </w:style>
  <w:style w:type="character" w:customStyle="1" w:styleId="147">
    <w:name w:val="样式100 Char Char"/>
    <w:link w:val="146"/>
    <w:qFormat/>
    <w:uiPriority w:val="0"/>
    <w:rPr>
      <w:rFonts w:ascii="宋体" w:hAnsi="宋体" w:eastAsia="仿宋_GB2312" w:cs="黑体"/>
      <w:kern w:val="11"/>
      <w:sz w:val="24"/>
      <w:szCs w:val="24"/>
    </w:rPr>
  </w:style>
  <w:style w:type="paragraph" w:customStyle="1" w:styleId="148">
    <w:name w:val="正文正本 + 宋体"/>
    <w:basedOn w:val="1"/>
    <w:link w:val="149"/>
    <w:qFormat/>
    <w:uiPriority w:val="0"/>
    <w:pPr>
      <w:widowControl/>
      <w:ind w:firstLine="510"/>
      <w:jc w:val="left"/>
    </w:pPr>
    <w:rPr>
      <w:rFonts w:ascii="宋体" w:hAnsi="宋体"/>
      <w:kern w:val="0"/>
    </w:rPr>
  </w:style>
  <w:style w:type="character" w:customStyle="1" w:styleId="149">
    <w:name w:val="正文正本 + 宋体 Char Char"/>
    <w:link w:val="148"/>
    <w:qFormat/>
    <w:uiPriority w:val="0"/>
    <w:rPr>
      <w:rFonts w:ascii="宋体" w:hAnsi="宋体"/>
      <w:sz w:val="24"/>
      <w:szCs w:val="24"/>
    </w:rPr>
  </w:style>
  <w:style w:type="paragraph" w:customStyle="1" w:styleId="150">
    <w:name w:val="正文1"/>
    <w:basedOn w:val="1"/>
    <w:link w:val="151"/>
    <w:qFormat/>
    <w:uiPriority w:val="0"/>
    <w:pPr>
      <w:tabs>
        <w:tab w:val="left" w:pos="1620"/>
        <w:tab w:val="left" w:pos="2205"/>
        <w:tab w:val="left" w:pos="4200"/>
      </w:tabs>
      <w:snapToGrid w:val="0"/>
      <w:spacing w:before="93" w:after="93"/>
      <w:ind w:firstLine="480" w:firstLineChars="200"/>
    </w:pPr>
    <w:rPr>
      <w:kern w:val="0"/>
    </w:rPr>
  </w:style>
  <w:style w:type="character" w:customStyle="1" w:styleId="151">
    <w:name w:val="正文1 Char Char"/>
    <w:link w:val="150"/>
    <w:qFormat/>
    <w:uiPriority w:val="0"/>
    <w:rPr>
      <w:rFonts w:ascii="Times New Roman" w:hAnsi="Times New Roman"/>
      <w:sz w:val="24"/>
      <w:szCs w:val="24"/>
    </w:rPr>
  </w:style>
  <w:style w:type="paragraph" w:customStyle="1" w:styleId="152">
    <w:name w:val="样式2"/>
    <w:basedOn w:val="1"/>
    <w:link w:val="153"/>
    <w:qFormat/>
    <w:uiPriority w:val="0"/>
    <w:pPr>
      <w:autoSpaceDE w:val="0"/>
      <w:autoSpaceDN w:val="0"/>
      <w:adjustRightInd w:val="0"/>
      <w:spacing w:afterLines="50" w:line="240" w:lineRule="auto"/>
      <w:jc w:val="center"/>
    </w:pPr>
    <w:rPr>
      <w:rFonts w:ascii="宋体"/>
      <w:kern w:val="0"/>
    </w:rPr>
  </w:style>
  <w:style w:type="character" w:customStyle="1" w:styleId="153">
    <w:name w:val="样式2 Char Char"/>
    <w:link w:val="152"/>
    <w:qFormat/>
    <w:uiPriority w:val="0"/>
    <w:rPr>
      <w:rFonts w:ascii="宋体" w:hAnsi="Times New Roman"/>
      <w:sz w:val="24"/>
      <w:szCs w:val="24"/>
    </w:rPr>
  </w:style>
  <w:style w:type="paragraph" w:customStyle="1" w:styleId="154">
    <w:name w:val="样式 标题 2节SeHead wsa2H21标题 1.1Chapter TitleChapter节标题 1.1..."/>
    <w:basedOn w:val="7"/>
    <w:qFormat/>
    <w:uiPriority w:val="0"/>
    <w:pPr>
      <w:numPr>
        <w:ilvl w:val="0"/>
        <w:numId w:val="0"/>
      </w:numPr>
      <w:adjustRightInd w:val="0"/>
      <w:spacing w:beforeLines="50" w:afterLines="50"/>
    </w:pPr>
    <w:rPr>
      <w:rFonts w:cs="宋体"/>
      <w:sz w:val="30"/>
      <w:szCs w:val="20"/>
    </w:rPr>
  </w:style>
  <w:style w:type="paragraph" w:customStyle="1" w:styleId="155">
    <w:name w:val="修改"/>
    <w:basedOn w:val="1"/>
    <w:qFormat/>
    <w:uiPriority w:val="0"/>
    <w:pPr>
      <w:overflowPunct w:val="0"/>
      <w:autoSpaceDE w:val="0"/>
      <w:autoSpaceDN w:val="0"/>
      <w:adjustRightInd w:val="0"/>
      <w:spacing w:before="120" w:after="120" w:line="400" w:lineRule="atLeast"/>
      <w:ind w:firstLine="480" w:firstLineChars="200"/>
      <w:textAlignment w:val="baseline"/>
    </w:pPr>
    <w:rPr>
      <w:i/>
      <w:kern w:val="0"/>
      <w:szCs w:val="20"/>
      <w:u w:val="wave"/>
    </w:rPr>
  </w:style>
  <w:style w:type="paragraph" w:customStyle="1" w:styleId="156">
    <w:name w:val="样式 样式 正文内容 + 首行缩进:  1.92 字符 + 首行缩进:  1.92 字符"/>
    <w:basedOn w:val="1"/>
    <w:qFormat/>
    <w:uiPriority w:val="0"/>
    <w:pPr>
      <w:spacing w:before="100" w:beforeAutospacing="1" w:after="100" w:afterAutospacing="1"/>
      <w:ind w:firstLine="192" w:firstLineChars="192"/>
    </w:pPr>
    <w:rPr>
      <w:rFonts w:cs="宋体"/>
      <w:szCs w:val="20"/>
    </w:rPr>
  </w:style>
  <w:style w:type="paragraph" w:customStyle="1" w:styleId="157">
    <w:name w:val="样式 报告 + 小四 段前: 0.3 行 段后: 0.3 行"/>
    <w:basedOn w:val="1"/>
    <w:qFormat/>
    <w:uiPriority w:val="0"/>
    <w:pPr>
      <w:overflowPunct w:val="0"/>
      <w:autoSpaceDE w:val="0"/>
      <w:autoSpaceDN w:val="0"/>
      <w:adjustRightInd w:val="0"/>
      <w:spacing w:beforeLines="30" w:afterLines="30" w:line="440" w:lineRule="atLeast"/>
      <w:ind w:firstLine="540" w:firstLineChars="225"/>
      <w:textAlignment w:val="baseline"/>
    </w:pPr>
    <w:rPr>
      <w:rFonts w:cs="宋体"/>
      <w:kern w:val="0"/>
    </w:rPr>
  </w:style>
  <w:style w:type="paragraph" w:customStyle="1" w:styleId="158">
    <w:name w:val="正文样式"/>
    <w:basedOn w:val="1"/>
    <w:link w:val="159"/>
    <w:qFormat/>
    <w:uiPriority w:val="0"/>
    <w:pPr>
      <w:ind w:firstLine="538" w:firstLineChars="192"/>
    </w:pPr>
    <w:rPr>
      <w:sz w:val="28"/>
    </w:rPr>
  </w:style>
  <w:style w:type="character" w:customStyle="1" w:styleId="159">
    <w:name w:val="正文样式 Char1"/>
    <w:link w:val="158"/>
    <w:qFormat/>
    <w:uiPriority w:val="0"/>
    <w:rPr>
      <w:rFonts w:ascii="Times New Roman" w:hAnsi="Times New Roman"/>
      <w:kern w:val="2"/>
      <w:sz w:val="28"/>
      <w:szCs w:val="24"/>
    </w:rPr>
  </w:style>
  <w:style w:type="paragraph" w:customStyle="1" w:styleId="160">
    <w:name w:val="样式 标题 2 + 首行缩进:  1.8 字符"/>
    <w:basedOn w:val="7"/>
    <w:qFormat/>
    <w:uiPriority w:val="0"/>
    <w:pPr>
      <w:numPr>
        <w:ilvl w:val="0"/>
        <w:numId w:val="0"/>
      </w:numPr>
      <w:spacing w:before="120" w:after="120"/>
      <w:ind w:firstLine="542" w:firstLineChars="180"/>
    </w:pPr>
    <w:rPr>
      <w:rFonts w:eastAsia="黑体"/>
      <w:szCs w:val="28"/>
    </w:rPr>
  </w:style>
  <w:style w:type="paragraph" w:customStyle="1" w:styleId="161">
    <w:name w:val="样式 标题3 + (符号) 黑体"/>
    <w:basedOn w:val="1"/>
    <w:qFormat/>
    <w:uiPriority w:val="0"/>
    <w:pPr>
      <w:keepNext/>
      <w:keepLines/>
      <w:spacing w:before="60" w:after="60"/>
      <w:jc w:val="left"/>
    </w:pPr>
    <w:rPr>
      <w:rFonts w:ascii="黑体" w:eastAsia="黑体"/>
      <w:sz w:val="28"/>
      <w:szCs w:val="28"/>
    </w:rPr>
  </w:style>
  <w:style w:type="paragraph" w:customStyle="1" w:styleId="162">
    <w:name w:val="项目"/>
    <w:basedOn w:val="1"/>
    <w:qFormat/>
    <w:uiPriority w:val="0"/>
    <w:pPr>
      <w:adjustRightInd w:val="0"/>
      <w:spacing w:before="60" w:line="320" w:lineRule="atLeast"/>
      <w:ind w:left="400" w:leftChars="400"/>
      <w:textAlignment w:val="baseline"/>
    </w:pPr>
    <w:rPr>
      <w:kern w:val="0"/>
      <w:sz w:val="21"/>
      <w:szCs w:val="20"/>
    </w:rPr>
  </w:style>
  <w:style w:type="paragraph" w:customStyle="1" w:styleId="163">
    <w:name w:val="样式 标题 2H21节标题H21SeHead wsa2 + 行距: 固定值 26 磅"/>
    <w:basedOn w:val="7"/>
    <w:qFormat/>
    <w:uiPriority w:val="0"/>
    <w:pPr>
      <w:numPr>
        <w:ilvl w:val="0"/>
        <w:numId w:val="0"/>
      </w:numPr>
      <w:tabs>
        <w:tab w:val="left" w:pos="1191"/>
      </w:tabs>
      <w:spacing w:before="240" w:after="120" w:line="520" w:lineRule="exact"/>
      <w:ind w:firstLine="471"/>
    </w:pPr>
    <w:rPr>
      <w:rFonts w:eastAsia="黑体" w:cs="宋体"/>
      <w:bCs/>
      <w:sz w:val="30"/>
      <w:szCs w:val="30"/>
    </w:rPr>
  </w:style>
  <w:style w:type="paragraph" w:customStyle="1" w:styleId="164">
    <w:name w:val="一般内容"/>
    <w:basedOn w:val="1"/>
    <w:qFormat/>
    <w:uiPriority w:val="0"/>
    <w:pPr>
      <w:adjustRightInd w:val="0"/>
      <w:spacing w:beforeLines="50" w:afterLines="50" w:line="400" w:lineRule="atLeast"/>
      <w:ind w:left="851"/>
      <w:jc w:val="left"/>
      <w:textAlignment w:val="baseline"/>
    </w:pPr>
    <w:rPr>
      <w:kern w:val="0"/>
      <w:szCs w:val="20"/>
    </w:rPr>
  </w:style>
  <w:style w:type="paragraph" w:customStyle="1" w:styleId="165">
    <w:name w:val="样式 标题4 + 宋体 四号"/>
    <w:basedOn w:val="10"/>
    <w:qFormat/>
    <w:uiPriority w:val="0"/>
    <w:pPr>
      <w:keepNext/>
      <w:keepLines/>
      <w:ind w:firstLine="0" w:firstLineChars="0"/>
      <w:outlineLvl w:val="3"/>
    </w:pPr>
    <w:rPr>
      <w:rFonts w:ascii="宋体" w:hAnsi="宋体" w:eastAsia="楷体_GB2312"/>
      <w:b/>
      <w:bCs/>
      <w:kern w:val="0"/>
      <w:sz w:val="28"/>
      <w:szCs w:val="30"/>
    </w:rPr>
  </w:style>
  <w:style w:type="paragraph" w:customStyle="1" w:styleId="166">
    <w:name w:val="样式5"/>
    <w:basedOn w:val="14"/>
    <w:link w:val="167"/>
    <w:qFormat/>
    <w:uiPriority w:val="0"/>
    <w:pPr>
      <w:numPr>
        <w:ilvl w:val="0"/>
        <w:numId w:val="0"/>
      </w:numPr>
      <w:tabs>
        <w:tab w:val="left" w:pos="700"/>
      </w:tabs>
    </w:pPr>
    <w:rPr>
      <w:rFonts w:ascii="Arial" w:hAnsi="Arial" w:eastAsia="黑体"/>
      <w:b/>
      <w:szCs w:val="20"/>
      <w:u w:val="single"/>
    </w:rPr>
  </w:style>
  <w:style w:type="character" w:customStyle="1" w:styleId="167">
    <w:name w:val="样式5 Char Char"/>
    <w:link w:val="166"/>
    <w:qFormat/>
    <w:uiPriority w:val="0"/>
    <w:rPr>
      <w:rFonts w:ascii="Arial" w:hAnsi="Arial" w:eastAsia="黑体"/>
      <w:b/>
      <w:sz w:val="24"/>
      <w:u w:val="single"/>
    </w:rPr>
  </w:style>
  <w:style w:type="paragraph" w:customStyle="1" w:styleId="168">
    <w:name w:val="责任页"/>
    <w:basedOn w:val="1"/>
    <w:qFormat/>
    <w:uiPriority w:val="0"/>
    <w:pPr>
      <w:snapToGrid w:val="0"/>
    </w:pPr>
    <w:rPr>
      <w:rFonts w:eastAsia="楷体_GB2312"/>
      <w:b/>
      <w:sz w:val="30"/>
      <w:szCs w:val="30"/>
    </w:rPr>
  </w:style>
  <w:style w:type="paragraph" w:customStyle="1" w:styleId="169">
    <w:name w:val="样式122"/>
    <w:basedOn w:val="1"/>
    <w:link w:val="170"/>
    <w:qFormat/>
    <w:uiPriority w:val="0"/>
    <w:pPr>
      <w:spacing w:line="520" w:lineRule="exact"/>
      <w:ind w:firstLine="480" w:firstLineChars="200"/>
    </w:pPr>
    <w:rPr>
      <w:b/>
      <w:color w:val="000000"/>
      <w:kern w:val="0"/>
    </w:rPr>
  </w:style>
  <w:style w:type="character" w:customStyle="1" w:styleId="170">
    <w:name w:val="样式122 Char Char"/>
    <w:link w:val="169"/>
    <w:qFormat/>
    <w:uiPriority w:val="0"/>
    <w:rPr>
      <w:rFonts w:ascii="Times New Roman" w:hAnsi="Times New Roman"/>
      <w:b/>
      <w:snapToGrid/>
      <w:color w:val="000000"/>
      <w:sz w:val="24"/>
      <w:szCs w:val="24"/>
    </w:rPr>
  </w:style>
  <w:style w:type="paragraph" w:customStyle="1" w:styleId="171">
    <w:name w:val="样式127"/>
    <w:basedOn w:val="1"/>
    <w:link w:val="172"/>
    <w:qFormat/>
    <w:uiPriority w:val="0"/>
    <w:pPr>
      <w:spacing w:line="520" w:lineRule="exact"/>
      <w:ind w:firstLine="480" w:firstLineChars="200"/>
    </w:pPr>
    <w:rPr>
      <w:color w:val="000000"/>
      <w:kern w:val="0"/>
      <w:szCs w:val="28"/>
    </w:rPr>
  </w:style>
  <w:style w:type="character" w:customStyle="1" w:styleId="172">
    <w:name w:val="样式127 Char Char"/>
    <w:link w:val="171"/>
    <w:qFormat/>
    <w:uiPriority w:val="0"/>
    <w:rPr>
      <w:rFonts w:ascii="Times New Roman" w:hAnsi="Times New Roman"/>
      <w:snapToGrid/>
      <w:color w:val="000000"/>
      <w:sz w:val="24"/>
      <w:szCs w:val="28"/>
    </w:rPr>
  </w:style>
  <w:style w:type="paragraph" w:customStyle="1" w:styleId="173">
    <w:name w:val="样式128"/>
    <w:basedOn w:val="171"/>
    <w:link w:val="174"/>
    <w:qFormat/>
    <w:uiPriority w:val="0"/>
    <w:pPr>
      <w:spacing w:line="240" w:lineRule="atLeast"/>
      <w:ind w:firstLine="0" w:firstLineChars="0"/>
      <w:jc w:val="center"/>
    </w:pPr>
  </w:style>
  <w:style w:type="character" w:customStyle="1" w:styleId="174">
    <w:name w:val="样式128 Char Char"/>
    <w:link w:val="173"/>
    <w:qFormat/>
    <w:uiPriority w:val="0"/>
    <w:rPr>
      <w:rFonts w:ascii="Times New Roman" w:hAnsi="Times New Roman"/>
      <w:snapToGrid/>
      <w:color w:val="000000"/>
      <w:sz w:val="24"/>
      <w:szCs w:val="28"/>
    </w:rPr>
  </w:style>
  <w:style w:type="paragraph" w:customStyle="1" w:styleId="175">
    <w:name w:val="样式129"/>
    <w:basedOn w:val="1"/>
    <w:link w:val="176"/>
    <w:qFormat/>
    <w:uiPriority w:val="0"/>
    <w:pPr>
      <w:adjustRightInd w:val="0"/>
      <w:spacing w:line="260" w:lineRule="exact"/>
      <w:jc w:val="center"/>
      <w:textAlignment w:val="baseline"/>
    </w:pPr>
    <w:rPr>
      <w:bCs/>
      <w:color w:val="000000"/>
      <w:kern w:val="0"/>
      <w:sz w:val="20"/>
      <w:szCs w:val="13"/>
    </w:rPr>
  </w:style>
  <w:style w:type="character" w:customStyle="1" w:styleId="176">
    <w:name w:val="样式129 Char Char"/>
    <w:link w:val="175"/>
    <w:qFormat/>
    <w:uiPriority w:val="0"/>
    <w:rPr>
      <w:rFonts w:ascii="Times New Roman" w:hAnsi="Times New Roman"/>
      <w:bCs/>
      <w:color w:val="000000"/>
      <w:szCs w:val="13"/>
    </w:rPr>
  </w:style>
  <w:style w:type="paragraph" w:customStyle="1" w:styleId="177">
    <w:name w:val="样式141"/>
    <w:basedOn w:val="1"/>
    <w:qFormat/>
    <w:uiPriority w:val="0"/>
    <w:pPr>
      <w:keepNext/>
      <w:keepLines/>
      <w:adjustRightInd w:val="0"/>
      <w:spacing w:before="120" w:after="120" w:line="520" w:lineRule="exact"/>
      <w:textAlignment w:val="baseline"/>
      <w:outlineLvl w:val="3"/>
    </w:pPr>
    <w:rPr>
      <w:rFonts w:eastAsia="黑体"/>
      <w:color w:val="000000"/>
      <w:kern w:val="0"/>
    </w:rPr>
  </w:style>
  <w:style w:type="paragraph" w:customStyle="1" w:styleId="178">
    <w:name w:val="样式82"/>
    <w:basedOn w:val="1"/>
    <w:qFormat/>
    <w:uiPriority w:val="0"/>
    <w:pPr>
      <w:keepNext/>
      <w:keepLines/>
      <w:adjustRightInd w:val="0"/>
      <w:spacing w:before="120" w:after="120" w:line="520" w:lineRule="exact"/>
      <w:textAlignment w:val="baseline"/>
      <w:outlineLvl w:val="2"/>
    </w:pPr>
    <w:rPr>
      <w:rFonts w:eastAsia="黑体"/>
      <w:b/>
      <w:color w:val="000000"/>
      <w:kern w:val="0"/>
      <w:szCs w:val="28"/>
    </w:rPr>
  </w:style>
  <w:style w:type="paragraph" w:customStyle="1" w:styleId="179">
    <w:name w:val="样式 标题 4H4PIM 4h4blbbTitre44th levelsect 1.2.3.4Ref Head...4"/>
    <w:basedOn w:val="9"/>
    <w:link w:val="180"/>
    <w:qFormat/>
    <w:uiPriority w:val="0"/>
    <w:pPr>
      <w:widowControl/>
      <w:numPr>
        <w:ilvl w:val="0"/>
        <w:numId w:val="0"/>
      </w:numPr>
      <w:spacing w:before="60" w:after="60" w:line="500" w:lineRule="atLeast"/>
      <w:ind w:firstLine="200" w:firstLineChars="200"/>
    </w:pPr>
    <w:rPr>
      <w:rFonts w:ascii="宋体" w:hAnsi="宋体"/>
      <w:b w:val="0"/>
      <w:szCs w:val="24"/>
    </w:rPr>
  </w:style>
  <w:style w:type="character" w:customStyle="1" w:styleId="180">
    <w:name w:val="样式 标题 4H4PIM 4h4blbbTitre44th levelsect 1.2.3.4Ref Head...4 Char Char"/>
    <w:link w:val="179"/>
    <w:qFormat/>
    <w:uiPriority w:val="0"/>
    <w:rPr>
      <w:rFonts w:ascii="宋体" w:hAnsi="宋体"/>
      <w:bCs/>
      <w:sz w:val="28"/>
      <w:szCs w:val="24"/>
    </w:rPr>
  </w:style>
  <w:style w:type="paragraph" w:customStyle="1" w:styleId="181">
    <w:name w:val="样式60"/>
    <w:basedOn w:val="1"/>
    <w:qFormat/>
    <w:uiPriority w:val="0"/>
    <w:pPr>
      <w:keepNext/>
      <w:keepLines/>
      <w:spacing w:before="960" w:after="600" w:line="520" w:lineRule="exact"/>
      <w:jc w:val="center"/>
      <w:outlineLvl w:val="0"/>
    </w:pPr>
    <w:rPr>
      <w:rFonts w:ascii="黑体" w:eastAsia="黑体"/>
      <w:b/>
      <w:bCs/>
      <w:color w:val="000000"/>
      <w:kern w:val="44"/>
      <w:sz w:val="30"/>
      <w:szCs w:val="30"/>
    </w:rPr>
  </w:style>
  <w:style w:type="paragraph" w:customStyle="1" w:styleId="182">
    <w:name w:val="样式114"/>
    <w:basedOn w:val="1"/>
    <w:qFormat/>
    <w:uiPriority w:val="0"/>
    <w:pPr>
      <w:keepNext/>
      <w:keepLines/>
      <w:adjustRightInd w:val="0"/>
      <w:spacing w:before="120" w:after="120" w:line="520" w:lineRule="exact"/>
      <w:textAlignment w:val="baseline"/>
      <w:outlineLvl w:val="2"/>
    </w:pPr>
    <w:rPr>
      <w:rFonts w:eastAsia="黑体"/>
      <w:b/>
      <w:color w:val="000000"/>
      <w:kern w:val="0"/>
      <w:szCs w:val="28"/>
      <w:u w:val="single"/>
    </w:rPr>
  </w:style>
  <w:style w:type="paragraph" w:customStyle="1" w:styleId="183">
    <w:name w:val="样式 Char +"/>
    <w:basedOn w:val="1"/>
    <w:link w:val="184"/>
    <w:qFormat/>
    <w:uiPriority w:val="0"/>
    <w:pPr>
      <w:spacing w:line="520" w:lineRule="exact"/>
      <w:ind w:firstLine="480" w:firstLineChars="200"/>
    </w:pPr>
    <w:rPr>
      <w:rFonts w:ascii="宋体" w:hAnsi="宋体"/>
      <w:kern w:val="0"/>
      <w:lang w:eastAsia="en-US"/>
    </w:rPr>
  </w:style>
  <w:style w:type="character" w:customStyle="1" w:styleId="184">
    <w:name w:val="样式 Char + Char Char"/>
    <w:link w:val="183"/>
    <w:qFormat/>
    <w:uiPriority w:val="0"/>
    <w:rPr>
      <w:rFonts w:ascii="宋体" w:hAnsi="宋体"/>
      <w:sz w:val="24"/>
      <w:szCs w:val="24"/>
      <w:lang w:eastAsia="en-US"/>
    </w:rPr>
  </w:style>
  <w:style w:type="paragraph" w:customStyle="1" w:styleId="185">
    <w:name w:val="样式9"/>
    <w:basedOn w:val="10"/>
    <w:qFormat/>
    <w:uiPriority w:val="0"/>
    <w:pPr>
      <w:spacing w:line="520" w:lineRule="exact"/>
      <w:ind w:firstLine="527"/>
    </w:pPr>
    <w:rPr>
      <w:rFonts w:ascii="宋体" w:hAnsi="宋体"/>
      <w:kern w:val="0"/>
      <w:sz w:val="28"/>
    </w:rPr>
  </w:style>
  <w:style w:type="paragraph" w:customStyle="1" w:styleId="186">
    <w:name w:val="样式6"/>
    <w:basedOn w:val="1"/>
    <w:link w:val="187"/>
    <w:qFormat/>
    <w:uiPriority w:val="0"/>
    <w:pPr>
      <w:spacing w:beforeLines="50" w:afterLines="50" w:line="240" w:lineRule="atLeast"/>
      <w:jc w:val="center"/>
    </w:pPr>
    <w:rPr>
      <w:color w:val="000000"/>
      <w:kern w:val="0"/>
    </w:rPr>
  </w:style>
  <w:style w:type="character" w:customStyle="1" w:styleId="187">
    <w:name w:val="样式6 Char Char"/>
    <w:link w:val="186"/>
    <w:qFormat/>
    <w:uiPriority w:val="0"/>
    <w:rPr>
      <w:rFonts w:ascii="Times New Roman" w:hAnsi="Times New Roman"/>
      <w:color w:val="000000"/>
      <w:sz w:val="24"/>
      <w:szCs w:val="24"/>
    </w:rPr>
  </w:style>
  <w:style w:type="paragraph" w:customStyle="1" w:styleId="188">
    <w:name w:val="宗兴表名"/>
    <w:basedOn w:val="1"/>
    <w:qFormat/>
    <w:uiPriority w:val="0"/>
    <w:pPr>
      <w:adjustRightInd w:val="0"/>
      <w:spacing w:before="48" w:after="48"/>
      <w:jc w:val="center"/>
      <w:textAlignment w:val="baseline"/>
    </w:pPr>
    <w:rPr>
      <w:b/>
      <w:bCs/>
      <w:kern w:val="0"/>
    </w:rPr>
  </w:style>
  <w:style w:type="paragraph" w:customStyle="1" w:styleId="189">
    <w:name w:val="宗兴图名"/>
    <w:basedOn w:val="156"/>
    <w:qFormat/>
    <w:uiPriority w:val="0"/>
    <w:pPr>
      <w:spacing w:before="93" w:beforeAutospacing="0" w:after="93" w:afterAutospacing="0"/>
      <w:ind w:firstLine="2861" w:firstLineChars="1192"/>
    </w:pPr>
    <w:rPr>
      <w:rFonts w:ascii="黑体" w:eastAsia="黑体"/>
    </w:rPr>
  </w:style>
  <w:style w:type="paragraph" w:customStyle="1" w:styleId="190">
    <w:name w:val="宗兴2"/>
    <w:basedOn w:val="1"/>
    <w:qFormat/>
    <w:uiPriority w:val="0"/>
    <w:pPr>
      <w:keepNext/>
      <w:keepLines/>
      <w:spacing w:beforeLines="100" w:afterLines="100" w:line="400" w:lineRule="exact"/>
      <w:outlineLvl w:val="1"/>
    </w:pPr>
    <w:rPr>
      <w:rFonts w:ascii="Arial" w:hAnsi="Arial" w:eastAsia="黑体" w:cs="宋体"/>
      <w:b/>
      <w:bCs/>
      <w:sz w:val="32"/>
      <w:szCs w:val="20"/>
    </w:rPr>
  </w:style>
  <w:style w:type="paragraph" w:customStyle="1" w:styleId="191">
    <w:name w:val="宗兴3"/>
    <w:basedOn w:val="8"/>
    <w:qFormat/>
    <w:uiPriority w:val="0"/>
    <w:pPr>
      <w:numPr>
        <w:ilvl w:val="0"/>
        <w:numId w:val="0"/>
      </w:numPr>
      <w:spacing w:before="240" w:after="240" w:line="400" w:lineRule="exact"/>
    </w:pPr>
    <w:rPr>
      <w:rFonts w:eastAsia="黑体"/>
      <w:szCs w:val="24"/>
    </w:rPr>
  </w:style>
  <w:style w:type="paragraph" w:customStyle="1" w:styleId="192">
    <w:name w:val="样式 标题 1标题 111一、Head 1wsa文章标题b1章标题 1H1PIM 1标书1h1标题 11..."/>
    <w:basedOn w:val="5"/>
    <w:link w:val="193"/>
    <w:qFormat/>
    <w:uiPriority w:val="0"/>
    <w:pPr>
      <w:keepNext/>
      <w:keepLines/>
      <w:numPr>
        <w:numId w:val="0"/>
      </w:numPr>
      <w:spacing w:before="1200" w:after="480" w:line="440" w:lineRule="exact"/>
    </w:pPr>
    <w:rPr>
      <w:rFonts w:ascii="Times New Roman" w:hAnsi="Times New Roman"/>
      <w:bCs/>
      <w:color w:val="000000"/>
      <w:kern w:val="44"/>
      <w:sz w:val="48"/>
      <w:szCs w:val="20"/>
    </w:rPr>
  </w:style>
  <w:style w:type="character" w:customStyle="1" w:styleId="193">
    <w:name w:val="样式 标题 1标题 111一、Head 1wsa文章标题b1章标题 1H1PIM 1标书1h1标题 11... Char Char"/>
    <w:link w:val="192"/>
    <w:qFormat/>
    <w:uiPriority w:val="0"/>
    <w:rPr>
      <w:rFonts w:ascii="Times New Roman" w:hAnsi="Times New Roman"/>
      <w:b/>
      <w:bCs/>
      <w:color w:val="000000"/>
      <w:kern w:val="44"/>
      <w:sz w:val="48"/>
    </w:rPr>
  </w:style>
  <w:style w:type="paragraph" w:customStyle="1" w:styleId="194">
    <w:name w:val="样式18"/>
    <w:basedOn w:val="1"/>
    <w:link w:val="195"/>
    <w:qFormat/>
    <w:uiPriority w:val="0"/>
    <w:pPr>
      <w:spacing w:line="520" w:lineRule="exact"/>
      <w:ind w:firstLine="200" w:firstLineChars="200"/>
    </w:pPr>
    <w:rPr>
      <w:color w:val="000000"/>
      <w:kern w:val="0"/>
      <w:sz w:val="28"/>
    </w:rPr>
  </w:style>
  <w:style w:type="character" w:customStyle="1" w:styleId="195">
    <w:name w:val="样式18 Char Char"/>
    <w:link w:val="194"/>
    <w:qFormat/>
    <w:uiPriority w:val="0"/>
    <w:rPr>
      <w:rFonts w:ascii="Times New Roman" w:hAnsi="Times New Roman"/>
      <w:color w:val="000000"/>
      <w:sz w:val="28"/>
      <w:szCs w:val="24"/>
    </w:rPr>
  </w:style>
  <w:style w:type="paragraph" w:customStyle="1" w:styleId="196">
    <w:name w:val="样式175"/>
    <w:basedOn w:val="1"/>
    <w:link w:val="197"/>
    <w:qFormat/>
    <w:uiPriority w:val="0"/>
    <w:pPr>
      <w:tabs>
        <w:tab w:val="left" w:pos="780"/>
      </w:tabs>
      <w:adjustRightInd w:val="0"/>
      <w:spacing w:line="320" w:lineRule="exact"/>
      <w:jc w:val="center"/>
      <w:textAlignment w:val="baseline"/>
    </w:pPr>
    <w:rPr>
      <w:rFonts w:ascii="宋体" w:hAnsi="宋体"/>
      <w:color w:val="000000"/>
      <w:kern w:val="0"/>
      <w:sz w:val="20"/>
      <w:szCs w:val="20"/>
    </w:rPr>
  </w:style>
  <w:style w:type="character" w:customStyle="1" w:styleId="197">
    <w:name w:val="样式175 Char Char"/>
    <w:link w:val="196"/>
    <w:qFormat/>
    <w:uiPriority w:val="0"/>
    <w:rPr>
      <w:rFonts w:ascii="宋体" w:hAnsi="宋体"/>
      <w:color w:val="000000"/>
    </w:rPr>
  </w:style>
  <w:style w:type="paragraph" w:customStyle="1" w:styleId="198">
    <w:name w:val="样式51"/>
    <w:basedOn w:val="1"/>
    <w:link w:val="199"/>
    <w:qFormat/>
    <w:uiPriority w:val="0"/>
    <w:pPr>
      <w:spacing w:line="520" w:lineRule="exact"/>
      <w:ind w:firstLine="480" w:firstLineChars="200"/>
    </w:pPr>
    <w:rPr>
      <w:rFonts w:ascii="宋体" w:hAnsi="宋体"/>
      <w:kern w:val="18"/>
    </w:rPr>
  </w:style>
  <w:style w:type="character" w:customStyle="1" w:styleId="199">
    <w:name w:val="样式51 Char Char"/>
    <w:link w:val="198"/>
    <w:qFormat/>
    <w:uiPriority w:val="0"/>
    <w:rPr>
      <w:rFonts w:ascii="宋体" w:hAnsi="宋体"/>
      <w:kern w:val="18"/>
      <w:sz w:val="24"/>
      <w:szCs w:val="24"/>
    </w:rPr>
  </w:style>
  <w:style w:type="paragraph" w:customStyle="1" w:styleId="200">
    <w:name w:val="样式179"/>
    <w:basedOn w:val="1"/>
    <w:link w:val="201"/>
    <w:qFormat/>
    <w:uiPriority w:val="0"/>
    <w:pPr>
      <w:spacing w:line="500" w:lineRule="exact"/>
      <w:ind w:firstLine="480" w:firstLineChars="200"/>
    </w:pPr>
    <w:rPr>
      <w:rFonts w:ascii="宋体" w:hAnsi="宋体"/>
      <w:b/>
      <w:kern w:val="11"/>
      <w:lang w:eastAsia="en-US"/>
    </w:rPr>
  </w:style>
  <w:style w:type="character" w:customStyle="1" w:styleId="201">
    <w:name w:val="样式179 Char Char"/>
    <w:link w:val="200"/>
    <w:qFormat/>
    <w:uiPriority w:val="0"/>
    <w:rPr>
      <w:rFonts w:ascii="宋体" w:hAnsi="宋体"/>
      <w:b/>
      <w:kern w:val="11"/>
      <w:sz w:val="24"/>
      <w:szCs w:val="24"/>
      <w:lang w:eastAsia="en-US"/>
    </w:rPr>
  </w:style>
  <w:style w:type="paragraph" w:customStyle="1" w:styleId="202">
    <w:name w:val="样式52"/>
    <w:basedOn w:val="1"/>
    <w:qFormat/>
    <w:uiPriority w:val="0"/>
    <w:pPr>
      <w:keepNext/>
      <w:keepLines/>
      <w:spacing w:before="120" w:after="120" w:line="520" w:lineRule="exact"/>
      <w:outlineLvl w:val="1"/>
    </w:pPr>
    <w:rPr>
      <w:rFonts w:eastAsia="黑体"/>
      <w:b/>
      <w:sz w:val="28"/>
      <w:szCs w:val="20"/>
    </w:rPr>
  </w:style>
  <w:style w:type="paragraph" w:customStyle="1" w:styleId="203">
    <w:name w:val="样式 正文文本缩进 3 + 黑色"/>
    <w:basedOn w:val="39"/>
    <w:link w:val="204"/>
    <w:qFormat/>
    <w:uiPriority w:val="0"/>
    <w:pPr>
      <w:adjustRightInd w:val="0"/>
      <w:spacing w:before="60" w:after="0" w:line="500" w:lineRule="exact"/>
      <w:ind w:left="0" w:leftChars="0"/>
      <w:jc w:val="center"/>
      <w:textAlignment w:val="baseline"/>
    </w:pPr>
    <w:rPr>
      <w:rFonts w:ascii="宋体" w:hAnsi="宋体"/>
      <w:b/>
      <w:bCs/>
      <w:color w:val="000000"/>
      <w:spacing w:val="16"/>
      <w:sz w:val="24"/>
      <w:szCs w:val="24"/>
    </w:rPr>
  </w:style>
  <w:style w:type="character" w:customStyle="1" w:styleId="204">
    <w:name w:val="样式 正文文本缩进 3 + 黑色 Char Char"/>
    <w:link w:val="203"/>
    <w:qFormat/>
    <w:uiPriority w:val="0"/>
    <w:rPr>
      <w:rFonts w:ascii="宋体" w:hAnsi="宋体" w:cs="黑体"/>
      <w:b/>
      <w:bCs/>
      <w:color w:val="000000"/>
      <w:spacing w:val="16"/>
      <w:kern w:val="2"/>
      <w:sz w:val="24"/>
      <w:szCs w:val="24"/>
    </w:rPr>
  </w:style>
  <w:style w:type="paragraph" w:customStyle="1" w:styleId="205">
    <w:name w:val="样式 正文文本缩进 2正文文本缩进 2 Char Char Char Char正文文本缩进 2 Char Char + 黑色2"/>
    <w:basedOn w:val="4"/>
    <w:link w:val="206"/>
    <w:qFormat/>
    <w:uiPriority w:val="0"/>
    <w:pPr>
      <w:adjustRightInd w:val="0"/>
      <w:spacing w:after="0" w:line="320" w:lineRule="exact"/>
      <w:ind w:left="0" w:leftChars="0"/>
      <w:jc w:val="center"/>
      <w:textAlignment w:val="baseline"/>
    </w:pPr>
    <w:rPr>
      <w:rFonts w:ascii="Times New Roman" w:hAnsi="Times New Roman" w:cs="Times New Roman"/>
      <w:color w:val="000000"/>
      <w:kern w:val="0"/>
      <w:sz w:val="20"/>
    </w:rPr>
  </w:style>
  <w:style w:type="character" w:customStyle="1" w:styleId="206">
    <w:name w:val="样式 正文文本缩进 2正文文本缩进 2 Char Char Char Char正文文本缩进 2 Char Char + 黑色2 Char Char"/>
    <w:link w:val="205"/>
    <w:qFormat/>
    <w:uiPriority w:val="0"/>
    <w:rPr>
      <w:rFonts w:ascii="Times New Roman" w:hAnsi="Times New Roman"/>
      <w:color w:val="000000"/>
      <w:szCs w:val="21"/>
    </w:rPr>
  </w:style>
  <w:style w:type="paragraph" w:customStyle="1" w:styleId="207">
    <w:name w:val="样式89"/>
    <w:basedOn w:val="1"/>
    <w:link w:val="208"/>
    <w:qFormat/>
    <w:uiPriority w:val="0"/>
    <w:pPr>
      <w:adjustRightInd w:val="0"/>
      <w:spacing w:before="214" w:line="240" w:lineRule="auto"/>
      <w:jc w:val="center"/>
      <w:textAlignment w:val="baseline"/>
    </w:pPr>
    <w:rPr>
      <w:rFonts w:ascii="黑体" w:hAnsi="宋体"/>
      <w:b/>
      <w:bCs/>
      <w:color w:val="000000"/>
      <w:kern w:val="0"/>
      <w:sz w:val="20"/>
      <w:szCs w:val="21"/>
    </w:rPr>
  </w:style>
  <w:style w:type="character" w:customStyle="1" w:styleId="208">
    <w:name w:val="样式89 Char Char"/>
    <w:link w:val="207"/>
    <w:qFormat/>
    <w:uiPriority w:val="0"/>
    <w:rPr>
      <w:rFonts w:ascii="黑体" w:hAnsi="宋体"/>
      <w:b/>
      <w:bCs/>
      <w:color w:val="000000"/>
      <w:szCs w:val="21"/>
    </w:rPr>
  </w:style>
  <w:style w:type="paragraph" w:customStyle="1" w:styleId="209">
    <w:name w:val="样式 正文文本缩进 2 + 黑色 行距: 固定值 12 磅"/>
    <w:basedOn w:val="4"/>
    <w:link w:val="210"/>
    <w:qFormat/>
    <w:uiPriority w:val="0"/>
    <w:pPr>
      <w:adjustRightInd w:val="0"/>
      <w:spacing w:after="0" w:line="240" w:lineRule="auto"/>
      <w:ind w:left="0" w:leftChars="0"/>
      <w:jc w:val="center"/>
      <w:textAlignment w:val="baseline"/>
    </w:pPr>
    <w:rPr>
      <w:rFonts w:ascii="Times New Roman" w:hAnsi="Times New Roman" w:cs="Times New Roman"/>
      <w:b/>
      <w:color w:val="3366FF"/>
      <w:kern w:val="0"/>
      <w:sz w:val="20"/>
    </w:rPr>
  </w:style>
  <w:style w:type="character" w:customStyle="1" w:styleId="210">
    <w:name w:val="样式 正文文本缩进 2 + 黑色 行距: 固定值 12 磅 Char Char"/>
    <w:link w:val="209"/>
    <w:qFormat/>
    <w:uiPriority w:val="0"/>
    <w:rPr>
      <w:rFonts w:ascii="Times New Roman" w:hAnsi="Times New Roman"/>
      <w:b/>
      <w:color w:val="3366FF"/>
      <w:szCs w:val="21"/>
    </w:rPr>
  </w:style>
  <w:style w:type="paragraph" w:customStyle="1" w:styleId="211">
    <w:name w:val="样式53"/>
    <w:basedOn w:val="1"/>
    <w:link w:val="212"/>
    <w:qFormat/>
    <w:uiPriority w:val="0"/>
    <w:pPr>
      <w:adjustRightInd w:val="0"/>
      <w:spacing w:before="214" w:line="240" w:lineRule="auto"/>
      <w:jc w:val="center"/>
      <w:textAlignment w:val="baseline"/>
    </w:pPr>
    <w:rPr>
      <w:rFonts w:ascii="黑体" w:hAnsi="宋体" w:eastAsia="黑体"/>
      <w:b/>
      <w:bCs/>
      <w:color w:val="000000"/>
      <w:kern w:val="0"/>
      <w:sz w:val="20"/>
      <w:szCs w:val="21"/>
    </w:rPr>
  </w:style>
  <w:style w:type="character" w:customStyle="1" w:styleId="212">
    <w:name w:val="样式53 Char Char"/>
    <w:link w:val="211"/>
    <w:qFormat/>
    <w:uiPriority w:val="0"/>
    <w:rPr>
      <w:rFonts w:ascii="黑体" w:hAnsi="宋体" w:eastAsia="黑体"/>
      <w:b/>
      <w:bCs/>
      <w:color w:val="000000"/>
      <w:szCs w:val="21"/>
    </w:rPr>
  </w:style>
  <w:style w:type="paragraph" w:customStyle="1" w:styleId="213">
    <w:name w:val="样式88"/>
    <w:basedOn w:val="1"/>
    <w:link w:val="214"/>
    <w:qFormat/>
    <w:uiPriority w:val="0"/>
    <w:pPr>
      <w:keepNext/>
      <w:keepLines/>
      <w:adjustRightInd w:val="0"/>
      <w:spacing w:before="120" w:after="120" w:line="520" w:lineRule="exact"/>
      <w:textAlignment w:val="baseline"/>
      <w:outlineLvl w:val="2"/>
    </w:pPr>
    <w:rPr>
      <w:rFonts w:ascii="宋体" w:hAnsi="宋体" w:eastAsia="黑体"/>
      <w:b/>
      <w:kern w:val="0"/>
    </w:rPr>
  </w:style>
  <w:style w:type="character" w:customStyle="1" w:styleId="214">
    <w:name w:val="样式88 Char Char"/>
    <w:link w:val="213"/>
    <w:qFormat/>
    <w:uiPriority w:val="0"/>
    <w:rPr>
      <w:rFonts w:ascii="宋体" w:hAnsi="宋体" w:eastAsia="黑体"/>
      <w:b/>
      <w:sz w:val="24"/>
      <w:szCs w:val="24"/>
    </w:rPr>
  </w:style>
  <w:style w:type="paragraph" w:customStyle="1" w:styleId="215">
    <w:name w:val="样式 黑色 首行缩进:  2 字符3"/>
    <w:basedOn w:val="1"/>
    <w:link w:val="216"/>
    <w:qFormat/>
    <w:uiPriority w:val="0"/>
    <w:pPr>
      <w:spacing w:line="520" w:lineRule="exact"/>
      <w:ind w:firstLine="520" w:firstLineChars="200"/>
    </w:pPr>
    <w:rPr>
      <w:color w:val="000000"/>
      <w:kern w:val="0"/>
      <w:sz w:val="28"/>
      <w:szCs w:val="20"/>
    </w:rPr>
  </w:style>
  <w:style w:type="character" w:customStyle="1" w:styleId="216">
    <w:name w:val="样式 黑色 首行缩进:  2 字符3 Char Char"/>
    <w:link w:val="215"/>
    <w:qFormat/>
    <w:uiPriority w:val="0"/>
    <w:rPr>
      <w:rFonts w:ascii="Times New Roman" w:hAnsi="Times New Roman"/>
      <w:color w:val="000000"/>
      <w:sz w:val="28"/>
    </w:rPr>
  </w:style>
  <w:style w:type="paragraph" w:customStyle="1" w:styleId="217">
    <w:name w:val="样式187"/>
    <w:basedOn w:val="205"/>
    <w:qFormat/>
    <w:uiPriority w:val="0"/>
  </w:style>
  <w:style w:type="paragraph" w:customStyle="1" w:styleId="218">
    <w:name w:val="样式185"/>
    <w:basedOn w:val="39"/>
    <w:qFormat/>
    <w:uiPriority w:val="0"/>
    <w:pPr>
      <w:adjustRightInd w:val="0"/>
      <w:spacing w:before="60" w:after="0" w:line="520" w:lineRule="exact"/>
      <w:ind w:left="0" w:leftChars="0"/>
      <w:jc w:val="center"/>
      <w:textAlignment w:val="baseline"/>
    </w:pPr>
    <w:rPr>
      <w:rFonts w:ascii="Times New Roman" w:hAnsi="Times New Roman" w:cs="Times New Roman"/>
      <w:b/>
      <w:kern w:val="0"/>
      <w:sz w:val="21"/>
      <w:szCs w:val="20"/>
    </w:rPr>
  </w:style>
  <w:style w:type="paragraph" w:customStyle="1" w:styleId="219">
    <w:name w:val="样式 标题 3 + 宋体 行距: 单倍行距"/>
    <w:basedOn w:val="8"/>
    <w:next w:val="1"/>
    <w:qFormat/>
    <w:uiPriority w:val="0"/>
    <w:pPr>
      <w:numPr>
        <w:ilvl w:val="0"/>
        <w:numId w:val="0"/>
      </w:numPr>
      <w:spacing w:before="240" w:after="240" w:line="240" w:lineRule="auto"/>
    </w:pPr>
    <w:rPr>
      <w:rFonts w:ascii="宋体" w:hAnsi="宋体" w:eastAsia="黑体"/>
      <w:szCs w:val="20"/>
    </w:rPr>
  </w:style>
  <w:style w:type="paragraph" w:customStyle="1" w:styleId="220">
    <w:name w:val="样式22"/>
    <w:basedOn w:val="205"/>
    <w:qFormat/>
    <w:uiPriority w:val="0"/>
    <w:rPr>
      <w:color w:val="auto"/>
    </w:rPr>
  </w:style>
  <w:style w:type="paragraph" w:customStyle="1" w:styleId="221">
    <w:name w:val="样式 宋体 小四 首行缩进:  0.85 厘米 行距: 1.5 倍行距"/>
    <w:basedOn w:val="1"/>
    <w:qFormat/>
    <w:uiPriority w:val="0"/>
    <w:pPr>
      <w:ind w:firstLine="482"/>
    </w:pPr>
    <w:rPr>
      <w:rFonts w:ascii="宋体" w:hAnsi="宋体" w:cs="宋体"/>
      <w:szCs w:val="20"/>
    </w:rPr>
  </w:style>
  <w:style w:type="paragraph" w:customStyle="1" w:styleId="222">
    <w:name w:val="样式55"/>
    <w:basedOn w:val="1"/>
    <w:qFormat/>
    <w:uiPriority w:val="0"/>
    <w:pPr>
      <w:keepNext/>
      <w:keepLines/>
      <w:adjustRightInd w:val="0"/>
      <w:spacing w:before="120" w:after="120" w:line="520" w:lineRule="exact"/>
      <w:textAlignment w:val="baseline"/>
      <w:outlineLvl w:val="2"/>
    </w:pPr>
    <w:rPr>
      <w:rFonts w:eastAsia="黑体"/>
      <w:kern w:val="0"/>
      <w:szCs w:val="20"/>
    </w:rPr>
  </w:style>
  <w:style w:type="paragraph" w:customStyle="1" w:styleId="223">
    <w:name w:val="样式166"/>
    <w:basedOn w:val="1"/>
    <w:qFormat/>
    <w:uiPriority w:val="0"/>
    <w:pPr>
      <w:tabs>
        <w:tab w:val="left" w:pos="780"/>
      </w:tabs>
      <w:adjustRightInd w:val="0"/>
      <w:spacing w:line="320" w:lineRule="exact"/>
      <w:jc w:val="center"/>
      <w:textAlignment w:val="baseline"/>
    </w:pPr>
    <w:rPr>
      <w:rFonts w:ascii="宋体" w:hAnsi="宋体"/>
      <w:color w:val="000000"/>
      <w:kern w:val="0"/>
      <w:sz w:val="21"/>
      <w:szCs w:val="20"/>
    </w:rPr>
  </w:style>
  <w:style w:type="paragraph" w:customStyle="1" w:styleId="224">
    <w:name w:val="样式93"/>
    <w:basedOn w:val="1"/>
    <w:link w:val="225"/>
    <w:qFormat/>
    <w:uiPriority w:val="0"/>
    <w:pPr>
      <w:spacing w:line="520" w:lineRule="exact"/>
      <w:ind w:firstLine="480" w:firstLineChars="200"/>
    </w:pPr>
    <w:rPr>
      <w:rFonts w:ascii="宋体" w:hAnsi="宋体" w:eastAsia="仿宋_GB2312" w:cs="黑体"/>
      <w:kern w:val="11"/>
    </w:rPr>
  </w:style>
  <w:style w:type="character" w:customStyle="1" w:styleId="225">
    <w:name w:val="样式93 Char Char"/>
    <w:link w:val="224"/>
    <w:qFormat/>
    <w:uiPriority w:val="0"/>
    <w:rPr>
      <w:rFonts w:ascii="宋体" w:hAnsi="宋体" w:eastAsia="仿宋_GB2312" w:cs="黑体"/>
      <w:kern w:val="11"/>
      <w:sz w:val="24"/>
      <w:szCs w:val="24"/>
    </w:rPr>
  </w:style>
  <w:style w:type="paragraph" w:customStyle="1" w:styleId="226">
    <w:name w:val="真宗兴表格标题"/>
    <w:basedOn w:val="1"/>
    <w:link w:val="227"/>
    <w:qFormat/>
    <w:uiPriority w:val="0"/>
    <w:pPr>
      <w:spacing w:before="93" w:afterLines="30" w:line="400" w:lineRule="atLeast"/>
      <w:ind w:firstLine="480" w:firstLineChars="200"/>
      <w:jc w:val="center"/>
    </w:pPr>
    <w:rPr>
      <w:rFonts w:ascii="黑体" w:eastAsia="黑体"/>
      <w:kern w:val="0"/>
    </w:rPr>
  </w:style>
  <w:style w:type="character" w:customStyle="1" w:styleId="227">
    <w:name w:val="真宗兴表格标题 Char Char"/>
    <w:link w:val="226"/>
    <w:qFormat/>
    <w:uiPriority w:val="0"/>
    <w:rPr>
      <w:rFonts w:ascii="黑体" w:hAnsi="Times New Roman" w:eastAsia="黑体"/>
      <w:sz w:val="24"/>
      <w:szCs w:val="24"/>
    </w:rPr>
  </w:style>
  <w:style w:type="paragraph" w:customStyle="1" w:styleId="228">
    <w:name w:val="样式 四号 黑色 行距: 1.5 倍行距 首行缩进:  2 字符"/>
    <w:basedOn w:val="1"/>
    <w:qFormat/>
    <w:uiPriority w:val="0"/>
    <w:pPr>
      <w:ind w:firstLine="560" w:firstLineChars="200"/>
    </w:pPr>
    <w:rPr>
      <w:rFonts w:eastAsia="仿宋_GB2312" w:cs="宋体"/>
      <w:color w:val="000000"/>
      <w:sz w:val="28"/>
      <w:szCs w:val="20"/>
    </w:rPr>
  </w:style>
  <w:style w:type="paragraph" w:customStyle="1" w:styleId="229">
    <w:name w:val="样式 小四 段前: 12 磅 行距: 1.5 倍行距"/>
    <w:basedOn w:val="1"/>
    <w:link w:val="230"/>
    <w:qFormat/>
    <w:uiPriority w:val="0"/>
    <w:pPr>
      <w:ind w:firstLine="480" w:firstLineChars="200"/>
    </w:pPr>
    <w:rPr>
      <w:color w:val="FF0000"/>
      <w:kern w:val="0"/>
      <w:szCs w:val="20"/>
    </w:rPr>
  </w:style>
  <w:style w:type="character" w:customStyle="1" w:styleId="230">
    <w:name w:val="样式 小四 段前: 12 磅 行距: 1.5 倍行距 Char Char"/>
    <w:link w:val="229"/>
    <w:qFormat/>
    <w:uiPriority w:val="0"/>
    <w:rPr>
      <w:rFonts w:ascii="Times New Roman" w:hAnsi="Times New Roman"/>
      <w:color w:val="FF0000"/>
      <w:sz w:val="24"/>
    </w:rPr>
  </w:style>
  <w:style w:type="paragraph" w:customStyle="1" w:styleId="231">
    <w:name w:val="样式 宋体 四号 段前: 5 磅 段后: 5 磅 行距: 1.5 倍行距 + 首行缩进:  2 字符"/>
    <w:basedOn w:val="1"/>
    <w:qFormat/>
    <w:uiPriority w:val="0"/>
    <w:pPr>
      <w:spacing w:before="100" w:after="100"/>
      <w:ind w:firstLine="451" w:firstLineChars="200"/>
    </w:pPr>
    <w:rPr>
      <w:rFonts w:ascii="宋体" w:hAnsi="宋体" w:cs="宋体"/>
    </w:rPr>
  </w:style>
  <w:style w:type="paragraph" w:customStyle="1" w:styleId="232">
    <w:name w:val="样式 正文文本缩进 + 宋体"/>
    <w:basedOn w:val="3"/>
    <w:link w:val="233"/>
    <w:qFormat/>
    <w:uiPriority w:val="0"/>
    <w:pPr>
      <w:widowControl/>
      <w:spacing w:before="200" w:after="200" w:line="400" w:lineRule="exact"/>
      <w:ind w:left="0" w:leftChars="0" w:firstLine="480" w:firstLineChars="200"/>
      <w:contextualSpacing/>
      <w:jc w:val="left"/>
    </w:pPr>
    <w:rPr>
      <w:rFonts w:ascii="宋体" w:hAnsi="宋体"/>
      <w:kern w:val="0"/>
      <w:sz w:val="28"/>
      <w:szCs w:val="28"/>
      <w:lang w:eastAsia="en-US" w:bidi="en-US"/>
    </w:rPr>
  </w:style>
  <w:style w:type="character" w:customStyle="1" w:styleId="233">
    <w:name w:val="样式 正文文本缩进 + 宋体 Char Char"/>
    <w:link w:val="232"/>
    <w:qFormat/>
    <w:uiPriority w:val="0"/>
    <w:rPr>
      <w:rFonts w:ascii="宋体" w:hAnsi="宋体"/>
      <w:snapToGrid/>
      <w:sz w:val="28"/>
      <w:szCs w:val="28"/>
      <w:lang w:eastAsia="en-US" w:bidi="en-US"/>
    </w:rPr>
  </w:style>
  <w:style w:type="paragraph" w:customStyle="1" w:styleId="234">
    <w:name w:val="样式 标题 3 Char Char +"/>
    <w:basedOn w:val="1"/>
    <w:next w:val="1"/>
    <w:qFormat/>
    <w:uiPriority w:val="0"/>
    <w:pPr>
      <w:jc w:val="left"/>
      <w:outlineLvl w:val="4"/>
    </w:pPr>
    <w:rPr>
      <w:b/>
    </w:rPr>
  </w:style>
  <w:style w:type="paragraph" w:customStyle="1" w:styleId="235">
    <w:name w:val="样式 表格文字 + 段前: 0.2 行 段后: 0.2 行"/>
    <w:basedOn w:val="1"/>
    <w:qFormat/>
    <w:uiPriority w:val="0"/>
    <w:pPr>
      <w:spacing w:beforeLines="20" w:afterLines="20" w:line="240" w:lineRule="auto"/>
      <w:jc w:val="center"/>
    </w:pPr>
    <w:rPr>
      <w:rFonts w:cs="宋体"/>
      <w:kern w:val="0"/>
      <w:sz w:val="20"/>
      <w:szCs w:val="21"/>
    </w:rPr>
  </w:style>
  <w:style w:type="paragraph" w:customStyle="1" w:styleId="236">
    <w:name w:val="样式 段前: 0.3 行 段后: 0.3 行"/>
    <w:basedOn w:val="1"/>
    <w:qFormat/>
    <w:uiPriority w:val="0"/>
    <w:pPr>
      <w:spacing w:before="93" w:after="93"/>
      <w:ind w:firstLine="200" w:firstLineChars="200"/>
    </w:pPr>
    <w:rPr>
      <w:rFonts w:cs="宋体"/>
      <w:szCs w:val="20"/>
    </w:rPr>
  </w:style>
  <w:style w:type="paragraph" w:customStyle="1" w:styleId="237">
    <w:name w:val="样式16"/>
    <w:basedOn w:val="1"/>
    <w:qFormat/>
    <w:uiPriority w:val="0"/>
    <w:pPr>
      <w:overflowPunct w:val="0"/>
      <w:autoSpaceDE w:val="0"/>
      <w:autoSpaceDN w:val="0"/>
      <w:adjustRightInd w:val="0"/>
      <w:spacing w:beforeLines="30" w:afterLines="30"/>
      <w:ind w:firstLine="540" w:firstLineChars="225"/>
      <w:textAlignment w:val="baseline"/>
    </w:pPr>
    <w:rPr>
      <w:rFonts w:cs="宋体"/>
      <w:kern w:val="0"/>
      <w:szCs w:val="20"/>
    </w:rPr>
  </w:style>
  <w:style w:type="paragraph" w:customStyle="1" w:styleId="238">
    <w:name w:val="样式 报告 + 首行缩进:  0.58 字符 Char"/>
    <w:basedOn w:val="1"/>
    <w:qFormat/>
    <w:uiPriority w:val="0"/>
    <w:pPr>
      <w:overflowPunct w:val="0"/>
      <w:autoSpaceDE w:val="0"/>
      <w:autoSpaceDN w:val="0"/>
      <w:adjustRightInd w:val="0"/>
      <w:spacing w:beforeLines="10" w:afterLines="10" w:line="440" w:lineRule="atLeast"/>
      <w:ind w:firstLine="200" w:firstLineChars="200"/>
      <w:textAlignment w:val="baseline"/>
    </w:pPr>
    <w:rPr>
      <w:rFonts w:cs="宋体"/>
      <w:kern w:val="0"/>
      <w:szCs w:val="20"/>
    </w:rPr>
  </w:style>
  <w:style w:type="paragraph" w:customStyle="1" w:styleId="239">
    <w:name w:val="样式4"/>
    <w:basedOn w:val="157"/>
    <w:link w:val="240"/>
    <w:qFormat/>
    <w:uiPriority w:val="0"/>
    <w:pPr>
      <w:spacing w:before="72" w:after="72" w:line="360" w:lineRule="auto"/>
    </w:pPr>
    <w:rPr>
      <w:rFonts w:cs="Times New Roman"/>
      <w:szCs w:val="20"/>
    </w:rPr>
  </w:style>
  <w:style w:type="character" w:customStyle="1" w:styleId="240">
    <w:name w:val="样式4 Char"/>
    <w:link w:val="239"/>
    <w:qFormat/>
    <w:uiPriority w:val="0"/>
    <w:rPr>
      <w:rFonts w:ascii="Times New Roman" w:hAnsi="Times New Roman"/>
      <w:sz w:val="24"/>
    </w:rPr>
  </w:style>
  <w:style w:type="paragraph" w:customStyle="1" w:styleId="241">
    <w:name w:val="样式 报告 + 首行缩进:  2 字符 段前: 0.1 行 段后: 0.1 行"/>
    <w:basedOn w:val="1"/>
    <w:qFormat/>
    <w:uiPriority w:val="0"/>
    <w:pPr>
      <w:overflowPunct w:val="0"/>
      <w:autoSpaceDE w:val="0"/>
      <w:autoSpaceDN w:val="0"/>
      <w:adjustRightInd w:val="0"/>
      <w:spacing w:beforeLines="10" w:afterLines="10" w:line="440" w:lineRule="atLeast"/>
      <w:ind w:firstLine="497" w:firstLineChars="207"/>
      <w:textAlignment w:val="baseline"/>
    </w:pPr>
    <w:rPr>
      <w:rFonts w:cs="宋体"/>
      <w:kern w:val="0"/>
      <w:szCs w:val="20"/>
      <w:lang w:val="zh-CN"/>
    </w:rPr>
  </w:style>
  <w:style w:type="paragraph" w:customStyle="1" w:styleId="242">
    <w:name w:val="样式 标题 2标题 2 CharH2título 2h2RN chapter段节 + 左侧:  0 厘米 首行缩..."/>
    <w:basedOn w:val="7"/>
    <w:qFormat/>
    <w:uiPriority w:val="0"/>
    <w:pPr>
      <w:numPr>
        <w:ilvl w:val="0"/>
        <w:numId w:val="0"/>
      </w:numPr>
      <w:tabs>
        <w:tab w:val="left" w:pos="992"/>
      </w:tabs>
      <w:adjustRightInd w:val="0"/>
      <w:spacing w:beforeLines="100" w:afterLines="100" w:line="416" w:lineRule="atLeast"/>
      <w:ind w:left="992" w:hanging="567"/>
      <w:textAlignment w:val="baseline"/>
    </w:pPr>
    <w:rPr>
      <w:rFonts w:eastAsia="黑体" w:cs="宋体"/>
      <w:szCs w:val="20"/>
    </w:rPr>
  </w:style>
  <w:style w:type="paragraph" w:customStyle="1" w:styleId="243">
    <w:name w:val="样式21"/>
    <w:basedOn w:val="1"/>
    <w:qFormat/>
    <w:uiPriority w:val="0"/>
    <w:pPr>
      <w:adjustRightInd w:val="0"/>
      <w:spacing w:line="300" w:lineRule="exact"/>
      <w:jc w:val="center"/>
      <w:textAlignment w:val="baseline"/>
    </w:pPr>
    <w:rPr>
      <w:color w:val="000000"/>
      <w:kern w:val="0"/>
      <w:sz w:val="21"/>
      <w:szCs w:val="20"/>
    </w:rPr>
  </w:style>
  <w:style w:type="paragraph" w:customStyle="1" w:styleId="244">
    <w:name w:val="样式 样式 报告 + 首行缩进:  2 字符 段前: 0.3 行 段后: 0.3 行1 + 首行缩进:  2 字符"/>
    <w:basedOn w:val="1"/>
    <w:qFormat/>
    <w:uiPriority w:val="0"/>
    <w:pPr>
      <w:spacing w:before="93" w:after="93"/>
      <w:ind w:firstLine="480" w:firstLineChars="200"/>
      <w:jc w:val="left"/>
    </w:pPr>
    <w:rPr>
      <w:szCs w:val="20"/>
    </w:rPr>
  </w:style>
  <w:style w:type="paragraph" w:customStyle="1" w:styleId="245">
    <w:name w:val="样式 标题 3标题3H3h33rd level第二层条 + 段前: 0 磅 段后: 0 磅 行距: 单倍行距"/>
    <w:basedOn w:val="8"/>
    <w:qFormat/>
    <w:uiPriority w:val="0"/>
    <w:pPr>
      <w:numPr>
        <w:ilvl w:val="0"/>
        <w:numId w:val="0"/>
      </w:numPr>
    </w:pPr>
    <w:rPr>
      <w:rFonts w:eastAsia="黑体"/>
      <w:szCs w:val="20"/>
    </w:rPr>
  </w:style>
  <w:style w:type="paragraph" w:customStyle="1" w:styleId="246">
    <w:name w:val="样式 报告 + 首行缩进:  2 字符 段前: 0.3 行 段后: 0.3 行"/>
    <w:basedOn w:val="1"/>
    <w:qFormat/>
    <w:uiPriority w:val="0"/>
    <w:pPr>
      <w:overflowPunct w:val="0"/>
      <w:autoSpaceDE w:val="0"/>
      <w:autoSpaceDN w:val="0"/>
      <w:spacing w:before="72" w:after="72" w:line="400" w:lineRule="atLeast"/>
      <w:ind w:firstLine="480" w:firstLineChars="200"/>
    </w:pPr>
    <w:rPr>
      <w:color w:val="000000"/>
      <w:szCs w:val="20"/>
    </w:rPr>
  </w:style>
  <w:style w:type="paragraph" w:customStyle="1" w:styleId="247">
    <w:name w:val="自定义小标题"/>
    <w:basedOn w:val="1"/>
    <w:qFormat/>
    <w:uiPriority w:val="0"/>
    <w:pPr>
      <w:spacing w:beforeLines="30" w:afterLines="30" w:line="400" w:lineRule="atLeast"/>
    </w:pPr>
    <w:rPr>
      <w:b/>
      <w:szCs w:val="20"/>
      <w:u w:val="single" w:color="000000"/>
    </w:rPr>
  </w:style>
  <w:style w:type="paragraph" w:customStyle="1" w:styleId="248">
    <w:name w:val="样式 样式 样式 报告 + 首行缩进:  0.58 字符 Char + 黑色 首行缩进:  2 字符 段前: 0.1 行 段后:...1"/>
    <w:basedOn w:val="1"/>
    <w:qFormat/>
    <w:uiPriority w:val="0"/>
    <w:pPr>
      <w:overflowPunct w:val="0"/>
      <w:autoSpaceDE w:val="0"/>
      <w:autoSpaceDN w:val="0"/>
      <w:adjustRightInd w:val="0"/>
      <w:spacing w:before="93" w:after="93"/>
      <w:ind w:firstLine="540" w:firstLineChars="225"/>
      <w:textAlignment w:val="baseline"/>
    </w:pPr>
    <w:rPr>
      <w:rFonts w:ascii="宋体" w:hAnsi="宋体"/>
      <w:color w:val="666600"/>
      <w:kern w:val="0"/>
      <w:szCs w:val="21"/>
    </w:rPr>
  </w:style>
  <w:style w:type="paragraph" w:customStyle="1" w:styleId="249">
    <w:name w:val="样式 报告 + 左侧:  0 厘米 段前: 3.6 磅 段后: 3.6 磅 行距: 1.5 倍行距"/>
    <w:basedOn w:val="1"/>
    <w:qFormat/>
    <w:uiPriority w:val="0"/>
    <w:pPr>
      <w:overflowPunct w:val="0"/>
      <w:autoSpaceDE w:val="0"/>
      <w:autoSpaceDN w:val="0"/>
      <w:adjustRightInd w:val="0"/>
      <w:spacing w:before="72" w:after="72"/>
      <w:ind w:firstLine="480" w:firstLineChars="200"/>
      <w:textAlignment w:val="baseline"/>
    </w:pPr>
    <w:rPr>
      <w:rFonts w:cs="宋体"/>
      <w:kern w:val="0"/>
      <w:szCs w:val="20"/>
    </w:rPr>
  </w:style>
  <w:style w:type="paragraph" w:customStyle="1" w:styleId="250">
    <w:name w:val="宗兴图"/>
    <w:basedOn w:val="1"/>
    <w:link w:val="251"/>
    <w:qFormat/>
    <w:uiPriority w:val="0"/>
    <w:pPr>
      <w:spacing w:before="93" w:after="93"/>
      <w:jc w:val="center"/>
    </w:pPr>
    <w:rPr>
      <w:rFonts w:eastAsia="黑体"/>
      <w:b/>
      <w:kern w:val="0"/>
    </w:rPr>
  </w:style>
  <w:style w:type="character" w:customStyle="1" w:styleId="251">
    <w:name w:val="宗兴图 Char Char"/>
    <w:link w:val="250"/>
    <w:qFormat/>
    <w:uiPriority w:val="0"/>
    <w:rPr>
      <w:rFonts w:ascii="Times New Roman" w:hAnsi="Times New Roman" w:eastAsia="黑体"/>
      <w:b/>
      <w:sz w:val="24"/>
      <w:szCs w:val="24"/>
    </w:rPr>
  </w:style>
  <w:style w:type="paragraph" w:customStyle="1" w:styleId="252">
    <w:name w:val="样式 报告 + 首行缩进:  2 字符 段前: 0.3 行 段后: 0.3 行3"/>
    <w:basedOn w:val="1"/>
    <w:qFormat/>
    <w:uiPriority w:val="0"/>
    <w:pPr>
      <w:overflowPunct w:val="0"/>
      <w:autoSpaceDE w:val="0"/>
      <w:autoSpaceDN w:val="0"/>
      <w:spacing w:beforeLines="30" w:afterLines="30"/>
      <w:ind w:firstLine="480" w:firstLineChars="200"/>
    </w:pPr>
    <w:rPr>
      <w:szCs w:val="20"/>
    </w:rPr>
  </w:style>
  <w:style w:type="paragraph" w:customStyle="1" w:styleId="253">
    <w:name w:val="引用1"/>
    <w:basedOn w:val="1"/>
    <w:next w:val="1"/>
    <w:link w:val="254"/>
    <w:qFormat/>
    <w:uiPriority w:val="0"/>
    <w:pPr>
      <w:keepNext/>
      <w:keepLines/>
      <w:spacing w:before="240" w:after="240" w:line="400" w:lineRule="exact"/>
      <w:outlineLvl w:val="3"/>
    </w:pPr>
    <w:rPr>
      <w:rFonts w:eastAsia="黑体"/>
      <w:b/>
      <w:kern w:val="0"/>
    </w:rPr>
  </w:style>
  <w:style w:type="character" w:customStyle="1" w:styleId="254">
    <w:name w:val="引用 Char"/>
    <w:link w:val="253"/>
    <w:qFormat/>
    <w:uiPriority w:val="0"/>
    <w:rPr>
      <w:rFonts w:ascii="Times New Roman" w:hAnsi="Times New Roman" w:eastAsia="黑体"/>
      <w:b/>
      <w:sz w:val="24"/>
      <w:szCs w:val="24"/>
    </w:rPr>
  </w:style>
  <w:style w:type="paragraph" w:customStyle="1" w:styleId="255">
    <w:name w:val="样式 两端对齐 首行缩进:  2 字符"/>
    <w:basedOn w:val="1"/>
    <w:qFormat/>
    <w:uiPriority w:val="0"/>
    <w:pPr>
      <w:widowControl/>
      <w:spacing w:line="240" w:lineRule="auto"/>
      <w:ind w:firstLine="560" w:firstLineChars="200"/>
    </w:pPr>
    <w:rPr>
      <w:rFonts w:cs="宋体"/>
      <w:kern w:val="0"/>
      <w:sz w:val="28"/>
      <w:szCs w:val="28"/>
    </w:rPr>
  </w:style>
  <w:style w:type="paragraph" w:customStyle="1" w:styleId="256">
    <w:name w:val="正文1 加粗"/>
    <w:basedOn w:val="150"/>
    <w:link w:val="257"/>
    <w:qFormat/>
    <w:uiPriority w:val="0"/>
    <w:pPr>
      <w:tabs>
        <w:tab w:val="clear" w:pos="4200"/>
      </w:tabs>
      <w:ind w:firstLine="482"/>
    </w:pPr>
    <w:rPr>
      <w:rFonts w:ascii="宋体" w:hAnsi="宋体"/>
      <w:b/>
      <w:bCs/>
      <w:spacing w:val="-8"/>
    </w:rPr>
  </w:style>
  <w:style w:type="character" w:customStyle="1" w:styleId="257">
    <w:name w:val="正文1 加粗 Char Char"/>
    <w:link w:val="256"/>
    <w:qFormat/>
    <w:uiPriority w:val="0"/>
    <w:rPr>
      <w:rFonts w:ascii="宋体" w:hAnsi="宋体"/>
      <w:b/>
      <w:bCs/>
      <w:spacing w:val="-8"/>
      <w:sz w:val="24"/>
      <w:szCs w:val="24"/>
    </w:rPr>
  </w:style>
  <w:style w:type="paragraph" w:customStyle="1" w:styleId="258">
    <w:name w:val="正文d1"/>
    <w:basedOn w:val="1"/>
    <w:qFormat/>
    <w:uiPriority w:val="0"/>
    <w:pPr>
      <w:snapToGrid w:val="0"/>
      <w:spacing w:before="50" w:after="50"/>
      <w:ind w:firstLine="540"/>
    </w:pPr>
    <w:rPr>
      <w:rFonts w:ascii="宋体" w:hAnsi="宋体" w:cs="宋体"/>
    </w:rPr>
  </w:style>
  <w:style w:type="paragraph" w:customStyle="1" w:styleId="259">
    <w:name w:val="样式 首行缩进:  2.5 字符"/>
    <w:basedOn w:val="46"/>
    <w:qFormat/>
    <w:uiPriority w:val="0"/>
    <w:pPr>
      <w:ind w:firstLine="200" w:firstLineChars="200"/>
    </w:pPr>
    <w:rPr>
      <w:rFonts w:cs="宋体"/>
      <w:kern w:val="0"/>
      <w:szCs w:val="20"/>
    </w:rPr>
  </w:style>
  <w:style w:type="paragraph" w:customStyle="1" w:styleId="260">
    <w:name w:val="样式 列表 + 居中 首行缩进:  2 字符1"/>
    <w:basedOn w:val="1"/>
    <w:qFormat/>
    <w:uiPriority w:val="0"/>
    <w:pPr>
      <w:spacing w:line="440" w:lineRule="exact"/>
      <w:jc w:val="left"/>
    </w:pPr>
    <w:rPr>
      <w:rFonts w:cs="宋体"/>
      <w:szCs w:val="20"/>
    </w:rPr>
  </w:style>
  <w:style w:type="paragraph" w:customStyle="1" w:styleId="261">
    <w:name w:val="样式 列表 + 居中 首行缩进:  2 字符"/>
    <w:basedOn w:val="1"/>
    <w:qFormat/>
    <w:uiPriority w:val="0"/>
    <w:pPr>
      <w:snapToGrid w:val="0"/>
      <w:spacing w:line="440" w:lineRule="exact"/>
      <w:jc w:val="left"/>
    </w:pPr>
    <w:rPr>
      <w:rFonts w:cs="宋体"/>
      <w:sz w:val="21"/>
      <w:szCs w:val="20"/>
    </w:rPr>
  </w:style>
  <w:style w:type="paragraph" w:customStyle="1" w:styleId="262">
    <w:name w:val="样式 四号 黑色 行距: 1.5 倍行距"/>
    <w:basedOn w:val="1"/>
    <w:qFormat/>
    <w:uiPriority w:val="0"/>
    <w:rPr>
      <w:rFonts w:eastAsia="仿宋_GB2312" w:cs="宋体"/>
      <w:color w:val="000000"/>
      <w:sz w:val="28"/>
      <w:szCs w:val="20"/>
    </w:rPr>
  </w:style>
  <w:style w:type="paragraph" w:customStyle="1" w:styleId="263">
    <w:name w:val="样式 正文文本缩进 + 左侧:  2 字符1"/>
    <w:basedOn w:val="3"/>
    <w:qFormat/>
    <w:uiPriority w:val="0"/>
    <w:pPr>
      <w:widowControl/>
      <w:ind w:left="0" w:leftChars="0" w:firstLine="420"/>
      <w:jc w:val="left"/>
    </w:pPr>
    <w:rPr>
      <w:rFonts w:cs="宋体"/>
      <w:kern w:val="0"/>
      <w:szCs w:val="20"/>
    </w:rPr>
  </w:style>
  <w:style w:type="paragraph" w:customStyle="1" w:styleId="264">
    <w:name w:val="样式 列表 + 居中 首行缩进:  2 字符2"/>
    <w:basedOn w:val="1"/>
    <w:qFormat/>
    <w:uiPriority w:val="0"/>
    <w:pPr>
      <w:spacing w:line="440" w:lineRule="exact"/>
      <w:jc w:val="left"/>
    </w:pPr>
    <w:rPr>
      <w:rFonts w:cs="宋体"/>
      <w:sz w:val="21"/>
      <w:szCs w:val="20"/>
    </w:rPr>
  </w:style>
  <w:style w:type="paragraph" w:customStyle="1" w:styleId="265">
    <w:name w:val="样式 正文首行缩进正文首行缩进 Char Char Char正文首行缩进 Char Char + 首行缩进:  0.85 厘米"/>
    <w:basedOn w:val="46"/>
    <w:qFormat/>
    <w:uiPriority w:val="0"/>
    <w:pPr>
      <w:ind w:firstLine="482" w:firstLineChars="0"/>
    </w:pPr>
    <w:rPr>
      <w:rFonts w:cs="宋体"/>
      <w:kern w:val="0"/>
      <w:szCs w:val="20"/>
    </w:rPr>
  </w:style>
  <w:style w:type="paragraph" w:customStyle="1" w:styleId="266">
    <w:name w:val="样式 14 磅 黑色 居中"/>
    <w:basedOn w:val="1"/>
    <w:qFormat/>
    <w:uiPriority w:val="0"/>
    <w:pPr>
      <w:spacing w:line="240" w:lineRule="auto"/>
      <w:jc w:val="center"/>
    </w:pPr>
    <w:rPr>
      <w:rFonts w:cs="PMingLiU"/>
      <w:color w:val="000000"/>
      <w:sz w:val="28"/>
      <w:szCs w:val="20"/>
    </w:rPr>
  </w:style>
  <w:style w:type="paragraph" w:customStyle="1" w:styleId="267">
    <w:name w:val="样式 首行缩进:  2 字符"/>
    <w:basedOn w:val="1"/>
    <w:link w:val="268"/>
    <w:qFormat/>
    <w:uiPriority w:val="0"/>
    <w:pPr>
      <w:widowControl/>
      <w:ind w:firstLine="200" w:firstLineChars="200"/>
      <w:jc w:val="left"/>
    </w:pPr>
    <w:rPr>
      <w:kern w:val="0"/>
      <w:szCs w:val="20"/>
    </w:rPr>
  </w:style>
  <w:style w:type="character" w:customStyle="1" w:styleId="268">
    <w:name w:val="样式 首行缩进:  2 字符 Char1"/>
    <w:link w:val="267"/>
    <w:qFormat/>
    <w:uiPriority w:val="0"/>
    <w:rPr>
      <w:rFonts w:ascii="Times New Roman" w:hAnsi="Times New Roman"/>
      <w:sz w:val="24"/>
    </w:rPr>
  </w:style>
  <w:style w:type="paragraph" w:customStyle="1" w:styleId="269">
    <w:name w:val="样式 样式 四号 黑色 行距: 1.5 倍行距 首行缩进:  2 字符 + (中文) 宋体 16 磅 首行缩进:  2 字符"/>
    <w:basedOn w:val="228"/>
    <w:qFormat/>
    <w:uiPriority w:val="0"/>
    <w:pPr>
      <w:ind w:firstLine="640"/>
    </w:pPr>
    <w:rPr>
      <w:rFonts w:eastAsia="宋体" w:cs="PMingLiU"/>
      <w:sz w:val="32"/>
    </w:rPr>
  </w:style>
  <w:style w:type="paragraph" w:customStyle="1" w:styleId="270">
    <w:name w:val="样式 居中"/>
    <w:basedOn w:val="1"/>
    <w:qFormat/>
    <w:uiPriority w:val="0"/>
    <w:pPr>
      <w:spacing w:line="240" w:lineRule="auto"/>
      <w:jc w:val="center"/>
    </w:pPr>
    <w:rPr>
      <w:rFonts w:cs="宋体"/>
      <w:b/>
      <w:szCs w:val="20"/>
    </w:rPr>
  </w:style>
  <w:style w:type="paragraph" w:customStyle="1" w:styleId="271">
    <w:name w:val="样式 正文首行缩进 + 二号 加粗 黑色 字距调整二号 Char"/>
    <w:basedOn w:val="46"/>
    <w:link w:val="272"/>
    <w:qFormat/>
    <w:uiPriority w:val="0"/>
    <w:pPr>
      <w:widowControl/>
      <w:ind w:firstLine="200" w:firstLineChars="200"/>
      <w:jc w:val="left"/>
    </w:pPr>
    <w:rPr>
      <w:bCs/>
      <w:color w:val="000000"/>
      <w:kern w:val="44"/>
    </w:rPr>
  </w:style>
  <w:style w:type="character" w:customStyle="1" w:styleId="272">
    <w:name w:val="样式 正文首行缩进 + 二号 加粗 黑色 字距调整二号 Char Char Char"/>
    <w:link w:val="271"/>
    <w:qFormat/>
    <w:uiPriority w:val="0"/>
    <w:rPr>
      <w:rFonts w:ascii="Times New Roman" w:hAnsi="Times New Roman"/>
      <w:bCs/>
      <w:color w:val="000000"/>
      <w:kern w:val="44"/>
      <w:sz w:val="24"/>
      <w:szCs w:val="24"/>
    </w:rPr>
  </w:style>
  <w:style w:type="paragraph" w:customStyle="1" w:styleId="273">
    <w:name w:val="样式 标题 3 + 二号 黑色 字距调整二号"/>
    <w:basedOn w:val="8"/>
    <w:link w:val="274"/>
    <w:qFormat/>
    <w:uiPriority w:val="0"/>
    <w:pPr>
      <w:numPr>
        <w:ilvl w:val="0"/>
        <w:numId w:val="0"/>
      </w:numPr>
      <w:adjustRightInd w:val="0"/>
      <w:spacing w:line="415" w:lineRule="auto"/>
      <w:ind w:left="113"/>
    </w:pPr>
    <w:rPr>
      <w:color w:val="000000"/>
      <w:kern w:val="44"/>
      <w:szCs w:val="20"/>
    </w:rPr>
  </w:style>
  <w:style w:type="character" w:customStyle="1" w:styleId="274">
    <w:name w:val="样式 标题 3 + 二号 黑色 字距调整二号 Char Char"/>
    <w:link w:val="273"/>
    <w:qFormat/>
    <w:uiPriority w:val="0"/>
    <w:rPr>
      <w:rFonts w:ascii="Times New Roman" w:hAnsi="Times New Roman"/>
      <w:b/>
      <w:bCs/>
      <w:color w:val="000000"/>
      <w:kern w:val="44"/>
      <w:sz w:val="28"/>
    </w:rPr>
  </w:style>
  <w:style w:type="paragraph" w:customStyle="1" w:styleId="275">
    <w:name w:val="样式 标题 2 + (中文) 宋体 二号 字距调整二号1"/>
    <w:basedOn w:val="7"/>
    <w:link w:val="276"/>
    <w:qFormat/>
    <w:uiPriority w:val="0"/>
    <w:pPr>
      <w:numPr>
        <w:ilvl w:val="0"/>
        <w:numId w:val="0"/>
      </w:numPr>
      <w:adjustRightInd w:val="0"/>
      <w:spacing w:before="100" w:after="50"/>
      <w:textAlignment w:val="baseline"/>
    </w:pPr>
    <w:rPr>
      <w:rFonts w:eastAsia="黑体"/>
      <w:color w:val="000000"/>
      <w:kern w:val="44"/>
      <w:sz w:val="30"/>
      <w:szCs w:val="20"/>
    </w:rPr>
  </w:style>
  <w:style w:type="character" w:customStyle="1" w:styleId="276">
    <w:name w:val="样式 标题 2 + (中文) 宋体 二号 字距调整二号1 Char Char"/>
    <w:link w:val="275"/>
    <w:qFormat/>
    <w:uiPriority w:val="0"/>
    <w:rPr>
      <w:rFonts w:ascii="Times New Roman" w:hAnsi="Times New Roman" w:eastAsia="黑体"/>
      <w:b/>
      <w:bCs/>
      <w:color w:val="000000"/>
      <w:kern w:val="44"/>
      <w:sz w:val="30"/>
    </w:rPr>
  </w:style>
  <w:style w:type="paragraph" w:customStyle="1" w:styleId="277">
    <w:name w:val="样式 宋体 小四 首行缩进:  0.85 厘米 行距: 多倍行距 1.75 字行"/>
    <w:basedOn w:val="1"/>
    <w:qFormat/>
    <w:uiPriority w:val="0"/>
    <w:pPr>
      <w:adjustRightInd w:val="0"/>
      <w:ind w:firstLine="340"/>
    </w:pPr>
    <w:rPr>
      <w:rFonts w:ascii="宋体" w:hAnsi="宋体" w:cs="宋体"/>
      <w:szCs w:val="20"/>
    </w:rPr>
  </w:style>
  <w:style w:type="paragraph" w:customStyle="1" w:styleId="278">
    <w:name w:val="样式 正文文本缩进 + 左侧:  2 字符"/>
    <w:basedOn w:val="3"/>
    <w:qFormat/>
    <w:uiPriority w:val="0"/>
    <w:pPr>
      <w:widowControl/>
      <w:ind w:left="200" w:firstLine="420"/>
      <w:jc w:val="left"/>
    </w:pPr>
    <w:rPr>
      <w:rFonts w:cs="宋体"/>
      <w:kern w:val="0"/>
      <w:szCs w:val="20"/>
    </w:rPr>
  </w:style>
  <w:style w:type="paragraph" w:customStyle="1" w:styleId="279">
    <w:name w:val="样式 样式 正文文本缩进 + 左侧:  2 字符 + 左侧:  2 字符"/>
    <w:basedOn w:val="278"/>
    <w:qFormat/>
    <w:uiPriority w:val="0"/>
    <w:pPr>
      <w:ind w:left="0" w:leftChars="0"/>
    </w:pPr>
  </w:style>
  <w:style w:type="paragraph" w:customStyle="1" w:styleId="280">
    <w:name w:val="样式 行距: 单倍行距"/>
    <w:basedOn w:val="1"/>
    <w:qFormat/>
    <w:uiPriority w:val="0"/>
    <w:pPr>
      <w:spacing w:line="240" w:lineRule="auto"/>
    </w:pPr>
    <w:rPr>
      <w:rFonts w:cs="宋体"/>
      <w:sz w:val="21"/>
      <w:szCs w:val="20"/>
    </w:rPr>
  </w:style>
  <w:style w:type="paragraph" w:customStyle="1" w:styleId="281">
    <w:name w:val="样式 首行缩进:  2.25 字符1"/>
    <w:basedOn w:val="1"/>
    <w:link w:val="282"/>
    <w:qFormat/>
    <w:uiPriority w:val="0"/>
    <w:pPr>
      <w:ind w:firstLine="225" w:firstLineChars="225"/>
      <w:jc w:val="left"/>
    </w:pPr>
    <w:rPr>
      <w:kern w:val="0"/>
      <w:szCs w:val="20"/>
    </w:rPr>
  </w:style>
  <w:style w:type="character" w:customStyle="1" w:styleId="282">
    <w:name w:val="样式 首行缩进:  2.25 字符1 Char Char"/>
    <w:link w:val="281"/>
    <w:qFormat/>
    <w:uiPriority w:val="0"/>
    <w:rPr>
      <w:rFonts w:ascii="Times New Roman" w:hAnsi="Times New Roman"/>
      <w:sz w:val="24"/>
    </w:rPr>
  </w:style>
  <w:style w:type="paragraph" w:customStyle="1" w:styleId="283">
    <w:name w:val="样式 首行缩进:  0.85 厘米"/>
    <w:basedOn w:val="1"/>
    <w:qFormat/>
    <w:uiPriority w:val="0"/>
    <w:pPr>
      <w:widowControl/>
      <w:ind w:firstLine="482"/>
      <w:jc w:val="left"/>
    </w:pPr>
    <w:rPr>
      <w:rFonts w:cs="宋体"/>
      <w:kern w:val="0"/>
      <w:szCs w:val="20"/>
    </w:rPr>
  </w:style>
  <w:style w:type="paragraph" w:customStyle="1" w:styleId="284">
    <w:name w:val="样式 首行缩进:  2 字符2"/>
    <w:next w:val="1"/>
    <w:qFormat/>
    <w:uiPriority w:val="0"/>
    <w:pPr>
      <w:adjustRightInd w:val="0"/>
    </w:pPr>
    <w:rPr>
      <w:rFonts w:ascii="Times New Roman" w:hAnsi="Times New Roman" w:eastAsia="宋体" w:cs="PMingLiU"/>
      <w:lang w:val="en-US" w:eastAsia="zh-CN" w:bidi="ar-SA"/>
    </w:rPr>
  </w:style>
  <w:style w:type="paragraph" w:customStyle="1" w:styleId="285">
    <w:name w:val="样式 列表 + 首行缩进:  0.74 厘米"/>
    <w:basedOn w:val="1"/>
    <w:qFormat/>
    <w:uiPriority w:val="0"/>
    <w:pPr>
      <w:adjustRightInd w:val="0"/>
      <w:snapToGrid w:val="0"/>
      <w:spacing w:line="240" w:lineRule="auto"/>
    </w:pPr>
    <w:rPr>
      <w:rFonts w:cs="宋体"/>
      <w:sz w:val="21"/>
      <w:szCs w:val="20"/>
    </w:rPr>
  </w:style>
  <w:style w:type="paragraph" w:customStyle="1" w:styleId="286">
    <w:name w:val="样式 小四 首行缩进:  0.85 厘米 行距: 固定值 23 磅"/>
    <w:basedOn w:val="1"/>
    <w:qFormat/>
    <w:uiPriority w:val="0"/>
    <w:pPr>
      <w:adjustRightInd w:val="0"/>
      <w:ind w:firstLine="480"/>
    </w:pPr>
    <w:rPr>
      <w:rFonts w:cs="宋体"/>
      <w:szCs w:val="20"/>
    </w:rPr>
  </w:style>
  <w:style w:type="paragraph" w:customStyle="1" w:styleId="287">
    <w:name w:val="样式 小五 居中"/>
    <w:basedOn w:val="1"/>
    <w:qFormat/>
    <w:uiPriority w:val="0"/>
    <w:pPr>
      <w:adjustRightInd w:val="0"/>
      <w:spacing w:line="240" w:lineRule="auto"/>
      <w:jc w:val="left"/>
    </w:pPr>
    <w:rPr>
      <w:rFonts w:cs="宋体"/>
      <w:kern w:val="0"/>
      <w:sz w:val="21"/>
      <w:szCs w:val="20"/>
    </w:rPr>
  </w:style>
  <w:style w:type="paragraph" w:customStyle="1" w:styleId="288">
    <w:name w:val="样式 标题 3 + 左侧:  0 厘米 首行缩进:  0 字符2"/>
    <w:qFormat/>
    <w:uiPriority w:val="0"/>
    <w:pPr>
      <w:spacing w:line="415" w:lineRule="auto"/>
    </w:pPr>
    <w:rPr>
      <w:rFonts w:ascii="Times New Roman" w:hAnsi="Times New Roman" w:eastAsia="宋体" w:cs="宋体"/>
      <w:b/>
      <w:bCs/>
      <w:sz w:val="28"/>
      <w:lang w:val="en-US" w:eastAsia="zh-CN" w:bidi="ar-SA"/>
    </w:rPr>
  </w:style>
  <w:style w:type="paragraph" w:customStyle="1" w:styleId="289">
    <w:name w:val="样式 正文文本缩进 + 左侧:  2 字符 悬挂缩进: 4.82 字符"/>
    <w:basedOn w:val="3"/>
    <w:qFormat/>
    <w:uiPriority w:val="0"/>
    <w:pPr>
      <w:widowControl/>
      <w:adjustRightInd w:val="0"/>
      <w:ind w:left="0" w:leftChars="0" w:firstLine="482"/>
      <w:jc w:val="left"/>
    </w:pPr>
    <w:rPr>
      <w:rFonts w:cs="宋体"/>
      <w:kern w:val="0"/>
      <w:szCs w:val="20"/>
    </w:rPr>
  </w:style>
  <w:style w:type="paragraph" w:customStyle="1" w:styleId="290">
    <w:name w:val="样式 正文文本 + 首行缩进:  0.85 厘米"/>
    <w:basedOn w:val="25"/>
    <w:qFormat/>
    <w:uiPriority w:val="0"/>
    <w:pPr>
      <w:shd w:val="clear" w:color="auto" w:fill="auto"/>
      <w:spacing w:before="0" w:after="120" w:line="360" w:lineRule="auto"/>
      <w:ind w:firstLine="482"/>
      <w:jc w:val="left"/>
    </w:pPr>
    <w:rPr>
      <w:rFonts w:ascii="Times New Roman" w:hAnsi="Times New Roman" w:cs="宋体"/>
      <w:sz w:val="24"/>
    </w:rPr>
  </w:style>
  <w:style w:type="paragraph" w:customStyle="1" w:styleId="291">
    <w:name w:val="样式 正文文本缩进 + 左侧:  2 字符 首行缩进:  0.85 厘米"/>
    <w:basedOn w:val="3"/>
    <w:qFormat/>
    <w:uiPriority w:val="0"/>
    <w:pPr>
      <w:widowControl/>
      <w:ind w:left="0" w:leftChars="0" w:firstLine="482"/>
      <w:jc w:val="left"/>
    </w:pPr>
    <w:rPr>
      <w:rFonts w:cs="宋体"/>
      <w:kern w:val="0"/>
      <w:szCs w:val="20"/>
    </w:rPr>
  </w:style>
  <w:style w:type="paragraph" w:customStyle="1" w:styleId="292">
    <w:name w:val="样式 标题 3 + 左侧:  0 厘米 首行缩进:  0 字符3"/>
    <w:qFormat/>
    <w:uiPriority w:val="0"/>
    <w:rPr>
      <w:rFonts w:ascii="Times New Roman" w:hAnsi="Times New Roman" w:eastAsia="宋体" w:cs="宋体"/>
      <w:b/>
      <w:bCs/>
      <w:sz w:val="28"/>
      <w:lang w:val="en-US" w:eastAsia="zh-CN" w:bidi="ar-SA"/>
    </w:rPr>
  </w:style>
  <w:style w:type="paragraph" w:customStyle="1" w:styleId="293">
    <w:name w:val="样式 标题 2 + 首行缩进:  2 字符1"/>
    <w:basedOn w:val="7"/>
    <w:qFormat/>
    <w:uiPriority w:val="0"/>
    <w:pPr>
      <w:numPr>
        <w:ilvl w:val="0"/>
        <w:numId w:val="0"/>
      </w:numPr>
      <w:adjustRightInd w:val="0"/>
      <w:spacing w:before="100" w:after="50"/>
      <w:textAlignment w:val="baseline"/>
    </w:pPr>
    <w:rPr>
      <w:rFonts w:eastAsia="黑体" w:cs="宋体"/>
      <w:color w:val="000000"/>
      <w:sz w:val="30"/>
      <w:szCs w:val="20"/>
    </w:rPr>
  </w:style>
  <w:style w:type="paragraph" w:customStyle="1" w:styleId="294">
    <w:name w:val="样式 标题 3 + 左侧:  0 厘米 首行缩进:  0 字符1"/>
    <w:next w:val="8"/>
    <w:qFormat/>
    <w:uiPriority w:val="0"/>
    <w:rPr>
      <w:rFonts w:ascii="Times New Roman" w:hAnsi="Times New Roman" w:eastAsia="宋体" w:cs="宋体"/>
      <w:b/>
      <w:bCs/>
      <w:sz w:val="28"/>
      <w:lang w:val="en-US" w:eastAsia="zh-CN" w:bidi="ar-SA"/>
    </w:rPr>
  </w:style>
  <w:style w:type="paragraph" w:customStyle="1" w:styleId="295">
    <w:name w:val="样式 宋体 首行缩进:  0.74 厘米"/>
    <w:basedOn w:val="1"/>
    <w:qFormat/>
    <w:uiPriority w:val="0"/>
    <w:pPr>
      <w:adjustRightInd w:val="0"/>
      <w:ind w:firstLine="420"/>
    </w:pPr>
    <w:rPr>
      <w:rFonts w:ascii="宋体" w:hAnsi="宋体" w:cs="宋体"/>
      <w:szCs w:val="20"/>
    </w:rPr>
  </w:style>
  <w:style w:type="paragraph" w:customStyle="1" w:styleId="296">
    <w:name w:val="样式 首行缩进:  2.25 字符2"/>
    <w:basedOn w:val="1"/>
    <w:qFormat/>
    <w:uiPriority w:val="0"/>
    <w:pPr>
      <w:ind w:firstLine="540" w:firstLineChars="225"/>
      <w:jc w:val="left"/>
    </w:pPr>
    <w:rPr>
      <w:rFonts w:cs="宋体"/>
      <w:szCs w:val="20"/>
    </w:rPr>
  </w:style>
  <w:style w:type="paragraph" w:customStyle="1" w:styleId="297">
    <w:name w:val="样式 列表 + 左侧:  0 厘米 悬挂缩进: 2 字符1"/>
    <w:basedOn w:val="1"/>
    <w:qFormat/>
    <w:uiPriority w:val="0"/>
    <w:pPr>
      <w:widowControl/>
      <w:spacing w:line="240" w:lineRule="auto"/>
      <w:jc w:val="left"/>
    </w:pPr>
    <w:rPr>
      <w:rFonts w:cs="PMingLiU"/>
      <w:kern w:val="0"/>
      <w:sz w:val="21"/>
      <w:szCs w:val="20"/>
    </w:rPr>
  </w:style>
  <w:style w:type="paragraph" w:customStyle="1" w:styleId="298">
    <w:name w:val="样式 正文文本缩进正文文字缩进正文文本缩进 Char + 黑色"/>
    <w:basedOn w:val="3"/>
    <w:qFormat/>
    <w:uiPriority w:val="0"/>
    <w:pPr>
      <w:widowControl/>
      <w:adjustRightInd w:val="0"/>
      <w:snapToGrid w:val="0"/>
      <w:spacing w:after="0"/>
      <w:ind w:left="0" w:leftChars="0" w:firstLine="420" w:firstLineChars="200"/>
    </w:pPr>
    <w:rPr>
      <w:rFonts w:ascii="宋体" w:hAnsi="宋体"/>
      <w:color w:val="000000"/>
      <w:kern w:val="0"/>
      <w:szCs w:val="20"/>
    </w:rPr>
  </w:style>
  <w:style w:type="paragraph" w:customStyle="1" w:styleId="299">
    <w:name w:val="新段落"/>
    <w:basedOn w:val="1"/>
    <w:qFormat/>
    <w:uiPriority w:val="0"/>
    <w:pPr>
      <w:adjustRightInd w:val="0"/>
      <w:snapToGrid w:val="0"/>
      <w:spacing w:line="240" w:lineRule="auto"/>
    </w:pPr>
  </w:style>
  <w:style w:type="paragraph" w:customStyle="1" w:styleId="300">
    <w:name w:val="样式 表格内文字 + 首行缩进:  0 字符1"/>
    <w:basedOn w:val="1"/>
    <w:qFormat/>
    <w:uiPriority w:val="0"/>
    <w:pPr>
      <w:adjustRightInd w:val="0"/>
      <w:snapToGrid w:val="0"/>
      <w:spacing w:line="240" w:lineRule="auto"/>
    </w:pPr>
    <w:rPr>
      <w:rFonts w:ascii="Arial" w:hAnsi="Arial" w:eastAsia="楷体_GB2312"/>
      <w:szCs w:val="20"/>
    </w:rPr>
  </w:style>
  <w:style w:type="paragraph" w:customStyle="1" w:styleId="301">
    <w:name w:val="样式 报告 + 小四"/>
    <w:basedOn w:val="1"/>
    <w:link w:val="302"/>
    <w:qFormat/>
    <w:uiPriority w:val="0"/>
    <w:pPr>
      <w:overflowPunct w:val="0"/>
      <w:autoSpaceDE w:val="0"/>
      <w:autoSpaceDN w:val="0"/>
      <w:spacing w:beforeLines="50" w:afterLines="50" w:line="400" w:lineRule="atLeast"/>
      <w:ind w:firstLine="480" w:firstLineChars="200"/>
    </w:pPr>
    <w:rPr>
      <w:kern w:val="0"/>
    </w:rPr>
  </w:style>
  <w:style w:type="character" w:customStyle="1" w:styleId="302">
    <w:name w:val="样式 报告 + 小四 Char Char"/>
    <w:link w:val="301"/>
    <w:qFormat/>
    <w:uiPriority w:val="0"/>
    <w:rPr>
      <w:rFonts w:ascii="Times New Roman" w:hAnsi="Times New Roman"/>
      <w:snapToGrid/>
      <w:sz w:val="24"/>
      <w:szCs w:val="24"/>
    </w:rPr>
  </w:style>
  <w:style w:type="paragraph" w:customStyle="1" w:styleId="303">
    <w:name w:val="样式 报告 + 黑体 居中 段前: 0 磅 段后: 0 磅 行距: 1.5 倍行距"/>
    <w:basedOn w:val="1"/>
    <w:qFormat/>
    <w:uiPriority w:val="0"/>
    <w:pPr>
      <w:overflowPunct w:val="0"/>
      <w:autoSpaceDE w:val="0"/>
      <w:autoSpaceDN w:val="0"/>
      <w:adjustRightInd w:val="0"/>
      <w:jc w:val="center"/>
      <w:textAlignment w:val="center"/>
    </w:pPr>
    <w:rPr>
      <w:rFonts w:ascii="黑体" w:eastAsia="黑体" w:cs="宋体"/>
      <w:kern w:val="0"/>
      <w:szCs w:val="20"/>
    </w:rPr>
  </w:style>
  <w:style w:type="paragraph" w:customStyle="1" w:styleId="304">
    <w:name w:val="重点"/>
    <w:basedOn w:val="1"/>
    <w:link w:val="305"/>
    <w:qFormat/>
    <w:uiPriority w:val="0"/>
    <w:pPr>
      <w:adjustRightInd w:val="0"/>
      <w:snapToGrid w:val="0"/>
      <w:ind w:firstLine="560" w:firstLineChars="200"/>
    </w:pPr>
    <w:rPr>
      <w:rFonts w:ascii="宋体" w:hAnsi="宋体"/>
      <w:b/>
      <w:bCs/>
      <w:color w:val="000080"/>
      <w:kern w:val="0"/>
      <w:sz w:val="28"/>
      <w:szCs w:val="28"/>
    </w:rPr>
  </w:style>
  <w:style w:type="character" w:customStyle="1" w:styleId="305">
    <w:name w:val="重点 Char Char"/>
    <w:link w:val="304"/>
    <w:qFormat/>
    <w:locked/>
    <w:uiPriority w:val="0"/>
    <w:rPr>
      <w:rFonts w:ascii="宋体" w:hAnsi="宋体"/>
      <w:b/>
      <w:bCs/>
      <w:color w:val="000080"/>
      <w:sz w:val="28"/>
      <w:szCs w:val="28"/>
    </w:rPr>
  </w:style>
  <w:style w:type="paragraph" w:customStyle="1" w:styleId="306">
    <w:name w:val="样式 宋体 首行缩进:  1.01 厘米 行距: 1.5 倍行距"/>
    <w:basedOn w:val="1"/>
    <w:qFormat/>
    <w:uiPriority w:val="0"/>
    <w:pPr>
      <w:ind w:firstLine="570"/>
    </w:pPr>
    <w:rPr>
      <w:rFonts w:cs="宋体"/>
      <w:sz w:val="28"/>
      <w:szCs w:val="28"/>
    </w:rPr>
  </w:style>
  <w:style w:type="paragraph" w:customStyle="1" w:styleId="307">
    <w:name w:val="样式 宋体 左侧:  0.85 厘米 悬挂缩进: 7.2 字符 行距: 1.5 倍行距"/>
    <w:basedOn w:val="1"/>
    <w:qFormat/>
    <w:uiPriority w:val="0"/>
    <w:pPr>
      <w:ind w:firstLine="200" w:firstLineChars="200"/>
    </w:pPr>
    <w:rPr>
      <w:rFonts w:ascii="宋体" w:hAnsi="宋体" w:cs="宋体"/>
    </w:rPr>
  </w:style>
  <w:style w:type="paragraph" w:customStyle="1" w:styleId="308">
    <w:name w:val="样式 首行缩进:  2.25 字符"/>
    <w:basedOn w:val="1"/>
    <w:qFormat/>
    <w:uiPriority w:val="0"/>
    <w:pPr>
      <w:ind w:firstLine="540" w:firstLineChars="225"/>
      <w:jc w:val="left"/>
    </w:pPr>
    <w:rPr>
      <w:szCs w:val="20"/>
    </w:rPr>
  </w:style>
  <w:style w:type="paragraph" w:customStyle="1" w:styleId="309">
    <w:name w:val="样式 行距: 1.5 倍行距"/>
    <w:basedOn w:val="1"/>
    <w:qFormat/>
    <w:uiPriority w:val="0"/>
    <w:pPr>
      <w:topLinePunct/>
      <w:snapToGrid w:val="0"/>
      <w:ind w:left="210" w:right="210" w:firstLine="480" w:firstLineChars="200"/>
      <w:jc w:val="left"/>
    </w:pPr>
    <w:rPr>
      <w:rFonts w:ascii="宋体" w:hAnsi="宋体"/>
      <w:kern w:val="0"/>
    </w:rPr>
  </w:style>
  <w:style w:type="paragraph" w:customStyle="1" w:styleId="310">
    <w:name w:val="朱正文"/>
    <w:basedOn w:val="1"/>
    <w:qFormat/>
    <w:uiPriority w:val="0"/>
    <w:pPr>
      <w:spacing w:line="500" w:lineRule="exact"/>
      <w:ind w:firstLine="200" w:firstLineChars="200"/>
    </w:pPr>
    <w:rPr>
      <w:sz w:val="28"/>
      <w:szCs w:val="28"/>
    </w:rPr>
  </w:style>
  <w:style w:type="paragraph" w:customStyle="1" w:styleId="311">
    <w:name w:val="真宗兴表格内容"/>
    <w:basedOn w:val="1"/>
    <w:qFormat/>
    <w:uiPriority w:val="0"/>
    <w:pPr>
      <w:tabs>
        <w:tab w:val="left" w:pos="-2848"/>
      </w:tabs>
      <w:spacing w:beforeLines="10" w:afterLines="10" w:line="240" w:lineRule="auto"/>
      <w:jc w:val="center"/>
    </w:pPr>
    <w:rPr>
      <w:sz w:val="21"/>
      <w:szCs w:val="21"/>
    </w:rPr>
  </w:style>
  <w:style w:type="paragraph" w:customStyle="1" w:styleId="312">
    <w:name w:val="正文格式"/>
    <w:next w:val="1"/>
    <w:link w:val="313"/>
    <w:qFormat/>
    <w:uiPriority w:val="0"/>
    <w:pPr>
      <w:spacing w:beforeLines="50" w:line="440" w:lineRule="exact"/>
      <w:ind w:firstLine="560" w:firstLineChars="200"/>
    </w:pPr>
    <w:rPr>
      <w:rFonts w:ascii="Times New Roman" w:hAnsi="Times New Roman" w:eastAsia="仿宋_GB2312" w:cs="Times New Roman"/>
      <w:sz w:val="28"/>
      <w:szCs w:val="28"/>
      <w:lang w:val="en-US" w:eastAsia="zh-CN" w:bidi="ar-SA"/>
    </w:rPr>
  </w:style>
  <w:style w:type="character" w:customStyle="1" w:styleId="313">
    <w:name w:val="正文格式 Char Char"/>
    <w:link w:val="312"/>
    <w:qFormat/>
    <w:uiPriority w:val="0"/>
    <w:rPr>
      <w:rFonts w:ascii="Times New Roman" w:hAnsi="Times New Roman" w:eastAsia="仿宋_GB2312"/>
      <w:sz w:val="28"/>
      <w:szCs w:val="28"/>
    </w:rPr>
  </w:style>
  <w:style w:type="paragraph" w:customStyle="1" w:styleId="314">
    <w:name w:val="正文（天安）"/>
    <w:basedOn w:val="1"/>
    <w:link w:val="315"/>
    <w:qFormat/>
    <w:uiPriority w:val="0"/>
    <w:pPr>
      <w:overflowPunct w:val="0"/>
      <w:autoSpaceDE w:val="0"/>
      <w:autoSpaceDN w:val="0"/>
      <w:adjustRightInd w:val="0"/>
      <w:snapToGrid w:val="0"/>
      <w:spacing w:before="93" w:after="93"/>
      <w:ind w:firstLine="200" w:firstLineChars="200"/>
      <w:textAlignment w:val="baseline"/>
    </w:pPr>
    <w:rPr>
      <w:kern w:val="0"/>
    </w:rPr>
  </w:style>
  <w:style w:type="character" w:customStyle="1" w:styleId="315">
    <w:name w:val="正文（天安） Char Char"/>
    <w:link w:val="314"/>
    <w:qFormat/>
    <w:uiPriority w:val="0"/>
    <w:rPr>
      <w:rFonts w:ascii="Times New Roman" w:hAnsi="Times New Roman"/>
      <w:sz w:val="24"/>
      <w:szCs w:val="24"/>
    </w:rPr>
  </w:style>
  <w:style w:type="paragraph" w:customStyle="1" w:styleId="316">
    <w:name w:val="一级标题（天安）"/>
    <w:basedOn w:val="1"/>
    <w:qFormat/>
    <w:uiPriority w:val="0"/>
    <w:pPr>
      <w:keepNext/>
      <w:keepLines/>
      <w:snapToGrid w:val="0"/>
      <w:spacing w:before="120" w:after="120"/>
      <w:jc w:val="center"/>
      <w:outlineLvl w:val="0"/>
    </w:pPr>
    <w:rPr>
      <w:b/>
      <w:bCs/>
      <w:kern w:val="44"/>
      <w:sz w:val="44"/>
      <w:szCs w:val="44"/>
    </w:rPr>
  </w:style>
  <w:style w:type="paragraph" w:customStyle="1" w:styleId="317">
    <w:name w:val="样式377"/>
    <w:basedOn w:val="1"/>
    <w:qFormat/>
    <w:uiPriority w:val="0"/>
    <w:pPr>
      <w:spacing w:line="520" w:lineRule="exact"/>
      <w:ind w:firstLine="482" w:firstLineChars="200"/>
    </w:pPr>
    <w:rPr>
      <w:rFonts w:ascii="仿宋_GB2312" w:hAnsi="宋体" w:cs="宋体"/>
      <w:b/>
      <w:bCs/>
      <w:color w:val="000000"/>
      <w:kern w:val="0"/>
    </w:rPr>
  </w:style>
  <w:style w:type="paragraph" w:customStyle="1" w:styleId="318">
    <w:name w:val="样式378"/>
    <w:basedOn w:val="1"/>
    <w:qFormat/>
    <w:uiPriority w:val="0"/>
    <w:pPr>
      <w:keepNext/>
      <w:keepLines/>
      <w:adjustRightInd w:val="0"/>
      <w:spacing w:before="120" w:after="120" w:line="520" w:lineRule="exact"/>
      <w:textAlignment w:val="baseline"/>
      <w:outlineLvl w:val="2"/>
    </w:pPr>
    <w:rPr>
      <w:rFonts w:eastAsia="黑体"/>
      <w:b/>
      <w:bCs/>
      <w:color w:val="000000"/>
      <w:kern w:val="0"/>
    </w:rPr>
  </w:style>
  <w:style w:type="paragraph" w:customStyle="1" w:styleId="319">
    <w:name w:val="样式 标题 4 + 段前: 0.5 行 段后: 0.5 行"/>
    <w:basedOn w:val="9"/>
    <w:qFormat/>
    <w:uiPriority w:val="0"/>
    <w:pPr>
      <w:numPr>
        <w:ilvl w:val="0"/>
        <w:numId w:val="0"/>
      </w:numPr>
      <w:spacing w:beforeLines="50" w:afterLines="50" w:line="240" w:lineRule="auto"/>
    </w:pPr>
    <w:rPr>
      <w:rFonts w:ascii="宋体" w:hAnsi="宋体" w:cs="宋体"/>
      <w:color w:val="666600"/>
      <w:kern w:val="2"/>
    </w:rPr>
  </w:style>
  <w:style w:type="paragraph" w:customStyle="1" w:styleId="320">
    <w:name w:val="正章格式"/>
    <w:basedOn w:val="1"/>
    <w:qFormat/>
    <w:uiPriority w:val="0"/>
    <w:pPr>
      <w:spacing w:line="240" w:lineRule="auto"/>
      <w:ind w:firstLine="200" w:firstLineChars="200"/>
    </w:pPr>
    <w:rPr>
      <w:sz w:val="28"/>
    </w:rPr>
  </w:style>
  <w:style w:type="paragraph" w:customStyle="1" w:styleId="321">
    <w:name w:val="样式 标题 2 + 首行缩进:  0.5 字符"/>
    <w:basedOn w:val="7"/>
    <w:qFormat/>
    <w:uiPriority w:val="0"/>
    <w:pPr>
      <w:numPr>
        <w:ilvl w:val="0"/>
        <w:numId w:val="0"/>
      </w:numPr>
      <w:spacing w:line="240" w:lineRule="auto"/>
    </w:pPr>
    <w:rPr>
      <w:rFonts w:cs="宋体"/>
      <w:szCs w:val="20"/>
    </w:rPr>
  </w:style>
  <w:style w:type="paragraph" w:customStyle="1" w:styleId="322">
    <w:name w:val="样式 标题 3 + 首行缩进:  0.57 厘米"/>
    <w:basedOn w:val="8"/>
    <w:qFormat/>
    <w:uiPriority w:val="0"/>
    <w:pPr>
      <w:numPr>
        <w:ilvl w:val="0"/>
        <w:numId w:val="0"/>
      </w:numPr>
      <w:spacing w:before="200" w:after="200" w:line="240" w:lineRule="auto"/>
    </w:pPr>
    <w:rPr>
      <w:rFonts w:eastAsia="黑体"/>
      <w:sz w:val="32"/>
      <w:szCs w:val="20"/>
    </w:rPr>
  </w:style>
  <w:style w:type="paragraph" w:customStyle="1" w:styleId="323">
    <w:name w:val="样式 标题4 + 段前: 0.3 行 段后: 0.3 行"/>
    <w:basedOn w:val="9"/>
    <w:qFormat/>
    <w:uiPriority w:val="0"/>
    <w:pPr>
      <w:numPr>
        <w:ilvl w:val="0"/>
        <w:numId w:val="0"/>
      </w:numPr>
      <w:spacing w:before="93" w:after="93"/>
      <w:ind w:left="709" w:hanging="567"/>
    </w:pPr>
    <w:rPr>
      <w:rFonts w:ascii="Arial" w:hAnsi="Arial" w:eastAsia="黑体"/>
      <w:bCs w:val="0"/>
      <w:kern w:val="2"/>
      <w:szCs w:val="20"/>
    </w:rPr>
  </w:style>
  <w:style w:type="paragraph" w:customStyle="1" w:styleId="324">
    <w:name w:val="样式 标题 1 + 居中"/>
    <w:basedOn w:val="5"/>
    <w:qFormat/>
    <w:uiPriority w:val="0"/>
    <w:pPr>
      <w:keepNext/>
      <w:keepLines/>
      <w:pageBreakBefore/>
      <w:numPr>
        <w:numId w:val="0"/>
      </w:numPr>
      <w:snapToGrid w:val="0"/>
      <w:spacing w:after="600" w:line="400" w:lineRule="atLeast"/>
    </w:pPr>
    <w:rPr>
      <w:rFonts w:ascii="Times New Roman" w:hAnsi="Times New Roman"/>
      <w:bCs/>
      <w:color w:val="000000"/>
      <w:kern w:val="44"/>
      <w:szCs w:val="20"/>
    </w:rPr>
  </w:style>
  <w:style w:type="paragraph" w:customStyle="1" w:styleId="325">
    <w:name w:val="样式 报告 + 首行缩进:  2 字符 段前: 0.3 行 段后: 0.3 行1"/>
    <w:basedOn w:val="1"/>
    <w:qFormat/>
    <w:uiPriority w:val="0"/>
    <w:pPr>
      <w:overflowPunct w:val="0"/>
      <w:autoSpaceDE w:val="0"/>
      <w:autoSpaceDN w:val="0"/>
      <w:spacing w:before="200" w:after="200" w:line="400" w:lineRule="atLeast"/>
      <w:ind w:firstLine="200" w:firstLineChars="200"/>
    </w:pPr>
    <w:rPr>
      <w:szCs w:val="20"/>
    </w:rPr>
  </w:style>
  <w:style w:type="paragraph" w:customStyle="1" w:styleId="326">
    <w:name w:val="样式 报告 + 首行缩进:  2 字符 段前: 0.3 行 段后: 0.3 行2"/>
    <w:basedOn w:val="1"/>
    <w:qFormat/>
    <w:uiPriority w:val="0"/>
    <w:pPr>
      <w:overflowPunct w:val="0"/>
      <w:autoSpaceDE w:val="0"/>
      <w:autoSpaceDN w:val="0"/>
      <w:spacing w:before="200" w:after="200" w:line="400" w:lineRule="atLeast"/>
      <w:ind w:firstLine="200" w:firstLineChars="200"/>
    </w:pPr>
    <w:rPr>
      <w:szCs w:val="20"/>
    </w:rPr>
  </w:style>
  <w:style w:type="paragraph" w:customStyle="1" w:styleId="327">
    <w:name w:val="样式 标题 2标题 2 Char + 红色"/>
    <w:basedOn w:val="7"/>
    <w:qFormat/>
    <w:uiPriority w:val="0"/>
    <w:pPr>
      <w:numPr>
        <w:ilvl w:val="0"/>
        <w:numId w:val="0"/>
      </w:numPr>
      <w:spacing w:before="400" w:after="400" w:line="415" w:lineRule="auto"/>
    </w:pPr>
    <w:rPr>
      <w:rFonts w:eastAsia="黑体"/>
      <w:szCs w:val="28"/>
    </w:rPr>
  </w:style>
  <w:style w:type="paragraph" w:customStyle="1" w:styleId="328">
    <w:name w:val="样式 标题 3标题3H3h33rd level第二层条标题 3 Char Char标题 31标题 3 Char ..."/>
    <w:basedOn w:val="8"/>
    <w:qFormat/>
    <w:uiPriority w:val="0"/>
    <w:pPr>
      <w:numPr>
        <w:ilvl w:val="0"/>
        <w:numId w:val="0"/>
      </w:numPr>
      <w:adjustRightInd w:val="0"/>
      <w:snapToGrid w:val="0"/>
      <w:spacing w:beforeLines="50" w:afterLines="50" w:line="416" w:lineRule="atLeast"/>
      <w:textAlignment w:val="baseline"/>
    </w:pPr>
    <w:rPr>
      <w:rFonts w:ascii="Arial" w:hAnsi="Arial" w:cs="Arial"/>
      <w:szCs w:val="28"/>
    </w:rPr>
  </w:style>
  <w:style w:type="paragraph" w:customStyle="1" w:styleId="329">
    <w:name w:val="样式10"/>
    <w:basedOn w:val="1"/>
    <w:qFormat/>
    <w:uiPriority w:val="0"/>
    <w:pPr>
      <w:ind w:firstLine="480" w:firstLineChars="200"/>
    </w:pPr>
    <w:rPr>
      <w:rFonts w:ascii="宋体" w:hAnsi="宋体"/>
      <w:szCs w:val="20"/>
    </w:rPr>
  </w:style>
  <w:style w:type="paragraph" w:customStyle="1" w:styleId="330">
    <w:name w:val="样式11"/>
    <w:basedOn w:val="128"/>
    <w:qFormat/>
    <w:uiPriority w:val="0"/>
    <w:pPr>
      <w:adjustRightInd/>
      <w:snapToGrid w:val="0"/>
      <w:spacing w:line="360" w:lineRule="auto"/>
      <w:ind w:firstLine="480"/>
      <w:textAlignment w:val="auto"/>
    </w:pPr>
    <w:rPr>
      <w:rFonts w:ascii="Times New Roman" w:hAnsi="Times New Roman"/>
      <w:bCs w:val="0"/>
      <w:kern w:val="2"/>
    </w:rPr>
  </w:style>
  <w:style w:type="paragraph" w:customStyle="1" w:styleId="331">
    <w:name w:val="样式 样式 报告 + 首行缩进:  2 字符 段前: 0.5 行 段后: 7.8 磅 + 段前: 0.5 行2"/>
    <w:basedOn w:val="1"/>
    <w:qFormat/>
    <w:uiPriority w:val="0"/>
    <w:pPr>
      <w:spacing w:beforeLines="50" w:after="156" w:line="460" w:lineRule="atLeast"/>
      <w:ind w:firstLine="200" w:firstLineChars="200"/>
    </w:pPr>
    <w:rPr>
      <w:rFonts w:cs="宋体"/>
      <w:kern w:val="0"/>
      <w:szCs w:val="20"/>
    </w:rPr>
  </w:style>
  <w:style w:type="paragraph" w:customStyle="1" w:styleId="332">
    <w:name w:val="样式 报告 + 宋体 段前: 0.2 行 段后: 0.2 行"/>
    <w:basedOn w:val="1"/>
    <w:link w:val="333"/>
    <w:qFormat/>
    <w:uiPriority w:val="0"/>
    <w:pPr>
      <w:overflowPunct w:val="0"/>
      <w:autoSpaceDE w:val="0"/>
      <w:autoSpaceDN w:val="0"/>
      <w:adjustRightInd w:val="0"/>
      <w:spacing w:beforeLines="20" w:afterLines="20" w:line="440" w:lineRule="atLeast"/>
      <w:ind w:firstLine="540" w:firstLineChars="225"/>
      <w:textAlignment w:val="baseline"/>
    </w:pPr>
    <w:rPr>
      <w:rFonts w:ascii="宋体" w:hAnsi="宋体"/>
      <w:kern w:val="0"/>
      <w:szCs w:val="20"/>
    </w:rPr>
  </w:style>
  <w:style w:type="character" w:customStyle="1" w:styleId="333">
    <w:name w:val="样式 报告 + 宋体 段前: 0.2 行 段后: 0.2 行 Char Char"/>
    <w:link w:val="332"/>
    <w:qFormat/>
    <w:uiPriority w:val="0"/>
    <w:rPr>
      <w:rFonts w:ascii="宋体" w:hAnsi="宋体"/>
      <w:sz w:val="24"/>
    </w:rPr>
  </w:style>
  <w:style w:type="paragraph" w:customStyle="1" w:styleId="334">
    <w:name w:val="样式 报告 + 首行缩进:  2 字符 Char Char"/>
    <w:basedOn w:val="1"/>
    <w:link w:val="335"/>
    <w:qFormat/>
    <w:uiPriority w:val="0"/>
    <w:pPr>
      <w:widowControl/>
      <w:overflowPunct w:val="0"/>
      <w:autoSpaceDE w:val="0"/>
      <w:autoSpaceDN w:val="0"/>
      <w:adjustRightInd w:val="0"/>
      <w:spacing w:before="120" w:after="120" w:line="400" w:lineRule="atLeast"/>
      <w:ind w:firstLine="480" w:firstLineChars="200"/>
      <w:textAlignment w:val="baseline"/>
    </w:pPr>
    <w:rPr>
      <w:kern w:val="0"/>
      <w:szCs w:val="20"/>
    </w:rPr>
  </w:style>
  <w:style w:type="character" w:customStyle="1" w:styleId="335">
    <w:name w:val="样式 报告 + 首行缩进:  2 字符 Char Char Char Char Char"/>
    <w:link w:val="334"/>
    <w:qFormat/>
    <w:uiPriority w:val="0"/>
    <w:rPr>
      <w:rFonts w:ascii="Times New Roman" w:hAnsi="Times New Roman"/>
      <w:sz w:val="24"/>
    </w:rPr>
  </w:style>
  <w:style w:type="paragraph" w:customStyle="1" w:styleId="336">
    <w:name w:val="样式 报告 + 仿宋_GB2312 (符号) 宋体"/>
    <w:basedOn w:val="1"/>
    <w:qFormat/>
    <w:uiPriority w:val="0"/>
    <w:pPr>
      <w:overflowPunct w:val="0"/>
      <w:autoSpaceDE w:val="0"/>
      <w:autoSpaceDN w:val="0"/>
      <w:adjustRightInd w:val="0"/>
      <w:spacing w:before="120" w:after="120" w:line="460" w:lineRule="exact"/>
      <w:ind w:firstLine="480" w:firstLineChars="200"/>
      <w:textAlignment w:val="baseline"/>
    </w:pPr>
    <w:rPr>
      <w:rFonts w:ascii="仿宋_GB2312" w:hAnsi="宋体" w:eastAsia="仿宋_GB2312" w:cs="宋体"/>
      <w:b/>
      <w:kern w:val="0"/>
    </w:rPr>
  </w:style>
  <w:style w:type="paragraph" w:customStyle="1" w:styleId="337">
    <w:name w:val="样式 报告 + 段前: 0.2 行 段后: 0.2 行"/>
    <w:basedOn w:val="1"/>
    <w:qFormat/>
    <w:uiPriority w:val="0"/>
    <w:pPr>
      <w:overflowPunct w:val="0"/>
      <w:autoSpaceDE w:val="0"/>
      <w:autoSpaceDN w:val="0"/>
      <w:adjustRightInd w:val="0"/>
      <w:spacing w:beforeLines="20" w:afterLines="20" w:line="440" w:lineRule="atLeast"/>
      <w:ind w:firstLine="540" w:firstLineChars="225"/>
      <w:textAlignment w:val="baseline"/>
    </w:pPr>
    <w:rPr>
      <w:rFonts w:cs="宋体"/>
      <w:kern w:val="0"/>
      <w:szCs w:val="20"/>
    </w:rPr>
  </w:style>
  <w:style w:type="paragraph" w:customStyle="1" w:styleId="338">
    <w:name w:val="样式 报告 + 左  0 字符"/>
    <w:basedOn w:val="1"/>
    <w:qFormat/>
    <w:uiPriority w:val="0"/>
    <w:pPr>
      <w:overflowPunct w:val="0"/>
      <w:autoSpaceDE w:val="0"/>
      <w:autoSpaceDN w:val="0"/>
      <w:adjustRightInd w:val="0"/>
      <w:ind w:firstLine="480" w:firstLineChars="200"/>
      <w:textAlignment w:val="baseline"/>
    </w:pPr>
    <w:rPr>
      <w:rFonts w:cs="宋体"/>
      <w:kern w:val="0"/>
      <w:szCs w:val="20"/>
    </w:rPr>
  </w:style>
  <w:style w:type="paragraph" w:customStyle="1" w:styleId="339">
    <w:name w:val="样式 表格标题 + 五号 左侧:  -0.45 字符"/>
    <w:basedOn w:val="1"/>
    <w:qFormat/>
    <w:uiPriority w:val="0"/>
    <w:pPr>
      <w:wordWrap w:val="0"/>
      <w:adjustRightInd w:val="0"/>
      <w:snapToGrid w:val="0"/>
      <w:spacing w:line="240" w:lineRule="auto"/>
      <w:ind w:left="105"/>
    </w:pPr>
    <w:rPr>
      <w:rFonts w:hAnsi="宋体"/>
      <w:b/>
      <w:bCs/>
      <w:sz w:val="21"/>
      <w:szCs w:val="21"/>
    </w:rPr>
  </w:style>
  <w:style w:type="paragraph" w:customStyle="1" w:styleId="340">
    <w:name w:val="正文内容"/>
    <w:basedOn w:val="1"/>
    <w:qFormat/>
    <w:uiPriority w:val="0"/>
    <w:pPr>
      <w:adjustRightInd w:val="0"/>
      <w:snapToGrid w:val="0"/>
      <w:ind w:firstLine="496" w:firstLineChars="200"/>
    </w:pPr>
    <w:rPr>
      <w:rFonts w:ascii="宋体" w:hAnsi="宋体" w:cs="宋体"/>
      <w:spacing w:val="4"/>
      <w:kern w:val="0"/>
      <w:szCs w:val="20"/>
    </w:rPr>
  </w:style>
  <w:style w:type="paragraph" w:customStyle="1" w:styleId="341">
    <w:name w:val="无间隔1"/>
    <w:link w:val="342"/>
    <w:qFormat/>
    <w:uiPriority w:val="0"/>
    <w:rPr>
      <w:rFonts w:ascii="Times New Roman" w:hAnsi="Times New Roman" w:eastAsia="宋体" w:cs="Times New Roman"/>
      <w:sz w:val="22"/>
      <w:szCs w:val="21"/>
      <w:lang w:val="en-US" w:eastAsia="zh-CN" w:bidi="ar-SA"/>
    </w:rPr>
  </w:style>
  <w:style w:type="character" w:customStyle="1" w:styleId="342">
    <w:name w:val="无间隔 Char"/>
    <w:link w:val="341"/>
    <w:qFormat/>
    <w:uiPriority w:val="0"/>
    <w:rPr>
      <w:sz w:val="22"/>
      <w:szCs w:val="21"/>
    </w:rPr>
  </w:style>
  <w:style w:type="paragraph" w:customStyle="1" w:styleId="343">
    <w:name w:val="样式 标题 2 + 宋体 小四 黑色 段前: 0 磅 段后: 0 磅 行距: 1.5 倍行距"/>
    <w:basedOn w:val="7"/>
    <w:next w:val="25"/>
    <w:link w:val="344"/>
    <w:qFormat/>
    <w:uiPriority w:val="0"/>
    <w:pPr>
      <w:numPr>
        <w:ilvl w:val="0"/>
        <w:numId w:val="0"/>
      </w:numPr>
    </w:pPr>
    <w:rPr>
      <w:rFonts w:ascii="宋体" w:hAnsi="宋体" w:cs="黑体"/>
      <w:bCs/>
      <w:color w:val="000000"/>
      <w:kern w:val="2"/>
      <w:sz w:val="24"/>
      <w:szCs w:val="22"/>
    </w:rPr>
  </w:style>
  <w:style w:type="character" w:customStyle="1" w:styleId="344">
    <w:name w:val="样式 标题 2 + 宋体 小四 黑色 段前: 0 磅 段后: 0 磅 行距: 1.5 倍行距 Char Char"/>
    <w:link w:val="343"/>
    <w:qFormat/>
    <w:uiPriority w:val="0"/>
    <w:rPr>
      <w:rFonts w:ascii="宋体" w:hAnsi="宋体" w:cs="黑体"/>
      <w:b/>
      <w:color w:val="000000"/>
      <w:kern w:val="2"/>
      <w:sz w:val="24"/>
      <w:szCs w:val="22"/>
    </w:rPr>
  </w:style>
  <w:style w:type="paragraph" w:customStyle="1" w:styleId="345">
    <w:name w:val="样式357"/>
    <w:basedOn w:val="1"/>
    <w:qFormat/>
    <w:uiPriority w:val="0"/>
    <w:pPr>
      <w:spacing w:line="520" w:lineRule="exact"/>
      <w:ind w:firstLine="480" w:firstLineChars="200"/>
    </w:pPr>
    <w:rPr>
      <w:rFonts w:ascii="仿宋_GB2312" w:eastAsia="仿宋_GB2312"/>
      <w:bCs/>
    </w:rPr>
  </w:style>
  <w:style w:type="paragraph" w:customStyle="1" w:styleId="346">
    <w:name w:val="样式364"/>
    <w:basedOn w:val="345"/>
    <w:qFormat/>
    <w:uiPriority w:val="0"/>
    <w:pPr>
      <w:spacing w:line="240" w:lineRule="atLeast"/>
      <w:ind w:firstLine="440"/>
      <w:jc w:val="center"/>
    </w:pPr>
  </w:style>
  <w:style w:type="paragraph" w:customStyle="1" w:styleId="347">
    <w:name w:val="样式381"/>
    <w:basedOn w:val="1"/>
    <w:qFormat/>
    <w:uiPriority w:val="0"/>
    <w:pPr>
      <w:spacing w:line="520" w:lineRule="exact"/>
      <w:jc w:val="center"/>
    </w:pPr>
    <w:rPr>
      <w:rFonts w:eastAsia="黑体"/>
      <w:b/>
      <w:color w:val="000000"/>
      <w:sz w:val="21"/>
      <w:szCs w:val="21"/>
    </w:rPr>
  </w:style>
  <w:style w:type="paragraph" w:customStyle="1" w:styleId="348">
    <w:name w:val="样式 正文文本缩进 3 + 12 磅 左侧:  2 字符"/>
    <w:basedOn w:val="39"/>
    <w:qFormat/>
    <w:uiPriority w:val="0"/>
    <w:pPr>
      <w:widowControl/>
      <w:spacing w:line="360" w:lineRule="auto"/>
      <w:ind w:left="0" w:leftChars="0" w:firstLine="200" w:firstLineChars="200"/>
      <w:jc w:val="left"/>
    </w:pPr>
    <w:rPr>
      <w:rFonts w:ascii="Times New Roman" w:hAnsi="Times New Roman" w:cs="PMingLiU"/>
      <w:kern w:val="0"/>
      <w:sz w:val="24"/>
      <w:szCs w:val="20"/>
    </w:rPr>
  </w:style>
  <w:style w:type="paragraph" w:customStyle="1" w:styleId="349">
    <w:name w:val="样式 (中文) 仿宋_GB2312 四号 黑色 行距: 1.5 倍行距"/>
    <w:basedOn w:val="1"/>
    <w:qFormat/>
    <w:uiPriority w:val="0"/>
    <w:pPr>
      <w:ind w:firstLine="200" w:firstLineChars="200"/>
    </w:pPr>
    <w:rPr>
      <w:rFonts w:eastAsia="仿宋_GB2312"/>
      <w:color w:val="000000"/>
      <w:szCs w:val="20"/>
    </w:rPr>
  </w:style>
  <w:style w:type="paragraph" w:customStyle="1" w:styleId="350">
    <w:name w:val="指引 表中文字"/>
    <w:link w:val="351"/>
    <w:qFormat/>
    <w:uiPriority w:val="0"/>
    <w:pPr>
      <w:jc w:val="center"/>
    </w:pPr>
    <w:rPr>
      <w:rFonts w:ascii="宋体" w:hAnsi="宋体" w:eastAsia="宋体" w:cs="Times New Roman"/>
      <w:lang w:val="en-US" w:eastAsia="zh-CN" w:bidi="ar-SA"/>
    </w:rPr>
  </w:style>
  <w:style w:type="character" w:customStyle="1" w:styleId="351">
    <w:name w:val="指引 表中文字 Char Char"/>
    <w:link w:val="350"/>
    <w:qFormat/>
    <w:uiPriority w:val="0"/>
    <w:rPr>
      <w:rFonts w:ascii="宋体" w:hAnsi="宋体"/>
    </w:rPr>
  </w:style>
  <w:style w:type="paragraph" w:customStyle="1" w:styleId="352">
    <w:name w:val="样式 两端对齐 行距: 1.5 倍行距 首行缩进:  2 字符"/>
    <w:basedOn w:val="1"/>
    <w:qFormat/>
    <w:uiPriority w:val="0"/>
    <w:pPr>
      <w:widowControl/>
      <w:ind w:firstLine="200" w:firstLineChars="200"/>
    </w:pPr>
    <w:rPr>
      <w:rFonts w:cs="PMingLiU"/>
      <w:kern w:val="0"/>
      <w:szCs w:val="20"/>
    </w:rPr>
  </w:style>
  <w:style w:type="paragraph" w:customStyle="1" w:styleId="353">
    <w:name w:val="样式 方正仿宋_GBK 三号 行距: 固定值 28 磅"/>
    <w:basedOn w:val="1"/>
    <w:qFormat/>
    <w:uiPriority w:val="0"/>
    <w:pPr>
      <w:ind w:firstLine="200" w:firstLineChars="200"/>
      <w:jc w:val="left"/>
    </w:pPr>
    <w:rPr>
      <w:rFonts w:ascii="方正仿宋_GBK" w:hAnsi="方正仿宋_GBK" w:cs="宋体"/>
      <w:sz w:val="28"/>
      <w:szCs w:val="20"/>
    </w:rPr>
  </w:style>
  <w:style w:type="paragraph" w:customStyle="1" w:styleId="354">
    <w:name w:val="正文11111"/>
    <w:basedOn w:val="1"/>
    <w:link w:val="355"/>
    <w:semiHidden/>
    <w:qFormat/>
    <w:uiPriority w:val="0"/>
    <w:pPr>
      <w:spacing w:line="240" w:lineRule="auto"/>
    </w:pPr>
    <w:rPr>
      <w:rFonts w:ascii="Calibri" w:hAnsi="Calibri" w:cs="黑体"/>
      <w:szCs w:val="21"/>
    </w:rPr>
  </w:style>
  <w:style w:type="character" w:customStyle="1" w:styleId="355">
    <w:name w:val="正文11111 Char Char"/>
    <w:link w:val="354"/>
    <w:semiHidden/>
    <w:qFormat/>
    <w:uiPriority w:val="0"/>
    <w:rPr>
      <w:rFonts w:cs="黑体"/>
      <w:kern w:val="2"/>
      <w:sz w:val="24"/>
      <w:szCs w:val="21"/>
    </w:rPr>
  </w:style>
  <w:style w:type="paragraph" w:customStyle="1" w:styleId="356">
    <w:name w:val="正文 Char Char"/>
    <w:basedOn w:val="1"/>
    <w:link w:val="357"/>
    <w:semiHidden/>
    <w:qFormat/>
    <w:uiPriority w:val="0"/>
    <w:pPr>
      <w:spacing w:before="93" w:after="93"/>
      <w:ind w:left="120" w:leftChars="50" w:firstLine="480" w:firstLineChars="200"/>
    </w:pPr>
    <w:rPr>
      <w:rFonts w:ascii="Calibri" w:hAnsi="Calibri" w:cs="宋体"/>
    </w:rPr>
  </w:style>
  <w:style w:type="character" w:customStyle="1" w:styleId="357">
    <w:name w:val="正文 Char Char Char Char"/>
    <w:link w:val="356"/>
    <w:semiHidden/>
    <w:qFormat/>
    <w:uiPriority w:val="0"/>
    <w:rPr>
      <w:rFonts w:cs="宋体"/>
      <w:kern w:val="2"/>
      <w:sz w:val="24"/>
      <w:szCs w:val="24"/>
    </w:rPr>
  </w:style>
  <w:style w:type="paragraph" w:customStyle="1" w:styleId="358">
    <w:name w:val="正文 + 首行缩进:  2 字符"/>
    <w:basedOn w:val="1"/>
    <w:qFormat/>
    <w:uiPriority w:val="0"/>
    <w:pPr>
      <w:ind w:firstLine="480" w:firstLineChars="200"/>
    </w:pPr>
    <w:rPr>
      <w:rFonts w:cs="宋体"/>
      <w:szCs w:val="20"/>
    </w:rPr>
  </w:style>
  <w:style w:type="paragraph" w:customStyle="1" w:styleId="359">
    <w:name w:val="正文首行缩进 2 + Times New Roman"/>
    <w:basedOn w:val="1"/>
    <w:qFormat/>
    <w:uiPriority w:val="0"/>
    <w:pPr>
      <w:tabs>
        <w:tab w:val="left" w:pos="0"/>
        <w:tab w:val="left" w:pos="870"/>
        <w:tab w:val="left" w:pos="3150"/>
      </w:tabs>
      <w:autoSpaceDE w:val="0"/>
      <w:autoSpaceDN w:val="0"/>
      <w:ind w:firstLine="480" w:firstLineChars="200"/>
    </w:pPr>
    <w:rPr>
      <w:kern w:val="0"/>
      <w:lang w:val="zh-CN"/>
    </w:rPr>
  </w:style>
  <w:style w:type="paragraph" w:customStyle="1" w:styleId="360">
    <w:name w:val="正文文本 21"/>
    <w:basedOn w:val="1"/>
    <w:qFormat/>
    <w:uiPriority w:val="0"/>
    <w:pPr>
      <w:adjustRightInd w:val="0"/>
      <w:snapToGrid w:val="0"/>
      <w:spacing w:line="240" w:lineRule="auto"/>
      <w:jc w:val="center"/>
      <w:textAlignment w:val="baseline"/>
    </w:pPr>
    <w:rPr>
      <w:spacing w:val="4"/>
    </w:rPr>
  </w:style>
  <w:style w:type="paragraph" w:customStyle="1" w:styleId="361">
    <w:name w:val="样式3"/>
    <w:basedOn w:val="34"/>
    <w:link w:val="362"/>
    <w:qFormat/>
    <w:uiPriority w:val="0"/>
    <w:pPr>
      <w:spacing w:line="240" w:lineRule="auto"/>
    </w:pPr>
    <w:rPr>
      <w:rFonts w:ascii="Times New Roman" w:hAnsi="Times New Roman"/>
      <w:kern w:val="2"/>
    </w:rPr>
  </w:style>
  <w:style w:type="character" w:customStyle="1" w:styleId="362">
    <w:name w:val="样式3 Char"/>
    <w:link w:val="361"/>
    <w:qFormat/>
    <w:locked/>
    <w:uiPriority w:val="0"/>
    <w:rPr>
      <w:rFonts w:ascii="Times New Roman" w:hAnsi="Times New Roman"/>
      <w:kern w:val="2"/>
      <w:sz w:val="18"/>
      <w:szCs w:val="18"/>
    </w:rPr>
  </w:style>
  <w:style w:type="paragraph" w:customStyle="1" w:styleId="363">
    <w:name w:val="样式 标题 4 + 黑体 三号 段前: 0 磅 段后: 0 磅 行距: 1.5 倍行距"/>
    <w:basedOn w:val="9"/>
    <w:qFormat/>
    <w:uiPriority w:val="0"/>
    <w:pPr>
      <w:numPr>
        <w:ilvl w:val="0"/>
        <w:numId w:val="0"/>
      </w:numPr>
      <w:ind w:firstLine="275" w:firstLineChars="98"/>
      <w:outlineLvl w:val="2"/>
    </w:pPr>
    <w:rPr>
      <w:rFonts w:ascii="仿宋_GB2312" w:hAnsi="宋体" w:eastAsia="仿宋_GB2312" w:cs="宋体"/>
      <w:b w:val="0"/>
      <w:color w:val="800000"/>
      <w:kern w:val="2"/>
    </w:rPr>
  </w:style>
  <w:style w:type="paragraph" w:customStyle="1" w:styleId="364">
    <w:name w:val="样式 报告 Char Char1 + 加粗 居中 首行缩进:  2 字符"/>
    <w:basedOn w:val="1"/>
    <w:qFormat/>
    <w:uiPriority w:val="0"/>
    <w:pPr>
      <w:widowControl/>
      <w:overflowPunct w:val="0"/>
      <w:autoSpaceDE w:val="0"/>
      <w:autoSpaceDN w:val="0"/>
      <w:adjustRightInd w:val="0"/>
      <w:spacing w:before="120" w:after="120" w:line="400" w:lineRule="atLeast"/>
      <w:jc w:val="center"/>
      <w:textAlignment w:val="baseline"/>
    </w:pPr>
    <w:rPr>
      <w:rFonts w:cs="宋体"/>
      <w:b/>
      <w:bCs/>
      <w:kern w:val="0"/>
      <w:szCs w:val="20"/>
    </w:rPr>
  </w:style>
  <w:style w:type="paragraph" w:customStyle="1" w:styleId="365">
    <w:name w:val="样式 三号 加粗 段前: 7.8 磅 段后: 7.8 磅1"/>
    <w:basedOn w:val="1"/>
    <w:qFormat/>
    <w:uiPriority w:val="0"/>
    <w:pPr>
      <w:spacing w:line="240" w:lineRule="auto"/>
    </w:pPr>
    <w:rPr>
      <w:rFonts w:cs="宋体"/>
      <w:b/>
      <w:bCs/>
      <w:sz w:val="32"/>
      <w:szCs w:val="20"/>
    </w:rPr>
  </w:style>
  <w:style w:type="paragraph" w:customStyle="1" w:styleId="366">
    <w:name w:val="样式 样式 报告 + 左  0 字符 + 段前: 6 磅"/>
    <w:basedOn w:val="1"/>
    <w:qFormat/>
    <w:uiPriority w:val="0"/>
    <w:pPr>
      <w:widowControl/>
      <w:overflowPunct w:val="0"/>
      <w:autoSpaceDE w:val="0"/>
      <w:autoSpaceDN w:val="0"/>
      <w:adjustRightInd w:val="0"/>
      <w:ind w:firstLine="200" w:firstLineChars="200"/>
      <w:jc w:val="center"/>
      <w:textAlignment w:val="baseline"/>
    </w:pPr>
    <w:rPr>
      <w:rFonts w:cs="宋体"/>
      <w:kern w:val="0"/>
      <w:szCs w:val="20"/>
    </w:rPr>
  </w:style>
  <w:style w:type="paragraph" w:customStyle="1" w:styleId="367">
    <w:name w:val="样式 正文缩进正文（首行缩进两字）1s4正文（首行缩进两字） Char正文缩进 Char表正文正文非缩进ALT+Z..."/>
    <w:basedOn w:val="10"/>
    <w:link w:val="368"/>
    <w:qFormat/>
    <w:uiPriority w:val="0"/>
    <w:pPr>
      <w:widowControl/>
      <w:tabs>
        <w:tab w:val="left" w:pos="3600"/>
        <w:tab w:val="left" w:pos="6845"/>
      </w:tabs>
      <w:adjustRightInd w:val="0"/>
      <w:snapToGrid w:val="0"/>
      <w:ind w:firstLine="480"/>
    </w:pPr>
    <w:rPr>
      <w:rFonts w:eastAsia="仿宋_GB2312"/>
      <w:color w:val="000000"/>
      <w:kern w:val="0"/>
      <w:lang w:val="zh-CN"/>
    </w:rPr>
  </w:style>
  <w:style w:type="character" w:customStyle="1" w:styleId="368">
    <w:name w:val="样式 正文缩进正文（首行缩进两字）1s4正文（首行缩进两字） Char正文缩进 Char表正文正文非缩进ALT+Z... Char Char"/>
    <w:link w:val="367"/>
    <w:qFormat/>
    <w:uiPriority w:val="0"/>
    <w:rPr>
      <w:rFonts w:ascii="Times New Roman" w:hAnsi="Times New Roman" w:eastAsia="仿宋_GB2312"/>
      <w:color w:val="000000"/>
      <w:sz w:val="24"/>
      <w:szCs w:val="24"/>
      <w:lang w:val="zh-CN"/>
    </w:rPr>
  </w:style>
  <w:style w:type="paragraph" w:customStyle="1" w:styleId="369">
    <w:name w:val="样式 宋体 四号 黑色"/>
    <w:basedOn w:val="1"/>
    <w:qFormat/>
    <w:uiPriority w:val="0"/>
    <w:pPr>
      <w:adjustRightInd w:val="0"/>
      <w:spacing w:line="240" w:lineRule="auto"/>
      <w:ind w:firstLine="200" w:firstLineChars="200"/>
    </w:pPr>
    <w:rPr>
      <w:rFonts w:ascii="宋体" w:hAnsi="宋体" w:cs="宋体"/>
      <w:color w:val="000000"/>
      <w:sz w:val="28"/>
      <w:szCs w:val="20"/>
    </w:rPr>
  </w:style>
  <w:style w:type="paragraph" w:customStyle="1" w:styleId="370">
    <w:name w:val="样式343"/>
    <w:basedOn w:val="1"/>
    <w:qFormat/>
    <w:uiPriority w:val="0"/>
    <w:pPr>
      <w:adjustRightInd w:val="0"/>
      <w:spacing w:line="300" w:lineRule="exact"/>
      <w:jc w:val="center"/>
      <w:textAlignment w:val="baseline"/>
    </w:pPr>
    <w:rPr>
      <w:color w:val="000000"/>
      <w:sz w:val="21"/>
      <w:szCs w:val="21"/>
    </w:rPr>
  </w:style>
  <w:style w:type="paragraph" w:customStyle="1" w:styleId="371">
    <w:name w:val="正文首行缩进1"/>
    <w:basedOn w:val="25"/>
    <w:qFormat/>
    <w:uiPriority w:val="0"/>
    <w:pPr>
      <w:widowControl w:val="0"/>
      <w:shd w:val="clear" w:color="auto" w:fill="auto"/>
      <w:spacing w:before="0" w:after="120" w:line="240" w:lineRule="auto"/>
      <w:ind w:firstLine="420" w:firstLineChars="100"/>
      <w:jc w:val="both"/>
    </w:pPr>
    <w:rPr>
      <w:rFonts w:ascii="Calibri"/>
      <w:kern w:val="2"/>
      <w:sz w:val="21"/>
      <w:szCs w:val="24"/>
    </w:rPr>
  </w:style>
  <w:style w:type="paragraph" w:customStyle="1" w:styleId="372">
    <w:name w:val="注释标题1"/>
    <w:basedOn w:val="1"/>
    <w:next w:val="1"/>
    <w:qFormat/>
    <w:uiPriority w:val="0"/>
    <w:pPr>
      <w:spacing w:line="240" w:lineRule="auto"/>
      <w:jc w:val="center"/>
    </w:pPr>
    <w:rPr>
      <w:rFonts w:ascii="Calibri" w:hAnsi="Calibri"/>
      <w:sz w:val="21"/>
      <w:szCs w:val="21"/>
    </w:rPr>
  </w:style>
  <w:style w:type="paragraph" w:customStyle="1" w:styleId="373">
    <w:name w:val="正文文本 31"/>
    <w:basedOn w:val="1"/>
    <w:qFormat/>
    <w:uiPriority w:val="0"/>
    <w:pPr>
      <w:spacing w:after="120" w:line="240" w:lineRule="auto"/>
    </w:pPr>
    <w:rPr>
      <w:kern w:val="0"/>
      <w:sz w:val="16"/>
      <w:szCs w:val="16"/>
    </w:rPr>
  </w:style>
  <w:style w:type="paragraph" w:customStyle="1" w:styleId="374">
    <w:name w:val="样式 普通文字 + 加宽量  0.4 磅 Char Char Char Char Char Char Char Char Char Char Char Char Char Char"/>
    <w:basedOn w:val="1"/>
    <w:link w:val="375"/>
    <w:qFormat/>
    <w:uiPriority w:val="0"/>
    <w:pPr>
      <w:spacing w:line="480" w:lineRule="exact"/>
      <w:ind w:firstLine="480" w:firstLineChars="200"/>
    </w:pPr>
    <w:rPr>
      <w:rFonts w:ascii="宋体" w:hAnsi="Calibri" w:cs="黑体"/>
      <w:spacing w:val="8"/>
      <w:szCs w:val="21"/>
    </w:rPr>
  </w:style>
  <w:style w:type="character" w:customStyle="1" w:styleId="375">
    <w:name w:val="样式 普通文字 + 加宽量  0.4 磅 Char Char Char Char Char Char Char Char Char Char Char Char Char Char Char Char"/>
    <w:link w:val="374"/>
    <w:qFormat/>
    <w:uiPriority w:val="0"/>
    <w:rPr>
      <w:rFonts w:ascii="宋体" w:cs="黑体"/>
      <w:spacing w:val="8"/>
      <w:kern w:val="2"/>
      <w:sz w:val="24"/>
      <w:szCs w:val="21"/>
    </w:rPr>
  </w:style>
  <w:style w:type="paragraph" w:customStyle="1" w:styleId="376">
    <w:name w:val="正文文本 212"/>
    <w:basedOn w:val="1"/>
    <w:qFormat/>
    <w:uiPriority w:val="0"/>
    <w:pPr>
      <w:spacing w:after="120" w:line="480" w:lineRule="auto"/>
    </w:pPr>
    <w:rPr>
      <w:kern w:val="0"/>
      <w:sz w:val="20"/>
    </w:rPr>
  </w:style>
  <w:style w:type="paragraph" w:customStyle="1" w:styleId="377">
    <w:name w:val="样式2－表格"/>
    <w:basedOn w:val="1"/>
    <w:qFormat/>
    <w:uiPriority w:val="0"/>
    <w:pPr>
      <w:autoSpaceDE w:val="0"/>
      <w:autoSpaceDN w:val="0"/>
      <w:adjustRightInd w:val="0"/>
      <w:snapToGrid w:val="0"/>
      <w:spacing w:line="300" w:lineRule="auto"/>
      <w:textAlignment w:val="baseline"/>
    </w:pPr>
    <w:rPr>
      <w:color w:val="000000"/>
      <w:kern w:val="0"/>
      <w:sz w:val="21"/>
      <w:szCs w:val="20"/>
    </w:rPr>
  </w:style>
  <w:style w:type="paragraph" w:customStyle="1" w:styleId="378">
    <w:name w:val="正文文本缩进 212"/>
    <w:basedOn w:val="1"/>
    <w:qFormat/>
    <w:uiPriority w:val="0"/>
    <w:pPr>
      <w:spacing w:line="560" w:lineRule="exact"/>
      <w:ind w:firstLine="560" w:firstLineChars="200"/>
    </w:pPr>
    <w:rPr>
      <w:rFonts w:ascii="楷体_GB2312" w:hAnsi="宋体" w:eastAsia="楷体_GB2312"/>
      <w:sz w:val="28"/>
      <w:szCs w:val="28"/>
    </w:rPr>
  </w:style>
  <w:style w:type="paragraph" w:customStyle="1" w:styleId="379">
    <w:name w:val="样式 首行缩进:  2 字符1 Char"/>
    <w:basedOn w:val="1"/>
    <w:link w:val="380"/>
    <w:qFormat/>
    <w:uiPriority w:val="0"/>
    <w:pPr>
      <w:tabs>
        <w:tab w:val="left" w:pos="1094"/>
        <w:tab w:val="left" w:pos="1244"/>
      </w:tabs>
      <w:snapToGrid w:val="0"/>
      <w:ind w:firstLine="480" w:firstLineChars="200"/>
    </w:pPr>
  </w:style>
  <w:style w:type="character" w:customStyle="1" w:styleId="380">
    <w:name w:val="样式 首行缩进:  2 字符1 Char Char Char Char"/>
    <w:link w:val="379"/>
    <w:qFormat/>
    <w:uiPriority w:val="0"/>
    <w:rPr>
      <w:rFonts w:ascii="Times New Roman" w:hAnsi="Times New Roman"/>
      <w:snapToGrid/>
      <w:kern w:val="2"/>
      <w:sz w:val="24"/>
      <w:szCs w:val="24"/>
    </w:rPr>
  </w:style>
  <w:style w:type="paragraph" w:customStyle="1" w:styleId="381">
    <w:name w:val="样式 四号 加粗 段前: 6 磅 段后: 5 磅 行距: 固定值 23 磅"/>
    <w:basedOn w:val="9"/>
    <w:qFormat/>
    <w:uiPriority w:val="0"/>
    <w:pPr>
      <w:widowControl/>
      <w:numPr>
        <w:ilvl w:val="0"/>
        <w:numId w:val="0"/>
      </w:numPr>
      <w:spacing w:beforeLines="30"/>
      <w:jc w:val="left"/>
      <w:outlineLvl w:val="2"/>
    </w:pPr>
    <w:rPr>
      <w:rFonts w:cs="宋体"/>
      <w:bCs w:val="0"/>
      <w:kern w:val="28"/>
      <w:szCs w:val="20"/>
    </w:rPr>
  </w:style>
  <w:style w:type="paragraph" w:customStyle="1" w:styleId="382">
    <w:name w:val="正文文本缩进12"/>
    <w:basedOn w:val="1"/>
    <w:link w:val="383"/>
    <w:qFormat/>
    <w:uiPriority w:val="0"/>
    <w:pPr>
      <w:spacing w:line="560" w:lineRule="exact"/>
      <w:ind w:firstLine="538" w:firstLineChars="192"/>
    </w:pPr>
    <w:rPr>
      <w:rFonts w:ascii="Calibri" w:hAnsi="Calibri" w:eastAsia="楷体_GB2312" w:cs="黑体"/>
      <w:sz w:val="28"/>
    </w:rPr>
  </w:style>
  <w:style w:type="character" w:customStyle="1" w:styleId="383">
    <w:name w:val="正文文本缩进 Char Char"/>
    <w:link w:val="382"/>
    <w:qFormat/>
    <w:uiPriority w:val="0"/>
    <w:rPr>
      <w:rFonts w:eastAsia="楷体_GB2312" w:cs="黑体"/>
      <w:kern w:val="2"/>
      <w:sz w:val="28"/>
      <w:szCs w:val="24"/>
    </w:rPr>
  </w:style>
  <w:style w:type="paragraph" w:customStyle="1" w:styleId="384">
    <w:name w:val="正文文本缩进 31"/>
    <w:basedOn w:val="1"/>
    <w:link w:val="385"/>
    <w:qFormat/>
    <w:uiPriority w:val="0"/>
    <w:pPr>
      <w:spacing w:after="120" w:line="240" w:lineRule="auto"/>
      <w:ind w:left="420" w:leftChars="200"/>
    </w:pPr>
    <w:rPr>
      <w:rFonts w:ascii="Calibri" w:hAnsi="Calibri" w:cs="黑体"/>
      <w:sz w:val="16"/>
      <w:szCs w:val="16"/>
    </w:rPr>
  </w:style>
  <w:style w:type="character" w:customStyle="1" w:styleId="385">
    <w:name w:val="正文文本缩进 3 Char Char"/>
    <w:link w:val="384"/>
    <w:qFormat/>
    <w:uiPriority w:val="0"/>
    <w:rPr>
      <w:rFonts w:cs="黑体"/>
      <w:kern w:val="2"/>
      <w:sz w:val="16"/>
      <w:szCs w:val="16"/>
    </w:rPr>
  </w:style>
  <w:style w:type="paragraph" w:customStyle="1" w:styleId="386">
    <w:name w:val="正文 New New New New New New New New New New New New New New New New New New New New New New New New New New New New New New New New New New New New New New New New New New New New New"/>
    <w:qFormat/>
    <w:uiPriority w:val="0"/>
    <w:pPr>
      <w:widowControl w:val="0"/>
      <w:jc w:val="both"/>
    </w:pPr>
    <w:rPr>
      <w:rFonts w:ascii="Times New Roman" w:hAnsi="Times New Roman" w:eastAsia="宋体" w:cs="Times New Roman"/>
      <w:lang w:val="en-US" w:eastAsia="zh-CN" w:bidi="ar-SA"/>
    </w:rPr>
  </w:style>
  <w:style w:type="paragraph" w:customStyle="1" w:styleId="387">
    <w:name w:val="注"/>
    <w:basedOn w:val="1"/>
    <w:qFormat/>
    <w:uiPriority w:val="0"/>
    <w:pPr>
      <w:spacing w:before="120" w:after="120"/>
      <w:ind w:firstLine="567"/>
      <w:jc w:val="left"/>
    </w:pPr>
    <w:rPr>
      <w:rFonts w:ascii="Calibri" w:hAnsi="Calibri" w:eastAsia="仿宋_GB2312"/>
      <w:kern w:val="0"/>
      <w:szCs w:val="20"/>
    </w:rPr>
  </w:style>
  <w:style w:type="paragraph" w:customStyle="1" w:styleId="388">
    <w:name w:val="样式 普通文字 + 首行缩进:  2 字符"/>
    <w:basedOn w:val="1"/>
    <w:qFormat/>
    <w:uiPriority w:val="0"/>
    <w:pPr>
      <w:spacing w:line="480" w:lineRule="exact"/>
      <w:ind w:firstLine="512" w:firstLineChars="200"/>
    </w:pPr>
    <w:rPr>
      <w:rFonts w:cs="宋体"/>
      <w:szCs w:val="21"/>
    </w:rPr>
  </w:style>
  <w:style w:type="paragraph" w:customStyle="1" w:styleId="389">
    <w:name w:val="样式"/>
    <w:basedOn w:val="1"/>
    <w:qFormat/>
    <w:uiPriority w:val="0"/>
    <w:pPr>
      <w:spacing w:line="240" w:lineRule="auto"/>
    </w:pPr>
    <w:rPr>
      <w:sz w:val="21"/>
      <w:szCs w:val="21"/>
    </w:rPr>
  </w:style>
  <w:style w:type="paragraph" w:customStyle="1" w:styleId="390">
    <w:name w:val="正文2000"/>
    <w:basedOn w:val="1"/>
    <w:qFormat/>
    <w:uiPriority w:val="0"/>
    <w:pPr>
      <w:tabs>
        <w:tab w:val="left" w:pos="170"/>
      </w:tabs>
      <w:adjustRightInd w:val="0"/>
      <w:spacing w:line="240" w:lineRule="exact"/>
      <w:ind w:firstLine="458" w:firstLineChars="218"/>
      <w:jc w:val="center"/>
    </w:pPr>
    <w:rPr>
      <w:rFonts w:ascii="宋体" w:hAnsi="宋体"/>
      <w:sz w:val="21"/>
      <w:szCs w:val="21"/>
    </w:rPr>
  </w:style>
  <w:style w:type="paragraph" w:customStyle="1" w:styleId="391">
    <w:name w:val="正文(首行缩进2字）"/>
    <w:basedOn w:val="1"/>
    <w:qFormat/>
    <w:uiPriority w:val="0"/>
    <w:pPr>
      <w:spacing w:line="480" w:lineRule="exact"/>
      <w:ind w:firstLine="200" w:firstLineChars="200"/>
    </w:pPr>
    <w:rPr>
      <w:rFonts w:ascii="Arial" w:hAnsi="Arial" w:cs="Arial"/>
    </w:rPr>
  </w:style>
  <w:style w:type="paragraph" w:customStyle="1" w:styleId="392">
    <w:name w:val="正文表标题"/>
    <w:next w:val="1"/>
    <w:qFormat/>
    <w:uiPriority w:val="0"/>
    <w:pPr>
      <w:tabs>
        <w:tab w:val="left" w:pos="1140"/>
      </w:tabs>
      <w:ind w:left="1140" w:hanging="420"/>
      <w:jc w:val="center"/>
    </w:pPr>
    <w:rPr>
      <w:rFonts w:ascii="黑体" w:hAnsi="Times New Roman" w:eastAsia="黑体" w:cs="黑体"/>
      <w:lang w:val="en-US" w:eastAsia="zh-CN" w:bidi="ar-SA"/>
    </w:rPr>
  </w:style>
  <w:style w:type="paragraph" w:customStyle="1" w:styleId="393">
    <w:name w:val="样式 正文缩进正文（首行缩进两字） + 段后: 0.1 行"/>
    <w:basedOn w:val="10"/>
    <w:qFormat/>
    <w:uiPriority w:val="0"/>
    <w:pPr>
      <w:widowControl/>
      <w:spacing w:afterLines="10" w:line="400" w:lineRule="exact"/>
      <w:ind w:firstLine="482" w:firstLineChars="0"/>
    </w:pPr>
    <w:rPr>
      <w:rFonts w:ascii="Calibri" w:hAnsi="Calibri"/>
      <w:szCs w:val="20"/>
      <w:lang w:val="zh-CN"/>
    </w:rPr>
  </w:style>
  <w:style w:type="paragraph" w:customStyle="1" w:styleId="394">
    <w:name w:val="样式 标题 1 + 华文中宋 两端对齐 左侧:  0 厘米"/>
    <w:basedOn w:val="5"/>
    <w:qFormat/>
    <w:uiPriority w:val="0"/>
    <w:pPr>
      <w:keepNext/>
      <w:keepLines/>
      <w:numPr>
        <w:numId w:val="0"/>
      </w:numPr>
      <w:tabs>
        <w:tab w:val="left" w:pos="720"/>
      </w:tabs>
      <w:spacing w:before="340" w:after="330" w:line="240" w:lineRule="auto"/>
      <w:ind w:left="720" w:hanging="720"/>
      <w:jc w:val="both"/>
    </w:pPr>
    <w:rPr>
      <w:rFonts w:ascii="华文中宋" w:hAnsi="华文中宋" w:eastAsia="华文中宋" w:cs="宋体"/>
      <w:bCs/>
      <w:kern w:val="44"/>
      <w:szCs w:val="44"/>
    </w:rPr>
  </w:style>
  <w:style w:type="paragraph" w:customStyle="1" w:styleId="395">
    <w:name w:val="样式3wf"/>
    <w:basedOn w:val="1"/>
    <w:qFormat/>
    <w:uiPriority w:val="0"/>
    <w:pPr>
      <w:autoSpaceDE w:val="0"/>
      <w:autoSpaceDN w:val="0"/>
      <w:adjustRightInd w:val="0"/>
      <w:snapToGrid w:val="0"/>
      <w:spacing w:line="240" w:lineRule="auto"/>
      <w:textAlignment w:val="baseline"/>
    </w:pPr>
    <w:rPr>
      <w:szCs w:val="20"/>
    </w:rPr>
  </w:style>
  <w:style w:type="paragraph" w:customStyle="1" w:styleId="396">
    <w:name w:val="样式 正文文本"/>
    <w:basedOn w:val="25"/>
    <w:qFormat/>
    <w:uiPriority w:val="0"/>
    <w:pPr>
      <w:widowControl w:val="0"/>
      <w:shd w:val="clear" w:color="auto" w:fill="auto"/>
      <w:adjustRightInd w:val="0"/>
      <w:snapToGrid w:val="0"/>
      <w:spacing w:before="0" w:line="360" w:lineRule="auto"/>
      <w:ind w:firstLine="200" w:firstLineChars="200"/>
      <w:jc w:val="both"/>
    </w:pPr>
    <w:rPr>
      <w:rFonts w:ascii="Calibri" w:eastAsia="楷体_GB2312" w:cs="宋体"/>
      <w:kern w:val="2"/>
      <w:sz w:val="24"/>
    </w:rPr>
  </w:style>
  <w:style w:type="paragraph" w:customStyle="1" w:styleId="397">
    <w:name w:val="样式 报告 Char + 加粗 居中 首行缩进:  0.85 厘米 段后: 3 磅 行距: 1.5 倍行距"/>
    <w:basedOn w:val="1"/>
    <w:qFormat/>
    <w:uiPriority w:val="0"/>
    <w:pPr>
      <w:overflowPunct w:val="0"/>
      <w:autoSpaceDE w:val="0"/>
      <w:autoSpaceDN w:val="0"/>
      <w:adjustRightInd w:val="0"/>
      <w:snapToGrid w:val="0"/>
      <w:spacing w:line="240" w:lineRule="auto"/>
      <w:jc w:val="center"/>
      <w:textAlignment w:val="baseline"/>
    </w:pPr>
    <w:rPr>
      <w:bCs/>
      <w:kern w:val="0"/>
    </w:rPr>
  </w:style>
  <w:style w:type="paragraph" w:customStyle="1" w:styleId="398">
    <w:name w:val="样式 普通文字 + 加宽量  0.4 磅"/>
    <w:basedOn w:val="1"/>
    <w:link w:val="399"/>
    <w:qFormat/>
    <w:uiPriority w:val="0"/>
    <w:pPr>
      <w:spacing w:line="480" w:lineRule="exact"/>
      <w:ind w:firstLine="480" w:firstLineChars="200"/>
    </w:pPr>
    <w:rPr>
      <w:rFonts w:ascii="宋体" w:hAnsi="Calibri" w:cs="黑体"/>
      <w:spacing w:val="8"/>
      <w:szCs w:val="21"/>
    </w:rPr>
  </w:style>
  <w:style w:type="character" w:customStyle="1" w:styleId="399">
    <w:name w:val="样式 普通文字 + 加宽量  0.4 磅 Char Char Char"/>
    <w:link w:val="398"/>
    <w:qFormat/>
    <w:uiPriority w:val="0"/>
    <w:rPr>
      <w:rFonts w:ascii="宋体" w:cs="黑体"/>
      <w:spacing w:val="8"/>
      <w:kern w:val="2"/>
      <w:sz w:val="24"/>
      <w:szCs w:val="21"/>
    </w:rPr>
  </w:style>
  <w:style w:type="paragraph" w:customStyle="1" w:styleId="400">
    <w:name w:val="正文段落"/>
    <w:basedOn w:val="1"/>
    <w:qFormat/>
    <w:uiPriority w:val="0"/>
    <w:pPr>
      <w:autoSpaceDE w:val="0"/>
      <w:autoSpaceDN w:val="0"/>
      <w:adjustRightInd w:val="0"/>
      <w:spacing w:line="480" w:lineRule="exact"/>
      <w:ind w:firstLine="200" w:firstLineChars="200"/>
      <w:textAlignment w:val="baseline"/>
    </w:pPr>
    <w:rPr>
      <w:rFonts w:ascii="@宋体" w:eastAsia="仿宋_GB2312"/>
      <w:kern w:val="0"/>
      <w:szCs w:val="20"/>
    </w:rPr>
  </w:style>
  <w:style w:type="paragraph" w:customStyle="1" w:styleId="401">
    <w:name w:val="正文(首行缩进2字)"/>
    <w:basedOn w:val="1"/>
    <w:next w:val="1"/>
    <w:qFormat/>
    <w:uiPriority w:val="0"/>
    <w:pPr>
      <w:adjustRightInd w:val="0"/>
      <w:ind w:firstLine="560" w:firstLineChars="200"/>
      <w:jc w:val="left"/>
      <w:textAlignment w:val="baseline"/>
    </w:pPr>
    <w:rPr>
      <w:color w:val="000000"/>
      <w:kern w:val="0"/>
      <w:sz w:val="28"/>
      <w:szCs w:val="20"/>
    </w:rPr>
  </w:style>
  <w:style w:type="paragraph" w:customStyle="1" w:styleId="402">
    <w:name w:val="样式 标题 1 + 加粗"/>
    <w:basedOn w:val="5"/>
    <w:qFormat/>
    <w:uiPriority w:val="0"/>
    <w:pPr>
      <w:keepNext/>
      <w:keepLines/>
      <w:numPr>
        <w:numId w:val="0"/>
      </w:numPr>
      <w:spacing w:before="120" w:after="120" w:line="500" w:lineRule="exact"/>
      <w:jc w:val="both"/>
    </w:pPr>
    <w:rPr>
      <w:rFonts w:ascii="Times New Roman" w:hAnsi="Times New Roman"/>
      <w:bCs/>
      <w:kern w:val="44"/>
      <w:sz w:val="24"/>
      <w:szCs w:val="44"/>
    </w:rPr>
  </w:style>
  <w:style w:type="paragraph" w:customStyle="1" w:styleId="403">
    <w:name w:val="正文首行缩进2"/>
    <w:basedOn w:val="25"/>
    <w:qFormat/>
    <w:uiPriority w:val="0"/>
    <w:pPr>
      <w:widowControl w:val="0"/>
      <w:shd w:val="clear" w:color="auto" w:fill="auto"/>
      <w:spacing w:before="0" w:after="120" w:line="240" w:lineRule="auto"/>
      <w:ind w:firstLine="420" w:firstLineChars="100"/>
      <w:jc w:val="both"/>
    </w:pPr>
    <w:rPr>
      <w:rFonts w:ascii="Times New Roman" w:hAnsi="Times New Roman"/>
      <w:kern w:val="2"/>
      <w:sz w:val="21"/>
      <w:szCs w:val="24"/>
    </w:rPr>
  </w:style>
  <w:style w:type="paragraph" w:customStyle="1" w:styleId="404">
    <w:name w:val="注释标题2"/>
    <w:basedOn w:val="1"/>
    <w:next w:val="1"/>
    <w:qFormat/>
    <w:uiPriority w:val="0"/>
    <w:pPr>
      <w:spacing w:line="240" w:lineRule="auto"/>
      <w:jc w:val="center"/>
    </w:pPr>
    <w:rPr>
      <w:sz w:val="21"/>
    </w:rPr>
  </w:style>
  <w:style w:type="paragraph" w:customStyle="1" w:styleId="405">
    <w:name w:val="正文文本 32"/>
    <w:basedOn w:val="1"/>
    <w:qFormat/>
    <w:uiPriority w:val="0"/>
    <w:pPr>
      <w:spacing w:after="120" w:line="240" w:lineRule="auto"/>
    </w:pPr>
    <w:rPr>
      <w:sz w:val="16"/>
      <w:szCs w:val="16"/>
    </w:rPr>
  </w:style>
  <w:style w:type="paragraph" w:customStyle="1" w:styleId="406">
    <w:name w:val="正文缩进2"/>
    <w:basedOn w:val="1"/>
    <w:qFormat/>
    <w:uiPriority w:val="0"/>
    <w:pPr>
      <w:adjustRightInd w:val="0"/>
      <w:snapToGrid w:val="0"/>
      <w:ind w:firstLine="420" w:firstLineChars="200"/>
    </w:pPr>
    <w:rPr>
      <w:sz w:val="28"/>
    </w:rPr>
  </w:style>
  <w:style w:type="paragraph" w:customStyle="1" w:styleId="407">
    <w:name w:val="正文文本缩进 32"/>
    <w:basedOn w:val="1"/>
    <w:qFormat/>
    <w:uiPriority w:val="0"/>
    <w:pPr>
      <w:spacing w:after="120" w:line="240" w:lineRule="auto"/>
      <w:ind w:left="420" w:leftChars="200"/>
    </w:pPr>
    <w:rPr>
      <w:sz w:val="16"/>
      <w:szCs w:val="16"/>
    </w:rPr>
  </w:style>
  <w:style w:type="paragraph" w:customStyle="1" w:styleId="408">
    <w:name w:val="样式 样式 样式275 + 仿宋_GB2312 自动设置 首行缩进:  2 字符 + 黑色 首行缩进:  2 字符"/>
    <w:basedOn w:val="1"/>
    <w:link w:val="409"/>
    <w:qFormat/>
    <w:uiPriority w:val="0"/>
    <w:pPr>
      <w:spacing w:line="520" w:lineRule="exact"/>
      <w:ind w:firstLine="480" w:firstLineChars="200"/>
    </w:pPr>
    <w:rPr>
      <w:rFonts w:ascii="仿宋_GB2312"/>
      <w:color w:val="000000"/>
      <w:kern w:val="0"/>
      <w:szCs w:val="20"/>
    </w:rPr>
  </w:style>
  <w:style w:type="character" w:customStyle="1" w:styleId="409">
    <w:name w:val="样式 样式 样式275 + 仿宋_GB2312 自动设置 首行缩进:  2 字符 + 黑色 首行缩进:  2 字符 Char Char"/>
    <w:link w:val="408"/>
    <w:qFormat/>
    <w:uiPriority w:val="0"/>
    <w:rPr>
      <w:rFonts w:ascii="仿宋_GB2312" w:hAnsi="Times New Roman"/>
      <w:color w:val="000000"/>
      <w:sz w:val="24"/>
    </w:rPr>
  </w:style>
  <w:style w:type="paragraph" w:customStyle="1" w:styleId="410">
    <w:name w:val="正文文本 211"/>
    <w:basedOn w:val="1"/>
    <w:qFormat/>
    <w:uiPriority w:val="0"/>
    <w:pPr>
      <w:spacing w:after="120" w:line="480" w:lineRule="auto"/>
    </w:pPr>
    <w:rPr>
      <w:kern w:val="0"/>
      <w:sz w:val="20"/>
    </w:rPr>
  </w:style>
  <w:style w:type="paragraph" w:customStyle="1" w:styleId="411">
    <w:name w:val="正文文本缩进 211"/>
    <w:basedOn w:val="1"/>
    <w:qFormat/>
    <w:uiPriority w:val="0"/>
    <w:pPr>
      <w:spacing w:line="560" w:lineRule="exact"/>
      <w:ind w:firstLine="560" w:firstLineChars="200"/>
    </w:pPr>
    <w:rPr>
      <w:rFonts w:ascii="楷体_GB2312" w:hAnsi="宋体" w:eastAsia="楷体_GB2312"/>
      <w:sz w:val="28"/>
      <w:szCs w:val="28"/>
    </w:rPr>
  </w:style>
  <w:style w:type="paragraph" w:customStyle="1" w:styleId="412">
    <w:name w:val="正文文本缩进11"/>
    <w:basedOn w:val="1"/>
    <w:qFormat/>
    <w:uiPriority w:val="0"/>
    <w:pPr>
      <w:spacing w:line="560" w:lineRule="exact"/>
      <w:ind w:firstLine="538" w:firstLineChars="192"/>
    </w:pPr>
    <w:rPr>
      <w:rFonts w:ascii="Calibri" w:hAnsi="Calibri" w:eastAsia="楷体_GB2312"/>
      <w:kern w:val="0"/>
      <w:sz w:val="28"/>
    </w:rPr>
  </w:style>
  <w:style w:type="paragraph" w:customStyle="1" w:styleId="413">
    <w:name w:val="正文首行缩进21"/>
    <w:basedOn w:val="25"/>
    <w:qFormat/>
    <w:uiPriority w:val="0"/>
    <w:pPr>
      <w:widowControl w:val="0"/>
      <w:shd w:val="clear" w:color="auto" w:fill="auto"/>
      <w:spacing w:before="0" w:line="240" w:lineRule="auto"/>
      <w:ind w:firstLine="420" w:firstLineChars="100"/>
      <w:jc w:val="both"/>
    </w:pPr>
    <w:rPr>
      <w:rFonts w:ascii="Times New Roman" w:hAnsi="Times New Roman"/>
      <w:kern w:val="2"/>
      <w:sz w:val="21"/>
      <w:szCs w:val="24"/>
    </w:rPr>
  </w:style>
  <w:style w:type="paragraph" w:customStyle="1" w:styleId="414">
    <w:name w:val="注释标题21"/>
    <w:basedOn w:val="1"/>
    <w:next w:val="1"/>
    <w:qFormat/>
    <w:uiPriority w:val="0"/>
    <w:pPr>
      <w:spacing w:line="240" w:lineRule="auto"/>
      <w:jc w:val="center"/>
    </w:pPr>
    <w:rPr>
      <w:sz w:val="21"/>
    </w:rPr>
  </w:style>
  <w:style w:type="paragraph" w:customStyle="1" w:styleId="415">
    <w:name w:val="正文文本 321"/>
    <w:basedOn w:val="1"/>
    <w:qFormat/>
    <w:uiPriority w:val="0"/>
    <w:pPr>
      <w:spacing w:after="120" w:line="240" w:lineRule="auto"/>
    </w:pPr>
    <w:rPr>
      <w:sz w:val="16"/>
      <w:szCs w:val="16"/>
    </w:rPr>
  </w:style>
  <w:style w:type="paragraph" w:customStyle="1" w:styleId="416">
    <w:name w:val="正文缩进21"/>
    <w:basedOn w:val="1"/>
    <w:qFormat/>
    <w:uiPriority w:val="0"/>
    <w:pPr>
      <w:adjustRightInd w:val="0"/>
      <w:snapToGrid w:val="0"/>
      <w:ind w:firstLine="420" w:firstLineChars="200"/>
    </w:pPr>
    <w:rPr>
      <w:sz w:val="28"/>
    </w:rPr>
  </w:style>
  <w:style w:type="paragraph" w:customStyle="1" w:styleId="417">
    <w:name w:val="正文文本缩进 321"/>
    <w:basedOn w:val="1"/>
    <w:qFormat/>
    <w:uiPriority w:val="0"/>
    <w:pPr>
      <w:spacing w:after="120" w:line="240" w:lineRule="auto"/>
      <w:ind w:left="420" w:leftChars="200"/>
    </w:pPr>
    <w:rPr>
      <w:sz w:val="16"/>
      <w:szCs w:val="16"/>
    </w:rPr>
  </w:style>
  <w:style w:type="paragraph" w:customStyle="1" w:styleId="418">
    <w:name w:val="正文 New"/>
    <w:qFormat/>
    <w:uiPriority w:val="0"/>
    <w:pPr>
      <w:widowControl w:val="0"/>
      <w:jc w:val="both"/>
    </w:pPr>
    <w:rPr>
      <w:rFonts w:ascii="Times New Roman" w:hAnsi="Times New Roman" w:eastAsia="宋体" w:cs="Times New Roman"/>
      <w:lang w:val="en-US" w:eastAsia="zh-CN" w:bidi="ar-SA"/>
    </w:rPr>
  </w:style>
  <w:style w:type="paragraph" w:customStyle="1" w:styleId="419">
    <w:name w:val="样式 表格"/>
    <w:basedOn w:val="1"/>
    <w:qFormat/>
    <w:uiPriority w:val="0"/>
    <w:pPr>
      <w:spacing w:line="240" w:lineRule="auto"/>
      <w:ind w:firstLine="420" w:firstLineChars="200"/>
      <w:jc w:val="center"/>
    </w:pPr>
    <w:rPr>
      <w:rFonts w:cs="宋体"/>
      <w:sz w:val="21"/>
      <w:szCs w:val="20"/>
    </w:rPr>
  </w:style>
  <w:style w:type="paragraph" w:customStyle="1" w:styleId="420">
    <w:name w:val="样式 hh5-图名与表名 + 加粗 Char"/>
    <w:basedOn w:val="1"/>
    <w:link w:val="421"/>
    <w:qFormat/>
    <w:uiPriority w:val="0"/>
    <w:pPr>
      <w:spacing w:line="300" w:lineRule="exact"/>
      <w:jc w:val="center"/>
    </w:pPr>
    <w:rPr>
      <w:rFonts w:eastAsia="黑体"/>
      <w:b/>
      <w:bCs/>
      <w:sz w:val="21"/>
    </w:rPr>
  </w:style>
  <w:style w:type="character" w:customStyle="1" w:styleId="421">
    <w:name w:val="样式 hh5-图名与表名 + 加粗 Char Char Char"/>
    <w:link w:val="420"/>
    <w:qFormat/>
    <w:uiPriority w:val="0"/>
    <w:rPr>
      <w:rFonts w:ascii="Times New Roman" w:hAnsi="Times New Roman" w:eastAsia="黑体"/>
      <w:b/>
      <w:bCs/>
      <w:kern w:val="2"/>
      <w:sz w:val="21"/>
      <w:szCs w:val="24"/>
    </w:rPr>
  </w:style>
  <w:style w:type="paragraph" w:customStyle="1" w:styleId="422">
    <w:name w:val="样式 仿宋_GB2312 四号 行距: 1.5 倍行距"/>
    <w:basedOn w:val="1"/>
    <w:qFormat/>
    <w:uiPriority w:val="0"/>
    <w:pPr>
      <w:ind w:firstLine="560" w:firstLineChars="200"/>
    </w:pPr>
    <w:rPr>
      <w:rFonts w:eastAsia="仿宋_GB2312"/>
      <w:sz w:val="28"/>
      <w:szCs w:val="20"/>
    </w:rPr>
  </w:style>
  <w:style w:type="paragraph" w:customStyle="1" w:styleId="423">
    <w:name w:val="样式3正文"/>
    <w:basedOn w:val="1"/>
    <w:link w:val="424"/>
    <w:qFormat/>
    <w:uiPriority w:val="0"/>
    <w:pPr>
      <w:ind w:firstLine="480" w:firstLineChars="200"/>
    </w:pPr>
    <w:rPr>
      <w:rFonts w:ascii="Calibri" w:hAnsi="Calibri" w:cs="黑体"/>
    </w:rPr>
  </w:style>
  <w:style w:type="character" w:customStyle="1" w:styleId="424">
    <w:name w:val="样式3正文 Char Char"/>
    <w:link w:val="423"/>
    <w:qFormat/>
    <w:uiPriority w:val="0"/>
    <w:rPr>
      <w:rFonts w:cs="黑体"/>
      <w:kern w:val="2"/>
      <w:sz w:val="24"/>
      <w:szCs w:val="24"/>
    </w:rPr>
  </w:style>
  <w:style w:type="paragraph" w:customStyle="1" w:styleId="425">
    <w:name w:val="样式 样式 正文缩进s4 + 首行缩进:  2 字符 + 首行缩进:  2 字符"/>
    <w:basedOn w:val="1"/>
    <w:qFormat/>
    <w:uiPriority w:val="0"/>
    <w:pPr>
      <w:adjustRightInd w:val="0"/>
      <w:snapToGrid w:val="0"/>
      <w:spacing w:line="490" w:lineRule="exact"/>
      <w:ind w:firstLine="480" w:firstLineChars="200"/>
    </w:pPr>
    <w:rPr>
      <w:rFonts w:ascii="宋体" w:hAnsi="宋体"/>
      <w:kern w:val="0"/>
      <w:szCs w:val="20"/>
    </w:rPr>
  </w:style>
  <w:style w:type="paragraph" w:customStyle="1" w:styleId="426">
    <w:name w:val="样式 样式 样式 标题 3标题 33 + 段前: 0.5 行 + 段前: 0.5 行 + 段前: 6 磅 段后: 6 磅"/>
    <w:basedOn w:val="427"/>
    <w:semiHidden/>
    <w:qFormat/>
    <w:uiPriority w:val="0"/>
    <w:pPr>
      <w:ind w:firstLine="0" w:firstLineChars="0"/>
    </w:pPr>
    <w:rPr>
      <w:color w:val="auto"/>
    </w:rPr>
  </w:style>
  <w:style w:type="paragraph" w:customStyle="1" w:styleId="427">
    <w:name w:val="样式 样式 标题 3标题 33 + 段前: 0.5 行 + 段前: 0.5 行"/>
    <w:basedOn w:val="1"/>
    <w:semiHidden/>
    <w:qFormat/>
    <w:uiPriority w:val="0"/>
    <w:pPr>
      <w:keepNext/>
      <w:keepLines/>
      <w:ind w:firstLine="480" w:firstLineChars="200"/>
      <w:outlineLvl w:val="2"/>
    </w:pPr>
    <w:rPr>
      <w:rFonts w:ascii="黑体" w:hAnsi="宋体" w:eastAsia="黑体"/>
      <w:b/>
      <w:color w:val="000000"/>
      <w:kern w:val="0"/>
      <w:szCs w:val="20"/>
    </w:rPr>
  </w:style>
  <w:style w:type="paragraph" w:customStyle="1" w:styleId="428">
    <w:name w:val="样式 标题 2标题 2 Char Char Char Char Char标题 2 Char Char Char Char C...1"/>
    <w:basedOn w:val="7"/>
    <w:qFormat/>
    <w:uiPriority w:val="0"/>
    <w:pPr>
      <w:numPr>
        <w:ilvl w:val="0"/>
        <w:numId w:val="0"/>
      </w:numPr>
      <w:tabs>
        <w:tab w:val="left" w:pos="709"/>
        <w:tab w:val="clear" w:pos="720"/>
      </w:tabs>
      <w:adjustRightInd w:val="0"/>
      <w:snapToGrid w:val="0"/>
      <w:spacing w:beforeLines="50" w:afterLines="50"/>
    </w:pPr>
    <w:rPr>
      <w:kern w:val="2"/>
      <w:sz w:val="32"/>
    </w:rPr>
  </w:style>
  <w:style w:type="paragraph" w:customStyle="1" w:styleId="429">
    <w:name w:val="样式 表内格式 + 黑色 两端对齐"/>
    <w:basedOn w:val="1"/>
    <w:qFormat/>
    <w:uiPriority w:val="0"/>
    <w:pPr>
      <w:spacing w:line="240" w:lineRule="auto"/>
    </w:pPr>
    <w:rPr>
      <w:rFonts w:ascii="Calibri" w:hAnsi="Calibri" w:cs="宋体"/>
      <w:color w:val="000000"/>
      <w:sz w:val="18"/>
      <w:szCs w:val="21"/>
    </w:rPr>
  </w:style>
  <w:style w:type="paragraph" w:customStyle="1" w:styleId="430">
    <w:name w:val="样式 标题 4 + 宋体"/>
    <w:basedOn w:val="9"/>
    <w:qFormat/>
    <w:uiPriority w:val="0"/>
    <w:pPr>
      <w:numPr>
        <w:ilvl w:val="0"/>
        <w:numId w:val="0"/>
      </w:numPr>
      <w:tabs>
        <w:tab w:val="left" w:pos="1004"/>
      </w:tabs>
      <w:spacing w:line="240" w:lineRule="auto"/>
    </w:pPr>
    <w:rPr>
      <w:rFonts w:ascii="宋体" w:hAnsi="宋体"/>
      <w:b w:val="0"/>
      <w:color w:val="000000"/>
    </w:rPr>
  </w:style>
  <w:style w:type="paragraph" w:customStyle="1" w:styleId="431">
    <w:name w:val="样式 正文文本缩进 3正文文字缩进 3 + 首行缩进:  1.18 厘米"/>
    <w:basedOn w:val="1"/>
    <w:qFormat/>
    <w:uiPriority w:val="0"/>
    <w:pPr>
      <w:tabs>
        <w:tab w:val="left" w:pos="1620"/>
      </w:tabs>
      <w:adjustRightInd w:val="0"/>
      <w:snapToGrid w:val="0"/>
      <w:spacing w:before="40" w:after="40" w:line="276" w:lineRule="auto"/>
      <w:ind w:left="-37" w:firstLine="667"/>
    </w:pPr>
    <w:rPr>
      <w:rFonts w:ascii="Arial" w:hAnsi="Arial" w:cs="宋体"/>
      <w:color w:val="000000"/>
      <w:spacing w:val="6"/>
      <w:kern w:val="28"/>
      <w:szCs w:val="20"/>
    </w:rPr>
  </w:style>
  <w:style w:type="paragraph" w:customStyle="1" w:styleId="432">
    <w:name w:val="样式 幼圆 小四 段前: 7.8 磅 段后: 15.6 磅 行距: 固定值 18 磅"/>
    <w:basedOn w:val="1"/>
    <w:semiHidden/>
    <w:qFormat/>
    <w:uiPriority w:val="0"/>
    <w:pPr>
      <w:spacing w:before="156" w:after="312" w:line="360" w:lineRule="exact"/>
      <w:ind w:left="1619" w:leftChars="771"/>
    </w:pPr>
    <w:rPr>
      <w:rFonts w:ascii="幼圆" w:eastAsia="幼圆" w:cs="宋体"/>
      <w:szCs w:val="20"/>
    </w:rPr>
  </w:style>
  <w:style w:type="paragraph" w:customStyle="1" w:styleId="433">
    <w:name w:val="一级节标题"/>
    <w:qFormat/>
    <w:uiPriority w:val="0"/>
    <w:pPr>
      <w:widowControl w:val="0"/>
      <w:adjustRightInd w:val="0"/>
      <w:spacing w:beforeLines="140" w:afterLines="100" w:line="400" w:lineRule="exact"/>
      <w:ind w:left="1320" w:hanging="420"/>
      <w:jc w:val="both"/>
      <w:textAlignment w:val="baseline"/>
      <w:outlineLvl w:val="2"/>
    </w:pPr>
    <w:rPr>
      <w:rFonts w:ascii="黑体" w:hAnsi="Times New Roman" w:eastAsia="宋体" w:cs="Times New Roman"/>
      <w:b/>
      <w:szCs w:val="30"/>
      <w:lang w:val="en-US" w:eastAsia="zh-CN" w:bidi="ar-SA"/>
    </w:rPr>
  </w:style>
  <w:style w:type="paragraph" w:customStyle="1" w:styleId="434">
    <w:name w:val="正文魏 Char Char"/>
    <w:basedOn w:val="1"/>
    <w:qFormat/>
    <w:uiPriority w:val="0"/>
    <w:pPr>
      <w:ind w:firstLine="200" w:firstLineChars="200"/>
    </w:pPr>
  </w:style>
  <w:style w:type="paragraph" w:customStyle="1" w:styleId="435">
    <w:name w:val="样式 题注 + 小四"/>
    <w:basedOn w:val="1"/>
    <w:semiHidden/>
    <w:qFormat/>
    <w:uiPriority w:val="0"/>
    <w:pPr>
      <w:keepNext/>
    </w:pPr>
    <w:rPr>
      <w:b/>
      <w:szCs w:val="20"/>
    </w:rPr>
  </w:style>
  <w:style w:type="paragraph" w:customStyle="1" w:styleId="436">
    <w:name w:val="样式 标题 3标题 3 Char Char Char Char Char Char Char Char Char Char C...1"/>
    <w:basedOn w:val="8"/>
    <w:semiHidden/>
    <w:qFormat/>
    <w:uiPriority w:val="0"/>
    <w:pPr>
      <w:widowControl/>
      <w:numPr>
        <w:ilvl w:val="0"/>
        <w:numId w:val="0"/>
      </w:numPr>
      <w:tabs>
        <w:tab w:val="left" w:pos="0"/>
      </w:tabs>
      <w:spacing w:beforeLines="100"/>
      <w:ind w:right="275" w:rightChars="131" w:firstLine="360"/>
    </w:pPr>
    <w:rPr>
      <w:rFonts w:eastAsia="黑体"/>
      <w:bCs/>
      <w:kern w:val="2"/>
      <w:szCs w:val="28"/>
    </w:rPr>
  </w:style>
  <w:style w:type="paragraph" w:customStyle="1" w:styleId="437">
    <w:name w:val="正文编号(1)"/>
    <w:basedOn w:val="1"/>
    <w:next w:val="10"/>
    <w:link w:val="438"/>
    <w:qFormat/>
    <w:uiPriority w:val="0"/>
    <w:pPr>
      <w:widowControl/>
      <w:tabs>
        <w:tab w:val="left" w:pos="896"/>
      </w:tabs>
      <w:spacing w:line="240" w:lineRule="auto"/>
      <w:ind w:firstLine="426"/>
      <w:contextualSpacing/>
    </w:pPr>
    <w:rPr>
      <w:rFonts w:ascii="Calibri" w:hAnsi="Calibri" w:cs="黑体"/>
      <w:szCs w:val="21"/>
    </w:rPr>
  </w:style>
  <w:style w:type="character" w:customStyle="1" w:styleId="438">
    <w:name w:val="正文编号(1) Char Char"/>
    <w:link w:val="437"/>
    <w:qFormat/>
    <w:uiPriority w:val="0"/>
    <w:rPr>
      <w:rFonts w:cs="黑体"/>
      <w:kern w:val="2"/>
      <w:sz w:val="24"/>
      <w:szCs w:val="21"/>
    </w:rPr>
  </w:style>
  <w:style w:type="paragraph" w:customStyle="1" w:styleId="439">
    <w:name w:val="样式 文章正文 + 宋体"/>
    <w:basedOn w:val="1"/>
    <w:qFormat/>
    <w:uiPriority w:val="0"/>
    <w:pPr>
      <w:ind w:firstLine="454"/>
    </w:pPr>
  </w:style>
  <w:style w:type="paragraph" w:customStyle="1" w:styleId="440">
    <w:name w:val="主体文字"/>
    <w:basedOn w:val="1"/>
    <w:link w:val="441"/>
    <w:semiHidden/>
    <w:qFormat/>
    <w:uiPriority w:val="0"/>
    <w:pPr>
      <w:suppressAutoHyphens/>
      <w:ind w:firstLine="480" w:firstLineChars="200"/>
    </w:pPr>
    <w:rPr>
      <w:rFonts w:ascii="仿宋_GB2312" w:hAnsi="宋体" w:eastAsia="仿宋_GB2312" w:cs="Courier New"/>
      <w:szCs w:val="21"/>
    </w:rPr>
  </w:style>
  <w:style w:type="character" w:customStyle="1" w:styleId="441">
    <w:name w:val="主体文字 Char Char"/>
    <w:link w:val="440"/>
    <w:semiHidden/>
    <w:qFormat/>
    <w:uiPriority w:val="0"/>
    <w:rPr>
      <w:rFonts w:ascii="仿宋_GB2312" w:hAnsi="宋体" w:eastAsia="仿宋_GB2312" w:cs="Courier New"/>
      <w:kern w:val="2"/>
      <w:sz w:val="24"/>
      <w:szCs w:val="21"/>
    </w:rPr>
  </w:style>
  <w:style w:type="paragraph" w:customStyle="1" w:styleId="442">
    <w:name w:val="样式 小四 加粗 左 行距: 1.5 倍行距 首行缩进:  2 字符"/>
    <w:basedOn w:val="1"/>
    <w:semiHidden/>
    <w:qFormat/>
    <w:uiPriority w:val="0"/>
    <w:pPr>
      <w:spacing w:beforeLines="50" w:line="312" w:lineRule="auto"/>
      <w:ind w:firstLine="200" w:firstLineChars="200"/>
      <w:jc w:val="left"/>
    </w:pPr>
    <w:rPr>
      <w:rFonts w:cs="宋体"/>
      <w:b/>
      <w:bCs/>
      <w:szCs w:val="20"/>
    </w:rPr>
  </w:style>
  <w:style w:type="paragraph" w:customStyle="1" w:styleId="443">
    <w:name w:val="样式 正文文本缩进 + 首行缩进:  2 字符"/>
    <w:basedOn w:val="3"/>
    <w:semiHidden/>
    <w:qFormat/>
    <w:uiPriority w:val="0"/>
    <w:pPr>
      <w:spacing w:after="0" w:line="440" w:lineRule="exact"/>
      <w:ind w:left="0" w:leftChars="0" w:firstLine="200" w:firstLineChars="200"/>
    </w:pPr>
    <w:rPr>
      <w:szCs w:val="20"/>
    </w:rPr>
  </w:style>
  <w:style w:type="paragraph" w:customStyle="1" w:styleId="444">
    <w:name w:val="样式 标题 2 + Times New Roman 非加粗 段前: 0 磅 段后: 0 磅 行距: 固定值 26 磅"/>
    <w:basedOn w:val="7"/>
    <w:qFormat/>
    <w:uiPriority w:val="0"/>
    <w:pPr>
      <w:numPr>
        <w:ilvl w:val="0"/>
        <w:numId w:val="0"/>
      </w:numPr>
      <w:tabs>
        <w:tab w:val="left" w:pos="709"/>
        <w:tab w:val="clear" w:pos="720"/>
      </w:tabs>
      <w:spacing w:line="520" w:lineRule="exact"/>
    </w:pPr>
    <w:rPr>
      <w:rFonts w:eastAsia="仿宋_GB2312"/>
      <w:bCs/>
      <w:kern w:val="2"/>
      <w:sz w:val="30"/>
      <w:szCs w:val="20"/>
    </w:rPr>
  </w:style>
  <w:style w:type="paragraph" w:customStyle="1" w:styleId="445">
    <w:name w:val="样式2 武汉 标题4"/>
    <w:basedOn w:val="9"/>
    <w:next w:val="25"/>
    <w:qFormat/>
    <w:uiPriority w:val="0"/>
    <w:pPr>
      <w:widowControl/>
      <w:numPr>
        <w:ilvl w:val="0"/>
        <w:numId w:val="0"/>
      </w:numPr>
      <w:tabs>
        <w:tab w:val="left" w:pos="1004"/>
      </w:tabs>
      <w:adjustRightInd w:val="0"/>
      <w:spacing w:line="440" w:lineRule="atLeast"/>
      <w:ind w:firstLine="482" w:firstLineChars="200"/>
      <w:jc w:val="left"/>
    </w:pPr>
    <w:rPr>
      <w:rFonts w:ascii="宋体" w:hAnsi="宋体" w:eastAsia="黑体"/>
      <w:b w:val="0"/>
      <w:bCs w:val="0"/>
      <w:color w:val="0000FF"/>
      <w:vertAlign w:val="superscript"/>
    </w:rPr>
  </w:style>
  <w:style w:type="paragraph" w:customStyle="1" w:styleId="446">
    <w:name w:val="正文001"/>
    <w:basedOn w:val="1"/>
    <w:qFormat/>
    <w:uiPriority w:val="0"/>
    <w:pPr>
      <w:spacing w:before="60" w:line="420" w:lineRule="exact"/>
      <w:ind w:firstLine="482"/>
    </w:pPr>
    <w:rPr>
      <w:szCs w:val="20"/>
    </w:rPr>
  </w:style>
  <w:style w:type="paragraph" w:customStyle="1" w:styleId="447">
    <w:name w:val="正文缩进1 Char Char Char Char Char Char Char"/>
    <w:basedOn w:val="10"/>
    <w:qFormat/>
    <w:uiPriority w:val="0"/>
    <w:pPr>
      <w:spacing w:line="288" w:lineRule="auto"/>
      <w:ind w:firstLine="0" w:firstLineChars="0"/>
    </w:pPr>
    <w:rPr>
      <w:rFonts w:cs="宋体"/>
      <w:sz w:val="18"/>
      <w:szCs w:val="20"/>
    </w:rPr>
  </w:style>
  <w:style w:type="paragraph" w:customStyle="1" w:styleId="448">
    <w:name w:val="正文-第几条"/>
    <w:basedOn w:val="1"/>
    <w:semiHidden/>
    <w:qFormat/>
    <w:uiPriority w:val="0"/>
    <w:rPr>
      <w:b/>
    </w:rPr>
  </w:style>
  <w:style w:type="paragraph" w:customStyle="1" w:styleId="449">
    <w:name w:val="样式 haydonli + 首行缩进:  2 字符1"/>
    <w:basedOn w:val="1"/>
    <w:semiHidden/>
    <w:qFormat/>
    <w:uiPriority w:val="0"/>
    <w:pPr>
      <w:adjustRightInd w:val="0"/>
      <w:snapToGrid w:val="0"/>
      <w:ind w:firstLine="480" w:firstLineChars="200"/>
    </w:pPr>
    <w:rPr>
      <w:rFonts w:ascii="宋体" w:hAnsi="宋体"/>
    </w:rPr>
  </w:style>
  <w:style w:type="paragraph" w:customStyle="1" w:styleId="450">
    <w:name w:val="样式 标题 5一级项1b5 sub-bulletsb4 Char Char4 Char五1)项标5 Cha..."/>
    <w:basedOn w:val="11"/>
    <w:link w:val="451"/>
    <w:qFormat/>
    <w:uiPriority w:val="0"/>
    <w:pPr>
      <w:widowControl w:val="0"/>
      <w:numPr>
        <w:ilvl w:val="0"/>
        <w:numId w:val="0"/>
      </w:numPr>
      <w:tabs>
        <w:tab w:val="left" w:pos="1440"/>
      </w:tabs>
      <w:spacing w:after="60" w:line="360" w:lineRule="auto"/>
      <w:ind w:left="720"/>
      <w:jc w:val="both"/>
    </w:pPr>
    <w:rPr>
      <w:rFonts w:ascii="Calibri" w:hAnsi="Calibri" w:cs="黑体"/>
      <w:kern w:val="2"/>
      <w:szCs w:val="22"/>
    </w:rPr>
  </w:style>
  <w:style w:type="character" w:customStyle="1" w:styleId="451">
    <w:name w:val="样式 标题 5一级项1b5 sub-bulletsb4 Char Char4 Char五1)项标5 Cha... Char Char"/>
    <w:link w:val="450"/>
    <w:qFormat/>
    <w:uiPriority w:val="0"/>
    <w:rPr>
      <w:rFonts w:cs="黑体"/>
      <w:b/>
      <w:bCs/>
      <w:kern w:val="2"/>
      <w:sz w:val="24"/>
      <w:szCs w:val="22"/>
    </w:rPr>
  </w:style>
  <w:style w:type="paragraph" w:customStyle="1" w:styleId="452">
    <w:name w:val="样式 样式 宋体 小三 首行缩进:  2 字符 + 首行缩进:  2 字符"/>
    <w:basedOn w:val="1"/>
    <w:semiHidden/>
    <w:qFormat/>
    <w:uiPriority w:val="0"/>
    <w:pPr>
      <w:ind w:firstLine="200" w:firstLineChars="200"/>
    </w:pPr>
    <w:rPr>
      <w:rFonts w:hint="eastAsia" w:ascii="宋体" w:hAnsi="宋体"/>
      <w:sz w:val="28"/>
      <w:szCs w:val="20"/>
    </w:rPr>
  </w:style>
  <w:style w:type="paragraph" w:customStyle="1" w:styleId="453">
    <w:name w:val="样式 标题 3"/>
    <w:basedOn w:val="8"/>
    <w:next w:val="1"/>
    <w:qFormat/>
    <w:uiPriority w:val="0"/>
    <w:pPr>
      <w:numPr>
        <w:ilvl w:val="0"/>
        <w:numId w:val="0"/>
      </w:numPr>
      <w:tabs>
        <w:tab w:val="left" w:pos="567"/>
      </w:tabs>
      <w:spacing w:before="163" w:after="163" w:line="0" w:lineRule="atLeast"/>
    </w:pPr>
    <w:rPr>
      <w:rFonts w:eastAsia="黑体"/>
      <w:kern w:val="2"/>
      <w:szCs w:val="24"/>
    </w:rPr>
  </w:style>
  <w:style w:type="paragraph" w:customStyle="1" w:styleId="454">
    <w:name w:val="正文缩进1 Char Char Char"/>
    <w:basedOn w:val="10"/>
    <w:semiHidden/>
    <w:qFormat/>
    <w:uiPriority w:val="0"/>
    <w:pPr>
      <w:spacing w:line="288" w:lineRule="auto"/>
      <w:ind w:firstLine="182" w:firstLineChars="182"/>
    </w:pPr>
    <w:rPr>
      <w:rFonts w:cs="宋体"/>
      <w:sz w:val="18"/>
      <w:szCs w:val="20"/>
    </w:rPr>
  </w:style>
  <w:style w:type="paragraph" w:customStyle="1" w:styleId="455">
    <w:name w:val="样式 正文文本缩进正文文字缩进正文文字缩进1 + 首行缩进:  0.98 厘米"/>
    <w:basedOn w:val="3"/>
    <w:qFormat/>
    <w:uiPriority w:val="0"/>
    <w:pPr>
      <w:snapToGrid w:val="0"/>
      <w:spacing w:after="0" w:line="460" w:lineRule="exact"/>
      <w:ind w:left="0" w:leftChars="0" w:firstLine="556"/>
    </w:pPr>
    <w:rPr>
      <w:rFonts w:ascii="楷体_GB2312" w:eastAsia="楷体_GB2312"/>
      <w:bCs/>
      <w:color w:val="000000"/>
      <w:kern w:val="0"/>
      <w:sz w:val="28"/>
      <w:szCs w:val="28"/>
    </w:rPr>
  </w:style>
  <w:style w:type="paragraph" w:customStyle="1" w:styleId="456">
    <w:name w:val="五号"/>
    <w:basedOn w:val="1"/>
    <w:semiHidden/>
    <w:qFormat/>
    <w:uiPriority w:val="0"/>
    <w:pPr>
      <w:spacing w:line="240" w:lineRule="auto"/>
    </w:pPr>
    <w:rPr>
      <w:sz w:val="21"/>
    </w:rPr>
  </w:style>
  <w:style w:type="paragraph" w:customStyle="1" w:styleId="457">
    <w:name w:val="专栏题"/>
    <w:basedOn w:val="1"/>
    <w:semiHidden/>
    <w:qFormat/>
    <w:uiPriority w:val="0"/>
    <w:pPr>
      <w:adjustRightInd w:val="0"/>
      <w:spacing w:beforeLines="60" w:afterLines="40" w:line="400" w:lineRule="exact"/>
      <w:ind w:left="3420" w:hanging="420"/>
      <w:jc w:val="center"/>
      <w:textAlignment w:val="baseline"/>
    </w:pPr>
    <w:rPr>
      <w:sz w:val="18"/>
      <w:szCs w:val="21"/>
    </w:rPr>
  </w:style>
  <w:style w:type="paragraph" w:customStyle="1" w:styleId="458">
    <w:name w:val="样式 样式 首行缩进:  2 字符1 + 首行缩进:  2 字符"/>
    <w:basedOn w:val="1"/>
    <w:qFormat/>
    <w:uiPriority w:val="0"/>
    <w:pPr>
      <w:spacing w:line="480" w:lineRule="exact"/>
      <w:ind w:firstLine="200" w:firstLineChars="200"/>
    </w:pPr>
    <w:rPr>
      <w:rFonts w:eastAsia="楷体_GB2312"/>
      <w:szCs w:val="20"/>
    </w:rPr>
  </w:style>
  <w:style w:type="paragraph" w:customStyle="1" w:styleId="459">
    <w:name w:val="样式 hb1 + (西文) Times New Roman 自动设置 行距: 固定值 20 磅"/>
    <w:basedOn w:val="1"/>
    <w:qFormat/>
    <w:uiPriority w:val="0"/>
    <w:pPr>
      <w:spacing w:line="400" w:lineRule="exact"/>
      <w:ind w:firstLine="482" w:firstLineChars="200"/>
    </w:pPr>
    <w:rPr>
      <w:rFonts w:ascii="宋体" w:cs="宋体"/>
    </w:rPr>
  </w:style>
  <w:style w:type="paragraph" w:customStyle="1" w:styleId="460">
    <w:name w:val="样式 (中文) 黑体 三号 加粗 段前: 48 磅 段后: 48 磅 底端: (单实线 自动设置  1.5 磅 行...1"/>
    <w:basedOn w:val="5"/>
    <w:qFormat/>
    <w:uiPriority w:val="0"/>
    <w:pPr>
      <w:keepNext/>
      <w:keepLines/>
      <w:numPr>
        <w:numId w:val="0"/>
      </w:numPr>
      <w:pBdr>
        <w:bottom w:val="single" w:color="auto" w:sz="12" w:space="1"/>
      </w:pBdr>
      <w:tabs>
        <w:tab w:val="left" w:pos="1560"/>
      </w:tabs>
      <w:spacing w:before="960" w:after="960" w:line="578" w:lineRule="auto"/>
      <w:jc w:val="both"/>
    </w:pPr>
    <w:rPr>
      <w:rFonts w:ascii="Times New Roman" w:hAnsi="Times New Roman" w:cs="宋体"/>
      <w:b w:val="0"/>
      <w:kern w:val="44"/>
      <w:sz w:val="32"/>
      <w:szCs w:val="20"/>
    </w:rPr>
  </w:style>
  <w:style w:type="paragraph" w:customStyle="1" w:styleId="461">
    <w:name w:val="样式 标题 4款标题标题 4 Char2标题 4 Char Char1款标题 Char款标题 Char Char Ch..."/>
    <w:basedOn w:val="9"/>
    <w:qFormat/>
    <w:uiPriority w:val="0"/>
    <w:pPr>
      <w:numPr>
        <w:ilvl w:val="0"/>
        <w:numId w:val="0"/>
      </w:numPr>
      <w:tabs>
        <w:tab w:val="left" w:pos="2160"/>
      </w:tabs>
      <w:spacing w:before="120" w:after="120" w:line="288" w:lineRule="auto"/>
      <w:ind w:left="2160" w:hanging="420"/>
    </w:pPr>
    <w:rPr>
      <w:kern w:val="2"/>
      <w:szCs w:val="21"/>
    </w:rPr>
  </w:style>
  <w:style w:type="paragraph" w:customStyle="1" w:styleId="462">
    <w:name w:val="正文-1"/>
    <w:basedOn w:val="1"/>
    <w:qFormat/>
    <w:uiPriority w:val="0"/>
    <w:pPr>
      <w:spacing w:line="440" w:lineRule="atLeast"/>
      <w:ind w:firstLine="480" w:firstLineChars="200"/>
    </w:pPr>
  </w:style>
  <w:style w:type="paragraph" w:customStyle="1" w:styleId="463">
    <w:name w:val="修订1"/>
    <w:semiHidden/>
    <w:qFormat/>
    <w:uiPriority w:val="99"/>
    <w:rPr>
      <w:rFonts w:ascii="Times New Roman" w:hAnsi="Times New Roman" w:eastAsia="宋体" w:cs="Times New Roman"/>
      <w:lang w:val="en-US" w:eastAsia="zh-CN" w:bidi="ar-SA"/>
    </w:rPr>
  </w:style>
  <w:style w:type="paragraph" w:customStyle="1" w:styleId="464">
    <w:name w:val="正文居中"/>
    <w:basedOn w:val="1"/>
    <w:next w:val="1"/>
    <w:qFormat/>
    <w:uiPriority w:val="0"/>
    <w:pPr>
      <w:widowControl/>
      <w:snapToGrid w:val="0"/>
      <w:jc w:val="center"/>
    </w:pPr>
    <w:rPr>
      <w:rFonts w:ascii="宋体" w:hAnsi="宋体"/>
      <w:spacing w:val="8"/>
      <w:kern w:val="21"/>
      <w:szCs w:val="20"/>
    </w:rPr>
  </w:style>
  <w:style w:type="paragraph" w:customStyle="1" w:styleId="465">
    <w:name w:val="正文 宋体 小四 行距: 1.5 倍行距"/>
    <w:basedOn w:val="1"/>
    <w:semiHidden/>
    <w:qFormat/>
    <w:uiPriority w:val="0"/>
    <w:pPr>
      <w:spacing w:before="100" w:beforeAutospacing="1"/>
      <w:ind w:firstLine="200" w:firstLineChars="200"/>
    </w:pPr>
    <w:rPr>
      <w:rFonts w:ascii="宋体" w:cs="黑体"/>
      <w:szCs w:val="20"/>
    </w:rPr>
  </w:style>
  <w:style w:type="paragraph" w:customStyle="1" w:styleId="466">
    <w:name w:val="样式 标题 4 + 行距: 多倍行距 1.25 字行"/>
    <w:basedOn w:val="9"/>
    <w:qFormat/>
    <w:uiPriority w:val="0"/>
    <w:pPr>
      <w:numPr>
        <w:ilvl w:val="0"/>
        <w:numId w:val="0"/>
      </w:numPr>
      <w:tabs>
        <w:tab w:val="left" w:pos="0"/>
        <w:tab w:val="left" w:pos="210"/>
        <w:tab w:val="left" w:pos="851"/>
      </w:tabs>
      <w:spacing w:line="300" w:lineRule="auto"/>
      <w:ind w:left="851" w:hanging="851"/>
    </w:pPr>
    <w:rPr>
      <w:rFonts w:ascii="Arial" w:hAnsi="Arial"/>
      <w:color w:val="000000"/>
      <w:szCs w:val="20"/>
    </w:rPr>
  </w:style>
  <w:style w:type="paragraph" w:customStyle="1" w:styleId="467">
    <w:name w:val="正文22磅"/>
    <w:basedOn w:val="1"/>
    <w:qFormat/>
    <w:uiPriority w:val="0"/>
    <w:pPr>
      <w:spacing w:line="420" w:lineRule="exact"/>
      <w:ind w:firstLine="480" w:firstLineChars="200"/>
    </w:pPr>
  </w:style>
  <w:style w:type="paragraph" w:customStyle="1" w:styleId="468">
    <w:name w:val="正文Normal"/>
    <w:basedOn w:val="1"/>
    <w:qFormat/>
    <w:uiPriority w:val="0"/>
    <w:pPr>
      <w:adjustRightInd w:val="0"/>
      <w:snapToGrid w:val="0"/>
      <w:spacing w:line="450" w:lineRule="atLeast"/>
    </w:pPr>
    <w:rPr>
      <w:rFonts w:ascii="宋体"/>
      <w:spacing w:val="10"/>
      <w:kern w:val="0"/>
      <w:sz w:val="28"/>
      <w:szCs w:val="20"/>
    </w:rPr>
  </w:style>
  <w:style w:type="paragraph" w:customStyle="1" w:styleId="469">
    <w:name w:val="样式 表格标题 + 宋体 首行缩进:  9.26 字符"/>
    <w:basedOn w:val="1"/>
    <w:semiHidden/>
    <w:qFormat/>
    <w:uiPriority w:val="0"/>
    <w:pPr>
      <w:tabs>
        <w:tab w:val="left" w:pos="0"/>
        <w:tab w:val="left" w:pos="870"/>
      </w:tabs>
      <w:kinsoku w:val="0"/>
      <w:overflowPunct w:val="0"/>
      <w:autoSpaceDE w:val="0"/>
      <w:autoSpaceDN w:val="0"/>
      <w:spacing w:before="60" w:after="60" w:line="240" w:lineRule="auto"/>
      <w:jc w:val="center"/>
    </w:pPr>
    <w:rPr>
      <w:rFonts w:ascii="宋体" w:hAnsi="宋体" w:cs="宋体"/>
      <w:bCs/>
      <w:w w:val="90"/>
      <w:kern w:val="0"/>
    </w:rPr>
  </w:style>
  <w:style w:type="paragraph" w:customStyle="1" w:styleId="470">
    <w:name w:val="正文魏"/>
    <w:basedOn w:val="1"/>
    <w:qFormat/>
    <w:uiPriority w:val="0"/>
    <w:pPr>
      <w:ind w:firstLine="200" w:firstLineChars="200"/>
    </w:pPr>
  </w:style>
  <w:style w:type="paragraph" w:customStyle="1" w:styleId="471">
    <w:name w:val="正文小四"/>
    <w:basedOn w:val="1"/>
    <w:link w:val="472"/>
    <w:qFormat/>
    <w:uiPriority w:val="0"/>
    <w:pPr>
      <w:adjustRightInd w:val="0"/>
      <w:snapToGrid w:val="0"/>
      <w:ind w:firstLine="482" w:firstLineChars="200"/>
      <w:textAlignment w:val="baseline"/>
    </w:pPr>
    <w:rPr>
      <w:rFonts w:ascii="Calibri" w:hAnsi="Calibri" w:cs="黑体"/>
      <w:szCs w:val="21"/>
    </w:rPr>
  </w:style>
  <w:style w:type="character" w:customStyle="1" w:styleId="472">
    <w:name w:val="正文小四 Char Char"/>
    <w:link w:val="471"/>
    <w:qFormat/>
    <w:locked/>
    <w:uiPriority w:val="0"/>
    <w:rPr>
      <w:rFonts w:cs="黑体"/>
      <w:snapToGrid/>
      <w:kern w:val="2"/>
      <w:sz w:val="24"/>
      <w:szCs w:val="21"/>
    </w:rPr>
  </w:style>
  <w:style w:type="paragraph" w:customStyle="1" w:styleId="473">
    <w:name w:val="正文A"/>
    <w:qFormat/>
    <w:uiPriority w:val="0"/>
    <w:pPr>
      <w:tabs>
        <w:tab w:val="left" w:pos="0"/>
      </w:tabs>
      <w:adjustRightInd w:val="0"/>
      <w:spacing w:before="120" w:line="360" w:lineRule="auto"/>
      <w:ind w:firstLine="480"/>
      <w:jc w:val="both"/>
    </w:pPr>
    <w:rPr>
      <w:rFonts w:ascii="Times New Roman" w:hAnsi="Times New Roman" w:eastAsia="宋体" w:cs="Times New Roman"/>
      <w:snapToGrid w:val="0"/>
      <w:sz w:val="24"/>
      <w:lang w:val="en-US" w:eastAsia="zh-CN" w:bidi="ar-SA"/>
    </w:rPr>
  </w:style>
  <w:style w:type="paragraph" w:customStyle="1" w:styleId="474">
    <w:name w:val="正文（首行缩近两字）"/>
    <w:basedOn w:val="1"/>
    <w:next w:val="1"/>
    <w:semiHidden/>
    <w:qFormat/>
    <w:uiPriority w:val="0"/>
    <w:pPr>
      <w:spacing w:line="240" w:lineRule="auto"/>
      <w:ind w:firstLine="420" w:firstLineChars="200"/>
    </w:pPr>
    <w:rPr>
      <w:sz w:val="21"/>
    </w:rPr>
  </w:style>
  <w:style w:type="paragraph" w:customStyle="1" w:styleId="475">
    <w:name w:val="样式 haydonli + 首行缩进:  2 字符2"/>
    <w:basedOn w:val="1"/>
    <w:semiHidden/>
    <w:qFormat/>
    <w:uiPriority w:val="0"/>
    <w:pPr>
      <w:adjustRightInd w:val="0"/>
      <w:snapToGrid w:val="0"/>
      <w:ind w:firstLine="480" w:firstLineChars="200"/>
    </w:pPr>
    <w:rPr>
      <w:rFonts w:ascii="宋体" w:hAnsi="宋体" w:cs="宋体"/>
    </w:rPr>
  </w:style>
  <w:style w:type="paragraph" w:customStyle="1" w:styleId="476">
    <w:name w:val="样式 (中文) 黑体 三号 加粗 段前: 48 磅 段后: 48 磅 底端: (单实线 自动设置  1.5 磅 行..."/>
    <w:basedOn w:val="1"/>
    <w:qFormat/>
    <w:uiPriority w:val="0"/>
    <w:pPr>
      <w:pBdr>
        <w:bottom w:val="single" w:color="auto" w:sz="12" w:space="1"/>
      </w:pBdr>
      <w:tabs>
        <w:tab w:val="right" w:leader="dot" w:pos="9652"/>
      </w:tabs>
      <w:spacing w:before="960" w:after="960" w:line="240" w:lineRule="auto"/>
      <w:jc w:val="left"/>
    </w:pPr>
    <w:rPr>
      <w:rFonts w:ascii="Calibri" w:hAnsi="Calibri" w:eastAsia="黑体" w:cs="宋体"/>
      <w:caps/>
      <w:sz w:val="32"/>
      <w:szCs w:val="20"/>
    </w:rPr>
  </w:style>
  <w:style w:type="paragraph" w:customStyle="1" w:styleId="477">
    <w:name w:val="样式 样式 样式 首行缩进:  2 字符 + 首行缩进:  2 字符 + 首行缩进:  2 字符"/>
    <w:basedOn w:val="1"/>
    <w:qFormat/>
    <w:uiPriority w:val="0"/>
    <w:pPr>
      <w:ind w:firstLine="200" w:firstLineChars="200"/>
    </w:pPr>
    <w:rPr>
      <w:rFonts w:ascii="Arial" w:hAnsi="Arial" w:eastAsia="新宋体" w:cs="宋体"/>
      <w:szCs w:val="20"/>
    </w:rPr>
  </w:style>
  <w:style w:type="paragraph" w:customStyle="1" w:styleId="478">
    <w:name w:val="样式 样式 样式 表内格式 + 左  -0.5 字符 + 左侧:  -0.5 字符 右侧:  -0.5 字符 + 左侧:  -0..."/>
    <w:basedOn w:val="1"/>
    <w:link w:val="479"/>
    <w:qFormat/>
    <w:uiPriority w:val="0"/>
    <w:pPr>
      <w:spacing w:line="240" w:lineRule="auto"/>
      <w:jc w:val="center"/>
    </w:pPr>
    <w:rPr>
      <w:rFonts w:ascii="Calibri" w:hAnsi="Calibri" w:cs="宋体"/>
      <w:sz w:val="18"/>
      <w:szCs w:val="18"/>
    </w:rPr>
  </w:style>
  <w:style w:type="character" w:customStyle="1" w:styleId="479">
    <w:name w:val="样式 样式 样式 表内格式 + 左  -0.5 字符 + 左侧:  -0.5 字符 右侧:  -0.5 字符 + 左侧:  -0... Char Char"/>
    <w:link w:val="478"/>
    <w:qFormat/>
    <w:uiPriority w:val="0"/>
    <w:rPr>
      <w:rFonts w:cs="宋体"/>
      <w:kern w:val="2"/>
      <w:sz w:val="18"/>
      <w:szCs w:val="18"/>
    </w:rPr>
  </w:style>
  <w:style w:type="paragraph" w:customStyle="1" w:styleId="480">
    <w:name w:val="样式 样式 标题2 +"/>
    <w:basedOn w:val="1"/>
    <w:link w:val="481"/>
    <w:qFormat/>
    <w:uiPriority w:val="0"/>
    <w:pPr>
      <w:keepNext/>
      <w:keepLines/>
      <w:widowControl/>
      <w:tabs>
        <w:tab w:val="left" w:pos="1725"/>
      </w:tabs>
      <w:adjustRightInd w:val="0"/>
      <w:ind w:hanging="567"/>
      <w:jc w:val="left"/>
      <w:textAlignment w:val="baseline"/>
      <w:outlineLvl w:val="1"/>
    </w:pPr>
    <w:rPr>
      <w:rFonts w:ascii="Calibri" w:hAnsi="Calibri" w:cs="宋体"/>
      <w:b/>
      <w:bCs/>
      <w:sz w:val="28"/>
      <w:szCs w:val="21"/>
    </w:rPr>
  </w:style>
  <w:style w:type="character" w:customStyle="1" w:styleId="481">
    <w:name w:val="样式 样式 标题2 + Char Char"/>
    <w:link w:val="480"/>
    <w:qFormat/>
    <w:uiPriority w:val="0"/>
    <w:rPr>
      <w:rFonts w:cs="宋体"/>
      <w:b/>
      <w:bCs/>
      <w:kern w:val="2"/>
      <w:sz w:val="28"/>
      <w:szCs w:val="21"/>
    </w:rPr>
  </w:style>
  <w:style w:type="paragraph" w:customStyle="1" w:styleId="482">
    <w:name w:val="正文突显"/>
    <w:basedOn w:val="8"/>
    <w:qFormat/>
    <w:uiPriority w:val="0"/>
    <w:pPr>
      <w:numPr>
        <w:ilvl w:val="0"/>
        <w:numId w:val="0"/>
      </w:numPr>
      <w:tabs>
        <w:tab w:val="left" w:pos="567"/>
      </w:tabs>
      <w:adjustRightInd w:val="0"/>
      <w:ind w:firstLine="492" w:firstLineChars="200"/>
      <w:textAlignment w:val="baseline"/>
      <w:outlineLvl w:val="9"/>
    </w:pPr>
    <w:rPr>
      <w:rFonts w:ascii="宋体"/>
      <w:spacing w:val="6"/>
      <w:kern w:val="24"/>
      <w:szCs w:val="24"/>
    </w:rPr>
  </w:style>
  <w:style w:type="paragraph" w:customStyle="1" w:styleId="483">
    <w:name w:val="质报书正文"/>
    <w:basedOn w:val="1"/>
    <w:qFormat/>
    <w:uiPriority w:val="0"/>
    <w:pPr>
      <w:spacing w:line="240" w:lineRule="auto"/>
    </w:pPr>
    <w:rPr>
      <w:kern w:val="0"/>
    </w:rPr>
  </w:style>
  <w:style w:type="paragraph" w:customStyle="1" w:styleId="484">
    <w:name w:val="样式 样式 样式 标题 3标题 33 + 段前: 0.5 行 + 段前: 0.5 行 + 段前: 6 磅 段后: 0.5 行"/>
    <w:basedOn w:val="427"/>
    <w:semiHidden/>
    <w:qFormat/>
    <w:uiPriority w:val="0"/>
  </w:style>
  <w:style w:type="paragraph" w:customStyle="1" w:styleId="485">
    <w:name w:val="样式 表格标题 + 宋体 首行缩进:  9.26 字符1"/>
    <w:basedOn w:val="10"/>
    <w:semiHidden/>
    <w:qFormat/>
    <w:uiPriority w:val="0"/>
    <w:pPr>
      <w:tabs>
        <w:tab w:val="left" w:pos="0"/>
        <w:tab w:val="left" w:pos="870"/>
      </w:tabs>
      <w:adjustRightInd w:val="0"/>
      <w:snapToGrid w:val="0"/>
      <w:spacing w:before="60" w:after="60" w:line="288" w:lineRule="auto"/>
      <w:ind w:firstLine="0" w:firstLineChars="0"/>
      <w:jc w:val="center"/>
    </w:pPr>
    <w:rPr>
      <w:rFonts w:ascii="宋体" w:hAnsi="宋体" w:cs="宋体"/>
      <w:b/>
      <w:bCs/>
      <w:kern w:val="28"/>
    </w:rPr>
  </w:style>
  <w:style w:type="paragraph" w:customStyle="1" w:styleId="486">
    <w:name w:val="正文 1"/>
    <w:basedOn w:val="1"/>
    <w:qFormat/>
    <w:uiPriority w:val="0"/>
    <w:pPr>
      <w:adjustRightInd w:val="0"/>
      <w:spacing w:line="480" w:lineRule="exact"/>
      <w:ind w:firstLine="567"/>
      <w:textAlignment w:val="baseline"/>
    </w:pPr>
    <w:rPr>
      <w:kern w:val="0"/>
      <w:sz w:val="28"/>
      <w:szCs w:val="20"/>
    </w:rPr>
  </w:style>
  <w:style w:type="paragraph" w:customStyle="1" w:styleId="487">
    <w:name w:val="样式 标题 4 + 首行缩进:  2 字符"/>
    <w:basedOn w:val="9"/>
    <w:qFormat/>
    <w:uiPriority w:val="0"/>
    <w:pPr>
      <w:numPr>
        <w:ilvl w:val="0"/>
        <w:numId w:val="0"/>
      </w:numPr>
      <w:tabs>
        <w:tab w:val="left" w:pos="720"/>
      </w:tabs>
      <w:adjustRightInd w:val="0"/>
      <w:snapToGrid w:val="0"/>
      <w:spacing w:before="100" w:beforeAutospacing="1" w:after="100" w:afterAutospacing="1"/>
      <w:ind w:left="737" w:firstLine="561" w:firstLineChars="200"/>
    </w:pPr>
    <w:rPr>
      <w:rFonts w:ascii="Arial" w:hAnsi="Arial" w:eastAsia="黑体"/>
      <w:b w:val="0"/>
      <w:i/>
      <w:iCs/>
      <w:kern w:val="2"/>
      <w:szCs w:val="20"/>
    </w:rPr>
  </w:style>
  <w:style w:type="paragraph" w:customStyle="1" w:styleId="488">
    <w:name w:val="样式 标题 1+ + 段前: 1 行"/>
    <w:basedOn w:val="1"/>
    <w:qFormat/>
    <w:uiPriority w:val="0"/>
    <w:pPr>
      <w:keepNext/>
      <w:keepLines/>
      <w:pageBreakBefore/>
      <w:tabs>
        <w:tab w:val="left" w:pos="840"/>
      </w:tabs>
      <w:spacing w:beforeLines="100" w:line="240" w:lineRule="auto"/>
      <w:ind w:left="840" w:hanging="360"/>
      <w:outlineLvl w:val="0"/>
    </w:pPr>
    <w:rPr>
      <w:rFonts w:eastAsia="黑体" w:cs="宋体"/>
      <w:b/>
      <w:bCs/>
      <w:kern w:val="44"/>
      <w:sz w:val="32"/>
      <w:szCs w:val="20"/>
    </w:rPr>
  </w:style>
  <w:style w:type="paragraph" w:customStyle="1" w:styleId="489">
    <w:name w:val="样式 hb1 + (西文) Times New Roman 自动设置8"/>
    <w:basedOn w:val="1"/>
    <w:link w:val="490"/>
    <w:qFormat/>
    <w:uiPriority w:val="0"/>
    <w:pPr>
      <w:ind w:firstLine="480" w:firstLineChars="200"/>
    </w:pPr>
    <w:rPr>
      <w:rFonts w:ascii="宋体" w:hAnsi="宋体" w:cs="黑体"/>
      <w:color w:val="000000"/>
    </w:rPr>
  </w:style>
  <w:style w:type="character" w:customStyle="1" w:styleId="490">
    <w:name w:val="样式 hb1 + (西文) Times New Roman 自动设置8 Char Char"/>
    <w:link w:val="489"/>
    <w:qFormat/>
    <w:uiPriority w:val="0"/>
    <w:rPr>
      <w:rFonts w:ascii="宋体" w:hAnsi="宋体" w:cs="黑体"/>
      <w:color w:val="000000"/>
      <w:kern w:val="2"/>
      <w:sz w:val="24"/>
      <w:szCs w:val="24"/>
    </w:rPr>
  </w:style>
  <w:style w:type="paragraph" w:customStyle="1" w:styleId="491">
    <w:name w:val="样式 第1级标题 + (中文) 宋体"/>
    <w:basedOn w:val="1"/>
    <w:qFormat/>
    <w:uiPriority w:val="0"/>
    <w:pPr>
      <w:keepNext/>
      <w:keepLines/>
      <w:tabs>
        <w:tab w:val="left" w:pos="432"/>
      </w:tabs>
      <w:spacing w:before="100" w:beforeAutospacing="1" w:after="100" w:afterAutospacing="1" w:line="560" w:lineRule="exact"/>
      <w:ind w:left="432" w:hanging="432"/>
      <w:jc w:val="center"/>
      <w:outlineLvl w:val="0"/>
    </w:pPr>
    <w:rPr>
      <w:b/>
      <w:bCs/>
      <w:kern w:val="44"/>
      <w:sz w:val="36"/>
      <w:szCs w:val="36"/>
    </w:rPr>
  </w:style>
  <w:style w:type="paragraph" w:customStyle="1" w:styleId="492">
    <w:name w:val="正文修改"/>
    <w:basedOn w:val="1"/>
    <w:link w:val="493"/>
    <w:qFormat/>
    <w:uiPriority w:val="0"/>
    <w:pPr>
      <w:ind w:firstLine="480" w:firstLineChars="200"/>
    </w:pPr>
    <w:rPr>
      <w:rFonts w:ascii="Calibri" w:hAnsi="Calibri" w:cs="黑体"/>
    </w:rPr>
  </w:style>
  <w:style w:type="character" w:customStyle="1" w:styleId="493">
    <w:name w:val="正文修改 Char Char"/>
    <w:link w:val="492"/>
    <w:qFormat/>
    <w:uiPriority w:val="0"/>
    <w:rPr>
      <w:rFonts w:cs="黑体"/>
      <w:kern w:val="2"/>
      <w:sz w:val="24"/>
      <w:szCs w:val="24"/>
    </w:rPr>
  </w:style>
  <w:style w:type="paragraph" w:customStyle="1" w:styleId="494">
    <w:name w:val="注&amp;参考文献 Char"/>
    <w:basedOn w:val="1"/>
    <w:next w:val="1"/>
    <w:semiHidden/>
    <w:qFormat/>
    <w:uiPriority w:val="0"/>
    <w:pPr>
      <w:adjustRightInd w:val="0"/>
      <w:snapToGrid w:val="0"/>
      <w:spacing w:line="240" w:lineRule="auto"/>
      <w:jc w:val="left"/>
      <w:textAlignment w:val="baseline"/>
    </w:pPr>
    <w:rPr>
      <w:kern w:val="0"/>
      <w:sz w:val="18"/>
      <w:szCs w:val="20"/>
    </w:rPr>
  </w:style>
  <w:style w:type="paragraph" w:customStyle="1" w:styleId="495">
    <w:name w:val="正文  首行缩进:  0.85 厘米"/>
    <w:basedOn w:val="1"/>
    <w:qFormat/>
    <w:uiPriority w:val="0"/>
    <w:pPr>
      <w:widowControl/>
      <w:ind w:firstLine="482"/>
      <w:jc w:val="left"/>
    </w:pPr>
    <w:rPr>
      <w:rFonts w:ascii="宋体" w:cs="宋体"/>
      <w:kern w:val="0"/>
      <w:szCs w:val="20"/>
    </w:rPr>
  </w:style>
  <w:style w:type="paragraph" w:customStyle="1" w:styleId="496">
    <w:name w:val="样式 四号 行距: 1.5 倍行距 首行缩进:  2 字符"/>
    <w:basedOn w:val="1"/>
    <w:semiHidden/>
    <w:qFormat/>
    <w:uiPriority w:val="0"/>
    <w:pPr>
      <w:ind w:firstLine="560" w:firstLineChars="200"/>
    </w:pPr>
    <w:rPr>
      <w:rFonts w:cs="宋体"/>
      <w:sz w:val="28"/>
      <w:szCs w:val="20"/>
    </w:rPr>
  </w:style>
  <w:style w:type="paragraph" w:customStyle="1" w:styleId="497">
    <w:name w:val="样式7"/>
    <w:basedOn w:val="1"/>
    <w:link w:val="498"/>
    <w:qFormat/>
    <w:uiPriority w:val="0"/>
    <w:pPr>
      <w:widowControl/>
      <w:ind w:firstLine="480" w:firstLineChars="200"/>
      <w:jc w:val="left"/>
    </w:pPr>
    <w:rPr>
      <w:rFonts w:ascii="Calibri" w:hAnsi="Calibri" w:eastAsia="楷体_GB2312" w:cs="黑体"/>
      <w:color w:val="000000"/>
    </w:rPr>
  </w:style>
  <w:style w:type="character" w:customStyle="1" w:styleId="498">
    <w:name w:val="样式7 Char Char"/>
    <w:link w:val="497"/>
    <w:qFormat/>
    <w:uiPriority w:val="0"/>
    <w:rPr>
      <w:rFonts w:eastAsia="楷体_GB2312" w:cs="黑体"/>
      <w:color w:val="000000"/>
      <w:kern w:val="2"/>
      <w:sz w:val="24"/>
      <w:szCs w:val="24"/>
    </w:rPr>
  </w:style>
  <w:style w:type="paragraph" w:customStyle="1" w:styleId="499">
    <w:name w:val="样式 标题 2 + 粉红"/>
    <w:basedOn w:val="7"/>
    <w:semiHidden/>
    <w:qFormat/>
    <w:uiPriority w:val="0"/>
    <w:pPr>
      <w:numPr>
        <w:ilvl w:val="0"/>
        <w:numId w:val="0"/>
      </w:numPr>
      <w:tabs>
        <w:tab w:val="left" w:pos="0"/>
        <w:tab w:val="left" w:pos="709"/>
        <w:tab w:val="clear" w:pos="720"/>
      </w:tabs>
      <w:adjustRightInd w:val="0"/>
      <w:snapToGrid w:val="0"/>
      <w:spacing w:beforeLines="25" w:after="120" w:line="560" w:lineRule="exact"/>
    </w:pPr>
    <w:rPr>
      <w:rFonts w:ascii="Arial" w:hAnsi="Arial" w:eastAsia="黑体"/>
      <w:bCs/>
      <w:kern w:val="2"/>
    </w:rPr>
  </w:style>
  <w:style w:type="paragraph" w:customStyle="1" w:styleId="500">
    <w:name w:val="样式 标题 4 + 华文中宋 倾斜 绿色 虚下划线 左 首行缩进:  1.06 厘米 段前: 6 磅 段后: 2...."/>
    <w:basedOn w:val="9"/>
    <w:qFormat/>
    <w:uiPriority w:val="0"/>
    <w:pPr>
      <w:numPr>
        <w:ilvl w:val="0"/>
        <w:numId w:val="0"/>
      </w:numPr>
      <w:tabs>
        <w:tab w:val="left" w:pos="720"/>
      </w:tabs>
      <w:adjustRightInd w:val="0"/>
      <w:snapToGrid w:val="0"/>
      <w:spacing w:before="120" w:afterLines="10" w:line="240" w:lineRule="auto"/>
      <w:ind w:left="737" w:firstLine="601"/>
      <w:jc w:val="left"/>
    </w:pPr>
    <w:rPr>
      <w:rFonts w:ascii="华文中宋" w:eastAsia="华文中宋" w:cs="宋体"/>
      <w:i/>
      <w:iCs/>
      <w:color w:val="008000"/>
      <w:spacing w:val="10"/>
      <w:kern w:val="28"/>
      <w:szCs w:val="20"/>
      <w:u w:val="dash"/>
    </w:rPr>
  </w:style>
  <w:style w:type="paragraph" w:customStyle="1" w:styleId="501">
    <w:name w:val="样式 标题 4款标题1.1.1段款标题1.1.1.1四四级标题Heading4Subsection4 dash..."/>
    <w:basedOn w:val="9"/>
    <w:next w:val="1"/>
    <w:semiHidden/>
    <w:qFormat/>
    <w:uiPriority w:val="0"/>
    <w:pPr>
      <w:widowControl/>
      <w:numPr>
        <w:ilvl w:val="0"/>
        <w:numId w:val="0"/>
      </w:numPr>
      <w:tabs>
        <w:tab w:val="left" w:pos="822"/>
      </w:tabs>
      <w:spacing w:before="60" w:after="60"/>
      <w:ind w:left="839" w:hanging="737"/>
      <w:jc w:val="left"/>
    </w:pPr>
    <w:rPr>
      <w:bCs w:val="0"/>
    </w:rPr>
  </w:style>
  <w:style w:type="paragraph" w:customStyle="1" w:styleId="502">
    <w:name w:val="样式 正文"/>
    <w:basedOn w:val="1"/>
    <w:link w:val="503"/>
    <w:semiHidden/>
    <w:qFormat/>
    <w:uiPriority w:val="0"/>
    <w:pPr>
      <w:adjustRightInd w:val="0"/>
      <w:spacing w:line="560" w:lineRule="exact"/>
      <w:ind w:firstLine="480" w:firstLineChars="200"/>
    </w:pPr>
    <w:rPr>
      <w:rFonts w:ascii="宋体" w:hAnsi="Calibri" w:cs="宋体"/>
    </w:rPr>
  </w:style>
  <w:style w:type="character" w:customStyle="1" w:styleId="503">
    <w:name w:val="样式 正文 Char Char"/>
    <w:link w:val="502"/>
    <w:semiHidden/>
    <w:qFormat/>
    <w:uiPriority w:val="0"/>
    <w:rPr>
      <w:rFonts w:ascii="宋体" w:cs="宋体"/>
      <w:kern w:val="2"/>
      <w:sz w:val="24"/>
      <w:szCs w:val="24"/>
    </w:rPr>
  </w:style>
  <w:style w:type="paragraph" w:customStyle="1" w:styleId="504">
    <w:name w:val="样式 表头 + (中文) 黑体"/>
    <w:basedOn w:val="1"/>
    <w:qFormat/>
    <w:uiPriority w:val="0"/>
    <w:pPr>
      <w:adjustRightInd w:val="0"/>
      <w:snapToGrid w:val="0"/>
      <w:spacing w:line="240" w:lineRule="auto"/>
      <w:jc w:val="center"/>
    </w:pPr>
    <w:rPr>
      <w:rFonts w:eastAsia="黑体"/>
      <w:bCs/>
      <w:spacing w:val="6"/>
      <w:position w:val="10"/>
    </w:rPr>
  </w:style>
  <w:style w:type="paragraph" w:customStyle="1" w:styleId="505">
    <w:name w:val="样式 样式 样式 标题 3标题 33 + 段前: 0.5 行 + 段前: 0.5 行 + 段前: 6 磅 段后: 6 磅1"/>
    <w:basedOn w:val="427"/>
    <w:semiHidden/>
    <w:qFormat/>
    <w:uiPriority w:val="0"/>
    <w:pPr>
      <w:ind w:firstLine="0" w:firstLineChars="0"/>
    </w:pPr>
    <w:rPr>
      <w:color w:val="008000"/>
    </w:rPr>
  </w:style>
  <w:style w:type="paragraph" w:customStyle="1" w:styleId="506">
    <w:name w:val="样式 正文缩进"/>
    <w:basedOn w:val="10"/>
    <w:qFormat/>
    <w:uiPriority w:val="0"/>
    <w:pPr>
      <w:ind w:firstLine="480"/>
      <w:jc w:val="left"/>
    </w:pPr>
    <w:rPr>
      <w:rFonts w:cs="宋体"/>
      <w:kern w:val="0"/>
      <w:szCs w:val="20"/>
    </w:rPr>
  </w:style>
  <w:style w:type="paragraph" w:customStyle="1" w:styleId="507">
    <w:name w:val="样式 正文1 + (符号) 宋体"/>
    <w:basedOn w:val="4"/>
    <w:qFormat/>
    <w:uiPriority w:val="0"/>
    <w:pPr>
      <w:spacing w:after="0" w:line="360" w:lineRule="auto"/>
      <w:ind w:left="0" w:leftChars="0" w:firstLine="480" w:firstLineChars="200"/>
      <w:jc w:val="left"/>
    </w:pPr>
    <w:rPr>
      <w:rFonts w:ascii="宋体" w:hAnsi="Times New Roman" w:cs="Times New Roman"/>
      <w:kern w:val="0"/>
      <w:sz w:val="24"/>
      <w:szCs w:val="24"/>
    </w:rPr>
  </w:style>
  <w:style w:type="paragraph" w:customStyle="1" w:styleId="508">
    <w:name w:val="吴4级"/>
    <w:basedOn w:val="1"/>
    <w:link w:val="509"/>
    <w:qFormat/>
    <w:uiPriority w:val="0"/>
    <w:pPr>
      <w:keepNext/>
      <w:tabs>
        <w:tab w:val="left" w:pos="300"/>
      </w:tabs>
      <w:outlineLvl w:val="3"/>
    </w:pPr>
    <w:rPr>
      <w:b/>
      <w:kern w:val="0"/>
      <w:szCs w:val="20"/>
    </w:rPr>
  </w:style>
  <w:style w:type="character" w:customStyle="1" w:styleId="509">
    <w:name w:val="吴4级 Char Char"/>
    <w:link w:val="508"/>
    <w:qFormat/>
    <w:uiPriority w:val="0"/>
    <w:rPr>
      <w:rFonts w:ascii="Times New Roman" w:hAnsi="Times New Roman"/>
      <w:b/>
      <w:sz w:val="24"/>
    </w:rPr>
  </w:style>
  <w:style w:type="paragraph" w:customStyle="1" w:styleId="510">
    <w:name w:val="正文文本缩进2"/>
    <w:basedOn w:val="1"/>
    <w:qFormat/>
    <w:uiPriority w:val="0"/>
    <w:pPr>
      <w:spacing w:line="560" w:lineRule="exact"/>
      <w:ind w:firstLine="538" w:firstLineChars="192"/>
    </w:pPr>
    <w:rPr>
      <w:rFonts w:eastAsia="楷体_GB2312"/>
      <w:sz w:val="28"/>
    </w:rPr>
  </w:style>
  <w:style w:type="paragraph" w:customStyle="1" w:styleId="511">
    <w:name w:val="正文的格式1.5倍行距"/>
    <w:basedOn w:val="1"/>
    <w:link w:val="512"/>
    <w:qFormat/>
    <w:uiPriority w:val="0"/>
    <w:pPr>
      <w:ind w:firstLine="200" w:firstLineChars="200"/>
    </w:pPr>
    <w:rPr>
      <w:rFonts w:ascii="Calibri" w:hAnsi="Calibri" w:cs="黑体"/>
      <w:sz w:val="28"/>
      <w:szCs w:val="21"/>
    </w:rPr>
  </w:style>
  <w:style w:type="character" w:customStyle="1" w:styleId="512">
    <w:name w:val="正文的格式1.5倍行距 Char Char"/>
    <w:link w:val="511"/>
    <w:qFormat/>
    <w:uiPriority w:val="0"/>
    <w:rPr>
      <w:rFonts w:cs="黑体"/>
      <w:kern w:val="2"/>
      <w:sz w:val="28"/>
      <w:szCs w:val="21"/>
    </w:rPr>
  </w:style>
  <w:style w:type="paragraph" w:customStyle="1" w:styleId="513">
    <w:name w:val="院正文"/>
    <w:basedOn w:val="1"/>
    <w:link w:val="514"/>
    <w:qFormat/>
    <w:uiPriority w:val="0"/>
    <w:pPr>
      <w:ind w:firstLine="437" w:firstLineChars="182"/>
      <w:jc w:val="left"/>
    </w:pPr>
    <w:rPr>
      <w:rFonts w:ascii="Calibri" w:hAnsi="Calibri" w:cs="黑体"/>
    </w:rPr>
  </w:style>
  <w:style w:type="character" w:customStyle="1" w:styleId="514">
    <w:name w:val="院正文 Char Char"/>
    <w:link w:val="513"/>
    <w:qFormat/>
    <w:locked/>
    <w:uiPriority w:val="0"/>
    <w:rPr>
      <w:rFonts w:cs="黑体"/>
      <w:kern w:val="2"/>
      <w:sz w:val="24"/>
      <w:szCs w:val="24"/>
    </w:rPr>
  </w:style>
  <w:style w:type="paragraph" w:customStyle="1" w:styleId="515">
    <w:name w:val="样式246466"/>
    <w:basedOn w:val="1"/>
    <w:next w:val="1"/>
    <w:qFormat/>
    <w:uiPriority w:val="0"/>
    <w:pPr>
      <w:spacing w:line="420" w:lineRule="exact"/>
      <w:ind w:firstLine="200" w:firstLineChars="200"/>
    </w:pPr>
  </w:style>
  <w:style w:type="paragraph" w:customStyle="1" w:styleId="516">
    <w:name w:val="一级标题"/>
    <w:basedOn w:val="5"/>
    <w:link w:val="517"/>
    <w:qFormat/>
    <w:uiPriority w:val="0"/>
    <w:pPr>
      <w:keepNext/>
      <w:keepLines/>
      <w:numPr>
        <w:numId w:val="0"/>
      </w:numPr>
      <w:spacing w:beforeLines="50" w:afterLines="100"/>
    </w:pPr>
    <w:rPr>
      <w:rFonts w:ascii="Times New Roman" w:hAnsi="Times New Roman"/>
      <w:bCs/>
      <w:kern w:val="44"/>
      <w:szCs w:val="32"/>
    </w:rPr>
  </w:style>
  <w:style w:type="character" w:customStyle="1" w:styleId="517">
    <w:name w:val="一级标题 Char Char"/>
    <w:link w:val="516"/>
    <w:qFormat/>
    <w:uiPriority w:val="0"/>
    <w:rPr>
      <w:rFonts w:ascii="Times New Roman" w:hAnsi="Times New Roman"/>
      <w:b/>
      <w:bCs/>
      <w:kern w:val="44"/>
      <w:sz w:val="44"/>
      <w:szCs w:val="32"/>
    </w:rPr>
  </w:style>
  <w:style w:type="paragraph" w:customStyle="1" w:styleId="518">
    <w:name w:val="正文样式1"/>
    <w:basedOn w:val="1"/>
    <w:link w:val="519"/>
    <w:qFormat/>
    <w:uiPriority w:val="0"/>
    <w:pPr>
      <w:adjustRightInd w:val="0"/>
      <w:spacing w:beforeLines="10" w:afterLines="10" w:line="312" w:lineRule="auto"/>
      <w:ind w:firstLine="200" w:firstLineChars="200"/>
      <w:textAlignment w:val="baseline"/>
    </w:pPr>
    <w:rPr>
      <w:rFonts w:ascii="Calibri" w:hAnsi="Calibri" w:cs="黑体"/>
      <w:position w:val="-12"/>
      <w:szCs w:val="21"/>
    </w:rPr>
  </w:style>
  <w:style w:type="character" w:customStyle="1" w:styleId="519">
    <w:name w:val="正文样式1 Char1"/>
    <w:link w:val="518"/>
    <w:qFormat/>
    <w:uiPriority w:val="0"/>
    <w:rPr>
      <w:rFonts w:cs="黑体"/>
      <w:snapToGrid/>
      <w:kern w:val="2"/>
      <w:position w:val="-12"/>
      <w:sz w:val="24"/>
      <w:szCs w:val="21"/>
    </w:rPr>
  </w:style>
  <w:style w:type="paragraph" w:customStyle="1" w:styleId="520">
    <w:name w:val="小五"/>
    <w:basedOn w:val="1"/>
    <w:qFormat/>
    <w:uiPriority w:val="0"/>
    <w:pPr>
      <w:snapToGrid w:val="0"/>
      <w:spacing w:line="240" w:lineRule="auto"/>
      <w:jc w:val="center"/>
    </w:pPr>
    <w:rPr>
      <w:color w:val="000000"/>
      <w:sz w:val="18"/>
    </w:rPr>
  </w:style>
  <w:style w:type="paragraph" w:customStyle="1" w:styleId="521">
    <w:name w:val="样式 首行缩进:  2 字符3"/>
    <w:basedOn w:val="1"/>
    <w:qFormat/>
    <w:uiPriority w:val="0"/>
    <w:pPr>
      <w:snapToGrid w:val="0"/>
      <w:ind w:firstLine="480" w:firstLineChars="200"/>
    </w:pPr>
    <w:rPr>
      <w:rFonts w:cs="宋体"/>
      <w:color w:val="000000"/>
      <w:szCs w:val="20"/>
    </w:rPr>
  </w:style>
  <w:style w:type="paragraph" w:customStyle="1" w:styleId="522">
    <w:name w:val="圆点"/>
    <w:qFormat/>
    <w:uiPriority w:val="0"/>
    <w:pPr>
      <w:tabs>
        <w:tab w:val="left" w:pos="1199"/>
        <w:tab w:val="left" w:pos="1242"/>
      </w:tabs>
      <w:snapToGrid w:val="0"/>
      <w:spacing w:line="360" w:lineRule="auto"/>
      <w:ind w:left="1196" w:hanging="476"/>
    </w:pPr>
    <w:rPr>
      <w:rFonts w:ascii="宋体" w:hAnsi="宋体" w:eastAsia="宋体" w:cs="Times New Roman"/>
      <w:snapToGrid w:val="0"/>
      <w:color w:val="000000"/>
      <w:sz w:val="24"/>
      <w:lang w:val="en-US" w:eastAsia="zh-CN" w:bidi="ar-SA"/>
    </w:rPr>
  </w:style>
  <w:style w:type="paragraph" w:customStyle="1" w:styleId="523">
    <w:name w:val="样式 列表 + 居中"/>
    <w:basedOn w:val="1"/>
    <w:qFormat/>
    <w:uiPriority w:val="0"/>
    <w:pPr>
      <w:snapToGrid w:val="0"/>
      <w:spacing w:line="240" w:lineRule="auto"/>
      <w:jc w:val="center"/>
    </w:pPr>
    <w:rPr>
      <w:color w:val="000000"/>
      <w:kern w:val="0"/>
      <w:sz w:val="21"/>
      <w:szCs w:val="20"/>
    </w:rPr>
  </w:style>
  <w:style w:type="paragraph" w:customStyle="1" w:styleId="524">
    <w:name w:val="样式 题注 + 首行缩进:  2 字符"/>
    <w:basedOn w:val="1"/>
    <w:qFormat/>
    <w:uiPriority w:val="0"/>
    <w:pPr>
      <w:snapToGrid w:val="0"/>
      <w:ind w:firstLine="502"/>
      <w:jc w:val="center"/>
    </w:pPr>
    <w:rPr>
      <w:rFonts w:ascii="黑体" w:hAnsi="宋体" w:eastAsia="黑体" w:cs="宋体"/>
      <w:color w:val="000000"/>
      <w:kern w:val="0"/>
    </w:rPr>
  </w:style>
  <w:style w:type="paragraph" w:customStyle="1" w:styleId="525">
    <w:name w:val="样式 列表 + 居中1"/>
    <w:basedOn w:val="1"/>
    <w:link w:val="526"/>
    <w:qFormat/>
    <w:uiPriority w:val="0"/>
    <w:pPr>
      <w:snapToGrid w:val="0"/>
      <w:spacing w:line="240" w:lineRule="auto"/>
      <w:jc w:val="center"/>
    </w:pPr>
    <w:rPr>
      <w:color w:val="000000"/>
      <w:kern w:val="0"/>
      <w:sz w:val="20"/>
      <w:szCs w:val="20"/>
    </w:rPr>
  </w:style>
  <w:style w:type="character" w:customStyle="1" w:styleId="526">
    <w:name w:val="样式 列表 + 居中1 Char Char"/>
    <w:link w:val="525"/>
    <w:qFormat/>
    <w:uiPriority w:val="0"/>
    <w:rPr>
      <w:rFonts w:ascii="Times New Roman" w:hAnsi="Times New Roman"/>
      <w:color w:val="000000"/>
    </w:rPr>
  </w:style>
  <w:style w:type="paragraph" w:customStyle="1" w:styleId="527">
    <w:name w:val="样式 样式 列表 + 居中1 + 小五 红色"/>
    <w:basedOn w:val="525"/>
    <w:link w:val="528"/>
    <w:qFormat/>
    <w:uiPriority w:val="0"/>
    <w:rPr>
      <w:color w:val="FF0000"/>
      <w:sz w:val="18"/>
    </w:rPr>
  </w:style>
  <w:style w:type="character" w:customStyle="1" w:styleId="528">
    <w:name w:val="样式 样式 列表 + 居中1 + 小五 红色 Char Char"/>
    <w:link w:val="527"/>
    <w:qFormat/>
    <w:uiPriority w:val="0"/>
    <w:rPr>
      <w:rFonts w:ascii="Times New Roman" w:hAnsi="Times New Roman"/>
      <w:color w:val="FF0000"/>
      <w:sz w:val="18"/>
    </w:rPr>
  </w:style>
  <w:style w:type="paragraph" w:customStyle="1" w:styleId="529">
    <w:name w:val="样式 首行缩进:  2 字符4"/>
    <w:basedOn w:val="1"/>
    <w:qFormat/>
    <w:uiPriority w:val="0"/>
    <w:pPr>
      <w:adjustRightInd w:val="0"/>
      <w:snapToGrid w:val="0"/>
      <w:ind w:firstLine="480" w:firstLineChars="200"/>
    </w:pPr>
    <w:rPr>
      <w:rFonts w:cs="宋体"/>
      <w:color w:val="000000"/>
      <w:szCs w:val="20"/>
    </w:rPr>
  </w:style>
  <w:style w:type="paragraph" w:customStyle="1" w:styleId="530">
    <w:name w:val="样式 注释标题 + Arial"/>
    <w:basedOn w:val="18"/>
    <w:link w:val="531"/>
    <w:qFormat/>
    <w:uiPriority w:val="0"/>
    <w:pPr>
      <w:snapToGrid w:val="0"/>
      <w:spacing w:line="360" w:lineRule="auto"/>
    </w:pPr>
    <w:rPr>
      <w:rFonts w:ascii="Arial" w:hAnsi="Arial" w:eastAsia="黑体"/>
      <w:bCs/>
      <w:color w:val="000000"/>
      <w:kern w:val="0"/>
      <w:sz w:val="24"/>
      <w:szCs w:val="24"/>
    </w:rPr>
  </w:style>
  <w:style w:type="character" w:customStyle="1" w:styleId="531">
    <w:name w:val="样式 注释标题 + Arial Char Char"/>
    <w:link w:val="530"/>
    <w:qFormat/>
    <w:uiPriority w:val="0"/>
    <w:rPr>
      <w:rFonts w:ascii="Arial" w:hAnsi="Arial" w:eastAsia="黑体"/>
      <w:bCs/>
      <w:color w:val="000000"/>
      <w:sz w:val="24"/>
      <w:szCs w:val="24"/>
    </w:rPr>
  </w:style>
  <w:style w:type="paragraph" w:customStyle="1" w:styleId="532">
    <w:name w:val="样式 标题 3ReHead 3 WSAh3B HeadH3标题 3 Char条标题1.1.1SectionBS...2"/>
    <w:basedOn w:val="8"/>
    <w:qFormat/>
    <w:uiPriority w:val="0"/>
    <w:pPr>
      <w:numPr>
        <w:ilvl w:val="0"/>
        <w:numId w:val="0"/>
      </w:numPr>
      <w:tabs>
        <w:tab w:val="left" w:pos="-36"/>
        <w:tab w:val="left" w:pos="750"/>
      </w:tabs>
      <w:snapToGrid w:val="0"/>
      <w:ind w:left="1168" w:hanging="1138"/>
    </w:pPr>
    <w:rPr>
      <w:rFonts w:eastAsia="黑体"/>
      <w:color w:val="000000"/>
      <w:lang w:val="zh-CN"/>
    </w:rPr>
  </w:style>
  <w:style w:type="paragraph" w:customStyle="1" w:styleId="533">
    <w:name w:val="正文3"/>
    <w:basedOn w:val="1"/>
    <w:qFormat/>
    <w:uiPriority w:val="0"/>
    <w:pPr>
      <w:adjustRightInd w:val="0"/>
      <w:spacing w:afterLines="50" w:line="315" w:lineRule="atLeast"/>
      <w:jc w:val="left"/>
      <w:textAlignment w:val="baseline"/>
    </w:pPr>
    <w:rPr>
      <w:rFonts w:ascii="宋体"/>
      <w:color w:val="000000"/>
      <w:kern w:val="0"/>
      <w:sz w:val="21"/>
      <w:szCs w:val="20"/>
    </w:rPr>
  </w:style>
  <w:style w:type="paragraph" w:customStyle="1" w:styleId="534">
    <w:name w:val="五级无标题条"/>
    <w:basedOn w:val="1"/>
    <w:qFormat/>
    <w:uiPriority w:val="0"/>
    <w:pPr>
      <w:spacing w:line="240" w:lineRule="auto"/>
    </w:pPr>
    <w:rPr>
      <w:color w:val="000000"/>
      <w:sz w:val="21"/>
    </w:rPr>
  </w:style>
  <w:style w:type="paragraph" w:customStyle="1" w:styleId="535">
    <w:name w:val="一级无标题条"/>
    <w:basedOn w:val="1"/>
    <w:qFormat/>
    <w:uiPriority w:val="0"/>
    <w:pPr>
      <w:spacing w:line="240" w:lineRule="auto"/>
    </w:pPr>
    <w:rPr>
      <w:color w:val="000000"/>
      <w:sz w:val="21"/>
    </w:rPr>
  </w:style>
  <w:style w:type="paragraph" w:customStyle="1" w:styleId="536">
    <w:name w:val="样式 样式 首行缩进:  2 字符1 + 左侧:  0.42 厘米"/>
    <w:basedOn w:val="1"/>
    <w:qFormat/>
    <w:uiPriority w:val="0"/>
    <w:pPr>
      <w:tabs>
        <w:tab w:val="left" w:pos="1094"/>
        <w:tab w:val="left" w:pos="1244"/>
      </w:tabs>
      <w:adjustRightInd w:val="0"/>
      <w:snapToGrid w:val="0"/>
      <w:ind w:firstLine="480" w:firstLineChars="200"/>
    </w:pPr>
    <w:rPr>
      <w:rFonts w:cs="宋体"/>
      <w:color w:val="000000"/>
      <w:szCs w:val="20"/>
    </w:rPr>
  </w:style>
  <w:style w:type="paragraph" w:customStyle="1" w:styleId="537">
    <w:name w:val="样式 首行缩进:  2 字符1"/>
    <w:basedOn w:val="1"/>
    <w:qFormat/>
    <w:uiPriority w:val="0"/>
    <w:pPr>
      <w:snapToGrid w:val="0"/>
      <w:ind w:firstLine="480" w:firstLineChars="200"/>
    </w:pPr>
    <w:rPr>
      <w:rFonts w:cs="宋体"/>
      <w:color w:val="000000"/>
      <w:szCs w:val="20"/>
    </w:rPr>
  </w:style>
  <w:style w:type="paragraph" w:customStyle="1" w:styleId="538">
    <w:name w:val="样式 列表 Char + 居中"/>
    <w:basedOn w:val="1"/>
    <w:qFormat/>
    <w:uiPriority w:val="0"/>
    <w:pPr>
      <w:snapToGrid w:val="0"/>
      <w:spacing w:line="240" w:lineRule="auto"/>
    </w:pPr>
    <w:rPr>
      <w:rFonts w:cs="宋体"/>
      <w:color w:val="000000"/>
      <w:kern w:val="0"/>
      <w:sz w:val="21"/>
      <w:szCs w:val="20"/>
    </w:rPr>
  </w:style>
  <w:style w:type="paragraph" w:customStyle="1" w:styleId="539">
    <w:name w:val="样式 样式 首行缩进:  2 字符 + 首行缩进:  2 字符"/>
    <w:basedOn w:val="267"/>
    <w:qFormat/>
    <w:uiPriority w:val="0"/>
    <w:pPr>
      <w:widowControl w:val="0"/>
      <w:snapToGrid w:val="0"/>
      <w:ind w:firstLine="502"/>
      <w:jc w:val="both"/>
    </w:pPr>
    <w:rPr>
      <w:color w:val="000000"/>
    </w:rPr>
  </w:style>
  <w:style w:type="paragraph" w:customStyle="1" w:styleId="540">
    <w:name w:val="样式 正文缩进 + 首行缩进:  2 字符"/>
    <w:basedOn w:val="10"/>
    <w:qFormat/>
    <w:uiPriority w:val="0"/>
    <w:pPr>
      <w:snapToGrid w:val="0"/>
      <w:ind w:firstLine="480"/>
    </w:pPr>
    <w:rPr>
      <w:rFonts w:ascii="宋体" w:hAnsi="宋体"/>
      <w:color w:val="000000"/>
      <w:kern w:val="0"/>
      <w:szCs w:val="20"/>
    </w:rPr>
  </w:style>
  <w:style w:type="paragraph" w:customStyle="1" w:styleId="541">
    <w:name w:val="样式 标题 4Subsection + 首行缩进:  2 字符"/>
    <w:basedOn w:val="9"/>
    <w:qFormat/>
    <w:uiPriority w:val="0"/>
    <w:pPr>
      <w:numPr>
        <w:ilvl w:val="0"/>
        <w:numId w:val="0"/>
      </w:numPr>
      <w:adjustRightInd w:val="0"/>
      <w:snapToGrid w:val="0"/>
    </w:pPr>
    <w:rPr>
      <w:rFonts w:ascii="Arial" w:hAnsi="Arial" w:eastAsia="黑体"/>
      <w:b w:val="0"/>
      <w:bCs w:val="0"/>
      <w:color w:val="000000"/>
      <w:szCs w:val="20"/>
    </w:rPr>
  </w:style>
  <w:style w:type="paragraph" w:customStyle="1" w:styleId="542">
    <w:name w:val="样式 样式 标题 4Subsection + 首行缩进:  2 字符 + 左侧:  0.85 厘米 悬挂缩进: 8.64 字符"/>
    <w:basedOn w:val="541"/>
    <w:qFormat/>
    <w:uiPriority w:val="0"/>
    <w:pPr>
      <w:ind w:left="862" w:hanging="862"/>
    </w:pPr>
  </w:style>
  <w:style w:type="paragraph" w:customStyle="1" w:styleId="543">
    <w:name w:val="正文 32"/>
    <w:basedOn w:val="1"/>
    <w:qFormat/>
    <w:uiPriority w:val="0"/>
    <w:pPr>
      <w:autoSpaceDE w:val="0"/>
      <w:autoSpaceDN w:val="0"/>
      <w:adjustRightInd w:val="0"/>
      <w:ind w:firstLine="567"/>
      <w:jc w:val="left"/>
      <w:textAlignment w:val="baseline"/>
    </w:pPr>
    <w:rPr>
      <w:rFonts w:eastAsia="楷体"/>
      <w:color w:val="000000"/>
      <w:kern w:val="0"/>
      <w:szCs w:val="20"/>
    </w:rPr>
  </w:style>
  <w:style w:type="paragraph" w:customStyle="1" w:styleId="544">
    <w:name w:val="样式 标题 3 + 四号"/>
    <w:basedOn w:val="8"/>
    <w:qFormat/>
    <w:uiPriority w:val="0"/>
    <w:pPr>
      <w:numPr>
        <w:ilvl w:val="0"/>
        <w:numId w:val="0"/>
      </w:numPr>
      <w:spacing w:before="120" w:after="120"/>
    </w:pPr>
    <w:rPr>
      <w:color w:val="000000"/>
    </w:rPr>
  </w:style>
  <w:style w:type="paragraph" w:customStyle="1" w:styleId="545">
    <w:name w:val="样式 样式 标题 2H2SeHead wsa21标题 1.1 + 小三 左侧:  0 厘米 首行缩进:  0 厘米 行... +..."/>
    <w:basedOn w:val="1"/>
    <w:qFormat/>
    <w:uiPriority w:val="0"/>
    <w:pPr>
      <w:keepNext/>
      <w:keepLines/>
      <w:snapToGrid w:val="0"/>
      <w:spacing w:beforeLines="50" w:afterLines="50"/>
      <w:outlineLvl w:val="1"/>
    </w:pPr>
    <w:rPr>
      <w:rFonts w:hint="eastAsia" w:ascii="宋体"/>
      <w:b/>
      <w:bCs/>
      <w:color w:val="000000"/>
      <w:sz w:val="30"/>
      <w:szCs w:val="20"/>
    </w:rPr>
  </w:style>
  <w:style w:type="paragraph" w:customStyle="1" w:styleId="546">
    <w:name w:val="正文样式3"/>
    <w:basedOn w:val="1"/>
    <w:qFormat/>
    <w:uiPriority w:val="0"/>
    <w:pPr>
      <w:adjustRightInd w:val="0"/>
      <w:spacing w:line="20" w:lineRule="atLeast"/>
      <w:jc w:val="center"/>
      <w:textAlignment w:val="baseline"/>
    </w:pPr>
    <w:rPr>
      <w:color w:val="000000"/>
      <w:kern w:val="0"/>
      <w:szCs w:val="20"/>
    </w:rPr>
  </w:style>
  <w:style w:type="paragraph" w:customStyle="1" w:styleId="547">
    <w:name w:val="正文文字缩进1"/>
    <w:basedOn w:val="1"/>
    <w:qFormat/>
    <w:uiPriority w:val="0"/>
    <w:pPr>
      <w:autoSpaceDE w:val="0"/>
      <w:autoSpaceDN w:val="0"/>
      <w:adjustRightInd w:val="0"/>
      <w:spacing w:line="240" w:lineRule="auto"/>
      <w:textAlignment w:val="baseline"/>
    </w:pPr>
    <w:rPr>
      <w:color w:val="000000"/>
      <w:spacing w:val="-20"/>
      <w:szCs w:val="20"/>
    </w:rPr>
  </w:style>
  <w:style w:type="paragraph" w:customStyle="1" w:styleId="548">
    <w:name w:val="样式 表格 32 + 首行缩进:  2 字符"/>
    <w:basedOn w:val="1"/>
    <w:qFormat/>
    <w:uiPriority w:val="0"/>
    <w:pPr>
      <w:autoSpaceDE w:val="0"/>
      <w:autoSpaceDN w:val="0"/>
      <w:adjustRightInd w:val="0"/>
      <w:spacing w:line="0" w:lineRule="atLeast"/>
      <w:jc w:val="center"/>
      <w:textAlignment w:val="baseline"/>
    </w:pPr>
    <w:rPr>
      <w:color w:val="000000"/>
      <w:kern w:val="0"/>
      <w:sz w:val="21"/>
      <w:szCs w:val="21"/>
    </w:rPr>
  </w:style>
  <w:style w:type="paragraph" w:customStyle="1" w:styleId="549">
    <w:name w:val="五号加粗居左"/>
    <w:basedOn w:val="538"/>
    <w:qFormat/>
    <w:uiPriority w:val="0"/>
    <w:rPr>
      <w:b/>
    </w:rPr>
  </w:style>
  <w:style w:type="paragraph" w:customStyle="1" w:styleId="550">
    <w:name w:val="样式 标题 3ReHead 3 WSAh3B HeadH3标题 3 Char条标题1.1.1SectionBS...1"/>
    <w:basedOn w:val="8"/>
    <w:link w:val="551"/>
    <w:qFormat/>
    <w:uiPriority w:val="0"/>
    <w:pPr>
      <w:numPr>
        <w:ilvl w:val="0"/>
        <w:numId w:val="0"/>
      </w:numPr>
      <w:tabs>
        <w:tab w:val="left" w:pos="-36"/>
        <w:tab w:val="left" w:pos="750"/>
      </w:tabs>
      <w:snapToGrid w:val="0"/>
      <w:ind w:left="1168" w:hanging="1138"/>
    </w:pPr>
    <w:rPr>
      <w:rFonts w:eastAsia="黑体"/>
      <w:color w:val="000000"/>
      <w:lang w:val="zh-CN"/>
    </w:rPr>
  </w:style>
  <w:style w:type="character" w:customStyle="1" w:styleId="551">
    <w:name w:val="样式 标题 3ReHead 3 WSAh3B HeadH3标题 3 Char条标题1.1.1SectionBS...1 Char Char"/>
    <w:link w:val="550"/>
    <w:qFormat/>
    <w:uiPriority w:val="0"/>
    <w:rPr>
      <w:rFonts w:ascii="Times New Roman" w:hAnsi="Times New Roman" w:eastAsia="黑体"/>
      <w:b/>
      <w:bCs/>
      <w:color w:val="000000"/>
      <w:sz w:val="28"/>
      <w:szCs w:val="32"/>
      <w:lang w:val="zh-CN"/>
    </w:rPr>
  </w:style>
  <w:style w:type="paragraph" w:customStyle="1" w:styleId="552">
    <w:name w:val="样式 标题 2SeHead wsa2H21标题 1.1Chapter TitleChapter节标题 1.1h...1"/>
    <w:basedOn w:val="7"/>
    <w:qFormat/>
    <w:uiPriority w:val="0"/>
    <w:pPr>
      <w:numPr>
        <w:ilvl w:val="0"/>
        <w:numId w:val="0"/>
      </w:numPr>
      <w:tabs>
        <w:tab w:val="left" w:pos="576"/>
      </w:tabs>
      <w:snapToGrid w:val="0"/>
      <w:spacing w:beforeLines="50" w:afterLines="50"/>
      <w:ind w:left="576" w:hanging="576"/>
    </w:pPr>
    <w:rPr>
      <w:rFonts w:eastAsia="黑体" w:cs="宋体"/>
      <w:bCs/>
      <w:color w:val="000000"/>
      <w:sz w:val="30"/>
      <w:szCs w:val="20"/>
    </w:rPr>
  </w:style>
  <w:style w:type="paragraph" w:customStyle="1" w:styleId="553">
    <w:name w:val="样式 标题 2SeHead wsa2H21标题 1.1Chapter TitleChapter节标题 1.1h..."/>
    <w:basedOn w:val="7"/>
    <w:qFormat/>
    <w:uiPriority w:val="0"/>
    <w:pPr>
      <w:numPr>
        <w:ilvl w:val="0"/>
        <w:numId w:val="0"/>
      </w:numPr>
      <w:tabs>
        <w:tab w:val="left" w:pos="576"/>
      </w:tabs>
      <w:snapToGrid w:val="0"/>
      <w:spacing w:beforeLines="50" w:afterLines="50"/>
      <w:ind w:left="576" w:hanging="576"/>
    </w:pPr>
    <w:rPr>
      <w:rFonts w:eastAsia="黑体"/>
      <w:bCs/>
      <w:color w:val="000000"/>
      <w:sz w:val="30"/>
      <w:szCs w:val="30"/>
    </w:rPr>
  </w:style>
  <w:style w:type="paragraph" w:customStyle="1" w:styleId="554">
    <w:name w:val="样式 表格00 +"/>
    <w:basedOn w:val="1"/>
    <w:qFormat/>
    <w:uiPriority w:val="0"/>
    <w:pPr>
      <w:spacing w:line="140" w:lineRule="atLeast"/>
      <w:ind w:right="-194" w:rightChars="-81"/>
      <w:jc w:val="center"/>
    </w:pPr>
    <w:rPr>
      <w:rFonts w:ascii="宋体" w:hAnsi="宋体"/>
      <w:color w:val="000000"/>
      <w:sz w:val="21"/>
    </w:rPr>
  </w:style>
  <w:style w:type="paragraph" w:customStyle="1" w:styleId="555">
    <w:name w:val="样式 样式 表格00 + +"/>
    <w:basedOn w:val="554"/>
    <w:qFormat/>
    <w:uiPriority w:val="0"/>
    <w:pPr>
      <w:adjustRightInd w:val="0"/>
      <w:ind w:right="0"/>
    </w:pPr>
    <w:rPr>
      <w:kern w:val="0"/>
    </w:rPr>
  </w:style>
  <w:style w:type="paragraph" w:customStyle="1" w:styleId="556">
    <w:name w:val="样式 表格00 + 五号"/>
    <w:basedOn w:val="1"/>
    <w:qFormat/>
    <w:uiPriority w:val="0"/>
    <w:pPr>
      <w:spacing w:line="140" w:lineRule="atLeast"/>
      <w:ind w:right="-194" w:rightChars="-81"/>
      <w:jc w:val="center"/>
    </w:pPr>
    <w:rPr>
      <w:rFonts w:ascii="宋体" w:hAnsi="宋体"/>
      <w:color w:val="000000"/>
      <w:sz w:val="21"/>
    </w:rPr>
  </w:style>
  <w:style w:type="paragraph" w:customStyle="1" w:styleId="557">
    <w:name w:val="重点文字"/>
    <w:basedOn w:val="1"/>
    <w:link w:val="558"/>
    <w:qFormat/>
    <w:uiPriority w:val="0"/>
    <w:pPr>
      <w:ind w:right="-194" w:rightChars="-81" w:firstLine="480" w:firstLineChars="200"/>
    </w:pPr>
    <w:rPr>
      <w:rFonts w:eastAsia="黑体"/>
      <w:color w:val="000000"/>
      <w:kern w:val="0"/>
    </w:rPr>
  </w:style>
  <w:style w:type="character" w:customStyle="1" w:styleId="558">
    <w:name w:val="重点文字 Char Char"/>
    <w:link w:val="557"/>
    <w:qFormat/>
    <w:uiPriority w:val="0"/>
    <w:rPr>
      <w:rFonts w:ascii="Times New Roman" w:hAnsi="Times New Roman" w:eastAsia="黑体"/>
      <w:color w:val="000000"/>
      <w:sz w:val="24"/>
      <w:szCs w:val="24"/>
    </w:rPr>
  </w:style>
  <w:style w:type="paragraph" w:customStyle="1" w:styleId="559">
    <w:name w:val="样式 标题 4 + 首行缩进:  2 字符1"/>
    <w:basedOn w:val="9"/>
    <w:qFormat/>
    <w:uiPriority w:val="0"/>
    <w:pPr>
      <w:numPr>
        <w:ilvl w:val="0"/>
        <w:numId w:val="0"/>
      </w:numPr>
      <w:snapToGrid w:val="0"/>
    </w:pPr>
    <w:rPr>
      <w:rFonts w:ascii="Arial" w:hAnsi="Arial" w:eastAsia="黑体"/>
      <w:b w:val="0"/>
      <w:bCs w:val="0"/>
      <w:color w:val="000000"/>
      <w:szCs w:val="24"/>
    </w:rPr>
  </w:style>
  <w:style w:type="paragraph" w:customStyle="1" w:styleId="560">
    <w:name w:val="样式 标题 3ReHead 3 WSAh3B HeadH3标题 3 Char条标题1.1.1SectionBS..."/>
    <w:basedOn w:val="8"/>
    <w:qFormat/>
    <w:uiPriority w:val="0"/>
    <w:pPr>
      <w:numPr>
        <w:ilvl w:val="0"/>
        <w:numId w:val="0"/>
      </w:numPr>
      <w:tabs>
        <w:tab w:val="left" w:pos="720"/>
      </w:tabs>
      <w:snapToGrid w:val="0"/>
      <w:ind w:left="720" w:hanging="720"/>
    </w:pPr>
    <w:rPr>
      <w:rFonts w:eastAsia="黑体"/>
      <w:color w:val="000000"/>
      <w:szCs w:val="28"/>
    </w:rPr>
  </w:style>
  <w:style w:type="paragraph" w:customStyle="1" w:styleId="561">
    <w:name w:val="样式 标题 2 + 四号 非加粗"/>
    <w:basedOn w:val="7"/>
    <w:qFormat/>
    <w:uiPriority w:val="0"/>
    <w:pPr>
      <w:numPr>
        <w:ilvl w:val="0"/>
        <w:numId w:val="0"/>
      </w:numPr>
      <w:tabs>
        <w:tab w:val="left" w:pos="576"/>
      </w:tabs>
      <w:spacing w:beforeLines="50" w:afterLines="50"/>
      <w:ind w:left="576" w:hanging="576"/>
    </w:pPr>
    <w:rPr>
      <w:rFonts w:ascii="Arial" w:hAnsi="Arial" w:eastAsia="黑体"/>
      <w:color w:val="000000"/>
    </w:rPr>
  </w:style>
  <w:style w:type="paragraph" w:customStyle="1" w:styleId="562">
    <w:name w:val="样式 题注 + 宋体 小四 黑色 居中"/>
    <w:basedOn w:val="1"/>
    <w:qFormat/>
    <w:uiPriority w:val="0"/>
    <w:pPr>
      <w:spacing w:line="240" w:lineRule="auto"/>
      <w:jc w:val="center"/>
    </w:pPr>
    <w:rPr>
      <w:rFonts w:ascii="宋体" w:hAnsi="宋体" w:cs="宋体"/>
      <w:color w:val="000000"/>
      <w:kern w:val="0"/>
      <w:szCs w:val="20"/>
    </w:rPr>
  </w:style>
  <w:style w:type="paragraph" w:customStyle="1" w:styleId="563">
    <w:name w:val="正文报告"/>
    <w:basedOn w:val="1"/>
    <w:qFormat/>
    <w:uiPriority w:val="0"/>
    <w:pPr>
      <w:topLinePunct/>
      <w:spacing w:line="480" w:lineRule="auto"/>
      <w:ind w:firstLine="567"/>
    </w:pPr>
    <w:rPr>
      <w:color w:val="000000"/>
      <w:sz w:val="28"/>
      <w:szCs w:val="28"/>
    </w:rPr>
  </w:style>
  <w:style w:type="paragraph" w:customStyle="1" w:styleId="564">
    <w:name w:val="样式 首行缩进:  0.85 厘米 行距: 1.5 倍行距"/>
    <w:basedOn w:val="1"/>
    <w:qFormat/>
    <w:uiPriority w:val="0"/>
    <w:pPr>
      <w:snapToGrid w:val="0"/>
      <w:ind w:firstLine="480" w:firstLineChars="200"/>
    </w:pPr>
    <w:rPr>
      <w:rFonts w:cs="宋体"/>
      <w:color w:val="000000"/>
      <w:szCs w:val="20"/>
    </w:rPr>
  </w:style>
  <w:style w:type="paragraph" w:customStyle="1" w:styleId="565">
    <w:name w:val="样式 居中 首行缩进:  0.85 厘米 行距: 1.5 倍行距"/>
    <w:basedOn w:val="1"/>
    <w:qFormat/>
    <w:uiPriority w:val="0"/>
    <w:pPr>
      <w:ind w:firstLine="482"/>
      <w:jc w:val="center"/>
    </w:pPr>
    <w:rPr>
      <w:rFonts w:cs="宋体"/>
      <w:color w:val="000000"/>
      <w:szCs w:val="20"/>
    </w:rPr>
  </w:style>
  <w:style w:type="paragraph" w:customStyle="1" w:styleId="566">
    <w:name w:val="样式 (符号) 宋体 行距: 1.5 倍行距"/>
    <w:basedOn w:val="1"/>
    <w:qFormat/>
    <w:uiPriority w:val="0"/>
    <w:rPr>
      <w:rFonts w:hAnsi="宋体" w:cs="宋体"/>
      <w:color w:val="000000"/>
      <w:szCs w:val="20"/>
    </w:rPr>
  </w:style>
  <w:style w:type="paragraph" w:customStyle="1" w:styleId="567">
    <w:name w:val="小注"/>
    <w:basedOn w:val="1"/>
    <w:qFormat/>
    <w:uiPriority w:val="0"/>
    <w:pPr>
      <w:adjustRightInd w:val="0"/>
      <w:snapToGrid w:val="0"/>
      <w:spacing w:beforeLines="50" w:afterLines="50" w:line="240" w:lineRule="auto"/>
      <w:ind w:firstLine="520" w:firstLineChars="200"/>
    </w:pPr>
    <w:rPr>
      <w:color w:val="000000"/>
      <w:spacing w:val="10"/>
      <w:kern w:val="0"/>
      <w:sz w:val="18"/>
    </w:rPr>
  </w:style>
  <w:style w:type="paragraph" w:customStyle="1" w:styleId="568">
    <w:name w:val="样式 正文（杨） + 首行缩进:  2 字符"/>
    <w:basedOn w:val="1"/>
    <w:qFormat/>
    <w:uiPriority w:val="0"/>
    <w:pPr>
      <w:adjustRightInd w:val="0"/>
      <w:snapToGrid w:val="0"/>
      <w:spacing w:line="312" w:lineRule="auto"/>
      <w:ind w:firstLine="480" w:firstLineChars="200"/>
    </w:pPr>
    <w:rPr>
      <w:rFonts w:ascii="宋体" w:cs="宋体"/>
      <w:color w:val="000000"/>
      <w:kern w:val="0"/>
      <w:szCs w:val="20"/>
    </w:rPr>
  </w:style>
  <w:style w:type="paragraph" w:customStyle="1" w:styleId="569">
    <w:name w:val="样式 标题4（杨） + 段前: 0.5 行 段后: 0.5 行"/>
    <w:basedOn w:val="1"/>
    <w:qFormat/>
    <w:uiPriority w:val="0"/>
    <w:pPr>
      <w:tabs>
        <w:tab w:val="left" w:pos="425"/>
      </w:tabs>
      <w:spacing w:beforeLines="30" w:afterLines="30" w:line="312" w:lineRule="auto"/>
      <w:jc w:val="left"/>
    </w:pPr>
    <w:rPr>
      <w:rFonts w:eastAsia="黑体" w:cs="宋体"/>
      <w:bCs/>
      <w:color w:val="000000"/>
      <w:szCs w:val="20"/>
    </w:rPr>
  </w:style>
  <w:style w:type="paragraph" w:customStyle="1" w:styleId="570">
    <w:name w:val="正文（杨）"/>
    <w:basedOn w:val="1"/>
    <w:link w:val="571"/>
    <w:qFormat/>
    <w:uiPriority w:val="0"/>
    <w:pPr>
      <w:adjustRightInd w:val="0"/>
      <w:snapToGrid w:val="0"/>
      <w:spacing w:line="312" w:lineRule="auto"/>
      <w:jc w:val="center"/>
    </w:pPr>
    <w:rPr>
      <w:color w:val="000000"/>
      <w:kern w:val="0"/>
      <w:szCs w:val="20"/>
    </w:rPr>
  </w:style>
  <w:style w:type="character" w:customStyle="1" w:styleId="571">
    <w:name w:val="正文（杨） Char Char"/>
    <w:link w:val="570"/>
    <w:qFormat/>
    <w:uiPriority w:val="0"/>
    <w:rPr>
      <w:rFonts w:ascii="Times New Roman" w:hAnsi="Times New Roman"/>
      <w:color w:val="000000"/>
      <w:sz w:val="24"/>
    </w:rPr>
  </w:style>
  <w:style w:type="paragraph" w:customStyle="1" w:styleId="572">
    <w:name w:val="小点"/>
    <w:qFormat/>
    <w:uiPriority w:val="0"/>
    <w:pPr>
      <w:tabs>
        <w:tab w:val="left" w:pos="1830"/>
      </w:tabs>
      <w:adjustRightInd w:val="0"/>
      <w:snapToGrid w:val="0"/>
      <w:spacing w:line="360" w:lineRule="auto"/>
      <w:ind w:left="1830" w:hanging="510"/>
    </w:pPr>
    <w:rPr>
      <w:rFonts w:ascii="宋体" w:hAnsi="宋体" w:eastAsia="宋体" w:cs="Times New Roman"/>
      <w:sz w:val="24"/>
      <w:szCs w:val="24"/>
      <w:lang w:val="en-US" w:eastAsia="zh-CN" w:bidi="ar-SA"/>
    </w:rPr>
  </w:style>
  <w:style w:type="paragraph" w:customStyle="1" w:styleId="573">
    <w:name w:val="正文 + 宋体"/>
    <w:basedOn w:val="1"/>
    <w:link w:val="574"/>
    <w:qFormat/>
    <w:uiPriority w:val="0"/>
    <w:pPr>
      <w:snapToGrid w:val="0"/>
      <w:spacing w:line="400" w:lineRule="exact"/>
      <w:ind w:firstLine="480" w:firstLineChars="200"/>
    </w:pPr>
    <w:rPr>
      <w:rFonts w:ascii="宋体" w:hAnsi="宋体"/>
      <w:color w:val="000000"/>
      <w:kern w:val="0"/>
    </w:rPr>
  </w:style>
  <w:style w:type="character" w:customStyle="1" w:styleId="574">
    <w:name w:val="正文 + 宋体 Char"/>
    <w:link w:val="573"/>
    <w:qFormat/>
    <w:uiPriority w:val="0"/>
    <w:rPr>
      <w:rFonts w:ascii="宋体" w:hAnsi="宋体"/>
      <w:color w:val="000000"/>
      <w:sz w:val="24"/>
      <w:szCs w:val="24"/>
    </w:rPr>
  </w:style>
  <w:style w:type="paragraph" w:customStyle="1" w:styleId="575">
    <w:name w:val="一级条标题"/>
    <w:basedOn w:val="5"/>
    <w:next w:val="1"/>
    <w:qFormat/>
    <w:uiPriority w:val="0"/>
    <w:pPr>
      <w:keepNext/>
      <w:keepLines/>
      <w:widowControl/>
      <w:numPr>
        <w:numId w:val="0"/>
      </w:numPr>
      <w:tabs>
        <w:tab w:val="left" w:pos="360"/>
        <w:tab w:val="left" w:pos="1260"/>
        <w:tab w:val="left" w:pos="1287"/>
      </w:tabs>
      <w:spacing w:line="240" w:lineRule="auto"/>
      <w:ind w:firstLine="567"/>
      <w:jc w:val="both"/>
      <w:outlineLvl w:val="2"/>
    </w:pPr>
    <w:rPr>
      <w:rFonts w:hAnsi="Times New Roman"/>
      <w:b w:val="0"/>
      <w:sz w:val="21"/>
      <w:szCs w:val="21"/>
    </w:rPr>
  </w:style>
  <w:style w:type="paragraph" w:customStyle="1" w:styleId="576">
    <w:name w:val="五级条标题"/>
    <w:basedOn w:val="1"/>
    <w:next w:val="1"/>
    <w:qFormat/>
    <w:uiPriority w:val="0"/>
    <w:pPr>
      <w:keepNext/>
      <w:keepLines/>
      <w:widowControl/>
      <w:tabs>
        <w:tab w:val="left" w:pos="2940"/>
      </w:tabs>
      <w:spacing w:line="240" w:lineRule="auto"/>
      <w:ind w:left="2940" w:hanging="420"/>
      <w:outlineLvl w:val="6"/>
    </w:pPr>
    <w:rPr>
      <w:rFonts w:ascii="黑体" w:eastAsia="黑体"/>
      <w:kern w:val="0"/>
      <w:sz w:val="21"/>
      <w:szCs w:val="21"/>
    </w:rPr>
  </w:style>
  <w:style w:type="paragraph" w:customStyle="1" w:styleId="577">
    <w:name w:val="样式 标题 1 + 首行缩进:  2 字符"/>
    <w:basedOn w:val="5"/>
    <w:qFormat/>
    <w:uiPriority w:val="0"/>
    <w:pPr>
      <w:keepNext/>
      <w:keepLines/>
      <w:numPr>
        <w:numId w:val="0"/>
      </w:numPr>
      <w:spacing w:line="300" w:lineRule="auto"/>
      <w:ind w:firstLine="200" w:firstLineChars="200"/>
    </w:pPr>
    <w:rPr>
      <w:rFonts w:ascii="Times New Roman" w:hAnsi="Times New Roman" w:cs="宋体"/>
      <w:b w:val="0"/>
      <w:bCs/>
      <w:kern w:val="44"/>
      <w:sz w:val="32"/>
      <w:szCs w:val="20"/>
    </w:rPr>
  </w:style>
  <w:style w:type="paragraph" w:customStyle="1" w:styleId="578">
    <w:name w:val="样式 标题 3 + 首行缩进:  2 字符"/>
    <w:basedOn w:val="8"/>
    <w:qFormat/>
    <w:uiPriority w:val="0"/>
    <w:pPr>
      <w:numPr>
        <w:ilvl w:val="0"/>
        <w:numId w:val="0"/>
      </w:numPr>
      <w:spacing w:line="300" w:lineRule="auto"/>
    </w:pPr>
    <w:rPr>
      <w:rFonts w:eastAsia="黑体"/>
      <w:color w:val="000000"/>
      <w:szCs w:val="20"/>
    </w:rPr>
  </w:style>
  <w:style w:type="paragraph" w:customStyle="1" w:styleId="579">
    <w:name w:val="样式 表格1 + 首行缩进:  2 字符"/>
    <w:basedOn w:val="1"/>
    <w:qFormat/>
    <w:uiPriority w:val="0"/>
    <w:pPr>
      <w:autoSpaceDE w:val="0"/>
      <w:autoSpaceDN w:val="0"/>
      <w:adjustRightInd w:val="0"/>
      <w:spacing w:line="240" w:lineRule="auto"/>
      <w:ind w:firstLine="200"/>
      <w:jc w:val="center"/>
      <w:textAlignment w:val="center"/>
    </w:pPr>
    <w:rPr>
      <w:rFonts w:ascii="宋体" w:hAnsi="宋体" w:cs="宋体"/>
      <w:color w:val="000000"/>
      <w:kern w:val="0"/>
      <w:szCs w:val="20"/>
    </w:rPr>
  </w:style>
  <w:style w:type="paragraph" w:customStyle="1" w:styleId="580">
    <w:name w:val="样式 标题 2 + 首行缩进:  2 字符"/>
    <w:basedOn w:val="7"/>
    <w:qFormat/>
    <w:uiPriority w:val="0"/>
    <w:pPr>
      <w:numPr>
        <w:ilvl w:val="0"/>
        <w:numId w:val="0"/>
      </w:numPr>
      <w:spacing w:beforeLines="50" w:afterLines="50" w:line="300" w:lineRule="auto"/>
    </w:pPr>
    <w:rPr>
      <w:rFonts w:ascii="Arial" w:hAnsi="Arial" w:eastAsia="黑体" w:cs="宋体"/>
      <w:bCs/>
      <w:color w:val="000000"/>
      <w:sz w:val="24"/>
      <w:szCs w:val="20"/>
    </w:rPr>
  </w:style>
  <w:style w:type="paragraph" w:customStyle="1" w:styleId="581">
    <w:name w:val="样式 标题 1 + 首行缩进:  2 字符1"/>
    <w:basedOn w:val="5"/>
    <w:qFormat/>
    <w:uiPriority w:val="0"/>
    <w:pPr>
      <w:keepNext/>
      <w:keepLines/>
      <w:numPr>
        <w:numId w:val="0"/>
      </w:numPr>
      <w:spacing w:before="340" w:after="330" w:line="578" w:lineRule="auto"/>
    </w:pPr>
    <w:rPr>
      <w:rFonts w:ascii="Times New Roman" w:hAnsi="Times New Roman" w:cs="宋体"/>
      <w:bCs/>
      <w:kern w:val="44"/>
      <w:szCs w:val="20"/>
    </w:rPr>
  </w:style>
  <w:style w:type="paragraph" w:customStyle="1" w:styleId="582">
    <w:name w:val="样式 标题 2 + 首行缩进:  2 字符 + 首行缩进:  2 字符"/>
    <w:basedOn w:val="1"/>
    <w:qFormat/>
    <w:uiPriority w:val="0"/>
    <w:pPr>
      <w:keepNext/>
      <w:keepLines/>
      <w:spacing w:beforeLines="50" w:afterLines="50" w:line="300" w:lineRule="auto"/>
      <w:jc w:val="center"/>
      <w:outlineLvl w:val="1"/>
    </w:pPr>
    <w:rPr>
      <w:rFonts w:ascii="Arial" w:hAnsi="Arial" w:eastAsia="黑体" w:cs="宋体"/>
      <w:b/>
      <w:bCs/>
      <w:color w:val="000000"/>
      <w:kern w:val="0"/>
      <w:szCs w:val="20"/>
    </w:rPr>
  </w:style>
  <w:style w:type="paragraph" w:customStyle="1" w:styleId="583">
    <w:name w:val="样式 目录 2 + 左侧:  2 字符 首行缩进:  2 字符"/>
    <w:basedOn w:val="1"/>
    <w:qFormat/>
    <w:uiPriority w:val="0"/>
    <w:pPr>
      <w:tabs>
        <w:tab w:val="right" w:leader="dot" w:pos="9356"/>
      </w:tabs>
      <w:spacing w:line="240" w:lineRule="auto"/>
      <w:ind w:left="480" w:firstLine="480" w:firstLineChars="200"/>
    </w:pPr>
    <w:rPr>
      <w:rFonts w:ascii="Calibri" w:hAnsi="Calibri" w:cs="宋体"/>
      <w:b/>
      <w:color w:val="000000"/>
      <w:sz w:val="21"/>
      <w:szCs w:val="20"/>
    </w:rPr>
  </w:style>
  <w:style w:type="paragraph" w:customStyle="1" w:styleId="584">
    <w:name w:val="样式 目录 2 + 左侧:  2 字符 首行缩进:  2 字符1"/>
    <w:basedOn w:val="1"/>
    <w:qFormat/>
    <w:uiPriority w:val="0"/>
    <w:pPr>
      <w:tabs>
        <w:tab w:val="right" w:leader="dot" w:pos="9356"/>
      </w:tabs>
      <w:spacing w:line="240" w:lineRule="auto"/>
      <w:ind w:left="480" w:firstLine="480" w:firstLineChars="200"/>
    </w:pPr>
    <w:rPr>
      <w:rFonts w:ascii="Calibri" w:hAnsi="Calibri" w:cs="宋体"/>
      <w:b/>
      <w:color w:val="000000"/>
      <w:sz w:val="21"/>
      <w:szCs w:val="20"/>
    </w:rPr>
  </w:style>
  <w:style w:type="paragraph" w:customStyle="1" w:styleId="585">
    <w:name w:val="样式 目录 2 + 左侧:  2 字符 首行缩进:  2 字符2"/>
    <w:basedOn w:val="1"/>
    <w:qFormat/>
    <w:uiPriority w:val="0"/>
    <w:pPr>
      <w:tabs>
        <w:tab w:val="right" w:leader="dot" w:pos="9356"/>
      </w:tabs>
      <w:spacing w:line="240" w:lineRule="auto"/>
      <w:ind w:left="200" w:firstLine="200" w:firstLineChars="200"/>
    </w:pPr>
    <w:rPr>
      <w:rFonts w:ascii="Calibri" w:hAnsi="Calibri" w:cs="宋体"/>
      <w:b/>
      <w:color w:val="000000"/>
      <w:sz w:val="21"/>
      <w:szCs w:val="20"/>
    </w:rPr>
  </w:style>
  <w:style w:type="paragraph" w:customStyle="1" w:styleId="586">
    <w:name w:val="样式 目录 2 + 左侧:  2 字符 首行缩进:  2 字符3"/>
    <w:basedOn w:val="1"/>
    <w:qFormat/>
    <w:uiPriority w:val="0"/>
    <w:pPr>
      <w:tabs>
        <w:tab w:val="right" w:leader="dot" w:pos="9356"/>
      </w:tabs>
      <w:spacing w:line="240" w:lineRule="auto"/>
      <w:ind w:left="200"/>
    </w:pPr>
    <w:rPr>
      <w:rFonts w:ascii="Calibri" w:hAnsi="Calibri" w:cs="宋体"/>
      <w:b/>
      <w:color w:val="000000"/>
      <w:sz w:val="21"/>
      <w:szCs w:val="20"/>
    </w:rPr>
  </w:style>
  <w:style w:type="paragraph" w:customStyle="1" w:styleId="587">
    <w:name w:val="样式 目录 2 + 左侧:  2 字符 首行缩进:  2 字符4"/>
    <w:basedOn w:val="1"/>
    <w:qFormat/>
    <w:uiPriority w:val="0"/>
    <w:pPr>
      <w:tabs>
        <w:tab w:val="right" w:leader="dot" w:pos="9356"/>
      </w:tabs>
      <w:spacing w:line="240" w:lineRule="auto"/>
      <w:ind w:left="200" w:firstLine="200" w:firstLineChars="200"/>
    </w:pPr>
    <w:rPr>
      <w:rFonts w:ascii="Calibri" w:hAnsi="Calibri" w:cs="宋体"/>
      <w:b/>
      <w:color w:val="000000"/>
      <w:sz w:val="21"/>
      <w:szCs w:val="20"/>
    </w:rPr>
  </w:style>
  <w:style w:type="paragraph" w:customStyle="1" w:styleId="588">
    <w:name w:val="样式 目录 2 + 左侧:  2 字符 首行缩进:  2 字符5"/>
    <w:basedOn w:val="1"/>
    <w:qFormat/>
    <w:uiPriority w:val="0"/>
    <w:pPr>
      <w:tabs>
        <w:tab w:val="right" w:leader="dot" w:pos="9356"/>
      </w:tabs>
      <w:spacing w:line="240" w:lineRule="auto"/>
      <w:ind w:left="480" w:firstLine="420" w:firstLineChars="200"/>
    </w:pPr>
    <w:rPr>
      <w:rFonts w:ascii="Calibri" w:hAnsi="Calibri" w:cs="宋体"/>
      <w:b/>
      <w:color w:val="000000"/>
      <w:sz w:val="21"/>
      <w:szCs w:val="21"/>
    </w:rPr>
  </w:style>
  <w:style w:type="paragraph" w:customStyle="1" w:styleId="589">
    <w:name w:val="正文 + (西文) 宋体"/>
    <w:basedOn w:val="1"/>
    <w:qFormat/>
    <w:uiPriority w:val="0"/>
    <w:pPr>
      <w:tabs>
        <w:tab w:val="left" w:pos="432"/>
      </w:tabs>
      <w:ind w:firstLine="510"/>
    </w:pPr>
    <w:rPr>
      <w:rFonts w:ascii="宋体" w:hAnsi="宋体" w:eastAsia="仿宋_GB2312"/>
      <w:color w:val="000000"/>
    </w:rPr>
  </w:style>
  <w:style w:type="paragraph" w:customStyle="1" w:styleId="590">
    <w:name w:val="样式 标题 2 + 非加粗"/>
    <w:basedOn w:val="7"/>
    <w:qFormat/>
    <w:uiPriority w:val="0"/>
    <w:pPr>
      <w:numPr>
        <w:ilvl w:val="0"/>
        <w:numId w:val="0"/>
      </w:numPr>
      <w:spacing w:beforeLines="50" w:afterLines="50" w:line="312" w:lineRule="auto"/>
    </w:pPr>
    <w:rPr>
      <w:rFonts w:eastAsia="黑体"/>
      <w:bCs/>
      <w:color w:val="000000"/>
      <w:sz w:val="24"/>
    </w:rPr>
  </w:style>
  <w:style w:type="paragraph" w:customStyle="1" w:styleId="591">
    <w:name w:val="样式 标题 2 + 段后: 16.3 磅"/>
    <w:basedOn w:val="7"/>
    <w:qFormat/>
    <w:uiPriority w:val="0"/>
    <w:pPr>
      <w:numPr>
        <w:ilvl w:val="0"/>
        <w:numId w:val="0"/>
      </w:numPr>
      <w:spacing w:beforeLines="50" w:afterLines="50" w:line="312" w:lineRule="auto"/>
    </w:pPr>
    <w:rPr>
      <w:rFonts w:eastAsia="黑体" w:cs="宋体"/>
      <w:bCs/>
      <w:color w:val="000000"/>
      <w:sz w:val="24"/>
      <w:szCs w:val="20"/>
    </w:rPr>
  </w:style>
  <w:style w:type="paragraph" w:customStyle="1" w:styleId="592">
    <w:name w:val="样式 标题 3 + 首行缩进:  2 字符 段前: 8.15 磅 段后: 8.15 磅"/>
    <w:basedOn w:val="8"/>
    <w:qFormat/>
    <w:uiPriority w:val="0"/>
    <w:pPr>
      <w:numPr>
        <w:ilvl w:val="0"/>
        <w:numId w:val="0"/>
      </w:numPr>
      <w:spacing w:before="163" w:after="163" w:line="0" w:lineRule="atLeast"/>
      <w:ind w:firstLine="482" w:firstLineChars="200"/>
    </w:pPr>
    <w:rPr>
      <w:rFonts w:ascii="Arial Unicode MS" w:hAnsi="Arial Unicode MS" w:eastAsia="黑体"/>
      <w:color w:val="000000"/>
      <w:szCs w:val="20"/>
    </w:rPr>
  </w:style>
  <w:style w:type="paragraph" w:customStyle="1" w:styleId="593">
    <w:name w:val="样式 标题 3 + 首行缩进:  2 字符 段前: 8.15 磅 段后: 8.15 磅1"/>
    <w:basedOn w:val="8"/>
    <w:qFormat/>
    <w:uiPriority w:val="0"/>
    <w:pPr>
      <w:numPr>
        <w:ilvl w:val="0"/>
        <w:numId w:val="0"/>
      </w:numPr>
      <w:spacing w:before="163" w:after="163" w:line="0" w:lineRule="atLeast"/>
      <w:ind w:firstLine="482" w:firstLineChars="200"/>
    </w:pPr>
    <w:rPr>
      <w:rFonts w:ascii="Arial Unicode MS" w:hAnsi="Arial Unicode MS" w:eastAsia="黑体"/>
      <w:color w:val="000000"/>
      <w:szCs w:val="20"/>
    </w:rPr>
  </w:style>
  <w:style w:type="paragraph" w:customStyle="1" w:styleId="594">
    <w:name w:val="样式 标题 3 + 首行缩进:  2 字符 段前: 8.15 磅 段后: 8.15 磅2"/>
    <w:basedOn w:val="8"/>
    <w:qFormat/>
    <w:uiPriority w:val="0"/>
    <w:pPr>
      <w:numPr>
        <w:ilvl w:val="0"/>
        <w:numId w:val="0"/>
      </w:numPr>
      <w:spacing w:before="163" w:after="163" w:line="0" w:lineRule="atLeast"/>
      <w:ind w:firstLine="482" w:firstLineChars="200"/>
    </w:pPr>
    <w:rPr>
      <w:rFonts w:ascii="Arial Unicode MS" w:hAnsi="Arial Unicode MS" w:eastAsia="黑体"/>
      <w:color w:val="000000"/>
      <w:szCs w:val="20"/>
    </w:rPr>
  </w:style>
  <w:style w:type="paragraph" w:customStyle="1" w:styleId="595">
    <w:name w:val="样式 标题 3 + 首行缩进:  2 字符 段前: 8.15 磅 段后: 8.15 磅3"/>
    <w:basedOn w:val="8"/>
    <w:qFormat/>
    <w:uiPriority w:val="0"/>
    <w:pPr>
      <w:numPr>
        <w:ilvl w:val="0"/>
        <w:numId w:val="0"/>
      </w:numPr>
      <w:spacing w:before="163" w:after="163" w:line="0" w:lineRule="atLeast"/>
    </w:pPr>
    <w:rPr>
      <w:rFonts w:ascii="Arial Unicode MS" w:hAnsi="Arial Unicode MS" w:eastAsia="黑体"/>
      <w:color w:val="000000"/>
      <w:szCs w:val="20"/>
    </w:rPr>
  </w:style>
  <w:style w:type="paragraph" w:customStyle="1" w:styleId="596">
    <w:name w:val="样式 标题 3 + 首行缩进:  0.85 厘米"/>
    <w:basedOn w:val="8"/>
    <w:qFormat/>
    <w:uiPriority w:val="0"/>
    <w:pPr>
      <w:numPr>
        <w:ilvl w:val="0"/>
        <w:numId w:val="0"/>
      </w:numPr>
      <w:spacing w:line="415" w:lineRule="auto"/>
    </w:pPr>
    <w:rPr>
      <w:rFonts w:eastAsia="仿宋_GB2312"/>
      <w:color w:val="000000"/>
      <w:szCs w:val="24"/>
    </w:rPr>
  </w:style>
  <w:style w:type="paragraph" w:customStyle="1" w:styleId="597">
    <w:name w:val="小五居中"/>
    <w:basedOn w:val="1"/>
    <w:qFormat/>
    <w:uiPriority w:val="0"/>
    <w:pPr>
      <w:spacing w:line="240" w:lineRule="auto"/>
      <w:jc w:val="center"/>
    </w:pPr>
    <w:rPr>
      <w:color w:val="000000"/>
      <w:sz w:val="18"/>
    </w:rPr>
  </w:style>
  <w:style w:type="paragraph" w:customStyle="1" w:styleId="598">
    <w:name w:val="样式 标题 1Head 1wsa一、h1标题2标题 1 CharPart'Document1.标题 1标1章..."/>
    <w:basedOn w:val="5"/>
    <w:qFormat/>
    <w:uiPriority w:val="0"/>
    <w:pPr>
      <w:keepNext/>
      <w:keepLines/>
      <w:numPr>
        <w:numId w:val="0"/>
      </w:numPr>
      <w:tabs>
        <w:tab w:val="left" w:pos="360"/>
      </w:tabs>
      <w:adjustRightInd w:val="0"/>
      <w:jc w:val="left"/>
      <w:textAlignment w:val="baseline"/>
    </w:pPr>
    <w:rPr>
      <w:rFonts w:ascii="Times New Roman" w:hAnsi="Times New Roman" w:cs="宋体"/>
      <w:bCs/>
      <w:kern w:val="44"/>
      <w:sz w:val="24"/>
      <w:szCs w:val="20"/>
    </w:rPr>
  </w:style>
  <w:style w:type="paragraph" w:customStyle="1" w:styleId="599">
    <w:name w:val="样式 标题 1 + (中文) 楷体_GB2312 小二 段前: 11 磅 段后: 11 磅 行距: 单倍行距"/>
    <w:basedOn w:val="5"/>
    <w:qFormat/>
    <w:uiPriority w:val="0"/>
    <w:pPr>
      <w:keepNext/>
      <w:keepLines/>
      <w:numPr>
        <w:numId w:val="0"/>
      </w:numPr>
      <w:tabs>
        <w:tab w:val="center" w:pos="4252"/>
        <w:tab w:val="left" w:pos="6540"/>
      </w:tabs>
      <w:adjustRightInd w:val="0"/>
      <w:spacing w:before="220" w:after="220" w:line="240" w:lineRule="auto"/>
      <w:textAlignment w:val="baseline"/>
    </w:pPr>
    <w:rPr>
      <w:rFonts w:ascii="Calibri" w:hAnsi="宋体" w:eastAsia="楷体_GB2312"/>
      <w:bCs/>
      <w:kern w:val="2"/>
      <w:szCs w:val="20"/>
    </w:rPr>
  </w:style>
  <w:style w:type="paragraph" w:customStyle="1" w:styleId="600">
    <w:name w:val="重设标题3"/>
    <w:basedOn w:val="1"/>
    <w:qFormat/>
    <w:uiPriority w:val="0"/>
    <w:pPr>
      <w:adjustRightInd w:val="0"/>
      <w:spacing w:before="120" w:line="240" w:lineRule="auto"/>
      <w:jc w:val="left"/>
    </w:pPr>
    <w:rPr>
      <w:rFonts w:ascii="宋体"/>
      <w:b/>
      <w:color w:val="000000"/>
      <w:szCs w:val="20"/>
    </w:rPr>
  </w:style>
  <w:style w:type="paragraph" w:customStyle="1" w:styleId="601">
    <w:name w:val="重设标题1"/>
    <w:basedOn w:val="1"/>
    <w:qFormat/>
    <w:uiPriority w:val="0"/>
    <w:pPr>
      <w:spacing w:line="240" w:lineRule="auto"/>
      <w:jc w:val="center"/>
    </w:pPr>
    <w:rPr>
      <w:rFonts w:ascii="黑体"/>
      <w:b/>
      <w:color w:val="000000"/>
      <w:sz w:val="32"/>
      <w:szCs w:val="20"/>
    </w:rPr>
  </w:style>
  <w:style w:type="paragraph" w:customStyle="1" w:styleId="602">
    <w:name w:val="重设标题2"/>
    <w:basedOn w:val="1"/>
    <w:qFormat/>
    <w:uiPriority w:val="0"/>
    <w:pPr>
      <w:spacing w:line="240" w:lineRule="auto"/>
      <w:jc w:val="center"/>
    </w:pPr>
    <w:rPr>
      <w:rFonts w:ascii="宋体"/>
      <w:b/>
      <w:color w:val="000000"/>
      <w:sz w:val="28"/>
      <w:szCs w:val="20"/>
    </w:rPr>
  </w:style>
  <w:style w:type="paragraph" w:customStyle="1" w:styleId="603">
    <w:name w:val="小标题2"/>
    <w:basedOn w:val="1"/>
    <w:next w:val="10"/>
    <w:qFormat/>
    <w:uiPriority w:val="0"/>
    <w:pPr>
      <w:adjustRightInd w:val="0"/>
      <w:spacing w:before="120" w:after="120" w:line="300" w:lineRule="auto"/>
      <w:ind w:left="284"/>
      <w:jc w:val="left"/>
      <w:textAlignment w:val="baseline"/>
    </w:pPr>
    <w:rPr>
      <w:rFonts w:eastAsia="仿宋_GB2312"/>
      <w:color w:val="000000"/>
      <w:sz w:val="28"/>
      <w:szCs w:val="20"/>
    </w:rPr>
  </w:style>
  <w:style w:type="paragraph" w:customStyle="1" w:styleId="604">
    <w:name w:val="样式 样式3 + (西文) 黑体"/>
    <w:basedOn w:val="361"/>
    <w:qFormat/>
    <w:uiPriority w:val="0"/>
    <w:pPr>
      <w:keepNext/>
      <w:pBdr>
        <w:bottom w:val="none" w:color="auto" w:sz="0" w:space="0"/>
      </w:pBdr>
      <w:tabs>
        <w:tab w:val="clear" w:pos="4153"/>
        <w:tab w:val="clear" w:pos="8306"/>
      </w:tabs>
      <w:snapToGrid/>
      <w:spacing w:line="360" w:lineRule="auto"/>
      <w:ind w:left="540" w:leftChars="257"/>
      <w:jc w:val="both"/>
      <w:outlineLvl w:val="1"/>
    </w:pPr>
    <w:rPr>
      <w:rFonts w:ascii="黑体" w:hAnsi="黑体"/>
      <w:b/>
      <w:bCs/>
      <w:color w:val="000000"/>
      <w:sz w:val="28"/>
      <w:szCs w:val="28"/>
    </w:rPr>
  </w:style>
  <w:style w:type="paragraph" w:customStyle="1" w:styleId="605">
    <w:name w:val="样式 标题 3B HeadH3sect1.2.3h33Heading 3 - oldCTLevel 3 Topi...4"/>
    <w:basedOn w:val="8"/>
    <w:qFormat/>
    <w:uiPriority w:val="0"/>
    <w:pPr>
      <w:widowControl/>
      <w:numPr>
        <w:ilvl w:val="0"/>
        <w:numId w:val="0"/>
      </w:numPr>
      <w:spacing w:line="480" w:lineRule="exact"/>
    </w:pPr>
    <w:rPr>
      <w:rFonts w:ascii="宋体" w:hAnsi="宋体"/>
      <w:bCs/>
      <w:color w:val="000000"/>
      <w:szCs w:val="20"/>
    </w:rPr>
  </w:style>
  <w:style w:type="paragraph" w:customStyle="1" w:styleId="606">
    <w:name w:val="正文文本最新 Char Char Char Char1 Char Char Char Char Char Char1"/>
    <w:basedOn w:val="1"/>
    <w:link w:val="607"/>
    <w:qFormat/>
    <w:uiPriority w:val="0"/>
    <w:pPr>
      <w:ind w:firstLine="200" w:firstLineChars="200"/>
    </w:pPr>
    <w:rPr>
      <w:bCs/>
      <w:color w:val="000000"/>
      <w:kern w:val="0"/>
      <w:sz w:val="28"/>
    </w:rPr>
  </w:style>
  <w:style w:type="character" w:customStyle="1" w:styleId="607">
    <w:name w:val="正文文本最新 Char Char Char Char1 Char Char Char Char Char Char1 Char Char"/>
    <w:link w:val="606"/>
    <w:qFormat/>
    <w:uiPriority w:val="0"/>
    <w:rPr>
      <w:rFonts w:ascii="Times New Roman" w:hAnsi="Times New Roman"/>
      <w:bCs/>
      <w:color w:val="000000"/>
      <w:sz w:val="28"/>
      <w:szCs w:val="24"/>
    </w:rPr>
  </w:style>
  <w:style w:type="paragraph" w:customStyle="1" w:styleId="608">
    <w:name w:val="样式 标题 1 + 黑体 三号"/>
    <w:basedOn w:val="5"/>
    <w:qFormat/>
    <w:uiPriority w:val="0"/>
    <w:pPr>
      <w:keepNext/>
      <w:keepLines/>
      <w:numPr>
        <w:numId w:val="0"/>
      </w:numPr>
      <w:tabs>
        <w:tab w:val="left" w:pos="765"/>
      </w:tabs>
      <w:adjustRightInd w:val="0"/>
      <w:snapToGrid w:val="0"/>
      <w:spacing w:before="240" w:after="240" w:line="240" w:lineRule="auto"/>
      <w:ind w:left="765" w:hanging="765"/>
    </w:pPr>
    <w:rPr>
      <w:rFonts w:ascii="宋体" w:hAnsi="宋体" w:cs="黑体"/>
      <w:bCs/>
      <w:kern w:val="44"/>
      <w:sz w:val="32"/>
      <w:szCs w:val="44"/>
    </w:rPr>
  </w:style>
  <w:style w:type="paragraph" w:customStyle="1" w:styleId="609">
    <w:name w:val="样式 标题 3 + 小四"/>
    <w:basedOn w:val="8"/>
    <w:qFormat/>
    <w:uiPriority w:val="0"/>
    <w:pPr>
      <w:numPr>
        <w:ilvl w:val="0"/>
        <w:numId w:val="0"/>
      </w:numPr>
      <w:spacing w:beforeLines="100" w:afterLines="100"/>
      <w:jc w:val="center"/>
    </w:pPr>
    <w:rPr>
      <w:rFonts w:ascii="宋体" w:hAnsi="宋体"/>
      <w:color w:val="000000"/>
      <w:sz w:val="32"/>
    </w:rPr>
  </w:style>
  <w:style w:type="paragraph" w:customStyle="1" w:styleId="610">
    <w:name w:val="样式 仿宋_GB2312 四号"/>
    <w:basedOn w:val="1"/>
    <w:qFormat/>
    <w:uiPriority w:val="0"/>
    <w:pPr>
      <w:ind w:firstLine="556"/>
    </w:pPr>
    <w:rPr>
      <w:rFonts w:ascii="宋体" w:hAnsi="宋体"/>
      <w:color w:val="000000"/>
    </w:rPr>
  </w:style>
  <w:style w:type="paragraph" w:customStyle="1" w:styleId="611">
    <w:name w:val="正文4"/>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612">
    <w:name w:val="样式 标题 1 + (中文) 宋体 小二 加粗 居中"/>
    <w:basedOn w:val="5"/>
    <w:qFormat/>
    <w:uiPriority w:val="0"/>
    <w:pPr>
      <w:keepNext/>
      <w:keepLines/>
      <w:numPr>
        <w:numId w:val="0"/>
      </w:numPr>
      <w:spacing w:line="240" w:lineRule="auto"/>
    </w:pPr>
    <w:rPr>
      <w:rFonts w:ascii="Times New Roman" w:hAnsi="Times New Roman"/>
      <w:bCs/>
      <w:kern w:val="2"/>
      <w:szCs w:val="20"/>
    </w:rPr>
  </w:style>
  <w:style w:type="paragraph" w:customStyle="1" w:styleId="613">
    <w:name w:val="样式12"/>
    <w:basedOn w:val="1"/>
    <w:link w:val="614"/>
    <w:qFormat/>
    <w:uiPriority w:val="0"/>
    <w:pPr>
      <w:ind w:firstLine="200" w:firstLineChars="200"/>
    </w:pPr>
    <w:rPr>
      <w:rFonts w:ascii="宋体" w:hAnsi="宋体"/>
      <w:kern w:val="0"/>
    </w:rPr>
  </w:style>
  <w:style w:type="character" w:customStyle="1" w:styleId="614">
    <w:name w:val="样式12 Char Char"/>
    <w:link w:val="613"/>
    <w:qFormat/>
    <w:uiPriority w:val="0"/>
    <w:rPr>
      <w:rFonts w:ascii="宋体" w:hAnsi="宋体"/>
      <w:sz w:val="24"/>
      <w:szCs w:val="24"/>
    </w:rPr>
  </w:style>
  <w:style w:type="paragraph" w:customStyle="1" w:styleId="615">
    <w:name w:val="样式 标题 3 + 段前: 0.5 行"/>
    <w:basedOn w:val="8"/>
    <w:qFormat/>
    <w:uiPriority w:val="0"/>
    <w:pPr>
      <w:numPr>
        <w:ilvl w:val="0"/>
        <w:numId w:val="0"/>
      </w:numPr>
      <w:tabs>
        <w:tab w:val="left" w:pos="7318"/>
      </w:tabs>
      <w:autoSpaceDE w:val="0"/>
      <w:autoSpaceDN w:val="0"/>
      <w:adjustRightInd w:val="0"/>
      <w:snapToGrid w:val="0"/>
      <w:spacing w:beforeLines="50"/>
      <w:ind w:left="6465" w:hanging="227"/>
      <w:jc w:val="center"/>
      <w:textAlignment w:val="baseline"/>
    </w:pPr>
    <w:rPr>
      <w:bCs/>
      <w:sz w:val="30"/>
      <w:szCs w:val="30"/>
    </w:rPr>
  </w:style>
  <w:style w:type="paragraph" w:customStyle="1" w:styleId="616">
    <w:name w:val="样式14"/>
    <w:basedOn w:val="1"/>
    <w:link w:val="617"/>
    <w:qFormat/>
    <w:uiPriority w:val="0"/>
    <w:pPr>
      <w:outlineLvl w:val="3"/>
    </w:pPr>
    <w:rPr>
      <w:rFonts w:hAnsi="宋体"/>
      <w:b/>
      <w:kern w:val="0"/>
      <w:szCs w:val="20"/>
    </w:rPr>
  </w:style>
  <w:style w:type="character" w:customStyle="1" w:styleId="617">
    <w:name w:val="样式14 Char Char"/>
    <w:link w:val="616"/>
    <w:qFormat/>
    <w:uiPriority w:val="0"/>
    <w:rPr>
      <w:rFonts w:ascii="Times New Roman" w:hAnsi="宋体"/>
      <w:b/>
      <w:snapToGrid/>
      <w:sz w:val="24"/>
    </w:rPr>
  </w:style>
  <w:style w:type="paragraph" w:customStyle="1" w:styleId="618">
    <w:name w:val="样式 标题 4 + (西文) 宋体"/>
    <w:basedOn w:val="9"/>
    <w:link w:val="619"/>
    <w:qFormat/>
    <w:uiPriority w:val="0"/>
    <w:pPr>
      <w:numPr>
        <w:ilvl w:val="0"/>
        <w:numId w:val="0"/>
      </w:numPr>
      <w:tabs>
        <w:tab w:val="left" w:pos="2130"/>
      </w:tabs>
      <w:spacing w:line="500" w:lineRule="exact"/>
    </w:pPr>
    <w:rPr>
      <w:rFonts w:cs="黑体"/>
      <w:bCs w:val="0"/>
      <w:szCs w:val="21"/>
    </w:rPr>
  </w:style>
  <w:style w:type="character" w:customStyle="1" w:styleId="619">
    <w:name w:val="样式 标题 4 + (西文) 宋体 Char Char"/>
    <w:link w:val="618"/>
    <w:qFormat/>
    <w:uiPriority w:val="0"/>
    <w:rPr>
      <w:rFonts w:ascii="Times New Roman" w:hAnsi="Times New Roman" w:cs="黑体"/>
      <w:b/>
      <w:snapToGrid/>
      <w:sz w:val="24"/>
      <w:szCs w:val="21"/>
    </w:rPr>
  </w:style>
  <w:style w:type="paragraph" w:customStyle="1" w:styleId="620">
    <w:name w:val="样式 样式 表格样式 + 行距: 固定值 24 磅 + 行距: 固定值 24 磅"/>
    <w:basedOn w:val="1"/>
    <w:qFormat/>
    <w:uiPriority w:val="0"/>
    <w:pPr>
      <w:widowControl/>
      <w:spacing w:line="240" w:lineRule="auto"/>
    </w:pPr>
    <w:rPr>
      <w:rFonts w:ascii="仿宋_GB2312" w:eastAsia="仿宋_GB2312"/>
      <w:kern w:val="0"/>
      <w:sz w:val="21"/>
      <w:szCs w:val="20"/>
    </w:rPr>
  </w:style>
  <w:style w:type="paragraph" w:customStyle="1" w:styleId="621">
    <w:name w:val="样式 样式 次小节 + 左侧:  1 字符 + 首行缩进:  1 字符"/>
    <w:basedOn w:val="1"/>
    <w:qFormat/>
    <w:uiPriority w:val="0"/>
    <w:pPr>
      <w:keepNext/>
      <w:keepLines/>
      <w:spacing w:line="480" w:lineRule="exact"/>
      <w:ind w:firstLine="281" w:firstLineChars="100"/>
      <w:outlineLvl w:val="3"/>
    </w:pPr>
    <w:rPr>
      <w:rFonts w:ascii="仿宋_GB2312" w:hAnsi="Arial" w:eastAsia="仿宋_GB2312"/>
      <w:b/>
      <w:sz w:val="28"/>
      <w:szCs w:val="20"/>
    </w:rPr>
  </w:style>
  <w:style w:type="paragraph" w:customStyle="1" w:styleId="622">
    <w:name w:val="样式 纯文本 + (符号) 宋体 小三 首行缩进:  1.8 字符 Char Char Char Char Char Char Char"/>
    <w:basedOn w:val="1"/>
    <w:link w:val="623"/>
    <w:qFormat/>
    <w:uiPriority w:val="0"/>
    <w:pPr>
      <w:tabs>
        <w:tab w:val="left" w:pos="0"/>
      </w:tabs>
      <w:adjustRightInd w:val="0"/>
      <w:spacing w:before="120"/>
      <w:ind w:right="210" w:rightChars="100" w:firstLine="510" w:firstLineChars="182"/>
      <w:jc w:val="left"/>
      <w:outlineLvl w:val="2"/>
    </w:pPr>
    <w:rPr>
      <w:rFonts w:ascii="仿宋_GB2312" w:hAnsi="Arial" w:eastAsia="仿宋_GB2312"/>
      <w:b/>
      <w:kern w:val="0"/>
      <w:sz w:val="28"/>
      <w:szCs w:val="28"/>
    </w:rPr>
  </w:style>
  <w:style w:type="character" w:customStyle="1" w:styleId="623">
    <w:name w:val="样式 纯文本 + (符号) 宋体 小三 首行缩进:  1.8 字符 Char Char Char Char Char Char Char Char Char"/>
    <w:link w:val="622"/>
    <w:qFormat/>
    <w:uiPriority w:val="0"/>
    <w:rPr>
      <w:rFonts w:ascii="仿宋_GB2312" w:hAnsi="Arial" w:eastAsia="仿宋_GB2312"/>
      <w:b/>
      <w:snapToGrid/>
      <w:sz w:val="28"/>
      <w:szCs w:val="28"/>
    </w:rPr>
  </w:style>
  <w:style w:type="paragraph" w:customStyle="1" w:styleId="624">
    <w:name w:val="正文2表格"/>
    <w:basedOn w:val="10"/>
    <w:qFormat/>
    <w:uiPriority w:val="0"/>
    <w:pPr>
      <w:adjustRightInd w:val="0"/>
      <w:snapToGrid w:val="0"/>
      <w:spacing w:beforeLines="20" w:afterLines="20" w:line="240" w:lineRule="auto"/>
      <w:ind w:firstLine="0" w:firstLineChars="0"/>
      <w:jc w:val="center"/>
      <w:textAlignment w:val="baseline"/>
    </w:pPr>
    <w:rPr>
      <w:rFonts w:ascii="Arial" w:hAnsi="Arial" w:cs="Arial"/>
      <w:color w:val="000000"/>
      <w:kern w:val="0"/>
      <w:szCs w:val="20"/>
    </w:rPr>
  </w:style>
  <w:style w:type="paragraph" w:customStyle="1" w:styleId="625">
    <w:name w:val="样式 四号 右侧:  -0.57 厘米 行距: 固定值 25 磅"/>
    <w:basedOn w:val="1"/>
    <w:qFormat/>
    <w:uiPriority w:val="0"/>
    <w:pPr>
      <w:spacing w:line="500" w:lineRule="exact"/>
      <w:ind w:right="-321"/>
    </w:pPr>
    <w:rPr>
      <w:rFonts w:cs="宋体"/>
      <w:kern w:val="0"/>
      <w:sz w:val="28"/>
      <w:szCs w:val="20"/>
    </w:rPr>
  </w:style>
  <w:style w:type="paragraph" w:customStyle="1" w:styleId="626">
    <w:name w:val="样式 标题 21 +"/>
    <w:basedOn w:val="7"/>
    <w:next w:val="8"/>
    <w:qFormat/>
    <w:uiPriority w:val="0"/>
    <w:pPr>
      <w:numPr>
        <w:ilvl w:val="0"/>
        <w:numId w:val="0"/>
      </w:numPr>
      <w:tabs>
        <w:tab w:val="left" w:pos="1620"/>
      </w:tabs>
      <w:adjustRightInd w:val="0"/>
      <w:snapToGrid w:val="0"/>
    </w:pPr>
    <w:rPr>
      <w:szCs w:val="28"/>
    </w:rPr>
  </w:style>
  <w:style w:type="paragraph" w:customStyle="1" w:styleId="627">
    <w:name w:val="样式 正文缩进s4正文（首行缩进两字） Char正文不缩进标题4（首行缩进两字）正文（首行缩进两字） Char Ch..."/>
    <w:basedOn w:val="10"/>
    <w:qFormat/>
    <w:uiPriority w:val="0"/>
    <w:pPr>
      <w:ind w:left="420" w:leftChars="200" w:firstLine="0" w:firstLineChars="0"/>
      <w:jc w:val="right"/>
    </w:pPr>
    <w:rPr>
      <w:rFonts w:ascii="宋体" w:hAnsi="宋体" w:cs="宋体"/>
      <w:kern w:val="0"/>
      <w:szCs w:val="20"/>
    </w:rPr>
  </w:style>
  <w:style w:type="paragraph" w:customStyle="1" w:styleId="628">
    <w:name w:val="正文 + 采用"/>
    <w:basedOn w:val="10"/>
    <w:qFormat/>
    <w:uiPriority w:val="0"/>
    <w:pPr>
      <w:adjustRightInd w:val="0"/>
      <w:snapToGrid w:val="0"/>
      <w:ind w:firstLine="560"/>
    </w:pPr>
    <w:rPr>
      <w:rFonts w:ascii="仿宋_GB2312" w:eastAsia="仿宋_GB2312"/>
      <w:color w:val="000000"/>
      <w:kern w:val="0"/>
      <w:sz w:val="28"/>
    </w:rPr>
  </w:style>
  <w:style w:type="paragraph" w:customStyle="1" w:styleId="629">
    <w:name w:val="样式 标题 3 + 宋体 段前: 自动 行距: 单倍行距"/>
    <w:basedOn w:val="8"/>
    <w:qFormat/>
    <w:uiPriority w:val="0"/>
    <w:pPr>
      <w:numPr>
        <w:ilvl w:val="0"/>
        <w:numId w:val="0"/>
      </w:numPr>
      <w:snapToGrid w:val="0"/>
      <w:spacing w:before="100" w:beforeAutospacing="1"/>
    </w:pPr>
    <w:rPr>
      <w:rFonts w:ascii="宋体" w:hAnsi="宋体"/>
      <w:szCs w:val="20"/>
    </w:rPr>
  </w:style>
  <w:style w:type="paragraph" w:customStyle="1" w:styleId="630">
    <w:name w:val="样式 标题 5 + 小四"/>
    <w:basedOn w:val="11"/>
    <w:link w:val="631"/>
    <w:qFormat/>
    <w:uiPriority w:val="0"/>
    <w:pPr>
      <w:widowControl w:val="0"/>
      <w:numPr>
        <w:ilvl w:val="0"/>
        <w:numId w:val="0"/>
      </w:numPr>
      <w:spacing w:after="100" w:afterAutospacing="1" w:line="360" w:lineRule="auto"/>
    </w:pPr>
  </w:style>
  <w:style w:type="character" w:customStyle="1" w:styleId="631">
    <w:name w:val="样式 标题 5 + 小四 Char Char"/>
    <w:link w:val="630"/>
    <w:qFormat/>
    <w:uiPriority w:val="0"/>
    <w:rPr>
      <w:rFonts w:ascii="Times New Roman" w:hAnsi="Times New Roman"/>
      <w:b/>
      <w:bCs/>
      <w:sz w:val="24"/>
      <w:szCs w:val="28"/>
    </w:rPr>
  </w:style>
  <w:style w:type="paragraph" w:customStyle="1" w:styleId="632">
    <w:name w:val="样式 宋体 小四 居中 左侧:  0.74 厘米 行距: 固定值 20 磅"/>
    <w:basedOn w:val="1"/>
    <w:qFormat/>
    <w:uiPriority w:val="0"/>
    <w:pPr>
      <w:spacing w:line="240" w:lineRule="auto"/>
      <w:jc w:val="center"/>
    </w:pPr>
    <w:rPr>
      <w:rFonts w:ascii="宋体" w:hAnsi="宋体"/>
      <w:kern w:val="0"/>
    </w:rPr>
  </w:style>
  <w:style w:type="paragraph" w:customStyle="1" w:styleId="633">
    <w:name w:val="样式 标题 2 + 段前: 0.5 行"/>
    <w:basedOn w:val="7"/>
    <w:qFormat/>
    <w:uiPriority w:val="0"/>
    <w:pPr>
      <w:numPr>
        <w:ilvl w:val="0"/>
        <w:numId w:val="0"/>
      </w:numPr>
      <w:tabs>
        <w:tab w:val="left" w:pos="1620"/>
      </w:tabs>
      <w:adjustRightInd w:val="0"/>
      <w:snapToGrid w:val="0"/>
      <w:spacing w:line="500" w:lineRule="exact"/>
    </w:pPr>
    <w:rPr>
      <w:rFonts w:ascii="Arial" w:hAnsi="Arial" w:cs="宋体"/>
      <w:sz w:val="30"/>
      <w:szCs w:val="20"/>
    </w:rPr>
  </w:style>
  <w:style w:type="paragraph" w:customStyle="1" w:styleId="634">
    <w:name w:val="样式 黑体 黑色 居中 行距: 1.5 倍行距"/>
    <w:basedOn w:val="1"/>
    <w:qFormat/>
    <w:uiPriority w:val="0"/>
    <w:pPr>
      <w:jc w:val="center"/>
    </w:pPr>
    <w:rPr>
      <w:rFonts w:ascii="黑体" w:eastAsia="黑体" w:cs="宋体"/>
      <w:color w:val="000000"/>
      <w:sz w:val="21"/>
      <w:szCs w:val="20"/>
    </w:rPr>
  </w:style>
  <w:style w:type="paragraph" w:customStyle="1" w:styleId="635">
    <w:name w:val="正文（首行缩进）"/>
    <w:basedOn w:val="1"/>
    <w:link w:val="636"/>
    <w:qFormat/>
    <w:uiPriority w:val="0"/>
    <w:pPr>
      <w:widowControl/>
      <w:ind w:firstLine="200" w:firstLineChars="200"/>
      <w:jc w:val="left"/>
    </w:pPr>
    <w:rPr>
      <w:rFonts w:ascii="宋体" w:hAnsi="宋体"/>
      <w:color w:val="000000"/>
      <w:kern w:val="0"/>
      <w:szCs w:val="20"/>
    </w:rPr>
  </w:style>
  <w:style w:type="character" w:customStyle="1" w:styleId="636">
    <w:name w:val="正文（首行缩进） Char Char"/>
    <w:link w:val="635"/>
    <w:qFormat/>
    <w:uiPriority w:val="0"/>
    <w:rPr>
      <w:rFonts w:ascii="宋体" w:hAnsi="宋体"/>
      <w:snapToGrid/>
      <w:color w:val="000000"/>
      <w:sz w:val="24"/>
    </w:rPr>
  </w:style>
  <w:style w:type="paragraph" w:customStyle="1" w:styleId="637">
    <w:name w:val="样式 标题 3 + 行距: 1.5 倍行距"/>
    <w:basedOn w:val="8"/>
    <w:qFormat/>
    <w:uiPriority w:val="0"/>
    <w:pPr>
      <w:numPr>
        <w:ilvl w:val="0"/>
        <w:numId w:val="0"/>
      </w:numPr>
      <w:spacing w:before="100" w:beforeAutospacing="1"/>
    </w:pPr>
    <w:rPr>
      <w:szCs w:val="20"/>
    </w:rPr>
  </w:style>
  <w:style w:type="paragraph" w:customStyle="1" w:styleId="638">
    <w:name w:val="样式 正文缩进s4标题4正文（首行缩进两字） Char正文（首行缩进两字） Char Char Char Char Ch..."/>
    <w:basedOn w:val="10"/>
    <w:qFormat/>
    <w:uiPriority w:val="0"/>
    <w:pPr>
      <w:spacing w:line="240" w:lineRule="auto"/>
    </w:pPr>
    <w:rPr>
      <w:rFonts w:eastAsia="仿宋_GB2312"/>
      <w:kern w:val="0"/>
      <w:sz w:val="21"/>
      <w:szCs w:val="20"/>
    </w:rPr>
  </w:style>
  <w:style w:type="paragraph" w:customStyle="1" w:styleId="639">
    <w:name w:val="样式 正文缩进s4标题4正文（首行缩进两字） Char正文（首行缩进两字） Char Char Char Char Ch...1"/>
    <w:basedOn w:val="10"/>
    <w:qFormat/>
    <w:uiPriority w:val="0"/>
    <w:pPr>
      <w:spacing w:line="240" w:lineRule="auto"/>
      <w:ind w:firstLine="150" w:firstLineChars="150"/>
    </w:pPr>
    <w:rPr>
      <w:rFonts w:ascii="仿宋_GB2312" w:eastAsia="仿宋_GB2312" w:cs="宋体"/>
      <w:kern w:val="0"/>
      <w:sz w:val="21"/>
      <w:szCs w:val="20"/>
    </w:rPr>
  </w:style>
  <w:style w:type="paragraph" w:customStyle="1" w:styleId="640">
    <w:name w:val="样式 标题 3Char Charh33rd levelH3l3CTReHead 3 WSAB Head....."/>
    <w:basedOn w:val="8"/>
    <w:qFormat/>
    <w:uiPriority w:val="0"/>
    <w:pPr>
      <w:numPr>
        <w:ilvl w:val="0"/>
        <w:numId w:val="0"/>
      </w:numPr>
      <w:spacing w:before="100" w:beforeAutospacing="1" w:line="240" w:lineRule="auto"/>
    </w:pPr>
    <w:rPr>
      <w:rFonts w:ascii="仿宋_GB2312" w:hAnsi="仿宋_GB2312" w:eastAsia="仿宋_GB2312"/>
      <w:sz w:val="21"/>
      <w:szCs w:val="28"/>
    </w:rPr>
  </w:style>
  <w:style w:type="paragraph" w:customStyle="1" w:styleId="641">
    <w:name w:val="样式 标题 3Char Charh33rd levelH3l3CTReHead 3 WSAB Head.....1"/>
    <w:basedOn w:val="8"/>
    <w:qFormat/>
    <w:uiPriority w:val="0"/>
    <w:pPr>
      <w:numPr>
        <w:ilvl w:val="0"/>
        <w:numId w:val="0"/>
      </w:numPr>
      <w:spacing w:before="100" w:beforeAutospacing="1" w:line="240" w:lineRule="auto"/>
    </w:pPr>
    <w:rPr>
      <w:rFonts w:ascii="仿宋_GB2312" w:hAnsi="仿宋_GB2312" w:eastAsia="仿宋_GB2312"/>
      <w:sz w:val="21"/>
    </w:rPr>
  </w:style>
  <w:style w:type="paragraph" w:customStyle="1" w:styleId="642">
    <w:name w:val="样式 行距: 1.5 倍行距 首行缩进:  2 字符"/>
    <w:basedOn w:val="1"/>
    <w:qFormat/>
    <w:uiPriority w:val="0"/>
    <w:pPr>
      <w:ind w:firstLine="420" w:firstLineChars="200"/>
    </w:pPr>
    <w:rPr>
      <w:rFonts w:cs="宋体"/>
      <w:szCs w:val="20"/>
    </w:rPr>
  </w:style>
  <w:style w:type="paragraph" w:customStyle="1" w:styleId="643">
    <w:name w:val="样式 标题 3 + 宋体"/>
    <w:basedOn w:val="8"/>
    <w:next w:val="8"/>
    <w:qFormat/>
    <w:uiPriority w:val="0"/>
    <w:pPr>
      <w:numPr>
        <w:ilvl w:val="0"/>
        <w:numId w:val="0"/>
      </w:numPr>
      <w:spacing w:before="100" w:beforeAutospacing="1" w:line="240" w:lineRule="auto"/>
    </w:pPr>
    <w:rPr>
      <w:rFonts w:ascii="宋体" w:hAnsi="宋体"/>
      <w:sz w:val="21"/>
    </w:rPr>
  </w:style>
  <w:style w:type="paragraph" w:customStyle="1" w:styleId="644">
    <w:name w:val="正缩1"/>
    <w:basedOn w:val="1"/>
    <w:link w:val="645"/>
    <w:qFormat/>
    <w:uiPriority w:val="0"/>
    <w:pPr>
      <w:snapToGrid w:val="0"/>
      <w:spacing w:line="500" w:lineRule="exact"/>
      <w:ind w:firstLine="567"/>
    </w:pPr>
    <w:rPr>
      <w:rFonts w:eastAsia="仿宋_GB2312"/>
      <w:color w:val="000000"/>
      <w:kern w:val="0"/>
      <w:sz w:val="28"/>
      <w:szCs w:val="20"/>
    </w:rPr>
  </w:style>
  <w:style w:type="character" w:customStyle="1" w:styleId="645">
    <w:name w:val="正缩1 Char Char"/>
    <w:link w:val="644"/>
    <w:qFormat/>
    <w:uiPriority w:val="0"/>
    <w:rPr>
      <w:rFonts w:ascii="Times New Roman" w:hAnsi="Times New Roman" w:eastAsia="仿宋_GB2312"/>
      <w:snapToGrid/>
      <w:color w:val="000000"/>
      <w:sz w:val="28"/>
    </w:rPr>
  </w:style>
  <w:style w:type="paragraph" w:customStyle="1" w:styleId="646">
    <w:name w:val="样式 行距: 最小值 12 磅"/>
    <w:basedOn w:val="1"/>
    <w:qFormat/>
    <w:uiPriority w:val="0"/>
    <w:pPr>
      <w:spacing w:beforeLines="50" w:afterLines="50" w:line="500" w:lineRule="exact"/>
      <w:ind w:firstLine="480" w:firstLineChars="200"/>
    </w:pPr>
    <w:rPr>
      <w:rFonts w:ascii="宋体" w:hAnsi="宋体"/>
      <w:color w:val="000000"/>
      <w:kern w:val="0"/>
      <w:szCs w:val="20"/>
    </w:rPr>
  </w:style>
  <w:style w:type="paragraph" w:customStyle="1" w:styleId="647">
    <w:name w:val="自定义正文"/>
    <w:qFormat/>
    <w:uiPriority w:val="0"/>
    <w:pPr>
      <w:widowControl w:val="0"/>
      <w:adjustRightInd w:val="0"/>
      <w:snapToGrid w:val="0"/>
      <w:spacing w:line="360" w:lineRule="auto"/>
      <w:ind w:firstLine="510"/>
      <w:jc w:val="both"/>
    </w:pPr>
    <w:rPr>
      <w:rFonts w:ascii="Times New Roman" w:hAnsi="Times New Roman" w:eastAsia="宋体" w:cs="Times New Roman"/>
      <w:spacing w:val="-2"/>
      <w:sz w:val="28"/>
      <w:szCs w:val="24"/>
      <w:lang w:val="en-US" w:eastAsia="zh-CN" w:bidi="ar-SA"/>
    </w:rPr>
  </w:style>
  <w:style w:type="paragraph" w:customStyle="1" w:styleId="648">
    <w:name w:val="子弹头型编号"/>
    <w:basedOn w:val="1"/>
    <w:qFormat/>
    <w:uiPriority w:val="0"/>
    <w:pPr>
      <w:tabs>
        <w:tab w:val="left" w:pos="425"/>
        <w:tab w:val="left" w:pos="780"/>
      </w:tabs>
      <w:adjustRightInd w:val="0"/>
      <w:ind w:left="850" w:hanging="425"/>
      <w:textAlignment w:val="baseline"/>
    </w:pPr>
    <w:rPr>
      <w:kern w:val="0"/>
      <w:szCs w:val="20"/>
    </w:rPr>
  </w:style>
  <w:style w:type="paragraph" w:customStyle="1" w:styleId="649">
    <w:name w:val="样式 标题 1 + 段前: 0.5 行 段后: 0.5 行"/>
    <w:basedOn w:val="5"/>
    <w:qFormat/>
    <w:uiPriority w:val="0"/>
    <w:pPr>
      <w:keepNext/>
      <w:keepLines/>
      <w:numPr>
        <w:numId w:val="0"/>
      </w:numPr>
      <w:tabs>
        <w:tab w:val="left" w:pos="780"/>
      </w:tabs>
      <w:spacing w:beforeLines="50" w:afterLines="50" w:line="600" w:lineRule="exact"/>
      <w:ind w:left="780" w:hanging="360"/>
      <w:jc w:val="both"/>
    </w:pPr>
    <w:rPr>
      <w:rFonts w:ascii="Times New Roman" w:hAnsi="Times New Roman"/>
      <w:bCs/>
      <w:kern w:val="44"/>
      <w:sz w:val="28"/>
      <w:szCs w:val="20"/>
    </w:rPr>
  </w:style>
  <w:style w:type="paragraph" w:customStyle="1" w:styleId="650">
    <w:name w:val="样式 标题 1"/>
    <w:basedOn w:val="5"/>
    <w:next w:val="5"/>
    <w:qFormat/>
    <w:uiPriority w:val="0"/>
    <w:pPr>
      <w:keepNext/>
      <w:keepLines/>
      <w:numPr>
        <w:numId w:val="0"/>
      </w:numPr>
      <w:tabs>
        <w:tab w:val="left" w:pos="780"/>
      </w:tabs>
      <w:spacing w:beforeLines="50" w:afterLines="50" w:line="600" w:lineRule="exact"/>
      <w:ind w:left="780" w:hanging="360"/>
      <w:jc w:val="both"/>
    </w:pPr>
    <w:rPr>
      <w:rFonts w:ascii="Times New Roman" w:hAnsi="Times New Roman"/>
      <w:bCs/>
      <w:kern w:val="44"/>
      <w:sz w:val="28"/>
      <w:szCs w:val="20"/>
    </w:rPr>
  </w:style>
  <w:style w:type="paragraph" w:customStyle="1" w:styleId="651">
    <w:name w:val="预算说明正文"/>
    <w:basedOn w:val="1"/>
    <w:qFormat/>
    <w:uiPriority w:val="0"/>
    <w:pPr>
      <w:spacing w:line="240" w:lineRule="auto"/>
    </w:pPr>
    <w:rPr>
      <w:sz w:val="21"/>
      <w:szCs w:val="20"/>
    </w:rPr>
  </w:style>
  <w:style w:type="paragraph" w:customStyle="1" w:styleId="652">
    <w:name w:val="样式 题注 + 居中 段后: 7.8 磅"/>
    <w:basedOn w:val="1"/>
    <w:qFormat/>
    <w:uiPriority w:val="0"/>
    <w:pPr>
      <w:spacing w:afterLines="50" w:line="600" w:lineRule="exact"/>
      <w:jc w:val="center"/>
    </w:pPr>
    <w:rPr>
      <w:sz w:val="28"/>
    </w:rPr>
  </w:style>
  <w:style w:type="paragraph" w:customStyle="1" w:styleId="653">
    <w:name w:val="样式 标题 1标题 1 Char + 黑体 小二 加粗 居中 段前: 6 磅 段后: 6 磅 行距: 1.5 倍行距"/>
    <w:basedOn w:val="5"/>
    <w:qFormat/>
    <w:uiPriority w:val="0"/>
    <w:pPr>
      <w:keepNext/>
      <w:keepLines/>
      <w:numPr>
        <w:numId w:val="0"/>
      </w:numPr>
      <w:snapToGrid w:val="0"/>
      <w:spacing w:beforeLines="50" w:afterLines="50" w:line="500" w:lineRule="exact"/>
      <w:jc w:val="both"/>
    </w:pPr>
    <w:rPr>
      <w:rFonts w:ascii="宋体" w:hAnsi="宋体" w:cs="宋体"/>
      <w:bCs/>
      <w:kern w:val="44"/>
      <w:sz w:val="28"/>
      <w:szCs w:val="28"/>
    </w:rPr>
  </w:style>
  <w:style w:type="paragraph" w:customStyle="1" w:styleId="654">
    <w:name w:val="样式 标题 2 + (西文) Times New Roman (中文) 宋体 段前: 6 磅 段后: 6 磅 行距: 1..."/>
    <w:basedOn w:val="7"/>
    <w:qFormat/>
    <w:uiPriority w:val="0"/>
    <w:pPr>
      <w:numPr>
        <w:ilvl w:val="0"/>
        <w:numId w:val="0"/>
      </w:numPr>
      <w:snapToGrid w:val="0"/>
      <w:spacing w:line="500" w:lineRule="exact"/>
    </w:pPr>
    <w:rPr>
      <w:szCs w:val="28"/>
    </w:rPr>
  </w:style>
  <w:style w:type="paragraph" w:customStyle="1" w:styleId="655">
    <w:name w:val="样式 标题 2 + (西文) Times New Roman (中文) 宋体 小三 段前: 6 磅 段后: 6 磅 行..."/>
    <w:basedOn w:val="8"/>
    <w:qFormat/>
    <w:uiPriority w:val="0"/>
    <w:pPr>
      <w:numPr>
        <w:ilvl w:val="0"/>
        <w:numId w:val="0"/>
      </w:numPr>
      <w:adjustRightInd w:val="0"/>
      <w:snapToGrid w:val="0"/>
      <w:spacing w:line="500" w:lineRule="exact"/>
      <w:outlineLvl w:val="9"/>
    </w:pPr>
    <w:rPr>
      <w:szCs w:val="28"/>
    </w:rPr>
  </w:style>
  <w:style w:type="paragraph" w:customStyle="1" w:styleId="656">
    <w:name w:val="样式 宋体 行距: 固定值 25 磅"/>
    <w:basedOn w:val="1"/>
    <w:qFormat/>
    <w:uiPriority w:val="0"/>
    <w:pPr>
      <w:spacing w:line="500" w:lineRule="exact"/>
      <w:ind w:firstLine="560" w:firstLineChars="200"/>
    </w:pPr>
    <w:rPr>
      <w:rFonts w:cs="宋体"/>
      <w:kern w:val="10"/>
      <w:sz w:val="28"/>
      <w:szCs w:val="20"/>
    </w:rPr>
  </w:style>
  <w:style w:type="paragraph" w:customStyle="1" w:styleId="657">
    <w:name w:val="样式8"/>
    <w:basedOn w:val="33"/>
    <w:qFormat/>
    <w:uiPriority w:val="0"/>
    <w:pPr>
      <w:pBdr>
        <w:top w:val="single" w:color="auto" w:sz="4" w:space="1"/>
      </w:pBdr>
      <w:spacing w:line="240" w:lineRule="auto"/>
      <w:ind w:firstLine="360" w:firstLineChars="200"/>
    </w:pPr>
    <w:rPr>
      <w:rFonts w:ascii="Times New Roman" w:hAnsi="Times New Roman"/>
    </w:rPr>
  </w:style>
  <w:style w:type="paragraph" w:customStyle="1" w:styleId="658">
    <w:name w:val="样式 四号 行距: 固定值 35 磅"/>
    <w:basedOn w:val="1"/>
    <w:qFormat/>
    <w:uiPriority w:val="0"/>
    <w:pPr>
      <w:spacing w:line="700" w:lineRule="exact"/>
    </w:pPr>
    <w:rPr>
      <w:rFonts w:cs="宋体"/>
      <w:sz w:val="28"/>
      <w:szCs w:val="20"/>
    </w:rPr>
  </w:style>
  <w:style w:type="paragraph" w:customStyle="1" w:styleId="659">
    <w:name w:val="样式 标题 2 + 宋体 四号 段前: 13.95 磅 段后: 13.95 磅 行距: 固定值 25 磅"/>
    <w:basedOn w:val="7"/>
    <w:qFormat/>
    <w:uiPriority w:val="0"/>
    <w:pPr>
      <w:numPr>
        <w:ilvl w:val="0"/>
        <w:numId w:val="0"/>
      </w:numPr>
      <w:spacing w:line="500" w:lineRule="exact"/>
    </w:pPr>
    <w:rPr>
      <w:rFonts w:ascii="宋体" w:hAnsi="宋体" w:cs="宋体"/>
      <w:szCs w:val="20"/>
    </w:rPr>
  </w:style>
  <w:style w:type="paragraph" w:customStyle="1" w:styleId="660">
    <w:name w:val="样式 标题 3 + 四号 非加粗"/>
    <w:basedOn w:val="8"/>
    <w:qFormat/>
    <w:uiPriority w:val="0"/>
    <w:pPr>
      <w:numPr>
        <w:ilvl w:val="0"/>
        <w:numId w:val="0"/>
      </w:numPr>
    </w:pPr>
    <w:rPr>
      <w:bCs/>
    </w:rPr>
  </w:style>
  <w:style w:type="paragraph" w:customStyle="1" w:styleId="661">
    <w:name w:val="样式 样式 首行缩进:  0.85 厘米 + 首行缩进:  0.85 厘米"/>
    <w:basedOn w:val="1"/>
    <w:qFormat/>
    <w:uiPriority w:val="0"/>
    <w:pPr>
      <w:ind w:firstLine="480" w:firstLineChars="200"/>
      <w:jc w:val="left"/>
    </w:pPr>
    <w:rPr>
      <w:rFonts w:cs="宋体"/>
      <w:szCs w:val="20"/>
    </w:rPr>
  </w:style>
  <w:style w:type="paragraph" w:customStyle="1" w:styleId="662">
    <w:name w:val="样式 标题 2 + 首行缩进:  0 字符"/>
    <w:basedOn w:val="7"/>
    <w:qFormat/>
    <w:uiPriority w:val="0"/>
    <w:pPr>
      <w:numPr>
        <w:ilvl w:val="0"/>
        <w:numId w:val="0"/>
      </w:numPr>
      <w:ind w:firstLine="200" w:firstLineChars="200"/>
    </w:pPr>
    <w:rPr>
      <w:rFonts w:ascii="Arial" w:hAnsi="Arial"/>
      <w:szCs w:val="20"/>
    </w:rPr>
  </w:style>
  <w:style w:type="paragraph" w:customStyle="1" w:styleId="663">
    <w:name w:val="样式3 Char Char"/>
    <w:basedOn w:val="1"/>
    <w:qFormat/>
    <w:uiPriority w:val="0"/>
    <w:pPr>
      <w:adjustRightInd w:val="0"/>
      <w:snapToGrid w:val="0"/>
      <w:ind w:firstLine="200" w:firstLineChars="200"/>
    </w:pPr>
    <w:rPr>
      <w:rFonts w:ascii="宋体" w:hAnsi="宋体"/>
      <w:sz w:val="28"/>
      <w:szCs w:val="28"/>
    </w:rPr>
  </w:style>
  <w:style w:type="paragraph" w:customStyle="1" w:styleId="664">
    <w:name w:val="样式 样式 宋体 段前: 0.5 行 行距: 固定值 18 磅 + 首行缩进:  2 字符"/>
    <w:basedOn w:val="1"/>
    <w:link w:val="665"/>
    <w:qFormat/>
    <w:uiPriority w:val="0"/>
    <w:pPr>
      <w:snapToGrid w:val="0"/>
      <w:spacing w:beforeLines="50"/>
      <w:ind w:firstLine="480" w:firstLineChars="200"/>
    </w:pPr>
    <w:rPr>
      <w:rFonts w:ascii="宋体" w:hAnsi="宋体"/>
      <w:color w:val="000000"/>
      <w:kern w:val="0"/>
    </w:rPr>
  </w:style>
  <w:style w:type="character" w:customStyle="1" w:styleId="665">
    <w:name w:val="样式 样式 宋体 段前: 0.5 行 行距: 固定值 18 磅 + 首行缩进:  2 字符 Char Char"/>
    <w:link w:val="664"/>
    <w:qFormat/>
    <w:uiPriority w:val="0"/>
    <w:rPr>
      <w:rFonts w:ascii="宋体" w:hAnsi="宋体"/>
      <w:color w:val="000000"/>
      <w:sz w:val="24"/>
      <w:szCs w:val="24"/>
    </w:rPr>
  </w:style>
  <w:style w:type="paragraph" w:customStyle="1" w:styleId="666">
    <w:name w:val="正文（左悬挂）"/>
    <w:basedOn w:val="1"/>
    <w:next w:val="1"/>
    <w:link w:val="667"/>
    <w:qFormat/>
    <w:uiPriority w:val="0"/>
    <w:pPr>
      <w:ind w:firstLine="468" w:firstLineChars="195"/>
    </w:pPr>
    <w:rPr>
      <w:rFonts w:ascii="宋体" w:hAnsi="宋体"/>
      <w:kern w:val="0"/>
    </w:rPr>
  </w:style>
  <w:style w:type="character" w:customStyle="1" w:styleId="667">
    <w:name w:val="正文（左悬挂） Char Char"/>
    <w:link w:val="666"/>
    <w:qFormat/>
    <w:uiPriority w:val="0"/>
    <w:rPr>
      <w:rFonts w:ascii="宋体" w:hAnsi="宋体"/>
      <w:snapToGrid/>
      <w:sz w:val="24"/>
      <w:szCs w:val="24"/>
    </w:rPr>
  </w:style>
  <w:style w:type="paragraph" w:customStyle="1" w:styleId="668">
    <w:name w:val="样式 table + 两端对齐"/>
    <w:basedOn w:val="15"/>
    <w:qFormat/>
    <w:uiPriority w:val="0"/>
    <w:pPr>
      <w:numPr>
        <w:ilvl w:val="0"/>
        <w:numId w:val="0"/>
      </w:numPr>
      <w:adjustRightInd w:val="0"/>
      <w:snapToGrid w:val="0"/>
      <w:spacing w:beforeLines="50" w:after="0" w:line="240" w:lineRule="auto"/>
      <w:outlineLvl w:val="9"/>
    </w:pPr>
    <w:rPr>
      <w:rFonts w:ascii="Times New Roman" w:hAnsi="Times New Roman" w:cs="宋体"/>
      <w:color w:val="000000"/>
      <w:kern w:val="2"/>
      <w:sz w:val="21"/>
      <w:szCs w:val="20"/>
    </w:rPr>
  </w:style>
  <w:style w:type="paragraph" w:customStyle="1" w:styleId="669">
    <w:name w:val="样式 标题 3四号宋体左齐行距1.5倍 + Times New Roman"/>
    <w:basedOn w:val="8"/>
    <w:qFormat/>
    <w:uiPriority w:val="0"/>
    <w:pPr>
      <w:numPr>
        <w:ilvl w:val="0"/>
        <w:numId w:val="0"/>
      </w:numPr>
      <w:spacing w:beforeLines="30" w:afterLines="20" w:line="240" w:lineRule="auto"/>
    </w:pPr>
    <w:rPr>
      <w:bCs/>
    </w:rPr>
  </w:style>
  <w:style w:type="paragraph" w:customStyle="1" w:styleId="670">
    <w:name w:val="样式 标题 2 + (西文) Times New Roman (中文) 宋体 小二 加粗 居中 段前: 7.8 磅 ..."/>
    <w:basedOn w:val="7"/>
    <w:qFormat/>
    <w:uiPriority w:val="0"/>
    <w:pPr>
      <w:numPr>
        <w:ilvl w:val="0"/>
        <w:numId w:val="0"/>
      </w:numPr>
      <w:tabs>
        <w:tab w:val="left" w:pos="1575"/>
      </w:tabs>
      <w:adjustRightInd w:val="0"/>
      <w:snapToGrid w:val="0"/>
      <w:spacing w:beforeLines="150" w:afterLines="100"/>
    </w:pPr>
    <w:rPr>
      <w:rFonts w:eastAsia="宋体-18030"/>
      <w:color w:val="000000"/>
      <w:sz w:val="24"/>
      <w:szCs w:val="24"/>
    </w:rPr>
  </w:style>
  <w:style w:type="paragraph" w:customStyle="1" w:styleId="671">
    <w:name w:val="样式 正文缩进正文缩进 Char + 首行缩进:  2 字符"/>
    <w:basedOn w:val="10"/>
    <w:qFormat/>
    <w:uiPriority w:val="0"/>
    <w:pPr>
      <w:adjustRightInd w:val="0"/>
      <w:snapToGrid w:val="0"/>
      <w:spacing w:before="120" w:after="120" w:line="480" w:lineRule="exact"/>
      <w:ind w:firstLine="0" w:firstLineChars="0"/>
      <w:jc w:val="center"/>
    </w:pPr>
    <w:rPr>
      <w:rFonts w:ascii="宋体" w:hAnsi="宋体"/>
      <w:b/>
      <w:kern w:val="0"/>
      <w:szCs w:val="28"/>
    </w:rPr>
  </w:style>
  <w:style w:type="paragraph" w:customStyle="1" w:styleId="672">
    <w:name w:val="样式 表体 + 五号 两端对齐 首行缩进:  2 字符 行距: 最小值 12 磅"/>
    <w:basedOn w:val="1"/>
    <w:qFormat/>
    <w:uiPriority w:val="0"/>
    <w:pPr>
      <w:spacing w:line="240" w:lineRule="auto"/>
    </w:pPr>
    <w:rPr>
      <w:rFonts w:ascii="宋体" w:hAnsi="宋体"/>
      <w:color w:val="000000"/>
      <w:sz w:val="21"/>
      <w:szCs w:val="21"/>
    </w:rPr>
  </w:style>
  <w:style w:type="paragraph" w:customStyle="1" w:styleId="673">
    <w:name w:val="样式 标题3 + 宋体 三号 左 段前: 6 磅"/>
    <w:basedOn w:val="8"/>
    <w:qFormat/>
    <w:uiPriority w:val="0"/>
    <w:pPr>
      <w:numPr>
        <w:ilvl w:val="0"/>
        <w:numId w:val="0"/>
      </w:numPr>
      <w:spacing w:before="120" w:line="240" w:lineRule="auto"/>
    </w:pPr>
    <w:rPr>
      <w:szCs w:val="24"/>
    </w:rPr>
  </w:style>
  <w:style w:type="paragraph" w:customStyle="1" w:styleId="674">
    <w:name w:val="样式 标题3 + 宋体 三号 红色 左 段前: 6 磅"/>
    <w:basedOn w:val="8"/>
    <w:qFormat/>
    <w:uiPriority w:val="0"/>
    <w:pPr>
      <w:numPr>
        <w:ilvl w:val="0"/>
        <w:numId w:val="0"/>
      </w:numPr>
      <w:spacing w:before="120" w:line="240" w:lineRule="auto"/>
    </w:pPr>
    <w:rPr>
      <w:rFonts w:ascii="宋体" w:hAnsi="宋体"/>
      <w:color w:val="FF0000"/>
      <w:szCs w:val="20"/>
    </w:rPr>
  </w:style>
  <w:style w:type="paragraph" w:customStyle="1" w:styleId="675">
    <w:name w:val="样式 表（左对齐） + 左侧:  12.35 厘米"/>
    <w:basedOn w:val="1"/>
    <w:qFormat/>
    <w:uiPriority w:val="0"/>
    <w:pPr>
      <w:jc w:val="left"/>
    </w:pPr>
    <w:rPr>
      <w:rFonts w:cs="宋体"/>
      <w:bCs/>
      <w:kern w:val="0"/>
    </w:rPr>
  </w:style>
  <w:style w:type="paragraph" w:customStyle="1" w:styleId="676">
    <w:name w:val="样式 标题4 + 自动设置 左"/>
    <w:basedOn w:val="1"/>
    <w:next w:val="1"/>
    <w:qFormat/>
    <w:uiPriority w:val="0"/>
    <w:pPr>
      <w:keepNext/>
      <w:keepLines/>
      <w:spacing w:before="260" w:after="260" w:line="240" w:lineRule="auto"/>
      <w:jc w:val="left"/>
      <w:outlineLvl w:val="3"/>
    </w:pPr>
    <w:rPr>
      <w:rFonts w:eastAsia="仿宋_GB2312" w:cs="宋体"/>
      <w:b/>
      <w:bCs/>
      <w:szCs w:val="20"/>
    </w:rPr>
  </w:style>
  <w:style w:type="paragraph" w:customStyle="1" w:styleId="677">
    <w:name w:val="样式 行距: 固定值 20 磅"/>
    <w:basedOn w:val="1"/>
    <w:link w:val="678"/>
    <w:qFormat/>
    <w:uiPriority w:val="0"/>
    <w:pPr>
      <w:spacing w:line="240" w:lineRule="auto"/>
      <w:ind w:firstLine="200"/>
      <w:jc w:val="left"/>
    </w:pPr>
    <w:rPr>
      <w:rFonts w:eastAsia="楷体_GB2312"/>
      <w:bCs/>
      <w:kern w:val="0"/>
      <w:szCs w:val="28"/>
    </w:rPr>
  </w:style>
  <w:style w:type="character" w:customStyle="1" w:styleId="678">
    <w:name w:val="样式 行距: 固定值 20 磅 Char Char"/>
    <w:link w:val="677"/>
    <w:qFormat/>
    <w:uiPriority w:val="0"/>
    <w:rPr>
      <w:rFonts w:ascii="Times New Roman" w:hAnsi="Times New Roman" w:eastAsia="楷体_GB2312"/>
      <w:bCs/>
      <w:sz w:val="24"/>
      <w:szCs w:val="28"/>
    </w:rPr>
  </w:style>
  <w:style w:type="paragraph" w:customStyle="1" w:styleId="679">
    <w:name w:val="样式 55 + 宋体"/>
    <w:basedOn w:val="1"/>
    <w:link w:val="680"/>
    <w:qFormat/>
    <w:uiPriority w:val="0"/>
    <w:pPr>
      <w:keepNext/>
      <w:keepLines/>
      <w:spacing w:line="240" w:lineRule="auto"/>
      <w:ind w:left="560" w:firstLine="560"/>
      <w:jc w:val="left"/>
      <w:outlineLvl w:val="4"/>
    </w:pPr>
    <w:rPr>
      <w:rFonts w:ascii="宋体" w:hAnsi="宋体" w:eastAsia="仿宋_GB2312"/>
      <w:b/>
      <w:bCs/>
      <w:kern w:val="0"/>
      <w:sz w:val="28"/>
      <w:szCs w:val="28"/>
    </w:rPr>
  </w:style>
  <w:style w:type="character" w:customStyle="1" w:styleId="680">
    <w:name w:val="样式 55 + 宋体 Char Char"/>
    <w:link w:val="679"/>
    <w:qFormat/>
    <w:uiPriority w:val="0"/>
    <w:rPr>
      <w:rFonts w:ascii="宋体" w:hAnsi="宋体" w:eastAsia="仿宋_GB2312"/>
      <w:b/>
      <w:bCs/>
      <w:sz w:val="28"/>
      <w:szCs w:val="28"/>
    </w:rPr>
  </w:style>
  <w:style w:type="paragraph" w:customStyle="1" w:styleId="681">
    <w:name w:val="样式 666 + 宋体 首行缩进:  2 字符"/>
    <w:basedOn w:val="1"/>
    <w:qFormat/>
    <w:uiPriority w:val="0"/>
    <w:pPr>
      <w:keepNext/>
      <w:keepLines/>
      <w:autoSpaceDE w:val="0"/>
      <w:autoSpaceDN w:val="0"/>
      <w:adjustRightInd w:val="0"/>
      <w:spacing w:line="377" w:lineRule="auto"/>
      <w:ind w:left="560" w:firstLine="200"/>
      <w:jc w:val="left"/>
      <w:outlineLvl w:val="4"/>
    </w:pPr>
    <w:rPr>
      <w:rFonts w:ascii="宋体" w:hAnsi="宋体" w:cs="宋体"/>
      <w:b/>
      <w:bCs/>
      <w:kern w:val="0"/>
      <w:sz w:val="28"/>
      <w:szCs w:val="20"/>
    </w:rPr>
  </w:style>
  <w:style w:type="paragraph" w:customStyle="1" w:styleId="682">
    <w:name w:val="样式 666 + 宋体 首行缩进:  2 字符 行距: 单倍行距"/>
    <w:basedOn w:val="1"/>
    <w:qFormat/>
    <w:uiPriority w:val="0"/>
    <w:pPr>
      <w:keepNext/>
      <w:keepLines/>
      <w:autoSpaceDE w:val="0"/>
      <w:autoSpaceDN w:val="0"/>
      <w:adjustRightInd w:val="0"/>
      <w:spacing w:before="280" w:after="290" w:line="240" w:lineRule="auto"/>
      <w:ind w:left="560" w:firstLine="200"/>
      <w:jc w:val="left"/>
      <w:outlineLvl w:val="4"/>
    </w:pPr>
    <w:rPr>
      <w:rFonts w:ascii="宋体" w:hAnsi="宋体" w:cs="宋体"/>
      <w:b/>
      <w:bCs/>
      <w:kern w:val="0"/>
      <w:sz w:val="28"/>
      <w:szCs w:val="20"/>
    </w:rPr>
  </w:style>
  <w:style w:type="paragraph" w:customStyle="1" w:styleId="683">
    <w:name w:val="样式 表 +"/>
    <w:basedOn w:val="1"/>
    <w:semiHidden/>
    <w:qFormat/>
    <w:uiPriority w:val="0"/>
    <w:pPr>
      <w:spacing w:line="240" w:lineRule="auto"/>
      <w:jc w:val="center"/>
    </w:pPr>
    <w:rPr>
      <w:bCs/>
      <w:kern w:val="0"/>
      <w:sz w:val="21"/>
      <w:szCs w:val="28"/>
    </w:rPr>
  </w:style>
  <w:style w:type="paragraph" w:customStyle="1" w:styleId="684">
    <w:name w:val="样式 样式 666 + 宋体 首行缩进:  2 字符 行距: 单倍行距 + 首行缩进:  2 字符"/>
    <w:basedOn w:val="682"/>
    <w:qFormat/>
    <w:uiPriority w:val="0"/>
    <w:pPr>
      <w:adjustRightInd/>
      <w:spacing w:before="0" w:after="0"/>
      <w:ind w:left="0" w:firstLine="0"/>
      <w:jc w:val="both"/>
      <w:outlineLvl w:val="9"/>
    </w:pPr>
    <w:rPr>
      <w:rFonts w:ascii="Calibri" w:hAnsi="Calibri" w:cs="Times New Roman"/>
      <w:b w:val="0"/>
      <w:bCs w:val="0"/>
      <w:kern w:val="2"/>
      <w:sz w:val="21"/>
      <w:szCs w:val="22"/>
    </w:rPr>
  </w:style>
  <w:style w:type="paragraph" w:customStyle="1" w:styleId="685">
    <w:name w:val="样式 标题3 + 首行缩进:  2 字符"/>
    <w:basedOn w:val="8"/>
    <w:qFormat/>
    <w:uiPriority w:val="0"/>
    <w:pPr>
      <w:numPr>
        <w:ilvl w:val="0"/>
        <w:numId w:val="0"/>
      </w:numPr>
    </w:pPr>
    <w:rPr>
      <w:rFonts w:ascii="宋体" w:hAnsi="宋体"/>
      <w:sz w:val="30"/>
      <w:szCs w:val="20"/>
    </w:rPr>
  </w:style>
  <w:style w:type="paragraph" w:customStyle="1" w:styleId="686">
    <w:name w:val="样式 标题5 + 首行缩进:  1.13 厘米"/>
    <w:basedOn w:val="1"/>
    <w:qFormat/>
    <w:uiPriority w:val="0"/>
    <w:pPr>
      <w:keepNext/>
      <w:keepLines/>
      <w:spacing w:before="100"/>
      <w:jc w:val="left"/>
      <w:outlineLvl w:val="4"/>
    </w:pPr>
    <w:rPr>
      <w:rFonts w:ascii="宋体" w:hAnsi="宋体" w:eastAsia="仿宋_GB2312"/>
      <w:b/>
      <w:bCs/>
      <w:kern w:val="0"/>
      <w:sz w:val="28"/>
      <w:szCs w:val="28"/>
    </w:rPr>
  </w:style>
  <w:style w:type="paragraph" w:customStyle="1" w:styleId="687">
    <w:name w:val="样式 正文文本缩进 + 宋体 小四 加粗 左侧:  0 厘米"/>
    <w:basedOn w:val="3"/>
    <w:qFormat/>
    <w:uiPriority w:val="0"/>
    <w:pPr>
      <w:spacing w:after="0"/>
      <w:ind w:left="0" w:leftChars="0"/>
      <w:jc w:val="left"/>
    </w:pPr>
    <w:rPr>
      <w:rFonts w:ascii="宋体" w:hAnsi="宋体" w:cs="宋体"/>
      <w:b/>
      <w:bCs/>
      <w:kern w:val="0"/>
      <w:sz w:val="28"/>
      <w:szCs w:val="22"/>
    </w:rPr>
  </w:style>
  <w:style w:type="paragraph" w:customStyle="1" w:styleId="688">
    <w:name w:val="样式 标题3 + 三号"/>
    <w:basedOn w:val="8"/>
    <w:link w:val="689"/>
    <w:qFormat/>
    <w:uiPriority w:val="0"/>
    <w:pPr>
      <w:numPr>
        <w:ilvl w:val="0"/>
        <w:numId w:val="0"/>
      </w:numPr>
    </w:pPr>
    <w:rPr>
      <w:rFonts w:ascii="宋体" w:hAnsi="宋体"/>
      <w:sz w:val="30"/>
      <w:szCs w:val="20"/>
    </w:rPr>
  </w:style>
  <w:style w:type="character" w:customStyle="1" w:styleId="689">
    <w:name w:val="样式 标题3 + 三号 Char Char"/>
    <w:link w:val="688"/>
    <w:qFormat/>
    <w:uiPriority w:val="0"/>
    <w:rPr>
      <w:rFonts w:ascii="宋体" w:hAnsi="宋体"/>
      <w:b/>
      <w:bCs/>
      <w:sz w:val="30"/>
    </w:rPr>
  </w:style>
  <w:style w:type="paragraph" w:customStyle="1" w:styleId="690">
    <w:name w:val="样式 标题2 + 首行缩进:  2 字符2"/>
    <w:basedOn w:val="7"/>
    <w:qFormat/>
    <w:uiPriority w:val="0"/>
    <w:pPr>
      <w:numPr>
        <w:ilvl w:val="0"/>
        <w:numId w:val="0"/>
      </w:numPr>
    </w:pPr>
    <w:rPr>
      <w:rFonts w:ascii="宋体" w:hAnsi="宋体" w:cs="宋体"/>
      <w:sz w:val="32"/>
      <w:szCs w:val="20"/>
    </w:rPr>
  </w:style>
  <w:style w:type="paragraph" w:customStyle="1" w:styleId="691">
    <w:name w:val="样式 标题2 + 首行缩进:  2 字符3"/>
    <w:basedOn w:val="7"/>
    <w:qFormat/>
    <w:uiPriority w:val="0"/>
    <w:pPr>
      <w:numPr>
        <w:ilvl w:val="0"/>
        <w:numId w:val="0"/>
      </w:numPr>
    </w:pPr>
    <w:rPr>
      <w:rFonts w:ascii="宋体" w:hAnsi="宋体" w:cs="宋体"/>
      <w:sz w:val="32"/>
      <w:szCs w:val="20"/>
    </w:rPr>
  </w:style>
  <w:style w:type="paragraph" w:customStyle="1" w:styleId="692">
    <w:name w:val="样式 标题4 + 首行缩进:  2 字符"/>
    <w:basedOn w:val="1"/>
    <w:qFormat/>
    <w:uiPriority w:val="0"/>
    <w:pPr>
      <w:keepNext/>
      <w:keepLines/>
      <w:jc w:val="left"/>
      <w:outlineLvl w:val="3"/>
    </w:pPr>
    <w:rPr>
      <w:rFonts w:ascii="宋体" w:hAnsi="宋体" w:cs="宋体"/>
      <w:b/>
      <w:bCs/>
      <w:kern w:val="0"/>
      <w:sz w:val="28"/>
      <w:szCs w:val="28"/>
    </w:rPr>
  </w:style>
  <w:style w:type="paragraph" w:customStyle="1" w:styleId="693">
    <w:name w:val="样式 标题4 + 首行缩进:  2 字符1"/>
    <w:basedOn w:val="1"/>
    <w:qFormat/>
    <w:uiPriority w:val="0"/>
    <w:pPr>
      <w:keepNext/>
      <w:keepLines/>
      <w:jc w:val="left"/>
      <w:outlineLvl w:val="3"/>
    </w:pPr>
    <w:rPr>
      <w:rFonts w:ascii="宋体" w:hAnsi="宋体" w:cs="宋体"/>
      <w:b/>
      <w:bCs/>
      <w:kern w:val="0"/>
      <w:sz w:val="28"/>
      <w:szCs w:val="28"/>
    </w:rPr>
  </w:style>
  <w:style w:type="paragraph" w:customStyle="1" w:styleId="694">
    <w:name w:val="样式 正文（首行缩进） + Times New Roman"/>
    <w:basedOn w:val="635"/>
    <w:link w:val="695"/>
    <w:qFormat/>
    <w:uiPriority w:val="0"/>
    <w:pPr>
      <w:widowControl w:val="0"/>
      <w:adjustRightInd w:val="0"/>
      <w:snapToGrid w:val="0"/>
      <w:ind w:firstLine="560" w:firstLineChars="0"/>
    </w:pPr>
    <w:rPr>
      <w:rFonts w:ascii="Times New Roman" w:hAnsi="Times New Roman"/>
      <w:bCs/>
      <w:sz w:val="28"/>
      <w:szCs w:val="28"/>
    </w:rPr>
  </w:style>
  <w:style w:type="character" w:customStyle="1" w:styleId="695">
    <w:name w:val="样式 正文（首行缩进） + Times New Roman Char Char"/>
    <w:link w:val="694"/>
    <w:qFormat/>
    <w:uiPriority w:val="0"/>
    <w:rPr>
      <w:rFonts w:ascii="Times New Roman" w:hAnsi="Times New Roman"/>
      <w:bCs/>
      <w:snapToGrid/>
      <w:color w:val="000000"/>
      <w:sz w:val="28"/>
      <w:szCs w:val="28"/>
    </w:rPr>
  </w:style>
  <w:style w:type="paragraph" w:customStyle="1" w:styleId="696">
    <w:name w:val="样式 正文文本缩进 2正文文本缩进 2 Char + 宋体"/>
    <w:basedOn w:val="4"/>
    <w:link w:val="697"/>
    <w:qFormat/>
    <w:uiPriority w:val="0"/>
    <w:pPr>
      <w:spacing w:after="0" w:line="360" w:lineRule="auto"/>
      <w:ind w:left="0" w:leftChars="0"/>
      <w:jc w:val="left"/>
    </w:pPr>
    <w:rPr>
      <w:rFonts w:ascii="宋体" w:hAnsi="宋体" w:cs="Times New Roman"/>
      <w:bCs/>
      <w:kern w:val="0"/>
      <w:sz w:val="24"/>
      <w:szCs w:val="28"/>
    </w:rPr>
  </w:style>
  <w:style w:type="character" w:customStyle="1" w:styleId="697">
    <w:name w:val="样式 正文文本缩进 2正文文本缩进 2 Char + 宋体 Char Char"/>
    <w:link w:val="696"/>
    <w:qFormat/>
    <w:uiPriority w:val="0"/>
    <w:rPr>
      <w:rFonts w:ascii="宋体" w:hAnsi="宋体"/>
      <w:bCs/>
      <w:sz w:val="24"/>
      <w:szCs w:val="28"/>
    </w:rPr>
  </w:style>
  <w:style w:type="paragraph" w:customStyle="1" w:styleId="698">
    <w:name w:val="样式 目录 1 + 段前: 0.5 行"/>
    <w:basedOn w:val="1"/>
    <w:qFormat/>
    <w:uiPriority w:val="0"/>
    <w:pPr>
      <w:tabs>
        <w:tab w:val="right" w:leader="hyphen" w:pos="8302"/>
        <w:tab w:val="right" w:leader="dot" w:pos="9344"/>
      </w:tabs>
      <w:spacing w:beforeLines="50" w:line="440" w:lineRule="exact"/>
      <w:jc w:val="left"/>
    </w:pPr>
    <w:rPr>
      <w:rFonts w:ascii="Calibri" w:hAnsi="Calibri" w:eastAsia="黑体" w:cs="宋体"/>
      <w:color w:val="0033CC"/>
      <w:kern w:val="0"/>
      <w:sz w:val="30"/>
    </w:rPr>
  </w:style>
  <w:style w:type="paragraph" w:customStyle="1" w:styleId="699">
    <w:name w:val="样式 表 +1"/>
    <w:basedOn w:val="1"/>
    <w:link w:val="700"/>
    <w:qFormat/>
    <w:uiPriority w:val="0"/>
    <w:pPr>
      <w:spacing w:line="240" w:lineRule="auto"/>
      <w:jc w:val="center"/>
    </w:pPr>
    <w:rPr>
      <w:bCs/>
      <w:kern w:val="0"/>
      <w:szCs w:val="28"/>
    </w:rPr>
  </w:style>
  <w:style w:type="character" w:customStyle="1" w:styleId="700">
    <w:name w:val="样式 表 +1 Char Char"/>
    <w:link w:val="699"/>
    <w:qFormat/>
    <w:uiPriority w:val="0"/>
    <w:rPr>
      <w:rFonts w:ascii="Times New Roman" w:hAnsi="Times New Roman"/>
      <w:bCs/>
      <w:sz w:val="24"/>
      <w:szCs w:val="28"/>
    </w:rPr>
  </w:style>
  <w:style w:type="paragraph" w:customStyle="1" w:styleId="701">
    <w:name w:val="样式 表（左对齐，上下中）"/>
    <w:basedOn w:val="1"/>
    <w:qFormat/>
    <w:uiPriority w:val="0"/>
    <w:pPr>
      <w:spacing w:line="240" w:lineRule="auto"/>
    </w:pPr>
    <w:rPr>
      <w:rFonts w:ascii="宋体" w:hAnsi="宋体" w:eastAsia="仿宋_GB2312"/>
      <w:bCs/>
      <w:kern w:val="0"/>
      <w:sz w:val="21"/>
      <w:szCs w:val="28"/>
    </w:rPr>
  </w:style>
  <w:style w:type="paragraph" w:customStyle="1" w:styleId="702">
    <w:name w:val="正文 首行缩进:  2 字符"/>
    <w:basedOn w:val="1"/>
    <w:qFormat/>
    <w:uiPriority w:val="0"/>
    <w:pPr>
      <w:spacing w:line="480" w:lineRule="exact"/>
      <w:ind w:firstLine="560" w:firstLineChars="200"/>
    </w:pPr>
    <w:rPr>
      <w:rFonts w:eastAsia="仿宋_GB2312" w:cs="宋体"/>
      <w:sz w:val="28"/>
      <w:szCs w:val="20"/>
    </w:rPr>
  </w:style>
  <w:style w:type="paragraph" w:customStyle="1" w:styleId="703">
    <w:name w:val="样式 标题 1小2号宋体居中行距2倍1.1标题 1标题 11一、章章标题 1b1章节标题H1-*+h11..."/>
    <w:basedOn w:val="5"/>
    <w:qFormat/>
    <w:uiPriority w:val="0"/>
    <w:pPr>
      <w:keepNext/>
      <w:keepLines/>
      <w:numPr>
        <w:numId w:val="0"/>
      </w:numPr>
      <w:spacing w:before="200" w:after="200"/>
      <w:jc w:val="both"/>
    </w:pPr>
    <w:rPr>
      <w:rFonts w:ascii="Times New Roman" w:hAnsi="Times New Roman"/>
      <w:bCs/>
      <w:color w:val="000000"/>
      <w:kern w:val="44"/>
      <w:sz w:val="32"/>
      <w:szCs w:val="44"/>
    </w:rPr>
  </w:style>
  <w:style w:type="paragraph" w:customStyle="1" w:styleId="704">
    <w:name w:val="正文11"/>
    <w:basedOn w:val="1"/>
    <w:qFormat/>
    <w:uiPriority w:val="0"/>
    <w:pPr>
      <w:autoSpaceDE w:val="0"/>
      <w:autoSpaceDN w:val="0"/>
      <w:snapToGrid w:val="0"/>
      <w:spacing w:line="520" w:lineRule="atLeast"/>
      <w:ind w:firstLine="510"/>
    </w:pPr>
    <w:rPr>
      <w:rFonts w:ascii="宋体" w:hAnsi="宋体"/>
      <w:kern w:val="0"/>
      <w:szCs w:val="20"/>
    </w:rPr>
  </w:style>
  <w:style w:type="paragraph" w:customStyle="1" w:styleId="705">
    <w:name w:val="样式 宋体 首行缩进:  0.99 厘米 行距: 1.5 倍行距"/>
    <w:basedOn w:val="1"/>
    <w:qFormat/>
    <w:uiPriority w:val="0"/>
    <w:pPr>
      <w:widowControl/>
      <w:ind w:firstLine="560"/>
      <w:jc w:val="left"/>
    </w:pPr>
    <w:rPr>
      <w:rFonts w:hAnsi="宋体"/>
      <w:color w:val="000000"/>
      <w:kern w:val="0"/>
      <w:szCs w:val="20"/>
    </w:rPr>
  </w:style>
  <w:style w:type="paragraph" w:customStyle="1" w:styleId="706">
    <w:name w:val="样式 标题 4 + 加粗"/>
    <w:basedOn w:val="9"/>
    <w:qFormat/>
    <w:uiPriority w:val="0"/>
    <w:pPr>
      <w:numPr>
        <w:ilvl w:val="0"/>
        <w:numId w:val="0"/>
      </w:numPr>
      <w:tabs>
        <w:tab w:val="left" w:pos="0"/>
      </w:tabs>
      <w:spacing w:line="376" w:lineRule="atLeast"/>
      <w:textAlignment w:val="baseline"/>
    </w:pPr>
    <w:rPr>
      <w:rFonts w:ascii="宋体" w:hAnsi="宋体"/>
      <w:b w:val="0"/>
      <w:szCs w:val="20"/>
    </w:rPr>
  </w:style>
  <w:style w:type="paragraph" w:customStyle="1" w:styleId="707">
    <w:name w:val="样式 标题 1 + 小二"/>
    <w:basedOn w:val="5"/>
    <w:qFormat/>
    <w:uiPriority w:val="0"/>
    <w:pPr>
      <w:keepNext/>
      <w:keepLines/>
      <w:numPr>
        <w:numId w:val="0"/>
      </w:numPr>
      <w:spacing w:before="80" w:after="80" w:line="240" w:lineRule="auto"/>
      <w:ind w:firstLine="51"/>
    </w:pPr>
    <w:rPr>
      <w:rFonts w:ascii="Times New Roman" w:hAnsi="Times New Roman"/>
      <w:bCs/>
      <w:kern w:val="2"/>
      <w:szCs w:val="28"/>
    </w:rPr>
  </w:style>
  <w:style w:type="paragraph" w:customStyle="1" w:styleId="708">
    <w:name w:val="正文(首行缩进)宋旭峰"/>
    <w:basedOn w:val="10"/>
    <w:qFormat/>
    <w:uiPriority w:val="0"/>
    <w:pPr>
      <w:spacing w:beforeLines="50" w:afterLines="50"/>
      <w:ind w:firstLine="480"/>
      <w:contextualSpacing/>
    </w:pPr>
    <w:rPr>
      <w:kern w:val="0"/>
    </w:rPr>
  </w:style>
  <w:style w:type="paragraph" w:customStyle="1" w:styleId="709">
    <w:name w:val="样式13"/>
    <w:basedOn w:val="1"/>
    <w:link w:val="710"/>
    <w:qFormat/>
    <w:uiPriority w:val="0"/>
    <w:pPr>
      <w:outlineLvl w:val="2"/>
    </w:pPr>
    <w:rPr>
      <w:b/>
      <w:kern w:val="0"/>
    </w:rPr>
  </w:style>
  <w:style w:type="character" w:customStyle="1" w:styleId="710">
    <w:name w:val="样式13 Char Char"/>
    <w:link w:val="709"/>
    <w:qFormat/>
    <w:uiPriority w:val="0"/>
    <w:rPr>
      <w:rFonts w:ascii="Times New Roman" w:hAnsi="Times New Roman"/>
      <w:b/>
      <w:sz w:val="24"/>
      <w:szCs w:val="24"/>
    </w:rPr>
  </w:style>
  <w:style w:type="paragraph" w:customStyle="1" w:styleId="711">
    <w:name w:val="样式 仿宋_GB2312 五号 居中 行距: 固定值 18 磅"/>
    <w:basedOn w:val="1"/>
    <w:qFormat/>
    <w:uiPriority w:val="0"/>
    <w:pPr>
      <w:adjustRightInd w:val="0"/>
      <w:spacing w:line="360" w:lineRule="exact"/>
      <w:jc w:val="center"/>
      <w:textAlignment w:val="baseline"/>
    </w:pPr>
    <w:rPr>
      <w:rFonts w:ascii="仿宋_GB2312" w:eastAsia="仿宋_GB2312" w:cs="宋体"/>
      <w:kern w:val="28"/>
      <w:sz w:val="21"/>
      <w:szCs w:val="20"/>
    </w:rPr>
  </w:style>
  <w:style w:type="paragraph" w:customStyle="1" w:styleId="712">
    <w:name w:val="小4宋正文缩进"/>
    <w:basedOn w:val="1"/>
    <w:qFormat/>
    <w:uiPriority w:val="0"/>
    <w:pPr>
      <w:spacing w:line="240" w:lineRule="auto"/>
      <w:ind w:firstLine="600" w:firstLineChars="200"/>
    </w:pPr>
    <w:rPr>
      <w:rFonts w:ascii="仿宋_GB2312" w:eastAsia="仿宋_GB2312"/>
      <w:bCs/>
      <w:color w:val="FF0000"/>
      <w:sz w:val="30"/>
      <w:szCs w:val="30"/>
    </w:rPr>
  </w:style>
  <w:style w:type="paragraph" w:customStyle="1" w:styleId="713">
    <w:name w:val="样式 样式 正文首行缩进 + 首行缩进:  2 字符 + 首行缩进:  2 字符"/>
    <w:basedOn w:val="1"/>
    <w:qFormat/>
    <w:uiPriority w:val="0"/>
    <w:pPr>
      <w:topLinePunct/>
      <w:adjustRightInd w:val="0"/>
      <w:snapToGrid w:val="0"/>
      <w:ind w:firstLine="480"/>
      <w:textAlignment w:val="baseline"/>
    </w:pPr>
    <w:rPr>
      <w:rFonts w:hAnsi="宋体" w:eastAsia="Times New Roman"/>
      <w:kern w:val="0"/>
      <w:szCs w:val="20"/>
    </w:rPr>
  </w:style>
  <w:style w:type="paragraph" w:customStyle="1" w:styleId="714">
    <w:name w:val="叶媛媛首行缩进"/>
    <w:basedOn w:val="1"/>
    <w:qFormat/>
    <w:uiPriority w:val="0"/>
    <w:pPr>
      <w:autoSpaceDE w:val="0"/>
      <w:autoSpaceDN w:val="0"/>
      <w:adjustRightInd w:val="0"/>
      <w:ind w:firstLine="360" w:firstLineChars="150"/>
      <w:jc w:val="left"/>
    </w:pPr>
    <w:rPr>
      <w:rFonts w:ascii="宋体" w:hAnsi="宋体" w:cs="ArialMT"/>
      <w:kern w:val="0"/>
    </w:rPr>
  </w:style>
  <w:style w:type="paragraph" w:customStyle="1" w:styleId="715">
    <w:name w:val="正文000"/>
    <w:basedOn w:val="1"/>
    <w:link w:val="716"/>
    <w:qFormat/>
    <w:uiPriority w:val="0"/>
    <w:pPr>
      <w:adjustRightInd w:val="0"/>
      <w:ind w:firstLine="480" w:firstLineChars="200"/>
      <w:textAlignment w:val="center"/>
    </w:pPr>
    <w:rPr>
      <w:rFonts w:ascii="Calibri" w:hAnsi="Calibri" w:cs="黑体"/>
      <w:szCs w:val="21"/>
    </w:rPr>
  </w:style>
  <w:style w:type="character" w:customStyle="1" w:styleId="716">
    <w:name w:val="正文000 Char Char"/>
    <w:link w:val="715"/>
    <w:qFormat/>
    <w:uiPriority w:val="0"/>
    <w:rPr>
      <w:rFonts w:cs="黑体"/>
      <w:kern w:val="2"/>
      <w:sz w:val="24"/>
      <w:szCs w:val="21"/>
    </w:rPr>
  </w:style>
  <w:style w:type="paragraph" w:customStyle="1" w:styleId="717">
    <w:name w:val="样式 楷体_GB2312 四号 首行缩进:  2 字符"/>
    <w:basedOn w:val="1"/>
    <w:qFormat/>
    <w:uiPriority w:val="0"/>
    <w:pPr>
      <w:widowControl/>
      <w:spacing w:line="240" w:lineRule="auto"/>
      <w:ind w:firstLine="560" w:firstLineChars="200"/>
      <w:jc w:val="left"/>
    </w:pPr>
    <w:rPr>
      <w:rFonts w:ascii="楷体_GB2312" w:hAnsi="楷体_GB2312" w:eastAsia="仿宋_GB2312" w:cs="宋体"/>
      <w:color w:val="000000"/>
      <w:kern w:val="0"/>
    </w:rPr>
  </w:style>
  <w:style w:type="paragraph" w:customStyle="1" w:styleId="718">
    <w:name w:val="样式 黑体 小四 加粗 黑色 居中 行距: 固定值 26 磅"/>
    <w:basedOn w:val="1"/>
    <w:next w:val="1"/>
    <w:qFormat/>
    <w:uiPriority w:val="0"/>
    <w:pPr>
      <w:widowControl/>
      <w:spacing w:line="520" w:lineRule="exact"/>
      <w:jc w:val="center"/>
    </w:pPr>
    <w:rPr>
      <w:rFonts w:ascii="楷体_GB2312" w:hAnsi="黑体" w:eastAsia="楷体_GB2312" w:cs="宋体"/>
      <w:bCs/>
      <w:color w:val="000000"/>
      <w:kern w:val="0"/>
      <w:szCs w:val="28"/>
    </w:rPr>
  </w:style>
  <w:style w:type="paragraph" w:customStyle="1" w:styleId="719">
    <w:name w:val="小四表文左齐"/>
    <w:basedOn w:val="1"/>
    <w:qFormat/>
    <w:uiPriority w:val="0"/>
    <w:pPr>
      <w:widowControl/>
      <w:adjustRightInd w:val="0"/>
      <w:snapToGrid w:val="0"/>
      <w:spacing w:line="240" w:lineRule="auto"/>
      <w:jc w:val="center"/>
    </w:pPr>
    <w:rPr>
      <w:rFonts w:ascii="仿宋_GB2312" w:hAnsi="宋体" w:eastAsia="仿宋_GB2312" w:cs="宋体"/>
      <w:color w:val="000000"/>
      <w:kern w:val="0"/>
    </w:rPr>
  </w:style>
  <w:style w:type="paragraph" w:customStyle="1" w:styleId="720">
    <w:name w:val="样式 标题 1 + 三号 居中"/>
    <w:basedOn w:val="5"/>
    <w:qFormat/>
    <w:uiPriority w:val="0"/>
    <w:pPr>
      <w:keepNext/>
      <w:keepLines/>
      <w:widowControl/>
      <w:numPr>
        <w:numId w:val="0"/>
      </w:numPr>
      <w:spacing w:before="340" w:afterLines="200" w:line="240" w:lineRule="auto"/>
    </w:pPr>
    <w:rPr>
      <w:rFonts w:ascii="宋体" w:hAnsi="宋体" w:cs="宋体"/>
      <w:b w:val="0"/>
      <w:bCs/>
      <w:color w:val="000000"/>
      <w:kern w:val="44"/>
      <w:szCs w:val="20"/>
    </w:rPr>
  </w:style>
  <w:style w:type="paragraph" w:customStyle="1" w:styleId="721">
    <w:name w:val="样式 样式 平－正文 + 粉红 首行缩进:  2 字符 + 首行缩进:  2 字符"/>
    <w:basedOn w:val="1"/>
    <w:qFormat/>
    <w:uiPriority w:val="0"/>
    <w:pPr>
      <w:spacing w:line="240" w:lineRule="auto"/>
      <w:ind w:firstLine="200" w:firstLineChars="200"/>
    </w:pPr>
    <w:rPr>
      <w:rFonts w:cs="宋体"/>
    </w:rPr>
  </w:style>
  <w:style w:type="paragraph" w:customStyle="1" w:styleId="722">
    <w:name w:val="样式 正文 + 首行缩进:  2 字符"/>
    <w:basedOn w:val="1"/>
    <w:qFormat/>
    <w:uiPriority w:val="0"/>
    <w:pPr>
      <w:adjustRightInd w:val="0"/>
      <w:spacing w:line="529" w:lineRule="exact"/>
      <w:ind w:firstLine="480" w:firstLineChars="200"/>
      <w:textAlignment w:val="baseline"/>
    </w:pPr>
    <w:rPr>
      <w:kern w:val="0"/>
    </w:rPr>
  </w:style>
  <w:style w:type="paragraph" w:customStyle="1" w:styleId="723">
    <w:name w:val="样式 四号 首行缩进:  2 字符"/>
    <w:basedOn w:val="1"/>
    <w:qFormat/>
    <w:uiPriority w:val="0"/>
    <w:pPr>
      <w:spacing w:line="480" w:lineRule="atLeast"/>
      <w:ind w:firstLine="200" w:firstLineChars="200"/>
    </w:pPr>
  </w:style>
  <w:style w:type="paragraph" w:customStyle="1" w:styleId="724">
    <w:name w:val="正文wang"/>
    <w:basedOn w:val="1"/>
    <w:qFormat/>
    <w:uiPriority w:val="0"/>
    <w:pPr>
      <w:spacing w:line="420" w:lineRule="atLeast"/>
      <w:ind w:firstLine="464" w:firstLineChars="200"/>
    </w:pPr>
    <w:rPr>
      <w:rFonts w:cs="宋体"/>
      <w:spacing w:val="-4"/>
    </w:rPr>
  </w:style>
  <w:style w:type="paragraph" w:customStyle="1" w:styleId="725">
    <w:name w:val="样式 正文文本 + 首行缩进:  2 字符"/>
    <w:basedOn w:val="25"/>
    <w:link w:val="726"/>
    <w:qFormat/>
    <w:uiPriority w:val="0"/>
    <w:pPr>
      <w:widowControl w:val="0"/>
      <w:shd w:val="clear" w:color="auto" w:fill="auto"/>
      <w:adjustRightInd w:val="0"/>
      <w:snapToGrid w:val="0"/>
      <w:spacing w:before="120" w:line="300" w:lineRule="auto"/>
      <w:ind w:firstLine="200" w:firstLineChars="200"/>
      <w:jc w:val="both"/>
      <w:textAlignment w:val="baseline"/>
    </w:pPr>
    <w:rPr>
      <w:rFonts w:ascii="Times New Roman" w:hAnsi="Times New Roman" w:cs="宋体"/>
      <w:kern w:val="2"/>
      <w:sz w:val="24"/>
      <w:szCs w:val="24"/>
    </w:rPr>
  </w:style>
  <w:style w:type="character" w:customStyle="1" w:styleId="726">
    <w:name w:val="样式 正文文本 + 首行缩进:  2 字符 Char Char"/>
    <w:link w:val="725"/>
    <w:qFormat/>
    <w:uiPriority w:val="0"/>
    <w:rPr>
      <w:rFonts w:ascii="Times New Roman" w:hAnsi="Times New Roman" w:cs="宋体"/>
      <w:kern w:val="2"/>
      <w:sz w:val="24"/>
      <w:szCs w:val="24"/>
    </w:rPr>
  </w:style>
  <w:style w:type="paragraph" w:customStyle="1" w:styleId="727">
    <w:name w:val="样式 报告书表格 + 宋体 五号"/>
    <w:basedOn w:val="1"/>
    <w:qFormat/>
    <w:uiPriority w:val="0"/>
    <w:pPr>
      <w:adjustRightInd w:val="0"/>
      <w:spacing w:after="120"/>
      <w:jc w:val="center"/>
      <w:textAlignment w:val="center"/>
    </w:pPr>
    <w:rPr>
      <w:rFonts w:ascii="宋体" w:hAnsi="宋体"/>
      <w:kern w:val="0"/>
      <w:sz w:val="21"/>
    </w:rPr>
  </w:style>
  <w:style w:type="paragraph" w:customStyle="1" w:styleId="728">
    <w:name w:val="正文－1.5行距－段后6磅"/>
    <w:basedOn w:val="1"/>
    <w:link w:val="729"/>
    <w:qFormat/>
    <w:uiPriority w:val="0"/>
    <w:pPr>
      <w:spacing w:after="120"/>
      <w:ind w:firstLine="200" w:firstLineChars="200"/>
    </w:pPr>
    <w:rPr>
      <w:rFonts w:ascii="Calibri" w:hAnsi="Calibri"/>
      <w:szCs w:val="21"/>
    </w:rPr>
  </w:style>
  <w:style w:type="character" w:customStyle="1" w:styleId="729">
    <w:name w:val="正文－1.5行距－段后6磅 Char Char"/>
    <w:link w:val="728"/>
    <w:qFormat/>
    <w:uiPriority w:val="0"/>
    <w:rPr>
      <w:kern w:val="2"/>
      <w:sz w:val="24"/>
      <w:szCs w:val="21"/>
    </w:rPr>
  </w:style>
  <w:style w:type="paragraph" w:customStyle="1" w:styleId="730">
    <w:name w:val="样式2020"/>
    <w:basedOn w:val="25"/>
    <w:link w:val="731"/>
    <w:qFormat/>
    <w:uiPriority w:val="0"/>
    <w:pPr>
      <w:widowControl w:val="0"/>
      <w:shd w:val="clear" w:color="auto" w:fill="auto"/>
      <w:spacing w:before="0" w:line="420" w:lineRule="exact"/>
      <w:ind w:firstLine="200" w:firstLineChars="200"/>
      <w:jc w:val="both"/>
    </w:pPr>
    <w:rPr>
      <w:rFonts w:ascii="Times New Roman" w:hAnsi="Times New Roman"/>
      <w:bCs/>
      <w:kern w:val="2"/>
      <w:sz w:val="24"/>
      <w:szCs w:val="24"/>
    </w:rPr>
  </w:style>
  <w:style w:type="character" w:customStyle="1" w:styleId="731">
    <w:name w:val="样式2020 Char Char"/>
    <w:link w:val="730"/>
    <w:qFormat/>
    <w:uiPriority w:val="0"/>
    <w:rPr>
      <w:rFonts w:ascii="Times New Roman" w:hAnsi="Times New Roman"/>
      <w:bCs/>
      <w:kern w:val="2"/>
      <w:sz w:val="24"/>
      <w:szCs w:val="24"/>
    </w:rPr>
  </w:style>
  <w:style w:type="paragraph" w:customStyle="1" w:styleId="732">
    <w:name w:val="样式1023"/>
    <w:basedOn w:val="25"/>
    <w:qFormat/>
    <w:uiPriority w:val="0"/>
    <w:pPr>
      <w:widowControl w:val="0"/>
      <w:shd w:val="clear" w:color="auto" w:fill="auto"/>
      <w:spacing w:before="0" w:line="420" w:lineRule="exact"/>
      <w:ind w:firstLine="200" w:firstLineChars="200"/>
      <w:jc w:val="both"/>
    </w:pPr>
    <w:rPr>
      <w:rFonts w:ascii="Times New Roman" w:hAnsi="Times New Roman"/>
      <w:bCs/>
      <w:kern w:val="2"/>
      <w:sz w:val="24"/>
      <w:szCs w:val="24"/>
    </w:rPr>
  </w:style>
  <w:style w:type="paragraph" w:customStyle="1" w:styleId="733">
    <w:name w:val="样式2545456456"/>
    <w:basedOn w:val="25"/>
    <w:qFormat/>
    <w:uiPriority w:val="0"/>
    <w:pPr>
      <w:widowControl w:val="0"/>
      <w:shd w:val="clear" w:color="auto" w:fill="auto"/>
      <w:spacing w:before="0" w:line="420" w:lineRule="exact"/>
      <w:ind w:firstLine="200" w:firstLineChars="200"/>
      <w:jc w:val="both"/>
    </w:pPr>
    <w:rPr>
      <w:rFonts w:ascii="Times New Roman" w:hAnsi="Times New Roman"/>
      <w:kern w:val="2"/>
      <w:sz w:val="24"/>
      <w:szCs w:val="24"/>
    </w:rPr>
  </w:style>
  <w:style w:type="paragraph" w:customStyle="1" w:styleId="734">
    <w:name w:val="样式34445345345"/>
    <w:basedOn w:val="25"/>
    <w:qFormat/>
    <w:uiPriority w:val="0"/>
    <w:pPr>
      <w:shd w:val="clear" w:color="auto" w:fill="auto"/>
      <w:autoSpaceDE w:val="0"/>
      <w:autoSpaceDN w:val="0"/>
      <w:adjustRightInd w:val="0"/>
      <w:spacing w:before="0" w:line="420" w:lineRule="exact"/>
      <w:ind w:firstLine="200" w:firstLineChars="200"/>
      <w:jc w:val="left"/>
    </w:pPr>
    <w:rPr>
      <w:rFonts w:ascii="Calibri" w:cs="宋体"/>
      <w:sz w:val="24"/>
      <w:szCs w:val="24"/>
      <w:lang w:eastAsia="en-US" w:bidi="en-US"/>
    </w:rPr>
  </w:style>
  <w:style w:type="paragraph" w:customStyle="1" w:styleId="735">
    <w:name w:val="样式 标题4 + 段前: 0.25 行"/>
    <w:basedOn w:val="10"/>
    <w:qFormat/>
    <w:uiPriority w:val="0"/>
    <w:pPr>
      <w:tabs>
        <w:tab w:val="left" w:pos="1080"/>
      </w:tabs>
      <w:autoSpaceDE w:val="0"/>
      <w:autoSpaceDN w:val="0"/>
      <w:adjustRightInd w:val="0"/>
      <w:snapToGrid w:val="0"/>
      <w:spacing w:beforeLines="25"/>
      <w:ind w:left="170" w:hanging="170" w:firstLineChars="0"/>
      <w:jc w:val="center"/>
      <w:textAlignment w:val="baseline"/>
      <w:outlineLvl w:val="3"/>
    </w:pPr>
    <w:rPr>
      <w:rFonts w:cs="宋体"/>
      <w:b/>
      <w:kern w:val="0"/>
      <w:sz w:val="28"/>
      <w:szCs w:val="28"/>
    </w:rPr>
  </w:style>
  <w:style w:type="paragraph" w:customStyle="1" w:styleId="736">
    <w:name w:val="样式 标题 2 + 段前: 0.5 行 行距: 单倍行距1"/>
    <w:basedOn w:val="7"/>
    <w:qFormat/>
    <w:uiPriority w:val="0"/>
    <w:pPr>
      <w:numPr>
        <w:ilvl w:val="0"/>
        <w:numId w:val="0"/>
      </w:numPr>
      <w:tabs>
        <w:tab w:val="left" w:pos="0"/>
      </w:tabs>
      <w:autoSpaceDE w:val="0"/>
      <w:autoSpaceDN w:val="0"/>
      <w:adjustRightInd w:val="0"/>
      <w:snapToGrid w:val="0"/>
      <w:spacing w:beforeLines="100"/>
      <w:jc w:val="center"/>
      <w:textAlignment w:val="baseline"/>
    </w:pPr>
    <w:rPr>
      <w:rFonts w:cs="宋体"/>
      <w:bCs/>
      <w:sz w:val="32"/>
      <w:szCs w:val="20"/>
    </w:rPr>
  </w:style>
  <w:style w:type="paragraph" w:customStyle="1" w:styleId="737">
    <w:name w:val="样式 样式 标题4- + 段前: 0.5 行 + 段前: 0.5 行"/>
    <w:basedOn w:val="1"/>
    <w:qFormat/>
    <w:uiPriority w:val="0"/>
    <w:pPr>
      <w:tabs>
        <w:tab w:val="left" w:pos="1080"/>
        <w:tab w:val="left" w:pos="1205"/>
      </w:tabs>
      <w:autoSpaceDE w:val="0"/>
      <w:autoSpaceDN w:val="0"/>
      <w:adjustRightInd w:val="0"/>
      <w:snapToGrid w:val="0"/>
      <w:spacing w:beforeLines="50"/>
      <w:ind w:left="170" w:hanging="170"/>
      <w:jc w:val="left"/>
      <w:textAlignment w:val="baseline"/>
      <w:outlineLvl w:val="3"/>
    </w:pPr>
    <w:rPr>
      <w:rFonts w:eastAsia="黑体" w:cs="宋体"/>
      <w:spacing w:val="20"/>
      <w:kern w:val="0"/>
      <w:sz w:val="28"/>
      <w:szCs w:val="20"/>
    </w:rPr>
  </w:style>
  <w:style w:type="paragraph" w:customStyle="1" w:styleId="738">
    <w:name w:val="样式 标题 3 + 段前: 1 行 行距: 单倍行距"/>
    <w:basedOn w:val="8"/>
    <w:qFormat/>
    <w:uiPriority w:val="0"/>
    <w:pPr>
      <w:numPr>
        <w:ilvl w:val="0"/>
        <w:numId w:val="0"/>
      </w:numPr>
      <w:tabs>
        <w:tab w:val="left" w:pos="0"/>
      </w:tabs>
      <w:autoSpaceDE w:val="0"/>
      <w:autoSpaceDN w:val="0"/>
      <w:adjustRightInd w:val="0"/>
      <w:snapToGrid w:val="0"/>
      <w:spacing w:beforeLines="100"/>
      <w:jc w:val="center"/>
      <w:textAlignment w:val="baseline"/>
    </w:pPr>
    <w:rPr>
      <w:bCs/>
      <w:sz w:val="30"/>
      <w:szCs w:val="20"/>
    </w:rPr>
  </w:style>
  <w:style w:type="paragraph" w:customStyle="1" w:styleId="739">
    <w:name w:val="样式 样式 标题 2 + 段前: 0.5 行 行距: 单倍行距1 + 段前: 1 行"/>
    <w:basedOn w:val="736"/>
    <w:qFormat/>
    <w:uiPriority w:val="0"/>
    <w:pPr>
      <w:spacing w:before="240"/>
    </w:pPr>
    <w:rPr>
      <w:bCs w:val="0"/>
      <w:sz w:val="28"/>
    </w:rPr>
  </w:style>
  <w:style w:type="paragraph" w:customStyle="1" w:styleId="740">
    <w:name w:val="样式 标题 3 + 段前: 0.5 行 行距: 1.5 倍行距"/>
    <w:basedOn w:val="8"/>
    <w:qFormat/>
    <w:uiPriority w:val="0"/>
    <w:pPr>
      <w:numPr>
        <w:ilvl w:val="0"/>
        <w:numId w:val="0"/>
      </w:numPr>
      <w:tabs>
        <w:tab w:val="left" w:pos="0"/>
      </w:tabs>
      <w:autoSpaceDE w:val="0"/>
      <w:autoSpaceDN w:val="0"/>
      <w:adjustRightInd w:val="0"/>
      <w:snapToGrid w:val="0"/>
      <w:spacing w:beforeLines="50"/>
      <w:jc w:val="center"/>
      <w:textAlignment w:val="baseline"/>
    </w:pPr>
    <w:rPr>
      <w:szCs w:val="20"/>
    </w:rPr>
  </w:style>
  <w:style w:type="paragraph" w:customStyle="1" w:styleId="741">
    <w:name w:val="样式 样式 标题 3 + 段前: 0.5 行 行距: 1.5 倍行距 + 段前: 0.5 行"/>
    <w:basedOn w:val="740"/>
    <w:qFormat/>
    <w:uiPriority w:val="0"/>
    <w:pPr>
      <w:spacing w:before="120"/>
    </w:pPr>
  </w:style>
  <w:style w:type="paragraph" w:customStyle="1" w:styleId="742">
    <w:name w:val="样式 标题 1 + 段前: 12.85 磅 行距: 1.5 倍行距"/>
    <w:basedOn w:val="5"/>
    <w:qFormat/>
    <w:uiPriority w:val="0"/>
    <w:pPr>
      <w:keepNext/>
      <w:keepLines/>
      <w:pageBreakBefore/>
      <w:numPr>
        <w:numId w:val="0"/>
      </w:numPr>
      <w:autoSpaceDE w:val="0"/>
      <w:autoSpaceDN w:val="0"/>
      <w:adjustRightInd w:val="0"/>
      <w:spacing w:before="257" w:after="20"/>
      <w:textAlignment w:val="baseline"/>
    </w:pPr>
    <w:rPr>
      <w:rFonts w:ascii="Times New Roman" w:hAnsi="Times New Roman" w:cs="宋体"/>
      <w:bCs/>
      <w:spacing w:val="40"/>
      <w:kern w:val="44"/>
      <w:sz w:val="32"/>
      <w:szCs w:val="20"/>
    </w:rPr>
  </w:style>
  <w:style w:type="paragraph" w:customStyle="1" w:styleId="743">
    <w:name w:val="样式 样式 标题 3 + 段前: 0.5 行 行距: 1.5 倍行距 + 段前: 0.5 行 行距: 1.5 倍行距"/>
    <w:basedOn w:val="740"/>
    <w:qFormat/>
    <w:uiPriority w:val="0"/>
    <w:pPr>
      <w:spacing w:beforeLines="100" w:after="120"/>
    </w:pPr>
    <w:rPr>
      <w:rFonts w:hAnsi="宋体" w:cs="Times New Roman"/>
    </w:rPr>
  </w:style>
  <w:style w:type="paragraph" w:customStyle="1" w:styleId="744">
    <w:name w:val="样式 样式 样式 标题4- + 段前: 0.5 行 + 段前: 0.5 行 + 段前: 0.5 行"/>
    <w:basedOn w:val="737"/>
    <w:qFormat/>
    <w:uiPriority w:val="0"/>
    <w:pPr>
      <w:spacing w:before="240"/>
    </w:pPr>
    <w:rPr>
      <w:rFonts w:eastAsia="宋体"/>
      <w:spacing w:val="0"/>
    </w:rPr>
  </w:style>
  <w:style w:type="paragraph" w:customStyle="1" w:styleId="745">
    <w:name w:val="样式 样式 样式 样式 标题4- + 段前: 0.5 行 + 段前: 0.5 行 + 段前: 0.5 行 + 段前: 0.5 行"/>
    <w:basedOn w:val="744"/>
    <w:qFormat/>
    <w:uiPriority w:val="0"/>
    <w:pPr>
      <w:spacing w:before="0" w:line="480" w:lineRule="exact"/>
    </w:pPr>
    <w:rPr>
      <w:rFonts w:ascii="黑体" w:hAnsi="宋体" w:eastAsia="黑体" w:cs="Times New Roman"/>
      <w:b/>
      <w:sz w:val="24"/>
      <w:szCs w:val="24"/>
    </w:rPr>
  </w:style>
  <w:style w:type="paragraph" w:customStyle="1" w:styleId="746">
    <w:name w:val="样式 首行缩进:  2 字符 行距: 1.5 倍行距"/>
    <w:basedOn w:val="1"/>
    <w:qFormat/>
    <w:uiPriority w:val="0"/>
    <w:pPr>
      <w:ind w:firstLine="520" w:firstLineChars="200"/>
      <w:jc w:val="left"/>
    </w:pPr>
    <w:rPr>
      <w:rFonts w:cs="宋体"/>
      <w:kern w:val="0"/>
    </w:rPr>
  </w:style>
  <w:style w:type="paragraph" w:customStyle="1" w:styleId="747">
    <w:name w:val="样式 标题 2节标题 1.1h2l22nd levelTitre22Header 2H2标题 0标题 2-王..."/>
    <w:basedOn w:val="7"/>
    <w:qFormat/>
    <w:uiPriority w:val="0"/>
    <w:pPr>
      <w:numPr>
        <w:ilvl w:val="0"/>
        <w:numId w:val="0"/>
      </w:numPr>
      <w:tabs>
        <w:tab w:val="left" w:pos="0"/>
      </w:tabs>
      <w:autoSpaceDE w:val="0"/>
      <w:autoSpaceDN w:val="0"/>
      <w:adjustRightInd w:val="0"/>
      <w:snapToGrid w:val="0"/>
      <w:spacing w:beforeLines="50" w:line="520" w:lineRule="exact"/>
      <w:jc w:val="center"/>
      <w:textAlignment w:val="baseline"/>
    </w:pPr>
    <w:rPr>
      <w:rFonts w:hAnsi="宋体" w:cs="宋体"/>
      <w:kern w:val="44"/>
      <w:sz w:val="24"/>
      <w:szCs w:val="20"/>
    </w:rPr>
  </w:style>
  <w:style w:type="paragraph" w:customStyle="1" w:styleId="748">
    <w:name w:val="样式 标题 3Char Char标题 3 Charh33rd levelH3l3CT条标题1.1.1标题 y..."/>
    <w:basedOn w:val="8"/>
    <w:qFormat/>
    <w:uiPriority w:val="0"/>
    <w:pPr>
      <w:numPr>
        <w:ilvl w:val="0"/>
        <w:numId w:val="0"/>
      </w:numPr>
      <w:tabs>
        <w:tab w:val="left" w:pos="0"/>
      </w:tabs>
      <w:autoSpaceDE w:val="0"/>
      <w:autoSpaceDN w:val="0"/>
      <w:adjustRightInd w:val="0"/>
      <w:snapToGrid w:val="0"/>
      <w:spacing w:beforeLines="50" w:line="520" w:lineRule="exact"/>
      <w:jc w:val="center"/>
      <w:textAlignment w:val="baseline"/>
    </w:pPr>
    <w:rPr>
      <w:rFonts w:hAnsi="宋体"/>
      <w:szCs w:val="20"/>
    </w:rPr>
  </w:style>
  <w:style w:type="paragraph" w:customStyle="1" w:styleId="749">
    <w:name w:val="样式 样式 样式 样式 样式 标题4- + 段前: 0.5 行 + 段前: 0.5 行 + 段前: 0.5 行 + 段前: 0...."/>
    <w:basedOn w:val="745"/>
    <w:qFormat/>
    <w:uiPriority w:val="0"/>
    <w:pPr>
      <w:spacing w:before="50" w:line="360" w:lineRule="auto"/>
      <w:ind w:left="0" w:firstLine="0"/>
    </w:pPr>
    <w:rPr>
      <w:rFonts w:ascii="汉鼎简书宋" w:hAnsi="Arial" w:eastAsia="Arial" w:cs="Arial"/>
      <w:bCs/>
    </w:rPr>
  </w:style>
  <w:style w:type="paragraph" w:customStyle="1" w:styleId="750">
    <w:name w:val="样式 表格文字 +"/>
    <w:basedOn w:val="1"/>
    <w:qFormat/>
    <w:uiPriority w:val="0"/>
    <w:pPr>
      <w:topLinePunct/>
      <w:adjustRightInd w:val="0"/>
      <w:snapToGrid w:val="0"/>
      <w:spacing w:line="240" w:lineRule="atLeast"/>
      <w:textAlignment w:val="baseline"/>
    </w:pPr>
    <w:rPr>
      <w:rFonts w:ascii="汉鼎简书宋" w:hAnsi="汉鼎简书宋" w:cs="汉鼎简书宋"/>
      <w:kern w:val="0"/>
      <w:sz w:val="21"/>
      <w:szCs w:val="21"/>
    </w:rPr>
  </w:style>
  <w:style w:type="paragraph" w:customStyle="1" w:styleId="751">
    <w:name w:val="正文新"/>
    <w:basedOn w:val="10"/>
    <w:qFormat/>
    <w:uiPriority w:val="0"/>
    <w:pPr>
      <w:topLinePunct/>
      <w:spacing w:line="500" w:lineRule="exact"/>
    </w:pPr>
    <w:rPr>
      <w:rFonts w:ascii="宋体" w:hAnsi="宋体" w:eastAsia="汉鼎简书宋" w:cs="宋体"/>
      <w:szCs w:val="20"/>
    </w:rPr>
  </w:style>
  <w:style w:type="paragraph" w:customStyle="1" w:styleId="752">
    <w:name w:val="样式 行距: 最小值 20 磅"/>
    <w:basedOn w:val="1"/>
    <w:next w:val="25"/>
    <w:qFormat/>
    <w:uiPriority w:val="0"/>
    <w:pPr>
      <w:adjustRightInd w:val="0"/>
      <w:spacing w:line="400" w:lineRule="atLeast"/>
      <w:ind w:firstLine="200" w:firstLineChars="200"/>
      <w:jc w:val="left"/>
      <w:textAlignment w:val="baseline"/>
    </w:pPr>
    <w:rPr>
      <w:rFonts w:eastAsia="汉鼎简书宋"/>
      <w:kern w:val="0"/>
    </w:rPr>
  </w:style>
  <w:style w:type="paragraph" w:customStyle="1" w:styleId="753">
    <w:name w:val="样式 首行缩进:  2 字符 行距: 固定值 15 磅"/>
    <w:basedOn w:val="1"/>
    <w:qFormat/>
    <w:uiPriority w:val="0"/>
    <w:pPr>
      <w:spacing w:line="400" w:lineRule="exact"/>
      <w:ind w:firstLine="560" w:firstLineChars="200"/>
    </w:pPr>
    <w:rPr>
      <w:rFonts w:eastAsia="汉鼎简书宋"/>
      <w:sz w:val="28"/>
      <w:szCs w:val="28"/>
    </w:rPr>
  </w:style>
  <w:style w:type="paragraph" w:customStyle="1" w:styleId="754">
    <w:name w:val="样式 图号 + 宋体"/>
    <w:basedOn w:val="1"/>
    <w:link w:val="755"/>
    <w:qFormat/>
    <w:uiPriority w:val="0"/>
    <w:pPr>
      <w:adjustRightInd w:val="0"/>
      <w:ind w:left="198" w:firstLine="200" w:firstLineChars="200"/>
      <w:textAlignment w:val="baseline"/>
    </w:pPr>
    <w:rPr>
      <w:rFonts w:eastAsia="汉鼎简书宋"/>
      <w:b/>
      <w:bCs/>
      <w:kern w:val="32"/>
    </w:rPr>
  </w:style>
  <w:style w:type="character" w:customStyle="1" w:styleId="755">
    <w:name w:val="样式 图号 + 宋体 Char Char"/>
    <w:link w:val="754"/>
    <w:qFormat/>
    <w:uiPriority w:val="0"/>
    <w:rPr>
      <w:rFonts w:ascii="Times New Roman" w:hAnsi="Times New Roman" w:eastAsia="汉鼎简书宋"/>
      <w:b/>
      <w:bCs/>
      <w:kern w:val="32"/>
      <w:sz w:val="24"/>
      <w:szCs w:val="24"/>
    </w:rPr>
  </w:style>
  <w:style w:type="paragraph" w:customStyle="1" w:styleId="756">
    <w:name w:val="样式 hb4 + 段前: 0.5 行 段后: 0.5 行"/>
    <w:basedOn w:val="1"/>
    <w:next w:val="1"/>
    <w:qFormat/>
    <w:uiPriority w:val="0"/>
    <w:pPr>
      <w:keepNext/>
      <w:keepLines/>
      <w:spacing w:beforeLines="50" w:afterLines="50" w:line="529" w:lineRule="exact"/>
      <w:outlineLvl w:val="3"/>
    </w:pPr>
    <w:rPr>
      <w:rFonts w:hAnsi="Arial" w:cs="宋体"/>
      <w:b/>
      <w:kern w:val="24"/>
      <w:szCs w:val="20"/>
    </w:rPr>
  </w:style>
  <w:style w:type="paragraph" w:customStyle="1" w:styleId="757">
    <w:name w:val="样式 hb4 + 段前: 0.5 行 段后: 0.5 行1"/>
    <w:basedOn w:val="1"/>
    <w:next w:val="1"/>
    <w:qFormat/>
    <w:uiPriority w:val="0"/>
    <w:pPr>
      <w:keepNext/>
      <w:keepLines/>
      <w:spacing w:beforeLines="50" w:afterLines="50" w:line="529" w:lineRule="exact"/>
      <w:outlineLvl w:val="3"/>
    </w:pPr>
    <w:rPr>
      <w:rFonts w:hAnsi="Arial" w:cs="宋体"/>
      <w:b/>
      <w:kern w:val="24"/>
      <w:szCs w:val="20"/>
    </w:rPr>
  </w:style>
  <w:style w:type="paragraph" w:customStyle="1" w:styleId="758">
    <w:name w:val="样式 一号 加粗 居中 行距: 固定值 36 磅"/>
    <w:basedOn w:val="1"/>
    <w:qFormat/>
    <w:uiPriority w:val="0"/>
    <w:pPr>
      <w:spacing w:line="720" w:lineRule="exact"/>
      <w:jc w:val="center"/>
    </w:pPr>
    <w:rPr>
      <w:rFonts w:eastAsia="汉鼎简书宋" w:cs="宋体"/>
      <w:b/>
      <w:bCs/>
      <w:kern w:val="0"/>
      <w:sz w:val="48"/>
      <w:szCs w:val="48"/>
    </w:rPr>
  </w:style>
  <w:style w:type="paragraph" w:customStyle="1" w:styleId="759">
    <w:name w:val="样式 黑体 一号 加粗 居中 行距: 固定值 40 磅"/>
    <w:basedOn w:val="1"/>
    <w:qFormat/>
    <w:uiPriority w:val="0"/>
    <w:pPr>
      <w:spacing w:line="800" w:lineRule="exact"/>
      <w:jc w:val="center"/>
    </w:pPr>
    <w:rPr>
      <w:rFonts w:ascii="黑体" w:eastAsia="黑体" w:cs="宋体"/>
      <w:b/>
      <w:bCs/>
      <w:spacing w:val="40"/>
      <w:sz w:val="72"/>
      <w:szCs w:val="20"/>
    </w:rPr>
  </w:style>
  <w:style w:type="paragraph" w:customStyle="1" w:styleId="760">
    <w:name w:val="样式 日期 + 黑体"/>
    <w:basedOn w:val="1"/>
    <w:qFormat/>
    <w:uiPriority w:val="0"/>
    <w:pPr>
      <w:spacing w:line="500" w:lineRule="exact"/>
    </w:pPr>
    <w:rPr>
      <w:rFonts w:ascii="黑体" w:hAnsi="黑体" w:eastAsia="黑体"/>
      <w:b/>
      <w:spacing w:val="40"/>
      <w:sz w:val="30"/>
      <w:szCs w:val="30"/>
    </w:rPr>
  </w:style>
  <w:style w:type="paragraph" w:customStyle="1" w:styleId="761">
    <w:name w:val="样式 hb4 + 首行缩进:  0 厘米"/>
    <w:basedOn w:val="1"/>
    <w:qFormat/>
    <w:uiPriority w:val="0"/>
    <w:pPr>
      <w:keepNext/>
      <w:keepLines/>
      <w:spacing w:beforeLines="50" w:afterLines="50" w:line="529" w:lineRule="exact"/>
      <w:outlineLvl w:val="3"/>
    </w:pPr>
    <w:rPr>
      <w:rFonts w:cs="宋体"/>
      <w:b/>
      <w:kern w:val="24"/>
    </w:rPr>
  </w:style>
  <w:style w:type="paragraph" w:customStyle="1" w:styleId="762">
    <w:name w:val="样式 目录 1 + 左侧:  -0.17 字符 悬挂缩进: 0.23 字符"/>
    <w:basedOn w:val="1"/>
    <w:qFormat/>
    <w:uiPriority w:val="0"/>
    <w:pPr>
      <w:topLinePunct/>
      <w:spacing w:line="440" w:lineRule="exact"/>
      <w:jc w:val="left"/>
    </w:pPr>
    <w:rPr>
      <w:rFonts w:ascii="Calibri" w:hAnsi="Calibri" w:eastAsia="汉鼎简书宋" w:cs="宋体"/>
      <w:b/>
      <w:caps/>
      <w:color w:val="0033CC"/>
      <w:sz w:val="20"/>
    </w:rPr>
  </w:style>
  <w:style w:type="paragraph" w:customStyle="1" w:styleId="763">
    <w:name w:val="样式 (西文) 宋体 首行缩进:  2 字符 加宽量  0.1 磅 行距: 固定值 25 磅"/>
    <w:basedOn w:val="1"/>
    <w:qFormat/>
    <w:uiPriority w:val="0"/>
    <w:pPr>
      <w:topLinePunct/>
      <w:spacing w:line="500" w:lineRule="exact"/>
      <w:ind w:firstLine="488" w:firstLineChars="200"/>
    </w:pPr>
    <w:rPr>
      <w:rFonts w:ascii="宋体" w:hAnsi="宋体" w:eastAsia="汉鼎简书宋" w:cs="宋体"/>
      <w:spacing w:val="2"/>
      <w:szCs w:val="20"/>
    </w:rPr>
  </w:style>
  <w:style w:type="paragraph" w:customStyle="1" w:styleId="764">
    <w:name w:val="样式 hb4 + 段前: 0.5 行 段后: 0.5 行2"/>
    <w:basedOn w:val="1"/>
    <w:qFormat/>
    <w:uiPriority w:val="0"/>
    <w:pPr>
      <w:keepNext/>
      <w:keepLines/>
      <w:spacing w:beforeLines="50" w:afterLines="50" w:line="529" w:lineRule="exact"/>
      <w:outlineLvl w:val="3"/>
    </w:pPr>
    <w:rPr>
      <w:rFonts w:cs="宋体"/>
      <w:b/>
      <w:kern w:val="24"/>
      <w:sz w:val="28"/>
      <w:szCs w:val="28"/>
    </w:rPr>
  </w:style>
  <w:style w:type="paragraph" w:customStyle="1" w:styleId="765">
    <w:name w:val="样式 hb4 + 段前: 0.5 行 段后: 0.5 行 行距: 固定值 26 磅"/>
    <w:basedOn w:val="1"/>
    <w:qFormat/>
    <w:uiPriority w:val="0"/>
    <w:pPr>
      <w:keepNext/>
      <w:keepLines/>
      <w:spacing w:beforeLines="50" w:afterLines="50" w:line="520" w:lineRule="exact"/>
      <w:outlineLvl w:val="3"/>
    </w:pPr>
    <w:rPr>
      <w:rFonts w:hAnsi="Arial" w:cs="宋体"/>
      <w:b/>
      <w:kern w:val="24"/>
      <w:szCs w:val="20"/>
    </w:rPr>
  </w:style>
  <w:style w:type="paragraph" w:customStyle="1" w:styleId="766">
    <w:name w:val="样式 左侧:  0.85 厘米 首行缩进:  0 字符"/>
    <w:basedOn w:val="1"/>
    <w:qFormat/>
    <w:uiPriority w:val="0"/>
    <w:pPr>
      <w:topLinePunct/>
      <w:ind w:left="480"/>
    </w:pPr>
    <w:rPr>
      <w:rFonts w:eastAsia="汉鼎简书宋" w:cs="宋体"/>
      <w:szCs w:val="20"/>
    </w:rPr>
  </w:style>
  <w:style w:type="paragraph" w:customStyle="1" w:styleId="767">
    <w:name w:val="样式 标题 1 + 行距: 1.5 倍行距"/>
    <w:basedOn w:val="5"/>
    <w:qFormat/>
    <w:uiPriority w:val="0"/>
    <w:pPr>
      <w:keepNext/>
      <w:keepLines/>
      <w:pageBreakBefore/>
      <w:numPr>
        <w:numId w:val="0"/>
      </w:numPr>
      <w:autoSpaceDE w:val="0"/>
      <w:autoSpaceDN w:val="0"/>
      <w:adjustRightInd w:val="0"/>
      <w:spacing w:beforeLines="100" w:after="20"/>
      <w:textAlignment w:val="baseline"/>
    </w:pPr>
    <w:rPr>
      <w:rFonts w:ascii="Times New Roman" w:hAnsi="Times New Roman" w:cs="宋体"/>
      <w:b w:val="0"/>
      <w:spacing w:val="40"/>
      <w:kern w:val="44"/>
      <w:szCs w:val="20"/>
    </w:rPr>
  </w:style>
  <w:style w:type="paragraph" w:customStyle="1" w:styleId="768">
    <w:name w:val="样式 样式 样式 标题 2 + 段前: 0.5 行 行距: 单倍行距1 + 段前: 1 行 + 段前: 1 行"/>
    <w:basedOn w:val="1"/>
    <w:qFormat/>
    <w:uiPriority w:val="0"/>
    <w:pPr>
      <w:tabs>
        <w:tab w:val="left" w:pos="0"/>
      </w:tabs>
      <w:autoSpaceDE w:val="0"/>
      <w:autoSpaceDN w:val="0"/>
      <w:adjustRightInd w:val="0"/>
      <w:snapToGrid w:val="0"/>
      <w:spacing w:beforeLines="100"/>
      <w:jc w:val="left"/>
      <w:textAlignment w:val="baseline"/>
      <w:outlineLvl w:val="1"/>
    </w:pPr>
    <w:rPr>
      <w:rFonts w:cs="宋体"/>
      <w:b/>
      <w:bCs/>
      <w:kern w:val="0"/>
      <w:sz w:val="32"/>
      <w:szCs w:val="20"/>
    </w:rPr>
  </w:style>
  <w:style w:type="paragraph" w:customStyle="1" w:styleId="769">
    <w:name w:val="样式 标题 3Char Char + 段前: 0.5 行"/>
    <w:basedOn w:val="8"/>
    <w:qFormat/>
    <w:uiPriority w:val="0"/>
    <w:pPr>
      <w:numPr>
        <w:ilvl w:val="0"/>
        <w:numId w:val="0"/>
      </w:numPr>
      <w:tabs>
        <w:tab w:val="left" w:pos="0"/>
      </w:tabs>
      <w:autoSpaceDE w:val="0"/>
      <w:autoSpaceDN w:val="0"/>
      <w:adjustRightInd w:val="0"/>
      <w:snapToGrid w:val="0"/>
      <w:spacing w:beforeLines="50"/>
      <w:ind w:left="227" w:hanging="227"/>
      <w:jc w:val="center"/>
      <w:textAlignment w:val="baseline"/>
    </w:pPr>
    <w:rPr>
      <w:rFonts w:hAnsi="宋体" w:eastAsia="黑体"/>
      <w:bCs/>
      <w:sz w:val="30"/>
      <w:szCs w:val="30"/>
    </w:rPr>
  </w:style>
  <w:style w:type="paragraph" w:customStyle="1" w:styleId="770">
    <w:name w:val="样式 标题 3Char Char + Times New Roman 小三 左 段前: 7.8 磅 行距: 1.5 ..."/>
    <w:basedOn w:val="8"/>
    <w:qFormat/>
    <w:uiPriority w:val="0"/>
    <w:pPr>
      <w:numPr>
        <w:ilvl w:val="0"/>
        <w:numId w:val="0"/>
      </w:numPr>
      <w:tabs>
        <w:tab w:val="left" w:pos="0"/>
      </w:tabs>
      <w:autoSpaceDE w:val="0"/>
      <w:autoSpaceDN w:val="0"/>
      <w:adjustRightInd w:val="0"/>
      <w:snapToGrid w:val="0"/>
      <w:spacing w:before="156"/>
      <w:ind w:left="227" w:hanging="227"/>
      <w:jc w:val="center"/>
      <w:textAlignment w:val="baseline"/>
    </w:pPr>
    <w:rPr>
      <w:rFonts w:hAnsi="宋体"/>
      <w:bCs/>
      <w:sz w:val="30"/>
      <w:szCs w:val="30"/>
    </w:rPr>
  </w:style>
  <w:style w:type="paragraph" w:customStyle="1" w:styleId="771">
    <w:name w:val="样式 标题 3Char Char + Times New Roman 小三 左 段前: 7.8 磅 行距: 1.5 ...1"/>
    <w:basedOn w:val="8"/>
    <w:qFormat/>
    <w:uiPriority w:val="0"/>
    <w:pPr>
      <w:numPr>
        <w:ilvl w:val="0"/>
        <w:numId w:val="0"/>
      </w:numPr>
      <w:tabs>
        <w:tab w:val="left" w:pos="0"/>
      </w:tabs>
      <w:autoSpaceDE w:val="0"/>
      <w:autoSpaceDN w:val="0"/>
      <w:adjustRightInd w:val="0"/>
      <w:snapToGrid w:val="0"/>
      <w:spacing w:before="156"/>
      <w:ind w:left="227" w:hanging="227"/>
      <w:jc w:val="center"/>
      <w:textAlignment w:val="baseline"/>
    </w:pPr>
    <w:rPr>
      <w:rFonts w:hAnsi="宋体"/>
      <w:bCs/>
      <w:sz w:val="30"/>
      <w:szCs w:val="30"/>
    </w:rPr>
  </w:style>
  <w:style w:type="paragraph" w:customStyle="1" w:styleId="772">
    <w:name w:val="样式 样式 样式 标题4- + 段前: 0.5 行 + 段前: 0.5 行 + 段前: 0.5 行 非加宽量 / 紧缩量"/>
    <w:basedOn w:val="737"/>
    <w:qFormat/>
    <w:uiPriority w:val="0"/>
    <w:pPr>
      <w:tabs>
        <w:tab w:val="left" w:pos="0"/>
        <w:tab w:val="clear" w:pos="1205"/>
      </w:tabs>
      <w:spacing w:before="156" w:line="480" w:lineRule="exact"/>
      <w:ind w:left="113" w:hanging="113"/>
    </w:pPr>
    <w:rPr>
      <w:rFonts w:hAnsi="宋体" w:eastAsia="宋体" w:cs="Times New Roman"/>
      <w:spacing w:val="0"/>
      <w:sz w:val="24"/>
    </w:rPr>
  </w:style>
  <w:style w:type="paragraph" w:customStyle="1" w:styleId="773">
    <w:name w:val="样式 正文文本 + 小三"/>
    <w:basedOn w:val="25"/>
    <w:link w:val="774"/>
    <w:qFormat/>
    <w:uiPriority w:val="0"/>
    <w:pPr>
      <w:widowControl w:val="0"/>
      <w:shd w:val="clear" w:color="auto" w:fill="auto"/>
      <w:spacing w:before="0" w:line="360" w:lineRule="auto"/>
      <w:ind w:firstLine="200" w:firstLineChars="200"/>
      <w:jc w:val="both"/>
    </w:pPr>
    <w:rPr>
      <w:rFonts w:hAnsi="宋体" w:cs="黑体"/>
      <w:kern w:val="2"/>
      <w:sz w:val="30"/>
      <w:szCs w:val="21"/>
    </w:rPr>
  </w:style>
  <w:style w:type="character" w:customStyle="1" w:styleId="774">
    <w:name w:val="样式 正文文本 + 小三 Char Char"/>
    <w:link w:val="773"/>
    <w:qFormat/>
    <w:uiPriority w:val="0"/>
    <w:rPr>
      <w:rFonts w:ascii="宋体" w:hAnsi="宋体" w:cs="黑体"/>
      <w:snapToGrid/>
      <w:kern w:val="2"/>
      <w:sz w:val="30"/>
      <w:szCs w:val="21"/>
    </w:rPr>
  </w:style>
  <w:style w:type="paragraph" w:customStyle="1" w:styleId="775">
    <w:name w:val="样式hb4"/>
    <w:basedOn w:val="1"/>
    <w:link w:val="776"/>
    <w:qFormat/>
    <w:uiPriority w:val="0"/>
    <w:pPr>
      <w:keepNext/>
      <w:keepLines/>
      <w:topLinePunct/>
      <w:adjustRightInd w:val="0"/>
      <w:snapToGrid w:val="0"/>
      <w:spacing w:before="156" w:after="156" w:line="240" w:lineRule="auto"/>
      <w:outlineLvl w:val="3"/>
    </w:pPr>
    <w:rPr>
      <w:rFonts w:ascii="Calibri" w:hAnsi="Calibri" w:cs="黑体"/>
      <w:szCs w:val="21"/>
    </w:rPr>
  </w:style>
  <w:style w:type="character" w:customStyle="1" w:styleId="776">
    <w:name w:val="样式hb4 Char Char"/>
    <w:link w:val="775"/>
    <w:qFormat/>
    <w:uiPriority w:val="0"/>
    <w:rPr>
      <w:rFonts w:cs="黑体"/>
      <w:snapToGrid/>
      <w:kern w:val="2"/>
      <w:sz w:val="24"/>
      <w:szCs w:val="21"/>
    </w:rPr>
  </w:style>
  <w:style w:type="paragraph" w:customStyle="1" w:styleId="777">
    <w:name w:val="於正文"/>
    <w:basedOn w:val="1"/>
    <w:link w:val="778"/>
    <w:qFormat/>
    <w:uiPriority w:val="0"/>
    <w:pPr>
      <w:spacing w:line="440" w:lineRule="exact"/>
      <w:ind w:firstLine="200" w:firstLineChars="200"/>
    </w:pPr>
    <w:rPr>
      <w:rFonts w:ascii="仿宋_GB2312" w:hAnsi="仿宋_GB2312" w:eastAsia="仿宋_GB2312" w:cs="黑体"/>
      <w:color w:val="0000FF"/>
      <w:sz w:val="30"/>
      <w:szCs w:val="21"/>
    </w:rPr>
  </w:style>
  <w:style w:type="character" w:customStyle="1" w:styleId="778">
    <w:name w:val="於正文 Char Char"/>
    <w:link w:val="777"/>
    <w:qFormat/>
    <w:uiPriority w:val="0"/>
    <w:rPr>
      <w:rFonts w:ascii="仿宋_GB2312" w:hAnsi="仿宋_GB2312" w:eastAsia="仿宋_GB2312" w:cs="黑体"/>
      <w:color w:val="0000FF"/>
      <w:kern w:val="2"/>
      <w:sz w:val="30"/>
      <w:szCs w:val="21"/>
    </w:rPr>
  </w:style>
  <w:style w:type="paragraph" w:customStyle="1" w:styleId="779">
    <w:name w:val="样式 hb3 +"/>
    <w:basedOn w:val="1"/>
    <w:link w:val="780"/>
    <w:qFormat/>
    <w:uiPriority w:val="0"/>
    <w:pPr>
      <w:keepNext/>
      <w:keepLines/>
      <w:tabs>
        <w:tab w:val="left" w:pos="1872"/>
      </w:tabs>
      <w:adjustRightInd w:val="0"/>
      <w:spacing w:beforeLines="100" w:afterLines="50" w:line="240" w:lineRule="auto"/>
      <w:ind w:left="1872" w:hanging="432"/>
      <w:jc w:val="left"/>
      <w:textAlignment w:val="baseline"/>
      <w:outlineLvl w:val="2"/>
    </w:pPr>
    <w:rPr>
      <w:rFonts w:ascii="Calibri" w:hAnsi="Calibri" w:eastAsia="Times New Roman" w:cs="黑体"/>
      <w:b/>
      <w:szCs w:val="21"/>
    </w:rPr>
  </w:style>
  <w:style w:type="character" w:customStyle="1" w:styleId="780">
    <w:name w:val="样式 hb3 + Char Char"/>
    <w:link w:val="779"/>
    <w:qFormat/>
    <w:uiPriority w:val="0"/>
    <w:rPr>
      <w:rFonts w:eastAsia="Times New Roman" w:cs="黑体"/>
      <w:b/>
      <w:kern w:val="2"/>
      <w:sz w:val="24"/>
      <w:szCs w:val="21"/>
    </w:rPr>
  </w:style>
  <w:style w:type="paragraph" w:customStyle="1" w:styleId="781">
    <w:name w:val="样式 hb1 + Times New Roman"/>
    <w:basedOn w:val="1"/>
    <w:link w:val="782"/>
    <w:qFormat/>
    <w:uiPriority w:val="0"/>
    <w:pPr>
      <w:keepNext/>
      <w:keepLines/>
      <w:topLinePunct/>
      <w:adjustRightInd w:val="0"/>
      <w:spacing w:beforeLines="100" w:afterLines="100" w:line="240" w:lineRule="atLeast"/>
      <w:jc w:val="center"/>
      <w:textAlignment w:val="baseline"/>
      <w:outlineLvl w:val="0"/>
    </w:pPr>
    <w:rPr>
      <w:rFonts w:ascii="Calibri" w:hAnsi="Calibri" w:cs="黑体"/>
      <w:bCs/>
      <w:sz w:val="32"/>
      <w:szCs w:val="32"/>
    </w:rPr>
  </w:style>
  <w:style w:type="character" w:customStyle="1" w:styleId="782">
    <w:name w:val="样式 hb1 + Times New Roman Char Char"/>
    <w:link w:val="781"/>
    <w:qFormat/>
    <w:uiPriority w:val="0"/>
    <w:rPr>
      <w:rFonts w:cs="黑体"/>
      <w:bCs/>
      <w:kern w:val="2"/>
      <w:sz w:val="32"/>
      <w:szCs w:val="32"/>
    </w:rPr>
  </w:style>
  <w:style w:type="paragraph" w:customStyle="1" w:styleId="783">
    <w:name w:val="正式文本"/>
    <w:basedOn w:val="1"/>
    <w:link w:val="784"/>
    <w:qFormat/>
    <w:uiPriority w:val="0"/>
    <w:pPr>
      <w:spacing w:line="500" w:lineRule="exact"/>
      <w:ind w:firstLine="200" w:firstLineChars="200"/>
    </w:pPr>
    <w:rPr>
      <w:rFonts w:ascii="Arial Narrow" w:hAnsi="Arial Narrow" w:eastAsia="汉鼎简书宋" w:cs="黑体"/>
      <w:szCs w:val="21"/>
    </w:rPr>
  </w:style>
  <w:style w:type="character" w:customStyle="1" w:styleId="784">
    <w:name w:val="正式文本 Char Char"/>
    <w:link w:val="783"/>
    <w:qFormat/>
    <w:uiPriority w:val="0"/>
    <w:rPr>
      <w:rFonts w:ascii="Arial Narrow" w:hAnsi="Arial Narrow" w:eastAsia="汉鼎简书宋" w:cs="黑体"/>
      <w:kern w:val="2"/>
      <w:sz w:val="24"/>
      <w:szCs w:val="21"/>
    </w:rPr>
  </w:style>
  <w:style w:type="paragraph" w:customStyle="1" w:styleId="785">
    <w:name w:val="样式 正文3 + 行距: 固定值 25 磅"/>
    <w:basedOn w:val="533"/>
    <w:qFormat/>
    <w:uiPriority w:val="0"/>
    <w:pPr>
      <w:adjustRightInd/>
      <w:spacing w:line="500" w:lineRule="exact"/>
      <w:ind w:firstLine="480" w:firstLineChars="200"/>
      <w:jc w:val="both"/>
      <w:textAlignment w:val="auto"/>
    </w:pPr>
    <w:rPr>
      <w:rFonts w:hAnsi="宋体"/>
      <w:color w:val="auto"/>
      <w:kern w:val="2"/>
      <w:sz w:val="24"/>
    </w:rPr>
  </w:style>
  <w:style w:type="paragraph" w:customStyle="1" w:styleId="786">
    <w:name w:val="正文dh"/>
    <w:basedOn w:val="1"/>
    <w:qFormat/>
    <w:uiPriority w:val="0"/>
    <w:pPr>
      <w:spacing w:line="520" w:lineRule="exact"/>
      <w:ind w:firstLine="482" w:firstLineChars="200"/>
    </w:pPr>
    <w:rPr>
      <w:rFonts w:ascii="宋体" w:hAnsi="宋体"/>
      <w:szCs w:val="20"/>
    </w:rPr>
  </w:style>
  <w:style w:type="paragraph" w:customStyle="1" w:styleId="787">
    <w:name w:val="样式 表文字 + 宋体"/>
    <w:basedOn w:val="1"/>
    <w:next w:val="1"/>
    <w:qFormat/>
    <w:uiPriority w:val="0"/>
    <w:pPr>
      <w:topLinePunct/>
      <w:adjustRightInd w:val="0"/>
      <w:spacing w:line="240" w:lineRule="exact"/>
      <w:jc w:val="center"/>
      <w:textAlignment w:val="baseline"/>
    </w:pPr>
    <w:rPr>
      <w:rFonts w:ascii="宋体" w:hAnsi="宋体"/>
      <w:kern w:val="0"/>
      <w:sz w:val="20"/>
      <w:szCs w:val="20"/>
    </w:rPr>
  </w:style>
  <w:style w:type="paragraph" w:customStyle="1" w:styleId="788">
    <w:name w:val="样式 表文字 +"/>
    <w:basedOn w:val="1"/>
    <w:next w:val="1"/>
    <w:qFormat/>
    <w:uiPriority w:val="0"/>
    <w:pPr>
      <w:topLinePunct/>
      <w:adjustRightInd w:val="0"/>
      <w:spacing w:line="240" w:lineRule="exact"/>
      <w:jc w:val="center"/>
      <w:textAlignment w:val="baseline"/>
    </w:pPr>
    <w:rPr>
      <w:rFonts w:ascii="宋体" w:hAnsi="宋体"/>
      <w:kern w:val="0"/>
      <w:sz w:val="20"/>
      <w:szCs w:val="20"/>
    </w:rPr>
  </w:style>
  <w:style w:type="paragraph" w:customStyle="1" w:styleId="789">
    <w:name w:val="页脚1"/>
    <w:basedOn w:val="1"/>
    <w:qFormat/>
    <w:uiPriority w:val="0"/>
    <w:pPr>
      <w:tabs>
        <w:tab w:val="center" w:pos="4153"/>
        <w:tab w:val="right" w:pos="8306"/>
      </w:tabs>
      <w:snapToGrid w:val="0"/>
      <w:spacing w:line="529" w:lineRule="exact"/>
      <w:ind w:firstLine="200" w:firstLineChars="200"/>
      <w:jc w:val="left"/>
    </w:pPr>
    <w:rPr>
      <w:rFonts w:ascii="宋体" w:hAnsi="宋体"/>
      <w:sz w:val="18"/>
      <w:szCs w:val="20"/>
    </w:rPr>
  </w:style>
  <w:style w:type="paragraph" w:customStyle="1" w:styleId="790">
    <w:name w:val="样式 表号 + 左侧:  0 厘米"/>
    <w:basedOn w:val="1"/>
    <w:qFormat/>
    <w:uiPriority w:val="0"/>
    <w:pPr>
      <w:widowControl/>
      <w:spacing w:line="240" w:lineRule="auto"/>
      <w:jc w:val="left"/>
    </w:pPr>
    <w:rPr>
      <w:kern w:val="0"/>
      <w:szCs w:val="20"/>
    </w:rPr>
  </w:style>
  <w:style w:type="paragraph" w:customStyle="1" w:styleId="791">
    <w:name w:val="样式3 Char Char Char Char Char"/>
    <w:basedOn w:val="1"/>
    <w:qFormat/>
    <w:uiPriority w:val="0"/>
    <w:pPr>
      <w:adjustRightInd w:val="0"/>
      <w:snapToGrid w:val="0"/>
      <w:spacing w:line="530" w:lineRule="exact"/>
      <w:jc w:val="center"/>
    </w:pPr>
    <w:rPr>
      <w:spacing w:val="8"/>
      <w:kern w:val="0"/>
      <w:sz w:val="28"/>
      <w:szCs w:val="28"/>
    </w:rPr>
  </w:style>
  <w:style w:type="paragraph" w:customStyle="1" w:styleId="792">
    <w:name w:val="正文1 Char Char Char"/>
    <w:basedOn w:val="1"/>
    <w:qFormat/>
    <w:uiPriority w:val="0"/>
    <w:pPr>
      <w:spacing w:line="560" w:lineRule="exact"/>
      <w:ind w:firstLine="200" w:firstLineChars="200"/>
    </w:pPr>
    <w:rPr>
      <w:rFonts w:ascii="宋体" w:hAnsi="宋体" w:cs="宋体"/>
    </w:rPr>
  </w:style>
  <w:style w:type="paragraph" w:customStyle="1" w:styleId="793">
    <w:name w:val="样式 hb4 + 段前: 0.5 行 段后: 0.5 行3"/>
    <w:basedOn w:val="1"/>
    <w:qFormat/>
    <w:uiPriority w:val="0"/>
    <w:pPr>
      <w:keepNext/>
      <w:keepLines/>
      <w:spacing w:beforeLines="50" w:afterLines="50" w:line="529" w:lineRule="exact"/>
      <w:outlineLvl w:val="3"/>
    </w:pPr>
    <w:rPr>
      <w:rFonts w:ascii="宋体" w:hAnsi="Arial" w:eastAsia="黑体" w:cs="宋体"/>
      <w:b/>
      <w:szCs w:val="20"/>
    </w:rPr>
  </w:style>
  <w:style w:type="paragraph" w:customStyle="1" w:styleId="794">
    <w:name w:val="样式 正文段落 + 五号"/>
    <w:basedOn w:val="400"/>
    <w:qFormat/>
    <w:uiPriority w:val="0"/>
    <w:pPr>
      <w:topLinePunct/>
      <w:spacing w:line="500" w:lineRule="exact"/>
      <w:ind w:firstLine="0" w:firstLineChars="0"/>
      <w:jc w:val="center"/>
    </w:pPr>
    <w:rPr>
      <w:rFonts w:ascii="Arial Narrow" w:hAnsi="Arial Narrow" w:eastAsia="汉鼎简书宋"/>
      <w:sz w:val="21"/>
    </w:rPr>
  </w:style>
  <w:style w:type="paragraph" w:customStyle="1" w:styleId="795">
    <w:name w:val="样式 4 + 首行缩进:  2 字符1"/>
    <w:basedOn w:val="1"/>
    <w:qFormat/>
    <w:uiPriority w:val="0"/>
    <w:pPr>
      <w:spacing w:line="500" w:lineRule="exact"/>
    </w:pPr>
    <w:rPr>
      <w:rFonts w:ascii="宋体" w:hAnsi="宋体" w:cs="宋体"/>
      <w:color w:val="000000"/>
    </w:rPr>
  </w:style>
  <w:style w:type="paragraph" w:customStyle="1" w:styleId="796">
    <w:name w:val="吴5级"/>
    <w:basedOn w:val="1"/>
    <w:link w:val="797"/>
    <w:qFormat/>
    <w:uiPriority w:val="0"/>
    <w:pPr>
      <w:tabs>
        <w:tab w:val="left" w:pos="8295"/>
      </w:tabs>
      <w:outlineLvl w:val="4"/>
    </w:pPr>
    <w:rPr>
      <w:b/>
    </w:rPr>
  </w:style>
  <w:style w:type="character" w:customStyle="1" w:styleId="797">
    <w:name w:val="吴5级 Char"/>
    <w:link w:val="796"/>
    <w:qFormat/>
    <w:uiPriority w:val="0"/>
    <w:rPr>
      <w:rFonts w:ascii="Times New Roman" w:hAnsi="Times New Roman"/>
      <w:b/>
      <w:kern w:val="2"/>
      <w:sz w:val="24"/>
      <w:szCs w:val="24"/>
    </w:rPr>
  </w:style>
  <w:style w:type="paragraph" w:customStyle="1" w:styleId="798">
    <w:name w:val="正文内容0"/>
    <w:basedOn w:val="1"/>
    <w:link w:val="799"/>
    <w:qFormat/>
    <w:uiPriority w:val="0"/>
    <w:pPr>
      <w:adjustRightInd w:val="0"/>
      <w:snapToGrid w:val="0"/>
      <w:spacing w:line="440" w:lineRule="exact"/>
      <w:ind w:firstLine="480" w:firstLineChars="200"/>
    </w:pPr>
    <w:rPr>
      <w:kern w:val="0"/>
    </w:rPr>
  </w:style>
  <w:style w:type="character" w:customStyle="1" w:styleId="799">
    <w:name w:val="正文内容0 Char Char"/>
    <w:link w:val="798"/>
    <w:qFormat/>
    <w:uiPriority w:val="0"/>
    <w:rPr>
      <w:rFonts w:ascii="Times New Roman" w:hAnsi="Times New Roman"/>
      <w:snapToGrid/>
      <w:sz w:val="24"/>
      <w:szCs w:val="24"/>
    </w:rPr>
  </w:style>
  <w:style w:type="paragraph" w:customStyle="1" w:styleId="800">
    <w:name w:val="正文AA"/>
    <w:basedOn w:val="1"/>
    <w:qFormat/>
    <w:uiPriority w:val="0"/>
    <w:pPr>
      <w:spacing w:line="540" w:lineRule="exact"/>
      <w:ind w:firstLine="480" w:firstLineChars="200"/>
    </w:pPr>
    <w:rPr>
      <w:rFonts w:ascii="宋体" w:hAnsi="宋体" w:cs="宋体"/>
      <w:szCs w:val="20"/>
    </w:rPr>
  </w:style>
  <w:style w:type="paragraph" w:customStyle="1" w:styleId="801">
    <w:name w:val="样式 标题 2 + 行距: 1.5 倍行距"/>
    <w:basedOn w:val="7"/>
    <w:qFormat/>
    <w:uiPriority w:val="0"/>
    <w:pPr>
      <w:numPr>
        <w:ilvl w:val="0"/>
        <w:numId w:val="0"/>
      </w:numPr>
      <w:tabs>
        <w:tab w:val="left" w:pos="737"/>
        <w:tab w:val="clear" w:pos="720"/>
      </w:tabs>
      <w:autoSpaceDE w:val="0"/>
      <w:autoSpaceDN w:val="0"/>
      <w:adjustRightInd w:val="0"/>
      <w:snapToGrid w:val="0"/>
      <w:spacing w:beforeLines="50"/>
      <w:ind w:left="737" w:hanging="737"/>
      <w:jc w:val="center"/>
      <w:textAlignment w:val="baseline"/>
    </w:pPr>
    <w:rPr>
      <w:rFonts w:eastAsia="黑体" w:cs="宋体"/>
      <w:bCs/>
      <w:kern w:val="44"/>
      <w:sz w:val="32"/>
    </w:rPr>
  </w:style>
  <w:style w:type="paragraph" w:customStyle="1" w:styleId="802">
    <w:name w:val="样式 样式 标题4 + 段前: 0.25 行 + 段前: 0.25 行"/>
    <w:basedOn w:val="735"/>
    <w:qFormat/>
    <w:uiPriority w:val="0"/>
    <w:pPr>
      <w:tabs>
        <w:tab w:val="left" w:pos="1200"/>
        <w:tab w:val="clear" w:pos="1080"/>
      </w:tabs>
    </w:pPr>
    <w:rPr>
      <w:rFonts w:eastAsia="黑体"/>
      <w:b w:val="0"/>
    </w:rPr>
  </w:style>
  <w:style w:type="paragraph" w:customStyle="1" w:styleId="803">
    <w:name w:val="样式 标题 3条标题1.1.1条标题标题 333h33rd levelH3l3CT标题 3 CharHea...1"/>
    <w:basedOn w:val="8"/>
    <w:qFormat/>
    <w:uiPriority w:val="0"/>
    <w:pPr>
      <w:numPr>
        <w:ilvl w:val="0"/>
        <w:numId w:val="0"/>
      </w:numPr>
      <w:spacing w:before="120"/>
    </w:pPr>
    <w:rPr>
      <w:rFonts w:eastAsia="楷体_GB2312"/>
      <w:kern w:val="2"/>
      <w:szCs w:val="20"/>
    </w:rPr>
  </w:style>
  <w:style w:type="paragraph" w:customStyle="1" w:styleId="804">
    <w:name w:val="样式 标题 3条标题1.1.1条标题标题 333h33rd levelH3l3CT标题 3 CharHea...2"/>
    <w:basedOn w:val="8"/>
    <w:qFormat/>
    <w:uiPriority w:val="0"/>
    <w:pPr>
      <w:numPr>
        <w:ilvl w:val="0"/>
        <w:numId w:val="0"/>
      </w:numPr>
      <w:spacing w:before="120"/>
    </w:pPr>
    <w:rPr>
      <w:rFonts w:eastAsia="楷体_GB2312"/>
      <w:color w:val="0000FF"/>
      <w:kern w:val="2"/>
      <w:szCs w:val="20"/>
    </w:rPr>
  </w:style>
  <w:style w:type="paragraph" w:customStyle="1" w:styleId="805">
    <w:name w:val="样式 标题 2 + (西文) Times New Roman (中文) 黑体 小三 非加粗 蓝色 段前: 6 磅 段..."/>
    <w:basedOn w:val="7"/>
    <w:qFormat/>
    <w:uiPriority w:val="0"/>
    <w:pPr>
      <w:numPr>
        <w:ilvl w:val="0"/>
        <w:numId w:val="0"/>
      </w:numPr>
      <w:spacing w:before="120"/>
    </w:pPr>
    <w:rPr>
      <w:rFonts w:eastAsia="黑体" w:cs="宋体"/>
      <w:bCs/>
      <w:color w:val="0000FF"/>
      <w:kern w:val="2"/>
      <w:sz w:val="30"/>
      <w:szCs w:val="20"/>
    </w:rPr>
  </w:style>
  <w:style w:type="paragraph" w:customStyle="1" w:styleId="806">
    <w:name w:val="样式 样式 正文文本 + 首行缩进:  2 字符 + 首行缩进:  1.5 字符"/>
    <w:basedOn w:val="1"/>
    <w:qFormat/>
    <w:uiPriority w:val="0"/>
    <w:pPr>
      <w:autoSpaceDE w:val="0"/>
      <w:autoSpaceDN w:val="0"/>
      <w:adjustRightInd w:val="0"/>
      <w:snapToGrid w:val="0"/>
      <w:spacing w:before="40" w:after="40"/>
      <w:ind w:firstLine="480" w:firstLineChars="200"/>
      <w:jc w:val="left"/>
      <w:textAlignment w:val="bottom"/>
    </w:pPr>
    <w:rPr>
      <w:rFonts w:ascii="宋体" w:hAnsi="宋体"/>
      <w:szCs w:val="20"/>
    </w:rPr>
  </w:style>
  <w:style w:type="paragraph" w:customStyle="1" w:styleId="807">
    <w:name w:val="中表格"/>
    <w:basedOn w:val="1"/>
    <w:qFormat/>
    <w:uiPriority w:val="0"/>
    <w:pPr>
      <w:spacing w:line="420" w:lineRule="exact"/>
      <w:jc w:val="center"/>
    </w:pPr>
    <w:rPr>
      <w:rFonts w:ascii="宋体" w:hAnsi="Arial"/>
      <w:szCs w:val="20"/>
    </w:rPr>
  </w:style>
  <w:style w:type="paragraph" w:customStyle="1" w:styleId="808">
    <w:name w:val="正文陕西"/>
    <w:basedOn w:val="1"/>
    <w:link w:val="809"/>
    <w:qFormat/>
    <w:uiPriority w:val="0"/>
    <w:pPr>
      <w:ind w:firstLine="1040" w:firstLineChars="200"/>
    </w:pPr>
    <w:rPr>
      <w:rFonts w:ascii="Calibri" w:hAnsi="Calibri" w:cs="黑体"/>
      <w:sz w:val="21"/>
      <w:szCs w:val="21"/>
    </w:rPr>
  </w:style>
  <w:style w:type="character" w:customStyle="1" w:styleId="809">
    <w:name w:val="正文陕西 Char Char"/>
    <w:link w:val="808"/>
    <w:qFormat/>
    <w:uiPriority w:val="0"/>
    <w:rPr>
      <w:rFonts w:cs="黑体"/>
      <w:kern w:val="2"/>
      <w:sz w:val="21"/>
      <w:szCs w:val="21"/>
    </w:rPr>
  </w:style>
  <w:style w:type="paragraph" w:customStyle="1" w:styleId="810">
    <w:name w:val="样式 标题 2"/>
    <w:basedOn w:val="7"/>
    <w:qFormat/>
    <w:uiPriority w:val="0"/>
    <w:pPr>
      <w:numPr>
        <w:ilvl w:val="0"/>
        <w:numId w:val="0"/>
      </w:numPr>
      <w:adjustRightInd w:val="0"/>
      <w:snapToGrid w:val="0"/>
    </w:pPr>
    <w:rPr>
      <w:rFonts w:cs="宋体"/>
      <w:kern w:val="2"/>
      <w:sz w:val="30"/>
      <w:szCs w:val="20"/>
    </w:rPr>
  </w:style>
  <w:style w:type="paragraph" w:customStyle="1" w:styleId="811">
    <w:name w:val="样式 表格文字 + 宋体"/>
    <w:basedOn w:val="1"/>
    <w:qFormat/>
    <w:uiPriority w:val="0"/>
    <w:pPr>
      <w:tabs>
        <w:tab w:val="left" w:pos="-24"/>
      </w:tabs>
      <w:spacing w:line="240" w:lineRule="auto"/>
      <w:jc w:val="center"/>
    </w:pPr>
    <w:rPr>
      <w:rFonts w:ascii="宋体" w:cs="宋体"/>
      <w:sz w:val="21"/>
      <w:szCs w:val="21"/>
    </w:rPr>
  </w:style>
  <w:style w:type="paragraph" w:customStyle="1" w:styleId="812">
    <w:name w:val="正文编号"/>
    <w:basedOn w:val="1"/>
    <w:link w:val="813"/>
    <w:qFormat/>
    <w:uiPriority w:val="0"/>
    <w:pPr>
      <w:jc w:val="left"/>
    </w:pPr>
    <w:rPr>
      <w:rFonts w:ascii="Calibri" w:hAnsi="Calibri" w:cs="黑体"/>
      <w:szCs w:val="21"/>
    </w:rPr>
  </w:style>
  <w:style w:type="character" w:customStyle="1" w:styleId="813">
    <w:name w:val="正文编号 Char Char"/>
    <w:link w:val="812"/>
    <w:qFormat/>
    <w:uiPriority w:val="0"/>
    <w:rPr>
      <w:rFonts w:cs="黑体"/>
      <w:kern w:val="2"/>
      <w:sz w:val="24"/>
      <w:szCs w:val="21"/>
    </w:rPr>
  </w:style>
  <w:style w:type="paragraph" w:customStyle="1" w:styleId="814">
    <w:name w:val="样式 样式 样式 标题 4标题 4 Char + 段前: 0.5 行 段后: 0.25 行 + 右侧:  1 字符 + 右侧: ..."/>
    <w:basedOn w:val="1"/>
    <w:qFormat/>
    <w:uiPriority w:val="0"/>
    <w:pPr>
      <w:snapToGrid w:val="0"/>
      <w:spacing w:beforeLines="50" w:afterLines="50" w:line="240" w:lineRule="auto"/>
      <w:ind w:left="200" w:leftChars="200" w:right="200" w:rightChars="200"/>
      <w:jc w:val="left"/>
      <w:outlineLvl w:val="3"/>
    </w:pPr>
    <w:rPr>
      <w:rFonts w:ascii="宋体" w:hAnsi="宋体" w:cs="宋体"/>
      <w:b/>
      <w:bCs/>
      <w:sz w:val="28"/>
      <w:szCs w:val="20"/>
    </w:rPr>
  </w:style>
  <w:style w:type="paragraph" w:customStyle="1" w:styleId="815">
    <w:name w:val="样式 样式 样式 样式 样式 标题 3 + 段前: 0.25 行 段后: 0.25 行 + 段前: 0.25 行 段后: 0.2..."/>
    <w:basedOn w:val="1"/>
    <w:qFormat/>
    <w:uiPriority w:val="0"/>
    <w:pPr>
      <w:snapToGrid w:val="0"/>
      <w:spacing w:beforeLines="25" w:afterLines="25" w:line="240" w:lineRule="auto"/>
      <w:ind w:left="200" w:leftChars="200" w:right="200" w:rightChars="200"/>
      <w:jc w:val="left"/>
      <w:outlineLvl w:val="2"/>
    </w:pPr>
    <w:rPr>
      <w:rFonts w:cs="宋体"/>
      <w:b/>
      <w:bCs/>
      <w:sz w:val="30"/>
      <w:szCs w:val="20"/>
    </w:rPr>
  </w:style>
  <w:style w:type="character" w:customStyle="1" w:styleId="816">
    <w:name w:val="样式 黑色"/>
    <w:qFormat/>
    <w:uiPriority w:val="0"/>
    <w:rPr>
      <w:rFonts w:ascii="宋体" w:hAnsi="宋体" w:eastAsia="宋体"/>
      <w:color w:val="000000"/>
      <w:sz w:val="24"/>
      <w:szCs w:val="24"/>
      <w:lang w:val="en-US" w:eastAsia="en-US" w:bidi="ar-SA"/>
    </w:rPr>
  </w:style>
  <w:style w:type="character" w:customStyle="1" w:styleId="817">
    <w:name w:val="注释 Char Char Char"/>
    <w:qFormat/>
    <w:uiPriority w:val="0"/>
    <w:rPr>
      <w:rFonts w:eastAsia="宋体"/>
      <w:kern w:val="2"/>
      <w:sz w:val="21"/>
      <w:szCs w:val="24"/>
      <w:lang w:val="en-US" w:eastAsia="zh-CN" w:bidi="ar-SA"/>
    </w:rPr>
  </w:style>
  <w:style w:type="character" w:customStyle="1" w:styleId="818">
    <w:name w:val="样式 标题 1 Char Char + Arial 三号"/>
    <w:qFormat/>
    <w:uiPriority w:val="0"/>
    <w:rPr>
      <w:rFonts w:ascii="Arial" w:hAnsi="Arial" w:eastAsia="宋体"/>
      <w:b/>
      <w:bCs/>
      <w:kern w:val="44"/>
      <w:sz w:val="36"/>
      <w:szCs w:val="44"/>
      <w:lang w:val="en-US" w:eastAsia="zh-CN" w:bidi="ar-SA"/>
    </w:rPr>
  </w:style>
  <w:style w:type="character" w:customStyle="1" w:styleId="819">
    <w:name w:val="正文首行缩进 Char2"/>
    <w:qFormat/>
    <w:uiPriority w:val="0"/>
    <w:rPr>
      <w:rFonts w:ascii="Times New Roman" w:hAnsi="Times New Roman" w:eastAsia="宋体" w:cs="Times New Roman"/>
      <w:kern w:val="0"/>
      <w:sz w:val="20"/>
      <w:szCs w:val="24"/>
    </w:rPr>
  </w:style>
  <w:style w:type="character" w:customStyle="1" w:styleId="820">
    <w:name w:val="小标题 Char1"/>
    <w:qFormat/>
    <w:uiPriority w:val="0"/>
    <w:rPr>
      <w:rFonts w:eastAsia="宋体"/>
      <w:b/>
      <w:sz w:val="24"/>
      <w:u w:val="single"/>
      <w:lang w:val="en-US" w:eastAsia="zh-CN" w:bidi="ar-SA"/>
    </w:rPr>
  </w:style>
  <w:style w:type="character" w:customStyle="1" w:styleId="821">
    <w:name w:val="宗兴正文 Char Char"/>
    <w:qFormat/>
    <w:uiPriority w:val="0"/>
    <w:rPr>
      <w:rFonts w:ascii="黑体" w:eastAsia="黑体"/>
      <w:snapToGrid/>
      <w:kern w:val="2"/>
      <w:sz w:val="24"/>
      <w:szCs w:val="24"/>
      <w:lang w:val="zh-CN" w:eastAsia="zh-CN" w:bidi="ar-SA"/>
    </w:rPr>
  </w:style>
  <w:style w:type="character" w:customStyle="1" w:styleId="822">
    <w:name w:val="样式 报告 + 首行缩进:  2 字符 Char Char Char Char"/>
    <w:qFormat/>
    <w:uiPriority w:val="0"/>
    <w:rPr>
      <w:rFonts w:eastAsia="宋体" w:cs="宋体"/>
      <w:snapToGrid/>
      <w:sz w:val="24"/>
      <w:lang w:val="en-US" w:eastAsia="zh-CN" w:bidi="ar-SA"/>
    </w:rPr>
  </w:style>
  <w:style w:type="character" w:customStyle="1" w:styleId="823">
    <w:name w:val="样式 报告 + 首行缩进:  0.58 字符 Char Char Char"/>
    <w:qFormat/>
    <w:uiPriority w:val="0"/>
    <w:rPr>
      <w:rFonts w:eastAsia="宋体" w:cs="宋体"/>
      <w:sz w:val="24"/>
      <w:lang w:val="en-US" w:eastAsia="zh-CN" w:bidi="ar-SA"/>
    </w:rPr>
  </w:style>
  <w:style w:type="character" w:customStyle="1" w:styleId="824">
    <w:name w:val="正文首行缩进 Char1"/>
    <w:qFormat/>
    <w:uiPriority w:val="99"/>
    <w:rPr>
      <w:rFonts w:eastAsia="宋体"/>
      <w:kern w:val="2"/>
      <w:sz w:val="21"/>
      <w:szCs w:val="24"/>
      <w:lang w:val="en-US" w:eastAsia="zh-CN" w:bidi="ar-SA"/>
    </w:rPr>
  </w:style>
  <w:style w:type="character" w:customStyle="1" w:styleId="825">
    <w:name w:val="正文首行缩进 Char Char Char Char"/>
    <w:qFormat/>
    <w:uiPriority w:val="0"/>
    <w:rPr>
      <w:rFonts w:eastAsia="宋体"/>
      <w:sz w:val="24"/>
      <w:szCs w:val="24"/>
      <w:lang w:val="en-US" w:eastAsia="zh-CN" w:bidi="ar-SA"/>
    </w:rPr>
  </w:style>
  <w:style w:type="character" w:customStyle="1" w:styleId="826">
    <w:name w:val="正文（首行缩进两字） Cha Char Char Char"/>
    <w:qFormat/>
    <w:uiPriority w:val="0"/>
    <w:rPr>
      <w:rFonts w:eastAsia="宋体"/>
      <w:kern w:val="2"/>
      <w:sz w:val="28"/>
      <w:lang w:val="en-US" w:eastAsia="zh-CN" w:bidi="ar-SA"/>
    </w:rPr>
  </w:style>
  <w:style w:type="character" w:customStyle="1" w:styleId="827">
    <w:name w:val="样式 正文文本缩进 2正文文本缩进 2 Char Char Char Char正文文本缩进 2 Char Char + 黑色1 Char"/>
    <w:qFormat/>
    <w:uiPriority w:val="0"/>
    <w:rPr>
      <w:rFonts w:eastAsia="宋体"/>
      <w:color w:val="000000"/>
      <w:sz w:val="21"/>
      <w:lang w:val="en-US" w:eastAsia="zh-CN" w:bidi="ar-SA"/>
    </w:rPr>
  </w:style>
  <w:style w:type="character" w:customStyle="1" w:styleId="828">
    <w:name w:val="正文缩进 Char Char Char Char Char"/>
    <w:qFormat/>
    <w:uiPriority w:val="0"/>
    <w:rPr>
      <w:rFonts w:eastAsia="宋体"/>
      <w:kern w:val="2"/>
      <w:sz w:val="21"/>
      <w:lang w:val="en-US" w:eastAsia="zh-CN" w:bidi="ar-SA"/>
    </w:rPr>
  </w:style>
  <w:style w:type="character" w:customStyle="1" w:styleId="829">
    <w:name w:val="样式 标题 2标题 2 Char + 红色 Char Char"/>
    <w:qFormat/>
    <w:uiPriority w:val="0"/>
    <w:rPr>
      <w:rFonts w:ascii="Arial" w:hAnsi="Arial" w:eastAsia="黑体"/>
      <w:b/>
      <w:bCs/>
      <w:color w:val="000000"/>
      <w:kern w:val="2"/>
      <w:sz w:val="32"/>
      <w:szCs w:val="32"/>
      <w:lang w:val="en-US" w:eastAsia="zh-CN" w:bidi="ar-SA"/>
    </w:rPr>
  </w:style>
  <w:style w:type="character" w:customStyle="1" w:styleId="830">
    <w:name w:val="样式 报告 + 首行缩进:  2 字符 段前: 0.3 行 段后: 0.3 行3 Char Char"/>
    <w:qFormat/>
    <w:uiPriority w:val="0"/>
    <w:rPr>
      <w:rFonts w:eastAsia="宋体" w:cs="宋体"/>
      <w:snapToGrid/>
      <w:kern w:val="2"/>
      <w:sz w:val="24"/>
      <w:szCs w:val="24"/>
      <w:lang w:val="en-US" w:eastAsia="zh-CN" w:bidi="ar-SA"/>
    </w:rPr>
  </w:style>
  <w:style w:type="character" w:customStyle="1" w:styleId="831">
    <w:name w:val="正文文字缩进 2 Char Char"/>
    <w:qFormat/>
    <w:uiPriority w:val="0"/>
    <w:rPr>
      <w:rFonts w:ascii="宋体" w:hAnsi="宋体" w:eastAsia="宋体"/>
      <w:kern w:val="2"/>
      <w:sz w:val="24"/>
      <w:szCs w:val="24"/>
      <w:lang w:val="en-US" w:eastAsia="zh-CN" w:bidi="ar-SA"/>
    </w:rPr>
  </w:style>
  <w:style w:type="character" w:customStyle="1" w:styleId="832">
    <w:name w:val="样式 正文文字缩进正文文字( 首段缩进两字）正文文字缩进2字符正文文本缩进 Char2正文文本缩进 Char1 Char... Char"/>
    <w:qFormat/>
    <w:uiPriority w:val="0"/>
    <w:rPr>
      <w:rFonts w:ascii="宋体" w:eastAsia="宋体"/>
      <w:spacing w:val="6"/>
      <w:kern w:val="2"/>
      <w:sz w:val="28"/>
      <w:lang w:val="en-US" w:eastAsia="zh-CN"/>
    </w:rPr>
  </w:style>
  <w:style w:type="character" w:customStyle="1" w:styleId="833">
    <w:name w:val="样式 普通文字 + 加宽量  0.4 磅 Char Char Char Char Char Char Char Char Char Char Char Char Char Char Char Char Char Char Char Char"/>
    <w:qFormat/>
    <w:uiPriority w:val="0"/>
    <w:rPr>
      <w:rFonts w:eastAsia="宋体"/>
      <w:spacing w:val="8"/>
      <w:kern w:val="2"/>
      <w:sz w:val="24"/>
      <w:lang w:val="en-US" w:eastAsia="zh-CN"/>
    </w:rPr>
  </w:style>
  <w:style w:type="character" w:customStyle="1" w:styleId="834">
    <w:name w:val="样式 普通文字 + 加宽量  0.4 磅 Char Char"/>
    <w:qFormat/>
    <w:uiPriority w:val="0"/>
    <w:rPr>
      <w:rFonts w:eastAsia="宋体"/>
      <w:spacing w:val="8"/>
      <w:kern w:val="2"/>
      <w:sz w:val="24"/>
      <w:lang w:val="en-US" w:eastAsia="zh-CN"/>
    </w:rPr>
  </w:style>
  <w:style w:type="character" w:customStyle="1" w:styleId="835">
    <w:name w:val="正文文本缩进 Char Char Char"/>
    <w:qFormat/>
    <w:uiPriority w:val="0"/>
    <w:rPr>
      <w:rFonts w:eastAsia="楷体_GB2312"/>
      <w:kern w:val="2"/>
      <w:sz w:val="28"/>
      <w:szCs w:val="24"/>
      <w:lang w:bidi="ar-SA"/>
    </w:rPr>
  </w:style>
  <w:style w:type="character" w:customStyle="1" w:styleId="836">
    <w:name w:val="页码1"/>
    <w:qFormat/>
    <w:uiPriority w:val="0"/>
  </w:style>
  <w:style w:type="character" w:customStyle="1" w:styleId="837">
    <w:name w:val="页脚 Char1"/>
    <w:qFormat/>
    <w:uiPriority w:val="0"/>
    <w:rPr>
      <w:rFonts w:ascii="Times New Roman" w:hAnsi="Times New Roman" w:eastAsia="宋体" w:cs="Times New Roman"/>
      <w:sz w:val="18"/>
      <w:szCs w:val="18"/>
    </w:rPr>
  </w:style>
  <w:style w:type="character" w:customStyle="1" w:styleId="838">
    <w:name w:val="页码2"/>
    <w:qFormat/>
    <w:uiPriority w:val="0"/>
  </w:style>
  <w:style w:type="character" w:customStyle="1" w:styleId="839">
    <w:name w:val="页码21"/>
    <w:qFormat/>
    <w:uiPriority w:val="0"/>
  </w:style>
  <w:style w:type="character" w:customStyle="1" w:styleId="840">
    <w:name w:val="正文文本缩进 Char2"/>
    <w:semiHidden/>
    <w:qFormat/>
    <w:locked/>
    <w:uiPriority w:val="0"/>
    <w:rPr>
      <w:rFonts w:ascii="Times New Roman" w:hAnsi="Times New Roman"/>
      <w:kern w:val="2"/>
      <w:sz w:val="21"/>
      <w:szCs w:val="24"/>
    </w:rPr>
  </w:style>
  <w:style w:type="character" w:customStyle="1" w:styleId="841">
    <w:name w:val="正文首行缩进 2 Char1"/>
    <w:semiHidden/>
    <w:qFormat/>
    <w:locked/>
    <w:uiPriority w:val="99"/>
    <w:rPr>
      <w:rFonts w:ascii="Times New Roman" w:hAnsi="Times New Roman" w:eastAsia="楷体_GB2312"/>
      <w:kern w:val="2"/>
      <w:sz w:val="21"/>
      <w:szCs w:val="24"/>
    </w:rPr>
  </w:style>
  <w:style w:type="character" w:customStyle="1" w:styleId="842">
    <w:name w:val="页脚 Char2"/>
    <w:semiHidden/>
    <w:qFormat/>
    <w:locked/>
    <w:uiPriority w:val="99"/>
    <w:rPr>
      <w:rFonts w:ascii="Times New Roman" w:hAnsi="Times New Roman"/>
      <w:sz w:val="18"/>
      <w:szCs w:val="18"/>
    </w:rPr>
  </w:style>
  <w:style w:type="character" w:customStyle="1" w:styleId="843">
    <w:name w:val="正文文本缩进 2 Char1"/>
    <w:semiHidden/>
    <w:qFormat/>
    <w:locked/>
    <w:uiPriority w:val="99"/>
    <w:rPr>
      <w:rFonts w:ascii="Times New Roman" w:hAnsi="Times New Roman"/>
      <w:szCs w:val="24"/>
    </w:rPr>
  </w:style>
  <w:style w:type="character" w:customStyle="1" w:styleId="844">
    <w:name w:val="正文文本 Char2"/>
    <w:qFormat/>
    <w:locked/>
    <w:uiPriority w:val="0"/>
    <w:rPr>
      <w:rFonts w:ascii="Times New Roman" w:hAnsi="Times New Roman"/>
    </w:rPr>
  </w:style>
  <w:style w:type="character" w:customStyle="1" w:styleId="845">
    <w:name w:val="正文首行缩进 Char3"/>
    <w:semiHidden/>
    <w:qFormat/>
    <w:locked/>
    <w:uiPriority w:val="0"/>
    <w:rPr>
      <w:rFonts w:ascii="Times New Roman" w:hAnsi="Times New Roman"/>
      <w:szCs w:val="24"/>
    </w:rPr>
  </w:style>
  <w:style w:type="character" w:customStyle="1" w:styleId="846">
    <w:name w:val="正文文本 3 Char1"/>
    <w:semiHidden/>
    <w:qFormat/>
    <w:locked/>
    <w:uiPriority w:val="99"/>
    <w:rPr>
      <w:rFonts w:ascii="Times New Roman" w:hAnsi="Times New Roman"/>
      <w:szCs w:val="24"/>
    </w:rPr>
  </w:style>
  <w:style w:type="character" w:customStyle="1" w:styleId="847">
    <w:name w:val="注释标题 Char1"/>
    <w:qFormat/>
    <w:locked/>
    <w:uiPriority w:val="0"/>
    <w:rPr>
      <w:rFonts w:ascii="宋体" w:hAnsi="宋体"/>
      <w:color w:val="666600"/>
    </w:rPr>
  </w:style>
  <w:style w:type="character" w:customStyle="1" w:styleId="848">
    <w:name w:val="正文文本缩进 3 Char1"/>
    <w:semiHidden/>
    <w:qFormat/>
    <w:locked/>
    <w:uiPriority w:val="99"/>
    <w:rPr>
      <w:rFonts w:ascii="Times New Roman" w:hAnsi="Times New Roman"/>
      <w:sz w:val="16"/>
      <w:szCs w:val="16"/>
    </w:rPr>
  </w:style>
  <w:style w:type="character" w:customStyle="1" w:styleId="849">
    <w:name w:val="正文文本 2 Char1"/>
    <w:semiHidden/>
    <w:qFormat/>
    <w:locked/>
    <w:uiPriority w:val="99"/>
    <w:rPr>
      <w:rFonts w:ascii="Times New Roman" w:hAnsi="Times New Roman"/>
      <w:sz w:val="24"/>
      <w:szCs w:val="24"/>
    </w:rPr>
  </w:style>
  <w:style w:type="character" w:customStyle="1" w:styleId="850">
    <w:name w:val="字元 字元2"/>
    <w:qFormat/>
    <w:uiPriority w:val="0"/>
    <w:rPr>
      <w:rFonts w:ascii="Arial" w:hAnsi="Arial" w:eastAsia="黑体"/>
      <w:b/>
      <w:bCs/>
      <w:kern w:val="2"/>
      <w:sz w:val="32"/>
      <w:szCs w:val="32"/>
      <w:lang w:val="en-US" w:eastAsia="zh-CN" w:bidi="ar-SA"/>
    </w:rPr>
  </w:style>
  <w:style w:type="character" w:customStyle="1" w:styleId="851">
    <w:name w:val="正文缩进 Char Char Char Char Char Char  Char Char Char Char"/>
    <w:qFormat/>
    <w:uiPriority w:val="0"/>
    <w:rPr>
      <w:rFonts w:eastAsia="宋体"/>
      <w:kern w:val="2"/>
      <w:sz w:val="24"/>
      <w:lang w:val="en-US" w:eastAsia="zh-CN" w:bidi="ar-SA"/>
    </w:rPr>
  </w:style>
  <w:style w:type="character" w:customStyle="1" w:styleId="852">
    <w:name w:val="正文文本缩进 2 Char2"/>
    <w:semiHidden/>
    <w:qFormat/>
    <w:uiPriority w:val="0"/>
    <w:rPr>
      <w:rFonts w:eastAsia="宋体"/>
      <w:kern w:val="2"/>
      <w:sz w:val="24"/>
      <w:szCs w:val="24"/>
      <w:lang w:val="en-US" w:eastAsia="zh-CN" w:bidi="ar-SA"/>
    </w:rPr>
  </w:style>
  <w:style w:type="character" w:customStyle="1" w:styleId="853">
    <w:name w:val="字元 字元1"/>
    <w:qFormat/>
    <w:uiPriority w:val="0"/>
    <w:rPr>
      <w:rFonts w:eastAsia="宋体"/>
      <w:b/>
      <w:bCs/>
      <w:kern w:val="2"/>
      <w:sz w:val="32"/>
      <w:szCs w:val="32"/>
      <w:lang w:val="en-US" w:eastAsia="zh-CN" w:bidi="ar-SA"/>
    </w:rPr>
  </w:style>
  <w:style w:type="character" w:customStyle="1" w:styleId="854">
    <w:name w:val="字元 字元"/>
    <w:qFormat/>
    <w:uiPriority w:val="0"/>
    <w:rPr>
      <w:rFonts w:eastAsia="宋体"/>
      <w:kern w:val="2"/>
      <w:sz w:val="21"/>
      <w:szCs w:val="24"/>
      <w:lang w:val="en-US" w:eastAsia="zh-CN" w:bidi="ar-SA"/>
    </w:rPr>
  </w:style>
  <w:style w:type="character" w:customStyle="1" w:styleId="855">
    <w:name w:val="正文文本缩进 2 Char11"/>
    <w:semiHidden/>
    <w:qFormat/>
    <w:uiPriority w:val="0"/>
    <w:rPr>
      <w:rFonts w:eastAsia="宋体"/>
      <w:kern w:val="2"/>
      <w:sz w:val="24"/>
      <w:szCs w:val="24"/>
      <w:lang w:val="en-US" w:eastAsia="zh-CN" w:bidi="ar-SA"/>
    </w:rPr>
  </w:style>
  <w:style w:type="character" w:customStyle="1" w:styleId="856">
    <w:name w:val="五号 Char Char"/>
    <w:semiHidden/>
    <w:qFormat/>
    <w:uiPriority w:val="0"/>
    <w:rPr>
      <w:rFonts w:eastAsia="宋体"/>
      <w:kern w:val="2"/>
      <w:sz w:val="21"/>
      <w:szCs w:val="24"/>
      <w:lang w:val="en-US" w:eastAsia="zh-CN" w:bidi="ar-SA"/>
    </w:rPr>
  </w:style>
  <w:style w:type="character" w:customStyle="1" w:styleId="857">
    <w:name w:val="正文文本缩进 22"/>
    <w:semiHidden/>
    <w:qFormat/>
    <w:uiPriority w:val="0"/>
    <w:rPr>
      <w:rFonts w:eastAsia="宋体"/>
      <w:kern w:val="2"/>
      <w:sz w:val="24"/>
      <w:szCs w:val="24"/>
      <w:lang w:val="en-US" w:eastAsia="zh-CN" w:bidi="ar-SA"/>
    </w:rPr>
  </w:style>
  <w:style w:type="character" w:customStyle="1" w:styleId="858">
    <w:name w:val="样式 样式 黑体 三号 加粗 + (中文) 黑体"/>
    <w:semiHidden/>
    <w:qFormat/>
    <w:uiPriority w:val="0"/>
    <w:rPr>
      <w:rFonts w:ascii="黑体" w:hAnsi="黑体" w:eastAsia="Times New Roman"/>
      <w:b/>
      <w:bCs/>
      <w:kern w:val="44"/>
      <w:sz w:val="32"/>
    </w:rPr>
  </w:style>
  <w:style w:type="character" w:customStyle="1" w:styleId="859">
    <w:name w:val="一样式 Char Char"/>
    <w:qFormat/>
    <w:uiPriority w:val="0"/>
    <w:rPr>
      <w:rFonts w:ascii="宋体" w:hAnsi="宋体" w:eastAsia="黑体"/>
      <w:bCs/>
      <w:snapToGrid/>
      <w:color w:val="000000"/>
      <w:spacing w:val="6"/>
      <w:kern w:val="28"/>
      <w:sz w:val="24"/>
      <w:szCs w:val="24"/>
      <w:lang w:val="en-US" w:eastAsia="zh-CN" w:bidi="ar-SA"/>
    </w:rPr>
  </w:style>
  <w:style w:type="character" w:customStyle="1" w:styleId="860">
    <w:name w:val="样式 (西文) 仿宋_GB2312"/>
    <w:semiHidden/>
    <w:qFormat/>
    <w:uiPriority w:val="0"/>
    <w:rPr>
      <w:rFonts w:ascii="仿宋_GB2312" w:eastAsia="宋体"/>
    </w:rPr>
  </w:style>
  <w:style w:type="character" w:customStyle="1" w:styleId="861">
    <w:name w:val="占位符文本1"/>
    <w:semiHidden/>
    <w:qFormat/>
    <w:uiPriority w:val="99"/>
    <w:rPr>
      <w:color w:val="808080"/>
    </w:rPr>
  </w:style>
  <w:style w:type="character" w:customStyle="1" w:styleId="862">
    <w:name w:val="样式 首行缩进:  2 字符 Char Char"/>
    <w:qFormat/>
    <w:uiPriority w:val="0"/>
    <w:rPr>
      <w:rFonts w:ascii="Times New Roman" w:hAnsi="Times New Roman" w:eastAsia="宋体" w:cs="宋体"/>
      <w:color w:val="000000"/>
      <w:sz w:val="24"/>
      <w:szCs w:val="20"/>
    </w:rPr>
  </w:style>
  <w:style w:type="character" w:customStyle="1" w:styleId="863">
    <w:name w:val="样式 标题 3ReHead 3 WSAh3B HeadH3标题 3 Char条标题1.1.1SectionBS... Char Char"/>
    <w:qFormat/>
    <w:uiPriority w:val="0"/>
    <w:rPr>
      <w:rFonts w:eastAsia="黑体"/>
      <w:b/>
      <w:bCs/>
      <w:kern w:val="2"/>
      <w:sz w:val="28"/>
      <w:szCs w:val="28"/>
      <w:lang w:val="en-US" w:eastAsia="zh-CN" w:bidi="ar-SA"/>
    </w:rPr>
  </w:style>
  <w:style w:type="character" w:customStyle="1" w:styleId="864">
    <w:name w:val="样式 标题 2SeHead wsa2H21标题 1.1Chapter TitleChapter节标题 1.1h... Char Char"/>
    <w:qFormat/>
    <w:uiPriority w:val="0"/>
    <w:rPr>
      <w:rFonts w:ascii="Arial" w:hAnsi="Arial" w:eastAsia="黑体"/>
      <w:b/>
      <w:bCs/>
      <w:kern w:val="2"/>
      <w:sz w:val="30"/>
      <w:szCs w:val="30"/>
      <w:lang w:val="en-US" w:eastAsia="zh-CN" w:bidi="ar-SA"/>
    </w:rPr>
  </w:style>
  <w:style w:type="character" w:customStyle="1" w:styleId="865">
    <w:name w:val="样式 标题 2 + 非加粗 Char Char"/>
    <w:qFormat/>
    <w:uiPriority w:val="0"/>
    <w:rPr>
      <w:rFonts w:eastAsia="黑体"/>
      <w:b/>
      <w:bCs/>
      <w:kern w:val="2"/>
      <w:sz w:val="24"/>
      <w:szCs w:val="32"/>
      <w:lang w:val="en-US" w:eastAsia="zh-CN" w:bidi="ar-SA"/>
    </w:rPr>
  </w:style>
  <w:style w:type="character" w:customStyle="1" w:styleId="866">
    <w:name w:val="正文(首行缩进) Char1"/>
    <w:qFormat/>
    <w:uiPriority w:val="0"/>
    <w:rPr>
      <w:rFonts w:ascii="Times New Roman" w:hAnsi="Times New Roman" w:eastAsia="宋体" w:cs="Times New Roman"/>
      <w:snapToGrid/>
      <w:color w:val="000000"/>
      <w:kern w:val="0"/>
      <w:sz w:val="24"/>
      <w:szCs w:val="24"/>
    </w:rPr>
  </w:style>
  <w:style w:type="character" w:customStyle="1" w:styleId="867">
    <w:name w:val="正文 + 采用 + 加粗 Char"/>
    <w:qFormat/>
    <w:uiPriority w:val="0"/>
    <w:rPr>
      <w:rFonts w:ascii="仿宋_GB2312" w:hAnsi="仿宋_GB2312" w:eastAsia="仿宋_GB2312" w:cs="宋体"/>
      <w:b/>
      <w:bCs/>
      <w:color w:val="000000"/>
      <w:kern w:val="2"/>
      <w:sz w:val="24"/>
      <w:szCs w:val="24"/>
      <w:lang w:val="en-US" w:eastAsia="zh-CN" w:bidi="ar-SA"/>
    </w:rPr>
  </w:style>
  <w:style w:type="character" w:customStyle="1" w:styleId="868">
    <w:name w:val="样式 标题 31.1.1标题03条标题1.1.1小标题白鹤滩标题 31.1.1 Char小节 + Times Ne... Char"/>
    <w:qFormat/>
    <w:uiPriority w:val="0"/>
    <w:rPr>
      <w:rFonts w:ascii="宋体" w:hAnsi="宋体" w:eastAsia="宋体" w:cs="宋体"/>
      <w:b/>
      <w:bCs/>
      <w:snapToGrid/>
      <w:color w:val="000000"/>
      <w:kern w:val="2"/>
      <w:sz w:val="30"/>
      <w:szCs w:val="24"/>
      <w:lang w:val="en-US" w:eastAsia="zh-CN" w:bidi="ar-SA"/>
    </w:rPr>
  </w:style>
  <w:style w:type="character" w:customStyle="1" w:styleId="869">
    <w:name w:val="样式 宋体 蓝色"/>
    <w:qFormat/>
    <w:uiPriority w:val="0"/>
    <w:rPr>
      <w:rFonts w:ascii="Times New Roman" w:hAnsi="Times New Roman" w:eastAsia="宋体"/>
      <w:color w:val="0000FF"/>
    </w:rPr>
  </w:style>
  <w:style w:type="character" w:customStyle="1" w:styleId="870">
    <w:name w:val="样式 宋体 三号"/>
    <w:qFormat/>
    <w:uiPriority w:val="0"/>
    <w:rPr>
      <w:rFonts w:ascii="宋体" w:hAnsi="宋体"/>
      <w:sz w:val="24"/>
    </w:rPr>
  </w:style>
  <w:style w:type="character" w:customStyle="1" w:styleId="871">
    <w:name w:val="样式 宋体 三号 红色"/>
    <w:qFormat/>
    <w:uiPriority w:val="0"/>
    <w:rPr>
      <w:rFonts w:ascii="宋体" w:hAnsi="宋体"/>
      <w:color w:val="FF0000"/>
      <w:sz w:val="24"/>
    </w:rPr>
  </w:style>
  <w:style w:type="character" w:customStyle="1" w:styleId="872">
    <w:name w:val="样式 样式 标题 74号黑体左空2格行距1倍 + Times New Roman + Char"/>
    <w:qFormat/>
    <w:uiPriority w:val="0"/>
    <w:rPr>
      <w:rFonts w:ascii="Cambria" w:hAnsi="Cambria" w:eastAsia="宋体" w:cs="Times New Roman"/>
      <w:b/>
      <w:bCs/>
      <w:kern w:val="2"/>
      <w:sz w:val="28"/>
      <w:szCs w:val="28"/>
      <w:lang w:val="en-US" w:eastAsia="zh-CN" w:bidi="ar-SA"/>
    </w:rPr>
  </w:style>
  <w:style w:type="character" w:customStyle="1" w:styleId="873">
    <w:name w:val="正文文字缩进 Char Char Char Char Char Char Char Char"/>
    <w:qFormat/>
    <w:uiPriority w:val="0"/>
    <w:rPr>
      <w:rFonts w:eastAsia="仿宋_GB2312"/>
      <w:kern w:val="2"/>
      <w:sz w:val="28"/>
      <w:lang w:val="en-US" w:eastAsia="zh-CN" w:bidi="ar-SA"/>
    </w:rPr>
  </w:style>
  <w:style w:type="character" w:customStyle="1" w:styleId="874">
    <w:name w:val="样式 (符号) Times New Roman"/>
    <w:qFormat/>
    <w:uiPriority w:val="0"/>
    <w:rPr>
      <w:rFonts w:eastAsia="Times New Roman"/>
    </w:rPr>
  </w:style>
  <w:style w:type="character" w:customStyle="1" w:styleId="875">
    <w:name w:val="一、 Char1"/>
    <w:qFormat/>
    <w:uiPriority w:val="0"/>
    <w:rPr>
      <w:rFonts w:ascii="Times New Roman" w:hAnsi="Times New Roman" w:eastAsia="宋体"/>
      <w:b/>
      <w:kern w:val="44"/>
      <w:sz w:val="44"/>
    </w:rPr>
  </w:style>
  <w:style w:type="character" w:customStyle="1" w:styleId="876">
    <w:name w:val="一、 Char2"/>
    <w:qFormat/>
    <w:uiPriority w:val="0"/>
    <w:rPr>
      <w:rFonts w:ascii="Times New Roman" w:hAnsi="Times New Roman" w:eastAsia="宋体"/>
      <w:b/>
      <w:kern w:val="44"/>
      <w:sz w:val="44"/>
    </w:rPr>
  </w:style>
  <w:style w:type="character" w:customStyle="1" w:styleId="877">
    <w:name w:val="样式88 Char2"/>
    <w:qFormat/>
    <w:uiPriority w:val="0"/>
    <w:rPr>
      <w:rFonts w:ascii="宋体" w:hAnsi="Courier New" w:eastAsia="宋体"/>
    </w:rPr>
  </w:style>
  <w:style w:type="character" w:customStyle="1" w:styleId="878">
    <w:name w:val="正文首行缩进1 Char4"/>
    <w:qFormat/>
    <w:uiPriority w:val="0"/>
    <w:rPr>
      <w:rFonts w:eastAsia="宋体"/>
      <w:kern w:val="2"/>
      <w:sz w:val="21"/>
      <w:szCs w:val="24"/>
      <w:lang w:val="en-US" w:eastAsia="zh-CN" w:bidi="ar-SA"/>
    </w:rPr>
  </w:style>
  <w:style w:type="character" w:customStyle="1" w:styleId="879">
    <w:name w:val="正文2 Char Char"/>
    <w:qFormat/>
    <w:uiPriority w:val="0"/>
    <w:rPr>
      <w:rFonts w:ascii="楷体_GB2312" w:eastAsia="楷体_GB2312" w:cs="宋体"/>
      <w:kern w:val="2"/>
      <w:sz w:val="28"/>
      <w:lang w:val="en-US" w:eastAsia="zh-CN" w:bidi="ar-SA"/>
    </w:rPr>
  </w:style>
  <w:style w:type="character" w:customStyle="1" w:styleId="880">
    <w:name w:val="样式 宋体"/>
    <w:qFormat/>
    <w:uiPriority w:val="0"/>
    <w:rPr>
      <w:rFonts w:ascii="Times New Roman" w:hAnsi="Times New Roman" w:eastAsia="宋体"/>
    </w:rPr>
  </w:style>
  <w:style w:type="character" w:customStyle="1" w:styleId="881">
    <w:name w:val="样式5 Char2"/>
    <w:qFormat/>
    <w:uiPriority w:val="0"/>
    <w:rPr>
      <w:rFonts w:eastAsia="宋体"/>
      <w:kern w:val="2"/>
      <w:sz w:val="24"/>
      <w:szCs w:val="24"/>
      <w:lang w:val="en-US" w:eastAsia="zh-CN" w:bidi="ar-SA"/>
    </w:rPr>
  </w:style>
  <w:style w:type="character" w:customStyle="1" w:styleId="882">
    <w:name w:val="致谢 Char"/>
    <w:qFormat/>
    <w:uiPriority w:val="0"/>
    <w:rPr>
      <w:rFonts w:eastAsia="黑体"/>
      <w:b/>
      <w:bCs/>
      <w:kern w:val="2"/>
      <w:sz w:val="28"/>
      <w:szCs w:val="24"/>
      <w:lang w:val="en-US" w:eastAsia="zh-CN" w:bidi="ar-SA"/>
    </w:rPr>
  </w:style>
  <w:style w:type="character" w:customStyle="1" w:styleId="883">
    <w:name w:val="吴表头 Char"/>
    <w:qFormat/>
    <w:locked/>
    <w:uiPriority w:val="0"/>
    <w:rPr>
      <w:b/>
      <w:sz w:val="24"/>
      <w:szCs w:val="24"/>
    </w:rPr>
  </w:style>
  <w:style w:type="character" w:customStyle="1" w:styleId="884">
    <w:name w:val="吴正文 Char"/>
    <w:qFormat/>
    <w:uiPriority w:val="0"/>
    <w:rPr>
      <w:rFonts w:ascii="Times New Roman" w:hAnsi="Times New Roman" w:eastAsia="宋体" w:cs="Times New Roman"/>
      <w:snapToGrid w:val="0"/>
      <w:sz w:val="24"/>
      <w:szCs w:val="24"/>
    </w:rPr>
  </w:style>
  <w:style w:type="character" w:customStyle="1" w:styleId="885">
    <w:name w:val="吴表格 Char"/>
    <w:qFormat/>
    <w:uiPriority w:val="0"/>
    <w:rPr>
      <w:rFonts w:ascii="Times New Roman" w:hAnsi="Times New Roman" w:eastAsia="宋体" w:cs="Times New Roman"/>
      <w:sz w:val="18"/>
    </w:rPr>
  </w:style>
  <w:style w:type="character" w:customStyle="1" w:styleId="886">
    <w:name w:val="吴2级 Char"/>
    <w:qFormat/>
    <w:uiPriority w:val="0"/>
    <w:rPr>
      <w:rFonts w:ascii="Times New Roman" w:hAnsi="Times New Roman" w:eastAsia="黑体" w:cs="Times New Roman"/>
      <w:b/>
      <w:bCs/>
      <w:kern w:val="0"/>
      <w:sz w:val="28"/>
      <w:szCs w:val="32"/>
    </w:rPr>
  </w:style>
  <w:style w:type="character" w:customStyle="1" w:styleId="887">
    <w:name w:val="吴4级 Char"/>
    <w:qFormat/>
    <w:uiPriority w:val="0"/>
    <w:rPr>
      <w:rFonts w:ascii="Times New Roman" w:hAnsi="Times New Roman" w:eastAsia="宋体" w:cs="Times New Roman"/>
      <w:b/>
      <w:kern w:val="0"/>
      <w:sz w:val="24"/>
      <w:szCs w:val="20"/>
    </w:rPr>
  </w:style>
  <w:style w:type="character" w:customStyle="1" w:styleId="888">
    <w:name w:val="吴1级 Char"/>
    <w:qFormat/>
    <w:uiPriority w:val="0"/>
    <w:rPr>
      <w:rFonts w:ascii="Times New Roman" w:hAnsi="Times New Roman" w:eastAsia="宋体" w:cs="Times New Roman"/>
      <w:b/>
      <w:bCs/>
      <w:color w:val="000000"/>
      <w:sz w:val="44"/>
      <w:szCs w:val="28"/>
    </w:rPr>
  </w:style>
  <w:style w:type="character" w:customStyle="1" w:styleId="889">
    <w:name w:val="吴3级 Char"/>
    <w:qFormat/>
    <w:uiPriority w:val="0"/>
    <w:rPr>
      <w:rFonts w:ascii="Times New Roman" w:hAnsi="Times New Roman" w:eastAsia="宋体" w:cs="宋体"/>
      <w:b/>
      <w:bCs/>
      <w:kern w:val="0"/>
      <w:sz w:val="24"/>
      <w:szCs w:val="28"/>
    </w:rPr>
  </w:style>
  <w:style w:type="character" w:customStyle="1" w:styleId="890">
    <w:name w:val="样式 首行缩进 Char Char Char + 自定义颜色(RGB(00160)) Char"/>
    <w:link w:val="891"/>
    <w:qFormat/>
    <w:uiPriority w:val="0"/>
    <w:rPr>
      <w:rFonts w:ascii="宋体" w:hAnsi="宋体"/>
      <w:sz w:val="24"/>
      <w:szCs w:val="24"/>
    </w:rPr>
  </w:style>
  <w:style w:type="paragraph" w:customStyle="1" w:styleId="891">
    <w:name w:val="样式 首行缩进 Char Char Char + 自定义颜色(RGB(00160))"/>
    <w:basedOn w:val="1"/>
    <w:link w:val="890"/>
    <w:qFormat/>
    <w:uiPriority w:val="0"/>
    <w:pPr>
      <w:snapToGrid w:val="0"/>
      <w:spacing w:line="440" w:lineRule="exact"/>
      <w:ind w:firstLine="480" w:firstLineChars="200"/>
    </w:pPr>
    <w:rPr>
      <w:rFonts w:ascii="宋体" w:hAnsi="宋体"/>
      <w:kern w:val="0"/>
    </w:rPr>
  </w:style>
  <w:style w:type="character" w:customStyle="1" w:styleId="892">
    <w:name w:val="样式 样式 标题 2 + 段前: 1 行 段后: 1 行 + 非加粗 Char"/>
    <w:link w:val="893"/>
    <w:qFormat/>
    <w:uiPriority w:val="0"/>
    <w:rPr>
      <w:rFonts w:eastAsia="黑体" w:cs="宋体"/>
      <w:sz w:val="28"/>
    </w:rPr>
  </w:style>
  <w:style w:type="paragraph" w:customStyle="1" w:styleId="893">
    <w:name w:val="样式 样式 标题 2 + 段前: 1 行 段后: 1 行 + 非加粗"/>
    <w:basedOn w:val="894"/>
    <w:link w:val="892"/>
    <w:qFormat/>
    <w:uiPriority w:val="0"/>
    <w:pPr>
      <w:tabs>
        <w:tab w:val="left" w:pos="180"/>
        <w:tab w:val="left" w:pos="540"/>
        <w:tab w:val="left" w:pos="720"/>
        <w:tab w:val="left" w:pos="2072"/>
      </w:tabs>
    </w:pPr>
    <w:rPr>
      <w:bCs/>
      <w:kern w:val="0"/>
      <w:szCs w:val="20"/>
    </w:rPr>
  </w:style>
  <w:style w:type="paragraph" w:customStyle="1" w:styleId="894">
    <w:name w:val="样式 标题 2 + 段前: 1 行 段后: 1 行"/>
    <w:basedOn w:val="7"/>
    <w:link w:val="895"/>
    <w:qFormat/>
    <w:uiPriority w:val="0"/>
    <w:pPr>
      <w:numPr>
        <w:ilvl w:val="0"/>
        <w:numId w:val="0"/>
      </w:numPr>
      <w:snapToGrid w:val="0"/>
      <w:spacing w:beforeLines="50" w:afterLines="50" w:line="500" w:lineRule="exact"/>
    </w:pPr>
    <w:rPr>
      <w:rFonts w:ascii="Calibri" w:hAnsi="Calibri" w:eastAsia="黑体" w:cs="宋体"/>
      <w:kern w:val="2"/>
      <w:szCs w:val="22"/>
    </w:rPr>
  </w:style>
  <w:style w:type="character" w:customStyle="1" w:styleId="895">
    <w:name w:val="样式 标题 2 + 段前: 1 行 段后: 1 行 Char"/>
    <w:link w:val="894"/>
    <w:qFormat/>
    <w:uiPriority w:val="0"/>
    <w:rPr>
      <w:rFonts w:eastAsia="黑体" w:cs="宋体"/>
      <w:bCs/>
      <w:kern w:val="2"/>
      <w:sz w:val="28"/>
      <w:szCs w:val="22"/>
    </w:rPr>
  </w:style>
  <w:style w:type="character" w:customStyle="1" w:styleId="896">
    <w:name w:val="征文格式 Char Char"/>
    <w:qFormat/>
    <w:uiPriority w:val="0"/>
    <w:rPr>
      <w:rFonts w:ascii="宋体" w:hAnsi="宋体" w:eastAsia="宋体" w:cs="宋体"/>
      <w:kern w:val="2"/>
      <w:sz w:val="24"/>
      <w:szCs w:val="24"/>
      <w:lang w:val="en-US" w:eastAsia="zh-CN"/>
    </w:rPr>
  </w:style>
  <w:style w:type="character" w:customStyle="1" w:styleId="897">
    <w:name w:val="样式 表格11 + 居中 Char"/>
    <w:qFormat/>
    <w:uiPriority w:val="0"/>
    <w:rPr>
      <w:rFonts w:eastAsia="宋体" w:cs="宋体"/>
    </w:rPr>
  </w:style>
  <w:style w:type="character" w:customStyle="1" w:styleId="898">
    <w:name w:val="样式5 Char"/>
    <w:qFormat/>
    <w:uiPriority w:val="0"/>
    <w:rPr>
      <w:sz w:val="24"/>
    </w:rPr>
  </w:style>
  <w:style w:type="character" w:customStyle="1" w:styleId="899">
    <w:name w:val="样式 标题3（3） + 红色1 Char"/>
    <w:link w:val="900"/>
    <w:qFormat/>
    <w:uiPriority w:val="0"/>
    <w:rPr>
      <w:rFonts w:ascii="Cambria" w:hAnsi="Cambria" w:eastAsia="楷体_GB2312"/>
      <w:b/>
      <w:bCs/>
      <w:sz w:val="30"/>
      <w:szCs w:val="30"/>
      <w:lang w:bidi="en-US"/>
    </w:rPr>
  </w:style>
  <w:style w:type="paragraph" w:customStyle="1" w:styleId="900">
    <w:name w:val="样式 标题3（3） + 红色1"/>
    <w:basedOn w:val="1"/>
    <w:link w:val="899"/>
    <w:qFormat/>
    <w:uiPriority w:val="0"/>
    <w:pPr>
      <w:keepNext/>
      <w:widowControl/>
      <w:adjustRightInd w:val="0"/>
      <w:snapToGrid w:val="0"/>
      <w:spacing w:before="120" w:after="120"/>
      <w:outlineLvl w:val="2"/>
    </w:pPr>
    <w:rPr>
      <w:rFonts w:ascii="Cambria" w:hAnsi="Cambria" w:eastAsia="楷体_GB2312"/>
      <w:b/>
      <w:bCs/>
      <w:kern w:val="0"/>
      <w:sz w:val="30"/>
      <w:szCs w:val="30"/>
      <w:lang w:bidi="en-US"/>
    </w:rPr>
  </w:style>
  <w:style w:type="character" w:customStyle="1" w:styleId="901">
    <w:name w:val="正文(首行缩进) Char"/>
    <w:qFormat/>
    <w:uiPriority w:val="0"/>
    <w:rPr>
      <w:rFonts w:eastAsia="宋体"/>
      <w:snapToGrid/>
      <w:sz w:val="24"/>
      <w:szCs w:val="24"/>
    </w:rPr>
  </w:style>
  <w:style w:type="character" w:customStyle="1" w:styleId="902">
    <w:name w:val="正文小四 首行缩进 Char"/>
    <w:link w:val="903"/>
    <w:qFormat/>
    <w:uiPriority w:val="0"/>
    <w:rPr>
      <w:sz w:val="24"/>
      <w:szCs w:val="24"/>
    </w:rPr>
  </w:style>
  <w:style w:type="paragraph" w:customStyle="1" w:styleId="903">
    <w:name w:val="正文小四 首行缩进"/>
    <w:basedOn w:val="1"/>
    <w:link w:val="902"/>
    <w:qFormat/>
    <w:uiPriority w:val="0"/>
    <w:pPr>
      <w:snapToGrid w:val="0"/>
      <w:spacing w:before="60" w:line="480" w:lineRule="exact"/>
      <w:ind w:firstLine="480" w:firstLineChars="200"/>
    </w:pPr>
    <w:rPr>
      <w:rFonts w:ascii="Calibri" w:hAnsi="Calibri"/>
      <w:kern w:val="0"/>
    </w:rPr>
  </w:style>
  <w:style w:type="character" w:customStyle="1" w:styleId="904">
    <w:name w:val="正文文本2"/>
    <w:qFormat/>
    <w:uiPriority w:val="0"/>
    <w:rPr>
      <w:rFonts w:eastAsia="宋体"/>
      <w:kern w:val="2"/>
      <w:sz w:val="21"/>
      <w:szCs w:val="24"/>
      <w:lang w:val="en-US" w:eastAsia="zh-CN" w:bidi="ar-SA"/>
    </w:rPr>
  </w:style>
  <w:style w:type="character" w:customStyle="1" w:styleId="905">
    <w:name w:val="样式 小四 居中 Char"/>
    <w:qFormat/>
    <w:uiPriority w:val="0"/>
    <w:rPr>
      <w:rFonts w:ascii="楷体_GB2312" w:eastAsia="楷体_GB2312"/>
      <w:b/>
      <w:bCs/>
      <w:sz w:val="24"/>
      <w:szCs w:val="24"/>
    </w:rPr>
  </w:style>
  <w:style w:type="character" w:customStyle="1" w:styleId="906">
    <w:name w:val="样式 样式 z + Times New Roman + (西文) Times New Roman Char"/>
    <w:link w:val="907"/>
    <w:qFormat/>
    <w:uiPriority w:val="0"/>
    <w:rPr>
      <w:position w:val="2"/>
      <w:sz w:val="24"/>
      <w:szCs w:val="24"/>
    </w:rPr>
  </w:style>
  <w:style w:type="paragraph" w:customStyle="1" w:styleId="907">
    <w:name w:val="样式 样式 z + Times New Roman + (西文) Times New Roman"/>
    <w:basedOn w:val="1"/>
    <w:link w:val="906"/>
    <w:qFormat/>
    <w:uiPriority w:val="0"/>
    <w:pPr>
      <w:adjustRightInd w:val="0"/>
      <w:snapToGrid w:val="0"/>
      <w:spacing w:line="480" w:lineRule="exact"/>
      <w:ind w:firstLine="459" w:firstLineChars="200"/>
    </w:pPr>
    <w:rPr>
      <w:rFonts w:ascii="Calibri" w:hAnsi="Calibri"/>
      <w:kern w:val="0"/>
      <w:position w:val="2"/>
    </w:rPr>
  </w:style>
  <w:style w:type="character" w:customStyle="1" w:styleId="908">
    <w:name w:val="正文文本（4） Char"/>
    <w:link w:val="909"/>
    <w:qFormat/>
    <w:uiPriority w:val="0"/>
    <w:rPr>
      <w:sz w:val="24"/>
      <w:szCs w:val="24"/>
    </w:rPr>
  </w:style>
  <w:style w:type="paragraph" w:customStyle="1" w:styleId="909">
    <w:name w:val="正文文本（4）"/>
    <w:basedOn w:val="1"/>
    <w:link w:val="908"/>
    <w:qFormat/>
    <w:uiPriority w:val="0"/>
    <w:pPr>
      <w:widowControl/>
      <w:ind w:firstLine="480" w:firstLineChars="200"/>
    </w:pPr>
    <w:rPr>
      <w:rFonts w:ascii="Calibri" w:hAnsi="Calibri"/>
      <w:kern w:val="0"/>
    </w:rPr>
  </w:style>
  <w:style w:type="character" w:customStyle="1" w:styleId="910">
    <w:name w:val="样式 样式 宋体 段前: 0.5 行 行距: 固定值 18 磅 + 首行缩进:  2 字符 Char"/>
    <w:qFormat/>
    <w:uiPriority w:val="0"/>
    <w:rPr>
      <w:rFonts w:ascii="宋体" w:hAnsi="宋体"/>
      <w:color w:val="000000"/>
      <w:sz w:val="24"/>
      <w:szCs w:val="24"/>
    </w:rPr>
  </w:style>
  <w:style w:type="character" w:customStyle="1" w:styleId="911">
    <w:name w:val="正文文本最新 Char Char Char Char1 Char Char Char Char Char Char1 Char"/>
    <w:qFormat/>
    <w:uiPriority w:val="0"/>
    <w:rPr>
      <w:bCs/>
      <w:sz w:val="28"/>
      <w:szCs w:val="24"/>
    </w:rPr>
  </w:style>
  <w:style w:type="character" w:customStyle="1" w:styleId="912">
    <w:name w:val="样式 标题 1 + 非加粗 Char"/>
    <w:link w:val="913"/>
    <w:qFormat/>
    <w:uiPriority w:val="0"/>
    <w:rPr>
      <w:rFonts w:eastAsia="黑体"/>
      <w:kern w:val="44"/>
      <w:sz w:val="36"/>
      <w:szCs w:val="44"/>
    </w:rPr>
  </w:style>
  <w:style w:type="paragraph" w:customStyle="1" w:styleId="913">
    <w:name w:val="样式 标题 1 + 非加粗"/>
    <w:basedOn w:val="5"/>
    <w:link w:val="912"/>
    <w:qFormat/>
    <w:uiPriority w:val="0"/>
    <w:pPr>
      <w:keepNext/>
      <w:keepLines/>
      <w:numPr>
        <w:numId w:val="0"/>
      </w:numPr>
      <w:spacing w:beforeLines="50" w:afterLines="50" w:line="500" w:lineRule="exact"/>
    </w:pPr>
    <w:rPr>
      <w:rFonts w:ascii="Calibri" w:hAnsi="Calibri"/>
      <w:b w:val="0"/>
      <w:kern w:val="44"/>
      <w:szCs w:val="44"/>
    </w:rPr>
  </w:style>
  <w:style w:type="character" w:customStyle="1" w:styleId="914">
    <w:name w:val="正文文本1 Char1 Char Char Char Char Char Char Char Char Char"/>
    <w:qFormat/>
    <w:uiPriority w:val="0"/>
    <w:rPr>
      <w:rFonts w:eastAsia="宋体"/>
      <w:kern w:val="2"/>
      <w:sz w:val="21"/>
      <w:szCs w:val="24"/>
      <w:lang w:val="en-US" w:eastAsia="zh-CN" w:bidi="ar-SA"/>
    </w:rPr>
  </w:style>
  <w:style w:type="character" w:customStyle="1" w:styleId="915">
    <w:name w:val="正文格式111 Char"/>
    <w:qFormat/>
    <w:uiPriority w:val="0"/>
    <w:rPr>
      <w:rFonts w:ascii="宋体" w:hAnsi="宋体" w:eastAsia="宋体"/>
      <w:sz w:val="24"/>
      <w:szCs w:val="24"/>
    </w:rPr>
  </w:style>
  <w:style w:type="character" w:customStyle="1" w:styleId="916">
    <w:name w:val="正文1 Char1"/>
    <w:qFormat/>
    <w:uiPriority w:val="0"/>
    <w:rPr>
      <w:rFonts w:ascii="Arial" w:hAnsi="Arial" w:eastAsia="仿宋_GB2312" w:cs="Arial"/>
      <w:bCs/>
      <w:kern w:val="0"/>
      <w:sz w:val="24"/>
      <w:szCs w:val="18"/>
    </w:rPr>
  </w:style>
  <w:style w:type="character" w:customStyle="1" w:styleId="917">
    <w:name w:val="正文文本缩进 Char1"/>
    <w:semiHidden/>
    <w:qFormat/>
    <w:uiPriority w:val="99"/>
    <w:rPr>
      <w:rFonts w:ascii="Times New Roman" w:hAnsi="Times New Roman" w:eastAsia="宋体" w:cs="Times New Roman"/>
      <w:szCs w:val="24"/>
    </w:rPr>
  </w:style>
  <w:style w:type="character" w:customStyle="1" w:styleId="918">
    <w:name w:val="正文文本 3 Char2"/>
    <w:semiHidden/>
    <w:qFormat/>
    <w:uiPriority w:val="99"/>
    <w:rPr>
      <w:rFonts w:ascii="Times New Roman" w:hAnsi="Times New Roman" w:eastAsia="宋体" w:cs="Times New Roman"/>
      <w:sz w:val="16"/>
      <w:szCs w:val="16"/>
    </w:rPr>
  </w:style>
  <w:style w:type="character" w:customStyle="1" w:styleId="919">
    <w:name w:val="注释标题 Char2"/>
    <w:semiHidden/>
    <w:qFormat/>
    <w:uiPriority w:val="99"/>
    <w:rPr>
      <w:rFonts w:ascii="Times New Roman" w:hAnsi="Times New Roman" w:eastAsia="宋体" w:cs="Times New Roman"/>
      <w:szCs w:val="24"/>
    </w:rPr>
  </w:style>
  <w:style w:type="character" w:customStyle="1" w:styleId="920">
    <w:name w:val="信息标题 Char1"/>
    <w:semiHidden/>
    <w:qFormat/>
    <w:uiPriority w:val="99"/>
    <w:rPr>
      <w:rFonts w:ascii="Cambria" w:hAnsi="Cambria" w:eastAsia="宋体" w:cs="Times New Roman"/>
      <w:sz w:val="24"/>
      <w:szCs w:val="24"/>
      <w:shd w:val="pct20" w:color="auto" w:fill="auto"/>
    </w:rPr>
  </w:style>
  <w:style w:type="paragraph" w:customStyle="1" w:styleId="921">
    <w:name w:val="样式 左侧:  0.98 厘米"/>
    <w:basedOn w:val="1"/>
    <w:qFormat/>
    <w:uiPriority w:val="0"/>
    <w:pPr>
      <w:adjustRightInd w:val="0"/>
      <w:snapToGrid w:val="0"/>
      <w:spacing w:line="490" w:lineRule="exact"/>
      <w:ind w:firstLine="560" w:firstLineChars="200"/>
    </w:pPr>
    <w:rPr>
      <w:rFonts w:eastAsia="仿宋_GB2312"/>
      <w:sz w:val="28"/>
      <w:szCs w:val="20"/>
    </w:rPr>
  </w:style>
  <w:style w:type="paragraph" w:customStyle="1" w:styleId="922">
    <w:name w:val="样式 标题 4 + 字距调整小四"/>
    <w:basedOn w:val="9"/>
    <w:qFormat/>
    <w:uiPriority w:val="0"/>
    <w:pPr>
      <w:numPr>
        <w:ilvl w:val="0"/>
        <w:numId w:val="0"/>
      </w:numPr>
      <w:spacing w:line="460" w:lineRule="exact"/>
    </w:pPr>
    <w:rPr>
      <w:rFonts w:ascii="Arial" w:hAnsi="Arial" w:eastAsia="黑体"/>
      <w:kern w:val="24"/>
    </w:rPr>
  </w:style>
  <w:style w:type="paragraph" w:customStyle="1" w:styleId="923">
    <w:name w:val="样式 标题 2 + 段前: 0.5 行1"/>
    <w:basedOn w:val="7"/>
    <w:qFormat/>
    <w:uiPriority w:val="0"/>
    <w:pPr>
      <w:numPr>
        <w:ilvl w:val="0"/>
        <w:numId w:val="0"/>
      </w:numPr>
      <w:adjustRightInd w:val="0"/>
      <w:spacing w:beforeLines="50"/>
      <w:textAlignment w:val="baseline"/>
    </w:pPr>
    <w:rPr>
      <w:rFonts w:ascii="宋体" w:hAnsi="宋体" w:cs="宋体"/>
      <w:color w:val="000000"/>
      <w:kern w:val="2"/>
      <w:szCs w:val="28"/>
    </w:rPr>
  </w:style>
  <w:style w:type="paragraph" w:customStyle="1" w:styleId="924">
    <w:name w:val="样式 标题 2 + 段前: 0.5 行 段后: 0.5 行"/>
    <w:basedOn w:val="7"/>
    <w:qFormat/>
    <w:uiPriority w:val="0"/>
    <w:pPr>
      <w:numPr>
        <w:ilvl w:val="0"/>
        <w:numId w:val="0"/>
      </w:numPr>
      <w:tabs>
        <w:tab w:val="left" w:pos="576"/>
      </w:tabs>
      <w:spacing w:before="120" w:after="120" w:line="400" w:lineRule="exact"/>
      <w:ind w:left="576" w:hanging="576"/>
    </w:pPr>
    <w:rPr>
      <w:kern w:val="2"/>
      <w:sz w:val="24"/>
      <w:szCs w:val="20"/>
    </w:rPr>
  </w:style>
  <w:style w:type="paragraph" w:customStyle="1" w:styleId="925">
    <w:name w:val="样式 标题 3 + (中文) 宋体"/>
    <w:basedOn w:val="8"/>
    <w:qFormat/>
    <w:uiPriority w:val="0"/>
    <w:pPr>
      <w:numPr>
        <w:ilvl w:val="0"/>
        <w:numId w:val="0"/>
      </w:numPr>
      <w:spacing w:before="120" w:after="60" w:line="500" w:lineRule="exact"/>
    </w:pPr>
    <w:rPr>
      <w:szCs w:val="24"/>
    </w:rPr>
  </w:style>
  <w:style w:type="paragraph" w:customStyle="1" w:styleId="926">
    <w:name w:val="正文标题"/>
    <w:basedOn w:val="1"/>
    <w:next w:val="903"/>
    <w:qFormat/>
    <w:uiPriority w:val="0"/>
    <w:pPr>
      <w:snapToGrid w:val="0"/>
      <w:spacing w:before="60" w:line="480" w:lineRule="atLeast"/>
      <w:ind w:firstLine="200" w:firstLineChars="200"/>
    </w:pPr>
    <w:rPr>
      <w:b/>
    </w:rPr>
  </w:style>
  <w:style w:type="paragraph" w:customStyle="1" w:styleId="927">
    <w:name w:val="样式 标题 2 + (西文) Times New Roman (中文) 宋体 行距: 固定值 20 磅"/>
    <w:basedOn w:val="7"/>
    <w:qFormat/>
    <w:uiPriority w:val="0"/>
    <w:pPr>
      <w:numPr>
        <w:ilvl w:val="0"/>
        <w:numId w:val="0"/>
      </w:numPr>
      <w:tabs>
        <w:tab w:val="left" w:pos="1429"/>
      </w:tabs>
      <w:snapToGrid w:val="0"/>
      <w:spacing w:before="180" w:after="60" w:line="400" w:lineRule="exact"/>
      <w:ind w:left="709"/>
    </w:pPr>
    <w:rPr>
      <w:rFonts w:cs="宋体"/>
      <w:kern w:val="2"/>
      <w:szCs w:val="20"/>
    </w:rPr>
  </w:style>
  <w:style w:type="paragraph" w:customStyle="1" w:styleId="928">
    <w:name w:val="小五表格"/>
    <w:basedOn w:val="1"/>
    <w:qFormat/>
    <w:uiPriority w:val="0"/>
    <w:pPr>
      <w:spacing w:line="240" w:lineRule="auto"/>
      <w:jc w:val="left"/>
    </w:pPr>
    <w:rPr>
      <w:sz w:val="18"/>
      <w:szCs w:val="20"/>
    </w:rPr>
  </w:style>
  <w:style w:type="paragraph" w:customStyle="1" w:styleId="929">
    <w:name w:val="正文文本缩进 23"/>
    <w:basedOn w:val="1"/>
    <w:qFormat/>
    <w:uiPriority w:val="0"/>
    <w:pPr>
      <w:adjustRightInd w:val="0"/>
      <w:ind w:firstLine="480"/>
      <w:textAlignment w:val="baseline"/>
    </w:pPr>
    <w:rPr>
      <w:rFonts w:ascii="宋体"/>
      <w:kern w:val="0"/>
      <w:szCs w:val="20"/>
    </w:rPr>
  </w:style>
  <w:style w:type="paragraph" w:customStyle="1" w:styleId="930">
    <w:name w:val="标题1"/>
    <w:basedOn w:val="1"/>
    <w:next w:val="10"/>
    <w:qFormat/>
    <w:uiPriority w:val="0"/>
    <w:pPr>
      <w:keepNext/>
      <w:keepLines/>
      <w:spacing w:before="50" w:beforeLines="50" w:after="50" w:afterLines="50" w:line="500" w:lineRule="exact"/>
      <w:jc w:val="center"/>
      <w:outlineLvl w:val="0"/>
    </w:pPr>
    <w:rPr>
      <w:rFonts w:eastAsia="黑体" w:cs="宋体"/>
      <w:kern w:val="44"/>
      <w:sz w:val="44"/>
      <w:szCs w:val="20"/>
    </w:rPr>
  </w:style>
  <w:style w:type="paragraph" w:customStyle="1" w:styleId="931">
    <w:name w:val="样式 正文文本正文文字"/>
    <w:basedOn w:val="25"/>
    <w:qFormat/>
    <w:uiPriority w:val="0"/>
    <w:pPr>
      <w:widowControl w:val="0"/>
      <w:shd w:val="clear" w:color="auto" w:fill="auto"/>
      <w:spacing w:before="0" w:line="240" w:lineRule="atLeast"/>
      <w:ind w:firstLine="0"/>
      <w:jc w:val="center"/>
    </w:pPr>
    <w:rPr>
      <w:rFonts w:hAnsi="宋体"/>
      <w:bCs/>
      <w:kern w:val="2"/>
      <w:sz w:val="21"/>
      <w:szCs w:val="24"/>
    </w:rPr>
  </w:style>
  <w:style w:type="paragraph" w:customStyle="1" w:styleId="932">
    <w:name w:val="正文1 小四"/>
    <w:basedOn w:val="1"/>
    <w:qFormat/>
    <w:uiPriority w:val="0"/>
    <w:pPr>
      <w:adjustRightInd w:val="0"/>
      <w:spacing w:line="420" w:lineRule="exact"/>
      <w:ind w:firstLine="200" w:firstLineChars="200"/>
      <w:jc w:val="left"/>
      <w:textAlignment w:val="baseline"/>
    </w:pPr>
    <w:rPr>
      <w:kern w:val="0"/>
      <w:szCs w:val="20"/>
    </w:rPr>
  </w:style>
  <w:style w:type="paragraph" w:customStyle="1" w:styleId="933">
    <w:name w:val="样式 标题 3 + 首行缩进:  0 字符1"/>
    <w:basedOn w:val="8"/>
    <w:qFormat/>
    <w:uiPriority w:val="0"/>
    <w:pPr>
      <w:numPr>
        <w:ilvl w:val="0"/>
        <w:numId w:val="0"/>
      </w:numPr>
      <w:spacing w:beforeLines="50" w:afterLines="50" w:line="500" w:lineRule="exact"/>
    </w:pPr>
    <w:rPr>
      <w:rFonts w:eastAsia="黑体"/>
      <w:bCs/>
      <w:kern w:val="2"/>
      <w:szCs w:val="20"/>
    </w:rPr>
  </w:style>
  <w:style w:type="paragraph" w:customStyle="1" w:styleId="934">
    <w:name w:val="样式 标题 1 + 黑体"/>
    <w:basedOn w:val="5"/>
    <w:qFormat/>
    <w:uiPriority w:val="0"/>
    <w:pPr>
      <w:keepNext/>
      <w:keepLines/>
      <w:numPr>
        <w:numId w:val="0"/>
      </w:numPr>
      <w:tabs>
        <w:tab w:val="center" w:pos="4156"/>
      </w:tabs>
      <w:spacing w:beforeLines="50" w:afterLines="50" w:line="240" w:lineRule="auto"/>
    </w:pPr>
    <w:rPr>
      <w:bCs/>
      <w:kern w:val="44"/>
      <w:sz w:val="52"/>
      <w:szCs w:val="44"/>
    </w:rPr>
  </w:style>
  <w:style w:type="paragraph" w:customStyle="1" w:styleId="935">
    <w:name w:val="样式 标题 1 + 字距调整小四"/>
    <w:basedOn w:val="5"/>
    <w:qFormat/>
    <w:uiPriority w:val="0"/>
    <w:pPr>
      <w:keepNext/>
      <w:keepLines/>
      <w:numPr>
        <w:numId w:val="0"/>
      </w:numPr>
      <w:spacing w:before="340" w:after="330" w:line="578" w:lineRule="auto"/>
    </w:pPr>
    <w:rPr>
      <w:rFonts w:ascii="Times New Roman" w:hAnsi="Times New Roman"/>
      <w:b w:val="0"/>
      <w:bCs/>
      <w:kern w:val="24"/>
      <w:szCs w:val="44"/>
    </w:rPr>
  </w:style>
  <w:style w:type="paragraph" w:customStyle="1" w:styleId="936">
    <w:name w:val="验方正文"/>
    <w:basedOn w:val="1"/>
    <w:qFormat/>
    <w:uiPriority w:val="0"/>
    <w:pPr>
      <w:adjustRightInd w:val="0"/>
      <w:spacing w:line="312" w:lineRule="atLeast"/>
      <w:ind w:firstLine="686"/>
      <w:textAlignment w:val="baseline"/>
    </w:pPr>
    <w:rPr>
      <w:rFonts w:ascii="仿宋_GB2312" w:hAnsi="Courier New" w:eastAsia="仿宋_GB2312"/>
      <w:kern w:val="0"/>
      <w:sz w:val="28"/>
      <w:szCs w:val="20"/>
    </w:rPr>
  </w:style>
  <w:style w:type="paragraph" w:customStyle="1" w:styleId="937">
    <w:name w:val="样式 正文文本正文文字 Char"/>
    <w:basedOn w:val="25"/>
    <w:qFormat/>
    <w:uiPriority w:val="0"/>
    <w:pPr>
      <w:widowControl w:val="0"/>
      <w:shd w:val="clear" w:color="auto" w:fill="auto"/>
      <w:spacing w:before="0" w:line="240" w:lineRule="atLeast"/>
      <w:ind w:firstLine="0"/>
      <w:jc w:val="center"/>
    </w:pPr>
    <w:rPr>
      <w:rFonts w:ascii="Calibri"/>
      <w:bCs/>
      <w:kern w:val="2"/>
      <w:sz w:val="21"/>
      <w:szCs w:val="24"/>
    </w:rPr>
  </w:style>
  <w:style w:type="paragraph" w:customStyle="1" w:styleId="938">
    <w:name w:val="正文1 Char"/>
    <w:basedOn w:val="1"/>
    <w:qFormat/>
    <w:uiPriority w:val="0"/>
    <w:pPr>
      <w:spacing w:line="240" w:lineRule="auto"/>
    </w:pPr>
    <w:rPr>
      <w:sz w:val="21"/>
      <w:szCs w:val="21"/>
    </w:rPr>
  </w:style>
  <w:style w:type="paragraph" w:customStyle="1" w:styleId="939">
    <w:name w:val="样式 标题 3 + (中文) 宋体 段前: 0 磅 行距: 固定值 20 磅"/>
    <w:basedOn w:val="8"/>
    <w:qFormat/>
    <w:uiPriority w:val="0"/>
    <w:pPr>
      <w:numPr>
        <w:ilvl w:val="0"/>
        <w:numId w:val="0"/>
      </w:numPr>
      <w:tabs>
        <w:tab w:val="left" w:pos="1429"/>
      </w:tabs>
      <w:snapToGrid w:val="0"/>
      <w:spacing w:line="400" w:lineRule="exact"/>
      <w:ind w:left="709"/>
    </w:pPr>
    <w:rPr>
      <w:rFonts w:ascii="宋体" w:hAnsi="宋体"/>
      <w:bCs/>
      <w:kern w:val="2"/>
      <w:szCs w:val="20"/>
    </w:rPr>
  </w:style>
  <w:style w:type="paragraph" w:customStyle="1" w:styleId="940">
    <w:name w:val="样式 两端对齐 首行缩进:  0.85 厘米"/>
    <w:basedOn w:val="1"/>
    <w:qFormat/>
    <w:uiPriority w:val="0"/>
    <w:pPr>
      <w:tabs>
        <w:tab w:val="left" w:pos="0"/>
      </w:tabs>
      <w:adjustRightInd w:val="0"/>
      <w:snapToGrid w:val="0"/>
      <w:ind w:left="340" w:hanging="340"/>
    </w:pPr>
    <w:rPr>
      <w:rFonts w:eastAsia="楷体_GB2312" w:cs="宋体"/>
      <w:szCs w:val="20"/>
    </w:rPr>
  </w:style>
  <w:style w:type="paragraph" w:customStyle="1" w:styleId="941">
    <w:name w:val="正文文本最新 Char Char"/>
    <w:basedOn w:val="1"/>
    <w:qFormat/>
    <w:uiPriority w:val="0"/>
    <w:pPr>
      <w:ind w:firstLine="200" w:firstLineChars="200"/>
    </w:pPr>
    <w:rPr>
      <w:bCs/>
      <w:sz w:val="28"/>
    </w:rPr>
  </w:style>
  <w:style w:type="paragraph" w:customStyle="1" w:styleId="942">
    <w:name w:val="正文样式2"/>
    <w:basedOn w:val="1"/>
    <w:qFormat/>
    <w:uiPriority w:val="0"/>
    <w:pPr>
      <w:adjustRightInd w:val="0"/>
      <w:snapToGrid w:val="0"/>
      <w:ind w:firstLine="510"/>
      <w:textAlignment w:val="baseline"/>
    </w:pPr>
    <w:rPr>
      <w:rFonts w:ascii="宋体"/>
      <w:kern w:val="24"/>
      <w:szCs w:val="20"/>
    </w:rPr>
  </w:style>
  <w:style w:type="paragraph" w:customStyle="1" w:styleId="943">
    <w:name w:val="样式 z + Times New Roman"/>
    <w:basedOn w:val="1"/>
    <w:qFormat/>
    <w:uiPriority w:val="0"/>
    <w:pPr>
      <w:adjustRightInd w:val="0"/>
      <w:snapToGrid w:val="0"/>
      <w:spacing w:beforeLines="50" w:afterLines="50"/>
      <w:ind w:firstLine="482"/>
    </w:pPr>
    <w:rPr>
      <w:rFonts w:ascii="宋体" w:hAnsi="宋体"/>
      <w:position w:val="2"/>
    </w:rPr>
  </w:style>
  <w:style w:type="paragraph" w:customStyle="1" w:styleId="944">
    <w:name w:val="样式 标题 3 + 行距: 最小值 25 磅"/>
    <w:basedOn w:val="8"/>
    <w:qFormat/>
    <w:uiPriority w:val="0"/>
    <w:pPr>
      <w:keepLines w:val="0"/>
      <w:numPr>
        <w:ilvl w:val="0"/>
        <w:numId w:val="0"/>
      </w:numPr>
      <w:adjustRightInd w:val="0"/>
      <w:snapToGrid w:val="0"/>
      <w:spacing w:line="490" w:lineRule="atLeast"/>
    </w:pPr>
    <w:rPr>
      <w:bCs/>
      <w:kern w:val="2"/>
      <w:szCs w:val="28"/>
    </w:rPr>
  </w:style>
  <w:style w:type="paragraph" w:customStyle="1" w:styleId="945">
    <w:name w:val="样式 标题 2 + 段前: 1 行 段后: 0.5 行"/>
    <w:basedOn w:val="7"/>
    <w:qFormat/>
    <w:uiPriority w:val="0"/>
    <w:pPr>
      <w:numPr>
        <w:ilvl w:val="0"/>
        <w:numId w:val="0"/>
      </w:numPr>
      <w:tabs>
        <w:tab w:val="left" w:pos="840"/>
      </w:tabs>
      <w:adjustRightInd w:val="0"/>
      <w:snapToGrid w:val="0"/>
      <w:spacing w:beforeLines="100" w:afterLines="50"/>
    </w:pPr>
    <w:rPr>
      <w:rFonts w:ascii="Arial" w:hAnsi="Arial" w:eastAsia="楷体_GB2312" w:cs="宋体"/>
      <w:kern w:val="2"/>
      <w:szCs w:val="20"/>
    </w:rPr>
  </w:style>
  <w:style w:type="paragraph" w:customStyle="1" w:styleId="946">
    <w:name w:val="正文文本1 Char1 Char Char Char Char Char Char Char"/>
    <w:basedOn w:val="1"/>
    <w:next w:val="25"/>
    <w:qFormat/>
    <w:uiPriority w:val="0"/>
    <w:pPr>
      <w:spacing w:line="240" w:lineRule="atLeast"/>
      <w:jc w:val="center"/>
    </w:pPr>
    <w:rPr>
      <w:sz w:val="21"/>
    </w:rPr>
  </w:style>
  <w:style w:type="paragraph" w:customStyle="1" w:styleId="947">
    <w:name w:val="药标2"/>
    <w:basedOn w:val="7"/>
    <w:qFormat/>
    <w:uiPriority w:val="0"/>
    <w:pPr>
      <w:numPr>
        <w:ilvl w:val="0"/>
        <w:numId w:val="0"/>
      </w:numPr>
      <w:adjustRightInd w:val="0"/>
      <w:spacing w:beforeLines="50" w:afterLines="50" w:line="312" w:lineRule="atLeast"/>
      <w:textAlignment w:val="baseline"/>
    </w:pPr>
    <w:rPr>
      <w:rFonts w:ascii="黑体" w:hAnsi="Arial" w:eastAsia="黑体"/>
      <w:bCs/>
      <w:color w:val="000000"/>
      <w:sz w:val="32"/>
      <w:szCs w:val="20"/>
    </w:rPr>
  </w:style>
  <w:style w:type="paragraph" w:customStyle="1" w:styleId="948">
    <w:name w:val="样式 首行缩进:  1.84 字符"/>
    <w:basedOn w:val="1"/>
    <w:qFormat/>
    <w:uiPriority w:val="0"/>
    <w:pPr>
      <w:spacing w:line="500" w:lineRule="exact"/>
      <w:ind w:firstLine="200" w:firstLineChars="200"/>
    </w:pPr>
    <w:rPr>
      <w:rFonts w:cs="宋体"/>
      <w:szCs w:val="20"/>
    </w:rPr>
  </w:style>
  <w:style w:type="paragraph" w:customStyle="1" w:styleId="949">
    <w:name w:val="样式 标题 3 + (中文) 宋体 加粗 左侧:  1.25 厘米 行距: 固定值 20 磅"/>
    <w:basedOn w:val="8"/>
    <w:qFormat/>
    <w:uiPriority w:val="0"/>
    <w:pPr>
      <w:numPr>
        <w:ilvl w:val="0"/>
        <w:numId w:val="0"/>
      </w:numPr>
      <w:tabs>
        <w:tab w:val="left" w:pos="1429"/>
      </w:tabs>
      <w:snapToGrid w:val="0"/>
      <w:spacing w:before="60" w:line="400" w:lineRule="exact"/>
      <w:ind w:left="709"/>
    </w:pPr>
    <w:rPr>
      <w:rFonts w:ascii="宋体" w:hAnsi="宋体"/>
      <w:kern w:val="2"/>
      <w:szCs w:val="20"/>
    </w:rPr>
  </w:style>
  <w:style w:type="paragraph" w:customStyle="1" w:styleId="950">
    <w:name w:val="序列样式1"/>
    <w:basedOn w:val="1"/>
    <w:qFormat/>
    <w:uiPriority w:val="0"/>
    <w:pPr>
      <w:tabs>
        <w:tab w:val="left" w:pos="851"/>
      </w:tabs>
      <w:spacing w:after="48" w:line="400" w:lineRule="exact"/>
      <w:ind w:left="851" w:hanging="567"/>
    </w:pPr>
    <w:rPr>
      <w:szCs w:val="20"/>
    </w:rPr>
  </w:style>
  <w:style w:type="paragraph" w:customStyle="1" w:styleId="951">
    <w:name w:val="样式 标题 1 + 首行缩进:  2 字符 段前: 1 行 段后: 1 行1"/>
    <w:basedOn w:val="5"/>
    <w:qFormat/>
    <w:uiPriority w:val="0"/>
    <w:pPr>
      <w:keepNext/>
      <w:keepLines/>
      <w:numPr>
        <w:numId w:val="0"/>
      </w:numPr>
      <w:spacing w:beforeLines="50" w:afterLines="50" w:line="500" w:lineRule="exact"/>
    </w:pPr>
    <w:rPr>
      <w:rFonts w:ascii="Times New Roman" w:hAnsi="Times New Roman" w:cs="宋体"/>
      <w:b w:val="0"/>
      <w:bCs/>
      <w:kern w:val="44"/>
      <w:szCs w:val="20"/>
    </w:rPr>
  </w:style>
  <w:style w:type="paragraph" w:customStyle="1" w:styleId="952">
    <w:name w:val="正文前面有点"/>
    <w:basedOn w:val="24"/>
    <w:qFormat/>
    <w:uiPriority w:val="0"/>
    <w:pPr>
      <w:widowControl/>
      <w:tabs>
        <w:tab w:val="left" w:pos="3501"/>
      </w:tabs>
      <w:adjustRightInd w:val="0"/>
      <w:snapToGrid w:val="0"/>
      <w:spacing w:after="0" w:line="360" w:lineRule="auto"/>
      <w:ind w:left="3501" w:hanging="420"/>
      <w:jc w:val="left"/>
    </w:pPr>
    <w:rPr>
      <w:rFonts w:ascii="宋体" w:hAnsi="Arial" w:cs="Times New Roman"/>
      <w:kern w:val="10"/>
      <w:sz w:val="24"/>
      <w:szCs w:val="22"/>
      <w:lang w:bidi="he-IL"/>
    </w:rPr>
  </w:style>
  <w:style w:type="paragraph" w:customStyle="1" w:styleId="953">
    <w:name w:val="征文格式 Char"/>
    <w:basedOn w:val="1"/>
    <w:qFormat/>
    <w:uiPriority w:val="0"/>
    <w:pPr>
      <w:spacing w:line="264" w:lineRule="auto"/>
      <w:ind w:firstLine="459"/>
    </w:pPr>
    <w:rPr>
      <w:rFonts w:ascii="宋体" w:hAnsi="宋体" w:cs="宋体"/>
    </w:rPr>
  </w:style>
  <w:style w:type="paragraph" w:customStyle="1" w:styleId="954">
    <w:name w:val="小二宋顶格1.5行"/>
    <w:qFormat/>
    <w:uiPriority w:val="0"/>
    <w:pPr>
      <w:spacing w:line="360" w:lineRule="auto"/>
      <w:ind w:firstLine="454"/>
    </w:pPr>
    <w:rPr>
      <w:rFonts w:ascii="宋体" w:hAnsi="宋体" w:eastAsia="宋体" w:cs="Times New Roman"/>
      <w:sz w:val="24"/>
      <w:lang w:val="en-US" w:eastAsia="zh-CN" w:bidi="ar-SA"/>
    </w:rPr>
  </w:style>
  <w:style w:type="paragraph" w:customStyle="1" w:styleId="955">
    <w:name w:val="样式 观音岩正文段落 + 段前: 0.5 行 段后: 0.5 行"/>
    <w:basedOn w:val="1"/>
    <w:qFormat/>
    <w:uiPriority w:val="0"/>
    <w:pPr>
      <w:adjustRightInd w:val="0"/>
      <w:snapToGrid w:val="0"/>
      <w:ind w:firstLine="482"/>
    </w:pPr>
    <w:rPr>
      <w:rFonts w:ascii="Arial" w:hAnsi="Arial" w:cs="宋体"/>
      <w:szCs w:val="20"/>
    </w:rPr>
  </w:style>
  <w:style w:type="paragraph" w:customStyle="1" w:styleId="956">
    <w:name w:val="样式 正文缩进正文缩进 Chars4 Chars4标题4表正文正文非缩进特点正文缩进 Char1 Char正文..."/>
    <w:basedOn w:val="10"/>
    <w:qFormat/>
    <w:uiPriority w:val="0"/>
    <w:pPr>
      <w:spacing w:afterLines="20" w:line="400" w:lineRule="exact"/>
      <w:ind w:firstLine="482" w:firstLineChars="0"/>
    </w:pPr>
    <w:rPr>
      <w:rFonts w:ascii="Calibri" w:hAnsi="Calibri" w:cs="宋体"/>
      <w:szCs w:val="22"/>
    </w:rPr>
  </w:style>
  <w:style w:type="paragraph" w:customStyle="1" w:styleId="957">
    <w:name w:val="正文cf"/>
    <w:basedOn w:val="1"/>
    <w:qFormat/>
    <w:uiPriority w:val="0"/>
    <w:pPr>
      <w:adjustRightInd w:val="0"/>
      <w:snapToGrid w:val="0"/>
      <w:ind w:firstLine="480"/>
    </w:pPr>
    <w:rPr>
      <w:rFonts w:ascii="宋体" w:hAnsi="宋体"/>
    </w:rPr>
  </w:style>
  <w:style w:type="paragraph" w:customStyle="1" w:styleId="958">
    <w:name w:val="样式 首行缩进:  0.85 厘米 段后: 3.1 磅 行距: 固定值 20 磅"/>
    <w:basedOn w:val="1"/>
    <w:qFormat/>
    <w:uiPriority w:val="0"/>
    <w:pPr>
      <w:spacing w:afterLines="20" w:line="400" w:lineRule="exact"/>
      <w:ind w:firstLine="482"/>
    </w:pPr>
    <w:rPr>
      <w:rFonts w:cs="宋体"/>
      <w:szCs w:val="20"/>
    </w:rPr>
  </w:style>
  <w:style w:type="paragraph" w:customStyle="1" w:styleId="959">
    <w:name w:val="正文5"/>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960">
    <w:name w:val="样式-1-"/>
    <w:basedOn w:val="33"/>
    <w:qFormat/>
    <w:uiPriority w:val="0"/>
    <w:pPr>
      <w:framePr w:wrap="around" w:vAnchor="text" w:hAnchor="margin" w:xAlign="center" w:y="1"/>
      <w:spacing w:line="240" w:lineRule="auto"/>
    </w:pPr>
    <w:rPr>
      <w:rFonts w:ascii="仿宋_GB2312" w:hAnsi="Courier New"/>
      <w:kern w:val="2"/>
      <w:sz w:val="24"/>
      <w:szCs w:val="20"/>
    </w:rPr>
  </w:style>
  <w:style w:type="paragraph" w:customStyle="1" w:styleId="961">
    <w:name w:val="样式 样式 表格 + 左侧:  0.98 厘米 + 居中"/>
    <w:basedOn w:val="1"/>
    <w:qFormat/>
    <w:uiPriority w:val="0"/>
    <w:pPr>
      <w:adjustRightInd w:val="0"/>
      <w:snapToGrid w:val="0"/>
      <w:spacing w:before="100" w:beforeAutospacing="1" w:after="100" w:afterAutospacing="1" w:line="300" w:lineRule="auto"/>
      <w:jc w:val="center"/>
    </w:pPr>
    <w:rPr>
      <w:rFonts w:ascii="Arial" w:hAnsi="Arial"/>
      <w:kern w:val="0"/>
      <w:sz w:val="21"/>
      <w:szCs w:val="20"/>
    </w:rPr>
  </w:style>
  <w:style w:type="paragraph" w:customStyle="1" w:styleId="962">
    <w:name w:val="样式 标题 3 + 段前: 0 磅 段后: 0 磅 行距: 1.5 倍行距"/>
    <w:basedOn w:val="8"/>
    <w:qFormat/>
    <w:uiPriority w:val="0"/>
    <w:pPr>
      <w:numPr>
        <w:ilvl w:val="0"/>
        <w:numId w:val="0"/>
      </w:numPr>
      <w:tabs>
        <w:tab w:val="left" w:pos="0"/>
      </w:tabs>
      <w:snapToGrid w:val="0"/>
      <w:ind w:left="340" w:hanging="340"/>
    </w:pPr>
    <w:rPr>
      <w:rFonts w:ascii="宋体" w:hAnsi="宋体"/>
      <w:bCs/>
      <w:kern w:val="2"/>
      <w:szCs w:val="20"/>
    </w:rPr>
  </w:style>
  <w:style w:type="paragraph" w:customStyle="1" w:styleId="963">
    <w:name w:val="样式 标题 1 + 字距调整小四1"/>
    <w:basedOn w:val="5"/>
    <w:qFormat/>
    <w:uiPriority w:val="0"/>
    <w:pPr>
      <w:keepNext/>
      <w:keepLines/>
      <w:numPr>
        <w:numId w:val="0"/>
      </w:numPr>
      <w:spacing w:before="340" w:after="330" w:line="520" w:lineRule="exact"/>
    </w:pPr>
    <w:rPr>
      <w:rFonts w:ascii="Times New Roman" w:hAnsi="Times New Roman"/>
      <w:bCs/>
      <w:kern w:val="24"/>
      <w:szCs w:val="44"/>
    </w:rPr>
  </w:style>
  <w:style w:type="paragraph" w:customStyle="1" w:styleId="964">
    <w:name w:val="征文格式"/>
    <w:basedOn w:val="1"/>
    <w:qFormat/>
    <w:uiPriority w:val="0"/>
    <w:pPr>
      <w:spacing w:line="264" w:lineRule="auto"/>
      <w:ind w:firstLine="459"/>
    </w:pPr>
    <w:rPr>
      <w:kern w:val="0"/>
      <w:sz w:val="21"/>
      <w:szCs w:val="21"/>
    </w:rPr>
  </w:style>
  <w:style w:type="paragraph" w:customStyle="1" w:styleId="965">
    <w:name w:val="样式 样式 样式 宋体 段前: 0.5 行 行距: 固定值 18 磅 + 首行缩进:  2 字符 + 首行缩进:  2 字符1"/>
    <w:basedOn w:val="1"/>
    <w:qFormat/>
    <w:uiPriority w:val="0"/>
    <w:pPr>
      <w:adjustRightInd w:val="0"/>
      <w:snapToGrid w:val="0"/>
      <w:spacing w:beforeLines="50"/>
      <w:ind w:firstLine="480"/>
    </w:pPr>
    <w:rPr>
      <w:rFonts w:ascii="宋体" w:hAnsi="宋体"/>
      <w:color w:val="FF0000"/>
    </w:rPr>
  </w:style>
  <w:style w:type="paragraph" w:customStyle="1" w:styleId="966">
    <w:name w:val="样式 标题 4 + 红色"/>
    <w:basedOn w:val="9"/>
    <w:qFormat/>
    <w:uiPriority w:val="0"/>
    <w:pPr>
      <w:numPr>
        <w:ilvl w:val="0"/>
        <w:numId w:val="0"/>
      </w:numPr>
      <w:tabs>
        <w:tab w:val="left" w:pos="864"/>
      </w:tabs>
      <w:spacing w:beforeLines="50" w:afterLines="20" w:line="240" w:lineRule="auto"/>
      <w:ind w:left="864" w:hanging="864"/>
    </w:pPr>
    <w:rPr>
      <w:rFonts w:ascii="Arial" w:hAnsi="Arial"/>
      <w:b w:val="0"/>
      <w:bCs w:val="0"/>
      <w:color w:val="FF0000"/>
      <w:kern w:val="2"/>
      <w:szCs w:val="24"/>
    </w:rPr>
  </w:style>
  <w:style w:type="paragraph" w:customStyle="1" w:styleId="967">
    <w:name w:val="样式 正文（首行缩进两字） + 行距: 固定值 20 磅"/>
    <w:basedOn w:val="10"/>
    <w:qFormat/>
    <w:uiPriority w:val="0"/>
    <w:pPr>
      <w:spacing w:afterLines="20" w:line="400" w:lineRule="exact"/>
      <w:ind w:firstLine="480"/>
    </w:pPr>
    <w:rPr>
      <w:rFonts w:ascii="Calibri" w:hAnsi="Calibri"/>
      <w:szCs w:val="22"/>
    </w:rPr>
  </w:style>
  <w:style w:type="paragraph" w:customStyle="1" w:styleId="968">
    <w:name w:val="样式 段后: 3.1 磅 行距: 固定值 20 磅"/>
    <w:basedOn w:val="1"/>
    <w:qFormat/>
    <w:uiPriority w:val="0"/>
    <w:pPr>
      <w:spacing w:after="62" w:line="400" w:lineRule="exact"/>
      <w:ind w:firstLine="482"/>
    </w:pPr>
    <w:rPr>
      <w:rFonts w:cs="宋体"/>
      <w:szCs w:val="20"/>
    </w:rPr>
  </w:style>
  <w:style w:type="paragraph" w:customStyle="1" w:styleId="969">
    <w:name w:val="样式 目录 1 + 首行缩进:  2 字符"/>
    <w:basedOn w:val="1"/>
    <w:qFormat/>
    <w:uiPriority w:val="0"/>
    <w:pPr>
      <w:tabs>
        <w:tab w:val="right" w:leader="dot" w:pos="9174"/>
      </w:tabs>
      <w:spacing w:before="120" w:after="120" w:line="400" w:lineRule="exact"/>
      <w:ind w:firstLine="425"/>
      <w:jc w:val="left"/>
    </w:pPr>
    <w:rPr>
      <w:rFonts w:cs="宋体"/>
      <w:b/>
      <w:bCs/>
      <w:caps/>
      <w:sz w:val="20"/>
      <w:szCs w:val="20"/>
    </w:rPr>
  </w:style>
  <w:style w:type="paragraph" w:customStyle="1" w:styleId="970">
    <w:name w:val="样式 标题 3 + 段前: 1 行"/>
    <w:basedOn w:val="8"/>
    <w:qFormat/>
    <w:uiPriority w:val="0"/>
    <w:pPr>
      <w:numPr>
        <w:ilvl w:val="0"/>
        <w:numId w:val="0"/>
      </w:numPr>
      <w:tabs>
        <w:tab w:val="left" w:pos="720"/>
      </w:tabs>
      <w:spacing w:beforeLines="50" w:line="240" w:lineRule="auto"/>
      <w:ind w:left="720" w:hanging="720"/>
    </w:pPr>
    <w:rPr>
      <w:rFonts w:ascii="宋体" w:hAnsi="宋体"/>
      <w:bCs/>
      <w:kern w:val="2"/>
      <w:szCs w:val="20"/>
    </w:rPr>
  </w:style>
  <w:style w:type="paragraph" w:customStyle="1" w:styleId="971">
    <w:name w:val="样式 标题 3 + 首行缩进:  0 字符"/>
    <w:basedOn w:val="8"/>
    <w:qFormat/>
    <w:uiPriority w:val="0"/>
    <w:pPr>
      <w:numPr>
        <w:ilvl w:val="0"/>
        <w:numId w:val="0"/>
      </w:numPr>
      <w:spacing w:beforeLines="50" w:afterLines="50" w:line="500" w:lineRule="exact"/>
    </w:pPr>
    <w:rPr>
      <w:rFonts w:eastAsia="黑体"/>
      <w:bCs/>
      <w:kern w:val="2"/>
      <w:szCs w:val="20"/>
    </w:rPr>
  </w:style>
  <w:style w:type="paragraph" w:customStyle="1" w:styleId="972">
    <w:name w:val="字母编号2"/>
    <w:basedOn w:val="1"/>
    <w:qFormat/>
    <w:uiPriority w:val="0"/>
    <w:pPr>
      <w:tabs>
        <w:tab w:val="left" w:pos="817"/>
      </w:tabs>
      <w:spacing w:line="300" w:lineRule="auto"/>
      <w:ind w:firstLine="200" w:firstLineChars="200"/>
      <w:textAlignment w:val="center"/>
    </w:pPr>
  </w:style>
  <w:style w:type="paragraph" w:customStyle="1" w:styleId="973">
    <w:name w:val="样式 幼圆 小四 行距: 固定值 23 磅"/>
    <w:basedOn w:val="1"/>
    <w:qFormat/>
    <w:uiPriority w:val="0"/>
    <w:pPr>
      <w:spacing w:line="460" w:lineRule="exact"/>
      <w:ind w:firstLine="480" w:firstLineChars="200"/>
    </w:pPr>
    <w:rPr>
      <w:rFonts w:ascii="幼圆" w:hAnsi="Romantic"/>
      <w:szCs w:val="20"/>
    </w:rPr>
  </w:style>
  <w:style w:type="paragraph" w:customStyle="1" w:styleId="974">
    <w:name w:val="正文文本缩进 24"/>
    <w:basedOn w:val="1"/>
    <w:qFormat/>
    <w:uiPriority w:val="0"/>
    <w:pPr>
      <w:adjustRightInd w:val="0"/>
      <w:ind w:firstLine="480"/>
      <w:textAlignment w:val="baseline"/>
    </w:pPr>
    <w:rPr>
      <w:rFonts w:ascii="宋体"/>
      <w:kern w:val="0"/>
      <w:szCs w:val="20"/>
    </w:rPr>
  </w:style>
  <w:style w:type="paragraph" w:customStyle="1" w:styleId="975">
    <w:name w:val="正文缩进2格"/>
    <w:basedOn w:val="1"/>
    <w:qFormat/>
    <w:uiPriority w:val="0"/>
    <w:pPr>
      <w:spacing w:line="400" w:lineRule="atLeast"/>
      <w:ind w:firstLine="480" w:firstLineChars="200"/>
    </w:pPr>
  </w:style>
  <w:style w:type="paragraph" w:customStyle="1" w:styleId="976">
    <w:name w:val="新正文"/>
    <w:qFormat/>
    <w:uiPriority w:val="0"/>
    <w:pPr>
      <w:tabs>
        <w:tab w:val="left" w:pos="8295"/>
      </w:tabs>
      <w:spacing w:line="460" w:lineRule="exact"/>
      <w:ind w:firstLine="200" w:firstLineChars="200"/>
    </w:pPr>
    <w:rPr>
      <w:rFonts w:ascii="宋体" w:hAnsi="Times New Roman" w:eastAsia="宋体" w:cs="Times New Roman"/>
      <w:lang w:val="en-US" w:eastAsia="zh-CN" w:bidi="ar-SA"/>
    </w:rPr>
  </w:style>
  <w:style w:type="paragraph" w:customStyle="1" w:styleId="977">
    <w:name w:val="正文文本缩进 25"/>
    <w:basedOn w:val="1"/>
    <w:qFormat/>
    <w:uiPriority w:val="0"/>
    <w:pPr>
      <w:adjustRightInd w:val="0"/>
      <w:ind w:firstLine="480"/>
      <w:textAlignment w:val="baseline"/>
    </w:pPr>
    <w:rPr>
      <w:rFonts w:ascii="宋体"/>
      <w:kern w:val="0"/>
      <w:szCs w:val="20"/>
    </w:rPr>
  </w:style>
  <w:style w:type="paragraph" w:customStyle="1" w:styleId="978">
    <w:name w:val="正文6"/>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979">
    <w:name w:val="Revision"/>
    <w:semiHidden/>
    <w:qFormat/>
    <w:uiPriority w:val="0"/>
    <w:rPr>
      <w:rFonts w:ascii="Times New Roman" w:hAnsi="Times New Roman" w:eastAsia="宋体" w:cs="Times New Roman"/>
      <w:kern w:val="2"/>
      <w:sz w:val="21"/>
      <w:szCs w:val="24"/>
      <w:lang w:val="en-US" w:eastAsia="zh-CN" w:bidi="ar-SA"/>
    </w:rPr>
  </w:style>
  <w:style w:type="paragraph" w:customStyle="1" w:styleId="980">
    <w:name w:val="正文文本缩进 26"/>
    <w:basedOn w:val="1"/>
    <w:qFormat/>
    <w:uiPriority w:val="0"/>
    <w:pPr>
      <w:adjustRightInd w:val="0"/>
      <w:ind w:firstLine="480"/>
      <w:textAlignment w:val="baseline"/>
    </w:pPr>
    <w:rPr>
      <w:rFonts w:ascii="宋体"/>
      <w:kern w:val="0"/>
      <w:szCs w:val="20"/>
    </w:rPr>
  </w:style>
  <w:style w:type="paragraph" w:customStyle="1" w:styleId="981">
    <w:name w:val="正文7"/>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table" w:customStyle="1" w:styleId="982">
    <w:name w:val="徐正生"/>
    <w:basedOn w:val="47"/>
    <w:qFormat/>
    <w:uiPriority w:val="0"/>
    <w:pPr>
      <w:widowControl w:val="0"/>
      <w:jc w:val="both"/>
    </w:pPr>
    <w:tblPr>
      <w:tblBorders>
        <w:top w:val="single" w:color="000000" w:sz="12" w:space="0"/>
        <w:bottom w:val="single" w:color="000000" w:sz="12" w:space="0"/>
        <w:insideH w:val="single" w:color="000000" w:sz="8" w:space="0"/>
        <w:insideV w:val="single" w:color="000000" w:sz="8" w:space="0"/>
      </w:tblBorders>
    </w:tblPr>
    <w:tcPr>
      <w:shd w:val="clear" w:color="auto" w:fill="auto"/>
    </w:tcPr>
    <w:tblStylePr w:type="firstRow">
      <w:tcPr>
        <w:tcBorders>
          <w:top w:val="nil"/>
          <w:left w:val="nil"/>
          <w:bottom w:val="single" w:color="008000" w:sz="6" w:space="0"/>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character" w:customStyle="1" w:styleId="983">
    <w:name w:val="正文缩进 字符"/>
    <w:semiHidden/>
    <w:qFormat/>
    <w:locked/>
    <w:uiPriority w:val="0"/>
    <w:rPr>
      <w:kern w:val="2"/>
      <w:sz w:val="21"/>
      <w:szCs w:val="24"/>
    </w:rPr>
  </w:style>
  <w:style w:type="paragraph" w:customStyle="1" w:styleId="984">
    <w:name w:val="正文 New New New New New New New"/>
    <w:qFormat/>
    <w:uiPriority w:val="0"/>
    <w:pPr>
      <w:widowControl w:val="0"/>
      <w:spacing w:line="360" w:lineRule="auto"/>
      <w:ind w:firstLine="200" w:firstLineChars="200"/>
    </w:pPr>
    <w:rPr>
      <w:rFonts w:ascii="Times New Roman" w:hAnsi="Times New Roman" w:eastAsia="宋体" w:cs="Times New Roman"/>
      <w:sz w:val="24"/>
      <w:szCs w:val="22"/>
      <w:lang w:val="en-US" w:eastAsia="zh-CN" w:bidi="ar-SA"/>
    </w:rPr>
  </w:style>
  <w:style w:type="character" w:customStyle="1" w:styleId="985">
    <w:name w:val="1正文 Char"/>
    <w:link w:val="986"/>
    <w:qFormat/>
    <w:locked/>
    <w:uiPriority w:val="0"/>
    <w:rPr>
      <w:rFonts w:ascii="宋体" w:hAnsi="宋体" w:cs="宋体"/>
      <w:sz w:val="24"/>
    </w:rPr>
  </w:style>
  <w:style w:type="paragraph" w:customStyle="1" w:styleId="986">
    <w:name w:val="1正文"/>
    <w:basedOn w:val="1"/>
    <w:link w:val="985"/>
    <w:qFormat/>
    <w:uiPriority w:val="0"/>
    <w:pPr>
      <w:ind w:firstLine="200" w:firstLineChars="200"/>
    </w:pPr>
    <w:rPr>
      <w:rFonts w:ascii="宋体" w:hAnsi="宋体" w:cs="宋体"/>
      <w:kern w:val="0"/>
      <w:szCs w:val="20"/>
    </w:rPr>
  </w:style>
  <w:style w:type="character" w:customStyle="1" w:styleId="987">
    <w:name w:val="1表头 Char"/>
    <w:link w:val="988"/>
    <w:qFormat/>
    <w:locked/>
    <w:uiPriority w:val="0"/>
    <w:rPr>
      <w:b/>
      <w:sz w:val="24"/>
    </w:rPr>
  </w:style>
  <w:style w:type="paragraph" w:customStyle="1" w:styleId="988">
    <w:name w:val="1表头"/>
    <w:basedOn w:val="1"/>
    <w:link w:val="987"/>
    <w:qFormat/>
    <w:uiPriority w:val="0"/>
    <w:pPr>
      <w:jc w:val="center"/>
    </w:pPr>
    <w:rPr>
      <w:rFonts w:ascii="Calibri" w:hAnsi="Calibri"/>
      <w:b/>
      <w:kern w:val="0"/>
      <w:szCs w:val="20"/>
    </w:rPr>
  </w:style>
  <w:style w:type="character" w:customStyle="1" w:styleId="989">
    <w:name w:val="font31"/>
    <w:qFormat/>
    <w:uiPriority w:val="0"/>
    <w:rPr>
      <w:rFonts w:hint="eastAsia" w:ascii="宋体" w:hAnsi="宋体" w:eastAsia="宋体"/>
      <w:color w:val="000000"/>
      <w:sz w:val="24"/>
      <w:szCs w:val="24"/>
      <w:u w:val="none"/>
    </w:rPr>
  </w:style>
  <w:style w:type="character" w:customStyle="1" w:styleId="990">
    <w:name w:val="font01"/>
    <w:qFormat/>
    <w:uiPriority w:val="0"/>
    <w:rPr>
      <w:rFonts w:hint="default" w:ascii="Calibri" w:hAnsi="Calibri" w:cs="Calibri"/>
      <w:color w:val="000000"/>
      <w:sz w:val="24"/>
      <w:szCs w:val="24"/>
      <w:u w:val="none"/>
    </w:rPr>
  </w:style>
  <w:style w:type="character" w:customStyle="1" w:styleId="991">
    <w:name w:val="font51"/>
    <w:qFormat/>
    <w:uiPriority w:val="0"/>
    <w:rPr>
      <w:rFonts w:hint="eastAsia" w:ascii="宋体" w:hAnsi="宋体" w:eastAsia="宋体"/>
      <w:color w:val="000000"/>
      <w:sz w:val="22"/>
      <w:szCs w:val="22"/>
      <w:u w:val="none"/>
    </w:rPr>
  </w:style>
  <w:style w:type="character" w:customStyle="1" w:styleId="992">
    <w:name w:val="批注框文本 Char"/>
    <w:qFormat/>
    <w:uiPriority w:val="0"/>
    <w:rPr>
      <w:sz w:val="18"/>
      <w:szCs w:val="18"/>
    </w:rPr>
  </w:style>
  <w:style w:type="character" w:customStyle="1" w:styleId="993">
    <w:name w:val="正文 Char Char Char Char Char Char"/>
    <w:qFormat/>
    <w:uiPriority w:val="0"/>
    <w:rPr>
      <w:rFonts w:eastAsia="宋体"/>
      <w:kern w:val="2"/>
      <w:sz w:val="24"/>
      <w:szCs w:val="24"/>
      <w:lang w:val="en-US" w:eastAsia="zh-CN" w:bidi="ar-SA"/>
    </w:rPr>
  </w:style>
  <w:style w:type="paragraph" w:customStyle="1" w:styleId="994">
    <w:name w:val="题目"/>
    <w:basedOn w:val="5"/>
    <w:qFormat/>
    <w:uiPriority w:val="0"/>
    <w:pPr>
      <w:keepNext/>
      <w:numPr>
        <w:numId w:val="0"/>
      </w:numPr>
      <w:spacing w:beforeLines="200" w:afterLines="50" w:line="480" w:lineRule="auto"/>
      <w:ind w:firstLine="200" w:firstLineChars="200"/>
    </w:pPr>
    <w:rPr>
      <w:rFonts w:ascii="Times New Roman" w:hAnsi="Times New Roman"/>
      <w:iCs/>
      <w:kern w:val="2"/>
      <w:szCs w:val="36"/>
    </w:rPr>
  </w:style>
  <w:style w:type="paragraph" w:customStyle="1" w:styleId="995">
    <w:name w:val="标5"/>
    <w:basedOn w:val="1"/>
    <w:qFormat/>
    <w:uiPriority w:val="99"/>
    <w:pPr>
      <w:spacing w:line="240" w:lineRule="auto"/>
      <w:ind w:firstLine="360" w:firstLineChars="150"/>
      <w:outlineLvl w:val="4"/>
    </w:pPr>
    <w:rPr>
      <w:rFonts w:ascii="仿宋_GB2312" w:hAnsi="仿宋_GB2312"/>
      <w:bCs/>
    </w:rPr>
  </w:style>
  <w:style w:type="character" w:customStyle="1" w:styleId="996">
    <w:name w:val="标题 2 Char1"/>
    <w:semiHidden/>
    <w:qFormat/>
    <w:uiPriority w:val="9"/>
    <w:rPr>
      <w:rFonts w:ascii="Cambria" w:hAnsi="Cambria" w:eastAsia="宋体" w:cs="Times New Roman"/>
      <w:b/>
      <w:bCs/>
      <w:kern w:val="2"/>
      <w:sz w:val="32"/>
      <w:szCs w:val="32"/>
    </w:rPr>
  </w:style>
  <w:style w:type="character" w:customStyle="1" w:styleId="997">
    <w:name w:val="批注文字 Char"/>
    <w:qFormat/>
    <w:uiPriority w:val="0"/>
    <w:rPr>
      <w:rFonts w:ascii="Times New Roman" w:hAnsi="Times New Roman"/>
      <w:kern w:val="2"/>
      <w:sz w:val="24"/>
      <w:szCs w:val="24"/>
    </w:rPr>
  </w:style>
  <w:style w:type="paragraph" w:styleId="998">
    <w:name w:val="List Paragraph"/>
    <w:basedOn w:val="1"/>
    <w:qFormat/>
    <w:uiPriority w:val="99"/>
    <w:pPr>
      <w:spacing w:line="240" w:lineRule="auto"/>
      <w:ind w:firstLine="420" w:firstLineChars="200"/>
    </w:pPr>
    <w:rPr>
      <w:rFonts w:ascii="Calibri" w:hAnsi="Calibri"/>
      <w:sz w:val="21"/>
      <w:szCs w:val="22"/>
    </w:rPr>
  </w:style>
  <w:style w:type="character" w:customStyle="1" w:styleId="999">
    <w:name w:val="表头 Char"/>
    <w:link w:val="1000"/>
    <w:qFormat/>
    <w:locked/>
    <w:uiPriority w:val="0"/>
    <w:rPr>
      <w:rFonts w:ascii="黑体" w:hAnsi="黑体" w:eastAsia="黑体" w:cs="宋体"/>
      <w:kern w:val="2"/>
      <w:sz w:val="24"/>
      <w:szCs w:val="24"/>
    </w:rPr>
  </w:style>
  <w:style w:type="paragraph" w:customStyle="1" w:styleId="1000">
    <w:name w:val="表头"/>
    <w:basedOn w:val="1"/>
    <w:link w:val="999"/>
    <w:qFormat/>
    <w:uiPriority w:val="0"/>
    <w:pPr>
      <w:wordWrap w:val="0"/>
      <w:spacing w:line="240" w:lineRule="auto"/>
      <w:ind w:firstLine="480" w:firstLineChars="200"/>
      <w:jc w:val="center"/>
    </w:pPr>
    <w:rPr>
      <w:rFonts w:ascii="黑体" w:hAnsi="黑体" w:eastAsia="黑体" w:cs="宋体"/>
    </w:rPr>
  </w:style>
  <w:style w:type="character" w:customStyle="1" w:styleId="1001">
    <w:name w:val="w_正文 Char"/>
    <w:link w:val="1002"/>
    <w:qFormat/>
    <w:locked/>
    <w:uiPriority w:val="0"/>
    <w:rPr>
      <w:sz w:val="21"/>
    </w:rPr>
  </w:style>
  <w:style w:type="paragraph" w:customStyle="1" w:styleId="1002">
    <w:name w:val="w_正文"/>
    <w:basedOn w:val="1"/>
    <w:link w:val="1001"/>
    <w:qFormat/>
    <w:uiPriority w:val="0"/>
    <w:pPr>
      <w:widowControl/>
      <w:tabs>
        <w:tab w:val="center" w:pos="4201"/>
        <w:tab w:val="right" w:leader="dot" w:pos="9298"/>
      </w:tabs>
      <w:autoSpaceDE w:val="0"/>
      <w:autoSpaceDN w:val="0"/>
      <w:spacing w:line="312" w:lineRule="atLeast"/>
      <w:ind w:firstLine="420" w:firstLineChars="200"/>
    </w:pPr>
    <w:rPr>
      <w:rFonts w:ascii="Calibri" w:hAnsi="Calibri"/>
      <w:kern w:val="0"/>
      <w:sz w:val="21"/>
      <w:szCs w:val="20"/>
    </w:rPr>
  </w:style>
  <w:style w:type="character" w:customStyle="1" w:styleId="1003">
    <w:name w:val="表格内容 Char"/>
    <w:link w:val="1004"/>
    <w:qFormat/>
    <w:locked/>
    <w:uiPriority w:val="0"/>
    <w:rPr>
      <w:rFonts w:ascii="宋体" w:hAnsi="宋体"/>
      <w:sz w:val="21"/>
    </w:rPr>
  </w:style>
  <w:style w:type="paragraph" w:customStyle="1" w:styleId="1004">
    <w:name w:val="表格内容"/>
    <w:basedOn w:val="1"/>
    <w:link w:val="1003"/>
    <w:qFormat/>
    <w:uiPriority w:val="0"/>
    <w:pPr>
      <w:adjustRightInd w:val="0"/>
      <w:snapToGrid w:val="0"/>
      <w:spacing w:line="240" w:lineRule="auto"/>
      <w:jc w:val="center"/>
    </w:pPr>
    <w:rPr>
      <w:rFonts w:ascii="宋体" w:hAnsi="宋体"/>
      <w:kern w:val="0"/>
      <w:sz w:val="21"/>
      <w:szCs w:val="20"/>
    </w:rPr>
  </w:style>
  <w:style w:type="paragraph" w:customStyle="1" w:styleId="1005">
    <w:name w:val="表中内容"/>
    <w:qFormat/>
    <w:uiPriority w:val="0"/>
    <w:pPr>
      <w:snapToGrid w:val="0"/>
    </w:pPr>
    <w:rPr>
      <w:rFonts w:ascii="Times New Roman" w:hAnsi="Times New Roman" w:eastAsia="宋体" w:cs="宋体"/>
      <w:bCs/>
      <w:kern w:val="2"/>
      <w:sz w:val="18"/>
      <w:szCs w:val="21"/>
      <w:lang w:val="en-US" w:eastAsia="zh-CN" w:bidi="ar-SA"/>
    </w:rPr>
  </w:style>
  <w:style w:type="paragraph" w:customStyle="1" w:styleId="1006">
    <w:name w:val="List Paragraph1"/>
    <w:basedOn w:val="1"/>
    <w:qFormat/>
    <w:uiPriority w:val="34"/>
    <w:pPr>
      <w:spacing w:line="240" w:lineRule="auto"/>
      <w:ind w:firstLine="420" w:firstLineChars="200"/>
    </w:pPr>
    <w:rPr>
      <w:kern w:val="0"/>
    </w:rPr>
  </w:style>
  <w:style w:type="paragraph" w:customStyle="1" w:styleId="1007">
    <w:name w:val="样式 样式 样式 首行缩进:  2 字符 + 首行缩进:  2 字符 段后: 0.5 行 + 首行缩进:  2 字符"/>
    <w:basedOn w:val="1"/>
    <w:qFormat/>
    <w:uiPriority w:val="0"/>
    <w:pPr>
      <w:ind w:firstLine="420" w:firstLineChars="200"/>
    </w:pPr>
    <w:rPr>
      <w:rFonts w:cs="宋体"/>
      <w:szCs w:val="20"/>
    </w:rPr>
  </w:style>
  <w:style w:type="paragraph" w:customStyle="1" w:styleId="1008">
    <w:name w:val="TOC 标题1"/>
    <w:basedOn w:val="5"/>
    <w:next w:val="1"/>
    <w:qFormat/>
    <w:uiPriority w:val="39"/>
    <w:pPr>
      <w:keepNext/>
      <w:keepLines/>
      <w:widowControl/>
      <w:spacing w:before="480" w:line="276" w:lineRule="auto"/>
      <w:jc w:val="left"/>
      <w:outlineLvl w:val="9"/>
    </w:pPr>
    <w:rPr>
      <w:rFonts w:ascii="Cambria" w:hAnsi="Cambria"/>
      <w:bCs/>
      <w:color w:val="366091"/>
      <w:sz w:val="28"/>
      <w:szCs w:val="28"/>
    </w:rPr>
  </w:style>
  <w:style w:type="character" w:customStyle="1" w:styleId="1009">
    <w:name w:val="样式2 Char"/>
    <w:qFormat/>
    <w:uiPriority w:val="0"/>
    <w:rPr>
      <w:rFonts w:hint="default" w:ascii="Cambria" w:hAnsi="Cambria"/>
      <w:b/>
      <w:bCs/>
      <w:i/>
      <w:iCs/>
      <w:sz w:val="32"/>
      <w:szCs w:val="21"/>
      <w:lang w:eastAsia="en-US" w:bidi="en-US"/>
    </w:rPr>
  </w:style>
  <w:style w:type="character" w:customStyle="1" w:styleId="1010">
    <w:name w:val="页眉 字符"/>
    <w:qFormat/>
    <w:locked/>
    <w:uiPriority w:val="99"/>
    <w:rPr>
      <w:kern w:val="2"/>
      <w:sz w:val="18"/>
      <w:szCs w:val="18"/>
    </w:rPr>
  </w:style>
  <w:style w:type="character" w:customStyle="1" w:styleId="1011">
    <w:name w:val="大一点 Char Char"/>
    <w:qFormat/>
    <w:uiPriority w:val="0"/>
    <w:rPr>
      <w:rFonts w:hint="eastAsia" w:ascii="宋体" w:hAnsi="宋体" w:eastAsia="宋体"/>
      <w:b/>
      <w:bCs/>
      <w:kern w:val="2"/>
      <w:sz w:val="30"/>
      <w:szCs w:val="32"/>
      <w:lang w:val="en-US" w:eastAsia="zh-CN" w:bidi="ar-SA"/>
    </w:rPr>
  </w:style>
  <w:style w:type="character" w:customStyle="1" w:styleId="1012">
    <w:name w:val="标题 1 字符"/>
    <w:qFormat/>
    <w:uiPriority w:val="9"/>
    <w:rPr>
      <w:b/>
      <w:bCs/>
      <w:kern w:val="44"/>
      <w:sz w:val="44"/>
      <w:szCs w:val="44"/>
    </w:rPr>
  </w:style>
  <w:style w:type="character" w:customStyle="1" w:styleId="1013">
    <w:name w:val="标题 3 字符1"/>
    <w:qFormat/>
    <w:locked/>
    <w:uiPriority w:val="99"/>
    <w:rPr>
      <w:rFonts w:hint="default" w:ascii="Times New Roman" w:hAnsi="Times New Roman" w:eastAsia="宋体" w:cs="Times New Roman"/>
      <w:b/>
      <w:bCs/>
      <w:sz w:val="32"/>
      <w:szCs w:val="32"/>
    </w:rPr>
  </w:style>
  <w:style w:type="character" w:customStyle="1" w:styleId="1014">
    <w:name w:val="页脚 字符"/>
    <w:qFormat/>
    <w:locked/>
    <w:uiPriority w:val="99"/>
    <w:rPr>
      <w:kern w:val="2"/>
      <w:sz w:val="18"/>
      <w:szCs w:val="18"/>
    </w:rPr>
  </w:style>
  <w:style w:type="character" w:customStyle="1" w:styleId="1015">
    <w:name w:val="标题 1 字符1"/>
    <w:qFormat/>
    <w:locked/>
    <w:uiPriority w:val="0"/>
    <w:rPr>
      <w:rFonts w:hint="default" w:ascii="Times New Roman" w:hAnsi="Times New Roman" w:eastAsia="宋体" w:cs="Times New Roman"/>
      <w:b/>
      <w:bCs/>
      <w:kern w:val="44"/>
      <w:sz w:val="44"/>
      <w:szCs w:val="44"/>
    </w:rPr>
  </w:style>
  <w:style w:type="character" w:customStyle="1" w:styleId="1016">
    <w:name w:val="纯文本 Char2"/>
    <w:qFormat/>
    <w:uiPriority w:val="0"/>
    <w:rPr>
      <w:rFonts w:hint="eastAsia" w:ascii="宋体" w:hAnsi="Courier New" w:eastAsia="宋体" w:cs="Courier New"/>
      <w:kern w:val="2"/>
      <w:sz w:val="21"/>
      <w:szCs w:val="21"/>
      <w:lang w:val="en-US" w:eastAsia="zh-CN" w:bidi="ar-SA"/>
    </w:rPr>
  </w:style>
  <w:style w:type="character" w:customStyle="1" w:styleId="1017">
    <w:name w:val="标题 2 字符1"/>
    <w:qFormat/>
    <w:locked/>
    <w:uiPriority w:val="0"/>
    <w:rPr>
      <w:rFonts w:hint="default" w:ascii="Arial" w:hAnsi="Arial" w:eastAsia="黑体" w:cs="Times New Roman"/>
      <w:b/>
      <w:bCs/>
      <w:sz w:val="32"/>
      <w:szCs w:val="32"/>
    </w:rPr>
  </w:style>
  <w:style w:type="paragraph" w:customStyle="1" w:styleId="1018">
    <w:name w:val="正文文字"/>
    <w:basedOn w:val="1"/>
    <w:next w:val="4"/>
    <w:qFormat/>
    <w:uiPriority w:val="0"/>
    <w:pPr>
      <w:widowControl/>
      <w:adjustRightInd w:val="0"/>
      <w:snapToGrid w:val="0"/>
      <w:ind w:firstLine="200" w:firstLineChars="200"/>
    </w:pPr>
    <w:rPr>
      <w:kern w:val="0"/>
      <w:szCs w:val="21"/>
    </w:rPr>
  </w:style>
  <w:style w:type="character" w:customStyle="1" w:styleId="1019">
    <w:name w:val="批注主题 Char"/>
    <w:qFormat/>
    <w:uiPriority w:val="0"/>
    <w:rPr>
      <w:rFonts w:ascii="Times New Roman" w:hAnsi="Times New Roman" w:eastAsia="宋体" w:cs="Times New Roman"/>
      <w:b/>
      <w:bCs/>
      <w:sz w:val="24"/>
      <w:szCs w:val="24"/>
    </w:rPr>
  </w:style>
  <w:style w:type="character" w:customStyle="1" w:styleId="1020">
    <w:name w:val="headline-content2"/>
    <w:qFormat/>
    <w:uiPriority w:val="0"/>
  </w:style>
  <w:style w:type="character" w:customStyle="1" w:styleId="1021">
    <w:name w:val="apple-converted-space"/>
    <w:qFormat/>
    <w:uiPriority w:val="0"/>
  </w:style>
  <w:style w:type="character" w:customStyle="1" w:styleId="1022">
    <w:name w:val="number"/>
    <w:qFormat/>
    <w:uiPriority w:val="0"/>
  </w:style>
  <w:style w:type="character" w:customStyle="1" w:styleId="1023">
    <w:name w:val="font71"/>
    <w:qFormat/>
    <w:uiPriority w:val="0"/>
    <w:rPr>
      <w:rFonts w:hint="eastAsia" w:ascii="宋体" w:hAnsi="宋体" w:eastAsia="宋体" w:cs="宋体"/>
      <w:b/>
      <w:color w:val="000000"/>
      <w:sz w:val="21"/>
      <w:szCs w:val="21"/>
      <w:u w:val="none"/>
    </w:rPr>
  </w:style>
  <w:style w:type="character" w:customStyle="1" w:styleId="1024">
    <w:name w:val="tpc_content1"/>
    <w:qFormat/>
    <w:uiPriority w:val="0"/>
    <w:rPr>
      <w:sz w:val="20"/>
      <w:szCs w:val="20"/>
    </w:rPr>
  </w:style>
  <w:style w:type="paragraph" w:customStyle="1" w:styleId="1025">
    <w:name w:val="font12"/>
    <w:basedOn w:val="1"/>
    <w:qFormat/>
    <w:uiPriority w:val="0"/>
    <w:pPr>
      <w:widowControl/>
      <w:spacing w:before="100" w:beforeAutospacing="1" w:after="100" w:afterAutospacing="1" w:line="240" w:lineRule="auto"/>
      <w:jc w:val="left"/>
    </w:pPr>
    <w:rPr>
      <w:kern w:val="0"/>
      <w:sz w:val="22"/>
      <w:szCs w:val="22"/>
    </w:rPr>
  </w:style>
  <w:style w:type="paragraph" w:customStyle="1" w:styleId="1026">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b/>
      <w:bCs/>
      <w:kern w:val="0"/>
    </w:rPr>
  </w:style>
  <w:style w:type="paragraph" w:customStyle="1" w:styleId="1027">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cs="宋体"/>
      <w:kern w:val="0"/>
    </w:rPr>
  </w:style>
  <w:style w:type="paragraph" w:customStyle="1" w:styleId="1028">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b/>
      <w:bCs/>
      <w:kern w:val="0"/>
    </w:rPr>
  </w:style>
  <w:style w:type="paragraph" w:customStyle="1" w:styleId="1029">
    <w:name w:val="Normal_121"/>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30">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b/>
      <w:bCs/>
      <w:color w:val="000000"/>
      <w:kern w:val="0"/>
    </w:rPr>
  </w:style>
  <w:style w:type="paragraph" w:customStyle="1" w:styleId="1031">
    <w:name w:val="Normal_113"/>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32">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cs="宋体"/>
      <w:kern w:val="0"/>
    </w:rPr>
  </w:style>
  <w:style w:type="paragraph" w:customStyle="1" w:styleId="1033">
    <w:name w:val="Normal_103"/>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34">
    <w:name w:val="font19"/>
    <w:basedOn w:val="1"/>
    <w:qFormat/>
    <w:uiPriority w:val="0"/>
    <w:pPr>
      <w:widowControl/>
      <w:spacing w:before="100" w:beforeAutospacing="1" w:after="100" w:afterAutospacing="1" w:line="240" w:lineRule="auto"/>
      <w:jc w:val="left"/>
    </w:pPr>
    <w:rPr>
      <w:i/>
      <w:iCs/>
      <w:color w:val="000000"/>
      <w:kern w:val="0"/>
      <w:sz w:val="22"/>
      <w:szCs w:val="22"/>
    </w:rPr>
  </w:style>
  <w:style w:type="paragraph" w:customStyle="1" w:styleId="1035">
    <w:name w:val="xl83"/>
    <w:basedOn w:val="1"/>
    <w:qFormat/>
    <w:uiPriority w:val="0"/>
    <w:pPr>
      <w:widowControl/>
      <w:spacing w:before="100" w:beforeAutospacing="1" w:after="100" w:afterAutospacing="1" w:line="240" w:lineRule="auto"/>
      <w:jc w:val="left"/>
      <w:textAlignment w:val="center"/>
    </w:pPr>
    <w:rPr>
      <w:rFonts w:ascii="宋体" w:hAnsi="宋体" w:cs="宋体"/>
      <w:b/>
      <w:bCs/>
      <w:kern w:val="0"/>
    </w:rPr>
  </w:style>
  <w:style w:type="paragraph" w:customStyle="1" w:styleId="1036">
    <w:name w:val="font8"/>
    <w:basedOn w:val="1"/>
    <w:qFormat/>
    <w:uiPriority w:val="0"/>
    <w:pPr>
      <w:widowControl/>
      <w:spacing w:before="100" w:beforeAutospacing="1" w:after="100" w:afterAutospacing="1" w:line="240" w:lineRule="auto"/>
      <w:jc w:val="left"/>
    </w:pPr>
    <w:rPr>
      <w:color w:val="000000"/>
      <w:kern w:val="0"/>
      <w:sz w:val="22"/>
      <w:szCs w:val="22"/>
    </w:rPr>
  </w:style>
  <w:style w:type="paragraph" w:customStyle="1" w:styleId="1037">
    <w:name w:val="xl96"/>
    <w:basedOn w:val="1"/>
    <w:qFormat/>
    <w:uiPriority w:val="0"/>
    <w:pPr>
      <w:widowControl/>
      <w:pBdr>
        <w:top w:val="single" w:color="auto" w:sz="4" w:space="0"/>
      </w:pBdr>
      <w:spacing w:before="100" w:beforeAutospacing="1" w:after="100" w:afterAutospacing="1" w:line="240" w:lineRule="auto"/>
      <w:jc w:val="left"/>
      <w:textAlignment w:val="center"/>
    </w:pPr>
    <w:rPr>
      <w:kern w:val="0"/>
    </w:rPr>
  </w:style>
  <w:style w:type="paragraph" w:customStyle="1" w:styleId="1038">
    <w:name w:val="font23"/>
    <w:basedOn w:val="1"/>
    <w:qFormat/>
    <w:uiPriority w:val="0"/>
    <w:pPr>
      <w:widowControl/>
      <w:spacing w:before="100" w:beforeAutospacing="1" w:after="100" w:afterAutospacing="1" w:line="240" w:lineRule="auto"/>
      <w:jc w:val="left"/>
    </w:pPr>
    <w:rPr>
      <w:rFonts w:ascii="宋体" w:hAnsi="宋体" w:cs="宋体"/>
      <w:color w:val="000000"/>
      <w:kern w:val="0"/>
      <w:sz w:val="22"/>
      <w:szCs w:val="22"/>
    </w:rPr>
  </w:style>
  <w:style w:type="paragraph" w:customStyle="1" w:styleId="1039">
    <w:name w:val="Normal_25"/>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40">
    <w:name w:val="font16"/>
    <w:basedOn w:val="1"/>
    <w:qFormat/>
    <w:uiPriority w:val="0"/>
    <w:pPr>
      <w:widowControl/>
      <w:spacing w:before="100" w:beforeAutospacing="1" w:after="100" w:afterAutospacing="1" w:line="240" w:lineRule="auto"/>
      <w:jc w:val="left"/>
    </w:pPr>
    <w:rPr>
      <w:rFonts w:ascii="宋体" w:hAnsi="宋体" w:cs="宋体"/>
      <w:color w:val="000000"/>
      <w:kern w:val="0"/>
      <w:sz w:val="22"/>
      <w:szCs w:val="22"/>
    </w:rPr>
  </w:style>
  <w:style w:type="paragraph" w:customStyle="1" w:styleId="1041">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cs="宋体"/>
      <w:color w:val="000000"/>
      <w:kern w:val="0"/>
    </w:rPr>
  </w:style>
  <w:style w:type="paragraph" w:customStyle="1" w:styleId="1042">
    <w:name w:val="p0"/>
    <w:basedOn w:val="1"/>
    <w:qFormat/>
    <w:uiPriority w:val="0"/>
    <w:pPr>
      <w:widowControl/>
      <w:spacing w:line="240" w:lineRule="auto"/>
    </w:pPr>
    <w:rPr>
      <w:kern w:val="0"/>
      <w:sz w:val="21"/>
      <w:szCs w:val="21"/>
    </w:rPr>
  </w:style>
  <w:style w:type="paragraph" w:customStyle="1" w:styleId="1043">
    <w:name w:val="font25"/>
    <w:basedOn w:val="1"/>
    <w:qFormat/>
    <w:uiPriority w:val="0"/>
    <w:pPr>
      <w:widowControl/>
      <w:spacing w:before="100" w:beforeAutospacing="1" w:after="100" w:afterAutospacing="1" w:line="240" w:lineRule="auto"/>
      <w:jc w:val="left"/>
    </w:pPr>
    <w:rPr>
      <w:rFonts w:ascii="宋体" w:hAnsi="宋体" w:cs="宋体"/>
      <w:color w:val="000000"/>
      <w:kern w:val="0"/>
      <w:sz w:val="22"/>
      <w:szCs w:val="22"/>
    </w:rPr>
  </w:style>
  <w:style w:type="paragraph" w:customStyle="1" w:styleId="1044">
    <w:name w:val="font14"/>
    <w:basedOn w:val="1"/>
    <w:qFormat/>
    <w:uiPriority w:val="0"/>
    <w:pPr>
      <w:widowControl/>
      <w:spacing w:before="100" w:beforeAutospacing="1" w:after="100" w:afterAutospacing="1" w:line="240" w:lineRule="auto"/>
      <w:jc w:val="left"/>
    </w:pPr>
    <w:rPr>
      <w:i/>
      <w:iCs/>
      <w:color w:val="000000"/>
      <w:kern w:val="0"/>
      <w:sz w:val="22"/>
      <w:szCs w:val="22"/>
    </w:rPr>
  </w:style>
  <w:style w:type="paragraph" w:customStyle="1" w:styleId="1045">
    <w:name w:val="font5"/>
    <w:basedOn w:val="1"/>
    <w:qFormat/>
    <w:uiPriority w:val="0"/>
    <w:pPr>
      <w:widowControl/>
      <w:spacing w:before="100" w:beforeAutospacing="1" w:after="100" w:afterAutospacing="1" w:line="240" w:lineRule="auto"/>
      <w:jc w:val="left"/>
    </w:pPr>
    <w:rPr>
      <w:rFonts w:ascii="宋体" w:hAnsi="宋体" w:cs="宋体"/>
      <w:kern w:val="0"/>
      <w:sz w:val="18"/>
      <w:szCs w:val="18"/>
    </w:rPr>
  </w:style>
  <w:style w:type="paragraph" w:customStyle="1" w:styleId="1046">
    <w:name w:val="p"/>
    <w:basedOn w:val="1"/>
    <w:qFormat/>
    <w:uiPriority w:val="0"/>
    <w:pPr>
      <w:widowControl/>
      <w:spacing w:line="525" w:lineRule="atLeast"/>
      <w:ind w:firstLine="375"/>
      <w:jc w:val="left"/>
    </w:pPr>
    <w:rPr>
      <w:kern w:val="0"/>
    </w:rPr>
  </w:style>
  <w:style w:type="paragraph" w:customStyle="1" w:styleId="1047">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cs="宋体"/>
      <w:kern w:val="0"/>
    </w:rPr>
  </w:style>
  <w:style w:type="paragraph" w:customStyle="1" w:styleId="1048">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kern w:val="0"/>
    </w:rPr>
  </w:style>
  <w:style w:type="paragraph" w:customStyle="1" w:styleId="1049">
    <w:name w:val="Normal_123"/>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50">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color w:val="000000"/>
      <w:kern w:val="0"/>
    </w:rPr>
  </w:style>
  <w:style w:type="paragraph" w:customStyle="1" w:styleId="1051">
    <w:name w:val="font0"/>
    <w:basedOn w:val="1"/>
    <w:qFormat/>
    <w:uiPriority w:val="0"/>
    <w:pPr>
      <w:widowControl/>
      <w:spacing w:before="100" w:beforeAutospacing="1" w:after="100" w:afterAutospacing="1" w:line="240" w:lineRule="auto"/>
      <w:jc w:val="left"/>
    </w:pPr>
    <w:rPr>
      <w:rFonts w:ascii="宋体" w:hAnsi="宋体" w:cs="宋体"/>
      <w:color w:val="000000"/>
      <w:kern w:val="0"/>
      <w:sz w:val="22"/>
      <w:szCs w:val="22"/>
    </w:rPr>
  </w:style>
  <w:style w:type="character" w:customStyle="1" w:styleId="1052">
    <w:name w:val="文档结构图 Char1"/>
    <w:semiHidden/>
    <w:qFormat/>
    <w:uiPriority w:val="99"/>
    <w:rPr>
      <w:rFonts w:ascii="宋体" w:hAnsi="Times New Roman"/>
      <w:kern w:val="2"/>
      <w:sz w:val="18"/>
      <w:szCs w:val="18"/>
    </w:rPr>
  </w:style>
  <w:style w:type="paragraph" w:customStyle="1" w:styleId="1053">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kern w:val="0"/>
      <w:sz w:val="21"/>
      <w:szCs w:val="21"/>
    </w:rPr>
  </w:style>
  <w:style w:type="paragraph" w:customStyle="1" w:styleId="1054">
    <w:name w:val="font21"/>
    <w:basedOn w:val="1"/>
    <w:qFormat/>
    <w:uiPriority w:val="0"/>
    <w:pPr>
      <w:widowControl/>
      <w:spacing w:before="100" w:beforeAutospacing="1" w:after="100" w:afterAutospacing="1" w:line="240" w:lineRule="auto"/>
      <w:jc w:val="left"/>
    </w:pPr>
    <w:rPr>
      <w:rFonts w:ascii="宋体" w:hAnsi="宋体" w:cs="宋体"/>
      <w:color w:val="000000"/>
      <w:kern w:val="0"/>
      <w:sz w:val="22"/>
      <w:szCs w:val="22"/>
    </w:rPr>
  </w:style>
  <w:style w:type="paragraph" w:customStyle="1" w:styleId="1055">
    <w:name w:val="Normal_33"/>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56">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kern w:val="0"/>
    </w:rPr>
  </w:style>
  <w:style w:type="paragraph" w:customStyle="1" w:styleId="1057">
    <w:name w:val="font22"/>
    <w:basedOn w:val="1"/>
    <w:qFormat/>
    <w:uiPriority w:val="0"/>
    <w:pPr>
      <w:widowControl/>
      <w:spacing w:before="100" w:beforeAutospacing="1" w:after="100" w:afterAutospacing="1" w:line="240" w:lineRule="auto"/>
      <w:jc w:val="left"/>
    </w:pPr>
    <w:rPr>
      <w:rFonts w:ascii="宋体" w:hAnsi="宋体" w:cs="宋体"/>
      <w:color w:val="000000"/>
      <w:kern w:val="0"/>
      <w:sz w:val="22"/>
      <w:szCs w:val="22"/>
    </w:rPr>
  </w:style>
  <w:style w:type="paragraph" w:customStyle="1" w:styleId="1058">
    <w:name w:val="Normal_124"/>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59">
    <w:name w:val="font15"/>
    <w:basedOn w:val="1"/>
    <w:qFormat/>
    <w:uiPriority w:val="0"/>
    <w:pPr>
      <w:widowControl/>
      <w:spacing w:before="100" w:beforeAutospacing="1" w:after="100" w:afterAutospacing="1" w:line="240" w:lineRule="auto"/>
      <w:jc w:val="left"/>
    </w:pPr>
    <w:rPr>
      <w:color w:val="000000"/>
      <w:kern w:val="0"/>
      <w:sz w:val="22"/>
      <w:szCs w:val="22"/>
    </w:rPr>
  </w:style>
  <w:style w:type="paragraph" w:customStyle="1" w:styleId="1060">
    <w:name w:val="Normal_22"/>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61">
    <w:name w:val="Normal_34"/>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62">
    <w:name w:val="font11"/>
    <w:basedOn w:val="1"/>
    <w:qFormat/>
    <w:uiPriority w:val="0"/>
    <w:pPr>
      <w:widowControl/>
      <w:spacing w:before="100" w:beforeAutospacing="1" w:after="100" w:afterAutospacing="1" w:line="240" w:lineRule="auto"/>
      <w:jc w:val="left"/>
    </w:pPr>
    <w:rPr>
      <w:rFonts w:ascii="宋体" w:hAnsi="宋体" w:cs="宋体"/>
      <w:kern w:val="0"/>
      <w:sz w:val="18"/>
      <w:szCs w:val="18"/>
    </w:rPr>
  </w:style>
  <w:style w:type="paragraph" w:customStyle="1" w:styleId="1063">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cs="宋体"/>
      <w:kern w:val="0"/>
    </w:rPr>
  </w:style>
  <w:style w:type="character" w:customStyle="1" w:styleId="1064">
    <w:name w:val="纯文本 Char1"/>
    <w:semiHidden/>
    <w:qFormat/>
    <w:uiPriority w:val="99"/>
    <w:rPr>
      <w:rFonts w:ascii="宋体" w:hAnsi="Courier New" w:cs="Courier New"/>
      <w:kern w:val="2"/>
      <w:sz w:val="21"/>
      <w:szCs w:val="21"/>
    </w:rPr>
  </w:style>
  <w:style w:type="paragraph" w:customStyle="1" w:styleId="1065">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kern w:val="0"/>
    </w:rPr>
  </w:style>
  <w:style w:type="paragraph" w:customStyle="1" w:styleId="1066">
    <w:name w:val="font18"/>
    <w:basedOn w:val="1"/>
    <w:qFormat/>
    <w:uiPriority w:val="0"/>
    <w:pPr>
      <w:widowControl/>
      <w:spacing w:before="100" w:beforeAutospacing="1" w:after="100" w:afterAutospacing="1" w:line="240" w:lineRule="auto"/>
      <w:jc w:val="left"/>
    </w:pPr>
    <w:rPr>
      <w:color w:val="000000"/>
      <w:kern w:val="0"/>
      <w:sz w:val="22"/>
      <w:szCs w:val="22"/>
    </w:rPr>
  </w:style>
  <w:style w:type="paragraph" w:customStyle="1" w:styleId="1067">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cs="宋体"/>
      <w:kern w:val="0"/>
    </w:rPr>
  </w:style>
  <w:style w:type="paragraph" w:customStyle="1" w:styleId="1068">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i/>
      <w:iCs/>
      <w:color w:val="000000"/>
      <w:kern w:val="0"/>
    </w:rPr>
  </w:style>
  <w:style w:type="paragraph" w:customStyle="1" w:styleId="1069">
    <w:name w:val="p20"/>
    <w:basedOn w:val="1"/>
    <w:qFormat/>
    <w:uiPriority w:val="0"/>
    <w:pPr>
      <w:widowControl/>
      <w:spacing w:line="240" w:lineRule="auto"/>
      <w:ind w:firstLine="420"/>
    </w:pPr>
    <w:rPr>
      <w:kern w:val="0"/>
      <w:sz w:val="21"/>
      <w:szCs w:val="21"/>
    </w:rPr>
  </w:style>
  <w:style w:type="paragraph" w:customStyle="1" w:styleId="1070">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cs="宋体"/>
      <w:kern w:val="0"/>
    </w:rPr>
  </w:style>
  <w:style w:type="paragraph" w:customStyle="1" w:styleId="1071">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cs="宋体"/>
      <w:kern w:val="0"/>
    </w:rPr>
  </w:style>
  <w:style w:type="paragraph" w:customStyle="1" w:styleId="1072">
    <w:name w:val="Normal_114"/>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73">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kern w:val="0"/>
    </w:rPr>
  </w:style>
  <w:style w:type="paragraph" w:customStyle="1" w:styleId="1074">
    <w:name w:val="Normal_122"/>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75">
    <w:name w:val="Normal_117"/>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76">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kern w:val="0"/>
    </w:rPr>
  </w:style>
  <w:style w:type="paragraph" w:customStyle="1" w:styleId="1077">
    <w:name w:val="Normal_112"/>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78">
    <w:name w:val="Normal_23"/>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79">
    <w:name w:val="Normal_118"/>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80">
    <w:name w:val="font13"/>
    <w:basedOn w:val="1"/>
    <w:qFormat/>
    <w:uiPriority w:val="0"/>
    <w:pPr>
      <w:widowControl/>
      <w:spacing w:before="100" w:beforeAutospacing="1" w:after="100" w:afterAutospacing="1" w:line="240" w:lineRule="auto"/>
      <w:jc w:val="left"/>
    </w:pPr>
    <w:rPr>
      <w:b/>
      <w:bCs/>
      <w:color w:val="000000"/>
      <w:kern w:val="0"/>
      <w:sz w:val="22"/>
      <w:szCs w:val="22"/>
    </w:rPr>
  </w:style>
  <w:style w:type="paragraph" w:customStyle="1" w:styleId="1081">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1082">
    <w:name w:val="font6"/>
    <w:basedOn w:val="1"/>
    <w:qFormat/>
    <w:uiPriority w:val="0"/>
    <w:pPr>
      <w:widowControl/>
      <w:spacing w:before="100" w:beforeAutospacing="1" w:after="100" w:afterAutospacing="1" w:line="240" w:lineRule="auto"/>
      <w:jc w:val="left"/>
    </w:pPr>
    <w:rPr>
      <w:rFonts w:ascii="宋体" w:hAnsi="宋体" w:cs="宋体"/>
      <w:kern w:val="0"/>
      <w:sz w:val="22"/>
      <w:szCs w:val="22"/>
    </w:rPr>
  </w:style>
  <w:style w:type="paragraph" w:customStyle="1" w:styleId="1083">
    <w:name w:val="font7"/>
    <w:basedOn w:val="1"/>
    <w:qFormat/>
    <w:uiPriority w:val="0"/>
    <w:pPr>
      <w:widowControl/>
      <w:spacing w:before="100" w:beforeAutospacing="1" w:after="100" w:afterAutospacing="1" w:line="240" w:lineRule="auto"/>
      <w:jc w:val="left"/>
    </w:pPr>
    <w:rPr>
      <w:rFonts w:ascii="宋体" w:hAnsi="宋体" w:cs="宋体"/>
      <w:b/>
      <w:bCs/>
      <w:kern w:val="0"/>
      <w:sz w:val="22"/>
      <w:szCs w:val="22"/>
    </w:rPr>
  </w:style>
  <w:style w:type="paragraph" w:customStyle="1" w:styleId="1084">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cs="宋体"/>
      <w:b/>
      <w:bCs/>
      <w:kern w:val="0"/>
    </w:rPr>
  </w:style>
  <w:style w:type="paragraph" w:customStyle="1" w:styleId="1085">
    <w:name w:val="w.1.1"/>
    <w:basedOn w:val="1"/>
    <w:qFormat/>
    <w:uiPriority w:val="0"/>
    <w:pPr>
      <w:widowControl/>
      <w:spacing w:beforeLines="50" w:afterLines="50" w:line="240" w:lineRule="auto"/>
      <w:jc w:val="left"/>
      <w:outlineLvl w:val="2"/>
    </w:pPr>
    <w:rPr>
      <w:rFonts w:eastAsia="黑体"/>
      <w:kern w:val="0"/>
      <w:sz w:val="21"/>
      <w:szCs w:val="21"/>
    </w:rPr>
  </w:style>
  <w:style w:type="paragraph" w:customStyle="1" w:styleId="1086">
    <w:name w:val="xl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b/>
      <w:bCs/>
      <w:kern w:val="0"/>
    </w:rPr>
  </w:style>
  <w:style w:type="paragraph" w:customStyle="1" w:styleId="1087">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1088">
    <w:name w:val="font17"/>
    <w:basedOn w:val="1"/>
    <w:qFormat/>
    <w:uiPriority w:val="0"/>
    <w:pPr>
      <w:widowControl/>
      <w:spacing w:before="100" w:beforeAutospacing="1" w:after="100" w:afterAutospacing="1" w:line="240" w:lineRule="auto"/>
      <w:jc w:val="left"/>
    </w:pPr>
    <w:rPr>
      <w:rFonts w:ascii="宋体" w:hAnsi="宋体" w:cs="宋体"/>
      <w:b/>
      <w:bCs/>
      <w:kern w:val="0"/>
      <w:sz w:val="22"/>
      <w:szCs w:val="22"/>
    </w:rPr>
  </w:style>
  <w:style w:type="paragraph" w:customStyle="1" w:styleId="1089">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i/>
      <w:iCs/>
      <w:color w:val="000000"/>
      <w:kern w:val="0"/>
    </w:rPr>
  </w:style>
  <w:style w:type="paragraph" w:customStyle="1" w:styleId="1090">
    <w:name w:val="xl76"/>
    <w:basedOn w:val="1"/>
    <w:qFormat/>
    <w:uiPriority w:val="0"/>
    <w:pPr>
      <w:widowControl/>
      <w:spacing w:before="100" w:beforeAutospacing="1" w:after="100" w:afterAutospacing="1" w:line="240" w:lineRule="auto"/>
      <w:jc w:val="left"/>
    </w:pPr>
    <w:rPr>
      <w:rFonts w:ascii="宋体" w:hAnsi="宋体" w:cs="宋体"/>
      <w:kern w:val="0"/>
    </w:rPr>
  </w:style>
  <w:style w:type="paragraph" w:customStyle="1" w:styleId="1091">
    <w:name w:val="font24"/>
    <w:basedOn w:val="1"/>
    <w:qFormat/>
    <w:uiPriority w:val="0"/>
    <w:pPr>
      <w:widowControl/>
      <w:spacing w:before="100" w:beforeAutospacing="1" w:after="100" w:afterAutospacing="1" w:line="240" w:lineRule="auto"/>
      <w:jc w:val="left"/>
    </w:pPr>
    <w:rPr>
      <w:rFonts w:ascii="宋体" w:hAnsi="宋体" w:cs="宋体"/>
      <w:color w:val="000000"/>
      <w:kern w:val="0"/>
      <w:sz w:val="22"/>
      <w:szCs w:val="22"/>
    </w:rPr>
  </w:style>
  <w:style w:type="paragraph" w:customStyle="1" w:styleId="1092">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color w:val="000000"/>
      <w:kern w:val="0"/>
    </w:rPr>
  </w:style>
  <w:style w:type="paragraph" w:customStyle="1" w:styleId="1093">
    <w:name w:val="w.1.1.1"/>
    <w:basedOn w:val="1"/>
    <w:qFormat/>
    <w:uiPriority w:val="0"/>
    <w:pPr>
      <w:widowControl/>
      <w:spacing w:beforeLines="50" w:afterLines="50" w:line="312" w:lineRule="atLeast"/>
      <w:jc w:val="left"/>
      <w:outlineLvl w:val="3"/>
    </w:pPr>
    <w:rPr>
      <w:rFonts w:eastAsia="黑体"/>
      <w:kern w:val="0"/>
      <w:sz w:val="21"/>
      <w:szCs w:val="21"/>
    </w:rPr>
  </w:style>
  <w:style w:type="paragraph" w:customStyle="1" w:styleId="1094">
    <w:name w:val="Normal_115"/>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95">
    <w:name w:val="xl95"/>
    <w:basedOn w:val="1"/>
    <w:qFormat/>
    <w:uiPriority w:val="0"/>
    <w:pPr>
      <w:widowControl/>
      <w:pBdr>
        <w:top w:val="single" w:color="auto" w:sz="4" w:space="0"/>
      </w:pBdr>
      <w:spacing w:before="100" w:beforeAutospacing="1" w:after="100" w:afterAutospacing="1" w:line="240" w:lineRule="auto"/>
      <w:jc w:val="left"/>
      <w:textAlignment w:val="center"/>
    </w:pPr>
    <w:rPr>
      <w:color w:val="000000"/>
      <w:kern w:val="0"/>
    </w:rPr>
  </w:style>
  <w:style w:type="paragraph" w:customStyle="1" w:styleId="1096">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b/>
      <w:bCs/>
      <w:kern w:val="0"/>
    </w:rPr>
  </w:style>
  <w:style w:type="paragraph" w:customStyle="1" w:styleId="1097">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1098">
    <w:name w:val="Normal_119"/>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99">
    <w:name w:val="Normal_116"/>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00">
    <w:name w:val="xl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kern w:val="0"/>
    </w:rPr>
  </w:style>
  <w:style w:type="paragraph" w:customStyle="1" w:styleId="1101">
    <w:name w:val="font9"/>
    <w:basedOn w:val="1"/>
    <w:qFormat/>
    <w:uiPriority w:val="0"/>
    <w:pPr>
      <w:widowControl/>
      <w:spacing w:before="100" w:beforeAutospacing="1" w:after="100" w:afterAutospacing="1" w:line="240" w:lineRule="auto"/>
      <w:jc w:val="left"/>
    </w:pPr>
    <w:rPr>
      <w:b/>
      <w:bCs/>
      <w:kern w:val="0"/>
      <w:sz w:val="22"/>
      <w:szCs w:val="22"/>
    </w:rPr>
  </w:style>
  <w:style w:type="paragraph" w:customStyle="1" w:styleId="1102">
    <w:name w:val="14p"/>
    <w:basedOn w:val="1"/>
    <w:qFormat/>
    <w:uiPriority w:val="0"/>
    <w:pPr>
      <w:widowControl/>
      <w:spacing w:before="100" w:beforeAutospacing="1" w:after="100" w:afterAutospacing="1" w:line="330" w:lineRule="atLeast"/>
      <w:jc w:val="left"/>
    </w:pPr>
    <w:rPr>
      <w:rFonts w:ascii="宋体" w:hAnsi="宋体"/>
      <w:kern w:val="0"/>
      <w:sz w:val="21"/>
      <w:szCs w:val="21"/>
    </w:rPr>
  </w:style>
  <w:style w:type="paragraph" w:customStyle="1" w:styleId="1103">
    <w:name w:val="font20"/>
    <w:basedOn w:val="1"/>
    <w:qFormat/>
    <w:uiPriority w:val="0"/>
    <w:pPr>
      <w:widowControl/>
      <w:spacing w:before="100" w:beforeAutospacing="1" w:after="100" w:afterAutospacing="1" w:line="240" w:lineRule="auto"/>
      <w:jc w:val="left"/>
    </w:pPr>
    <w:rPr>
      <w:rFonts w:ascii="宋体" w:hAnsi="宋体" w:cs="宋体"/>
      <w:kern w:val="0"/>
      <w:sz w:val="18"/>
      <w:szCs w:val="18"/>
    </w:rPr>
  </w:style>
  <w:style w:type="paragraph" w:customStyle="1" w:styleId="1104">
    <w:name w:val="Normal_26"/>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05">
    <w:name w:val="Normal_120"/>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06">
    <w:name w:val="Normal_24"/>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07">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cs="宋体"/>
      <w:kern w:val="0"/>
    </w:rPr>
  </w:style>
  <w:style w:type="paragraph" w:customStyle="1" w:styleId="1108">
    <w:name w:val="xl77"/>
    <w:basedOn w:val="1"/>
    <w:qFormat/>
    <w:uiPriority w:val="0"/>
    <w:pPr>
      <w:widowControl/>
      <w:spacing w:before="100" w:beforeAutospacing="1" w:after="100" w:afterAutospacing="1" w:line="240" w:lineRule="auto"/>
      <w:jc w:val="left"/>
    </w:pPr>
    <w:rPr>
      <w:rFonts w:ascii="宋体" w:hAnsi="宋体" w:cs="宋体"/>
      <w:kern w:val="0"/>
    </w:rPr>
  </w:style>
  <w:style w:type="paragraph" w:customStyle="1" w:styleId="1109">
    <w:name w:val="font10"/>
    <w:basedOn w:val="1"/>
    <w:qFormat/>
    <w:uiPriority w:val="0"/>
    <w:pPr>
      <w:widowControl/>
      <w:spacing w:before="100" w:beforeAutospacing="1" w:after="100" w:afterAutospacing="1" w:line="240" w:lineRule="auto"/>
      <w:jc w:val="left"/>
    </w:pPr>
    <w:rPr>
      <w:rFonts w:ascii="宋体" w:hAnsi="宋体" w:cs="宋体"/>
      <w:kern w:val="0"/>
      <w:sz w:val="18"/>
      <w:szCs w:val="18"/>
    </w:rPr>
  </w:style>
  <w:style w:type="paragraph" w:customStyle="1" w:styleId="1110">
    <w:name w:val="zh正文"/>
    <w:basedOn w:val="1"/>
    <w:qFormat/>
    <w:uiPriority w:val="99"/>
    <w:pPr>
      <w:numPr>
        <w:ilvl w:val="0"/>
        <w:numId w:val="2"/>
      </w:numPr>
      <w:tabs>
        <w:tab w:val="clear" w:pos="902"/>
      </w:tabs>
      <w:spacing w:line="360" w:lineRule="exact"/>
      <w:ind w:left="0" w:firstLine="560" w:firstLineChars="200"/>
    </w:pPr>
    <w:rPr>
      <w:rFonts w:ascii="宋体" w:hAnsi="宋体"/>
      <w:sz w:val="28"/>
      <w:szCs w:val="20"/>
    </w:rPr>
  </w:style>
  <w:style w:type="paragraph" w:customStyle="1" w:styleId="1111">
    <w:name w:val="图"/>
    <w:qFormat/>
    <w:uiPriority w:val="99"/>
    <w:pPr>
      <w:jc w:val="center"/>
    </w:pPr>
    <w:rPr>
      <w:rFonts w:ascii="宋体" w:hAnsi="宋体" w:eastAsia="等线" w:cs="Times New Roman"/>
      <w:kern w:val="2"/>
      <w:sz w:val="21"/>
      <w:szCs w:val="21"/>
      <w:lang w:val="en-US" w:eastAsia="zh-CN" w:bidi="ar-SA"/>
    </w:rPr>
  </w:style>
  <w:style w:type="paragraph" w:customStyle="1" w:styleId="1112">
    <w:name w:val="列出段落1"/>
    <w:basedOn w:val="1"/>
    <w:qFormat/>
    <w:uiPriority w:val="99"/>
    <w:pPr>
      <w:ind w:firstLine="420" w:firstLineChars="200"/>
    </w:pPr>
  </w:style>
  <w:style w:type="paragraph" w:customStyle="1" w:styleId="1113">
    <w:name w:val="陈标题1"/>
    <w:basedOn w:val="1"/>
    <w:next w:val="1"/>
    <w:qFormat/>
    <w:uiPriority w:val="0"/>
    <w:pPr>
      <w:numPr>
        <w:ilvl w:val="0"/>
        <w:numId w:val="3"/>
      </w:numPr>
      <w:spacing w:line="288" w:lineRule="auto"/>
      <w:outlineLvl w:val="0"/>
    </w:pPr>
    <w:rPr>
      <w:b/>
      <w:color w:val="000000"/>
      <w:sz w:val="32"/>
      <w:szCs w:val="32"/>
    </w:rPr>
  </w:style>
  <w:style w:type="paragraph" w:customStyle="1" w:styleId="1114">
    <w:name w:val="陈标题2"/>
    <w:basedOn w:val="1"/>
    <w:next w:val="1"/>
    <w:qFormat/>
    <w:uiPriority w:val="0"/>
    <w:pPr>
      <w:keepNext/>
      <w:keepLines/>
      <w:numPr>
        <w:ilvl w:val="1"/>
        <w:numId w:val="3"/>
      </w:numPr>
      <w:outlineLvl w:val="1"/>
    </w:pPr>
    <w:rPr>
      <w:b/>
      <w:color w:val="000000"/>
      <w:sz w:val="28"/>
      <w:szCs w:val="28"/>
    </w:rPr>
  </w:style>
  <w:style w:type="paragraph" w:customStyle="1" w:styleId="1115">
    <w:name w:val="陈标题3"/>
    <w:basedOn w:val="1"/>
    <w:next w:val="1"/>
    <w:link w:val="1116"/>
    <w:qFormat/>
    <w:uiPriority w:val="0"/>
    <w:pPr>
      <w:keepNext/>
      <w:keepLines/>
      <w:numPr>
        <w:ilvl w:val="2"/>
        <w:numId w:val="3"/>
      </w:numPr>
      <w:outlineLvl w:val="2"/>
    </w:pPr>
    <w:rPr>
      <w:b/>
      <w:color w:val="000000"/>
    </w:rPr>
  </w:style>
  <w:style w:type="character" w:customStyle="1" w:styleId="1116">
    <w:name w:val="陈标题3 Char"/>
    <w:link w:val="1115"/>
    <w:qFormat/>
    <w:uiPriority w:val="0"/>
    <w:rPr>
      <w:b/>
      <w:color w:val="000000"/>
      <w:kern w:val="2"/>
      <w:sz w:val="24"/>
      <w:szCs w:val="24"/>
    </w:rPr>
  </w:style>
  <w:style w:type="paragraph" w:customStyle="1" w:styleId="1117">
    <w:name w:val="陈标题4"/>
    <w:basedOn w:val="1"/>
    <w:next w:val="1"/>
    <w:qFormat/>
    <w:uiPriority w:val="0"/>
    <w:pPr>
      <w:keepNext/>
      <w:keepLines/>
      <w:numPr>
        <w:ilvl w:val="3"/>
        <w:numId w:val="3"/>
      </w:numPr>
      <w:ind w:left="0"/>
      <w:outlineLvl w:val="3"/>
    </w:pPr>
    <w:rPr>
      <w:b/>
      <w:color w:val="0070C0"/>
    </w:rPr>
  </w:style>
  <w:style w:type="paragraph" w:customStyle="1" w:styleId="1118">
    <w:name w:val="陈表头文字"/>
    <w:basedOn w:val="1"/>
    <w:next w:val="1"/>
    <w:qFormat/>
    <w:uiPriority w:val="0"/>
    <w:pPr>
      <w:keepNext/>
      <w:numPr>
        <w:ilvl w:val="5"/>
        <w:numId w:val="3"/>
      </w:numPr>
      <w:ind w:left="0"/>
      <w:jc w:val="center"/>
    </w:pPr>
    <w:rPr>
      <w:b/>
      <w:bCs/>
      <w:color w:val="000000"/>
    </w:rPr>
  </w:style>
  <w:style w:type="character" w:customStyle="1" w:styleId="1119">
    <w:name w:val="纯文本 字符"/>
    <w:qFormat/>
    <w:uiPriority w:val="0"/>
    <w:rPr>
      <w:rFonts w:ascii="宋体" w:hAnsi="Courier New"/>
      <w:kern w:val="2"/>
      <w:sz w:val="21"/>
    </w:rPr>
  </w:style>
  <w:style w:type="paragraph" w:customStyle="1" w:styleId="1120">
    <w:name w:val="报告书正文"/>
    <w:basedOn w:val="1"/>
    <w:link w:val="1121"/>
    <w:qFormat/>
    <w:uiPriority w:val="0"/>
    <w:pPr>
      <w:adjustRightInd w:val="0"/>
      <w:snapToGrid w:val="0"/>
      <w:spacing w:line="400" w:lineRule="atLeast"/>
      <w:ind w:firstLine="200" w:firstLineChars="200"/>
    </w:pPr>
    <w:rPr>
      <w:spacing w:val="6"/>
      <w:szCs w:val="20"/>
    </w:rPr>
  </w:style>
  <w:style w:type="character" w:customStyle="1" w:styleId="1121">
    <w:name w:val="报告书正文 Char"/>
    <w:link w:val="1120"/>
    <w:qFormat/>
    <w:locked/>
    <w:uiPriority w:val="0"/>
    <w:rPr>
      <w:rFonts w:ascii="Times New Roman" w:hAnsi="Times New Roman"/>
      <w:spacing w:val="6"/>
      <w:kern w:val="2"/>
      <w:sz w:val="24"/>
    </w:rPr>
  </w:style>
  <w:style w:type="paragraph" w:customStyle="1" w:styleId="1122">
    <w:name w:val="haydonli"/>
    <w:basedOn w:val="1"/>
    <w:link w:val="1123"/>
    <w:qFormat/>
    <w:uiPriority w:val="0"/>
    <w:pPr>
      <w:snapToGrid w:val="0"/>
      <w:ind w:firstLine="480" w:firstLineChars="200"/>
    </w:pPr>
    <w:rPr>
      <w:kern w:val="0"/>
    </w:rPr>
  </w:style>
  <w:style w:type="character" w:customStyle="1" w:styleId="1123">
    <w:name w:val="haydonli Char"/>
    <w:link w:val="1122"/>
    <w:qFormat/>
    <w:uiPriority w:val="0"/>
    <w:rPr>
      <w:rFonts w:ascii="Times New Roman" w:hAnsi="Times New Roman"/>
      <w:snapToGrid/>
      <w:sz w:val="24"/>
      <w:szCs w:val="24"/>
    </w:rPr>
  </w:style>
  <w:style w:type="character" w:customStyle="1" w:styleId="1124">
    <w:name w:val="标题 2 字符"/>
    <w:qFormat/>
    <w:uiPriority w:val="9"/>
    <w:rPr>
      <w:rFonts w:ascii="Cambria" w:hAnsi="Cambria" w:eastAsia="宋体" w:cs="Times New Roman"/>
      <w:b/>
      <w:bCs/>
      <w:kern w:val="2"/>
      <w:sz w:val="32"/>
      <w:szCs w:val="32"/>
    </w:rPr>
  </w:style>
  <w:style w:type="character" w:customStyle="1" w:styleId="1125">
    <w:name w:val="表格文字 Char"/>
    <w:link w:val="1126"/>
    <w:qFormat/>
    <w:uiPriority w:val="0"/>
    <w:rPr>
      <w:rFonts w:ascii="宋体" w:hAnsi="宋体"/>
    </w:rPr>
  </w:style>
  <w:style w:type="paragraph" w:customStyle="1" w:styleId="1126">
    <w:name w:val="表格文字"/>
    <w:link w:val="1125"/>
    <w:qFormat/>
    <w:uiPriority w:val="0"/>
    <w:pPr>
      <w:spacing w:line="400" w:lineRule="exact"/>
      <w:jc w:val="center"/>
    </w:pPr>
    <w:rPr>
      <w:rFonts w:ascii="宋体" w:hAnsi="宋体" w:eastAsia="宋体" w:cs="Times New Roman"/>
      <w:lang w:val="en-US" w:eastAsia="zh-CN" w:bidi="ar-SA"/>
    </w:rPr>
  </w:style>
  <w:style w:type="paragraph" w:customStyle="1" w:styleId="1127">
    <w:name w:val="+正文"/>
    <w:basedOn w:val="1"/>
    <w:qFormat/>
    <w:uiPriority w:val="0"/>
    <w:pPr>
      <w:spacing w:line="440" w:lineRule="exact"/>
      <w:ind w:firstLine="420" w:firstLineChars="200"/>
    </w:pPr>
    <w:rPr>
      <w:szCs w:val="28"/>
    </w:rPr>
  </w:style>
  <w:style w:type="paragraph" w:customStyle="1" w:styleId="1128">
    <w:name w:val="表体"/>
    <w:link w:val="1129"/>
    <w:qFormat/>
    <w:uiPriority w:val="0"/>
    <w:pPr>
      <w:spacing w:before="40" w:after="40"/>
      <w:jc w:val="center"/>
    </w:pPr>
    <w:rPr>
      <w:rFonts w:ascii="宋体" w:hAnsi="Times New Roman" w:eastAsia="宋体" w:cs="Times New Roman"/>
      <w:color w:val="000080"/>
      <w:kern w:val="2"/>
      <w:sz w:val="21"/>
      <w:szCs w:val="24"/>
      <w:lang w:val="en-US" w:eastAsia="zh-CN" w:bidi="ar-SA"/>
    </w:rPr>
  </w:style>
  <w:style w:type="character" w:customStyle="1" w:styleId="1129">
    <w:name w:val="表体 Char"/>
    <w:link w:val="1128"/>
    <w:qFormat/>
    <w:uiPriority w:val="0"/>
    <w:rPr>
      <w:rFonts w:ascii="宋体" w:hAnsi="Times New Roman"/>
      <w:color w:val="000080"/>
      <w:kern w:val="2"/>
      <w:sz w:val="21"/>
      <w:szCs w:val="24"/>
    </w:rPr>
  </w:style>
  <w:style w:type="paragraph" w:customStyle="1" w:styleId="1130">
    <w:name w:val="A正文"/>
    <w:basedOn w:val="1"/>
    <w:qFormat/>
    <w:uiPriority w:val="0"/>
    <w:pPr>
      <w:widowControl/>
      <w:ind w:firstLine="420" w:firstLineChars="200"/>
      <w:jc w:val="left"/>
    </w:pPr>
    <w:rPr>
      <w:kern w:val="0"/>
    </w:rPr>
  </w:style>
  <w:style w:type="table" w:customStyle="1" w:styleId="1131">
    <w:name w:val="网格型1"/>
    <w:basedOn w:val="47"/>
    <w:qFormat/>
    <w:uiPriority w:val="3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32">
    <w:name w:val="图表文字"/>
    <w:basedOn w:val="1"/>
    <w:qFormat/>
    <w:uiPriority w:val="0"/>
    <w:pPr>
      <w:spacing w:line="300" w:lineRule="exact"/>
      <w:jc w:val="center"/>
    </w:pPr>
    <w:rPr>
      <w:bCs/>
      <w:sz w:val="21"/>
      <w:szCs w:val="20"/>
    </w:rPr>
  </w:style>
  <w:style w:type="paragraph" w:customStyle="1" w:styleId="1133">
    <w:name w:val="1表格"/>
    <w:basedOn w:val="1"/>
    <w:qFormat/>
    <w:uiPriority w:val="0"/>
    <w:pPr>
      <w:adjustRightInd w:val="0"/>
      <w:snapToGrid w:val="0"/>
      <w:jc w:val="center"/>
      <w:textAlignment w:val="baseline"/>
    </w:pPr>
    <w:rPr>
      <w:rFonts w:ascii="宋体" w:hAnsi="宋体"/>
      <w:spacing w:val="4"/>
      <w:szCs w:val="20"/>
    </w:rPr>
  </w:style>
  <w:style w:type="paragraph" w:customStyle="1" w:styleId="1134">
    <w:name w:val="A表格"/>
    <w:basedOn w:val="1"/>
    <w:qFormat/>
    <w:uiPriority w:val="0"/>
    <w:pPr>
      <w:spacing w:line="240" w:lineRule="auto"/>
      <w:jc w:val="center"/>
    </w:pPr>
    <w:rPr>
      <w:sz w:val="21"/>
      <w:szCs w:val="21"/>
    </w:rPr>
  </w:style>
  <w:style w:type="character" w:customStyle="1" w:styleId="1135">
    <w:name w:val="批注框文本 字符"/>
    <w:qFormat/>
    <w:uiPriority w:val="0"/>
    <w:rPr>
      <w:rFonts w:ascii="Times New Roman" w:hAnsi="Times New Roman"/>
      <w:kern w:val="2"/>
      <w:sz w:val="18"/>
      <w:szCs w:val="18"/>
    </w:rPr>
  </w:style>
  <w:style w:type="character" w:customStyle="1" w:styleId="1136">
    <w:name w:val="批注文字 字符"/>
    <w:qFormat/>
    <w:uiPriority w:val="0"/>
    <w:rPr>
      <w:rFonts w:ascii="Times New Roman" w:hAnsi="Times New Roman"/>
      <w:kern w:val="2"/>
      <w:sz w:val="24"/>
      <w:szCs w:val="24"/>
    </w:rPr>
  </w:style>
  <w:style w:type="character" w:customStyle="1" w:styleId="1137">
    <w:name w:val="批注主题 字符"/>
    <w:qFormat/>
    <w:uiPriority w:val="0"/>
    <w:rPr>
      <w:rFonts w:ascii="Times New Roman" w:hAnsi="Times New Roman"/>
      <w:b/>
      <w:bCs/>
      <w:kern w:val="2"/>
      <w:sz w:val="24"/>
      <w:szCs w:val="24"/>
    </w:rPr>
  </w:style>
  <w:style w:type="character" w:customStyle="1" w:styleId="1138">
    <w:name w:val="标题 1 字符2"/>
    <w:qFormat/>
    <w:uiPriority w:val="0"/>
    <w:rPr>
      <w:rFonts w:ascii="黑体" w:hAnsi="黑体" w:eastAsia="黑体" w:cs="Times New Roman"/>
      <w:b/>
      <w:sz w:val="36"/>
      <w:szCs w:val="24"/>
    </w:rPr>
  </w:style>
  <w:style w:type="character" w:customStyle="1" w:styleId="1139">
    <w:name w:val="标题 2 字符2"/>
    <w:qFormat/>
    <w:uiPriority w:val="0"/>
    <w:rPr>
      <w:rFonts w:ascii="Cambria" w:hAnsi="Cambria" w:eastAsia="宋体" w:cs="Times New Roman"/>
      <w:b/>
      <w:bCs/>
      <w:kern w:val="2"/>
      <w:sz w:val="32"/>
      <w:szCs w:val="32"/>
    </w:rPr>
  </w:style>
  <w:style w:type="character" w:customStyle="1" w:styleId="1140">
    <w:name w:val="标题 3 字符"/>
    <w:qFormat/>
    <w:uiPriority w:val="0"/>
    <w:rPr>
      <w:rFonts w:ascii="Times New Roman" w:hAnsi="Times New Roman" w:eastAsia="宋体" w:cs="Times New Roman"/>
      <w:b/>
      <w:bCs/>
      <w:sz w:val="28"/>
      <w:szCs w:val="32"/>
    </w:rPr>
  </w:style>
  <w:style w:type="character" w:customStyle="1" w:styleId="1141">
    <w:name w:val="标题 4 字符"/>
    <w:qFormat/>
    <w:uiPriority w:val="0"/>
    <w:rPr>
      <w:rFonts w:ascii="Cambria" w:hAnsi="Cambria" w:eastAsia="宋体" w:cs="Times New Roman"/>
      <w:b/>
      <w:bCs/>
      <w:sz w:val="28"/>
      <w:szCs w:val="28"/>
    </w:rPr>
  </w:style>
  <w:style w:type="character" w:customStyle="1" w:styleId="1142">
    <w:name w:val="标题 5 字符"/>
    <w:qFormat/>
    <w:uiPriority w:val="0"/>
    <w:rPr>
      <w:rFonts w:ascii="Times New Roman" w:hAnsi="Times New Roman" w:eastAsia="宋体" w:cs="Times New Roman"/>
      <w:b/>
      <w:bCs/>
      <w:sz w:val="24"/>
      <w:szCs w:val="28"/>
    </w:rPr>
  </w:style>
  <w:style w:type="character" w:customStyle="1" w:styleId="1143">
    <w:name w:val="标题 6 字符"/>
    <w:qFormat/>
    <w:uiPriority w:val="0"/>
    <w:rPr>
      <w:rFonts w:ascii="Cambria" w:hAnsi="Cambria" w:eastAsia="宋体" w:cs="Times New Roman"/>
      <w:b/>
      <w:bCs/>
      <w:sz w:val="24"/>
      <w:szCs w:val="24"/>
    </w:rPr>
  </w:style>
  <w:style w:type="character" w:customStyle="1" w:styleId="1144">
    <w:name w:val="标题 7 字符"/>
    <w:qFormat/>
    <w:uiPriority w:val="0"/>
    <w:rPr>
      <w:rFonts w:ascii="Times New Roman" w:hAnsi="Times New Roman" w:eastAsia="宋体" w:cs="Times New Roman"/>
      <w:b/>
      <w:bCs/>
      <w:sz w:val="24"/>
      <w:szCs w:val="24"/>
    </w:rPr>
  </w:style>
  <w:style w:type="character" w:customStyle="1" w:styleId="1145">
    <w:name w:val="标题 8 字符"/>
    <w:qFormat/>
    <w:uiPriority w:val="0"/>
    <w:rPr>
      <w:rFonts w:ascii="Cambria" w:hAnsi="Cambria" w:eastAsia="宋体" w:cs="Times New Roman"/>
      <w:sz w:val="24"/>
      <w:szCs w:val="24"/>
    </w:rPr>
  </w:style>
  <w:style w:type="character" w:customStyle="1" w:styleId="1146">
    <w:name w:val="标题 9 字符"/>
    <w:qFormat/>
    <w:uiPriority w:val="0"/>
    <w:rPr>
      <w:rFonts w:ascii="Cambria" w:hAnsi="Cambria" w:eastAsia="宋体" w:cs="Times New Roman"/>
      <w:szCs w:val="21"/>
    </w:rPr>
  </w:style>
  <w:style w:type="paragraph" w:customStyle="1" w:styleId="1147">
    <w:name w:val="_Style 1148"/>
    <w:basedOn w:val="1"/>
    <w:next w:val="998"/>
    <w:qFormat/>
    <w:uiPriority w:val="99"/>
    <w:pPr>
      <w:spacing w:line="240" w:lineRule="auto"/>
      <w:ind w:firstLine="420" w:firstLineChars="200"/>
    </w:pPr>
    <w:rPr>
      <w:rFonts w:ascii="Calibri" w:hAnsi="Calibri"/>
      <w:sz w:val="21"/>
      <w:szCs w:val="22"/>
    </w:rPr>
  </w:style>
  <w:style w:type="character" w:customStyle="1" w:styleId="1148">
    <w:name w:val="注释标题 字符"/>
    <w:qFormat/>
    <w:uiPriority w:val="0"/>
    <w:rPr>
      <w:rFonts w:ascii="宋体" w:hAnsi="宋体" w:eastAsia="宋体" w:cs="Times New Roman"/>
      <w:color w:val="666600"/>
      <w:kern w:val="2"/>
      <w:sz w:val="21"/>
    </w:rPr>
  </w:style>
  <w:style w:type="character" w:customStyle="1" w:styleId="1149">
    <w:name w:val="正文缩进 字符1"/>
    <w:qFormat/>
    <w:uiPriority w:val="99"/>
    <w:rPr>
      <w:rFonts w:ascii="Times New Roman" w:hAnsi="Times New Roman" w:eastAsia="宋体" w:cs="Times New Roman"/>
      <w:kern w:val="2"/>
      <w:sz w:val="24"/>
      <w:szCs w:val="24"/>
    </w:rPr>
  </w:style>
  <w:style w:type="character" w:customStyle="1" w:styleId="1150">
    <w:name w:val="文档结构图 字符"/>
    <w:qFormat/>
    <w:uiPriority w:val="99"/>
    <w:rPr>
      <w:rFonts w:ascii="宋体"/>
      <w:kern w:val="2"/>
      <w:sz w:val="18"/>
      <w:szCs w:val="18"/>
    </w:rPr>
  </w:style>
  <w:style w:type="character" w:customStyle="1" w:styleId="1151">
    <w:name w:val="正文文本缩进 字符"/>
    <w:qFormat/>
    <w:uiPriority w:val="0"/>
    <w:rPr>
      <w:rFonts w:ascii="Times New Roman" w:hAnsi="Times New Roman" w:eastAsia="宋体" w:cs="Times New Roman"/>
      <w:kern w:val="2"/>
      <w:sz w:val="24"/>
      <w:szCs w:val="24"/>
    </w:rPr>
  </w:style>
  <w:style w:type="character" w:customStyle="1" w:styleId="1152">
    <w:name w:val="纯文本 字符1"/>
    <w:qFormat/>
    <w:uiPriority w:val="0"/>
    <w:rPr>
      <w:rFonts w:ascii="宋体" w:hAnsi="Courier New" w:cs="Courier New"/>
      <w:kern w:val="2"/>
      <w:sz w:val="21"/>
      <w:szCs w:val="21"/>
    </w:rPr>
  </w:style>
  <w:style w:type="character" w:customStyle="1" w:styleId="1153">
    <w:name w:val="日期 字符"/>
    <w:qFormat/>
    <w:uiPriority w:val="0"/>
    <w:rPr>
      <w:rFonts w:ascii="Times New Roman" w:hAnsi="Times New Roman"/>
      <w:kern w:val="2"/>
      <w:sz w:val="24"/>
      <w:szCs w:val="24"/>
    </w:rPr>
  </w:style>
  <w:style w:type="character" w:customStyle="1" w:styleId="1154">
    <w:name w:val="正文文本缩进 2 字符"/>
    <w:qFormat/>
    <w:uiPriority w:val="99"/>
    <w:rPr>
      <w:rFonts w:ascii="Calibri" w:hAnsi="Calibri" w:eastAsia="宋体" w:cs="黑体"/>
      <w:kern w:val="2"/>
      <w:sz w:val="21"/>
      <w:szCs w:val="21"/>
    </w:rPr>
  </w:style>
  <w:style w:type="character" w:customStyle="1" w:styleId="1155">
    <w:name w:val="页脚 字符1"/>
    <w:qFormat/>
    <w:uiPriority w:val="0"/>
    <w:rPr>
      <w:sz w:val="18"/>
      <w:szCs w:val="18"/>
    </w:rPr>
  </w:style>
  <w:style w:type="character" w:customStyle="1" w:styleId="1156">
    <w:name w:val="页眉 字符1"/>
    <w:qFormat/>
    <w:uiPriority w:val="0"/>
    <w:rPr>
      <w:sz w:val="18"/>
      <w:szCs w:val="18"/>
    </w:rPr>
  </w:style>
  <w:style w:type="character" w:customStyle="1" w:styleId="1157">
    <w:name w:val="正文文本缩进 3 字符"/>
    <w:qFormat/>
    <w:uiPriority w:val="0"/>
    <w:rPr>
      <w:rFonts w:ascii="Calibri" w:hAnsi="Calibri" w:eastAsia="宋体" w:cs="黑体"/>
      <w:kern w:val="2"/>
      <w:sz w:val="16"/>
      <w:szCs w:val="16"/>
    </w:rPr>
  </w:style>
  <w:style w:type="character" w:customStyle="1" w:styleId="1158">
    <w:name w:val="正文文本 2 字符"/>
    <w:qFormat/>
    <w:uiPriority w:val="99"/>
    <w:rPr>
      <w:rFonts w:ascii="Times New Roman" w:hAnsi="Times New Roman" w:eastAsia="宋体" w:cs="Times New Roman"/>
      <w:kern w:val="2"/>
      <w:sz w:val="24"/>
      <w:szCs w:val="24"/>
    </w:rPr>
  </w:style>
  <w:style w:type="character" w:customStyle="1" w:styleId="1159">
    <w:name w:val="正文文本首行缩进 字符"/>
    <w:qFormat/>
    <w:uiPriority w:val="99"/>
    <w:rPr>
      <w:rFonts w:ascii="Times New Roman" w:hAnsi="Times New Roman" w:eastAsia="宋体" w:cs="宋体"/>
      <w:kern w:val="2"/>
      <w:sz w:val="24"/>
      <w:szCs w:val="24"/>
    </w:rPr>
  </w:style>
  <w:style w:type="paragraph" w:customStyle="1" w:styleId="1160">
    <w:name w:val="表格表头"/>
    <w:basedOn w:val="1"/>
    <w:qFormat/>
    <w:uiPriority w:val="0"/>
    <w:pPr>
      <w:spacing w:beforeLines="50" w:line="240" w:lineRule="auto"/>
      <w:jc w:val="center"/>
    </w:pPr>
    <w:rPr>
      <w:rFonts w:eastAsia="仿宋_GB2312"/>
      <w:b/>
      <w:sz w:val="21"/>
      <w:szCs w:val="23"/>
    </w:rPr>
  </w:style>
  <w:style w:type="paragraph" w:customStyle="1" w:styleId="1161">
    <w:name w:val="Table Paragraph"/>
    <w:basedOn w:val="1"/>
    <w:qFormat/>
    <w:uiPriority w:val="1"/>
    <w:pPr>
      <w:autoSpaceDE w:val="0"/>
      <w:autoSpaceDN w:val="0"/>
      <w:spacing w:line="240" w:lineRule="auto"/>
      <w:jc w:val="left"/>
    </w:pPr>
    <w:rPr>
      <w:rFonts w:ascii="宋体" w:hAnsi="宋体" w:cs="宋体"/>
      <w:kern w:val="0"/>
      <w:sz w:val="22"/>
      <w:szCs w:val="22"/>
      <w:lang w:val="zh-CN" w:bidi="zh-CN"/>
    </w:rPr>
  </w:style>
  <w:style w:type="table" w:customStyle="1" w:styleId="1162">
    <w:name w:val="Table Normal"/>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character" w:customStyle="1" w:styleId="1163">
    <w:name w:val="Body text|1_"/>
    <w:link w:val="1164"/>
    <w:qFormat/>
    <w:uiPriority w:val="0"/>
    <w:rPr>
      <w:rFonts w:ascii="宋体" w:hAnsi="宋体" w:cs="宋体"/>
      <w:sz w:val="22"/>
      <w:szCs w:val="22"/>
      <w:lang w:val="zh-TW" w:eastAsia="zh-TW" w:bidi="zh-TW"/>
    </w:rPr>
  </w:style>
  <w:style w:type="paragraph" w:customStyle="1" w:styleId="1164">
    <w:name w:val="Body text|1"/>
    <w:basedOn w:val="1"/>
    <w:link w:val="1163"/>
    <w:qFormat/>
    <w:uiPriority w:val="0"/>
    <w:pPr>
      <w:spacing w:line="432" w:lineRule="auto"/>
      <w:ind w:firstLine="400"/>
      <w:jc w:val="left"/>
    </w:pPr>
    <w:rPr>
      <w:rFonts w:ascii="宋体" w:hAnsi="宋体" w:cs="宋体"/>
      <w:kern w:val="0"/>
      <w:sz w:val="22"/>
      <w:szCs w:val="22"/>
      <w:lang w:val="zh-TW" w:eastAsia="zh-TW" w:bidi="zh-TW"/>
    </w:rPr>
  </w:style>
  <w:style w:type="character" w:customStyle="1" w:styleId="1165">
    <w:name w:val="Table caption|1_"/>
    <w:link w:val="1166"/>
    <w:qFormat/>
    <w:uiPriority w:val="0"/>
    <w:rPr>
      <w:rFonts w:ascii="宋体" w:hAnsi="宋体" w:cs="宋体"/>
      <w:sz w:val="22"/>
      <w:szCs w:val="22"/>
      <w:lang w:val="zh-TW" w:eastAsia="zh-TW" w:bidi="zh-TW"/>
    </w:rPr>
  </w:style>
  <w:style w:type="paragraph" w:customStyle="1" w:styleId="1166">
    <w:name w:val="Table caption|1"/>
    <w:basedOn w:val="1"/>
    <w:link w:val="1165"/>
    <w:qFormat/>
    <w:uiPriority w:val="0"/>
    <w:pPr>
      <w:spacing w:line="240" w:lineRule="auto"/>
      <w:jc w:val="left"/>
    </w:pPr>
    <w:rPr>
      <w:rFonts w:ascii="宋体" w:hAnsi="宋体" w:cs="宋体"/>
      <w:kern w:val="0"/>
      <w:sz w:val="22"/>
      <w:szCs w:val="22"/>
      <w:lang w:val="zh-TW" w:eastAsia="zh-TW" w:bidi="zh-TW"/>
    </w:rPr>
  </w:style>
  <w:style w:type="character" w:customStyle="1" w:styleId="1167">
    <w:name w:val="Other|1_"/>
    <w:link w:val="1168"/>
    <w:qFormat/>
    <w:uiPriority w:val="0"/>
    <w:rPr>
      <w:rFonts w:ascii="宋体" w:hAnsi="宋体" w:cs="宋体"/>
      <w:sz w:val="22"/>
      <w:szCs w:val="22"/>
      <w:lang w:val="zh-TW" w:eastAsia="zh-TW" w:bidi="zh-TW"/>
    </w:rPr>
  </w:style>
  <w:style w:type="paragraph" w:customStyle="1" w:styleId="1168">
    <w:name w:val="Other|1"/>
    <w:basedOn w:val="1"/>
    <w:link w:val="1167"/>
    <w:qFormat/>
    <w:uiPriority w:val="0"/>
    <w:pPr>
      <w:spacing w:line="432" w:lineRule="auto"/>
      <w:ind w:firstLine="400"/>
      <w:jc w:val="left"/>
    </w:pPr>
    <w:rPr>
      <w:rFonts w:ascii="宋体" w:hAnsi="宋体" w:cs="宋体"/>
      <w:kern w:val="0"/>
      <w:sz w:val="22"/>
      <w:szCs w:val="22"/>
      <w:lang w:val="zh-TW" w:eastAsia="zh-TW" w:bidi="zh-TW"/>
    </w:rPr>
  </w:style>
  <w:style w:type="character" w:customStyle="1" w:styleId="1169">
    <w:name w:val="Picture caption|1_"/>
    <w:link w:val="1170"/>
    <w:qFormat/>
    <w:uiPriority w:val="0"/>
    <w:rPr>
      <w:rFonts w:ascii="宋体" w:hAnsi="宋体" w:cs="宋体"/>
      <w:lang w:val="zh-TW" w:eastAsia="zh-TW" w:bidi="zh-TW"/>
    </w:rPr>
  </w:style>
  <w:style w:type="paragraph" w:customStyle="1" w:styleId="1170">
    <w:name w:val="Picture caption|1"/>
    <w:basedOn w:val="1"/>
    <w:link w:val="1169"/>
    <w:qFormat/>
    <w:uiPriority w:val="0"/>
    <w:pPr>
      <w:spacing w:line="240" w:lineRule="auto"/>
      <w:jc w:val="left"/>
    </w:pPr>
    <w:rPr>
      <w:rFonts w:ascii="宋体" w:hAnsi="宋体" w:cs="宋体"/>
      <w:kern w:val="0"/>
      <w:sz w:val="20"/>
      <w:szCs w:val="20"/>
      <w:lang w:val="zh-TW" w:eastAsia="zh-TW" w:bidi="zh-TW"/>
    </w:rPr>
  </w:style>
  <w:style w:type="character" w:customStyle="1" w:styleId="1171">
    <w:name w:val="222 Char Char"/>
    <w:link w:val="1172"/>
    <w:qFormat/>
    <w:uiPriority w:val="0"/>
    <w:rPr>
      <w:kern w:val="2"/>
      <w:sz w:val="24"/>
      <w:szCs w:val="24"/>
    </w:rPr>
  </w:style>
  <w:style w:type="paragraph" w:customStyle="1" w:styleId="1172">
    <w:name w:val="222"/>
    <w:basedOn w:val="1"/>
    <w:link w:val="1171"/>
    <w:qFormat/>
    <w:uiPriority w:val="0"/>
    <w:pPr>
      <w:spacing w:afterLines="50"/>
      <w:ind w:firstLine="200" w:firstLineChars="200"/>
    </w:pPr>
  </w:style>
  <w:style w:type="character" w:customStyle="1" w:styleId="1173">
    <w:name w:val="表头 Char1"/>
    <w:qFormat/>
    <w:uiPriority w:val="0"/>
    <w:rPr>
      <w:rFonts w:eastAsia="黑体"/>
      <w:color w:val="000000"/>
      <w:sz w:val="24"/>
      <w:szCs w:val="24"/>
    </w:rPr>
  </w:style>
  <w:style w:type="table" w:customStyle="1" w:styleId="1174">
    <w:name w:val="网格型2"/>
    <w:basedOn w:val="47"/>
    <w:qFormat/>
    <w:uiPriority w:val="59"/>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75">
    <w:name w:val="表格"/>
    <w:basedOn w:val="6"/>
    <w:link w:val="1176"/>
    <w:qFormat/>
    <w:uiPriority w:val="0"/>
    <w:pPr>
      <w:adjustRightInd w:val="0"/>
      <w:snapToGrid w:val="0"/>
      <w:jc w:val="center"/>
    </w:pPr>
    <w:rPr>
      <w:b/>
      <w:kern w:val="2"/>
      <w:szCs w:val="21"/>
    </w:rPr>
  </w:style>
  <w:style w:type="character" w:customStyle="1" w:styleId="1176">
    <w:name w:val="表格 Char"/>
    <w:link w:val="1175"/>
    <w:qFormat/>
    <w:uiPriority w:val="0"/>
    <w:rPr>
      <w:b/>
      <w:kern w:val="2"/>
      <w:sz w:val="24"/>
      <w:szCs w:val="21"/>
    </w:rPr>
  </w:style>
  <w:style w:type="paragraph" w:customStyle="1" w:styleId="1177">
    <w:name w:val="TOC Heading"/>
    <w:basedOn w:val="5"/>
    <w:next w:val="1"/>
    <w:unhideWhenUsed/>
    <w:qFormat/>
    <w:uiPriority w:val="39"/>
    <w:pPr>
      <w:keepNext/>
      <w:keepLines/>
      <w:widowControl/>
      <w:numPr>
        <w:numId w:val="0"/>
      </w:numPr>
      <w:spacing w:before="240" w:line="259" w:lineRule="auto"/>
      <w:jc w:val="left"/>
      <w:outlineLvl w:val="9"/>
    </w:pPr>
    <w:rPr>
      <w:rFonts w:asciiTheme="majorHAnsi" w:hAnsiTheme="majorHAnsi" w:eastAsiaTheme="majorEastAsia" w:cstheme="majorBidi"/>
      <w:b w:val="0"/>
      <w:color w:val="2F5597" w:themeColor="accent1" w:themeShade="BF"/>
      <w:sz w:val="32"/>
      <w:szCs w:val="32"/>
    </w:rPr>
  </w:style>
  <w:style w:type="character" w:customStyle="1" w:styleId="1178">
    <w:name w:val="未处理的提及1"/>
    <w:basedOn w:val="49"/>
    <w:semiHidden/>
    <w:unhideWhenUsed/>
    <w:qFormat/>
    <w:uiPriority w:val="99"/>
    <w:rPr>
      <w:color w:val="605E5C"/>
      <w:shd w:val="clear" w:color="auto" w:fill="E1DFDD"/>
    </w:rPr>
  </w:style>
  <w:style w:type="paragraph" w:customStyle="1" w:styleId="1179">
    <w:name w:val="msonormal"/>
    <w:basedOn w:val="1"/>
    <w:qFormat/>
    <w:uiPriority w:val="0"/>
    <w:pPr>
      <w:widowControl/>
      <w:spacing w:before="100" w:beforeAutospacing="1" w:after="100" w:afterAutospacing="1" w:line="240" w:lineRule="auto"/>
      <w:jc w:val="left"/>
    </w:pPr>
    <w:rPr>
      <w:rFonts w:ascii="宋体" w:hAnsi="宋体" w:cs="宋体"/>
      <w:kern w:val="0"/>
    </w:rPr>
  </w:style>
  <w:style w:type="paragraph" w:customStyle="1" w:styleId="1180">
    <w:name w:val="xl63"/>
    <w:basedOn w:val="1"/>
    <w:qFormat/>
    <w:uiPriority w:val="0"/>
    <w:pPr>
      <w:widowControl/>
      <w:spacing w:before="100" w:beforeAutospacing="1" w:after="100" w:afterAutospacing="1" w:line="240" w:lineRule="auto"/>
      <w:jc w:val="left"/>
    </w:pPr>
    <w:rPr>
      <w:rFonts w:ascii="宋体" w:hAnsi="宋体" w:cs="宋体"/>
      <w:kern w:val="0"/>
      <w:sz w:val="18"/>
      <w:szCs w:val="18"/>
    </w:rPr>
  </w:style>
  <w:style w:type="paragraph" w:customStyle="1" w:styleId="1181">
    <w:name w:val="xl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82">
    <w:name w:val="xl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宋体" w:hAnsi="宋体" w:cs="宋体"/>
      <w:kern w:val="0"/>
    </w:rPr>
  </w:style>
  <w:style w:type="paragraph" w:customStyle="1" w:styleId="1183">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bottom"/>
    </w:pPr>
    <w:rPr>
      <w:rFonts w:ascii="黑体" w:hAnsi="黑体" w:eastAsia="黑体" w:cs="宋体"/>
      <w:b/>
      <w:bCs/>
      <w:kern w:val="0"/>
      <w:sz w:val="18"/>
      <w:szCs w:val="18"/>
    </w:rPr>
  </w:style>
  <w:style w:type="paragraph" w:customStyle="1" w:styleId="1184">
    <w:name w:val="xl10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bottom"/>
    </w:pPr>
    <w:rPr>
      <w:rFonts w:ascii="黑体" w:hAnsi="黑体" w:eastAsia="黑体" w:cs="宋体"/>
      <w:b/>
      <w:bCs/>
      <w:kern w:val="0"/>
      <w:sz w:val="18"/>
      <w:szCs w:val="18"/>
    </w:rPr>
  </w:style>
  <w:style w:type="paragraph" w:customStyle="1" w:styleId="1185">
    <w:name w:val="xl102"/>
    <w:basedOn w:val="1"/>
    <w:qFormat/>
    <w:uiPriority w:val="0"/>
    <w:pPr>
      <w:widowControl/>
      <w:pBdr>
        <w:top w:val="single" w:color="auto" w:sz="4" w:space="0"/>
        <w:left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86">
    <w:name w:val="xl103"/>
    <w:basedOn w:val="1"/>
    <w:qFormat/>
    <w:uiPriority w:val="0"/>
    <w:pPr>
      <w:widowControl/>
      <w:pBdr>
        <w:left w:val="single" w:color="auto" w:sz="4" w:space="0"/>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87">
    <w:name w:val="xl104"/>
    <w:basedOn w:val="1"/>
    <w:qFormat/>
    <w:uiPriority w:val="0"/>
    <w:pPr>
      <w:widowControl/>
      <w:pBdr>
        <w:top w:val="single" w:color="auto" w:sz="4" w:space="0"/>
        <w:lef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88">
    <w:name w:val="xl105"/>
    <w:basedOn w:val="1"/>
    <w:qFormat/>
    <w:uiPriority w:val="0"/>
    <w:pPr>
      <w:widowControl/>
      <w:pBdr>
        <w:top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89">
    <w:name w:val="xl106"/>
    <w:basedOn w:val="1"/>
    <w:qFormat/>
    <w:uiPriority w:val="0"/>
    <w:pPr>
      <w:widowControl/>
      <w:pBdr>
        <w:top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90">
    <w:name w:val="xl107"/>
    <w:basedOn w:val="1"/>
    <w:qFormat/>
    <w:uiPriority w:val="0"/>
    <w:pPr>
      <w:widowControl/>
      <w:pBdr>
        <w:left w:val="single" w:color="auto" w:sz="4" w:space="0"/>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91">
    <w:name w:val="xl108"/>
    <w:basedOn w:val="1"/>
    <w:qFormat/>
    <w:uiPriority w:val="0"/>
    <w:pPr>
      <w:widowControl/>
      <w:pBdr>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92">
    <w:name w:val="xl109"/>
    <w:basedOn w:val="1"/>
    <w:qFormat/>
    <w:uiPriority w:val="0"/>
    <w:pPr>
      <w:widowControl/>
      <w:pBdr>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93">
    <w:name w:val="xl110"/>
    <w:basedOn w:val="1"/>
    <w:qFormat/>
    <w:uiPriority w:val="0"/>
    <w:pPr>
      <w:widowControl/>
      <w:pBdr>
        <w:top w:val="single" w:color="auto" w:sz="4" w:space="0"/>
        <w:lef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94">
    <w:name w:val="xl111"/>
    <w:basedOn w:val="1"/>
    <w:qFormat/>
    <w:uiPriority w:val="0"/>
    <w:pPr>
      <w:widowControl/>
      <w:pBdr>
        <w:top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95">
    <w:name w:val="xl112"/>
    <w:basedOn w:val="1"/>
    <w:qFormat/>
    <w:uiPriority w:val="0"/>
    <w:pPr>
      <w:widowControl/>
      <w:pBdr>
        <w:left w:val="single" w:color="auto" w:sz="4" w:space="0"/>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96">
    <w:name w:val="xl113"/>
    <w:basedOn w:val="1"/>
    <w:qFormat/>
    <w:uiPriority w:val="0"/>
    <w:pPr>
      <w:widowControl/>
      <w:pBdr>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97">
    <w:name w:val="xl114"/>
    <w:basedOn w:val="1"/>
    <w:qFormat/>
    <w:uiPriority w:val="0"/>
    <w:pPr>
      <w:widowControl/>
      <w:pBdr>
        <w:top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98">
    <w:name w:val="xl115"/>
    <w:basedOn w:val="1"/>
    <w:qFormat/>
    <w:uiPriority w:val="0"/>
    <w:pPr>
      <w:widowControl/>
      <w:pBdr>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199">
    <w:name w:val="xl116"/>
    <w:basedOn w:val="1"/>
    <w:qFormat/>
    <w:uiPriority w:val="0"/>
    <w:pPr>
      <w:widowControl/>
      <w:pBdr>
        <w:lef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00">
    <w:name w:val="xl117"/>
    <w:basedOn w:val="1"/>
    <w:qFormat/>
    <w:uiPriority w:val="0"/>
    <w:pPr>
      <w:widowControl/>
      <w:pBdr>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01">
    <w:name w:val="xl118"/>
    <w:basedOn w:val="1"/>
    <w:qFormat/>
    <w:uiPriority w:val="0"/>
    <w:pPr>
      <w:widowControl/>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02">
    <w:name w:val="xl119"/>
    <w:basedOn w:val="1"/>
    <w:qFormat/>
    <w:uiPriority w:val="0"/>
    <w:pPr>
      <w:widowControl/>
      <w:pBdr>
        <w:left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03">
    <w:name w:val="xl120"/>
    <w:basedOn w:val="1"/>
    <w:qFormat/>
    <w:uiPriority w:val="0"/>
    <w:pPr>
      <w:widowControl/>
      <w:pBdr>
        <w:top w:val="single" w:color="auto" w:sz="4" w:space="0"/>
        <w:left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04">
    <w:name w:val="xl121"/>
    <w:basedOn w:val="1"/>
    <w:qFormat/>
    <w:uiPriority w:val="0"/>
    <w:pPr>
      <w:widowControl/>
      <w:pBdr>
        <w:left w:val="single" w:color="auto" w:sz="4" w:space="0"/>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05">
    <w:name w:val="xl122"/>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06">
    <w:name w:val="xl123"/>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07">
    <w:name w:val="xl124"/>
    <w:basedOn w:val="1"/>
    <w:qFormat/>
    <w:uiPriority w:val="0"/>
    <w:pPr>
      <w:widowControl/>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22"/>
      <w:szCs w:val="22"/>
    </w:rPr>
  </w:style>
  <w:style w:type="paragraph" w:customStyle="1" w:styleId="1208">
    <w:name w:val="xl125"/>
    <w:basedOn w:val="1"/>
    <w:qFormat/>
    <w:uiPriority w:val="0"/>
    <w:pPr>
      <w:widowControl/>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22"/>
      <w:szCs w:val="22"/>
    </w:rPr>
  </w:style>
  <w:style w:type="paragraph" w:customStyle="1" w:styleId="1209">
    <w:name w:val="xl126"/>
    <w:basedOn w:val="1"/>
    <w:qFormat/>
    <w:uiPriority w:val="0"/>
    <w:pPr>
      <w:widowControl/>
      <w:pBdr>
        <w:top w:val="single" w:color="auto" w:sz="4" w:space="0"/>
        <w:lef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10">
    <w:name w:val="xl127"/>
    <w:basedOn w:val="1"/>
    <w:qFormat/>
    <w:uiPriority w:val="0"/>
    <w:pPr>
      <w:widowControl/>
      <w:pBdr>
        <w:top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11">
    <w:name w:val="xl128"/>
    <w:basedOn w:val="1"/>
    <w:qFormat/>
    <w:uiPriority w:val="0"/>
    <w:pPr>
      <w:widowControl/>
      <w:pBdr>
        <w:top w:val="single" w:color="auto" w:sz="4" w:space="0"/>
        <w:right w:val="single" w:color="auto" w:sz="4" w:space="0"/>
      </w:pBdr>
      <w:spacing w:before="100" w:beforeAutospacing="1" w:after="100" w:afterAutospacing="1" w:line="240" w:lineRule="auto"/>
      <w:jc w:val="center"/>
    </w:pPr>
    <w:rPr>
      <w:rFonts w:ascii="宋体" w:hAnsi="宋体" w:cs="宋体"/>
      <w:kern w:val="0"/>
    </w:rPr>
  </w:style>
  <w:style w:type="paragraph" w:customStyle="1" w:styleId="1212">
    <w:name w:val="xl129"/>
    <w:basedOn w:val="1"/>
    <w:qFormat/>
    <w:uiPriority w:val="0"/>
    <w:pPr>
      <w:widowControl/>
      <w:pBdr>
        <w:left w:val="single" w:color="auto" w:sz="4" w:space="0"/>
      </w:pBdr>
      <w:spacing w:before="100" w:beforeAutospacing="1" w:after="100" w:afterAutospacing="1" w:line="240" w:lineRule="auto"/>
      <w:jc w:val="center"/>
    </w:pPr>
    <w:rPr>
      <w:rFonts w:ascii="宋体" w:hAnsi="宋体" w:cs="宋体"/>
      <w:kern w:val="0"/>
    </w:rPr>
  </w:style>
  <w:style w:type="paragraph" w:customStyle="1" w:styleId="1213">
    <w:name w:val="xl130"/>
    <w:basedOn w:val="1"/>
    <w:qFormat/>
    <w:uiPriority w:val="0"/>
    <w:pPr>
      <w:widowControl/>
      <w:spacing w:before="100" w:beforeAutospacing="1" w:after="100" w:afterAutospacing="1" w:line="240" w:lineRule="auto"/>
      <w:jc w:val="center"/>
    </w:pPr>
    <w:rPr>
      <w:rFonts w:ascii="宋体" w:hAnsi="宋体" w:cs="宋体"/>
      <w:kern w:val="0"/>
    </w:rPr>
  </w:style>
  <w:style w:type="paragraph" w:customStyle="1" w:styleId="1214">
    <w:name w:val="xl131"/>
    <w:basedOn w:val="1"/>
    <w:qFormat/>
    <w:uiPriority w:val="0"/>
    <w:pPr>
      <w:widowControl/>
      <w:pBdr>
        <w:right w:val="single" w:color="auto" w:sz="4" w:space="0"/>
      </w:pBdr>
      <w:spacing w:before="100" w:beforeAutospacing="1" w:after="100" w:afterAutospacing="1" w:line="240" w:lineRule="auto"/>
      <w:jc w:val="center"/>
    </w:pPr>
    <w:rPr>
      <w:rFonts w:ascii="宋体" w:hAnsi="宋体" w:cs="宋体"/>
      <w:kern w:val="0"/>
    </w:rPr>
  </w:style>
  <w:style w:type="paragraph" w:customStyle="1" w:styleId="1215">
    <w:name w:val="xl132"/>
    <w:basedOn w:val="1"/>
    <w:qFormat/>
    <w:uiPriority w:val="0"/>
    <w:pPr>
      <w:widowControl/>
      <w:pBdr>
        <w:left w:val="single" w:color="auto" w:sz="4" w:space="0"/>
        <w:bottom w:val="single" w:color="auto" w:sz="4" w:space="0"/>
      </w:pBdr>
      <w:spacing w:before="100" w:beforeAutospacing="1" w:after="100" w:afterAutospacing="1" w:line="240" w:lineRule="auto"/>
      <w:jc w:val="center"/>
    </w:pPr>
    <w:rPr>
      <w:rFonts w:ascii="宋体" w:hAnsi="宋体" w:cs="宋体"/>
      <w:kern w:val="0"/>
    </w:rPr>
  </w:style>
  <w:style w:type="paragraph" w:customStyle="1" w:styleId="1216">
    <w:name w:val="xl133"/>
    <w:basedOn w:val="1"/>
    <w:qFormat/>
    <w:uiPriority w:val="0"/>
    <w:pPr>
      <w:widowControl/>
      <w:pBdr>
        <w:bottom w:val="single" w:color="auto" w:sz="4" w:space="0"/>
      </w:pBdr>
      <w:spacing w:before="100" w:beforeAutospacing="1" w:after="100" w:afterAutospacing="1" w:line="240" w:lineRule="auto"/>
      <w:jc w:val="center"/>
    </w:pPr>
    <w:rPr>
      <w:rFonts w:ascii="宋体" w:hAnsi="宋体" w:cs="宋体"/>
      <w:kern w:val="0"/>
    </w:rPr>
  </w:style>
  <w:style w:type="paragraph" w:customStyle="1" w:styleId="1217">
    <w:name w:val="xl134"/>
    <w:basedOn w:val="1"/>
    <w:qFormat/>
    <w:uiPriority w:val="0"/>
    <w:pPr>
      <w:widowControl/>
      <w:pBdr>
        <w:bottom w:val="single" w:color="auto" w:sz="4" w:space="0"/>
        <w:right w:val="single" w:color="auto" w:sz="4" w:space="0"/>
      </w:pBdr>
      <w:spacing w:before="100" w:beforeAutospacing="1" w:after="100" w:afterAutospacing="1" w:line="240" w:lineRule="auto"/>
      <w:jc w:val="center"/>
    </w:pPr>
    <w:rPr>
      <w:rFonts w:ascii="宋体" w:hAnsi="宋体" w:cs="宋体"/>
      <w:kern w:val="0"/>
    </w:rPr>
  </w:style>
  <w:style w:type="paragraph" w:customStyle="1" w:styleId="1218">
    <w:name w:val="xl135"/>
    <w:basedOn w:val="1"/>
    <w:qFormat/>
    <w:uiPriority w:val="0"/>
    <w:pPr>
      <w:widowControl/>
      <w:pBdr>
        <w:top w:val="single" w:color="auto" w:sz="4" w:space="0"/>
        <w:lef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19">
    <w:name w:val="xl136"/>
    <w:basedOn w:val="1"/>
    <w:qFormat/>
    <w:uiPriority w:val="0"/>
    <w:pPr>
      <w:widowControl/>
      <w:pBdr>
        <w:top w:val="single" w:color="auto" w:sz="4" w:space="0"/>
        <w:right w:val="single" w:color="auto" w:sz="4" w:space="0"/>
      </w:pBdr>
      <w:spacing w:before="100" w:beforeAutospacing="1" w:after="100" w:afterAutospacing="1" w:line="240" w:lineRule="auto"/>
      <w:jc w:val="center"/>
    </w:pPr>
    <w:rPr>
      <w:rFonts w:ascii="宋体" w:hAnsi="宋体" w:cs="宋体"/>
      <w:kern w:val="0"/>
    </w:rPr>
  </w:style>
  <w:style w:type="paragraph" w:customStyle="1" w:styleId="1220">
    <w:name w:val="xl137"/>
    <w:basedOn w:val="1"/>
    <w:qFormat/>
    <w:uiPriority w:val="0"/>
    <w:pPr>
      <w:widowControl/>
      <w:pBdr>
        <w:left w:val="single" w:color="auto" w:sz="4" w:space="0"/>
      </w:pBdr>
      <w:spacing w:before="100" w:beforeAutospacing="1" w:after="100" w:afterAutospacing="1" w:line="240" w:lineRule="auto"/>
      <w:jc w:val="center"/>
    </w:pPr>
    <w:rPr>
      <w:rFonts w:ascii="宋体" w:hAnsi="宋体" w:cs="宋体"/>
      <w:kern w:val="0"/>
    </w:rPr>
  </w:style>
  <w:style w:type="paragraph" w:customStyle="1" w:styleId="1221">
    <w:name w:val="xl138"/>
    <w:basedOn w:val="1"/>
    <w:qFormat/>
    <w:uiPriority w:val="0"/>
    <w:pPr>
      <w:widowControl/>
      <w:pBdr>
        <w:right w:val="single" w:color="auto" w:sz="4" w:space="0"/>
      </w:pBdr>
      <w:spacing w:before="100" w:beforeAutospacing="1" w:after="100" w:afterAutospacing="1" w:line="240" w:lineRule="auto"/>
      <w:jc w:val="center"/>
    </w:pPr>
    <w:rPr>
      <w:rFonts w:ascii="宋体" w:hAnsi="宋体" w:cs="宋体"/>
      <w:kern w:val="0"/>
    </w:rPr>
  </w:style>
  <w:style w:type="paragraph" w:customStyle="1" w:styleId="1222">
    <w:name w:val="xl139"/>
    <w:basedOn w:val="1"/>
    <w:qFormat/>
    <w:uiPriority w:val="0"/>
    <w:pPr>
      <w:widowControl/>
      <w:pBdr>
        <w:left w:val="single" w:color="auto" w:sz="4" w:space="0"/>
        <w:bottom w:val="single" w:color="auto" w:sz="4" w:space="0"/>
      </w:pBdr>
      <w:spacing w:before="100" w:beforeAutospacing="1" w:after="100" w:afterAutospacing="1" w:line="240" w:lineRule="auto"/>
      <w:jc w:val="left"/>
    </w:pPr>
    <w:rPr>
      <w:rFonts w:ascii="宋体" w:hAnsi="宋体" w:cs="宋体"/>
      <w:kern w:val="0"/>
    </w:rPr>
  </w:style>
  <w:style w:type="paragraph" w:customStyle="1" w:styleId="1223">
    <w:name w:val="xl140"/>
    <w:basedOn w:val="1"/>
    <w:qFormat/>
    <w:uiPriority w:val="0"/>
    <w:pPr>
      <w:widowControl/>
      <w:pBdr>
        <w:bottom w:val="single" w:color="auto" w:sz="4" w:space="0"/>
        <w:right w:val="single" w:color="auto" w:sz="4" w:space="0"/>
      </w:pBdr>
      <w:spacing w:before="100" w:beforeAutospacing="1" w:after="100" w:afterAutospacing="1" w:line="240" w:lineRule="auto"/>
      <w:jc w:val="left"/>
    </w:pPr>
    <w:rPr>
      <w:rFonts w:ascii="宋体" w:hAnsi="宋体" w:cs="宋体"/>
      <w:kern w:val="0"/>
    </w:rPr>
  </w:style>
  <w:style w:type="paragraph" w:customStyle="1" w:styleId="1224">
    <w:name w:val="xl141"/>
    <w:basedOn w:val="1"/>
    <w:qFormat/>
    <w:uiPriority w:val="0"/>
    <w:pPr>
      <w:widowControl/>
      <w:pBdr>
        <w:top w:val="single" w:color="auto" w:sz="4" w:space="0"/>
        <w:left w:val="single" w:color="auto" w:sz="4" w:space="0"/>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25">
    <w:name w:val="xl142"/>
    <w:basedOn w:val="1"/>
    <w:qFormat/>
    <w:uiPriority w:val="0"/>
    <w:pPr>
      <w:widowControl/>
      <w:pBdr>
        <w:top w:val="single" w:color="auto" w:sz="4" w:space="0"/>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26">
    <w:name w:val="xl143"/>
    <w:basedOn w:val="1"/>
    <w:qFormat/>
    <w:uiPriority w:val="0"/>
    <w:pPr>
      <w:widowControl/>
      <w:pBdr>
        <w:top w:val="single" w:color="auto" w:sz="4" w:space="0"/>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27">
    <w:name w:val="xl144"/>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28">
    <w:name w:val="xl145"/>
    <w:basedOn w:val="1"/>
    <w:qFormat/>
    <w:uiPriority w:val="0"/>
    <w:pPr>
      <w:widowControl/>
      <w:pBdr>
        <w:top w:val="single" w:color="auto" w:sz="4" w:space="0"/>
        <w:bottom w:val="single" w:color="auto" w:sz="4" w:space="0"/>
      </w:pBdr>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29">
    <w:name w:val="xl146"/>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30">
    <w:name w:val="xl14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pPr>
    <w:rPr>
      <w:rFonts w:ascii="宋体" w:hAnsi="宋体" w:cs="宋体"/>
      <w:kern w:val="0"/>
    </w:rPr>
  </w:style>
  <w:style w:type="paragraph" w:customStyle="1" w:styleId="1231">
    <w:name w:val="xl148"/>
    <w:basedOn w:val="1"/>
    <w:qFormat/>
    <w:uiPriority w:val="0"/>
    <w:pPr>
      <w:widowControl/>
      <w:pBdr>
        <w:top w:val="single" w:color="auto" w:sz="4" w:space="0"/>
        <w:bottom w:val="single" w:color="auto" w:sz="4" w:space="0"/>
      </w:pBdr>
      <w:spacing w:before="100" w:beforeAutospacing="1" w:after="100" w:afterAutospacing="1" w:line="240" w:lineRule="auto"/>
      <w:jc w:val="center"/>
    </w:pPr>
    <w:rPr>
      <w:rFonts w:ascii="宋体" w:hAnsi="宋体" w:cs="宋体"/>
      <w:kern w:val="0"/>
    </w:rPr>
  </w:style>
  <w:style w:type="paragraph" w:customStyle="1" w:styleId="1232">
    <w:name w:val="xl149"/>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pPr>
    <w:rPr>
      <w:rFonts w:ascii="宋体" w:hAnsi="宋体" w:cs="宋体"/>
      <w:kern w:val="0"/>
    </w:rPr>
  </w:style>
  <w:style w:type="paragraph" w:customStyle="1" w:styleId="1233">
    <w:name w:val="xl150"/>
    <w:basedOn w:val="1"/>
    <w:qFormat/>
    <w:uiPriority w:val="0"/>
    <w:pPr>
      <w:widowControl/>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jc w:val="left"/>
    </w:pPr>
    <w:rPr>
      <w:rFonts w:ascii="黑体" w:hAnsi="黑体" w:eastAsia="黑体" w:cs="宋体"/>
      <w:b/>
      <w:bCs/>
      <w:kern w:val="0"/>
      <w:sz w:val="22"/>
      <w:szCs w:val="22"/>
    </w:rPr>
  </w:style>
  <w:style w:type="paragraph" w:customStyle="1" w:styleId="1234">
    <w:name w:val="xl151"/>
    <w:basedOn w:val="1"/>
    <w:qFormat/>
    <w:uiPriority w:val="0"/>
    <w:pPr>
      <w:widowControl/>
      <w:pBdr>
        <w:top w:val="single" w:color="auto" w:sz="4" w:space="0"/>
        <w:left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22"/>
      <w:szCs w:val="22"/>
    </w:rPr>
  </w:style>
  <w:style w:type="paragraph" w:customStyle="1" w:styleId="1235">
    <w:name w:val="xl152"/>
    <w:basedOn w:val="1"/>
    <w:qFormat/>
    <w:uiPriority w:val="0"/>
    <w:pPr>
      <w:widowControl/>
      <w:pBdr>
        <w:left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22"/>
      <w:szCs w:val="22"/>
    </w:rPr>
  </w:style>
  <w:style w:type="paragraph" w:customStyle="1" w:styleId="1236">
    <w:name w:val="xl153"/>
    <w:basedOn w:val="1"/>
    <w:qFormat/>
    <w:uiPriority w:val="0"/>
    <w:pPr>
      <w:widowControl/>
      <w:pBdr>
        <w:left w:val="single" w:color="auto" w:sz="4" w:space="0"/>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22"/>
      <w:szCs w:val="22"/>
    </w:rPr>
  </w:style>
  <w:style w:type="paragraph" w:customStyle="1" w:styleId="1237">
    <w:name w:val="xl154"/>
    <w:basedOn w:val="1"/>
    <w:qFormat/>
    <w:uiPriority w:val="0"/>
    <w:pPr>
      <w:widowControl/>
      <w:pBdr>
        <w:top w:val="single" w:color="auto" w:sz="4" w:space="0"/>
        <w:left w:val="single" w:color="auto" w:sz="4" w:space="0"/>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22"/>
      <w:szCs w:val="22"/>
    </w:rPr>
  </w:style>
  <w:style w:type="paragraph" w:customStyle="1" w:styleId="1238">
    <w:name w:val="xl155"/>
    <w:basedOn w:val="1"/>
    <w:qFormat/>
    <w:uiPriority w:val="0"/>
    <w:pPr>
      <w:widowControl/>
      <w:pBdr>
        <w:top w:val="single" w:color="auto" w:sz="4" w:space="0"/>
        <w:left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22"/>
      <w:szCs w:val="22"/>
    </w:rPr>
  </w:style>
  <w:style w:type="paragraph" w:customStyle="1" w:styleId="1239">
    <w:name w:val="xl156"/>
    <w:basedOn w:val="1"/>
    <w:qFormat/>
    <w:uiPriority w:val="0"/>
    <w:pPr>
      <w:widowControl/>
      <w:pBdr>
        <w:left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22"/>
      <w:szCs w:val="22"/>
    </w:rPr>
  </w:style>
  <w:style w:type="paragraph" w:customStyle="1" w:styleId="1240">
    <w:name w:val="xl157"/>
    <w:basedOn w:val="1"/>
    <w:qFormat/>
    <w:uiPriority w:val="0"/>
    <w:pPr>
      <w:widowControl/>
      <w:pBdr>
        <w:top w:val="single" w:color="auto" w:sz="4" w:space="0"/>
        <w:left w:val="single" w:color="auto" w:sz="4" w:space="0"/>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41">
    <w:name w:val="xl158"/>
    <w:basedOn w:val="1"/>
    <w:qFormat/>
    <w:uiPriority w:val="0"/>
    <w:pPr>
      <w:widowControl/>
      <w:pBdr>
        <w:top w:val="single" w:color="auto" w:sz="4" w:space="0"/>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42">
    <w:name w:val="xl159"/>
    <w:basedOn w:val="1"/>
    <w:qFormat/>
    <w:uiPriority w:val="0"/>
    <w:pPr>
      <w:widowControl/>
      <w:pBdr>
        <w:top w:val="single" w:color="auto" w:sz="4" w:space="0"/>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43">
    <w:name w:val="xl160"/>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left"/>
    </w:pPr>
    <w:rPr>
      <w:rFonts w:ascii="黑体" w:hAnsi="黑体" w:eastAsia="黑体" w:cs="宋体"/>
      <w:kern w:val="0"/>
      <w:sz w:val="18"/>
      <w:szCs w:val="18"/>
    </w:rPr>
  </w:style>
  <w:style w:type="paragraph" w:customStyle="1" w:styleId="1244">
    <w:name w:val="xl161"/>
    <w:basedOn w:val="1"/>
    <w:qFormat/>
    <w:uiPriority w:val="0"/>
    <w:pPr>
      <w:widowControl/>
      <w:pBdr>
        <w:top w:val="single" w:color="auto" w:sz="4" w:space="0"/>
        <w:bottom w:val="single" w:color="auto" w:sz="4" w:space="0"/>
      </w:pBdr>
      <w:spacing w:before="100" w:beforeAutospacing="1" w:after="100" w:afterAutospacing="1" w:line="240" w:lineRule="auto"/>
      <w:jc w:val="left"/>
    </w:pPr>
    <w:rPr>
      <w:rFonts w:ascii="黑体" w:hAnsi="黑体" w:eastAsia="黑体" w:cs="宋体"/>
      <w:kern w:val="0"/>
      <w:sz w:val="18"/>
      <w:szCs w:val="18"/>
    </w:rPr>
  </w:style>
  <w:style w:type="paragraph" w:customStyle="1" w:styleId="1245">
    <w:name w:val="xl162"/>
    <w:basedOn w:val="1"/>
    <w:qFormat/>
    <w:uiPriority w:val="0"/>
    <w:pPr>
      <w:widowControl/>
      <w:pBdr>
        <w:top w:val="single" w:color="auto" w:sz="4" w:space="0"/>
        <w:bottom w:val="single" w:color="auto" w:sz="4" w:space="0"/>
      </w:pBdr>
      <w:spacing w:before="100" w:beforeAutospacing="1" w:after="100" w:afterAutospacing="1" w:line="240" w:lineRule="auto"/>
      <w:jc w:val="left"/>
    </w:pPr>
    <w:rPr>
      <w:rFonts w:ascii="黑体" w:hAnsi="黑体" w:eastAsia="黑体" w:cs="宋体"/>
      <w:kern w:val="0"/>
    </w:rPr>
  </w:style>
  <w:style w:type="paragraph" w:customStyle="1" w:styleId="1246">
    <w:name w:val="xl163"/>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left"/>
    </w:pPr>
    <w:rPr>
      <w:rFonts w:ascii="黑体" w:hAnsi="黑体" w:eastAsia="黑体" w:cs="宋体"/>
      <w:kern w:val="0"/>
    </w:rPr>
  </w:style>
  <w:style w:type="paragraph" w:customStyle="1" w:styleId="1247">
    <w:name w:val="xl164"/>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left"/>
    </w:pPr>
    <w:rPr>
      <w:rFonts w:ascii="黑体" w:hAnsi="黑体" w:eastAsia="黑体" w:cs="宋体"/>
      <w:kern w:val="0"/>
      <w:sz w:val="18"/>
      <w:szCs w:val="18"/>
    </w:rPr>
  </w:style>
  <w:style w:type="paragraph" w:customStyle="1" w:styleId="1248">
    <w:name w:val="xl165"/>
    <w:basedOn w:val="1"/>
    <w:qFormat/>
    <w:uiPriority w:val="0"/>
    <w:pPr>
      <w:widowControl/>
      <w:pBdr>
        <w:top w:val="single" w:color="auto" w:sz="4" w:space="0"/>
        <w:left w:val="single" w:color="auto" w:sz="4" w:space="0"/>
        <w:bottom w:val="single" w:color="auto" w:sz="4" w:space="0"/>
      </w:pBdr>
      <w:shd w:val="clear" w:color="000000" w:fill="BFBFBF"/>
      <w:spacing w:before="100" w:beforeAutospacing="1" w:after="100" w:afterAutospacing="1" w:line="240" w:lineRule="auto"/>
      <w:jc w:val="center"/>
      <w:textAlignment w:val="top"/>
    </w:pPr>
    <w:rPr>
      <w:rFonts w:ascii="黑体" w:hAnsi="黑体" w:eastAsia="黑体" w:cs="宋体"/>
      <w:b/>
      <w:bCs/>
      <w:kern w:val="0"/>
      <w:sz w:val="18"/>
      <w:szCs w:val="18"/>
    </w:rPr>
  </w:style>
  <w:style w:type="paragraph" w:customStyle="1" w:styleId="1249">
    <w:name w:val="xl166"/>
    <w:basedOn w:val="1"/>
    <w:qFormat/>
    <w:uiPriority w:val="0"/>
    <w:pPr>
      <w:widowControl/>
      <w:pBdr>
        <w:top w:val="single" w:color="auto" w:sz="4" w:space="0"/>
        <w:bottom w:val="single" w:color="auto" w:sz="4" w:space="0"/>
      </w:pBdr>
      <w:shd w:val="clear" w:color="000000" w:fill="BFBFBF"/>
      <w:spacing w:before="100" w:beforeAutospacing="1" w:after="100" w:afterAutospacing="1" w:line="240" w:lineRule="auto"/>
      <w:jc w:val="center"/>
      <w:textAlignment w:val="top"/>
    </w:pPr>
    <w:rPr>
      <w:rFonts w:ascii="黑体" w:hAnsi="黑体" w:eastAsia="黑体" w:cs="宋体"/>
      <w:b/>
      <w:bCs/>
      <w:kern w:val="0"/>
      <w:sz w:val="18"/>
      <w:szCs w:val="18"/>
    </w:rPr>
  </w:style>
  <w:style w:type="paragraph" w:customStyle="1" w:styleId="1250">
    <w:name w:val="xl167"/>
    <w:basedOn w:val="1"/>
    <w:qFormat/>
    <w:uiPriority w:val="0"/>
    <w:pPr>
      <w:widowControl/>
      <w:pBdr>
        <w:top w:val="single" w:color="auto" w:sz="4" w:space="0"/>
        <w:bottom w:val="single" w:color="auto" w:sz="4" w:space="0"/>
        <w:right w:val="single" w:color="auto" w:sz="4" w:space="0"/>
      </w:pBdr>
      <w:shd w:val="clear" w:color="000000" w:fill="BFBFBF"/>
      <w:spacing w:before="100" w:beforeAutospacing="1" w:after="100" w:afterAutospacing="1" w:line="240" w:lineRule="auto"/>
      <w:jc w:val="center"/>
      <w:textAlignment w:val="top"/>
    </w:pPr>
    <w:rPr>
      <w:rFonts w:ascii="黑体" w:hAnsi="黑体" w:eastAsia="黑体" w:cs="宋体"/>
      <w:b/>
      <w:bCs/>
      <w:kern w:val="0"/>
      <w:sz w:val="18"/>
      <w:szCs w:val="18"/>
    </w:rPr>
  </w:style>
  <w:style w:type="paragraph" w:customStyle="1" w:styleId="1251">
    <w:name w:val="xl168"/>
    <w:basedOn w:val="1"/>
    <w:qFormat/>
    <w:uiPriority w:val="0"/>
    <w:pPr>
      <w:widowControl/>
      <w:pBdr>
        <w:top w:val="single" w:color="auto" w:sz="4" w:space="0"/>
        <w:left w:val="single" w:color="auto" w:sz="4" w:space="0"/>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52">
    <w:name w:val="xl169"/>
    <w:basedOn w:val="1"/>
    <w:qFormat/>
    <w:uiPriority w:val="0"/>
    <w:pPr>
      <w:widowControl/>
      <w:pBdr>
        <w:top w:val="single" w:color="auto" w:sz="4" w:space="0"/>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53">
    <w:name w:val="xl170"/>
    <w:basedOn w:val="1"/>
    <w:qFormat/>
    <w:uiPriority w:val="0"/>
    <w:pPr>
      <w:widowControl/>
      <w:pBdr>
        <w:top w:val="single" w:color="auto" w:sz="4" w:space="0"/>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54">
    <w:name w:val="xl1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黑体" w:hAnsi="黑体" w:eastAsia="黑体" w:cs="宋体"/>
      <w:kern w:val="0"/>
      <w:sz w:val="18"/>
      <w:szCs w:val="18"/>
    </w:rPr>
  </w:style>
  <w:style w:type="paragraph" w:customStyle="1" w:styleId="1255">
    <w:name w:val="xl1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黑体" w:hAnsi="黑体" w:eastAsia="黑体" w:cs="宋体"/>
      <w:kern w:val="0"/>
    </w:rPr>
  </w:style>
  <w:style w:type="paragraph" w:customStyle="1" w:styleId="1256">
    <w:name w:val="xl173"/>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57">
    <w:name w:val="xl174"/>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58">
    <w:name w:val="xl175"/>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pPr>
    <w:rPr>
      <w:kern w:val="0"/>
    </w:rPr>
  </w:style>
  <w:style w:type="paragraph" w:customStyle="1" w:styleId="1259">
    <w:name w:val="xl176"/>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pPr>
    <w:rPr>
      <w:kern w:val="0"/>
    </w:rPr>
  </w:style>
  <w:style w:type="paragraph" w:customStyle="1" w:styleId="1260">
    <w:name w:val="xl17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61">
    <w:name w:val="xl17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62">
    <w:name w:val="xl1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黑体" w:hAnsi="黑体" w:eastAsia="黑体" w:cs="宋体"/>
      <w:kern w:val="0"/>
    </w:rPr>
  </w:style>
  <w:style w:type="paragraph" w:customStyle="1" w:styleId="1263">
    <w:name w:val="xl1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kern w:val="0"/>
    </w:rPr>
  </w:style>
  <w:style w:type="paragraph" w:customStyle="1" w:styleId="1264">
    <w:name w:val="xl181"/>
    <w:basedOn w:val="1"/>
    <w:qFormat/>
    <w:uiPriority w:val="0"/>
    <w:pPr>
      <w:widowControl/>
      <w:pBdr>
        <w:left w:val="single" w:color="auto" w:sz="4" w:space="0"/>
        <w:right w:val="single" w:color="auto" w:sz="4" w:space="0"/>
      </w:pBdr>
      <w:spacing w:before="100" w:beforeAutospacing="1" w:after="100" w:afterAutospacing="1" w:line="240" w:lineRule="auto"/>
      <w:jc w:val="center"/>
    </w:pPr>
    <w:rPr>
      <w:rFonts w:ascii="宋体" w:hAnsi="宋体" w:cs="宋体"/>
      <w:kern w:val="0"/>
    </w:rPr>
  </w:style>
  <w:style w:type="paragraph" w:customStyle="1" w:styleId="1265">
    <w:name w:val="xl182"/>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宋体" w:hAnsi="宋体" w:cs="宋体"/>
      <w:kern w:val="0"/>
    </w:rPr>
  </w:style>
  <w:style w:type="paragraph" w:customStyle="1" w:styleId="1266">
    <w:name w:val="xl183"/>
    <w:basedOn w:val="1"/>
    <w:qFormat/>
    <w:uiPriority w:val="0"/>
    <w:pPr>
      <w:widowControl/>
      <w:pBdr>
        <w:top w:val="single" w:color="auto" w:sz="4" w:space="0"/>
        <w:left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67">
    <w:name w:val="xl184"/>
    <w:basedOn w:val="1"/>
    <w:qFormat/>
    <w:uiPriority w:val="0"/>
    <w:pPr>
      <w:widowControl/>
      <w:pBdr>
        <w:top w:val="single" w:color="auto" w:sz="4" w:space="0"/>
      </w:pBdr>
      <w:spacing w:before="100" w:beforeAutospacing="1" w:after="100" w:afterAutospacing="1" w:line="240" w:lineRule="auto"/>
      <w:jc w:val="left"/>
    </w:pPr>
    <w:rPr>
      <w:rFonts w:ascii="宋体" w:hAnsi="宋体" w:cs="宋体"/>
      <w:kern w:val="0"/>
    </w:rPr>
  </w:style>
  <w:style w:type="paragraph" w:customStyle="1" w:styleId="1268">
    <w:name w:val="xl185"/>
    <w:basedOn w:val="1"/>
    <w:qFormat/>
    <w:uiPriority w:val="0"/>
    <w:pPr>
      <w:widowControl/>
      <w:pBdr>
        <w:top w:val="single" w:color="auto" w:sz="4" w:space="0"/>
        <w:right w:val="single" w:color="auto" w:sz="4" w:space="0"/>
      </w:pBdr>
      <w:spacing w:before="100" w:beforeAutospacing="1" w:after="100" w:afterAutospacing="1" w:line="240" w:lineRule="auto"/>
      <w:jc w:val="left"/>
    </w:pPr>
    <w:rPr>
      <w:rFonts w:ascii="宋体" w:hAnsi="宋体" w:cs="宋体"/>
      <w:kern w:val="0"/>
    </w:rPr>
  </w:style>
  <w:style w:type="paragraph" w:customStyle="1" w:styleId="1269">
    <w:name w:val="xl186"/>
    <w:basedOn w:val="1"/>
    <w:qFormat/>
    <w:uiPriority w:val="0"/>
    <w:pPr>
      <w:widowControl/>
      <w:pBdr>
        <w:left w:val="single" w:color="auto" w:sz="4" w:space="0"/>
      </w:pBdr>
      <w:spacing w:before="100" w:beforeAutospacing="1" w:after="100" w:afterAutospacing="1" w:line="240" w:lineRule="auto"/>
      <w:jc w:val="left"/>
    </w:pPr>
    <w:rPr>
      <w:rFonts w:ascii="宋体" w:hAnsi="宋体" w:cs="宋体"/>
      <w:kern w:val="0"/>
    </w:rPr>
  </w:style>
  <w:style w:type="paragraph" w:customStyle="1" w:styleId="1270">
    <w:name w:val="xl187"/>
    <w:basedOn w:val="1"/>
    <w:qFormat/>
    <w:uiPriority w:val="0"/>
    <w:pPr>
      <w:widowControl/>
      <w:pBdr>
        <w:right w:val="single" w:color="auto" w:sz="4" w:space="0"/>
      </w:pBdr>
      <w:spacing w:before="100" w:beforeAutospacing="1" w:after="100" w:afterAutospacing="1" w:line="240" w:lineRule="auto"/>
      <w:jc w:val="left"/>
    </w:pPr>
    <w:rPr>
      <w:rFonts w:ascii="宋体" w:hAnsi="宋体" w:cs="宋体"/>
      <w:kern w:val="0"/>
    </w:rPr>
  </w:style>
  <w:style w:type="paragraph" w:customStyle="1" w:styleId="1271">
    <w:name w:val="xl188"/>
    <w:basedOn w:val="1"/>
    <w:qFormat/>
    <w:uiPriority w:val="0"/>
    <w:pPr>
      <w:widowControl/>
      <w:pBdr>
        <w:bottom w:val="single" w:color="auto" w:sz="4" w:space="0"/>
      </w:pBdr>
      <w:spacing w:before="100" w:beforeAutospacing="1" w:after="100" w:afterAutospacing="1" w:line="240" w:lineRule="auto"/>
      <w:jc w:val="left"/>
    </w:pPr>
    <w:rPr>
      <w:rFonts w:ascii="宋体" w:hAnsi="宋体" w:cs="宋体"/>
      <w:kern w:val="0"/>
    </w:rPr>
  </w:style>
  <w:style w:type="paragraph" w:customStyle="1" w:styleId="1272">
    <w:name w:val="xl189"/>
    <w:basedOn w:val="1"/>
    <w:qFormat/>
    <w:uiPriority w:val="0"/>
    <w:pPr>
      <w:widowControl/>
      <w:pBdr>
        <w:top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73">
    <w:name w:val="xl190"/>
    <w:basedOn w:val="1"/>
    <w:qFormat/>
    <w:uiPriority w:val="0"/>
    <w:pPr>
      <w:widowControl/>
      <w:pBdr>
        <w:left w:val="single" w:color="auto" w:sz="4" w:space="0"/>
        <w:bottom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74">
    <w:name w:val="xl191"/>
    <w:basedOn w:val="1"/>
    <w:qFormat/>
    <w:uiPriority w:val="0"/>
    <w:pPr>
      <w:widowControl/>
      <w:pBdr>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75">
    <w:name w:val="xl1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76">
    <w:name w:val="xl1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黑体" w:hAnsi="黑体" w:eastAsia="黑体" w:cs="宋体"/>
      <w:kern w:val="0"/>
    </w:rPr>
  </w:style>
  <w:style w:type="paragraph" w:customStyle="1" w:styleId="1277">
    <w:name w:val="xl1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78">
    <w:name w:val="xl195"/>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79">
    <w:name w:val="xl196"/>
    <w:basedOn w:val="1"/>
    <w:qFormat/>
    <w:uiPriority w:val="0"/>
    <w:pPr>
      <w:widowControl/>
      <w:pBdr>
        <w:top w:val="single" w:color="auto" w:sz="4" w:space="0"/>
        <w:bottom w:val="single" w:color="auto" w:sz="4" w:space="0"/>
      </w:pBdr>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80">
    <w:name w:val="xl197"/>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81">
    <w:name w:val="xl198"/>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82">
    <w:name w:val="xl199"/>
    <w:basedOn w:val="1"/>
    <w:qFormat/>
    <w:uiPriority w:val="0"/>
    <w:pPr>
      <w:widowControl/>
      <w:pBdr>
        <w:top w:val="single" w:color="auto" w:sz="4" w:space="0"/>
        <w:bottom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83">
    <w:name w:val="xl20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84">
    <w:name w:val="xl201"/>
    <w:basedOn w:val="1"/>
    <w:qFormat/>
    <w:uiPriority w:val="0"/>
    <w:pPr>
      <w:widowControl/>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jc w:val="center"/>
    </w:pPr>
    <w:rPr>
      <w:rFonts w:ascii="黑体" w:hAnsi="黑体" w:eastAsia="黑体" w:cs="宋体"/>
      <w:kern w:val="0"/>
    </w:rPr>
  </w:style>
  <w:style w:type="paragraph" w:customStyle="1" w:styleId="1285">
    <w:name w:val="xl2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color w:val="FF0000"/>
      <w:kern w:val="0"/>
      <w:sz w:val="18"/>
      <w:szCs w:val="18"/>
    </w:rPr>
  </w:style>
  <w:style w:type="paragraph" w:customStyle="1" w:styleId="1286">
    <w:name w:val="xl203"/>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87">
    <w:name w:val="xl204"/>
    <w:basedOn w:val="1"/>
    <w:qFormat/>
    <w:uiPriority w:val="0"/>
    <w:pPr>
      <w:widowControl/>
      <w:pBdr>
        <w:top w:val="single" w:color="auto" w:sz="4" w:space="0"/>
        <w:bottom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88">
    <w:name w:val="xl205"/>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89">
    <w:name w:val="xl2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90">
    <w:name w:val="xl207"/>
    <w:basedOn w:val="1"/>
    <w:qFormat/>
    <w:uiPriority w:val="0"/>
    <w:pPr>
      <w:widowControl/>
      <w:pBdr>
        <w:top w:val="single" w:color="auto" w:sz="4" w:space="0"/>
        <w:lef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91">
    <w:name w:val="xl208"/>
    <w:basedOn w:val="1"/>
    <w:qFormat/>
    <w:uiPriority w:val="0"/>
    <w:pPr>
      <w:widowControl/>
      <w:pBdr>
        <w:left w:val="single" w:color="auto" w:sz="4" w:space="0"/>
      </w:pBdr>
      <w:spacing w:before="100" w:beforeAutospacing="1" w:after="100" w:afterAutospacing="1" w:line="240" w:lineRule="auto"/>
      <w:jc w:val="center"/>
    </w:pPr>
    <w:rPr>
      <w:rFonts w:ascii="黑体" w:hAnsi="黑体" w:eastAsia="黑体" w:cs="宋体"/>
      <w:kern w:val="0"/>
      <w:sz w:val="18"/>
      <w:szCs w:val="18"/>
    </w:rPr>
  </w:style>
  <w:style w:type="paragraph" w:customStyle="1" w:styleId="1292">
    <w:name w:val="xl209"/>
    <w:basedOn w:val="1"/>
    <w:qFormat/>
    <w:uiPriority w:val="0"/>
    <w:pPr>
      <w:widowControl/>
      <w:pBdr>
        <w:lef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93">
    <w:name w:val="xl210"/>
    <w:basedOn w:val="1"/>
    <w:qFormat/>
    <w:uiPriority w:val="0"/>
    <w:pPr>
      <w:widowControl/>
      <w:pBdr>
        <w:right w:val="single" w:color="auto" w:sz="4" w:space="0"/>
      </w:pBdr>
      <w:shd w:val="clear" w:color="000000" w:fill="BFBFBF"/>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94">
    <w:name w:val="xl211"/>
    <w:basedOn w:val="1"/>
    <w:qFormat/>
    <w:uiPriority w:val="0"/>
    <w:pPr>
      <w:widowControl/>
      <w:spacing w:before="100" w:beforeAutospacing="1" w:after="100" w:afterAutospacing="1" w:line="240" w:lineRule="auto"/>
      <w:jc w:val="center"/>
    </w:pPr>
    <w:rPr>
      <w:rFonts w:ascii="黑体" w:hAnsi="黑体" w:eastAsia="黑体" w:cs="宋体"/>
      <w:b/>
      <w:bCs/>
      <w:kern w:val="0"/>
      <w:sz w:val="18"/>
      <w:szCs w:val="18"/>
    </w:rPr>
  </w:style>
  <w:style w:type="paragraph" w:customStyle="1" w:styleId="1295">
    <w:name w:val="xl212"/>
    <w:basedOn w:val="1"/>
    <w:qFormat/>
    <w:uiPriority w:val="0"/>
    <w:pPr>
      <w:widowControl/>
      <w:spacing w:before="100" w:beforeAutospacing="1" w:after="100" w:afterAutospacing="1" w:line="240" w:lineRule="auto"/>
      <w:jc w:val="center"/>
    </w:pPr>
    <w:rPr>
      <w:rFonts w:ascii="黑体" w:hAnsi="黑体" w:eastAsia="黑体" w:cs="宋体"/>
      <w:kern w:val="0"/>
      <w:sz w:val="18"/>
      <w:szCs w:val="18"/>
    </w:rPr>
  </w:style>
  <w:style w:type="paragraph" w:customStyle="1" w:styleId="1296">
    <w:name w:val="xl213"/>
    <w:basedOn w:val="1"/>
    <w:qFormat/>
    <w:uiPriority w:val="0"/>
    <w:pPr>
      <w:widowControl/>
      <w:spacing w:before="100" w:beforeAutospacing="1" w:after="100" w:afterAutospacing="1" w:line="240" w:lineRule="auto"/>
      <w:jc w:val="left"/>
    </w:pPr>
    <w:rPr>
      <w:rFonts w:ascii="黑体" w:hAnsi="黑体" w:eastAsia="黑体" w:cs="宋体"/>
      <w:kern w:val="0"/>
      <w:sz w:val="18"/>
      <w:szCs w:val="18"/>
    </w:rPr>
  </w:style>
  <w:style w:type="paragraph" w:customStyle="1" w:styleId="1297">
    <w:name w:val="xl214"/>
    <w:basedOn w:val="1"/>
    <w:qFormat/>
    <w:uiPriority w:val="0"/>
    <w:pPr>
      <w:widowControl/>
      <w:spacing w:before="100" w:beforeAutospacing="1" w:after="100" w:afterAutospacing="1" w:line="240" w:lineRule="auto"/>
      <w:jc w:val="center"/>
    </w:pPr>
    <w:rPr>
      <w:rFonts w:ascii="宋体" w:hAnsi="宋体" w:cs="宋体"/>
      <w:b/>
      <w:bCs/>
      <w:kern w:val="0"/>
      <w:sz w:val="32"/>
      <w:szCs w:val="32"/>
    </w:rPr>
  </w:style>
  <w:style w:type="character" w:customStyle="1" w:styleId="1298">
    <w:name w:val="表格文字 QJJ Char Char"/>
    <w:link w:val="1299"/>
    <w:qFormat/>
    <w:uiPriority w:val="0"/>
    <w:rPr>
      <w:rFonts w:ascii="宋体" w:hAnsi="Arial" w:cs="Arial"/>
      <w:bCs/>
      <w:sz w:val="21"/>
      <w:szCs w:val="21"/>
    </w:rPr>
  </w:style>
  <w:style w:type="paragraph" w:customStyle="1" w:styleId="1299">
    <w:name w:val="表格文字 QJJ"/>
    <w:basedOn w:val="1"/>
    <w:link w:val="1298"/>
    <w:qFormat/>
    <w:uiPriority w:val="0"/>
    <w:pPr>
      <w:keepLines/>
      <w:widowControl/>
      <w:adjustRightInd w:val="0"/>
      <w:snapToGrid w:val="0"/>
      <w:spacing w:line="240" w:lineRule="exact"/>
      <w:ind w:firstLine="200" w:firstLineChars="200"/>
      <w:jc w:val="center"/>
    </w:pPr>
    <w:rPr>
      <w:rFonts w:ascii="宋体" w:hAnsi="Arial" w:cs="Arial"/>
      <w:bCs/>
      <w:kern w:val="0"/>
      <w:sz w:val="21"/>
      <w:szCs w:val="21"/>
    </w:rPr>
  </w:style>
  <w:style w:type="paragraph" w:customStyle="1" w:styleId="1300">
    <w:name w:val="表格名称"/>
    <w:basedOn w:val="1"/>
    <w:qFormat/>
    <w:uiPriority w:val="0"/>
    <w:pPr>
      <w:adjustRightInd w:val="0"/>
      <w:spacing w:line="240" w:lineRule="auto"/>
      <w:ind w:firstLine="0" w:firstLineChars="0"/>
      <w:jc w:val="center"/>
      <w:textAlignment w:val="baseline"/>
    </w:pPr>
    <w:rPr>
      <w:rFonts w:ascii="黑体" w:hAnsi="黑体" w:eastAsia="黑体"/>
      <w:kern w:val="0"/>
      <w:sz w:val="21"/>
      <w:szCs w:val="21"/>
    </w:rPr>
  </w:style>
  <w:style w:type="paragraph" w:customStyle="1" w:styleId="1301">
    <w:name w:val="WPSOffice手动目录 1"/>
    <w:uiPriority w:val="0"/>
    <w:pPr>
      <w:ind w:leftChars="0"/>
    </w:pPr>
    <w:rPr>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76.wmf"/><Relationship Id="rId98" Type="http://schemas.openxmlformats.org/officeDocument/2006/relationships/oleObject" Target="embeddings/oleObject6.bin"/><Relationship Id="rId97" Type="http://schemas.openxmlformats.org/officeDocument/2006/relationships/image" Target="media/image75.wmf"/><Relationship Id="rId96" Type="http://schemas.openxmlformats.org/officeDocument/2006/relationships/oleObject" Target="embeddings/oleObject5.bin"/><Relationship Id="rId95" Type="http://schemas.openxmlformats.org/officeDocument/2006/relationships/image" Target="media/image74.wmf"/><Relationship Id="rId94" Type="http://schemas.openxmlformats.org/officeDocument/2006/relationships/oleObject" Target="embeddings/oleObject4.bin"/><Relationship Id="rId93" Type="http://schemas.openxmlformats.org/officeDocument/2006/relationships/image" Target="media/image73.jpeg"/><Relationship Id="rId92" Type="http://schemas.openxmlformats.org/officeDocument/2006/relationships/image" Target="media/image72.wmf"/><Relationship Id="rId91" Type="http://schemas.openxmlformats.org/officeDocument/2006/relationships/oleObject" Target="embeddings/oleObject3.bin"/><Relationship Id="rId90" Type="http://schemas.openxmlformats.org/officeDocument/2006/relationships/image" Target="media/image71.wmf"/><Relationship Id="rId9" Type="http://schemas.openxmlformats.org/officeDocument/2006/relationships/footer" Target="footer3.xml"/><Relationship Id="rId89" Type="http://schemas.openxmlformats.org/officeDocument/2006/relationships/oleObject" Target="embeddings/oleObject2.bin"/><Relationship Id="rId88" Type="http://schemas.openxmlformats.org/officeDocument/2006/relationships/image" Target="media/image70.wmf"/><Relationship Id="rId87" Type="http://schemas.openxmlformats.org/officeDocument/2006/relationships/image" Target="media/image69.jpeg"/><Relationship Id="rId86" Type="http://schemas.openxmlformats.org/officeDocument/2006/relationships/image" Target="media/image68.jpeg"/><Relationship Id="rId85" Type="http://schemas.openxmlformats.org/officeDocument/2006/relationships/image" Target="media/image67.jpeg"/><Relationship Id="rId84" Type="http://schemas.openxmlformats.org/officeDocument/2006/relationships/image" Target="media/image66.jpeg"/><Relationship Id="rId83" Type="http://schemas.openxmlformats.org/officeDocument/2006/relationships/image" Target="media/image65.pn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footer" Target="footer2.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jpeg"/><Relationship Id="rId74" Type="http://schemas.openxmlformats.org/officeDocument/2006/relationships/image" Target="media/image56.jpeg"/><Relationship Id="rId73" Type="http://schemas.openxmlformats.org/officeDocument/2006/relationships/image" Target="https://timgsa.baidu.com/timg?image%25252525252525252525252525252525252525252525252525252525252525252525252525252525252525252525252525252525252525252525252526quality=80%25252525252525252525252525252525252525252525252525252525252525252525252525252525252525252525252525252525252525252525252526size=b9999_10000%25252525252525252525252525252525252525252525252525252525252525252525252525252525252525252525252525252525252525252525252526sec=1592920264073%25252525252525252525252525252525252525252525252525252525252525252525252525252525252525252525252525252525252525252525252526di=7198be8d78e8b8e1924da1c7189fd780%25252525252525252525252525252525252525252525252525252525252525252525252525252525252525252525252525252525252525252525252526imgtype=0%25252525252525252525252525252525252525252525252525252525252525252525252525252525252525252525252525252525252525252525252526src=http://img.mp.itc.cn/upload/20170205/aed19d3a74a44120ae65656d30590d36_th.jpeg" TargetMode="External"/><Relationship Id="rId72" Type="http://schemas.openxmlformats.org/officeDocument/2006/relationships/image" Target="media/image55.jpeg"/><Relationship Id="rId71" Type="http://schemas.openxmlformats.org/officeDocument/2006/relationships/image" Target="https://ss1.bdstatic.com/70cFvXSh_Q1YnxGkpoWK1HF6hhy/it/u=1913559360,1508241055%25252525252525252525252525252525252525252525252525252525252525252525252525252525252525252525252525252525252525252525252526fm=26%25252525252525252525252525252525252525252525252525252525252525252525252525252525252525252525252525252525252525252525252526gp=0.jpg" TargetMode="External"/><Relationship Id="rId70" Type="http://schemas.openxmlformats.org/officeDocument/2006/relationships/image" Target="media/image54.jpeg"/><Relationship Id="rId7" Type="http://schemas.openxmlformats.org/officeDocument/2006/relationships/footer" Target="footer1.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wmf"/><Relationship Id="rId66" Type="http://schemas.openxmlformats.org/officeDocument/2006/relationships/image" Target="media/image50.wmf"/><Relationship Id="rId65" Type="http://schemas.openxmlformats.org/officeDocument/2006/relationships/oleObject" Target="embeddings/oleObject1.bin"/><Relationship Id="rId64" Type="http://schemas.openxmlformats.org/officeDocument/2006/relationships/image" Target="media/image49.wmf"/><Relationship Id="rId63" Type="http://schemas.openxmlformats.org/officeDocument/2006/relationships/image" Target="media/image48.emf"/><Relationship Id="rId62" Type="http://schemas.microsoft.com/office/2007/relationships/hdphoto" Target="media/image47.wdp"/><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header" Target="header2.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jpeg"/><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header" Target="head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endnotes" Target="endnotes.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jpeg"/><Relationship Id="rId36" Type="http://schemas.openxmlformats.org/officeDocument/2006/relationships/image" Target="media/image21.jpeg"/><Relationship Id="rId35" Type="http://schemas.openxmlformats.org/officeDocument/2006/relationships/image" Target="media/image20.png"/><Relationship Id="rId34" Type="http://schemas.openxmlformats.org/officeDocument/2006/relationships/image" Target="media/image19.jpeg"/><Relationship Id="rId33" Type="http://schemas.openxmlformats.org/officeDocument/2006/relationships/image" Target="media/image18.png"/><Relationship Id="rId32" Type="http://schemas.openxmlformats.org/officeDocument/2006/relationships/image" Target="media/image17.jpeg"/><Relationship Id="rId31" Type="http://schemas.openxmlformats.org/officeDocument/2006/relationships/image" Target="media/image16.jpe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jpeg"/><Relationship Id="rId28" Type="http://schemas.openxmlformats.org/officeDocument/2006/relationships/image" Target="media/image13.pn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png"/><Relationship Id="rId24" Type="http://schemas.openxmlformats.org/officeDocument/2006/relationships/image" Target="media/image9.jpeg"/><Relationship Id="rId23" Type="http://schemas.openxmlformats.org/officeDocument/2006/relationships/image" Target="media/image8.png"/><Relationship Id="rId22" Type="http://schemas.openxmlformats.org/officeDocument/2006/relationships/image" Target="media/image7.jpeg"/><Relationship Id="rId21" Type="http://schemas.openxmlformats.org/officeDocument/2006/relationships/image" Target="media/image6.pn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6.xml"/><Relationship Id="rId13" Type="http://schemas.openxmlformats.org/officeDocument/2006/relationships/footer" Target="footer5.xml"/><Relationship Id="rId121" Type="http://schemas.openxmlformats.org/officeDocument/2006/relationships/fontTable" Target="fontTable.xml"/><Relationship Id="rId120" Type="http://schemas.openxmlformats.org/officeDocument/2006/relationships/customXml" Target="../customXml/item2.xml"/><Relationship Id="rId12" Type="http://schemas.openxmlformats.org/officeDocument/2006/relationships/header" Target="header4.xml"/><Relationship Id="rId119" Type="http://schemas.openxmlformats.org/officeDocument/2006/relationships/numbering" Target="numbering.xml"/><Relationship Id="rId118" Type="http://schemas.openxmlformats.org/officeDocument/2006/relationships/customXml" Target="../customXml/item1.xml"/><Relationship Id="rId117" Type="http://schemas.openxmlformats.org/officeDocument/2006/relationships/image" Target="media/image92.emf"/><Relationship Id="rId116" Type="http://schemas.openxmlformats.org/officeDocument/2006/relationships/image" Target="media/image91.emf"/><Relationship Id="rId115" Type="http://schemas.openxmlformats.org/officeDocument/2006/relationships/image" Target="media/image90.emf"/><Relationship Id="rId114" Type="http://schemas.openxmlformats.org/officeDocument/2006/relationships/image" Target="media/image89.emf"/><Relationship Id="rId113" Type="http://schemas.openxmlformats.org/officeDocument/2006/relationships/image" Target="media/image88.emf"/><Relationship Id="rId112" Type="http://schemas.openxmlformats.org/officeDocument/2006/relationships/image" Target="media/image87.emf"/><Relationship Id="rId111" Type="http://schemas.openxmlformats.org/officeDocument/2006/relationships/image" Target="media/image86.jpeg"/><Relationship Id="rId110" Type="http://schemas.openxmlformats.org/officeDocument/2006/relationships/image" Target="media/image85.jpeg"/><Relationship Id="rId11" Type="http://schemas.openxmlformats.org/officeDocument/2006/relationships/footer" Target="footer4.xml"/><Relationship Id="rId109" Type="http://schemas.openxmlformats.org/officeDocument/2006/relationships/image" Target="media/image84.jpeg"/><Relationship Id="rId108" Type="http://schemas.openxmlformats.org/officeDocument/2006/relationships/image" Target="media/image83.png"/><Relationship Id="rId107" Type="http://schemas.openxmlformats.org/officeDocument/2006/relationships/image" Target="media/image82.emf"/><Relationship Id="rId106" Type="http://schemas.openxmlformats.org/officeDocument/2006/relationships/image" Target="media/image81.png"/><Relationship Id="rId105" Type="http://schemas.openxmlformats.org/officeDocument/2006/relationships/image" Target="media/image80.wmf"/><Relationship Id="rId104" Type="http://schemas.openxmlformats.org/officeDocument/2006/relationships/oleObject" Target="embeddings/oleObject8.bin"/><Relationship Id="rId103" Type="http://schemas.openxmlformats.org/officeDocument/2006/relationships/image" Target="media/image79.wmf"/><Relationship Id="rId102" Type="http://schemas.openxmlformats.org/officeDocument/2006/relationships/image" Target="media/image78.wmf"/><Relationship Id="rId101" Type="http://schemas.openxmlformats.org/officeDocument/2006/relationships/image" Target="media/image77.wmf"/><Relationship Id="rId100" Type="http://schemas.openxmlformats.org/officeDocument/2006/relationships/oleObject" Target="embeddings/oleObject7.bin"/><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782"/>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CEF99ED-4D6E-4689-AE50-FDA807EDF62C}">
  <ds:schemaRefs/>
</ds:datastoreItem>
</file>

<file path=docProps/app.xml><?xml version="1.0" encoding="utf-8"?>
<Properties xmlns="http://schemas.openxmlformats.org/officeDocument/2006/extended-properties" xmlns:vt="http://schemas.openxmlformats.org/officeDocument/2006/docPropsVTypes">
  <Template>Normal</Template>
  <Pages>172</Pages>
  <Words>94453</Words>
  <Characters>109189</Characters>
  <Lines>797</Lines>
  <Paragraphs>224</Paragraphs>
  <TotalTime>4</TotalTime>
  <ScaleCrop>false</ScaleCrop>
  <LinksUpToDate>false</LinksUpToDate>
  <CharactersWithSpaces>121120</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2022-05-30T02:19:00Z</dcterms:created>
  <dc:creator>acer</dc:creator>
  <cp:lastModifiedBy>刘娜</cp:lastModifiedBy>
  <cp:lastPrinted>2022-08-03T03:42:00Z</cp:lastPrinted>
  <dcterms:modified xsi:type="dcterms:W3CDTF">2022-11-22T06:29:32Z</dcterms:modified>
  <cp:revision>125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691AAF868F30478D93F637B49E80B849</vt:lpwstr>
  </property>
</Properties>
</file>