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方正小标宋简体" w:hAnsi="Arial" w:eastAsia="方正小标宋简体" w:cs="Arial"/>
          <w:color w:val="333333"/>
          <w:kern w:val="0"/>
          <w:sz w:val="44"/>
          <w:szCs w:val="44"/>
        </w:rPr>
      </w:pPr>
      <w:r>
        <w:rPr>
          <w:rFonts w:hint="eastAsia" w:ascii="方正小标宋简体" w:hAnsi="Arial" w:eastAsia="方正小标宋简体" w:cs="Arial"/>
          <w:color w:val="333333"/>
          <w:kern w:val="0"/>
          <w:sz w:val="44"/>
          <w:szCs w:val="44"/>
          <w:lang w:eastAsia="zh-CN"/>
        </w:rPr>
        <w:t>怀远县人社局</w:t>
      </w:r>
      <w:r>
        <w:rPr>
          <w:rFonts w:hint="eastAsia" w:ascii="方正小标宋简体" w:hAnsi="Arial" w:eastAsia="方正小标宋简体" w:cs="Arial"/>
          <w:color w:val="333333"/>
          <w:kern w:val="0"/>
          <w:sz w:val="44"/>
          <w:szCs w:val="44"/>
        </w:rPr>
        <w:t>2022年政府信息公开工作年度报告</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依据《中华人民共和国政府信息公开条例》（国务院令第711号）、《国务院办公厅政府信息与政务公开办公室关于印发&lt;中华人民共和国政府信息公开工作年度报告格式&gt;的通知》（国办公开办函〔2021〕30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2022年1月1日至12月31日。如对本报告有任何疑问，如对本报告有疑问，请与县人社局办公室联系。（地址：怀远县榴城路182号502办公室，邮编：233400，电话:8858003）。</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一、总体情况</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2022年，我局深入贯彻落实《中华人民共和国政府信息公开条例》，以转变政府职能、建设服务型政府为目标，深入推进政务公开工作，有力保障了公众的知情权、参与权和监督权。</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（一）主动公开</w:t>
      </w:r>
      <w:r>
        <w:rPr>
          <w:rFonts w:hint="eastAsia" w:ascii="仿宋_GB2312" w:hAnsi="微软雅黑" w:cs="仿宋_GB2312"/>
          <w:i w:val="0"/>
          <w:iCs w:val="0"/>
          <w:caps w:val="0"/>
          <w:color w:val="000000"/>
          <w:spacing w:val="0"/>
          <w:kern w:val="2"/>
          <w:sz w:val="32"/>
          <w:szCs w:val="32"/>
          <w:shd w:val="clear" w:fill="FFFFFF"/>
          <w:lang w:val="en-US" w:eastAsia="zh-CN" w:bidi="ar"/>
        </w:rPr>
        <w:t>情况</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2022年，我局对本年度公开的政府信息进行了认真的梳理和编目，截至12月31日，主动公开政府信息486条。其中包括：政策法规8条，重大决策预公开12条，规划计划21条，决策部署落实情况6条，建议提案办理3条，机构设置13条，人事信息7条，财政资金36条，应急管理12条，权责清单和动态调整情况8条，公共服务清单和中介服务清单3条，政策解读6条，回应关切6条，监督保障17条</w:t>
      </w:r>
      <w:r>
        <w:rPr>
          <w:rFonts w:hint="eastAsia" w:ascii="仿宋_GB2312" w:hAnsi="微软雅黑" w:cs="仿宋_GB2312"/>
          <w:i w:val="0"/>
          <w:iCs w:val="0"/>
          <w:caps w:val="0"/>
          <w:color w:val="000000"/>
          <w:spacing w:val="0"/>
          <w:kern w:val="2"/>
          <w:sz w:val="32"/>
          <w:szCs w:val="32"/>
          <w:shd w:val="clear" w:fill="FFFFFF"/>
          <w:lang w:val="en-US" w:eastAsia="zh-CN" w:bidi="ar"/>
        </w:rPr>
        <w:t>。</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（二）依申请公开</w:t>
      </w:r>
      <w:r>
        <w:rPr>
          <w:rFonts w:hint="default" w:ascii="Times New Roman" w:hAnsi="Times New Roman" w:eastAsia="宋体" w:cs="Times New Roman"/>
          <w:b w:val="0"/>
          <w:bCs/>
          <w:i w:val="0"/>
          <w:caps w:val="0"/>
          <w:color w:val="auto"/>
          <w:spacing w:val="0"/>
          <w:sz w:val="28"/>
          <w:szCs w:val="28"/>
          <w:shd w:val="clear" w:color="auto" w:fill="FFFFFF"/>
          <w:lang w:val="en-US" w:eastAsia="zh-CN"/>
        </w:rPr>
        <w:t>情况</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ascii="仿宋" w:hAnsi="仿宋" w:eastAsia="仿宋" w:cs="仿宋"/>
          <w:i w:val="0"/>
          <w:iCs w:val="0"/>
          <w:caps w:val="0"/>
          <w:color w:val="000000"/>
          <w:spacing w:val="0"/>
          <w:sz w:val="32"/>
          <w:szCs w:val="32"/>
          <w:shd w:val="clear" w:fill="FFFFFF"/>
        </w:rPr>
        <w:t>2022年度，我局未发生因有关政府信息公开而引发的行政复议案和行政诉讼案，未收到各类有关本单位政府信息公开事务的申诉案，也未收到公民、法人或其他组织提出的政府信息公开申请。</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（三）政府信息管理</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一是强化就业政策解读宣讲，助力保持社会和谐稳定。我们组织业务科室精心编撰今年出台“三公里就业圈”、“创业蚌埠行动”以及“徽菜名厨”等暖民心帮扶政策政策的解读内容，通过新闻发布会、图片浏览、文字文本等多种形式，在门户网站、微信微博、电视新闻、日报专版等媒体平台上及时发布。</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二是开展规范性文件整理公开，提高政策公开质量。根据上级部门要求指导，更新、编制发布本部门服务事项和权责清单，方便社会公众全面了解和监督。</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（四）政府信息工作平台建设</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我局认真做好政务公开、政务服务工作，今年共举行新闻发布会3次，发布解读信息6条。分管负责人亲自统筹协调推动，政务公开工作人员认真抓好落实。政务公开工作形成了领导亲自抓，各职能科室强化责任意识，统筹兼顾、整体推进的工作局面。</w:t>
      </w:r>
      <w:r>
        <w:rPr>
          <w:rFonts w:hint="eastAsia" w:ascii="微软雅黑" w:hAnsi="微软雅黑" w:eastAsia="微软雅黑" w:cs="微软雅黑"/>
          <w:i w:val="0"/>
          <w:iCs w:val="0"/>
          <w:caps w:val="0"/>
          <w:color w:val="000000"/>
          <w:spacing w:val="0"/>
          <w:kern w:val="2"/>
          <w:sz w:val="32"/>
          <w:szCs w:val="32"/>
          <w:shd w:val="clear" w:fill="FFFFFF"/>
          <w:lang w:val="en-US" w:eastAsia="zh-CN" w:bidi="ar"/>
        </w:rPr>
        <w:t xml:space="preserve"> </w:t>
      </w:r>
    </w:p>
    <w:p>
      <w:pPr>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监督保障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强化信息公开工作的政策宣传。组织干部职工学习宣传《中华人民共和国政府信息公开条例》，提高全局人员的思想意识。积极抓好政府信息公开的渠道建设。严格落实政府信息公开社会评议和责任追究制度，进一步增强社会各界对政府信息公开工作的监督，2022年未发生因不履行政务公开义务而发生的责任追究情况。</w:t>
      </w:r>
    </w:p>
    <w:p>
      <w:pPr>
        <w:widowControl/>
        <w:spacing w:line="600" w:lineRule="exact"/>
        <w:ind w:firstLine="480"/>
        <w:rPr>
          <w:rFonts w:ascii="宋体" w:hAnsi="宋体" w:cs="宋体"/>
          <w:kern w:val="0"/>
          <w:sz w:val="24"/>
          <w:szCs w:val="24"/>
        </w:rPr>
      </w:pPr>
      <w:r>
        <w:rPr>
          <w:rFonts w:hint="eastAsia" w:ascii="黑体" w:hAnsi="黑体" w:eastAsia="黑体" w:cs="宋体"/>
          <w:kern w:val="0"/>
          <w:sz w:val="32"/>
          <w:szCs w:val="32"/>
        </w:rPr>
        <w:t>二、主动公开政府信息情况</w:t>
      </w:r>
    </w:p>
    <w:tbl>
      <w:tblPr>
        <w:tblStyle w:val="3"/>
        <w:tblW w:w="5000" w:type="pct"/>
        <w:jc w:val="center"/>
        <w:tblLayout w:type="autofit"/>
        <w:tblCellMar>
          <w:top w:w="0" w:type="dxa"/>
          <w:left w:w="0" w:type="dxa"/>
          <w:bottom w:w="0" w:type="dxa"/>
          <w:right w:w="0" w:type="dxa"/>
        </w:tblCellMar>
      </w:tblPr>
      <w:tblGrid>
        <w:gridCol w:w="2216"/>
        <w:gridCol w:w="2216"/>
        <w:gridCol w:w="2216"/>
        <w:gridCol w:w="2217"/>
      </w:tblGrid>
      <w:tr>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本年</w:t>
            </w:r>
            <w:r>
              <w:rPr>
                <w:rFonts w:hint="eastAsia" w:ascii="宋体" w:hAnsi="宋体" w:cs="宋体"/>
                <w:kern w:val="0"/>
                <w:sz w:val="20"/>
                <w:szCs w:val="20"/>
              </w:rPr>
              <w:t>制发件数</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本年废止件数</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现行有效件</w:t>
            </w:r>
            <w:r>
              <w:rPr>
                <w:rFonts w:hint="eastAsia" w:ascii="宋体" w:hAnsi="宋体" w:cs="宋体"/>
                <w:kern w:val="0"/>
                <w:sz w:val="20"/>
                <w:szCs w:val="20"/>
              </w:rPr>
              <w:t>数</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规章</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行政规范性文件</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auto"/>
                <w:kern w:val="0"/>
                <w:sz w:val="20"/>
                <w:szCs w:val="20"/>
              </w:rPr>
              <w:t>行政许可</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38</w:t>
            </w:r>
          </w:p>
        </w:tc>
      </w:tr>
      <w:tr>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color w:val="auto"/>
                <w:kern w:val="0"/>
                <w:sz w:val="24"/>
                <w:szCs w:val="24"/>
              </w:rPr>
            </w:pPr>
            <w:r>
              <w:rPr>
                <w:rFonts w:hint="eastAsia" w:ascii="宋体" w:hAnsi="宋体" w:cs="宋体"/>
                <w:color w:val="auto"/>
                <w:kern w:val="0"/>
                <w:sz w:val="20"/>
                <w:szCs w:val="20"/>
              </w:rPr>
              <w:t>行政处罚</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color w:val="auto"/>
                <w:kern w:val="0"/>
                <w:sz w:val="24"/>
                <w:szCs w:val="24"/>
              </w:rPr>
            </w:pPr>
            <w:r>
              <w:rPr>
                <w:rFonts w:hint="eastAsia" w:ascii="宋体" w:hAnsi="宋体" w:cs="宋体"/>
                <w:color w:val="auto"/>
                <w:kern w:val="0"/>
                <w:sz w:val="20"/>
                <w:szCs w:val="20"/>
              </w:rPr>
              <w:t>行政强制</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本年收费金额（单位：万元）</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行政事业性收费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39.0180</w:t>
            </w:r>
          </w:p>
        </w:tc>
      </w:tr>
    </w:tbl>
    <w:p>
      <w:pPr>
        <w:widowControl/>
        <w:spacing w:line="600" w:lineRule="exact"/>
        <w:rPr>
          <w:rFonts w:hint="eastAsia" w:ascii="黑体" w:hAnsi="黑体" w:eastAsia="黑体" w:cs="宋体"/>
          <w:kern w:val="0"/>
          <w:sz w:val="32"/>
          <w:szCs w:val="32"/>
        </w:rPr>
      </w:pPr>
    </w:p>
    <w:p>
      <w:pPr>
        <w:widowControl/>
        <w:spacing w:line="600" w:lineRule="exact"/>
        <w:ind w:firstLine="480"/>
        <w:rPr>
          <w:rFonts w:ascii="宋体" w:hAnsi="宋体" w:cs="宋体"/>
          <w:kern w:val="0"/>
          <w:sz w:val="24"/>
          <w:szCs w:val="24"/>
        </w:rPr>
      </w:pPr>
      <w:r>
        <w:rPr>
          <w:rFonts w:hint="eastAsia" w:ascii="黑体" w:hAnsi="黑体" w:eastAsia="黑体" w:cs="宋体"/>
          <w:kern w:val="0"/>
          <w:sz w:val="32"/>
          <w:szCs w:val="32"/>
        </w:rPr>
        <w:t>三、收到和处理政府信息公开申请情况</w:t>
      </w:r>
    </w:p>
    <w:tbl>
      <w:tblPr>
        <w:tblStyle w:val="3"/>
        <w:tblW w:w="5024" w:type="pct"/>
        <w:jc w:val="center"/>
        <w:tblLayout w:type="autofit"/>
        <w:tblCellMar>
          <w:top w:w="0" w:type="dxa"/>
          <w:left w:w="0" w:type="dxa"/>
          <w:bottom w:w="0" w:type="dxa"/>
          <w:right w:w="0" w:type="dxa"/>
        </w:tblCellMar>
      </w:tblPr>
      <w:tblGrid>
        <w:gridCol w:w="627"/>
        <w:gridCol w:w="805"/>
        <w:gridCol w:w="3063"/>
        <w:gridCol w:w="627"/>
        <w:gridCol w:w="627"/>
        <w:gridCol w:w="627"/>
        <w:gridCol w:w="627"/>
        <w:gridCol w:w="627"/>
        <w:gridCol w:w="640"/>
        <w:gridCol w:w="638"/>
      </w:tblGrid>
      <w:tr>
        <w:tblPrEx>
          <w:tblCellMar>
            <w:top w:w="0" w:type="dxa"/>
            <w:left w:w="0" w:type="dxa"/>
            <w:bottom w:w="0" w:type="dxa"/>
            <w:right w:w="0" w:type="dxa"/>
          </w:tblCellMar>
        </w:tblPrEx>
        <w:trPr>
          <w:jc w:val="center"/>
        </w:trPr>
        <w:tc>
          <w:tcPr>
            <w:tcW w:w="2523" w:type="pct"/>
            <w:gridSpan w:val="3"/>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2476" w:type="pct"/>
            <w:gridSpan w:val="7"/>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352"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自然人</w:t>
            </w:r>
          </w:p>
        </w:tc>
        <w:tc>
          <w:tcPr>
            <w:tcW w:w="1767" w:type="pct"/>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法人或其他组织</w:t>
            </w:r>
          </w:p>
        </w:tc>
        <w:tc>
          <w:tcPr>
            <w:tcW w:w="355"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left"/>
              <w:rPr>
                <w:rFonts w:ascii="宋体" w:hAnsi="宋体" w:cs="宋体"/>
                <w:kern w:val="0"/>
                <w:sz w:val="24"/>
                <w:szCs w:val="24"/>
              </w:rPr>
            </w:pP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商业</w:t>
            </w:r>
          </w:p>
          <w:p>
            <w:pPr>
              <w:widowControl/>
              <w:spacing w:line="600" w:lineRule="exact"/>
              <w:jc w:val="center"/>
              <w:rPr>
                <w:rFonts w:ascii="宋体" w:hAnsi="宋体" w:cs="宋体"/>
                <w:kern w:val="0"/>
                <w:sz w:val="24"/>
                <w:szCs w:val="24"/>
              </w:rPr>
            </w:pPr>
            <w:r>
              <w:rPr>
                <w:rFonts w:hint="eastAsia" w:ascii="宋体" w:hAnsi="宋体" w:cs="宋体"/>
                <w:kern w:val="0"/>
                <w:sz w:val="20"/>
                <w:szCs w:val="20"/>
              </w:rPr>
              <w:t>企业</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科研</w:t>
            </w:r>
          </w:p>
          <w:p>
            <w:pPr>
              <w:widowControl/>
              <w:spacing w:line="600" w:lineRule="exact"/>
              <w:jc w:val="center"/>
              <w:rPr>
                <w:rFonts w:ascii="宋体" w:hAnsi="宋体" w:cs="宋体"/>
                <w:kern w:val="0"/>
                <w:sz w:val="24"/>
                <w:szCs w:val="24"/>
              </w:rPr>
            </w:pPr>
            <w:r>
              <w:rPr>
                <w:rFonts w:hint="eastAsia" w:ascii="宋体" w:hAnsi="宋体" w:cs="宋体"/>
                <w:kern w:val="0"/>
                <w:sz w:val="20"/>
                <w:szCs w:val="20"/>
              </w:rPr>
              <w:t>机构</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社会公益组织</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法律服务机构</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其他</w:t>
            </w: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r>
      <w:tr>
        <w:tblPrEx>
          <w:tblCellMar>
            <w:top w:w="0" w:type="dxa"/>
            <w:left w:w="0" w:type="dxa"/>
            <w:bottom w:w="0" w:type="dxa"/>
            <w:right w:w="0" w:type="dxa"/>
          </w:tblCellMar>
        </w:tblPrEx>
        <w:trPr>
          <w:jc w:val="center"/>
        </w:trPr>
        <w:tc>
          <w:tcPr>
            <w:tcW w:w="2523"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一、本年新收政府信息公开申请数量</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2523"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二、上年结转政府信息公开申请数量</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52"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三、本年度办理结果</w:t>
            </w:r>
          </w:p>
        </w:tc>
        <w:tc>
          <w:tcPr>
            <w:tcW w:w="2171"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（一）予以公开</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2171"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2"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（三）不予公开</w:t>
            </w: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1.属于国家秘密</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2.其他法律行政法规禁止公开</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3.危及“三安全一稳定”</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4.保护第三方合法权益</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5.属于三类内部事务信息</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6.属于四类过程性信息</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7.属于行政执法案卷</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8.属于行政查询事项</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2"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（四）无法提供</w:t>
            </w: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1.本机关不掌握相关政府信息</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ind w:firstLine="12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2.没有现成信息需要另行制作</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3.补正后申请内容仍不明确</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2"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（五）不予处理</w:t>
            </w: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1.信访举报投诉类申请</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2.重复申请</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3.要求提供公开出版物</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4.无正当理由大量反复申请</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5.要求行政机关确认或重新出具已获取信息</w:t>
            </w:r>
          </w:p>
        </w:tc>
        <w:tc>
          <w:tcPr>
            <w:tcW w:w="352"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2"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（六）其他处理</w:t>
            </w: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1.申请人无正当理由逾期不补正、行政机关不再处理其政府信息公开申请</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2.申请人逾期未按收费通知要求缴纳费用、行政机关不再处理其政府信息公开申请</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3.其他</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2171"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left"/>
              <w:rPr>
                <w:rFonts w:ascii="宋体" w:hAnsi="宋体" w:cs="宋体"/>
                <w:kern w:val="0"/>
                <w:sz w:val="24"/>
                <w:szCs w:val="24"/>
              </w:rPr>
            </w:pPr>
            <w:r>
              <w:rPr>
                <w:rFonts w:hint="eastAsia" w:ascii="宋体" w:hAnsi="宋体" w:cs="宋体"/>
                <w:kern w:val="0"/>
                <w:sz w:val="20"/>
                <w:szCs w:val="20"/>
              </w:rPr>
              <w:t>（七）总计</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2523"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bookmarkStart w:id="0" w:name="_GoBack"/>
            <w:r>
              <w:rPr>
                <w:rFonts w:hint="eastAsia" w:ascii="宋体" w:hAnsi="宋体" w:cs="宋体"/>
                <w:kern w:val="0"/>
                <w:sz w:val="20"/>
                <w:szCs w:val="20"/>
              </w:rPr>
              <w:t>四、结转下年度继续办理</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4"/>
                <w:szCs w:val="24"/>
                <w:lang w:val="en-US" w:eastAsia="zh-CN"/>
              </w:rPr>
              <w:t>0</w:t>
            </w:r>
          </w:p>
        </w:tc>
      </w:tr>
    </w:tbl>
    <w:p>
      <w:pPr>
        <w:widowControl/>
        <w:spacing w:line="600" w:lineRule="exact"/>
        <w:ind w:firstLine="480"/>
        <w:rPr>
          <w:rFonts w:ascii="宋体" w:hAnsi="宋体" w:cs="宋体"/>
          <w:kern w:val="0"/>
          <w:sz w:val="24"/>
          <w:szCs w:val="24"/>
        </w:rPr>
      </w:pPr>
      <w:r>
        <w:rPr>
          <w:rFonts w:hint="eastAsia" w:ascii="黑体" w:hAnsi="黑体" w:eastAsia="黑体" w:cs="宋体"/>
          <w:kern w:val="0"/>
          <w:sz w:val="32"/>
          <w:szCs w:val="32"/>
        </w:rPr>
        <w:t>四、政府信息公开行政复议、行政诉讼情况</w:t>
      </w:r>
    </w:p>
    <w:tbl>
      <w:tblPr>
        <w:tblStyle w:val="3"/>
        <w:tblW w:w="5000" w:type="pct"/>
        <w:jc w:val="center"/>
        <w:tblLayout w:type="autofit"/>
        <w:tblCellMar>
          <w:top w:w="0" w:type="dxa"/>
          <w:left w:w="0" w:type="dxa"/>
          <w:bottom w:w="0" w:type="dxa"/>
          <w:right w:w="0" w:type="dxa"/>
        </w:tblCellMar>
      </w:tblPr>
      <w:tblGrid>
        <w:gridCol w:w="537"/>
        <w:gridCol w:w="537"/>
        <w:gridCol w:w="537"/>
        <w:gridCol w:w="537"/>
        <w:gridCol w:w="806"/>
        <w:gridCol w:w="537"/>
        <w:gridCol w:w="537"/>
        <w:gridCol w:w="537"/>
        <w:gridCol w:w="537"/>
        <w:gridCol w:w="806"/>
        <w:gridCol w:w="537"/>
        <w:gridCol w:w="537"/>
        <w:gridCol w:w="538"/>
        <w:gridCol w:w="538"/>
        <w:gridCol w:w="807"/>
      </w:tblGrid>
      <w:tr>
        <w:tblPrEx>
          <w:tblCellMar>
            <w:top w:w="0" w:type="dxa"/>
            <w:left w:w="0" w:type="dxa"/>
            <w:bottom w:w="0" w:type="dxa"/>
            <w:right w:w="0" w:type="dxa"/>
          </w:tblCellMar>
        </w:tblPrEx>
        <w:trPr>
          <w:jc w:val="center"/>
        </w:trPr>
        <w:tc>
          <w:tcPr>
            <w:tcW w:w="1650" w:type="pct"/>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行政复议</w:t>
            </w:r>
          </w:p>
        </w:tc>
        <w:tc>
          <w:tcPr>
            <w:tcW w:w="3300" w:type="pct"/>
            <w:gridSpan w:val="10"/>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结果维持</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结果</w:t>
            </w:r>
          </w:p>
          <w:p>
            <w:pPr>
              <w:widowControl/>
              <w:spacing w:line="600" w:lineRule="exact"/>
              <w:jc w:val="center"/>
              <w:rPr>
                <w:rFonts w:ascii="宋体" w:hAnsi="宋体" w:cs="宋体"/>
                <w:kern w:val="0"/>
                <w:sz w:val="24"/>
                <w:szCs w:val="24"/>
              </w:rPr>
            </w:pPr>
            <w:r>
              <w:rPr>
                <w:rFonts w:hint="eastAsia" w:ascii="宋体" w:hAnsi="宋体" w:cs="宋体"/>
                <w:kern w:val="0"/>
                <w:sz w:val="20"/>
                <w:szCs w:val="20"/>
              </w:rPr>
              <w:t>纠正</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其他</w:t>
            </w:r>
          </w:p>
          <w:p>
            <w:pPr>
              <w:widowControl/>
              <w:spacing w:line="600" w:lineRule="exact"/>
              <w:jc w:val="center"/>
              <w:rPr>
                <w:rFonts w:ascii="宋体" w:hAnsi="宋体" w:cs="宋体"/>
                <w:kern w:val="0"/>
                <w:sz w:val="24"/>
                <w:szCs w:val="24"/>
              </w:rPr>
            </w:pPr>
            <w:r>
              <w:rPr>
                <w:rFonts w:hint="eastAsia" w:ascii="宋体" w:hAnsi="宋体" w:cs="宋体"/>
                <w:kern w:val="0"/>
                <w:sz w:val="20"/>
                <w:szCs w:val="20"/>
              </w:rPr>
              <w:t>结果</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尚未</w:t>
            </w:r>
          </w:p>
          <w:p>
            <w:pPr>
              <w:widowControl/>
              <w:spacing w:line="600" w:lineRule="exact"/>
              <w:jc w:val="center"/>
              <w:rPr>
                <w:rFonts w:ascii="宋体" w:hAnsi="宋体" w:cs="宋体"/>
                <w:kern w:val="0"/>
                <w:sz w:val="24"/>
                <w:szCs w:val="24"/>
              </w:rPr>
            </w:pPr>
            <w:r>
              <w:rPr>
                <w:rFonts w:hint="eastAsia" w:ascii="宋体" w:hAnsi="宋体" w:cs="宋体"/>
                <w:kern w:val="0"/>
                <w:sz w:val="20"/>
                <w:szCs w:val="20"/>
              </w:rPr>
              <w:t>审结</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总计</w:t>
            </w:r>
          </w:p>
        </w:tc>
        <w:tc>
          <w:tcPr>
            <w:tcW w:w="1650" w:type="pct"/>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未经复议直接起诉</w:t>
            </w:r>
          </w:p>
        </w:tc>
        <w:tc>
          <w:tcPr>
            <w:tcW w:w="1650" w:type="pct"/>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left"/>
              <w:rPr>
                <w:rFonts w:ascii="宋体" w:hAnsi="宋体" w:cs="宋体"/>
                <w:kern w:val="0"/>
                <w:sz w:val="24"/>
                <w:szCs w:val="24"/>
              </w:rPr>
            </w:pP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结果</w:t>
            </w:r>
          </w:p>
          <w:p>
            <w:pPr>
              <w:widowControl/>
              <w:spacing w:line="600" w:lineRule="exact"/>
              <w:jc w:val="center"/>
              <w:rPr>
                <w:rFonts w:ascii="宋体" w:hAnsi="宋体" w:cs="宋体"/>
                <w:kern w:val="0"/>
                <w:sz w:val="24"/>
                <w:szCs w:val="24"/>
              </w:rPr>
            </w:pPr>
            <w:r>
              <w:rPr>
                <w:rFonts w:hint="eastAsia" w:ascii="宋体" w:hAnsi="宋体" w:cs="宋体"/>
                <w:kern w:val="0"/>
                <w:sz w:val="20"/>
                <w:szCs w:val="20"/>
              </w:rPr>
              <w:t>维持</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结果</w:t>
            </w:r>
          </w:p>
          <w:p>
            <w:pPr>
              <w:widowControl/>
              <w:spacing w:line="600" w:lineRule="exact"/>
              <w:jc w:val="center"/>
              <w:rPr>
                <w:rFonts w:ascii="宋体" w:hAnsi="宋体" w:cs="宋体"/>
                <w:kern w:val="0"/>
                <w:sz w:val="24"/>
                <w:szCs w:val="24"/>
              </w:rPr>
            </w:pPr>
            <w:r>
              <w:rPr>
                <w:rFonts w:hint="eastAsia" w:ascii="宋体" w:hAnsi="宋体" w:cs="宋体"/>
                <w:kern w:val="0"/>
                <w:sz w:val="20"/>
                <w:szCs w:val="20"/>
              </w:rPr>
              <w:t>纠正</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其他</w:t>
            </w:r>
          </w:p>
          <w:p>
            <w:pPr>
              <w:widowControl/>
              <w:spacing w:line="600" w:lineRule="exact"/>
              <w:jc w:val="center"/>
              <w:rPr>
                <w:rFonts w:ascii="宋体" w:hAnsi="宋体" w:cs="宋体"/>
                <w:kern w:val="0"/>
                <w:sz w:val="24"/>
                <w:szCs w:val="24"/>
              </w:rPr>
            </w:pPr>
            <w:r>
              <w:rPr>
                <w:rFonts w:hint="eastAsia" w:ascii="宋体" w:hAnsi="宋体" w:cs="宋体"/>
                <w:kern w:val="0"/>
                <w:sz w:val="20"/>
                <w:szCs w:val="20"/>
              </w:rPr>
              <w:t>结果</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尚未</w:t>
            </w:r>
          </w:p>
          <w:p>
            <w:pPr>
              <w:widowControl/>
              <w:spacing w:line="600" w:lineRule="exact"/>
              <w:jc w:val="center"/>
              <w:rPr>
                <w:rFonts w:ascii="宋体" w:hAnsi="宋体" w:cs="宋体"/>
                <w:kern w:val="0"/>
                <w:sz w:val="24"/>
                <w:szCs w:val="24"/>
              </w:rPr>
            </w:pPr>
            <w:r>
              <w:rPr>
                <w:rFonts w:hint="eastAsia" w:ascii="宋体" w:hAnsi="宋体" w:cs="宋体"/>
                <w:kern w:val="0"/>
                <w:sz w:val="20"/>
                <w:szCs w:val="20"/>
              </w:rPr>
              <w:t>审结</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总计</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结果</w:t>
            </w:r>
          </w:p>
          <w:p>
            <w:pPr>
              <w:widowControl/>
              <w:spacing w:line="600" w:lineRule="exact"/>
              <w:jc w:val="center"/>
              <w:rPr>
                <w:rFonts w:ascii="宋体" w:hAnsi="宋体" w:cs="宋体"/>
                <w:kern w:val="0"/>
                <w:sz w:val="24"/>
                <w:szCs w:val="24"/>
              </w:rPr>
            </w:pPr>
            <w:r>
              <w:rPr>
                <w:rFonts w:hint="eastAsia" w:ascii="宋体" w:hAnsi="宋体" w:cs="宋体"/>
                <w:kern w:val="0"/>
                <w:sz w:val="20"/>
                <w:szCs w:val="20"/>
              </w:rPr>
              <w:t>维持</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结果</w:t>
            </w:r>
          </w:p>
          <w:p>
            <w:pPr>
              <w:widowControl/>
              <w:spacing w:line="600" w:lineRule="exact"/>
              <w:jc w:val="center"/>
              <w:rPr>
                <w:rFonts w:ascii="宋体" w:hAnsi="宋体" w:cs="宋体"/>
                <w:kern w:val="0"/>
                <w:sz w:val="24"/>
                <w:szCs w:val="24"/>
              </w:rPr>
            </w:pPr>
            <w:r>
              <w:rPr>
                <w:rFonts w:hint="eastAsia" w:ascii="宋体" w:hAnsi="宋体" w:cs="宋体"/>
                <w:kern w:val="0"/>
                <w:sz w:val="20"/>
                <w:szCs w:val="20"/>
              </w:rPr>
              <w:t>纠正</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其他</w:t>
            </w:r>
          </w:p>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结果</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尚未</w:t>
            </w:r>
          </w:p>
          <w:p>
            <w:pPr>
              <w:widowControl/>
              <w:spacing w:line="600" w:lineRule="exact"/>
              <w:jc w:val="center"/>
              <w:rPr>
                <w:rFonts w:ascii="宋体" w:hAnsi="宋体" w:cs="宋体"/>
                <w:kern w:val="0"/>
                <w:sz w:val="24"/>
                <w:szCs w:val="24"/>
              </w:rPr>
            </w:pPr>
            <w:r>
              <w:rPr>
                <w:rFonts w:hint="eastAsia" w:ascii="宋体" w:hAnsi="宋体" w:cs="宋体"/>
                <w:kern w:val="0"/>
                <w:sz w:val="20"/>
                <w:szCs w:val="20"/>
              </w:rPr>
              <w:t>审结</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color w:val="000000"/>
                <w:kern w:val="0"/>
                <w:sz w:val="20"/>
                <w:szCs w:val="20"/>
              </w:rPr>
              <w:t>总计</w:t>
            </w:r>
          </w:p>
        </w:tc>
      </w:tr>
      <w:tr>
        <w:tblPrEx>
          <w:tblCellMar>
            <w:top w:w="0" w:type="dxa"/>
            <w:left w:w="0" w:type="dxa"/>
            <w:bottom w:w="0" w:type="dxa"/>
            <w:right w:w="0" w:type="dxa"/>
          </w:tblCellMar>
        </w:tblPrEx>
        <w:trPr>
          <w:trHeight w:val="648" w:hRule="atLeast"/>
          <w:jc w:val="center"/>
        </w:trPr>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bl>
    <w:p>
      <w:pPr>
        <w:widowControl/>
        <w:spacing w:line="600" w:lineRule="exact"/>
        <w:ind w:firstLine="480"/>
        <w:rPr>
          <w:rFonts w:hint="eastAsia" w:ascii="黑体" w:hAnsi="黑体" w:eastAsia="黑体" w:cs="宋体"/>
          <w:color w:val="3D3D3D"/>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 xml:space="preserve">五、存在的主要问题及改进情况 </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2022年，县人社局政府信息公开工作取得了一定成效，但对照新时代政务公开工作新要求和人民群众期盼，仍存在一些不足，主要表现在：一是部分栏目的公开内容更新不够及时，注重政策文件或项目本身的公开，但对实施成果公开不够。二是信息公开平台建设、综合服务水平还有待提高，在回应关切等方面需做细做实。</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微软雅黑" w:hAnsi="微软雅黑" w:eastAsia="微软雅黑" w:cs="微软雅黑"/>
          <w:caps w:val="0"/>
          <w:color w:val="333333"/>
          <w:spacing w:val="0"/>
          <w:sz w:val="24"/>
          <w:szCs w:val="24"/>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针对上述问题，2023年县人社局将重点从以下几个方面推进政务公开工作：一是加强有关政策法规和决策部署的学习。坚持“公开为常态、不公开为例外”的理念，逐步扩大信息主动公开范围，提高信息公开质量。二是加强热点公开。深化回应关切，对热点问题快速反应并及时公开回应，切实提高政务公开工作群众满意度。三是加强平台建设管理。进一步完善门户网站信息公开相关栏目，健全微信等新媒体发布渠道，为信息公开提供有力支撑。</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六、其他需要报告的事项</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微软雅黑" w:eastAsia="仿宋_GB2312" w:cs="仿宋_GB2312"/>
          <w:caps w:val="0"/>
          <w:color w:val="000000"/>
          <w:spacing w:val="0"/>
          <w:kern w:val="2"/>
          <w:sz w:val="32"/>
          <w:szCs w:val="32"/>
          <w:shd w:val="clear" w:fill="FFFFFF"/>
          <w:lang w:val="en-US" w:eastAsia="zh-CN" w:bidi="ar"/>
        </w:rPr>
      </w:pPr>
      <w:r>
        <w:rPr>
          <w:rFonts w:hint="eastAsia" w:ascii="仿宋_GB2312" w:hAnsi="微软雅黑" w:cs="仿宋_GB2312"/>
          <w:caps w:val="0"/>
          <w:color w:val="000000"/>
          <w:spacing w:val="0"/>
          <w:kern w:val="2"/>
          <w:sz w:val="32"/>
          <w:szCs w:val="32"/>
          <w:shd w:val="clear" w:fill="FFFFFF"/>
          <w:lang w:val="en-US" w:eastAsia="zh-CN" w:bidi="ar"/>
        </w:rPr>
        <w:t>（一）</w:t>
      </w:r>
      <w:r>
        <w:rPr>
          <w:rFonts w:hint="eastAsia" w:ascii="仿宋_GB2312" w:hAnsi="微软雅黑" w:eastAsia="仿宋_GB2312" w:cs="仿宋_GB2312"/>
          <w:caps w:val="0"/>
          <w:color w:val="000000"/>
          <w:spacing w:val="0"/>
          <w:kern w:val="2"/>
          <w:sz w:val="32"/>
          <w:szCs w:val="32"/>
          <w:shd w:val="clear" w:fill="FFFFFF"/>
          <w:lang w:val="en-US" w:eastAsia="zh-CN" w:bidi="ar"/>
        </w:rPr>
        <w:t>按照《国务院办公厅关于印发〈政府信息公开信息处理费管理办法〉的通知》（国办函〔2020〕109号）规定的按件、按量收费标准，本年度没有产生信息公开处理费。</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二）深入实施就业促进暖民心工程，全力推进创业怀远行动，针对高校毕业生、农民工等重点群体，优化服务和政策体系，加强政策解读，特别是多角度、多形式开拓解读新手段，从群众关切的堵点和重点出发，深入解读政策文件内涵，解读更加深度化，帮助群众实现高质量充分就业。</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（三）坚持在创新中求发展。充分发挥互联网传播快、效率高、受众广的优势，利用微信公众号、政务公开网站、新媒体，加大信息公开力度，不断增强政府工作透明度，切实保障群众对政府工作的知情权。</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(四)强化监督，确保政务信息公开落到实处</w:t>
      </w:r>
      <w:r>
        <w:rPr>
          <w:rFonts w:hint="eastAsia" w:ascii="仿宋_GB2312" w:hAnsi="微软雅黑" w:cs="仿宋_GB2312"/>
          <w:i w:val="0"/>
          <w:iCs w:val="0"/>
          <w:caps w:val="0"/>
          <w:color w:val="000000"/>
          <w:spacing w:val="0"/>
          <w:kern w:val="2"/>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在狠抓内部制约机制的同时，重点抓好外部监督制约机制的完善，建立健全长效管理机制，形成用制度规范行为、按制度办事、靠制度管人的机制。一是强化督查制度。将政务公开工作与党风廉政建设、行风建设综合进行检查、考评，考评。严把公开内容和项目关，既防止该公开的不公开，搞半公开、假公开，又防止不该公开的乱公开。二是推行定期通报制度。定期在一定范围内，通报近期本部门的重要工作、重大事项、重大决策，努力做到政府和公共资源配置等重大事项都公开进行，规范运作。我</w:t>
      </w:r>
      <w:r>
        <w:rPr>
          <w:rFonts w:hint="eastAsia" w:ascii="仿宋_GB2312" w:hAnsi="微软雅黑" w:cs="仿宋_GB2312"/>
          <w:i w:val="0"/>
          <w:iCs w:val="0"/>
          <w:caps w:val="0"/>
          <w:color w:val="000000"/>
          <w:spacing w:val="0"/>
          <w:kern w:val="2"/>
          <w:sz w:val="32"/>
          <w:szCs w:val="32"/>
          <w:shd w:val="clear" w:fill="FFFFFF"/>
          <w:lang w:val="en-US" w:eastAsia="zh-CN" w:bidi="ar"/>
        </w:rPr>
        <w:t>局</w:t>
      </w:r>
      <w:r>
        <w:rPr>
          <w:rFonts w:hint="eastAsia" w:ascii="仿宋_GB2312" w:hAnsi="微软雅黑" w:eastAsia="仿宋_GB2312" w:cs="仿宋_GB2312"/>
          <w:i w:val="0"/>
          <w:iCs w:val="0"/>
          <w:caps w:val="0"/>
          <w:color w:val="000000"/>
          <w:spacing w:val="0"/>
          <w:kern w:val="2"/>
          <w:sz w:val="32"/>
          <w:szCs w:val="32"/>
          <w:shd w:val="clear" w:fill="FFFFFF"/>
          <w:lang w:val="en-US" w:eastAsia="zh-CN" w:bidi="ar"/>
        </w:rPr>
        <w:t>的重大决策，都要注意倾听社会各界和广大群众的意见和建议。尤其是项目资金发放前，都通过报纸、网络、行政服务窗口、当地社情公告等向社会全面通报、公示</w:t>
      </w:r>
      <w:r>
        <w:rPr>
          <w:rFonts w:hint="eastAsia" w:ascii="仿宋_GB2312" w:hAnsi="微软雅黑" w:cs="仿宋_GB2312"/>
          <w:i w:val="0"/>
          <w:iCs w:val="0"/>
          <w:caps w:val="0"/>
          <w:color w:val="000000"/>
          <w:spacing w:val="0"/>
          <w:kern w:val="2"/>
          <w:sz w:val="32"/>
          <w:szCs w:val="32"/>
          <w:shd w:val="clear" w:fill="FFFFFF"/>
          <w:lang w:val="en-US" w:eastAsia="zh-CN" w:bidi="ar"/>
        </w:rPr>
        <w:t>。</w:t>
      </w:r>
      <w:bookmarkEnd w:id="0"/>
    </w:p>
    <w:p>
      <w:pPr>
        <w:keepNext w:val="0"/>
        <w:keepLines w:val="0"/>
        <w:pageBreakBefore w:val="0"/>
        <w:kinsoku/>
        <w:overflowPunct/>
        <w:topLinePunct w:val="0"/>
        <w:autoSpaceDE/>
        <w:autoSpaceDN/>
        <w:bidi w:val="0"/>
        <w:adjustRightInd/>
        <w:snapToGrid/>
        <w:spacing w:beforeAutospacing="0" w:afterAutospacing="0" w:line="560" w:lineRule="exact"/>
        <w:ind w:firstLine="640" w:firstLineChars="200"/>
        <w:textAlignment w:val="auto"/>
        <w:rPr>
          <w:rFonts w:hint="eastAsia" w:eastAsia="仿宋_GB2312"/>
          <w:lang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F6A8B"/>
    <w:multiLevelType w:val="singleLevel"/>
    <w:tmpl w:val="CCBF6A8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N2QxNmZlMTI0YzIxM2Q1YmE0ZGExZWQyNDZiMmIifQ=="/>
  </w:docVars>
  <w:rsids>
    <w:rsidRoot w:val="299002FE"/>
    <w:rsid w:val="02D9551D"/>
    <w:rsid w:val="09D6288E"/>
    <w:rsid w:val="0DF77E44"/>
    <w:rsid w:val="128D75BC"/>
    <w:rsid w:val="178758D8"/>
    <w:rsid w:val="299002FE"/>
    <w:rsid w:val="2E1A197C"/>
    <w:rsid w:val="322F48C8"/>
    <w:rsid w:val="32B1302D"/>
    <w:rsid w:val="426C7666"/>
    <w:rsid w:val="45687B0A"/>
    <w:rsid w:val="56205CFE"/>
    <w:rsid w:val="5B8E5010"/>
    <w:rsid w:val="64F454EF"/>
    <w:rsid w:val="727E7A3F"/>
    <w:rsid w:val="782B3690"/>
    <w:rsid w:val="7A960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0"/>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3027</Words>
  <Characters>3119</Characters>
  <Lines>0</Lines>
  <Paragraphs>0</Paragraphs>
  <TotalTime>21</TotalTime>
  <ScaleCrop>false</ScaleCrop>
  <LinksUpToDate>false</LinksUpToDate>
  <CharactersWithSpaces>3121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2023-01-18T07:04:00Z</dcterms:created>
  <dc:creator>坏月亮</dc:creator>
  <cp:lastModifiedBy>坏月亮</cp:lastModifiedBy>
  <dcterms:modified xsi:type="dcterms:W3CDTF">2023-02-03T06:51:05Z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64BC6D14C9694F6796325C0A659F445E</vt:lpwstr>
  </property>
</Properties>
</file>