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eastAsia" w:ascii="宋体" w:hAnsi="宋体" w:eastAsia="宋体" w:cs="宋体"/>
          <w:color w:val="auto"/>
          <w:sz w:val="36"/>
          <w:szCs w:val="36"/>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eastAsia" w:ascii="宋体" w:hAnsi="宋体" w:eastAsia="宋体" w:cs="宋体"/>
          <w:color w:val="auto"/>
          <w:sz w:val="36"/>
          <w:szCs w:val="36"/>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eastAsia" w:ascii="宋体" w:hAnsi="宋体" w:eastAsia="宋体" w:cs="宋体"/>
          <w:color w:val="auto"/>
          <w:sz w:val="36"/>
          <w:szCs w:val="36"/>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textAlignment w:val="auto"/>
        <w:rPr>
          <w:rFonts w:hint="eastAsia" w:ascii="宋体" w:hAnsi="宋体" w:eastAsia="宋体" w:cs="宋体"/>
          <w:color w:val="auto"/>
          <w:sz w:val="36"/>
          <w:szCs w:val="36"/>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outlineLvl w:val="0"/>
        <w:rPr>
          <w:rFonts w:hint="eastAsia" w:ascii="宋体" w:hAnsi="宋体" w:cs="宋体"/>
          <w:b/>
          <w:color w:val="auto"/>
          <w:sz w:val="72"/>
          <w:szCs w:val="72"/>
          <w:highlight w:val="none"/>
        </w:rPr>
      </w:pPr>
      <w:r>
        <w:rPr>
          <w:rFonts w:hint="eastAsia" w:ascii="宋体" w:hAnsi="宋体" w:cs="宋体"/>
          <w:b/>
          <w:color w:val="auto"/>
          <w:sz w:val="72"/>
          <w:szCs w:val="72"/>
          <w:highlight w:val="none"/>
        </w:rPr>
        <w:t>建设项目环境影响报告表</w:t>
      </w:r>
    </w:p>
    <w:p>
      <w:pPr>
        <w:keepNext w:val="0"/>
        <w:keepLines w:val="0"/>
        <w:pageBreakBefore w:val="0"/>
        <w:widowControl w:val="0"/>
        <w:shd w:val="clear" w:color="auto" w:fill="auto"/>
        <w:kinsoku/>
        <w:wordWrap/>
        <w:overflowPunct/>
        <w:topLinePunct/>
        <w:autoSpaceDE/>
        <w:autoSpaceDN/>
        <w:bidi w:val="0"/>
        <w:adjustRightInd w:val="0"/>
        <w:snapToGrid w:val="0"/>
        <w:spacing w:before="192" w:beforeLines="80"/>
        <w:jc w:val="center"/>
        <w:textAlignment w:val="auto"/>
        <w:rPr>
          <w:bCs/>
          <w:color w:val="auto"/>
          <w:sz w:val="48"/>
          <w:szCs w:val="48"/>
          <w:highlight w:val="none"/>
        </w:rPr>
      </w:pPr>
      <w:r>
        <w:rPr>
          <w:bCs/>
          <w:color w:val="auto"/>
          <w:sz w:val="48"/>
          <w:szCs w:val="48"/>
          <w:highlight w:val="none"/>
        </w:rPr>
        <w:t>（污染影响类）</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outlineLvl w:val="0"/>
        <w:rPr>
          <w:rFonts w:hint="eastAsia" w:ascii="宋体" w:hAnsi="宋体" w:eastAsia="宋体" w:cs="宋体"/>
          <w:color w:val="auto"/>
          <w:kern w:val="44"/>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tbl>
      <w:tblPr>
        <w:tblStyle w:val="7"/>
        <w:tblW w:w="9581" w:type="dxa"/>
        <w:jc w:val="center"/>
        <w:tblLayout w:type="autofit"/>
        <w:tblCellMar>
          <w:top w:w="0" w:type="dxa"/>
          <w:left w:w="28" w:type="dxa"/>
          <w:bottom w:w="0" w:type="dxa"/>
          <w:right w:w="28" w:type="dxa"/>
        </w:tblCellMar>
      </w:tblPr>
      <w:tblGrid>
        <w:gridCol w:w="1701"/>
        <w:gridCol w:w="7880"/>
      </w:tblGrid>
      <w:tr>
        <w:tblPrEx>
          <w:tblCellMar>
            <w:top w:w="0" w:type="dxa"/>
            <w:left w:w="28" w:type="dxa"/>
            <w:bottom w:w="0" w:type="dxa"/>
            <w:right w:w="28" w:type="dxa"/>
          </w:tblCellMar>
        </w:tblPrEx>
        <w:trPr>
          <w:trHeight w:val="850" w:hRule="atLeast"/>
          <w:jc w:val="center"/>
        </w:trPr>
        <w:tc>
          <w:tcPr>
            <w:tcW w:w="1701"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sz w:val="36"/>
                <w:szCs w:val="36"/>
                <w:highlight w:val="none"/>
                <w:u w:val="none"/>
              </w:rPr>
            </w:pPr>
            <w:bookmarkStart w:id="0" w:name="_Hlk57884087"/>
            <w:r>
              <w:rPr>
                <w:b/>
                <w:bCs/>
                <w:color w:val="auto"/>
                <w:sz w:val="36"/>
                <w:szCs w:val="36"/>
                <w:highlight w:val="none"/>
                <w:u w:val="none"/>
              </w:rPr>
              <w:t>项目名称</w:t>
            </w:r>
          </w:p>
        </w:tc>
        <w:tc>
          <w:tcPr>
            <w:tcW w:w="788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180" w:leftChars="0" w:right="0" w:rightChars="0" w:hanging="180" w:hangingChars="50"/>
              <w:jc w:val="left"/>
              <w:textAlignment w:val="auto"/>
              <w:rPr>
                <w:rFonts w:hint="default"/>
                <w:b w:val="0"/>
                <w:bCs w:val="0"/>
                <w:color w:val="auto"/>
                <w:sz w:val="36"/>
                <w:szCs w:val="36"/>
                <w:highlight w:val="none"/>
                <w:u w:val="none"/>
                <w:lang w:val="en-US"/>
              </w:rPr>
            </w:pPr>
            <w:r>
              <w:rPr>
                <w:b w:val="0"/>
                <w:bCs w:val="0"/>
                <w:color w:val="auto"/>
                <w:sz w:val="36"/>
                <w:szCs w:val="36"/>
                <w:highlight w:val="none"/>
                <w:u w:val="none"/>
              </w:rPr>
              <w:t>：</w:t>
            </w:r>
            <w:r>
              <w:rPr>
                <w:rFonts w:hint="eastAsia"/>
                <w:b w:val="0"/>
                <w:bCs w:val="0"/>
                <w:color w:val="auto"/>
                <w:sz w:val="36"/>
                <w:szCs w:val="36"/>
                <w:highlight w:val="none"/>
                <w:u w:val="single"/>
                <w:lang w:val="en-US" w:eastAsia="zh-CN"/>
              </w:rPr>
              <w:t xml:space="preserve">  </w:t>
            </w:r>
            <w:r>
              <w:rPr>
                <w:rFonts w:hint="eastAsia"/>
                <w:b w:val="0"/>
                <w:bCs w:val="0"/>
                <w:color w:val="auto"/>
                <w:sz w:val="36"/>
                <w:szCs w:val="36"/>
                <w:highlight w:val="none"/>
                <w:u w:val="single"/>
                <w:lang w:eastAsia="zh-CN"/>
              </w:rPr>
              <w:t>年产1000万平米滤清器过滤材料扩建项目</w:t>
            </w:r>
            <w:r>
              <w:rPr>
                <w:rFonts w:hint="eastAsia"/>
                <w:b w:val="0"/>
                <w:bCs w:val="0"/>
                <w:color w:val="auto"/>
                <w:sz w:val="36"/>
                <w:szCs w:val="36"/>
                <w:highlight w:val="none"/>
                <w:u w:val="single"/>
                <w:lang w:val="en-US" w:eastAsia="zh-CN"/>
              </w:rPr>
              <w:t xml:space="preserve">  </w:t>
            </w:r>
          </w:p>
        </w:tc>
      </w:tr>
      <w:tr>
        <w:tblPrEx>
          <w:tblCellMar>
            <w:top w:w="0" w:type="dxa"/>
            <w:left w:w="28" w:type="dxa"/>
            <w:bottom w:w="0" w:type="dxa"/>
            <w:right w:w="28" w:type="dxa"/>
          </w:tblCellMar>
        </w:tblPrEx>
        <w:trPr>
          <w:trHeight w:val="1247" w:hRule="atLeast"/>
          <w:jc w:val="center"/>
        </w:trPr>
        <w:tc>
          <w:tcPr>
            <w:tcW w:w="1701"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sz w:val="36"/>
                <w:szCs w:val="36"/>
                <w:highlight w:val="none"/>
                <w:u w:val="none"/>
              </w:rPr>
            </w:pPr>
            <w:r>
              <w:rPr>
                <w:b/>
                <w:bCs/>
                <w:color w:val="auto"/>
                <w:sz w:val="36"/>
                <w:szCs w:val="36"/>
                <w:highlight w:val="none"/>
                <w:u w:val="none"/>
              </w:rPr>
              <w:t>建设单位</w:t>
            </w:r>
            <w:r>
              <w:rPr>
                <w:rFonts w:hint="eastAsia"/>
                <w:b w:val="0"/>
                <w:bCs w:val="0"/>
                <w:color w:val="auto"/>
                <w:sz w:val="32"/>
                <w:szCs w:val="32"/>
                <w:highlight w:val="none"/>
                <w:u w:val="none"/>
              </w:rPr>
              <w:t>（</w:t>
            </w:r>
            <w:r>
              <w:rPr>
                <w:b w:val="0"/>
                <w:bCs w:val="0"/>
                <w:color w:val="auto"/>
                <w:sz w:val="32"/>
                <w:szCs w:val="32"/>
                <w:highlight w:val="none"/>
                <w:u w:val="none"/>
              </w:rPr>
              <w:t>盖章</w:t>
            </w:r>
            <w:r>
              <w:rPr>
                <w:rFonts w:hint="eastAsia"/>
                <w:b w:val="0"/>
                <w:bCs w:val="0"/>
                <w:color w:val="auto"/>
                <w:sz w:val="32"/>
                <w:szCs w:val="32"/>
                <w:highlight w:val="none"/>
                <w:u w:val="none"/>
              </w:rPr>
              <w:t>）</w:t>
            </w:r>
          </w:p>
        </w:tc>
        <w:tc>
          <w:tcPr>
            <w:tcW w:w="788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left"/>
              <w:textAlignment w:val="auto"/>
              <w:rPr>
                <w:rFonts w:hint="default"/>
                <w:b w:val="0"/>
                <w:bCs w:val="0"/>
                <w:color w:val="auto"/>
                <w:sz w:val="36"/>
                <w:szCs w:val="36"/>
                <w:highlight w:val="none"/>
                <w:u w:val="none"/>
                <w:lang w:val="en-US"/>
              </w:rPr>
            </w:pPr>
            <w:r>
              <w:rPr>
                <w:b w:val="0"/>
                <w:bCs w:val="0"/>
                <w:color w:val="auto"/>
                <w:sz w:val="36"/>
                <w:szCs w:val="36"/>
                <w:highlight w:val="none"/>
                <w:u w:val="none"/>
              </w:rPr>
              <w:t>：</w:t>
            </w:r>
            <w:r>
              <w:rPr>
                <w:rFonts w:hint="eastAsia"/>
                <w:b w:val="0"/>
                <w:bCs w:val="0"/>
                <w:color w:val="auto"/>
                <w:sz w:val="36"/>
                <w:szCs w:val="36"/>
                <w:highlight w:val="none"/>
                <w:u w:val="single"/>
                <w:lang w:val="en-US" w:eastAsia="zh-CN"/>
              </w:rPr>
              <w:t xml:space="preserve"> </w:t>
            </w:r>
            <w:r>
              <w:rPr>
                <w:rFonts w:hint="eastAsia"/>
                <w:b w:val="0"/>
                <w:bCs w:val="0"/>
                <w:color w:val="auto"/>
                <w:sz w:val="36"/>
                <w:szCs w:val="36"/>
                <w:highlight w:val="none"/>
                <w:u w:val="single"/>
                <w:lang w:eastAsia="zh-CN"/>
              </w:rPr>
              <w:t>安徽凤凰滤清器股份有限公司华纺滤材分公司</w:t>
            </w:r>
            <w:r>
              <w:rPr>
                <w:rFonts w:hint="eastAsia"/>
                <w:b w:val="0"/>
                <w:bCs w:val="0"/>
                <w:color w:val="auto"/>
                <w:sz w:val="36"/>
                <w:szCs w:val="36"/>
                <w:highlight w:val="none"/>
                <w:u w:val="single"/>
                <w:lang w:val="en-US" w:eastAsia="zh-CN"/>
              </w:rPr>
              <w:t xml:space="preserve"> </w:t>
            </w:r>
          </w:p>
        </w:tc>
      </w:tr>
      <w:tr>
        <w:tblPrEx>
          <w:tblCellMar>
            <w:top w:w="0" w:type="dxa"/>
            <w:left w:w="28" w:type="dxa"/>
            <w:bottom w:w="0" w:type="dxa"/>
            <w:right w:w="28" w:type="dxa"/>
          </w:tblCellMar>
        </w:tblPrEx>
        <w:trPr>
          <w:trHeight w:val="850" w:hRule="atLeast"/>
          <w:jc w:val="center"/>
        </w:trPr>
        <w:tc>
          <w:tcPr>
            <w:tcW w:w="1701"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sz w:val="36"/>
                <w:szCs w:val="36"/>
                <w:highlight w:val="none"/>
                <w:u w:val="none"/>
              </w:rPr>
            </w:pPr>
            <w:r>
              <w:rPr>
                <w:b/>
                <w:bCs/>
                <w:color w:val="auto"/>
                <w:sz w:val="36"/>
                <w:szCs w:val="36"/>
                <w:highlight w:val="none"/>
                <w:u w:val="none"/>
              </w:rPr>
              <w:t>编制日期</w:t>
            </w:r>
          </w:p>
        </w:tc>
        <w:tc>
          <w:tcPr>
            <w:tcW w:w="7880"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left"/>
              <w:textAlignment w:val="auto"/>
              <w:rPr>
                <w:b w:val="0"/>
                <w:bCs w:val="0"/>
                <w:color w:val="auto"/>
                <w:sz w:val="36"/>
                <w:szCs w:val="36"/>
                <w:highlight w:val="none"/>
                <w:u w:val="none"/>
              </w:rPr>
            </w:pPr>
            <w:r>
              <w:rPr>
                <w:b w:val="0"/>
                <w:bCs w:val="0"/>
                <w:color w:val="auto"/>
                <w:sz w:val="36"/>
                <w:szCs w:val="36"/>
                <w:highlight w:val="none"/>
                <w:u w:val="none"/>
              </w:rPr>
              <w:t>：</w:t>
            </w:r>
            <w:r>
              <w:rPr>
                <w:b w:val="0"/>
                <w:bCs w:val="0"/>
                <w:color w:val="auto"/>
                <w:sz w:val="36"/>
                <w:szCs w:val="36"/>
                <w:highlight w:val="none"/>
                <w:u w:val="single"/>
              </w:rPr>
              <w:t xml:space="preserve">      </w:t>
            </w:r>
            <w:r>
              <w:rPr>
                <w:rFonts w:hint="eastAsia"/>
                <w:b w:val="0"/>
                <w:bCs w:val="0"/>
                <w:color w:val="auto"/>
                <w:sz w:val="36"/>
                <w:szCs w:val="36"/>
                <w:highlight w:val="none"/>
                <w:u w:val="single"/>
              </w:rPr>
              <w:t xml:space="preserve">    </w:t>
            </w:r>
            <w:r>
              <w:rPr>
                <w:rFonts w:hint="eastAsia"/>
                <w:b w:val="0"/>
                <w:bCs w:val="0"/>
                <w:color w:val="auto"/>
                <w:sz w:val="36"/>
                <w:szCs w:val="36"/>
                <w:highlight w:val="none"/>
                <w:u w:val="single"/>
                <w:lang w:val="en-US" w:eastAsia="zh-CN"/>
              </w:rPr>
              <w:t xml:space="preserve"> </w:t>
            </w:r>
            <w:r>
              <w:rPr>
                <w:rFonts w:hint="eastAsia"/>
                <w:b w:val="0"/>
                <w:bCs w:val="0"/>
                <w:color w:val="auto"/>
                <w:sz w:val="36"/>
                <w:szCs w:val="36"/>
                <w:highlight w:val="none"/>
                <w:u w:val="single"/>
              </w:rPr>
              <w:t xml:space="preserve">  </w:t>
            </w:r>
            <w:r>
              <w:rPr>
                <w:b w:val="0"/>
                <w:bCs w:val="0"/>
                <w:color w:val="auto"/>
                <w:sz w:val="36"/>
                <w:szCs w:val="36"/>
                <w:highlight w:val="none"/>
                <w:u w:val="single"/>
              </w:rPr>
              <w:t xml:space="preserve"> 202</w:t>
            </w:r>
            <w:r>
              <w:rPr>
                <w:rFonts w:hint="eastAsia"/>
                <w:b w:val="0"/>
                <w:bCs w:val="0"/>
                <w:color w:val="auto"/>
                <w:sz w:val="36"/>
                <w:szCs w:val="36"/>
                <w:highlight w:val="none"/>
                <w:u w:val="single"/>
                <w:lang w:val="en-US" w:eastAsia="zh-CN"/>
              </w:rPr>
              <w:t>3</w:t>
            </w:r>
            <w:r>
              <w:rPr>
                <w:b w:val="0"/>
                <w:bCs w:val="0"/>
                <w:color w:val="auto"/>
                <w:sz w:val="36"/>
                <w:szCs w:val="36"/>
                <w:highlight w:val="none"/>
                <w:u w:val="single"/>
              </w:rPr>
              <w:t>年</w:t>
            </w:r>
            <w:r>
              <w:rPr>
                <w:rFonts w:hint="eastAsia"/>
                <w:b w:val="0"/>
                <w:bCs w:val="0"/>
                <w:color w:val="auto"/>
                <w:sz w:val="36"/>
                <w:szCs w:val="36"/>
                <w:highlight w:val="none"/>
                <w:u w:val="single"/>
                <w:lang w:val="en-US" w:eastAsia="zh-CN"/>
              </w:rPr>
              <w:t>4</w:t>
            </w:r>
            <w:r>
              <w:rPr>
                <w:b w:val="0"/>
                <w:bCs w:val="0"/>
                <w:color w:val="auto"/>
                <w:sz w:val="36"/>
                <w:szCs w:val="36"/>
                <w:highlight w:val="none"/>
                <w:u w:val="single"/>
              </w:rPr>
              <w:t xml:space="preserve">月   </w:t>
            </w:r>
            <w:r>
              <w:rPr>
                <w:rFonts w:hint="eastAsia"/>
                <w:b w:val="0"/>
                <w:bCs w:val="0"/>
                <w:color w:val="auto"/>
                <w:sz w:val="36"/>
                <w:szCs w:val="36"/>
                <w:highlight w:val="none"/>
                <w:u w:val="single"/>
                <w:lang w:val="en-US" w:eastAsia="zh-CN"/>
              </w:rPr>
              <w:t xml:space="preserve"> </w:t>
            </w:r>
            <w:r>
              <w:rPr>
                <w:rFonts w:hint="eastAsia"/>
                <w:b w:val="0"/>
                <w:bCs w:val="0"/>
                <w:color w:val="auto"/>
                <w:sz w:val="36"/>
                <w:szCs w:val="36"/>
                <w:highlight w:val="none"/>
                <w:u w:val="single"/>
              </w:rPr>
              <w:t xml:space="preserve">   </w:t>
            </w:r>
            <w:r>
              <w:rPr>
                <w:rFonts w:hint="eastAsia"/>
                <w:b w:val="0"/>
                <w:bCs w:val="0"/>
                <w:color w:val="auto"/>
                <w:sz w:val="36"/>
                <w:szCs w:val="36"/>
                <w:highlight w:val="none"/>
                <w:u w:val="single"/>
                <w:lang w:val="en-US" w:eastAsia="zh-CN"/>
              </w:rPr>
              <w:t xml:space="preserve"> </w:t>
            </w:r>
            <w:r>
              <w:rPr>
                <w:rFonts w:hint="eastAsia"/>
                <w:b w:val="0"/>
                <w:bCs w:val="0"/>
                <w:color w:val="auto"/>
                <w:sz w:val="36"/>
                <w:szCs w:val="36"/>
                <w:highlight w:val="none"/>
                <w:u w:val="single"/>
              </w:rPr>
              <w:t xml:space="preserve">     </w:t>
            </w:r>
            <w:r>
              <w:rPr>
                <w:rFonts w:hint="eastAsia"/>
                <w:b w:val="0"/>
                <w:bCs w:val="0"/>
                <w:color w:val="auto"/>
                <w:sz w:val="36"/>
                <w:szCs w:val="36"/>
                <w:highlight w:val="none"/>
                <w:u w:val="single"/>
                <w:lang w:val="en-US" w:eastAsia="zh-CN"/>
              </w:rPr>
              <w:t xml:space="preserve"> </w:t>
            </w:r>
            <w:r>
              <w:rPr>
                <w:b w:val="0"/>
                <w:bCs w:val="0"/>
                <w:color w:val="auto"/>
                <w:sz w:val="36"/>
                <w:szCs w:val="36"/>
                <w:highlight w:val="none"/>
                <w:u w:val="single"/>
              </w:rPr>
              <w:t xml:space="preserve">   </w:t>
            </w:r>
          </w:p>
        </w:tc>
      </w:tr>
    </w:tbl>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p>
    <w:bookmarkEnd w:id="0"/>
    <w:p>
      <w:pPr>
        <w:keepNext w:val="0"/>
        <w:keepLines w:val="0"/>
        <w:pageBreakBefore w:val="0"/>
        <w:widowControl w:val="0"/>
        <w:shd w:val="clear" w:color="auto" w:fill="auto"/>
        <w:kinsoku/>
        <w:wordWrap/>
        <w:overflowPunct/>
        <w:topLinePunct/>
        <w:autoSpaceDE/>
        <w:autoSpaceDN/>
        <w:bidi w:val="0"/>
        <w:adjustRightInd w:val="0"/>
        <w:snapToGrid w:val="0"/>
        <w:spacing w:line="288" w:lineRule="auto"/>
        <w:jc w:val="center"/>
        <w:textAlignment w:val="auto"/>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t>中华人民共和国生态环境部制</w:t>
      </w:r>
    </w:p>
    <w:p>
      <w:pPr>
        <w:keepNext w:val="0"/>
        <w:keepLines w:val="0"/>
        <w:pageBreakBefore w:val="0"/>
        <w:widowControl w:val="0"/>
        <w:shd w:val="clear" w:color="auto" w:fill="auto"/>
        <w:kinsoku/>
        <w:wordWrap/>
        <w:overflowPunct/>
        <w:topLinePunct/>
        <w:autoSpaceDE/>
        <w:autoSpaceDN/>
        <w:bidi w:val="0"/>
        <w:adjustRightInd w:val="0"/>
        <w:snapToGrid w:val="0"/>
        <w:spacing w:line="288" w:lineRule="auto"/>
        <w:textAlignment w:val="auto"/>
        <w:rPr>
          <w:rFonts w:hint="eastAsia" w:ascii="楷体_GB2312" w:eastAsia="楷体_GB2312"/>
          <w:color w:val="auto"/>
          <w:sz w:val="36"/>
          <w:szCs w:val="36"/>
          <w:highlight w:val="none"/>
        </w:rPr>
      </w:pP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1040"/>
        <w:textAlignment w:val="auto"/>
        <w:rPr>
          <w:rFonts w:hint="eastAsia" w:ascii="宋体" w:hAnsi="宋体" w:eastAsia="宋体" w:cs="宋体"/>
          <w:color w:val="auto"/>
          <w:sz w:val="24"/>
          <w:szCs w:val="24"/>
          <w:highlight w:val="none"/>
        </w:rPr>
        <w:sectPr>
          <w:headerReference r:id="rId3" w:type="default"/>
          <w:footerReference r:id="rId4" w:type="default"/>
          <w:footerReference r:id="rId5" w:type="even"/>
          <w:pgSz w:w="11906" w:h="16838"/>
          <w:pgMar w:top="1304" w:right="1304" w:bottom="1304" w:left="1304" w:header="850" w:footer="850" w:gutter="0"/>
          <w:pgBorders>
            <w:top w:val="none" w:sz="0" w:space="0"/>
            <w:left w:val="none" w:sz="0" w:space="0"/>
            <w:bottom w:val="none" w:sz="0" w:space="0"/>
            <w:right w:val="none" w:sz="0" w:space="0"/>
          </w:pgBorders>
          <w:pgNumType w:start="3"/>
          <w:cols w:space="0" w:num="1"/>
          <w:rtlGutter w:val="0"/>
          <w:docGrid w:linePitch="312" w:charSpace="0"/>
        </w:sectPr>
      </w:pPr>
    </w:p>
    <w:p>
      <w:pPr>
        <w:pStyle w:val="2"/>
        <w:bidi w:val="0"/>
        <w:rPr>
          <w:rFonts w:hint="eastAsia"/>
          <w:color w:val="auto"/>
        </w:rPr>
      </w:pPr>
      <w:r>
        <w:rPr>
          <w:rFonts w:hint="eastAsia"/>
          <w:color w:val="auto"/>
        </w:rPr>
        <w:t>一、建设项目基本情况</w:t>
      </w:r>
    </w:p>
    <w:tbl>
      <w:tblPr>
        <w:tblStyle w:val="7"/>
        <w:tblW w:w="93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46"/>
        <w:gridCol w:w="1528"/>
        <w:gridCol w:w="1667"/>
        <w:gridCol w:w="2175"/>
        <w:gridCol w:w="33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建设项目名称</w:t>
            </w:r>
          </w:p>
        </w:tc>
        <w:tc>
          <w:tcPr>
            <w:tcW w:w="7201" w:type="dxa"/>
            <w:gridSpan w:val="3"/>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年产1000万平米滤清器过滤材料扩建项目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项目代码</w:t>
            </w:r>
          </w:p>
        </w:tc>
        <w:tc>
          <w:tcPr>
            <w:tcW w:w="7201" w:type="dxa"/>
            <w:gridSpan w:val="3"/>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2304-340321-04-01-426060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建设单位联系人</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王红娟</w:t>
            </w:r>
          </w:p>
        </w:tc>
        <w:tc>
          <w:tcPr>
            <w:tcW w:w="217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highlight w:val="none"/>
              </w:rPr>
            </w:pPr>
            <w:r>
              <w:rPr>
                <w:b/>
                <w:bCs/>
                <w:color w:val="auto"/>
                <w:highlight w:val="none"/>
              </w:rPr>
              <w:t>联系方式</w:t>
            </w:r>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15955241188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建设地点</w:t>
            </w:r>
          </w:p>
        </w:tc>
        <w:tc>
          <w:tcPr>
            <w:tcW w:w="7201" w:type="dxa"/>
            <w:gridSpan w:val="3"/>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蚌埠市怀远县经济开发区金河路32号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地理坐标</w:t>
            </w:r>
          </w:p>
        </w:tc>
        <w:tc>
          <w:tcPr>
            <w:tcW w:w="7201" w:type="dxa"/>
            <w:gridSpan w:val="3"/>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color w:val="auto"/>
                <w:highlight w:val="none"/>
                <w:lang w:eastAsia="zh-CN"/>
              </w:rPr>
            </w:pPr>
            <w:r>
              <w:rPr>
                <w:rFonts w:hint="eastAsia"/>
                <w:color w:val="auto"/>
                <w:highlight w:val="none"/>
                <w:lang w:eastAsia="zh-CN"/>
              </w:rPr>
              <w:t>117度14分59.773秒，32度59分2.326秒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国民经济</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行业类别</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C1781非织造布制造</w:t>
            </w:r>
          </w:p>
        </w:tc>
        <w:tc>
          <w:tcPr>
            <w:tcW w:w="217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bookmarkStart w:id="1" w:name="_Hlk49843745"/>
            <w:r>
              <w:rPr>
                <w:b/>
                <w:bCs/>
                <w:color w:val="auto"/>
                <w:highlight w:val="none"/>
              </w:rPr>
              <w:t>建设项目行业类别</w:t>
            </w:r>
            <w:bookmarkEnd w:id="1"/>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十四、纺织业17--28产业用纺织制成品制造178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1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建设性质</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新建（迁建）</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改建</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cs="宋体"/>
                <w:color w:val="auto"/>
                <w:highlight w:val="none"/>
                <w:lang w:eastAsia="zh-CN"/>
              </w:rPr>
              <w:sym w:font="Wingdings 2" w:char="0052"/>
            </w:r>
            <w:r>
              <w:rPr>
                <w:rFonts w:hint="eastAsia" w:ascii="宋体" w:hAnsi="宋体" w:eastAsia="宋体" w:cs="宋体"/>
                <w:color w:val="auto"/>
                <w:sz w:val="24"/>
                <w:szCs w:val="24"/>
                <w:highlight w:val="none"/>
              </w:rPr>
              <w:t>扩建</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技术改造</w:t>
            </w:r>
          </w:p>
        </w:tc>
        <w:tc>
          <w:tcPr>
            <w:tcW w:w="217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建设项目申报情形</w:t>
            </w:r>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cs="宋体"/>
                <w:color w:val="auto"/>
                <w:highlight w:val="none"/>
                <w:lang w:eastAsia="zh-CN"/>
              </w:rPr>
              <w:sym w:font="Wingdings 2" w:char="0052"/>
            </w:r>
            <w:r>
              <w:rPr>
                <w:rFonts w:hint="eastAsia" w:ascii="宋体" w:hAnsi="宋体" w:eastAsia="宋体" w:cs="宋体"/>
                <w:color w:val="auto"/>
                <w:sz w:val="24"/>
                <w:szCs w:val="24"/>
                <w:highlight w:val="none"/>
              </w:rPr>
              <w:t>首次申报项目</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不予批准后再次申报项目</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超五年重新审核项目</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项目审批（核准/备案）部门（选填）</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eastAsia="zh-CN"/>
              </w:rPr>
              <w:t>怀远县发展和改革委员会</w:t>
            </w:r>
          </w:p>
        </w:tc>
        <w:tc>
          <w:tcPr>
            <w:tcW w:w="217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项目审批（核准/备案）文号（选填）</w:t>
            </w:r>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color w:val="auto"/>
                <w:highlight w:val="none"/>
                <w:lang w:eastAsia="zh-CN"/>
              </w:rPr>
            </w:pPr>
            <w:r>
              <w:rPr>
                <w:rFonts w:hint="eastAsia"/>
                <w:color w:val="auto"/>
                <w:highlight w:val="none"/>
                <w:lang w:val="en-US" w:eastAsia="zh-CN"/>
              </w:rPr>
              <w:t>怀发改经开备案〔2023〕29号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b/>
                <w:bCs/>
                <w:color w:val="auto"/>
                <w:highlight w:val="none"/>
                <w:lang w:val="en-US" w:eastAsia="zh-CN"/>
              </w:rPr>
            </w:pPr>
            <w:r>
              <w:rPr>
                <w:b/>
                <w:bCs/>
                <w:color w:val="auto"/>
                <w:highlight w:val="none"/>
              </w:rPr>
              <w:t>总投资</w:t>
            </w:r>
            <w:r>
              <w:rPr>
                <w:rFonts w:hint="eastAsia"/>
                <w:b/>
                <w:bCs/>
                <w:color w:val="auto"/>
                <w:highlight w:val="none"/>
                <w:lang w:eastAsia="zh-CN"/>
              </w:rPr>
              <w:t>（</w:t>
            </w:r>
            <w:r>
              <w:rPr>
                <w:b/>
                <w:bCs/>
                <w:color w:val="auto"/>
                <w:highlight w:val="none"/>
              </w:rPr>
              <w:t>万元</w:t>
            </w:r>
            <w:r>
              <w:rPr>
                <w:rFonts w:hint="eastAsia"/>
                <w:b/>
                <w:bCs/>
                <w:color w:val="auto"/>
                <w:highlight w:val="none"/>
                <w:lang w:eastAsia="zh-CN"/>
              </w:rPr>
              <w:t>）</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530</w:t>
            </w:r>
          </w:p>
        </w:tc>
        <w:tc>
          <w:tcPr>
            <w:tcW w:w="2175" w:type="dxa"/>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环保投资</w:t>
            </w:r>
            <w:r>
              <w:rPr>
                <w:rFonts w:hint="eastAsia"/>
                <w:b/>
                <w:bCs/>
                <w:color w:val="auto"/>
                <w:highlight w:val="none"/>
                <w:lang w:eastAsia="zh-CN"/>
              </w:rPr>
              <w:t>（</w:t>
            </w:r>
            <w:r>
              <w:rPr>
                <w:b/>
                <w:bCs/>
                <w:color w:val="auto"/>
                <w:highlight w:val="none"/>
              </w:rPr>
              <w:t>万元</w:t>
            </w:r>
            <w:r>
              <w:rPr>
                <w:rFonts w:hint="eastAsia"/>
                <w:b/>
                <w:bCs/>
                <w:color w:val="auto"/>
                <w:highlight w:val="none"/>
                <w:lang w:eastAsia="zh-CN"/>
              </w:rPr>
              <w:t>）</w:t>
            </w:r>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eastAsia" w:eastAsia="宋体"/>
                <w:b/>
                <w:bCs/>
                <w:color w:val="auto"/>
                <w:highlight w:val="none"/>
                <w:lang w:val="en-US" w:eastAsia="zh-CN"/>
              </w:rPr>
            </w:pPr>
            <w:r>
              <w:rPr>
                <w:b/>
                <w:bCs/>
                <w:color w:val="auto"/>
                <w:highlight w:val="none"/>
              </w:rPr>
              <w:t>环保投资占比</w:t>
            </w:r>
            <w:r>
              <w:rPr>
                <w:rFonts w:hint="eastAsia"/>
                <w:b/>
                <w:bCs/>
                <w:color w:val="auto"/>
                <w:highlight w:val="none"/>
                <w:lang w:val="en-US" w:eastAsia="zh-CN"/>
              </w:rPr>
              <w:t>（</w:t>
            </w:r>
            <w:r>
              <w:rPr>
                <w:b/>
                <w:bCs/>
                <w:color w:val="auto"/>
                <w:highlight w:val="none"/>
              </w:rPr>
              <w:t>%</w:t>
            </w:r>
            <w:r>
              <w:rPr>
                <w:rFonts w:hint="eastAsia"/>
                <w:b/>
                <w:bCs/>
                <w:color w:val="auto"/>
                <w:highlight w:val="none"/>
                <w:lang w:val="en-US" w:eastAsia="zh-CN"/>
              </w:rPr>
              <w:t>）</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10</w:t>
            </w:r>
          </w:p>
        </w:tc>
        <w:tc>
          <w:tcPr>
            <w:tcW w:w="2175" w:type="dxa"/>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施工工期</w:t>
            </w:r>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highlight w:val="none"/>
              </w:rPr>
            </w:pPr>
            <w:r>
              <w:rPr>
                <w:rFonts w:hint="eastAsia"/>
                <w:color w:val="auto"/>
                <w:highlight w:val="none"/>
                <w:lang w:val="en-US" w:eastAsia="zh-CN"/>
              </w:rPr>
              <w:t>3</w:t>
            </w:r>
            <w:r>
              <w:rPr>
                <w:color w:val="auto"/>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2174" w:type="dxa"/>
            <w:gridSpan w:val="2"/>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是否开工建设</w:t>
            </w:r>
          </w:p>
        </w:tc>
        <w:tc>
          <w:tcPr>
            <w:tcW w:w="1667"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color w:val="auto"/>
                <w:highlight w:val="none"/>
              </w:rPr>
            </w:pPr>
            <w:r>
              <w:rPr>
                <w:rFonts w:hint="eastAsia"/>
                <w:color w:val="auto"/>
                <w:highlight w:val="none"/>
                <w:lang w:eastAsia="zh-CN"/>
              </w:rPr>
              <w:sym w:font="Wingdings 2" w:char="0052"/>
            </w:r>
            <w:r>
              <w:rPr>
                <w:color w:val="auto"/>
                <w:highlight w:val="none"/>
              </w:rPr>
              <w:t>否</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color w:val="auto"/>
                <w:highlight w:val="none"/>
                <w:u w:val="single"/>
              </w:rPr>
            </w:pPr>
            <w:r>
              <w:rPr>
                <w:rFonts w:hint="eastAsia"/>
                <w:color w:val="auto"/>
                <w:highlight w:val="none"/>
                <w:lang w:eastAsia="zh-CN"/>
              </w:rPr>
              <w:t>□</w:t>
            </w:r>
            <w:r>
              <w:rPr>
                <w:color w:val="auto"/>
                <w:highlight w:val="none"/>
              </w:rPr>
              <w:t>是：</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tc>
        <w:tc>
          <w:tcPr>
            <w:tcW w:w="2175" w:type="dxa"/>
            <w:noWrap w:val="0"/>
            <w:tcMar>
              <w:top w:w="16" w:type="dxa"/>
              <w:left w:w="16" w:type="dxa"/>
              <w:right w:w="16"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用地（用海）</w:t>
            </w:r>
          </w:p>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highlight w:val="none"/>
              </w:rPr>
            </w:pPr>
            <w:r>
              <w:rPr>
                <w:b/>
                <w:bCs/>
                <w:color w:val="auto"/>
                <w:highlight w:val="none"/>
              </w:rPr>
              <w:t>面积（m</w:t>
            </w:r>
            <w:r>
              <w:rPr>
                <w:b/>
                <w:bCs/>
                <w:color w:val="auto"/>
                <w:highlight w:val="none"/>
                <w:vertAlign w:val="superscript"/>
              </w:rPr>
              <w:t>2</w:t>
            </w:r>
            <w:r>
              <w:rPr>
                <w:b/>
                <w:bCs/>
                <w:color w:val="auto"/>
                <w:highlight w:val="none"/>
              </w:rPr>
              <w:t>）</w:t>
            </w:r>
          </w:p>
        </w:tc>
        <w:tc>
          <w:tcPr>
            <w:tcW w:w="3359"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rFonts w:hint="default" w:eastAsia="宋体"/>
                <w:color w:val="auto"/>
                <w:highlight w:val="none"/>
                <w:lang w:val="en-US" w:eastAsia="zh-CN"/>
              </w:rPr>
            </w:pPr>
            <w:r>
              <w:rPr>
                <w:rFonts w:hint="eastAsia"/>
                <w:color w:val="auto"/>
                <w:highlight w:val="none"/>
                <w:lang w:val="en-US" w:eastAsia="zh-CN"/>
              </w:rPr>
              <w:t>13087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81" w:hRule="atLeast"/>
          <w:jc w:val="center"/>
        </w:trPr>
        <w:tc>
          <w:tcPr>
            <w:tcW w:w="64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kern w:val="0"/>
                <w:highlight w:val="none"/>
              </w:rPr>
            </w:pPr>
            <w:r>
              <w:rPr>
                <w:b/>
                <w:bCs/>
                <w:color w:val="auto"/>
                <w:kern w:val="0"/>
                <w:highlight w:val="none"/>
              </w:rPr>
              <w:t>专项评价设置情况</w:t>
            </w:r>
          </w:p>
        </w:tc>
        <w:tc>
          <w:tcPr>
            <w:tcW w:w="8729" w:type="dxa"/>
            <w:gridSpan w:val="4"/>
            <w:noWrap w:val="0"/>
            <w:vAlign w:val="center"/>
          </w:tcPr>
          <w:p>
            <w:pPr>
              <w:pStyle w:val="16"/>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ind w:left="0" w:leftChars="0" w:right="0" w:rightChars="0" w:firstLine="480" w:firstLineChars="200"/>
              <w:textAlignment w:val="auto"/>
              <w:rPr>
                <w:color w:val="auto"/>
                <w:highlight w:val="none"/>
              </w:rPr>
            </w:pPr>
            <w:r>
              <w:rPr>
                <w:rFonts w:hint="eastAsia"/>
                <w:color w:val="auto"/>
                <w:highlight w:val="none"/>
                <w:lang w:eastAsia="zh-CN"/>
              </w:rPr>
              <w:t>对照</w:t>
            </w:r>
            <w:r>
              <w:rPr>
                <w:color w:val="auto"/>
                <w:highlight w:val="none"/>
              </w:rPr>
              <w:t>《建设项目环境影响报告表编制技术指南</w:t>
            </w:r>
            <w:r>
              <w:rPr>
                <w:rFonts w:hint="eastAsia"/>
                <w:color w:val="auto"/>
                <w:highlight w:val="none"/>
                <w:lang w:val="en-US" w:eastAsia="zh-CN"/>
              </w:rPr>
              <w:t>--</w:t>
            </w:r>
            <w:r>
              <w:rPr>
                <w:color w:val="auto"/>
                <w:highlight w:val="none"/>
              </w:rPr>
              <w:t>污染影响类》</w:t>
            </w:r>
            <w:r>
              <w:rPr>
                <w:rFonts w:hint="eastAsia"/>
                <w:color w:val="auto"/>
                <w:highlight w:val="none"/>
              </w:rPr>
              <w:t>（试行）</w:t>
            </w:r>
            <w:r>
              <w:rPr>
                <w:rFonts w:hint="eastAsia"/>
                <w:color w:val="auto"/>
                <w:highlight w:val="none"/>
                <w:lang w:eastAsia="zh-CN"/>
              </w:rPr>
              <w:t>中专项评价设置原则，分析情况见下表</w:t>
            </w:r>
            <w:r>
              <w:rPr>
                <w:color w:val="auto"/>
                <w:highlight w:val="none"/>
              </w:rPr>
              <w:t>。</w:t>
            </w:r>
          </w:p>
          <w:p>
            <w:pPr>
              <w:pStyle w:val="11"/>
              <w:keepNext w:val="0"/>
              <w:keepLines w:val="0"/>
              <w:pageBreakBefore w:val="0"/>
              <w:kinsoku/>
              <w:wordWrap/>
              <w:overflowPunct/>
              <w:bidi w:val="0"/>
              <w:adjustRightInd w:val="0"/>
              <w:snapToGrid w:val="0"/>
              <w:ind w:left="0" w:leftChars="0" w:right="0" w:rightChars="0"/>
              <w:textAlignment w:val="auto"/>
              <w:rPr>
                <w:rFonts w:hint="eastAsia"/>
                <w:color w:val="auto"/>
                <w:lang w:val="en-US" w:eastAsia="zh-CN"/>
              </w:rPr>
            </w:pPr>
            <w:r>
              <w:rPr>
                <w:rFonts w:hint="eastAsia"/>
                <w:color w:val="auto"/>
                <w:lang w:eastAsia="zh-CN"/>
              </w:rPr>
              <w:t>表</w:t>
            </w:r>
            <w:r>
              <w:rPr>
                <w:rFonts w:hint="eastAsia"/>
                <w:color w:val="auto"/>
                <w:lang w:val="en-US" w:eastAsia="zh-CN"/>
              </w:rPr>
              <w:t>1-1 专项评价设置分析情况</w:t>
            </w:r>
          </w:p>
          <w:tbl>
            <w:tblPr>
              <w:tblStyle w:val="8"/>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7"/>
              <w:gridCol w:w="5839"/>
              <w:gridCol w:w="907"/>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77"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专项评价类别</w:t>
                  </w:r>
                </w:p>
              </w:tc>
              <w:tc>
                <w:tcPr>
                  <w:tcW w:w="5839"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设置原则</w:t>
                  </w:r>
                </w:p>
              </w:tc>
              <w:tc>
                <w:tcPr>
                  <w:tcW w:w="907"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项目</w:t>
                  </w:r>
                </w:p>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情况</w:t>
                  </w:r>
                </w:p>
              </w:tc>
              <w:tc>
                <w:tcPr>
                  <w:tcW w:w="794" w:type="dxa"/>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是否设专项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7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大气</w:t>
                  </w:r>
                </w:p>
              </w:tc>
              <w:tc>
                <w:tcPr>
                  <w:tcW w:w="583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排放废气含有毒有害污染物</w:t>
                  </w:r>
                  <w:r>
                    <w:rPr>
                      <w:rFonts w:hint="default" w:ascii="Times New Roman" w:hAnsi="Times New Roman" w:eastAsia="宋体" w:cs="Times New Roman"/>
                      <w:color w:val="auto"/>
                      <w:kern w:val="0"/>
                      <w:sz w:val="21"/>
                      <w:szCs w:val="21"/>
                      <w:vertAlign w:val="superscript"/>
                      <w:lang w:val="en-US" w:eastAsia="zh-CN" w:bidi="ar"/>
                    </w:rPr>
                    <w:t>1</w:t>
                  </w:r>
                  <w:r>
                    <w:rPr>
                      <w:rFonts w:hint="default" w:ascii="Times New Roman" w:hAnsi="Times New Roman" w:eastAsia="宋体" w:cs="Times New Roman"/>
                      <w:color w:val="auto"/>
                      <w:kern w:val="0"/>
                      <w:sz w:val="21"/>
                      <w:szCs w:val="21"/>
                      <w:lang w:val="en-US" w:eastAsia="zh-CN" w:bidi="ar"/>
                    </w:rPr>
                    <w:t>、二噁英、苯并</w:t>
                  </w:r>
                  <w:r>
                    <w:rPr>
                      <w:rFonts w:hint="eastAsia" w:cs="Times New Roman"/>
                      <w:color w:val="auto"/>
                      <w:kern w:val="0"/>
                      <w:sz w:val="21"/>
                      <w:szCs w:val="21"/>
                      <w:lang w:val="en-US" w:eastAsia="zh-CN" w:bidi="ar"/>
                    </w:rPr>
                    <w:t>〔</w:t>
                  </w:r>
                  <w:r>
                    <w:rPr>
                      <w:rFonts w:hint="default" w:ascii="Times New Roman" w:hAnsi="Times New Roman" w:eastAsia="宋体" w:cs="Times New Roman"/>
                      <w:i/>
                      <w:iCs/>
                      <w:color w:val="auto"/>
                      <w:kern w:val="0"/>
                      <w:sz w:val="21"/>
                      <w:szCs w:val="21"/>
                      <w:lang w:val="en-US" w:eastAsia="zh-CN" w:bidi="ar"/>
                    </w:rPr>
                    <w:t>a</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芘、氰化物、氯气且厂界外500米范围内有环境空气保护目标</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的建设项目</w:t>
                  </w:r>
                </w:p>
              </w:tc>
              <w:tc>
                <w:tcPr>
                  <w:tcW w:w="9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不涉及</w:t>
                  </w:r>
                </w:p>
              </w:tc>
              <w:tc>
                <w:tcPr>
                  <w:tcW w:w="7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7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地表水</w:t>
                  </w:r>
                </w:p>
              </w:tc>
              <w:tc>
                <w:tcPr>
                  <w:tcW w:w="583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新增工业废水直排建设项目（槽罐车外送污水处理厂的除外）；新增废水直排的污水集中处理厂</w:t>
                  </w:r>
                </w:p>
              </w:tc>
              <w:tc>
                <w:tcPr>
                  <w:tcW w:w="9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间接</w:t>
                  </w:r>
                </w:p>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排放</w:t>
                  </w:r>
                </w:p>
              </w:tc>
              <w:tc>
                <w:tcPr>
                  <w:tcW w:w="7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环境风险</w:t>
                  </w:r>
                </w:p>
              </w:tc>
              <w:tc>
                <w:tcPr>
                  <w:tcW w:w="583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有毒有害和易燃易爆危险物质存储量超过临界量</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的建设项目</w:t>
                  </w:r>
                </w:p>
              </w:tc>
              <w:tc>
                <w:tcPr>
                  <w:tcW w:w="9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Q</w:t>
                  </w:r>
                  <w:r>
                    <w:rPr>
                      <w:rFonts w:hint="default" w:ascii="Times New Roman" w:hAnsi="Times New Roman" w:eastAsia="宋体" w:cs="Times New Roman"/>
                      <w:color w:val="auto"/>
                      <w:sz w:val="21"/>
                      <w:szCs w:val="21"/>
                      <w:highlight w:val="none"/>
                      <w:lang w:val="en-US" w:eastAsia="zh-CN"/>
                    </w:rPr>
                    <w:t>&lt;</w:t>
                  </w:r>
                  <w:r>
                    <w:rPr>
                      <w:rFonts w:hint="default" w:ascii="Times New Roman" w:hAnsi="Times New Roman" w:cs="Times New Roman"/>
                      <w:color w:val="auto"/>
                      <w:sz w:val="21"/>
                      <w:szCs w:val="21"/>
                      <w:lang w:val="en-US" w:eastAsia="zh-CN"/>
                    </w:rPr>
                    <w:t>1</w:t>
                  </w:r>
                </w:p>
              </w:tc>
              <w:tc>
                <w:tcPr>
                  <w:tcW w:w="7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107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生态</w:t>
                  </w:r>
                </w:p>
              </w:tc>
              <w:tc>
                <w:tcPr>
                  <w:tcW w:w="583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取水口下游500米范围内有重要水生生物的自然产卵场、索饵场、越冬场和洄游通道的新增河道取水的污染类建设项目</w:t>
                  </w:r>
                </w:p>
              </w:tc>
              <w:tc>
                <w:tcPr>
                  <w:tcW w:w="9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7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7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海洋</w:t>
                  </w:r>
                </w:p>
              </w:tc>
              <w:tc>
                <w:tcPr>
                  <w:tcW w:w="583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直接向海排放污染物的海洋工程建设项目</w:t>
                  </w:r>
                </w:p>
              </w:tc>
              <w:tc>
                <w:tcPr>
                  <w:tcW w:w="9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不属于</w:t>
                  </w:r>
                </w:p>
              </w:tc>
              <w:tc>
                <w:tcPr>
                  <w:tcW w:w="7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否</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20" w:firstLineChars="200"/>
              <w:textAlignment w:val="auto"/>
              <w:rPr>
                <w:rFonts w:hint="default"/>
                <w:color w:val="auto"/>
                <w:sz w:val="21"/>
                <w:szCs w:val="21"/>
                <w:lang w:val="en-US" w:eastAsia="zh-CN"/>
              </w:rPr>
            </w:pPr>
            <w:r>
              <w:rPr>
                <w:rFonts w:hint="default"/>
                <w:color w:val="auto"/>
                <w:sz w:val="21"/>
                <w:szCs w:val="21"/>
                <w:lang w:val="en-US" w:eastAsia="zh-CN"/>
              </w:rPr>
              <w:t>注：</w:t>
            </w:r>
            <w:r>
              <w:rPr>
                <w:rFonts w:hint="eastAsia"/>
                <w:color w:val="auto"/>
                <w:sz w:val="21"/>
                <w:szCs w:val="21"/>
                <w:lang w:val="en-US" w:eastAsia="zh-CN"/>
              </w:rPr>
              <w:t>1、</w:t>
            </w:r>
            <w:r>
              <w:rPr>
                <w:rFonts w:hint="default"/>
                <w:color w:val="auto"/>
                <w:sz w:val="21"/>
                <w:szCs w:val="21"/>
                <w:lang w:val="en-US" w:eastAsia="zh-CN"/>
              </w:rPr>
              <w:t>废气中有毒有害污染物指纳入《有毒有害大气污染物名录》的污染物（不包括无排放标准的污染物）（包括二氯甲烷、甲醛、三氯甲烷、三氯乙烯、四氯乙烯、乙醛、镉及其化合物、铬及其化合物、汞及其化合物、铅及其化合物、砷及其化合物）。</w:t>
            </w:r>
            <w:r>
              <w:rPr>
                <w:rFonts w:hint="eastAsia"/>
                <w:color w:val="auto"/>
                <w:sz w:val="21"/>
                <w:szCs w:val="21"/>
                <w:lang w:val="en-US" w:eastAsia="zh-CN"/>
              </w:rPr>
              <w:t>2、</w:t>
            </w:r>
            <w:r>
              <w:rPr>
                <w:rFonts w:hint="default"/>
                <w:color w:val="auto"/>
                <w:sz w:val="21"/>
                <w:szCs w:val="21"/>
                <w:lang w:val="en-US" w:eastAsia="zh-CN"/>
              </w:rPr>
              <w:t>环境空气保护目标指自然保护区、风景名胜区、居住区、文化区和农村地区中人群较集中的区域。</w:t>
            </w:r>
            <w:r>
              <w:rPr>
                <w:rFonts w:hint="eastAsia"/>
                <w:color w:val="auto"/>
                <w:sz w:val="21"/>
                <w:szCs w:val="21"/>
                <w:lang w:val="en-US" w:eastAsia="zh-CN"/>
              </w:rPr>
              <w:t>3、</w:t>
            </w:r>
            <w:r>
              <w:rPr>
                <w:rFonts w:hint="default"/>
                <w:color w:val="auto"/>
                <w:sz w:val="21"/>
                <w:szCs w:val="21"/>
                <w:lang w:val="en-US" w:eastAsia="zh-CN"/>
              </w:rPr>
              <w:t>临界量及其计算方法可参考《建设项目环境风险评价技术导则》（HJ 169）附录B、附录C。</w:t>
            </w:r>
          </w:p>
          <w:p>
            <w:pPr>
              <w:pStyle w:val="16"/>
              <w:keepNext w:val="0"/>
              <w:keepLines w:val="0"/>
              <w:pageBreakBefore w:val="0"/>
              <w:kinsoku/>
              <w:wordWrap/>
              <w:overflowPunct/>
              <w:bidi w:val="0"/>
              <w:adjustRightInd w:val="0"/>
              <w:snapToGrid w:val="0"/>
              <w:ind w:left="0" w:leftChars="0" w:right="0" w:rightChars="0"/>
              <w:textAlignment w:val="auto"/>
              <w:rPr>
                <w:rFonts w:hint="default"/>
                <w:color w:val="auto"/>
                <w:lang w:val="en-US" w:eastAsia="zh-CN"/>
              </w:rPr>
            </w:pPr>
            <w:r>
              <w:rPr>
                <w:rFonts w:hint="eastAsia"/>
                <w:color w:val="auto"/>
                <w:lang w:val="en-US" w:eastAsia="zh-CN"/>
              </w:rPr>
              <w:t>综上分析可知，本项目无需设置专项评价。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608" w:hRule="atLeast"/>
          <w:jc w:val="center"/>
        </w:trPr>
        <w:tc>
          <w:tcPr>
            <w:tcW w:w="64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b/>
                <w:bCs/>
                <w:color w:val="auto"/>
                <w:kern w:val="0"/>
                <w:highlight w:val="none"/>
              </w:rPr>
            </w:pPr>
            <w:r>
              <w:rPr>
                <w:b/>
                <w:bCs/>
                <w:color w:val="auto"/>
                <w:highlight w:val="none"/>
              </w:rPr>
              <w:t>规划情况</w:t>
            </w:r>
          </w:p>
        </w:tc>
        <w:tc>
          <w:tcPr>
            <w:tcW w:w="8729" w:type="dxa"/>
            <w:gridSpan w:val="4"/>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rFonts w:hint="eastAsia"/>
                <w:color w:val="auto"/>
                <w:highlight w:val="none"/>
              </w:rPr>
              <w:t>安徽怀远经济开发区于2003年5月经蚌埠市政府批准成立（蚌政秘</w:t>
            </w:r>
            <w:r>
              <w:rPr>
                <w:rFonts w:hint="eastAsia"/>
                <w:color w:val="auto"/>
                <w:highlight w:val="none"/>
                <w:lang w:eastAsia="zh-CN"/>
              </w:rPr>
              <w:t>〔</w:t>
            </w:r>
            <w:r>
              <w:rPr>
                <w:rFonts w:hint="eastAsia"/>
                <w:color w:val="auto"/>
                <w:highlight w:val="none"/>
              </w:rPr>
              <w:t>2003</w:t>
            </w:r>
            <w:r>
              <w:rPr>
                <w:rFonts w:hint="eastAsia"/>
                <w:color w:val="auto"/>
                <w:highlight w:val="none"/>
                <w:lang w:eastAsia="zh-CN"/>
              </w:rPr>
              <w:t>〕</w:t>
            </w:r>
            <w:r>
              <w:rPr>
                <w:rFonts w:hint="eastAsia"/>
                <w:color w:val="auto"/>
                <w:highlight w:val="none"/>
              </w:rPr>
              <w:t>27号文），原名怀远县工业开发区。根据经国务院同意，国家发展改革委、国土资源部、建设部联合发布的2007年第18号公告《中国开发区审核公告目录》（2006年版）文件，开发区批准设立为省级开发区并更名为安徽怀远经济开发区（编号为S347022），其主要产业为金属产品加工、纺织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268" w:hRule="atLeast"/>
          <w:jc w:val="center"/>
        </w:trPr>
        <w:tc>
          <w:tcPr>
            <w:tcW w:w="64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highlight w:val="none"/>
              </w:rPr>
            </w:pPr>
            <w:r>
              <w:rPr>
                <w:b/>
                <w:bCs/>
                <w:color w:val="auto"/>
                <w:highlight w:val="none"/>
              </w:rPr>
              <w:t>规划环境影响评价情况</w:t>
            </w:r>
          </w:p>
        </w:tc>
        <w:tc>
          <w:tcPr>
            <w:tcW w:w="8729" w:type="dxa"/>
            <w:gridSpan w:val="4"/>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lang w:eastAsia="zh-CN"/>
              </w:rPr>
              <w:t>规划环评名称：《安徽怀远经济开发区环境影响报告书》</w:t>
            </w:r>
          </w:p>
          <w:p>
            <w:pPr>
              <w:pStyle w:val="16"/>
              <w:keepNext w:val="0"/>
              <w:keepLines w:val="0"/>
              <w:pageBreakBefore w:val="0"/>
              <w:kinsoku/>
              <w:wordWrap/>
              <w:overflowPunct/>
              <w:bidi w:val="0"/>
              <w:adjustRightInd w:val="0"/>
              <w:snapToGrid w:val="0"/>
              <w:textAlignment w:val="auto"/>
              <w:rPr>
                <w:rFonts w:hint="eastAsia"/>
                <w:color w:val="auto"/>
                <w:lang w:eastAsia="zh-CN"/>
              </w:rPr>
            </w:pPr>
            <w:r>
              <w:rPr>
                <w:rFonts w:hint="eastAsia"/>
                <w:color w:val="auto"/>
                <w:lang w:eastAsia="zh-CN"/>
              </w:rPr>
              <w:t>规划环评审批机关：原安徽省环境保护局</w:t>
            </w:r>
          </w:p>
          <w:p>
            <w:pPr>
              <w:pStyle w:val="16"/>
              <w:keepNext w:val="0"/>
              <w:keepLines w:val="0"/>
              <w:pageBreakBefore w:val="0"/>
              <w:kinsoku/>
              <w:wordWrap/>
              <w:overflowPunct/>
              <w:bidi w:val="0"/>
              <w:adjustRightInd w:val="0"/>
              <w:snapToGrid w:val="0"/>
              <w:textAlignment w:val="auto"/>
              <w:rPr>
                <w:rFonts w:hint="eastAsia"/>
                <w:color w:val="auto"/>
                <w:lang w:eastAsia="zh-CN"/>
              </w:rPr>
            </w:pPr>
            <w:r>
              <w:rPr>
                <w:rFonts w:hint="eastAsia"/>
                <w:color w:val="auto"/>
                <w:lang w:eastAsia="zh-CN"/>
              </w:rPr>
              <w:t>规划环评审批文件名称：《关于安徽怀远经济开发区环境影响报告书批复的函》</w:t>
            </w:r>
          </w:p>
          <w:p>
            <w:pPr>
              <w:pStyle w:val="16"/>
              <w:keepNext w:val="0"/>
              <w:keepLines w:val="0"/>
              <w:pageBreakBefore w:val="0"/>
              <w:kinsoku/>
              <w:wordWrap/>
              <w:overflowPunct/>
              <w:bidi w:val="0"/>
              <w:adjustRightInd w:val="0"/>
              <w:snapToGrid w:val="0"/>
              <w:textAlignment w:val="auto"/>
              <w:rPr>
                <w:rFonts w:hint="eastAsia" w:eastAsia="宋体"/>
                <w:color w:val="auto"/>
                <w:highlight w:val="none"/>
                <w:lang w:eastAsia="zh-CN"/>
              </w:rPr>
            </w:pPr>
            <w:r>
              <w:rPr>
                <w:rFonts w:hint="eastAsia"/>
                <w:color w:val="auto"/>
                <w:lang w:eastAsia="zh-CN"/>
              </w:rPr>
              <w:t>规划环评审批文号：环评函〔2007〕1055号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061" w:hRule="atLeast"/>
          <w:jc w:val="center"/>
        </w:trPr>
        <w:tc>
          <w:tcPr>
            <w:tcW w:w="64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highlight w:val="none"/>
              </w:rPr>
            </w:pPr>
            <w:r>
              <w:rPr>
                <w:b/>
                <w:bCs/>
                <w:color w:val="auto"/>
                <w:highlight w:val="none"/>
              </w:rPr>
              <w:t>规划及规划环境影响评价符合性分析</w:t>
            </w:r>
          </w:p>
        </w:tc>
        <w:tc>
          <w:tcPr>
            <w:tcW w:w="8729" w:type="dxa"/>
            <w:gridSpan w:val="4"/>
            <w:noWrap w:val="0"/>
            <w:vAlign w:val="center"/>
          </w:tcPr>
          <w:p>
            <w:pPr>
              <w:pStyle w:val="18"/>
              <w:keepNext w:val="0"/>
              <w:keepLines w:val="0"/>
              <w:pageBreakBefore w:val="0"/>
              <w:widowControl w:val="0"/>
              <w:shd w:val="clear" w:color="auto" w:fill="auto"/>
              <w:kinsoku/>
              <w:wordWrap/>
              <w:overflowPunct/>
              <w:topLinePunct/>
              <w:autoSpaceDE/>
              <w:autoSpaceDN/>
              <w:bidi w:val="0"/>
              <w:adjustRightInd w:val="0"/>
              <w:snapToGrid w:val="0"/>
              <w:spacing w:before="120" w:beforeLines="50"/>
              <w:ind w:left="0" w:leftChars="0" w:right="0" w:rightChars="0" w:firstLine="482" w:firstLineChars="200"/>
              <w:textAlignment w:val="auto"/>
              <w:rPr>
                <w:rFonts w:hint="eastAsia" w:eastAsia="宋体"/>
                <w:color w:val="auto"/>
                <w:highlight w:val="none"/>
                <w:lang w:eastAsia="zh-CN"/>
              </w:rPr>
            </w:pPr>
            <w:r>
              <w:rPr>
                <w:rFonts w:hint="eastAsia"/>
                <w:color w:val="auto"/>
                <w:highlight w:val="none"/>
                <w:lang w:val="en-US" w:eastAsia="zh-CN"/>
              </w:rPr>
              <w:t>1、</w:t>
            </w:r>
            <w:r>
              <w:rPr>
                <w:color w:val="auto"/>
                <w:highlight w:val="none"/>
              </w:rPr>
              <w:t>与</w:t>
            </w:r>
            <w:r>
              <w:rPr>
                <w:rFonts w:hint="eastAsia"/>
                <w:color w:val="auto"/>
                <w:highlight w:val="none"/>
                <w:lang w:eastAsia="zh-CN"/>
              </w:rPr>
              <w:t>规划</w:t>
            </w:r>
            <w:r>
              <w:rPr>
                <w:color w:val="auto"/>
                <w:highlight w:val="none"/>
              </w:rPr>
              <w:t>相符性分析</w:t>
            </w:r>
          </w:p>
          <w:p>
            <w:pPr>
              <w:pStyle w:val="16"/>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eastAsia="宋体"/>
                <w:color w:val="auto"/>
                <w:highlight w:val="none"/>
                <w:lang w:eastAsia="zh-CN"/>
              </w:rPr>
            </w:pPr>
            <w:r>
              <w:rPr>
                <w:rFonts w:hint="eastAsia"/>
                <w:color w:val="auto"/>
                <w:highlight w:val="none"/>
              </w:rPr>
              <w:t>根据《安徽怀远经济开发区总体发展规划（2020-2035年）》，本次规划整合怀远经济开发区下设榴城工业园</w:t>
            </w:r>
            <w:r>
              <w:rPr>
                <w:rFonts w:hint="eastAsia"/>
                <w:color w:val="auto"/>
                <w:highlight w:val="none"/>
                <w:lang w:eastAsia="zh-CN"/>
              </w:rPr>
              <w:t>（</w:t>
            </w:r>
            <w:r>
              <w:rPr>
                <w:rFonts w:hint="eastAsia"/>
                <w:color w:val="auto"/>
                <w:highlight w:val="none"/>
              </w:rPr>
              <w:t>原安徽怀远经济开发区，经审核批复的规划面积173.48公顷</w:t>
            </w:r>
            <w:r>
              <w:rPr>
                <w:rFonts w:hint="eastAsia"/>
                <w:color w:val="auto"/>
                <w:highlight w:val="none"/>
                <w:lang w:eastAsia="zh-CN"/>
              </w:rPr>
              <w:t>）</w:t>
            </w:r>
            <w:r>
              <w:rPr>
                <w:rFonts w:hint="eastAsia"/>
                <w:color w:val="auto"/>
                <w:highlight w:val="none"/>
              </w:rPr>
              <w:t>和龙亢工业园</w:t>
            </w:r>
            <w:r>
              <w:rPr>
                <w:rFonts w:hint="eastAsia"/>
                <w:color w:val="auto"/>
                <w:highlight w:val="none"/>
                <w:lang w:eastAsia="zh-CN"/>
              </w:rPr>
              <w:t>（</w:t>
            </w:r>
            <w:r>
              <w:rPr>
                <w:rFonts w:hint="eastAsia"/>
                <w:color w:val="auto"/>
                <w:highlight w:val="none"/>
              </w:rPr>
              <w:t>原安徽怀远龙亢经济开发区筹，经审核批复的规划面积597.08公顷</w:t>
            </w:r>
            <w:r>
              <w:rPr>
                <w:rFonts w:hint="eastAsia"/>
                <w:color w:val="auto"/>
                <w:highlight w:val="none"/>
                <w:lang w:eastAsia="zh-CN"/>
              </w:rPr>
              <w:t>），</w:t>
            </w:r>
            <w:r>
              <w:rPr>
                <w:rFonts w:hint="eastAsia"/>
                <w:color w:val="auto"/>
                <w:highlight w:val="none"/>
              </w:rPr>
              <w:t>规划范围总面积为770.56公顷</w:t>
            </w:r>
            <w:r>
              <w:rPr>
                <w:rFonts w:hint="eastAsia"/>
                <w:color w:val="auto"/>
                <w:highlight w:val="none"/>
                <w:lang w:eastAsia="zh-CN"/>
              </w:rPr>
              <w:t>，</w:t>
            </w:r>
            <w:r>
              <w:rPr>
                <w:rFonts w:hint="eastAsia"/>
                <w:color w:val="auto"/>
                <w:highlight w:val="none"/>
                <w:lang w:val="en-US" w:eastAsia="zh-CN"/>
              </w:rPr>
              <w:t>主导产业为</w:t>
            </w:r>
            <w:r>
              <w:rPr>
                <w:rFonts w:hint="eastAsia"/>
                <w:color w:val="auto"/>
                <w:highlight w:val="none"/>
              </w:rPr>
              <w:t>装备制造及汽车零部件、农副产品精深加工业、电子信息产业</w:t>
            </w:r>
            <w:r>
              <w:rPr>
                <w:rFonts w:hint="eastAsia"/>
                <w:color w:val="auto"/>
                <w:highlight w:val="none"/>
                <w:lang w:eastAsia="zh-CN"/>
              </w:rPr>
              <w:t>。</w:t>
            </w:r>
          </w:p>
          <w:p>
            <w:pPr>
              <w:pStyle w:val="16"/>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color w:val="auto"/>
                <w:highlight w:val="none"/>
              </w:rPr>
            </w:pPr>
            <w:r>
              <w:rPr>
                <w:color w:val="auto"/>
                <w:highlight w:val="none"/>
              </w:rPr>
              <w:t>项目</w:t>
            </w:r>
            <w:r>
              <w:rPr>
                <w:rFonts w:hint="eastAsia"/>
                <w:color w:val="auto"/>
                <w:highlight w:val="none"/>
              </w:rPr>
              <w:t>位于</w:t>
            </w:r>
            <w:r>
              <w:rPr>
                <w:rFonts w:hint="eastAsia"/>
                <w:color w:val="auto"/>
                <w:highlight w:val="none"/>
                <w:lang w:eastAsia="zh-CN"/>
              </w:rPr>
              <w:t>蚌埠市怀远县经济开发区金河路32号</w:t>
            </w:r>
            <w:r>
              <w:rPr>
                <w:color w:val="auto"/>
                <w:highlight w:val="none"/>
              </w:rPr>
              <w:t>，</w:t>
            </w:r>
            <w:r>
              <w:rPr>
                <w:rFonts w:hint="eastAsia"/>
                <w:color w:val="auto"/>
                <w:highlight w:val="none"/>
                <w:lang w:val="en-US" w:eastAsia="zh-CN"/>
              </w:rPr>
              <w:t>属于怀远经济开发区中的榴城工业园范围内，</w:t>
            </w:r>
            <w:r>
              <w:rPr>
                <w:rFonts w:hint="eastAsia"/>
                <w:color w:val="auto"/>
                <w:highlight w:val="none"/>
              </w:rPr>
              <w:t>土地性质为工业用地，</w:t>
            </w:r>
            <w:r>
              <w:rPr>
                <w:rFonts w:hint="eastAsia"/>
                <w:color w:val="auto"/>
                <w:highlight w:val="none"/>
                <w:lang w:eastAsia="zh-CN"/>
              </w:rPr>
              <w:t>符合《安徽怀远经济开发区总体发展规划（2020-2035年）》中</w:t>
            </w:r>
            <w:r>
              <w:rPr>
                <w:rFonts w:hint="eastAsia"/>
                <w:color w:val="auto"/>
                <w:highlight w:val="none"/>
                <w:lang w:val="en-US" w:eastAsia="zh-CN"/>
              </w:rPr>
              <w:t>土地利用</w:t>
            </w:r>
            <w:r>
              <w:rPr>
                <w:rFonts w:hint="eastAsia"/>
                <w:color w:val="auto"/>
                <w:highlight w:val="none"/>
                <w:lang w:eastAsia="zh-CN"/>
              </w:rPr>
              <w:t>要求</w:t>
            </w:r>
            <w:r>
              <w:rPr>
                <w:rFonts w:hint="eastAsia"/>
                <w:color w:val="auto"/>
                <w:highlight w:val="none"/>
              </w:rPr>
              <w:t>。项目</w:t>
            </w:r>
            <w:r>
              <w:rPr>
                <w:color w:val="auto"/>
                <w:highlight w:val="none"/>
              </w:rPr>
              <w:t>行业</w:t>
            </w:r>
            <w:r>
              <w:rPr>
                <w:rFonts w:hint="eastAsia"/>
                <w:color w:val="auto"/>
                <w:highlight w:val="none"/>
              </w:rPr>
              <w:t>类别</w:t>
            </w:r>
            <w:r>
              <w:rPr>
                <w:color w:val="auto"/>
                <w:highlight w:val="none"/>
              </w:rPr>
              <w:t>为</w:t>
            </w:r>
            <w:r>
              <w:rPr>
                <w:rFonts w:hint="eastAsia"/>
                <w:color w:val="auto"/>
                <w:highlight w:val="none"/>
                <w:lang w:eastAsia="zh-CN"/>
              </w:rPr>
              <w:t>C1781非织造布制造</w:t>
            </w:r>
            <w:r>
              <w:rPr>
                <w:color w:val="auto"/>
                <w:highlight w:val="none"/>
              </w:rPr>
              <w:t>，</w:t>
            </w:r>
            <w:r>
              <w:rPr>
                <w:rFonts w:hint="eastAsia"/>
                <w:color w:val="auto"/>
                <w:highlight w:val="none"/>
              </w:rPr>
              <w:t>属于纺织业，不属于怀远经济开发区主导产业，</w:t>
            </w:r>
            <w:r>
              <w:rPr>
                <w:rFonts w:hint="eastAsia"/>
                <w:color w:val="auto"/>
                <w:highlight w:val="none"/>
                <w:lang w:val="en-US" w:eastAsia="zh-CN"/>
              </w:rPr>
              <w:t>也</w:t>
            </w:r>
            <w:r>
              <w:rPr>
                <w:rFonts w:hint="eastAsia"/>
                <w:color w:val="auto"/>
                <w:highlight w:val="none"/>
              </w:rPr>
              <w:t>不属于</w:t>
            </w:r>
            <w:r>
              <w:rPr>
                <w:rFonts w:hint="eastAsia"/>
                <w:color w:val="auto"/>
                <w:highlight w:val="none"/>
                <w:lang w:val="en-US" w:eastAsia="zh-CN"/>
              </w:rPr>
              <w:t>怀远经济开发区</w:t>
            </w:r>
            <w:r>
              <w:rPr>
                <w:rFonts w:hint="eastAsia"/>
                <w:color w:val="auto"/>
                <w:highlight w:val="none"/>
              </w:rPr>
              <w:t>禁止类和限制类项目，可依法平等进入。</w:t>
            </w:r>
          </w:p>
          <w:p>
            <w:pPr>
              <w:pStyle w:val="18"/>
              <w:bidi w:val="0"/>
              <w:rPr>
                <w:rFonts w:hint="eastAsia"/>
                <w:color w:val="auto"/>
              </w:rPr>
            </w:pPr>
            <w:r>
              <w:rPr>
                <w:rFonts w:hint="eastAsia"/>
                <w:color w:val="auto"/>
                <w:lang w:val="en-US" w:eastAsia="zh-CN"/>
              </w:rPr>
              <w:t>2、</w:t>
            </w:r>
            <w:r>
              <w:rPr>
                <w:color w:val="auto"/>
              </w:rPr>
              <w:t>与</w:t>
            </w:r>
            <w:r>
              <w:rPr>
                <w:rFonts w:hint="eastAsia"/>
                <w:color w:val="auto"/>
              </w:rPr>
              <w:t>规划</w:t>
            </w:r>
            <w:r>
              <w:rPr>
                <w:color w:val="auto"/>
              </w:rPr>
              <w:t>环境影响</w:t>
            </w:r>
            <w:r>
              <w:rPr>
                <w:rFonts w:hint="eastAsia"/>
                <w:color w:val="auto"/>
                <w:lang w:eastAsia="zh-CN"/>
              </w:rPr>
              <w:t>报告书</w:t>
            </w:r>
            <w:r>
              <w:rPr>
                <w:rFonts w:hint="eastAsia"/>
                <w:color w:val="auto"/>
              </w:rPr>
              <w:t>及其审查意见</w:t>
            </w:r>
            <w:r>
              <w:rPr>
                <w:color w:val="auto"/>
              </w:rPr>
              <w:t>相符性分析</w:t>
            </w:r>
          </w:p>
          <w:p>
            <w:pPr>
              <w:pStyle w:val="16"/>
              <w:bidi w:val="0"/>
              <w:rPr>
                <w:rFonts w:hint="eastAsia"/>
                <w:color w:val="auto"/>
              </w:rPr>
            </w:pPr>
            <w:r>
              <w:rPr>
                <w:rFonts w:hint="eastAsia"/>
                <w:color w:val="auto"/>
              </w:rPr>
              <w:t>项目与规划环境影响报告书及其审查意见相符性分析内容，具体见下表。</w:t>
            </w:r>
          </w:p>
          <w:p>
            <w:pPr>
              <w:pStyle w:val="16"/>
              <w:bidi w:val="0"/>
              <w:rPr>
                <w:rFonts w:hint="eastAsia"/>
                <w:color w:val="auto"/>
              </w:rPr>
            </w:pP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b/>
                <w:bCs/>
                <w:color w:val="auto"/>
                <w:highlight w:val="none"/>
              </w:rPr>
            </w:pPr>
            <w:r>
              <w:rPr>
                <w:rFonts w:hint="eastAsia"/>
                <w:color w:val="auto"/>
              </w:rPr>
              <w:t>表1-</w:t>
            </w:r>
            <w:r>
              <w:rPr>
                <w:rFonts w:hint="eastAsia"/>
                <w:color w:val="auto"/>
                <w:lang w:val="en-US" w:eastAsia="zh-CN"/>
              </w:rPr>
              <w:t>2 本</w:t>
            </w:r>
            <w:r>
              <w:rPr>
                <w:rFonts w:hint="eastAsia"/>
                <w:color w:val="auto"/>
              </w:rPr>
              <w:t>项目与规划环境影响报告书及其审查意见相符性分析</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72"/>
              <w:gridCol w:w="2551"/>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272" w:type="dxa"/>
                  <w:tcBorders>
                    <w:tl2br w:val="nil"/>
                    <w:tr2bl w:val="nil"/>
                  </w:tcBorders>
                  <w:noWrap w:val="0"/>
                  <w:vAlign w:val="center"/>
                </w:tcPr>
                <w:p>
                  <w:pPr>
                    <w:pStyle w:val="15"/>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color w:val="auto"/>
                    </w:rPr>
                    <w:t>规划环评及审查意见要求</w:t>
                  </w:r>
                </w:p>
              </w:tc>
              <w:tc>
                <w:tcPr>
                  <w:tcW w:w="2551" w:type="dxa"/>
                  <w:tcBorders>
                    <w:tl2br w:val="nil"/>
                    <w:tr2bl w:val="nil"/>
                  </w:tcBorders>
                  <w:noWrap w:val="0"/>
                  <w:vAlign w:val="center"/>
                </w:tcPr>
                <w:p>
                  <w:pPr>
                    <w:pStyle w:val="15"/>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color w:val="auto"/>
                    </w:rPr>
                    <w:t>本项目情况</w:t>
                  </w:r>
                </w:p>
              </w:tc>
              <w:tc>
                <w:tcPr>
                  <w:tcW w:w="794"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color w:val="auto"/>
                    </w:rPr>
                  </w:pPr>
                  <w:r>
                    <w:rPr>
                      <w:color w:val="auto"/>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91" w:hRule="atLeast"/>
                <w:jc w:val="center"/>
              </w:trPr>
              <w:tc>
                <w:tcPr>
                  <w:tcW w:w="5272" w:type="dxa"/>
                  <w:tcBorders>
                    <w:tl2br w:val="nil"/>
                    <w:tr2bl w:val="nil"/>
                  </w:tcBorders>
                  <w:noWrap w:val="0"/>
                  <w:vAlign w:val="center"/>
                </w:tcPr>
                <w:p>
                  <w:pPr>
                    <w:pStyle w:val="13"/>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eastAsia"/>
                      <w:color w:val="auto"/>
                      <w:lang w:eastAsia="zh-CN"/>
                    </w:rPr>
                  </w:pPr>
                  <w:r>
                    <w:rPr>
                      <w:rFonts w:hint="eastAsia"/>
                      <w:color w:val="auto"/>
                    </w:rPr>
                    <w:t>按照省政府对开发区批复的总体要求，优化开发区内产业结构。严格限制非开发区产业定位方向的项目入区建设，严格限制高耗能、高污染、高废水产生的行业和企业入区建设，国家产业政策、技术政策和环保法律法规政策明令禁止的项目不得入区建设。进一步优化开发区内用地布局，对开发区内现有不符合产业功能定位的企业要限期进行搬迁。目前安徽怀远经济开发区榴城镇工业园已形成了以汽车零部件及高端装备制造业、电子信息产业、新材料、新能源产业为主导产业，以纸制品及彩印包装业，不锈钢产业，电子商务业为配套产业的发展格局。</w:t>
                  </w:r>
                </w:p>
              </w:tc>
              <w:tc>
                <w:tcPr>
                  <w:tcW w:w="2551" w:type="dxa"/>
                  <w:tcBorders>
                    <w:tl2br w:val="nil"/>
                    <w:tr2bl w:val="nil"/>
                  </w:tcBorders>
                  <w:noWrap w:val="0"/>
                  <w:vAlign w:val="center"/>
                </w:tcPr>
                <w:p>
                  <w:pPr>
                    <w:pStyle w:val="13"/>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eastAsia" w:eastAsia="宋体"/>
                      <w:color w:val="auto"/>
                      <w:lang w:eastAsia="zh-CN"/>
                    </w:rPr>
                  </w:pPr>
                  <w:r>
                    <w:rPr>
                      <w:rFonts w:hint="eastAsia"/>
                      <w:color w:val="auto"/>
                      <w:lang w:val="en-US" w:eastAsia="zh-CN"/>
                    </w:rPr>
                    <w:t>本</w:t>
                  </w:r>
                  <w:r>
                    <w:rPr>
                      <w:color w:val="auto"/>
                    </w:rPr>
                    <w:t>项目</w:t>
                  </w:r>
                  <w:r>
                    <w:rPr>
                      <w:rFonts w:hint="eastAsia"/>
                      <w:color w:val="auto"/>
                      <w:lang w:val="en-US" w:eastAsia="zh-CN"/>
                    </w:rPr>
                    <w:t>行业类别为C1781</w:t>
                  </w:r>
                  <w:r>
                    <w:rPr>
                      <w:rFonts w:hint="eastAsia"/>
                      <w:color w:val="auto"/>
                    </w:rPr>
                    <w:t>非织造布制造</w:t>
                  </w:r>
                  <w:r>
                    <w:rPr>
                      <w:rFonts w:hint="eastAsia"/>
                      <w:color w:val="auto"/>
                      <w:lang w:eastAsia="zh-CN"/>
                    </w:rPr>
                    <w:t>，不属于高耗能、高污染、高废水企业。</w:t>
                  </w:r>
                </w:p>
              </w:tc>
              <w:tc>
                <w:tcPr>
                  <w:tcW w:w="794"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12" w:hRule="atLeast"/>
                <w:jc w:val="center"/>
              </w:trPr>
              <w:tc>
                <w:tcPr>
                  <w:tcW w:w="5272"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eastAsia"/>
                      <w:color w:val="auto"/>
                      <w:lang w:eastAsia="zh-CN"/>
                    </w:rPr>
                  </w:pPr>
                  <w:r>
                    <w:rPr>
                      <w:rFonts w:hint="eastAsia"/>
                      <w:color w:val="auto"/>
                    </w:rPr>
                    <w:t>加快开发区内环保基础设施建设，确保污染物达标排放。开发区实行雨污分流，加快开发区污水管网等配套工程建设进度，完善环保基础设施。在怀远经开区污水处理厂建成投入运行前，所有入区的工业企业生产、生活污水排放必须全部达标排放；污水处理厂投入运行后，工业企业污水须达到接管标准后进入污水处理厂集中处理，已有企业的污水排放口应全部取缔。进一步论证开发区集中供热的可行性，新入区企业建设锅炉应优先使用清洁能源，减少大气污染物排放，工业废气排放执行《大气污染物综合排放标准》（GB16297-1996）中大气污染物排放限值。开发区内危险废物的收集、贮存应符合《危险废物贮存污染物控制标准》（GB18597-2001）的规定要求。生活垃圾由环卫部门集中处置。声环境执行相应功能区标准，施工期噪声执行《建筑施工厂界噪声限值》中的有关规定。</w:t>
                  </w:r>
                </w:p>
              </w:tc>
              <w:tc>
                <w:tcPr>
                  <w:tcW w:w="2551"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default" w:eastAsia="宋体"/>
                      <w:color w:val="auto"/>
                      <w:lang w:val="en-US" w:eastAsia="zh-CN"/>
                    </w:rPr>
                  </w:pPr>
                  <w:r>
                    <w:rPr>
                      <w:rFonts w:hint="eastAsia"/>
                      <w:color w:val="auto"/>
                      <w:lang w:val="en-US" w:eastAsia="zh-CN"/>
                    </w:rPr>
                    <w:t>本</w:t>
                  </w:r>
                  <w:r>
                    <w:rPr>
                      <w:color w:val="auto"/>
                    </w:rPr>
                    <w:t>项目</w:t>
                  </w:r>
                  <w:r>
                    <w:rPr>
                      <w:rFonts w:hint="eastAsia"/>
                      <w:color w:val="auto"/>
                      <w:lang w:val="en-US" w:eastAsia="zh-CN"/>
                    </w:rPr>
                    <w:t>生活污水经隔油池、化粪池预处理后与冷却排水接管怀远经济开发区污水处理厂；项目废气排放满足相应的排放标准要求；烘干工序使用天然气为燃料；危险废物贮存满足《危险废物贮存污染控制标准》（GB 18597-2023）中要求；生活垃圾由环卫部门集中处置；区域声环境满足《声环境质量标准》（GB 3096-2008）中3类标准。</w:t>
                  </w:r>
                </w:p>
              </w:tc>
              <w:tc>
                <w:tcPr>
                  <w:tcW w:w="794"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57" w:hRule="atLeast"/>
                <w:jc w:val="center"/>
              </w:trPr>
              <w:tc>
                <w:tcPr>
                  <w:tcW w:w="5272"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eastAsia"/>
                      <w:color w:val="auto"/>
                      <w:lang w:eastAsia="zh-CN"/>
                    </w:rPr>
                  </w:pPr>
                  <w:r>
                    <w:rPr>
                      <w:rFonts w:hint="eastAsia"/>
                      <w:color w:val="auto"/>
                    </w:rPr>
                    <w:t>加强开发区内环境安全管理工作。开发区基础设施和企业生产项目运营管理中须制定并落实事故防范对策措施和应急预案，开发区内各危险化学品库区及使用危险化学品的生产装置周边应设置物料泄露应急截流沟，防止泄露物料进入环境，储备事故应急设备物资，定期组织演练，确保开发区环境安全。</w:t>
                  </w:r>
                </w:p>
              </w:tc>
              <w:tc>
                <w:tcPr>
                  <w:tcW w:w="2551"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default" w:eastAsia="宋体"/>
                      <w:color w:val="auto"/>
                      <w:lang w:val="en-US" w:eastAsia="zh-CN"/>
                    </w:rPr>
                  </w:pPr>
                  <w:r>
                    <w:rPr>
                      <w:rFonts w:hint="eastAsia"/>
                      <w:color w:val="auto"/>
                      <w:lang w:val="en-US" w:eastAsia="zh-CN"/>
                    </w:rPr>
                    <w:t>企业生产项目运营管理中制定并落实事故防范对策措施，不涉及危险化学品。</w:t>
                  </w:r>
                </w:p>
              </w:tc>
              <w:tc>
                <w:tcPr>
                  <w:tcW w:w="794"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5272"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eastAsia"/>
                      <w:color w:val="auto"/>
                      <w:lang w:eastAsia="zh-CN"/>
                    </w:rPr>
                  </w:pPr>
                  <w:r>
                    <w:rPr>
                      <w:rFonts w:hint="eastAsia"/>
                      <w:color w:val="auto"/>
                    </w:rPr>
                    <w:t>开发区必须采取措施削减污染物排放总量，确保污染物排放总量控制指标符合蚌埠市及怀远县生态环境局的要求</w:t>
                  </w:r>
                  <w:r>
                    <w:rPr>
                      <w:rFonts w:hint="eastAsia"/>
                      <w:color w:val="auto"/>
                      <w:lang w:eastAsia="zh-CN"/>
                    </w:rPr>
                    <w:t>。</w:t>
                  </w:r>
                </w:p>
              </w:tc>
              <w:tc>
                <w:tcPr>
                  <w:tcW w:w="2551"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eastAsia" w:eastAsia="宋体"/>
                      <w:color w:val="auto"/>
                      <w:lang w:eastAsia="zh-CN"/>
                    </w:rPr>
                  </w:pPr>
                  <w:r>
                    <w:rPr>
                      <w:rFonts w:hint="eastAsia"/>
                      <w:color w:val="auto"/>
                    </w:rPr>
                    <w:t>本项目</w:t>
                  </w:r>
                  <w:r>
                    <w:rPr>
                      <w:rFonts w:hint="eastAsia"/>
                      <w:color w:val="auto"/>
                      <w:lang w:val="en-US" w:eastAsia="zh-CN"/>
                    </w:rPr>
                    <w:t>拟</w:t>
                  </w:r>
                  <w:r>
                    <w:rPr>
                      <w:rFonts w:hint="eastAsia"/>
                      <w:color w:val="auto"/>
                    </w:rPr>
                    <w:t>采取</w:t>
                  </w:r>
                  <w:r>
                    <w:rPr>
                      <w:rFonts w:hint="eastAsia"/>
                      <w:color w:val="auto"/>
                      <w:lang w:val="en-US" w:eastAsia="zh-CN"/>
                    </w:rPr>
                    <w:t>相应的处理</w:t>
                  </w:r>
                  <w:r>
                    <w:rPr>
                      <w:rFonts w:hint="eastAsia"/>
                      <w:color w:val="auto"/>
                    </w:rPr>
                    <w:t>措施削减污染物排放总量</w:t>
                  </w:r>
                  <w:r>
                    <w:rPr>
                      <w:rFonts w:hint="eastAsia"/>
                      <w:color w:val="auto"/>
                      <w:lang w:eastAsia="zh-CN"/>
                    </w:rPr>
                    <w:t>。</w:t>
                  </w:r>
                </w:p>
              </w:tc>
              <w:tc>
                <w:tcPr>
                  <w:tcW w:w="794"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74" w:hRule="atLeast"/>
                <w:jc w:val="center"/>
              </w:trPr>
              <w:tc>
                <w:tcPr>
                  <w:tcW w:w="5272"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eastAsia"/>
                      <w:color w:val="auto"/>
                      <w:lang w:eastAsia="zh-CN"/>
                    </w:rPr>
                  </w:pPr>
                  <w:r>
                    <w:rPr>
                      <w:rFonts w:hint="eastAsia"/>
                      <w:color w:val="auto"/>
                    </w:rPr>
                    <w:t>进入开发区的建设项目必须严格执行环境影响评价制度，必须严格执行环保设施与主体工程同时设计、同时施工、同时投产使用的环境保护“三同时”制度。项目竣工后，建设单位必须按照规定程序申请环境保护验收；验收合格后，项目方可正式投入生产使用。</w:t>
                  </w:r>
                </w:p>
              </w:tc>
              <w:tc>
                <w:tcPr>
                  <w:tcW w:w="2551"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jc w:val="both"/>
                    <w:textAlignment w:val="auto"/>
                    <w:rPr>
                      <w:rFonts w:hint="eastAsia" w:eastAsia="宋体"/>
                      <w:color w:val="auto"/>
                      <w:lang w:eastAsia="zh-CN"/>
                    </w:rPr>
                  </w:pPr>
                  <w:r>
                    <w:rPr>
                      <w:rFonts w:hint="eastAsia"/>
                      <w:color w:val="auto"/>
                    </w:rPr>
                    <w:t>本</w:t>
                  </w:r>
                  <w:r>
                    <w:rPr>
                      <w:rFonts w:hint="eastAsia"/>
                      <w:color w:val="auto"/>
                      <w:lang w:val="en-US" w:eastAsia="zh-CN"/>
                    </w:rPr>
                    <w:t>扩建</w:t>
                  </w:r>
                  <w:r>
                    <w:rPr>
                      <w:rFonts w:hint="eastAsia"/>
                      <w:color w:val="auto"/>
                    </w:rPr>
                    <w:t>项目严格执行环境影响评价制度，严格执行“三同时”制度。项目验收合格后，方可正式投入生产使用。</w:t>
                  </w:r>
                </w:p>
              </w:tc>
              <w:tc>
                <w:tcPr>
                  <w:tcW w:w="794" w:type="dxa"/>
                  <w:tcBorders>
                    <w:tl2br w:val="nil"/>
                    <w:tr2bl w:val="nil"/>
                  </w:tcBorders>
                  <w:noWrap w:val="0"/>
                  <w:vAlign w:val="center"/>
                </w:tcPr>
                <w:p>
                  <w:pPr>
                    <w:pStyle w:val="13"/>
                    <w:keepNext w:val="0"/>
                    <w:keepLines w:val="0"/>
                    <w:pageBreakBefore w:val="0"/>
                    <w:kinsoku/>
                    <w:wordWrap/>
                    <w:overflowPunct/>
                    <w:topLinePunct w:val="0"/>
                    <w:autoSpaceDE/>
                    <w:autoSpaceDN/>
                    <w:bidi w:val="0"/>
                    <w:adjustRightInd w:val="0"/>
                    <w:snapToGrid w:val="0"/>
                    <w:ind w:left="0" w:leftChars="0" w:right="0" w:rightChars="0"/>
                    <w:textAlignment w:val="auto"/>
                    <w:rPr>
                      <w:color w:val="auto"/>
                    </w:rPr>
                  </w:pPr>
                  <w:r>
                    <w:rPr>
                      <w:color w:val="auto"/>
                    </w:rPr>
                    <w:t>符合</w:t>
                  </w:r>
                </w:p>
              </w:tc>
            </w:tr>
          </w:tbl>
          <w:p>
            <w:pPr>
              <w:pStyle w:val="16"/>
              <w:keepNext w:val="0"/>
              <w:keepLines w:val="0"/>
              <w:pageBreakBefore w:val="0"/>
              <w:widowControl w:val="0"/>
              <w:shd w:val="clear" w:color="auto" w:fill="auto"/>
              <w:kinsoku/>
              <w:wordWrap/>
              <w:overflowPunct/>
              <w:topLinePunct/>
              <w:autoSpaceDE/>
              <w:autoSpaceDN/>
              <w:bidi w:val="0"/>
              <w:adjustRightInd w:val="0"/>
              <w:snapToGrid w:val="0"/>
              <w:spacing w:line="240" w:lineRule="auto"/>
              <w:ind w:left="0" w:leftChars="0" w:right="0" w:rightChars="0" w:firstLine="0" w:firstLineChars="0"/>
              <w:textAlignment w:val="auto"/>
              <w:rPr>
                <w:rFonts w:hint="default" w:eastAsia="宋体"/>
                <w:b/>
                <w:bCs/>
                <w:color w:val="auto"/>
                <w:highlight w:val="none"/>
                <w:lang w:val="en-US" w:eastAsia="zh-CN"/>
              </w:rPr>
            </w:pPr>
            <w:r>
              <w:rPr>
                <w:rFonts w:hint="eastAsia"/>
                <w:b/>
                <w:bCs/>
                <w:color w:val="FFFFFF" w:themeColor="background1"/>
                <w:sz w:val="18"/>
                <w:szCs w:val="18"/>
                <w:highlight w:val="none"/>
                <w:lang w:val="en-US" w:eastAsia="zh-CN"/>
                <w14:textFill>
                  <w14:solidFill>
                    <w14:schemeClr w14:val="bg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77" w:hRule="atLeast"/>
          <w:jc w:val="center"/>
        </w:trPr>
        <w:tc>
          <w:tcPr>
            <w:tcW w:w="646"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jc w:val="center"/>
              <w:textAlignment w:val="auto"/>
              <w:rPr>
                <w:color w:val="auto"/>
                <w:highlight w:val="none"/>
              </w:rPr>
            </w:pPr>
            <w:r>
              <w:rPr>
                <w:b/>
                <w:bCs/>
                <w:color w:val="auto"/>
                <w:highlight w:val="none"/>
              </w:rPr>
              <w:t>其他符合性分析</w:t>
            </w:r>
          </w:p>
        </w:tc>
        <w:tc>
          <w:tcPr>
            <w:tcW w:w="8729" w:type="dxa"/>
            <w:gridSpan w:val="4"/>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highlight w:val="none"/>
              </w:rPr>
            </w:pPr>
            <w:r>
              <w:rPr>
                <w:rFonts w:hint="eastAsia"/>
                <w:color w:val="auto"/>
              </w:rPr>
              <w:t>1、选址合理性分析</w:t>
            </w:r>
          </w:p>
          <w:p>
            <w:pPr>
              <w:pStyle w:val="16"/>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rFonts w:hint="eastAsia" w:ascii="宋体" w:hAnsi="宋体" w:cs="宋体"/>
                <w:b/>
                <w:bCs/>
                <w:color w:val="auto"/>
                <w:highlight w:val="none"/>
              </w:rPr>
            </w:pPr>
            <w:r>
              <w:rPr>
                <w:rFonts w:hint="eastAsia"/>
                <w:color w:val="auto"/>
                <w:highlight w:val="none"/>
                <w:lang w:val="en-US" w:eastAsia="zh-CN"/>
              </w:rPr>
              <w:t>扩建</w:t>
            </w:r>
            <w:r>
              <w:rPr>
                <w:color w:val="auto"/>
                <w:highlight w:val="none"/>
              </w:rPr>
              <w:t>项目</w:t>
            </w:r>
            <w:r>
              <w:rPr>
                <w:rFonts w:hint="eastAsia"/>
                <w:color w:val="auto"/>
                <w:highlight w:val="none"/>
              </w:rPr>
              <w:t>位于</w:t>
            </w:r>
            <w:r>
              <w:rPr>
                <w:rFonts w:hint="eastAsia"/>
                <w:color w:val="auto"/>
                <w:highlight w:val="none"/>
                <w:lang w:eastAsia="zh-CN"/>
              </w:rPr>
              <w:t>蚌埠市怀远县经济开发区金河路32号</w:t>
            </w:r>
            <w:r>
              <w:rPr>
                <w:rFonts w:hint="eastAsia"/>
                <w:color w:val="auto"/>
                <w:highlight w:val="none"/>
              </w:rPr>
              <w:t>，</w:t>
            </w:r>
            <w:r>
              <w:rPr>
                <w:color w:val="auto"/>
                <w:highlight w:val="none"/>
              </w:rPr>
              <w:t>用地</w:t>
            </w:r>
            <w:r>
              <w:rPr>
                <w:rFonts w:hint="eastAsia"/>
                <w:color w:val="auto"/>
                <w:highlight w:val="none"/>
                <w:lang w:val="en-US" w:eastAsia="zh-CN"/>
              </w:rPr>
              <w:t>性质</w:t>
            </w:r>
            <w:r>
              <w:rPr>
                <w:color w:val="auto"/>
                <w:highlight w:val="none"/>
              </w:rPr>
              <w:t>为</w:t>
            </w:r>
            <w:r>
              <w:rPr>
                <w:rFonts w:hint="eastAsia"/>
                <w:color w:val="auto"/>
                <w:highlight w:val="none"/>
              </w:rPr>
              <w:t>工业用地</w:t>
            </w:r>
            <w:r>
              <w:rPr>
                <w:color w:val="auto"/>
                <w:highlight w:val="none"/>
              </w:rPr>
              <w:t>，厂址地理位置优越，交通便利，评价范围内无自然保护区、风景名胜区、其他著名旅游景点和文物古迹等需要特殊保护的环境敏感对象</w:t>
            </w:r>
            <w:r>
              <w:rPr>
                <w:rFonts w:hint="eastAsia"/>
                <w:color w:val="auto"/>
                <w:highlight w:val="none"/>
                <w:lang w:eastAsia="zh-CN"/>
              </w:rPr>
              <w:t>。</w:t>
            </w:r>
            <w:r>
              <w:rPr>
                <w:rFonts w:hint="eastAsia"/>
                <w:color w:val="auto"/>
                <w:highlight w:val="none"/>
                <w:lang w:val="en-US" w:eastAsia="zh-CN"/>
              </w:rPr>
              <w:t>因此</w:t>
            </w:r>
            <w:r>
              <w:rPr>
                <w:color w:val="auto"/>
                <w:highlight w:val="none"/>
              </w:rPr>
              <w:t>，项目选址合适、可行。</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before="157" w:beforeLines="50"/>
              <w:ind w:left="0" w:leftChars="0" w:right="0" w:rightChars="0"/>
              <w:textAlignment w:val="auto"/>
              <w:rPr>
                <w:rFonts w:hint="eastAsia"/>
                <w:color w:val="auto"/>
                <w:highlight w:val="none"/>
              </w:rPr>
            </w:pPr>
            <w:r>
              <w:rPr>
                <w:rFonts w:hint="eastAsia"/>
                <w:color w:val="auto"/>
                <w:highlight w:val="none"/>
              </w:rPr>
              <w:t>2、产业政策相符性分析</w:t>
            </w:r>
          </w:p>
          <w:p>
            <w:pPr>
              <w:pStyle w:val="16"/>
              <w:keepNext w:val="0"/>
              <w:keepLines w:val="0"/>
              <w:pageBreakBefore w:val="0"/>
              <w:widowControl w:val="0"/>
              <w:shd w:val="clear" w:color="auto" w:fill="auto"/>
              <w:kinsoku/>
              <w:wordWrap/>
              <w:overflowPunct/>
              <w:topLinePunct/>
              <w:autoSpaceDE/>
              <w:autoSpaceDN/>
              <w:bidi w:val="0"/>
              <w:adjustRightInd w:val="0"/>
              <w:snapToGrid w:val="0"/>
              <w:ind w:left="0" w:leftChars="0" w:right="0" w:rightChars="0"/>
              <w:textAlignment w:val="auto"/>
              <w:rPr>
                <w:color w:val="auto"/>
                <w:highlight w:val="none"/>
              </w:rPr>
            </w:pPr>
            <w:r>
              <w:rPr>
                <w:color w:val="auto"/>
                <w:highlight w:val="none"/>
              </w:rPr>
              <w:t>对照《产业结构调整指导目录</w:t>
            </w:r>
            <w:r>
              <w:rPr>
                <w:rFonts w:hint="eastAsia"/>
                <w:color w:val="auto"/>
                <w:highlight w:val="none"/>
              </w:rPr>
              <w:t>（</w:t>
            </w:r>
            <w:r>
              <w:rPr>
                <w:color w:val="auto"/>
                <w:highlight w:val="none"/>
              </w:rPr>
              <w:t>2019年本）》</w:t>
            </w:r>
            <w:r>
              <w:rPr>
                <w:rFonts w:hint="eastAsia"/>
                <w:color w:val="auto"/>
                <w:highlight w:val="none"/>
              </w:rPr>
              <w:t>（2021年修订）</w:t>
            </w:r>
            <w:r>
              <w:rPr>
                <w:color w:val="auto"/>
                <w:highlight w:val="none"/>
              </w:rPr>
              <w:t>，</w:t>
            </w:r>
            <w:r>
              <w:rPr>
                <w:rFonts w:hint="eastAsia"/>
                <w:color w:val="auto"/>
                <w:highlight w:val="none"/>
                <w:lang w:val="en-US" w:eastAsia="zh-CN"/>
              </w:rPr>
              <w:t>扩建</w:t>
            </w:r>
            <w:r>
              <w:rPr>
                <w:color w:val="auto"/>
                <w:highlight w:val="none"/>
              </w:rPr>
              <w:t>项目不属于限制类及淘汰类项目，视为允许类</w:t>
            </w:r>
            <w:r>
              <w:rPr>
                <w:rFonts w:hint="eastAsia"/>
                <w:color w:val="auto"/>
                <w:highlight w:val="none"/>
              </w:rPr>
              <w:t>，符合</w:t>
            </w:r>
            <w:r>
              <w:rPr>
                <w:color w:val="auto"/>
                <w:highlight w:val="none"/>
              </w:rPr>
              <w:t>国家现行产业政策</w:t>
            </w:r>
            <w:r>
              <w:rPr>
                <w:rFonts w:hint="eastAsia"/>
                <w:color w:val="auto"/>
                <w:highlight w:val="none"/>
              </w:rPr>
              <w:t>。</w:t>
            </w:r>
          </w:p>
          <w:p>
            <w:pPr>
              <w:pStyle w:val="16"/>
              <w:keepNext w:val="0"/>
              <w:keepLines w:val="0"/>
              <w:pageBreakBefore w:val="0"/>
              <w:kinsoku/>
              <w:wordWrap/>
              <w:overflowPunct/>
              <w:bidi w:val="0"/>
              <w:adjustRightInd w:val="0"/>
              <w:snapToGrid w:val="0"/>
              <w:textAlignment w:val="auto"/>
              <w:rPr>
                <w:color w:val="auto"/>
              </w:rPr>
            </w:pPr>
            <w:r>
              <w:rPr>
                <w:rFonts w:hint="eastAsia"/>
                <w:color w:val="auto"/>
                <w:lang w:eastAsia="zh-CN"/>
              </w:rPr>
              <w:t>2023年4月7日</w:t>
            </w:r>
            <w:r>
              <w:rPr>
                <w:color w:val="auto"/>
              </w:rPr>
              <w:t>，</w:t>
            </w:r>
            <w:r>
              <w:rPr>
                <w:rFonts w:hint="eastAsia"/>
                <w:color w:val="auto"/>
                <w:lang w:eastAsia="zh-CN"/>
              </w:rPr>
              <w:t>怀远县发展和改革委员会</w:t>
            </w:r>
            <w:r>
              <w:rPr>
                <w:rFonts w:hint="eastAsia"/>
                <w:color w:val="auto"/>
                <w:lang w:val="en-US" w:eastAsia="zh-CN"/>
              </w:rPr>
              <w:t>同意企业扩建</w:t>
            </w:r>
            <w:r>
              <w:rPr>
                <w:rFonts w:hint="eastAsia"/>
                <w:color w:val="auto"/>
              </w:rPr>
              <w:t>项目备案，项目</w:t>
            </w:r>
            <w:r>
              <w:rPr>
                <w:color w:val="auto"/>
              </w:rPr>
              <w:t>备案代码为</w:t>
            </w:r>
            <w:r>
              <w:rPr>
                <w:rFonts w:hint="eastAsia"/>
                <w:color w:val="auto"/>
                <w:lang w:eastAsia="zh-CN"/>
              </w:rPr>
              <w:t>2304-340321-04-01-426060</w:t>
            </w:r>
            <w:r>
              <w:rPr>
                <w:rFonts w:hint="eastAsia"/>
                <w:color w:val="auto"/>
              </w:rPr>
              <w:t>，</w:t>
            </w:r>
            <w:r>
              <w:rPr>
                <w:color w:val="auto"/>
              </w:rPr>
              <w:t>符合地方产业政策。</w:t>
            </w:r>
          </w:p>
          <w:p>
            <w:pPr>
              <w:pStyle w:val="16"/>
              <w:keepNext w:val="0"/>
              <w:keepLines w:val="0"/>
              <w:pageBreakBefore w:val="0"/>
              <w:kinsoku/>
              <w:wordWrap/>
              <w:overflowPunct/>
              <w:bidi w:val="0"/>
              <w:adjustRightInd w:val="0"/>
              <w:snapToGrid w:val="0"/>
              <w:textAlignment w:val="auto"/>
              <w:rPr>
                <w:color w:val="auto"/>
                <w:highlight w:val="none"/>
              </w:rPr>
            </w:pPr>
            <w:r>
              <w:rPr>
                <w:rFonts w:hint="eastAsia"/>
                <w:color w:val="auto"/>
              </w:rPr>
              <w:t>综上所述</w:t>
            </w:r>
            <w:r>
              <w:rPr>
                <w:color w:val="auto"/>
              </w:rPr>
              <w:t>，项目符合国家现行产业政策</w:t>
            </w:r>
            <w:r>
              <w:rPr>
                <w:rFonts w:hint="eastAsia"/>
                <w:color w:val="auto"/>
              </w:rPr>
              <w:t>和</w:t>
            </w:r>
            <w:r>
              <w:rPr>
                <w:color w:val="auto"/>
              </w:rPr>
              <w:t>地方产业政策。</w:t>
            </w:r>
          </w:p>
          <w:p>
            <w:pPr>
              <w:pStyle w:val="18"/>
              <w:keepNext w:val="0"/>
              <w:keepLines w:val="0"/>
              <w:pageBreakBefore w:val="0"/>
              <w:kinsoku/>
              <w:wordWrap/>
              <w:overflowPunct/>
              <w:bidi w:val="0"/>
              <w:adjustRightInd w:val="0"/>
              <w:snapToGrid w:val="0"/>
              <w:textAlignment w:val="auto"/>
              <w:rPr>
                <w:rFonts w:hint="eastAsia"/>
                <w:color w:val="auto"/>
              </w:rPr>
            </w:pPr>
            <w:r>
              <w:rPr>
                <w:rFonts w:hint="eastAsia"/>
                <w:color w:val="auto"/>
              </w:rPr>
              <w:t>3、与“三线一单”相符性分析</w:t>
            </w:r>
          </w:p>
          <w:p>
            <w:pPr>
              <w:pStyle w:val="16"/>
              <w:keepNext w:val="0"/>
              <w:keepLines w:val="0"/>
              <w:pageBreakBefore w:val="0"/>
              <w:kinsoku/>
              <w:wordWrap/>
              <w:overflowPunct/>
              <w:bidi w:val="0"/>
              <w:adjustRightInd w:val="0"/>
              <w:snapToGrid w:val="0"/>
              <w:textAlignment w:val="auto"/>
              <w:rPr>
                <w:rFonts w:hint="eastAsia"/>
                <w:color w:val="auto"/>
              </w:rPr>
            </w:pPr>
            <w:r>
              <w:rPr>
                <w:rFonts w:hint="eastAsia"/>
                <w:color w:val="auto"/>
              </w:rPr>
              <w:t>项目与蚌埠市“三线一单”相符性分析内容，具体见下表。</w:t>
            </w:r>
          </w:p>
          <w:p>
            <w:pPr>
              <w:pStyle w:val="11"/>
              <w:keepNext w:val="0"/>
              <w:keepLines w:val="0"/>
              <w:pageBreakBefore w:val="0"/>
              <w:kinsoku/>
              <w:wordWrap/>
              <w:overflowPunct/>
              <w:bidi w:val="0"/>
              <w:adjustRightInd w:val="0"/>
              <w:snapToGrid w:val="0"/>
              <w:textAlignment w:val="auto"/>
              <w:rPr>
                <w:rFonts w:hint="eastAsia"/>
                <w:color w:val="auto"/>
                <w:highlight w:val="none"/>
              </w:rPr>
            </w:pPr>
            <w:r>
              <w:rPr>
                <w:rFonts w:hint="eastAsia"/>
                <w:color w:val="auto"/>
              </w:rPr>
              <w:t>表1-</w:t>
            </w:r>
            <w:r>
              <w:rPr>
                <w:rFonts w:hint="eastAsia"/>
                <w:color w:val="auto"/>
                <w:lang w:val="en-US" w:eastAsia="zh-CN"/>
              </w:rPr>
              <w:t>3</w:t>
            </w:r>
            <w:r>
              <w:rPr>
                <w:rFonts w:hint="eastAsia"/>
                <w:color w:val="auto"/>
              </w:rPr>
              <w:t xml:space="preserve"> 与蚌埠市“三线一单”相符性分析</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7"/>
              <w:gridCol w:w="5102"/>
              <w:gridCol w:w="1928"/>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noWrap w:val="0"/>
                  <w:vAlign w:val="center"/>
                </w:tcPr>
                <w:p>
                  <w:pPr>
                    <w:pStyle w:val="15"/>
                    <w:keepNext w:val="0"/>
                    <w:keepLines w:val="0"/>
                    <w:pageBreakBefore w:val="0"/>
                    <w:widowControl w:val="0"/>
                    <w:kinsoku/>
                    <w:wordWrap/>
                    <w:overflowPunct/>
                    <w:topLinePunct/>
                    <w:autoSpaceDE/>
                    <w:autoSpaceDN/>
                    <w:bidi w:val="0"/>
                    <w:adjustRightInd w:val="0"/>
                    <w:snapToGrid w:val="0"/>
                    <w:textAlignment w:val="auto"/>
                    <w:rPr>
                      <w:rFonts w:hint="default"/>
                      <w:color w:val="auto"/>
                    </w:rPr>
                  </w:pPr>
                  <w:r>
                    <w:rPr>
                      <w:rFonts w:hint="default"/>
                      <w:color w:val="auto"/>
                    </w:rPr>
                    <w:t>类别</w:t>
                  </w:r>
                </w:p>
              </w:tc>
              <w:tc>
                <w:tcPr>
                  <w:tcW w:w="5102" w:type="dxa"/>
                  <w:noWrap w:val="0"/>
                  <w:vAlign w:val="center"/>
                </w:tcPr>
                <w:p>
                  <w:pPr>
                    <w:pStyle w:val="15"/>
                    <w:keepNext w:val="0"/>
                    <w:keepLines w:val="0"/>
                    <w:pageBreakBefore w:val="0"/>
                    <w:widowControl w:val="0"/>
                    <w:kinsoku/>
                    <w:wordWrap/>
                    <w:overflowPunct/>
                    <w:topLinePunct/>
                    <w:autoSpaceDE/>
                    <w:autoSpaceDN/>
                    <w:bidi w:val="0"/>
                    <w:adjustRightInd w:val="0"/>
                    <w:snapToGrid w:val="0"/>
                    <w:textAlignment w:val="auto"/>
                    <w:rPr>
                      <w:rFonts w:hint="default"/>
                      <w:color w:val="auto"/>
                    </w:rPr>
                  </w:pPr>
                  <w:r>
                    <w:rPr>
                      <w:rFonts w:hint="default"/>
                      <w:color w:val="auto"/>
                    </w:rPr>
                    <w:t>蚌埠市</w:t>
                  </w:r>
                  <w:r>
                    <w:rPr>
                      <w:color w:val="auto"/>
                    </w:rPr>
                    <w:t>“</w:t>
                  </w:r>
                  <w:r>
                    <w:rPr>
                      <w:rFonts w:hint="default"/>
                      <w:color w:val="auto"/>
                    </w:rPr>
                    <w:t>三线一单</w:t>
                  </w:r>
                  <w:r>
                    <w:rPr>
                      <w:color w:val="auto"/>
                    </w:rPr>
                    <w:t>”</w:t>
                  </w:r>
                  <w:r>
                    <w:rPr>
                      <w:rFonts w:hint="default"/>
                      <w:color w:val="auto"/>
                    </w:rPr>
                    <w:t>要求</w:t>
                  </w:r>
                </w:p>
              </w:tc>
              <w:tc>
                <w:tcPr>
                  <w:tcW w:w="1928" w:type="dxa"/>
                  <w:noWrap w:val="0"/>
                  <w:vAlign w:val="center"/>
                </w:tcPr>
                <w:p>
                  <w:pPr>
                    <w:pStyle w:val="15"/>
                    <w:keepNext w:val="0"/>
                    <w:keepLines w:val="0"/>
                    <w:pageBreakBefore w:val="0"/>
                    <w:widowControl w:val="0"/>
                    <w:kinsoku/>
                    <w:wordWrap/>
                    <w:overflowPunct/>
                    <w:topLinePunct/>
                    <w:autoSpaceDE/>
                    <w:autoSpaceDN/>
                    <w:bidi w:val="0"/>
                    <w:adjustRightInd w:val="0"/>
                    <w:snapToGrid w:val="0"/>
                    <w:textAlignment w:val="auto"/>
                    <w:rPr>
                      <w:rFonts w:hint="default"/>
                      <w:color w:val="auto"/>
                    </w:rPr>
                  </w:pPr>
                  <w:r>
                    <w:rPr>
                      <w:rFonts w:hint="default"/>
                      <w:color w:val="auto"/>
                    </w:rPr>
                    <w:t>项目情况</w:t>
                  </w:r>
                </w:p>
              </w:tc>
              <w:tc>
                <w:tcPr>
                  <w:tcW w:w="850" w:type="dxa"/>
                  <w:noWrap w:val="0"/>
                  <w:vAlign w:val="center"/>
                </w:tcPr>
                <w:p>
                  <w:pPr>
                    <w:pStyle w:val="15"/>
                    <w:keepNext w:val="0"/>
                    <w:keepLines w:val="0"/>
                    <w:pageBreakBefore w:val="0"/>
                    <w:widowControl w:val="0"/>
                    <w:kinsoku/>
                    <w:wordWrap/>
                    <w:overflowPunct/>
                    <w:topLinePunct/>
                    <w:autoSpaceDE/>
                    <w:autoSpaceDN/>
                    <w:bidi w:val="0"/>
                    <w:adjustRightInd w:val="0"/>
                    <w:snapToGrid w:val="0"/>
                    <w:textAlignment w:val="auto"/>
                    <w:rPr>
                      <w:rFonts w:hint="default"/>
                      <w:color w:val="auto"/>
                    </w:rPr>
                  </w:pPr>
                  <w:r>
                    <w:rPr>
                      <w:rFonts w:hint="default"/>
                      <w:color w:val="auto"/>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54" w:hRule="atLeast"/>
                <w:jc w:val="center"/>
              </w:trPr>
              <w:tc>
                <w:tcPr>
                  <w:tcW w:w="737" w:type="dxa"/>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rPr>
                  </w:pPr>
                  <w:r>
                    <w:rPr>
                      <w:color w:val="auto"/>
                    </w:rPr>
                    <w:t>生态保护红线</w:t>
                  </w: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rPr>
                  </w:pPr>
                  <w:r>
                    <w:rPr>
                      <w:color w:val="auto"/>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总面积为263.89k</w:t>
                  </w:r>
                  <w:r>
                    <w:rPr>
                      <w:rFonts w:hint="default"/>
                      <w:color w:val="auto"/>
                    </w:rPr>
                    <w:t>m</w:t>
                  </w:r>
                  <w:r>
                    <w:rPr>
                      <w:rFonts w:hint="default"/>
                      <w:color w:val="auto"/>
                      <w:vertAlign w:val="superscript"/>
                    </w:rPr>
                    <w:t>2</w:t>
                  </w:r>
                  <w:r>
                    <w:rPr>
                      <w:color w:val="auto"/>
                    </w:rPr>
                    <w:t>，占全市国土总面的4.43%。</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color w:val="auto"/>
                    </w:rPr>
                  </w:pPr>
                  <w:r>
                    <w:rPr>
                      <w:color w:val="auto"/>
                    </w:rPr>
                    <w:t>项目位于</w:t>
                  </w:r>
                  <w:r>
                    <w:rPr>
                      <w:rFonts w:hint="eastAsia"/>
                      <w:color w:val="auto"/>
                      <w:lang w:eastAsia="zh-CN"/>
                    </w:rPr>
                    <w:t>怀远经济开发区中的榴城工业园范围内</w:t>
                  </w:r>
                  <w:r>
                    <w:rPr>
                      <w:color w:val="auto"/>
                    </w:rPr>
                    <w:t>，周边无自然保护区等目标，不在蚌埠市生态保护红线范围内。</w:t>
                  </w:r>
                </w:p>
              </w:tc>
              <w:tc>
                <w:tcPr>
                  <w:tcW w:w="850" w:type="dxa"/>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81" w:hRule="atLeast"/>
                <w:jc w:val="center"/>
              </w:trPr>
              <w:tc>
                <w:tcPr>
                  <w:tcW w:w="737" w:type="dxa"/>
                  <w:vMerge w:val="restart"/>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rPr>
                  </w:pPr>
                  <w:r>
                    <w:rPr>
                      <w:color w:val="auto"/>
                    </w:rPr>
                    <w:t>环境质量底线</w:t>
                  </w: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rPr>
                  </w:pPr>
                  <w:r>
                    <w:rPr>
                      <w:color w:val="auto"/>
                    </w:rPr>
                    <w:t>1、水环境质量底线</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rPr>
                  </w:pPr>
                  <w:r>
                    <w:rPr>
                      <w:color w:val="auto"/>
                    </w:rPr>
                    <w:t>蚌埠市2020年水环境质量底线以安徽省《水十条》中明确的蚌埠市国考断面水质目标为准；2025年地表水质量底线暂参考《重点流域水生态环境保护</w:t>
                  </w:r>
                  <w:r>
                    <w:rPr>
                      <w:rFonts w:hint="eastAsia"/>
                      <w:color w:val="auto"/>
                    </w:rPr>
                    <w:t>“</w:t>
                  </w:r>
                  <w:r>
                    <w:rPr>
                      <w:color w:val="auto"/>
                    </w:rPr>
                    <w:t>十四五</w:t>
                  </w:r>
                  <w:r>
                    <w:rPr>
                      <w:rFonts w:hint="eastAsia"/>
                      <w:color w:val="auto"/>
                    </w:rPr>
                    <w:t>”</w:t>
                  </w:r>
                  <w:r>
                    <w:rPr>
                      <w:color w:val="auto"/>
                    </w:rPr>
                    <w:t>规划》阶段性成果中明确的12个国考断面水质目标，最终以</w:t>
                  </w:r>
                  <w:r>
                    <w:rPr>
                      <w:rFonts w:hint="eastAsia"/>
                      <w:color w:val="auto"/>
                    </w:rPr>
                    <w:t>“</w:t>
                  </w:r>
                  <w:r>
                    <w:rPr>
                      <w:color w:val="auto"/>
                    </w:rPr>
                    <w:t>十四五</w:t>
                  </w:r>
                  <w:r>
                    <w:rPr>
                      <w:rFonts w:hint="eastAsia"/>
                      <w:color w:val="auto"/>
                    </w:rPr>
                    <w:t>”</w:t>
                  </w:r>
                  <w:r>
                    <w:rPr>
                      <w:color w:val="auto"/>
                    </w:rPr>
                    <w:t>规划确定的水质目标为准；2035年质量底线目标为暂定，最终以</w:t>
                  </w:r>
                  <w:r>
                    <w:rPr>
                      <w:rFonts w:hint="eastAsia"/>
                      <w:color w:val="auto"/>
                    </w:rPr>
                    <w:t>“</w:t>
                  </w:r>
                  <w:r>
                    <w:rPr>
                      <w:color w:val="auto"/>
                    </w:rPr>
                    <w:t>十六五</w:t>
                  </w:r>
                  <w:r>
                    <w:rPr>
                      <w:rFonts w:hint="eastAsia"/>
                      <w:color w:val="auto"/>
                    </w:rPr>
                    <w:t>”</w:t>
                  </w:r>
                  <w:r>
                    <w:rPr>
                      <w:color w:val="auto"/>
                    </w:rPr>
                    <w:t>生态环境保护规划确定的目标为准。</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color w:val="auto"/>
                      <w:szCs w:val="21"/>
                      <w:highlight w:val="none"/>
                    </w:rPr>
                  </w:pPr>
                  <w:r>
                    <w:rPr>
                      <w:rFonts w:hint="eastAsia"/>
                      <w:color w:val="auto"/>
                    </w:rPr>
                    <w:t>根据《2021年蚌埠市生态环境质量概况》可知，</w:t>
                  </w:r>
                  <w:r>
                    <w:rPr>
                      <w:color w:val="auto"/>
                    </w:rPr>
                    <w:t>淮河水质满足《地表水环境质量标准》（GB</w:t>
                  </w:r>
                  <w:r>
                    <w:rPr>
                      <w:rFonts w:hint="eastAsia"/>
                      <w:color w:val="auto"/>
                      <w:lang w:val="en-US" w:eastAsia="zh-CN"/>
                    </w:rPr>
                    <w:t xml:space="preserve"> </w:t>
                  </w:r>
                  <w:r>
                    <w:rPr>
                      <w:color w:val="auto"/>
                    </w:rPr>
                    <w:t>3838-2002）中Ⅲ类标准。</w:t>
                  </w:r>
                </w:p>
              </w:tc>
              <w:tc>
                <w:tcPr>
                  <w:tcW w:w="850" w:type="dxa"/>
                  <w:vMerge w:val="restart"/>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szCs w:val="21"/>
                      <w:highlight w:val="none"/>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1" w:hRule="atLeast"/>
                <w:jc w:val="center"/>
              </w:trPr>
              <w:tc>
                <w:tcPr>
                  <w:tcW w:w="737" w:type="dxa"/>
                  <w:vMerge w:val="continue"/>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rPr>
                  </w:pP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rPr>
                  </w:pPr>
                  <w:r>
                    <w:rPr>
                      <w:color w:val="auto"/>
                    </w:rPr>
                    <w:t>2、大气环境质量底线</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rPr>
                  </w:pPr>
                  <w:r>
                    <w:rPr>
                      <w:color w:val="auto"/>
                    </w:rPr>
                    <w:t>根据2016年发布的</w:t>
                  </w:r>
                  <w:r>
                    <w:rPr>
                      <w:rFonts w:hint="eastAsia"/>
                      <w:color w:val="auto"/>
                    </w:rPr>
                    <w:t>“</w:t>
                  </w:r>
                  <w:r>
                    <w:rPr>
                      <w:color w:val="auto"/>
                    </w:rPr>
                    <w:t>十三五</w:t>
                  </w:r>
                  <w:r>
                    <w:rPr>
                      <w:rFonts w:hint="eastAsia"/>
                      <w:color w:val="auto"/>
                    </w:rPr>
                    <w:t>”</w:t>
                  </w:r>
                  <w:r>
                    <w:rPr>
                      <w:color w:val="auto"/>
                    </w:rPr>
                    <w:t>生态环境保护规划和生态环境部下达的</w:t>
                  </w:r>
                  <w:r>
                    <w:rPr>
                      <w:rFonts w:hint="eastAsia"/>
                      <w:color w:val="auto"/>
                    </w:rPr>
                    <w:t>“</w:t>
                  </w:r>
                  <w:r>
                    <w:rPr>
                      <w:color w:val="auto"/>
                    </w:rPr>
                    <w:t>十三五</w:t>
                  </w:r>
                  <w:r>
                    <w:rPr>
                      <w:rFonts w:hint="eastAsia"/>
                      <w:color w:val="auto"/>
                    </w:rPr>
                    <w:t>”</w:t>
                  </w:r>
                  <w:r>
                    <w:rPr>
                      <w:color w:val="auto"/>
                    </w:rPr>
                    <w:t>约束性指标以及《蚌埠市环境保护</w:t>
                  </w:r>
                  <w:r>
                    <w:rPr>
                      <w:rFonts w:hint="eastAsia"/>
                      <w:color w:val="auto"/>
                    </w:rPr>
                    <w:t>“</w:t>
                  </w:r>
                  <w:r>
                    <w:rPr>
                      <w:color w:val="auto"/>
                    </w:rPr>
                    <w:t>十三五</w:t>
                  </w:r>
                  <w:r>
                    <w:rPr>
                      <w:rFonts w:hint="eastAsia"/>
                      <w:color w:val="auto"/>
                    </w:rPr>
                    <w:t>”</w:t>
                  </w:r>
                  <w:r>
                    <w:rPr>
                      <w:color w:val="auto"/>
                    </w:rPr>
                    <w:t>规划（2016～2020年）》，到2020年，蚌埠市PM</w:t>
                  </w:r>
                  <w:r>
                    <w:rPr>
                      <w:color w:val="auto"/>
                      <w:vertAlign w:val="subscript"/>
                    </w:rPr>
                    <w:t>2.5</w:t>
                  </w:r>
                  <w:r>
                    <w:rPr>
                      <w:color w:val="auto"/>
                    </w:rPr>
                    <w:t>平均浓度比2015年下降20%，即由64微克/立方米下降到49微克/立方米；到2025年，在2020年目标的基础上，PM</w:t>
                  </w:r>
                  <w:r>
                    <w:rPr>
                      <w:color w:val="auto"/>
                      <w:vertAlign w:val="subscript"/>
                    </w:rPr>
                    <w:t>2.5</w:t>
                  </w:r>
                  <w:r>
                    <w:rPr>
                      <w:color w:val="auto"/>
                    </w:rPr>
                    <w:t>平均浓度暂定为下降至43微克/立方米；到2035年，蚌埠市PM</w:t>
                  </w:r>
                  <w:r>
                    <w:rPr>
                      <w:color w:val="auto"/>
                      <w:vertAlign w:val="subscript"/>
                    </w:rPr>
                    <w:t>2.5</w:t>
                  </w:r>
                  <w:r>
                    <w:rPr>
                      <w:color w:val="auto"/>
                    </w:rPr>
                    <w:t>平均浓度目标暂定为&lt;35微克/立方米。2025年、2035年目标值均为暂定，最终以</w:t>
                  </w:r>
                  <w:r>
                    <w:rPr>
                      <w:rFonts w:hint="eastAsia"/>
                      <w:color w:val="auto"/>
                    </w:rPr>
                    <w:t>“</w:t>
                  </w:r>
                  <w:r>
                    <w:rPr>
                      <w:color w:val="auto"/>
                    </w:rPr>
                    <w:t>十四五</w:t>
                  </w:r>
                  <w:r>
                    <w:rPr>
                      <w:rFonts w:hint="eastAsia"/>
                      <w:color w:val="auto"/>
                    </w:rPr>
                    <w:t>”</w:t>
                  </w:r>
                  <w:r>
                    <w:rPr>
                      <w:color w:val="auto"/>
                    </w:rPr>
                    <w:t>、</w:t>
                  </w:r>
                  <w:r>
                    <w:rPr>
                      <w:rFonts w:hint="eastAsia"/>
                      <w:color w:val="auto"/>
                    </w:rPr>
                    <w:t>“</w:t>
                  </w:r>
                  <w:r>
                    <w:rPr>
                      <w:color w:val="auto"/>
                    </w:rPr>
                    <w:t>十六五</w:t>
                  </w:r>
                  <w:r>
                    <w:rPr>
                      <w:rFonts w:hint="eastAsia"/>
                      <w:color w:val="auto"/>
                    </w:rPr>
                    <w:t>”</w:t>
                  </w:r>
                  <w:r>
                    <w:rPr>
                      <w:color w:val="auto"/>
                    </w:rPr>
                    <w:t>生态环境保护规划确定的目标为准。</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rFonts w:hint="eastAsia" w:eastAsia="宋体"/>
                      <w:color w:val="auto"/>
                      <w:szCs w:val="21"/>
                      <w:highlight w:val="none"/>
                      <w:lang w:val="en-US" w:eastAsia="zh-CN"/>
                    </w:rPr>
                  </w:pPr>
                  <w:r>
                    <w:rPr>
                      <w:color w:val="auto"/>
                    </w:rPr>
                    <w:t>202</w:t>
                  </w:r>
                  <w:r>
                    <w:rPr>
                      <w:rFonts w:hint="eastAsia"/>
                      <w:color w:val="auto"/>
                      <w:lang w:val="en-US" w:eastAsia="zh-CN"/>
                    </w:rPr>
                    <w:t>1</w:t>
                  </w:r>
                  <w:r>
                    <w:rPr>
                      <w:color w:val="auto"/>
                    </w:rPr>
                    <w:t>年，蚌埠市环境空气</w:t>
                  </w:r>
                  <w:r>
                    <w:rPr>
                      <w:rFonts w:hint="eastAsia"/>
                      <w:color w:val="auto"/>
                      <w:lang w:eastAsia="zh-CN"/>
                    </w:rPr>
                    <w:t>基本污染物</w:t>
                  </w:r>
                  <w:r>
                    <w:rPr>
                      <w:color w:val="auto"/>
                    </w:rPr>
                    <w:t>PM</w:t>
                  </w:r>
                  <w:r>
                    <w:rPr>
                      <w:color w:val="auto"/>
                      <w:vertAlign w:val="subscript"/>
                    </w:rPr>
                    <w:t>2.5</w:t>
                  </w:r>
                  <w:r>
                    <w:rPr>
                      <w:color w:val="auto"/>
                    </w:rPr>
                    <w:t>不满足《环境空气质量标准》（GB</w:t>
                  </w:r>
                  <w:r>
                    <w:rPr>
                      <w:rFonts w:hint="eastAsia"/>
                      <w:color w:val="auto"/>
                      <w:lang w:val="en-US" w:eastAsia="zh-CN"/>
                    </w:rPr>
                    <w:t xml:space="preserve"> </w:t>
                  </w:r>
                  <w:r>
                    <w:rPr>
                      <w:color w:val="auto"/>
                    </w:rPr>
                    <w:t>3095</w:t>
                  </w:r>
                  <w:r>
                    <w:rPr>
                      <w:rFonts w:hint="eastAsia"/>
                      <w:color w:val="auto"/>
                      <w:lang w:val="en-US" w:eastAsia="zh-CN"/>
                    </w:rPr>
                    <w:t xml:space="preserve"> </w:t>
                  </w:r>
                  <w:r>
                    <w:rPr>
                      <w:color w:val="auto"/>
                    </w:rPr>
                    <w:t>-2012）中二级标准要求。</w:t>
                  </w: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74" w:hRule="atLeast"/>
                <w:jc w:val="center"/>
              </w:trPr>
              <w:tc>
                <w:tcPr>
                  <w:tcW w:w="7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spacing w:before="95" w:beforeLines="30"/>
                    <w:ind w:firstLine="420" w:firstLineChars="200"/>
                    <w:jc w:val="both"/>
                    <w:textAlignment w:val="auto"/>
                    <w:rPr>
                      <w:rFonts w:ascii="Times New Roman" w:hAnsi="Times New Roman" w:eastAsia="宋体" w:cs="Times New Roman"/>
                      <w:color w:val="auto"/>
                    </w:rPr>
                  </w:pPr>
                  <w:r>
                    <w:rPr>
                      <w:rFonts w:ascii="Times New Roman" w:hAnsi="Times New Roman" w:eastAsia="宋体" w:cs="Times New Roman"/>
                      <w:color w:val="auto"/>
                    </w:rPr>
                    <w:t>3、土壤环境风险防控底线</w:t>
                  </w:r>
                </w:p>
                <w:p>
                  <w:pPr>
                    <w:pStyle w:val="13"/>
                    <w:keepNext w:val="0"/>
                    <w:keepLines w:val="0"/>
                    <w:pageBreakBefore w:val="0"/>
                    <w:widowControl w:val="0"/>
                    <w:kinsoku/>
                    <w:wordWrap/>
                    <w:overflowPunct/>
                    <w:topLinePunct/>
                    <w:autoSpaceDE/>
                    <w:autoSpaceDN/>
                    <w:bidi w:val="0"/>
                    <w:adjustRightInd w:val="0"/>
                    <w:snapToGrid w:val="0"/>
                    <w:spacing w:after="95" w:afterLines="30"/>
                    <w:ind w:firstLine="420" w:firstLineChars="200"/>
                    <w:jc w:val="both"/>
                    <w:textAlignment w:val="auto"/>
                    <w:rPr>
                      <w:color w:val="auto"/>
                      <w:szCs w:val="21"/>
                      <w:highlight w:val="none"/>
                    </w:rPr>
                  </w:pPr>
                  <w:r>
                    <w:rPr>
                      <w:rFonts w:ascii="Times New Roman" w:hAnsi="Times New Roman" w:eastAsia="宋体" w:cs="Times New Roman"/>
                      <w:color w:val="auto"/>
                    </w:rPr>
                    <w:t>根据《安徽省土壤污染防治工作方案》、《蚌埠市土壤污染防治工作方案》要求，到2020年，蚌埠市土壤环境质量总体保持稳定，农用地和建设用地土壤环境安全得到基本保障，土壤环境风险得到基本管控。到2030年，蚌埠市土壤环境质量稳中向好，农用地和建设用地土壤环境安全得到有效保障，土壤环境风险得到全面管控。到本世纪中叶，土壤环境质量全面改善，生态系统实现良性循环。到2020年，受污染耕地安全利用率达到95%左右，污染地块安全利用率达到90%以上。到2030年，受污染耕地安全利用率达到96%以上，污染地块安全利用率达到95%以上。</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spacing w:before="95" w:beforeLines="30"/>
                    <w:jc w:val="center"/>
                    <w:textAlignment w:val="auto"/>
                    <w:rPr>
                      <w:color w:val="auto"/>
                      <w:szCs w:val="21"/>
                      <w:highlight w:val="none"/>
                    </w:rPr>
                  </w:pPr>
                  <w:r>
                    <w:rPr>
                      <w:color w:val="auto"/>
                      <w:szCs w:val="21"/>
                      <w:highlight w:val="none"/>
                    </w:rPr>
                    <w:t>项目位于</w:t>
                  </w:r>
                  <w:r>
                    <w:rPr>
                      <w:rFonts w:hint="eastAsia"/>
                      <w:color w:val="auto"/>
                      <w:szCs w:val="21"/>
                      <w:highlight w:val="none"/>
                      <w:lang w:eastAsia="zh-CN"/>
                    </w:rPr>
                    <w:t>蚌埠市怀远县经济开发区金河路32号</w:t>
                  </w:r>
                  <w:r>
                    <w:rPr>
                      <w:color w:val="auto"/>
                      <w:szCs w:val="21"/>
                      <w:highlight w:val="none"/>
                    </w:rPr>
                    <w:t>，</w:t>
                  </w:r>
                  <w:r>
                    <w:rPr>
                      <w:rFonts w:hint="eastAsia"/>
                      <w:color w:val="auto"/>
                      <w:szCs w:val="21"/>
                      <w:highlight w:val="none"/>
                      <w:lang w:val="en-US" w:eastAsia="zh-CN"/>
                    </w:rPr>
                    <w:t>依托</w:t>
                  </w:r>
                  <w:r>
                    <w:rPr>
                      <w:rFonts w:hint="eastAsia"/>
                      <w:color w:val="auto"/>
                      <w:szCs w:val="21"/>
                      <w:highlight w:val="none"/>
                    </w:rPr>
                    <w:t>现有厂房，</w:t>
                  </w:r>
                  <w:r>
                    <w:rPr>
                      <w:color w:val="auto"/>
                      <w:szCs w:val="21"/>
                      <w:highlight w:val="none"/>
                    </w:rPr>
                    <w:t>用地为工业用地，在落实各项风险防控措施的基础上，土壤环境风险较小。</w:t>
                  </w: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98" w:hRule="atLeast"/>
                <w:jc w:val="center"/>
              </w:trPr>
              <w:tc>
                <w:tcPr>
                  <w:tcW w:w="737" w:type="dxa"/>
                  <w:vMerge w:val="restart"/>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szCs w:val="21"/>
                      <w:highlight w:val="none"/>
                    </w:rPr>
                  </w:pPr>
                  <w:r>
                    <w:rPr>
                      <w:color w:val="auto"/>
                    </w:rPr>
                    <w:t>资源利用上线</w:t>
                  </w: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rFonts w:ascii="Times New Roman" w:hAnsi="Times New Roman" w:eastAsia="宋体" w:cs="Times New Roman"/>
                      <w:color w:val="auto"/>
                    </w:rPr>
                  </w:pPr>
                  <w:r>
                    <w:rPr>
                      <w:rFonts w:ascii="Times New Roman" w:hAnsi="Times New Roman" w:eastAsia="宋体" w:cs="Times New Roman"/>
                      <w:color w:val="auto"/>
                    </w:rPr>
                    <w:t>1、煤炭资源利用上线</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szCs w:val="21"/>
                      <w:highlight w:val="none"/>
                    </w:rPr>
                  </w:pPr>
                  <w:r>
                    <w:rPr>
                      <w:rFonts w:ascii="Times New Roman" w:hAnsi="Times New Roman" w:eastAsia="宋体" w:cs="Times New Roman"/>
                      <w:color w:val="auto"/>
                    </w:rPr>
                    <w:t>根据《安徽省发展改革委 安徽省经济和信息化委 安徽省财政厅 安徽省环保厅 安徽省统计局 安徽省能源局关于印发安徽省煤炭消费减量替代工作方案（2018～2020年）的通知》（皖发改环资〔2017〕807号），通过采取减量、替代措施，煤炭消费总量较2015年下降5%左右。</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color w:val="auto"/>
                    </w:rPr>
                  </w:pPr>
                  <w:r>
                    <w:rPr>
                      <w:color w:val="auto"/>
                    </w:rPr>
                    <w:t>项目生产过程中不使用煤炭。</w:t>
                  </w:r>
                </w:p>
              </w:tc>
              <w:tc>
                <w:tcPr>
                  <w:tcW w:w="850" w:type="dxa"/>
                  <w:vMerge w:val="restart"/>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rPr>
                  </w:pPr>
                  <w:r>
                    <w:rPr>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09" w:hRule="atLeast"/>
                <w:jc w:val="center"/>
              </w:trPr>
              <w:tc>
                <w:tcPr>
                  <w:tcW w:w="7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rFonts w:ascii="Times New Roman" w:hAnsi="Times New Roman" w:eastAsia="宋体" w:cs="Times New Roman"/>
                      <w:color w:val="auto"/>
                    </w:rPr>
                  </w:pPr>
                  <w:r>
                    <w:rPr>
                      <w:rFonts w:ascii="Times New Roman" w:hAnsi="Times New Roman" w:eastAsia="宋体" w:cs="Times New Roman"/>
                      <w:color w:val="auto"/>
                    </w:rPr>
                    <w:t>2、水资源利用上线</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szCs w:val="21"/>
                      <w:highlight w:val="none"/>
                    </w:rPr>
                  </w:pPr>
                  <w:r>
                    <w:rPr>
                      <w:rFonts w:ascii="Times New Roman" w:hAnsi="Times New Roman" w:eastAsia="宋体" w:cs="Times New Roman"/>
                      <w:color w:val="auto"/>
                    </w:rPr>
                    <w:t>依据《安徽省人民政府办公厅关于印发安徽省实行最严格水资源管理制度考核办法的通知》（皖政办〔2013〕49号）、安徽省水利厅 安徽省发展改革委《安徽省</w:t>
                  </w:r>
                  <w:r>
                    <w:rPr>
                      <w:rFonts w:hint="eastAsia" w:ascii="Times New Roman" w:hAnsi="Times New Roman" w:eastAsia="宋体" w:cs="Times New Roman"/>
                      <w:color w:val="auto"/>
                    </w:rPr>
                    <w:t>“</w:t>
                  </w:r>
                  <w:r>
                    <w:rPr>
                      <w:rFonts w:ascii="Times New Roman" w:hAnsi="Times New Roman" w:eastAsia="宋体" w:cs="Times New Roman"/>
                      <w:color w:val="auto"/>
                    </w:rPr>
                    <w:t>十三五</w:t>
                  </w:r>
                  <w:r>
                    <w:rPr>
                      <w:rFonts w:hint="eastAsia" w:ascii="Times New Roman" w:hAnsi="Times New Roman" w:eastAsia="宋体" w:cs="Times New Roman"/>
                      <w:color w:val="auto"/>
                    </w:rPr>
                    <w:t>”</w:t>
                  </w:r>
                  <w:r>
                    <w:rPr>
                      <w:rFonts w:ascii="Times New Roman" w:hAnsi="Times New Roman" w:eastAsia="宋体" w:cs="Times New Roman"/>
                      <w:color w:val="auto"/>
                    </w:rPr>
                    <w:t>水资源消耗总量和强度双控工作方案》（皖水资源〔2016〕145号）、《蚌埠市人民政府关于实行最严格水资源管理制度的意见》（蚌政秘〔2013〕101号）以及《蚌埠市</w:t>
                  </w:r>
                  <w:r>
                    <w:rPr>
                      <w:rFonts w:hint="eastAsia" w:ascii="Times New Roman" w:hAnsi="Times New Roman" w:eastAsia="宋体" w:cs="Times New Roman"/>
                      <w:color w:val="auto"/>
                    </w:rPr>
                    <w:t>“</w:t>
                  </w:r>
                  <w:r>
                    <w:rPr>
                      <w:rFonts w:ascii="Times New Roman" w:hAnsi="Times New Roman" w:eastAsia="宋体" w:cs="Times New Roman"/>
                      <w:color w:val="auto"/>
                    </w:rPr>
                    <w:t>十三五</w:t>
                  </w:r>
                  <w:r>
                    <w:rPr>
                      <w:rFonts w:hint="eastAsia" w:ascii="Times New Roman" w:hAnsi="Times New Roman" w:eastAsia="宋体" w:cs="Times New Roman"/>
                      <w:color w:val="auto"/>
                    </w:rPr>
                    <w:t>”</w:t>
                  </w:r>
                  <w:r>
                    <w:rPr>
                      <w:rFonts w:ascii="Times New Roman" w:hAnsi="Times New Roman" w:eastAsia="宋体" w:cs="Times New Roman"/>
                      <w:color w:val="auto"/>
                    </w:rPr>
                    <w:t>水资源消耗总量和强度双控工作方案》（蚌水资源〔2017〕6号）等文件要求，至2020年蚌埠市用水总量控制在16.13亿m³；2020年万元国内生产总值用水量比2015年下降31%、万元工业增加值用水量比2015年下降23%、农田灌溉水有效利用系数达到0.575。蚌埠市地下水开采重点管控区主要涉及固镇县城近郊区及连城镇，</w:t>
                  </w:r>
                  <w:r>
                    <w:rPr>
                      <w:rFonts w:hint="default" w:ascii="Times New Roman" w:hAnsi="Times New Roman" w:eastAsia="宋体" w:cs="Times New Roman"/>
                      <w:color w:val="auto"/>
                    </w:rPr>
                    <w:t>面积70.98km</w:t>
                  </w:r>
                  <w:r>
                    <w:rPr>
                      <w:rFonts w:hint="default" w:ascii="Times New Roman" w:hAnsi="Times New Roman" w:eastAsia="宋体" w:cs="Times New Roman"/>
                      <w:color w:val="auto"/>
                      <w:lang w:val="en-US" w:eastAsia="zh-CN"/>
                    </w:rPr>
                    <w:t>²</w:t>
                  </w:r>
                  <w:r>
                    <w:rPr>
                      <w:rFonts w:ascii="Times New Roman" w:hAnsi="Times New Roman" w:eastAsia="宋体" w:cs="Times New Roman"/>
                      <w:color w:val="auto"/>
                    </w:rPr>
                    <w:t>，占蚌埠市国土面积的1.19%。</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color w:val="auto"/>
                      <w:szCs w:val="21"/>
                      <w:highlight w:val="none"/>
                    </w:rPr>
                  </w:pPr>
                  <w:r>
                    <w:rPr>
                      <w:color w:val="auto"/>
                      <w:szCs w:val="21"/>
                      <w:highlight w:val="none"/>
                    </w:rPr>
                    <w:t>项目</w:t>
                  </w:r>
                  <w:r>
                    <w:rPr>
                      <w:rFonts w:hint="eastAsia"/>
                      <w:color w:val="auto"/>
                      <w:szCs w:val="21"/>
                      <w:highlight w:val="none"/>
                    </w:rPr>
                    <w:t>年</w:t>
                  </w:r>
                  <w:r>
                    <w:rPr>
                      <w:color w:val="auto"/>
                      <w:szCs w:val="21"/>
                      <w:highlight w:val="none"/>
                    </w:rPr>
                    <w:t>用水量为</w:t>
                  </w:r>
                  <w:r>
                    <w:rPr>
                      <w:rFonts w:hint="eastAsia"/>
                      <w:color w:val="auto"/>
                      <w:szCs w:val="21"/>
                      <w:highlight w:val="none"/>
                      <w:lang w:val="en-US" w:eastAsia="zh-CN"/>
                    </w:rPr>
                    <w:t>4057.5</w:t>
                  </w:r>
                  <w:r>
                    <w:rPr>
                      <w:color w:val="auto"/>
                      <w:szCs w:val="21"/>
                      <w:highlight w:val="none"/>
                    </w:rPr>
                    <w:t>t/a</w:t>
                  </w:r>
                  <w:r>
                    <w:rPr>
                      <w:rFonts w:hint="eastAsia"/>
                      <w:color w:val="auto"/>
                      <w:szCs w:val="21"/>
                      <w:highlight w:val="none"/>
                    </w:rPr>
                    <w:t>，来自市政自来水管网</w:t>
                  </w:r>
                  <w:r>
                    <w:rPr>
                      <w:color w:val="auto"/>
                      <w:szCs w:val="21"/>
                      <w:highlight w:val="none"/>
                    </w:rPr>
                    <w:t>。</w:t>
                  </w: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69" w:hRule="atLeast"/>
                <w:jc w:val="center"/>
              </w:trPr>
              <w:tc>
                <w:tcPr>
                  <w:tcW w:w="737"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rFonts w:ascii="Times New Roman" w:hAnsi="Times New Roman" w:eastAsia="宋体" w:cs="Times New Roman"/>
                      <w:color w:val="auto"/>
                    </w:rPr>
                  </w:pPr>
                  <w:r>
                    <w:rPr>
                      <w:rFonts w:ascii="Times New Roman" w:hAnsi="Times New Roman" w:eastAsia="宋体" w:cs="Times New Roman"/>
                      <w:color w:val="auto"/>
                    </w:rPr>
                    <w:t>3、土地资源利用上线</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rFonts w:ascii="Times New Roman" w:hAnsi="Times New Roman" w:eastAsia="宋体" w:cs="Times New Roman"/>
                      <w:color w:val="auto"/>
                    </w:rPr>
                  </w:pPr>
                  <w:r>
                    <w:rPr>
                      <w:rFonts w:ascii="Times New Roman" w:hAnsi="Times New Roman" w:eastAsia="宋体" w:cs="Times New Roman"/>
                      <w:color w:val="auto"/>
                    </w:rPr>
                    <w:t>根据《国土资源部关于安徽省土地利用总体规划（2006～2020年）有关指标调整的函》（国土资函〔2017〕355号）和《安徽省国土资源厅 安徽省发展和改革委员会转发&lt;关于落实</w:t>
                  </w:r>
                  <w:r>
                    <w:rPr>
                      <w:rFonts w:hint="eastAsia" w:ascii="Times New Roman" w:hAnsi="Times New Roman" w:eastAsia="宋体" w:cs="Times New Roman"/>
                      <w:color w:val="auto"/>
                    </w:rPr>
                    <w:t>“</w:t>
                  </w:r>
                  <w:r>
                    <w:rPr>
                      <w:rFonts w:ascii="Times New Roman" w:hAnsi="Times New Roman" w:eastAsia="宋体" w:cs="Times New Roman"/>
                      <w:color w:val="auto"/>
                    </w:rPr>
                    <w:t>十三五</w:t>
                  </w:r>
                  <w:r>
                    <w:rPr>
                      <w:rFonts w:hint="eastAsia" w:ascii="Times New Roman" w:hAnsi="Times New Roman" w:eastAsia="宋体" w:cs="Times New Roman"/>
                      <w:color w:val="auto"/>
                    </w:rPr>
                    <w:t>”</w:t>
                  </w:r>
                  <w:r>
                    <w:rPr>
                      <w:rFonts w:ascii="Times New Roman" w:hAnsi="Times New Roman" w:eastAsia="宋体" w:cs="Times New Roman"/>
                      <w:color w:val="auto"/>
                    </w:rPr>
                    <w:t>单位国内生产总值建设用地使用面积下降目标的指导意见&gt;的通知》（皖国土资函〔2017〕126号）要求，到2020年，蚌埠市土地利用将继续实施最严格的耕地保护制度，维护国家粮食安全；认真落实土地节约集约利用的各项政策，提高土地节约集约利用水平，保障经济社会发展的必要用地；明确差别化的土地利用政策，统筹区域土地利用，推进城乡经济社会发展一体化；协调土地利用与生态建设的关系，促进全市生态环境良性发展。</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szCs w:val="21"/>
                      <w:highlight w:val="none"/>
                    </w:rPr>
                  </w:pPr>
                  <w:r>
                    <w:rPr>
                      <w:rFonts w:ascii="Times New Roman" w:hAnsi="Times New Roman" w:eastAsia="宋体" w:cs="Times New Roman"/>
                      <w:color w:val="auto"/>
                    </w:rPr>
                    <w:t>2020年，全市耕地保有量保持在37.59万公顷以上，确保基本农田数量不低于31.76万公顷；建设用地总规模达到9.73万公顷，城乡建设用地规模控制在8.13万公顷以内，交通、水利及其他用地规模将达到1.59万公顷；人均城镇工矿用地控制在131平方米，单位国内生产总值建设用地使用面积年度下降率不低于4.85%；林地面积不低于1.71万公顷。</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color w:val="auto"/>
                      <w:szCs w:val="21"/>
                      <w:highlight w:val="none"/>
                    </w:rPr>
                  </w:pPr>
                  <w:r>
                    <w:rPr>
                      <w:color w:val="auto"/>
                      <w:szCs w:val="21"/>
                      <w:highlight w:val="none"/>
                    </w:rPr>
                    <w:t>项目</w:t>
                  </w:r>
                  <w:r>
                    <w:rPr>
                      <w:rFonts w:hint="eastAsia"/>
                      <w:color w:val="auto"/>
                      <w:szCs w:val="21"/>
                      <w:highlight w:val="none"/>
                      <w:lang w:val="en-US" w:eastAsia="zh-CN"/>
                    </w:rPr>
                    <w:t>依托本企业</w:t>
                  </w:r>
                  <w:r>
                    <w:rPr>
                      <w:rFonts w:hint="eastAsia"/>
                      <w:color w:val="auto"/>
                      <w:szCs w:val="21"/>
                      <w:highlight w:val="none"/>
                    </w:rPr>
                    <w:t>现有厂房，</w:t>
                  </w:r>
                  <w:r>
                    <w:rPr>
                      <w:rFonts w:hint="eastAsia"/>
                      <w:color w:val="auto"/>
                      <w:highlight w:val="none"/>
                      <w:lang w:val="en-US" w:eastAsia="zh-CN"/>
                    </w:rPr>
                    <w:t>属于怀远经济开发区中的榴城工业园范围内</w:t>
                  </w:r>
                  <w:r>
                    <w:rPr>
                      <w:color w:val="auto"/>
                      <w:szCs w:val="21"/>
                      <w:highlight w:val="none"/>
                    </w:rPr>
                    <w:t>。</w:t>
                  </w:r>
                </w:p>
              </w:tc>
              <w:tc>
                <w:tcPr>
                  <w:tcW w:w="850"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21" w:hRule="atLeast"/>
                <w:jc w:val="center"/>
              </w:trPr>
              <w:tc>
                <w:tcPr>
                  <w:tcW w:w="737" w:type="dxa"/>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szCs w:val="21"/>
                      <w:highlight w:val="none"/>
                    </w:rPr>
                  </w:pPr>
                  <w:r>
                    <w:rPr>
                      <w:color w:val="auto"/>
                    </w:rPr>
                    <w:t>生态环境准入清单</w:t>
                  </w:r>
                </w:p>
              </w:tc>
              <w:tc>
                <w:tcPr>
                  <w:tcW w:w="5102" w:type="dxa"/>
                  <w:noWrap w:val="0"/>
                  <w:vAlign w:val="center"/>
                </w:tcPr>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rFonts w:ascii="Times New Roman" w:hAnsi="Times New Roman" w:eastAsia="宋体" w:cs="Times New Roman"/>
                      <w:color w:val="auto"/>
                    </w:rPr>
                  </w:pPr>
                  <w:r>
                    <w:rPr>
                      <w:rFonts w:ascii="Times New Roman" w:hAnsi="Times New Roman" w:eastAsia="宋体" w:cs="Times New Roman"/>
                      <w:color w:val="auto"/>
                    </w:rPr>
                    <w:t>根据安徽省三线一单成果，全省建立</w:t>
                  </w:r>
                  <w:r>
                    <w:rPr>
                      <w:rFonts w:hint="eastAsia" w:ascii="Times New Roman" w:hAnsi="Times New Roman" w:eastAsia="宋体" w:cs="Times New Roman"/>
                      <w:color w:val="auto"/>
                    </w:rPr>
                    <w:t>“</w:t>
                  </w:r>
                  <w:r>
                    <w:rPr>
                      <w:rFonts w:ascii="Times New Roman" w:hAnsi="Times New Roman" w:eastAsia="宋体" w:cs="Times New Roman"/>
                      <w:color w:val="auto"/>
                    </w:rPr>
                    <w:t>1+5+16+N</w:t>
                  </w:r>
                  <w:r>
                    <w:rPr>
                      <w:rFonts w:hint="eastAsia" w:ascii="Times New Roman" w:hAnsi="Times New Roman" w:eastAsia="宋体" w:cs="Times New Roman"/>
                      <w:color w:val="auto"/>
                    </w:rPr>
                    <w:t>”</w:t>
                  </w:r>
                  <w:r>
                    <w:rPr>
                      <w:rFonts w:ascii="Times New Roman" w:hAnsi="Times New Roman" w:eastAsia="宋体" w:cs="Times New Roman"/>
                      <w:color w:val="auto"/>
                    </w:rPr>
                    <w:t>的四级清单管控体系。省级建立并发布省级清单、区域清单；初步确定市级清单，制作管控单元清单模板，市级清单、管控单元清单在市级</w:t>
                  </w:r>
                  <w:r>
                    <w:rPr>
                      <w:rFonts w:hint="eastAsia" w:ascii="Times New Roman" w:hAnsi="Times New Roman" w:eastAsia="宋体" w:cs="Times New Roman"/>
                      <w:color w:val="auto"/>
                    </w:rPr>
                    <w:t>“</w:t>
                  </w:r>
                  <w:r>
                    <w:rPr>
                      <w:rFonts w:ascii="Times New Roman" w:hAnsi="Times New Roman" w:eastAsia="宋体" w:cs="Times New Roman"/>
                      <w:color w:val="auto"/>
                    </w:rPr>
                    <w:t>三线一单</w:t>
                  </w:r>
                  <w:r>
                    <w:rPr>
                      <w:rFonts w:hint="eastAsia" w:ascii="Times New Roman" w:hAnsi="Times New Roman" w:eastAsia="宋体" w:cs="Times New Roman"/>
                      <w:color w:val="auto"/>
                    </w:rPr>
                    <w:t>”</w:t>
                  </w:r>
                  <w:r>
                    <w:rPr>
                      <w:rFonts w:ascii="Times New Roman" w:hAnsi="Times New Roman" w:eastAsia="宋体" w:cs="Times New Roman"/>
                      <w:color w:val="auto"/>
                    </w:rPr>
                    <w:t>编制过程中进一步细化。</w:t>
                  </w:r>
                </w:p>
                <w:p>
                  <w:pPr>
                    <w:pStyle w:val="13"/>
                    <w:keepNext w:val="0"/>
                    <w:keepLines w:val="0"/>
                    <w:pageBreakBefore w:val="0"/>
                    <w:widowControl w:val="0"/>
                    <w:kinsoku/>
                    <w:wordWrap/>
                    <w:overflowPunct/>
                    <w:topLinePunct/>
                    <w:autoSpaceDE/>
                    <w:autoSpaceDN/>
                    <w:bidi w:val="0"/>
                    <w:adjustRightInd w:val="0"/>
                    <w:snapToGrid w:val="0"/>
                    <w:ind w:firstLine="420" w:firstLineChars="200"/>
                    <w:jc w:val="both"/>
                    <w:textAlignment w:val="auto"/>
                    <w:rPr>
                      <w:color w:val="auto"/>
                      <w:szCs w:val="21"/>
                      <w:highlight w:val="none"/>
                    </w:rPr>
                  </w:pPr>
                  <w:r>
                    <w:rPr>
                      <w:rFonts w:ascii="Times New Roman" w:hAnsi="Times New Roman" w:eastAsia="宋体" w:cs="Times New Roman"/>
                      <w:color w:val="auto"/>
                    </w:rPr>
                    <w:t>根据划分成果，蚌埠市形成了</w:t>
                  </w:r>
                  <w:r>
                    <w:rPr>
                      <w:rFonts w:hint="eastAsia" w:ascii="Times New Roman" w:hAnsi="Times New Roman" w:eastAsia="宋体" w:cs="Times New Roman"/>
                      <w:color w:val="auto"/>
                    </w:rPr>
                    <w:t>“</w:t>
                  </w:r>
                  <w:r>
                    <w:rPr>
                      <w:rFonts w:ascii="Times New Roman" w:hAnsi="Times New Roman" w:eastAsia="宋体" w:cs="Times New Roman"/>
                      <w:color w:val="auto"/>
                    </w:rPr>
                    <w:t>1+1</w:t>
                  </w:r>
                  <w:r>
                    <w:rPr>
                      <w:rFonts w:hint="eastAsia" w:ascii="Times New Roman" w:hAnsi="Times New Roman" w:eastAsia="宋体" w:cs="Times New Roman"/>
                      <w:color w:val="auto"/>
                    </w:rPr>
                    <w:t>”</w:t>
                  </w:r>
                  <w:r>
                    <w:rPr>
                      <w:rFonts w:ascii="Times New Roman" w:hAnsi="Times New Roman" w:eastAsia="宋体" w:cs="Times New Roman"/>
                      <w:color w:val="auto"/>
                    </w:rPr>
                    <w:t>+</w:t>
                  </w:r>
                  <w:r>
                    <w:rPr>
                      <w:rFonts w:hint="eastAsia" w:ascii="Times New Roman" w:hAnsi="Times New Roman" w:eastAsia="宋体" w:cs="Times New Roman"/>
                      <w:color w:val="auto"/>
                    </w:rPr>
                    <w:t>“</w:t>
                  </w:r>
                  <w:r>
                    <w:rPr>
                      <w:rFonts w:ascii="Times New Roman" w:hAnsi="Times New Roman" w:eastAsia="宋体" w:cs="Times New Roman"/>
                      <w:color w:val="auto"/>
                    </w:rPr>
                    <w:t>1+15+132</w:t>
                  </w:r>
                  <w:r>
                    <w:rPr>
                      <w:rFonts w:hint="eastAsia" w:ascii="Times New Roman" w:hAnsi="Times New Roman" w:eastAsia="宋体" w:cs="Times New Roman"/>
                      <w:color w:val="auto"/>
                    </w:rPr>
                    <w:t>”</w:t>
                  </w:r>
                  <w:r>
                    <w:rPr>
                      <w:rFonts w:ascii="Times New Roman" w:hAnsi="Times New Roman" w:eastAsia="宋体" w:cs="Times New Roman"/>
                      <w:color w:val="auto"/>
                    </w:rPr>
                    <w:t>的管控体系。</w:t>
                  </w:r>
                  <w:r>
                    <w:rPr>
                      <w:rFonts w:hint="eastAsia" w:ascii="Times New Roman" w:hAnsi="Times New Roman" w:eastAsia="宋体" w:cs="Times New Roman"/>
                      <w:color w:val="auto"/>
                    </w:rPr>
                    <w:t>“</w:t>
                  </w:r>
                  <w:r>
                    <w:rPr>
                      <w:rFonts w:ascii="Times New Roman" w:hAnsi="Times New Roman" w:eastAsia="宋体" w:cs="Times New Roman"/>
                      <w:color w:val="auto"/>
                    </w:rPr>
                    <w:t>1+1</w:t>
                  </w:r>
                  <w:r>
                    <w:rPr>
                      <w:rFonts w:hint="eastAsia" w:ascii="Times New Roman" w:hAnsi="Times New Roman" w:eastAsia="宋体" w:cs="Times New Roman"/>
                      <w:color w:val="auto"/>
                    </w:rPr>
                    <w:t>”</w:t>
                  </w:r>
                  <w:r>
                    <w:rPr>
                      <w:rFonts w:ascii="Times New Roman" w:hAnsi="Times New Roman" w:eastAsia="宋体" w:cs="Times New Roman"/>
                      <w:color w:val="auto"/>
                    </w:rPr>
                    <w:t>即省级和沿淮两个区域清单，</w:t>
                  </w:r>
                  <w:r>
                    <w:rPr>
                      <w:rFonts w:hint="eastAsia" w:ascii="Times New Roman" w:hAnsi="Times New Roman" w:eastAsia="宋体" w:cs="Times New Roman"/>
                      <w:color w:val="auto"/>
                    </w:rPr>
                    <w:t>“</w:t>
                  </w:r>
                  <w:r>
                    <w:rPr>
                      <w:rFonts w:ascii="Times New Roman" w:hAnsi="Times New Roman" w:eastAsia="宋体" w:cs="Times New Roman"/>
                      <w:color w:val="auto"/>
                    </w:rPr>
                    <w:t>1+15+132</w:t>
                  </w:r>
                  <w:r>
                    <w:rPr>
                      <w:rFonts w:hint="eastAsia" w:ascii="Times New Roman" w:hAnsi="Times New Roman" w:eastAsia="宋体" w:cs="Times New Roman"/>
                      <w:color w:val="auto"/>
                    </w:rPr>
                    <w:t>”</w:t>
                  </w:r>
                  <w:r>
                    <w:rPr>
                      <w:rFonts w:ascii="Times New Roman" w:hAnsi="Times New Roman" w:eastAsia="宋体" w:cs="Times New Roman"/>
                      <w:color w:val="auto"/>
                    </w:rPr>
                    <w:t>即1个市级清单、15个开发区清单和132个管控单元清单。</w:t>
                  </w:r>
                </w:p>
              </w:tc>
              <w:tc>
                <w:tcPr>
                  <w:tcW w:w="1928" w:type="dxa"/>
                  <w:noWrap w:val="0"/>
                  <w:vAlign w:val="center"/>
                </w:tcPr>
                <w:p>
                  <w:pPr>
                    <w:pStyle w:val="13"/>
                    <w:keepNext w:val="0"/>
                    <w:keepLines w:val="0"/>
                    <w:pageBreakBefore w:val="0"/>
                    <w:widowControl w:val="0"/>
                    <w:kinsoku/>
                    <w:wordWrap/>
                    <w:overflowPunct/>
                    <w:topLinePunct/>
                    <w:autoSpaceDE/>
                    <w:autoSpaceDN/>
                    <w:bidi w:val="0"/>
                    <w:adjustRightInd w:val="0"/>
                    <w:snapToGrid w:val="0"/>
                    <w:jc w:val="center"/>
                    <w:textAlignment w:val="auto"/>
                    <w:rPr>
                      <w:color w:val="auto"/>
                      <w:szCs w:val="21"/>
                      <w:highlight w:val="none"/>
                    </w:rPr>
                  </w:pPr>
                  <w:r>
                    <w:rPr>
                      <w:color w:val="auto"/>
                      <w:szCs w:val="21"/>
                      <w:highlight w:val="none"/>
                    </w:rPr>
                    <w:t>项目</w:t>
                  </w:r>
                  <w:r>
                    <w:rPr>
                      <w:rFonts w:hint="eastAsia"/>
                      <w:color w:val="auto"/>
                      <w:szCs w:val="21"/>
                      <w:highlight w:val="none"/>
                      <w:lang w:val="en-US" w:eastAsia="zh-CN"/>
                    </w:rPr>
                    <w:t>行业</w:t>
                  </w:r>
                  <w:r>
                    <w:rPr>
                      <w:rFonts w:hint="eastAsia"/>
                      <w:color w:val="auto"/>
                      <w:szCs w:val="21"/>
                      <w:highlight w:val="none"/>
                    </w:rPr>
                    <w:t>类别</w:t>
                  </w:r>
                  <w:r>
                    <w:rPr>
                      <w:color w:val="auto"/>
                      <w:szCs w:val="21"/>
                      <w:highlight w:val="none"/>
                    </w:rPr>
                    <w:t>为</w:t>
                  </w:r>
                  <w:r>
                    <w:rPr>
                      <w:rFonts w:hint="eastAsia"/>
                      <w:color w:val="auto"/>
                      <w:szCs w:val="21"/>
                      <w:highlight w:val="none"/>
                      <w:lang w:eastAsia="zh-CN"/>
                    </w:rPr>
                    <w:t>C1781非织造布制造</w:t>
                  </w:r>
                  <w:r>
                    <w:rPr>
                      <w:color w:val="auto"/>
                      <w:szCs w:val="21"/>
                      <w:highlight w:val="none"/>
                    </w:rPr>
                    <w:t>，属于</w:t>
                  </w:r>
                  <w:r>
                    <w:rPr>
                      <w:rFonts w:hint="eastAsia"/>
                      <w:color w:val="auto"/>
                      <w:szCs w:val="21"/>
                      <w:highlight w:val="none"/>
                      <w:lang w:eastAsia="zh-CN"/>
                    </w:rPr>
                    <w:t>纺织业</w:t>
                  </w:r>
                  <w:r>
                    <w:rPr>
                      <w:color w:val="auto"/>
                      <w:szCs w:val="21"/>
                      <w:highlight w:val="none"/>
                    </w:rPr>
                    <w:t>，不属于禁止类项目和限制类项目。</w:t>
                  </w:r>
                </w:p>
              </w:tc>
              <w:tc>
                <w:tcPr>
                  <w:tcW w:w="850" w:type="dxa"/>
                  <w:noWrap w:val="0"/>
                  <w:vAlign w:val="center"/>
                </w:tcPr>
                <w:p>
                  <w:pPr>
                    <w:pStyle w:val="13"/>
                    <w:keepNext w:val="0"/>
                    <w:keepLines w:val="0"/>
                    <w:pageBreakBefore w:val="0"/>
                    <w:widowControl w:val="0"/>
                    <w:kinsoku/>
                    <w:wordWrap/>
                    <w:overflowPunct/>
                    <w:topLinePunct/>
                    <w:autoSpaceDE/>
                    <w:autoSpaceDN/>
                    <w:bidi w:val="0"/>
                    <w:adjustRightInd w:val="0"/>
                    <w:snapToGrid w:val="0"/>
                    <w:textAlignment w:val="auto"/>
                    <w:rPr>
                      <w:color w:val="auto"/>
                    </w:rPr>
                  </w:pPr>
                  <w:r>
                    <w:rPr>
                      <w:color w:val="auto"/>
                    </w:rPr>
                    <w:t>符合</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综上</w:t>
            </w:r>
            <w:r>
              <w:rPr>
                <w:rFonts w:hint="eastAsia"/>
                <w:color w:val="auto"/>
                <w:lang w:val="en-US" w:eastAsia="zh-CN"/>
              </w:rPr>
              <w:t>分析可知</w:t>
            </w:r>
            <w:r>
              <w:rPr>
                <w:rFonts w:hint="eastAsia"/>
                <w:color w:val="auto"/>
              </w:rPr>
              <w:t>，项目建设符合蚌埠市“三线一单”中相关要求。</w:t>
            </w:r>
          </w:p>
          <w:p>
            <w:pPr>
              <w:pStyle w:val="18"/>
              <w:keepNext w:val="0"/>
              <w:keepLines w:val="0"/>
              <w:pageBreakBefore w:val="0"/>
              <w:kinsoku/>
              <w:wordWrap/>
              <w:overflowPunct/>
              <w:bidi w:val="0"/>
              <w:adjustRightInd w:val="0"/>
              <w:snapToGrid w:val="0"/>
              <w:textAlignment w:val="auto"/>
              <w:rPr>
                <w:color w:val="auto"/>
              </w:rPr>
            </w:pPr>
            <w:r>
              <w:rPr>
                <w:rFonts w:hint="eastAsia"/>
                <w:color w:val="auto"/>
                <w:lang w:val="en-US" w:eastAsia="zh-CN"/>
              </w:rPr>
              <w:t>4、</w:t>
            </w:r>
            <w:r>
              <w:rPr>
                <w:color w:val="auto"/>
              </w:rPr>
              <w:t>与《重点行业挥发性有机物综合治理方案》</w:t>
            </w:r>
            <w:r>
              <w:rPr>
                <w:rFonts w:hint="eastAsia"/>
                <w:color w:val="auto"/>
              </w:rPr>
              <w:t>相符性</w:t>
            </w:r>
            <w:r>
              <w:rPr>
                <w:color w:val="auto"/>
              </w:rPr>
              <w:t>分析</w:t>
            </w:r>
          </w:p>
          <w:p>
            <w:pPr>
              <w:pStyle w:val="16"/>
              <w:keepNext w:val="0"/>
              <w:keepLines w:val="0"/>
              <w:pageBreakBefore w:val="0"/>
              <w:kinsoku/>
              <w:wordWrap/>
              <w:overflowPunct/>
              <w:bidi w:val="0"/>
              <w:adjustRightInd w:val="0"/>
              <w:snapToGrid w:val="0"/>
              <w:textAlignment w:val="auto"/>
              <w:rPr>
                <w:rFonts w:cs="Times New Roman"/>
                <w:color w:val="auto"/>
                <w:highlight w:val="none"/>
              </w:rPr>
            </w:pPr>
            <w:r>
              <w:rPr>
                <w:rFonts w:hint="eastAsia"/>
                <w:color w:val="auto"/>
              </w:rPr>
              <w:t>项目与《重点行业挥发性有机物综合治理方案》相符性分析内容，具体见下表。</w:t>
            </w:r>
          </w:p>
          <w:p>
            <w:pPr>
              <w:pStyle w:val="11"/>
              <w:keepNext w:val="0"/>
              <w:keepLines w:val="0"/>
              <w:pageBreakBefore w:val="0"/>
              <w:kinsoku/>
              <w:wordWrap/>
              <w:overflowPunct/>
              <w:bidi w:val="0"/>
              <w:adjustRightInd w:val="0"/>
              <w:snapToGrid w:val="0"/>
              <w:textAlignment w:val="auto"/>
              <w:rPr>
                <w:color w:val="auto"/>
                <w:highlight w:val="none"/>
              </w:rPr>
            </w:pPr>
            <w:r>
              <w:rPr>
                <w:color w:val="auto"/>
              </w:rPr>
              <w:t>表1-</w:t>
            </w:r>
            <w:r>
              <w:rPr>
                <w:rFonts w:hint="eastAsia"/>
                <w:color w:val="auto"/>
                <w:lang w:val="en-US" w:eastAsia="zh-CN"/>
              </w:rPr>
              <w:t>4</w:t>
            </w:r>
            <w:r>
              <w:rPr>
                <w:rFonts w:hint="eastAsia"/>
                <w:color w:val="auto"/>
              </w:rPr>
              <w:t xml:space="preserve"> </w:t>
            </w:r>
            <w:r>
              <w:rPr>
                <w:color w:val="auto"/>
              </w:rPr>
              <w:t>与《重点行业挥发性有机物综合治理方案》</w:t>
            </w:r>
            <w:r>
              <w:rPr>
                <w:rFonts w:hint="eastAsia"/>
                <w:color w:val="auto"/>
              </w:rPr>
              <w:t>相符性</w:t>
            </w:r>
            <w:r>
              <w:rPr>
                <w:color w:val="auto"/>
              </w:rPr>
              <w:t>分析</w:t>
            </w:r>
          </w:p>
          <w:tbl>
            <w:tblPr>
              <w:tblStyle w:val="7"/>
              <w:tblW w:w="86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6009"/>
              <w:gridCol w:w="1587"/>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009" w:type="dxa"/>
                  <w:noWrap w:val="0"/>
                  <w:vAlign w:val="center"/>
                </w:tcPr>
                <w:p>
                  <w:pPr>
                    <w:pStyle w:val="15"/>
                    <w:keepNext w:val="0"/>
                    <w:keepLines w:val="0"/>
                    <w:pageBreakBefore w:val="0"/>
                    <w:kinsoku/>
                    <w:wordWrap/>
                    <w:overflowPunct/>
                    <w:bidi w:val="0"/>
                    <w:adjustRightInd w:val="0"/>
                    <w:snapToGrid w:val="0"/>
                    <w:textAlignment w:val="auto"/>
                    <w:rPr>
                      <w:color w:val="auto"/>
                      <w:sz w:val="21"/>
                      <w:szCs w:val="21"/>
                    </w:rPr>
                  </w:pPr>
                  <w:r>
                    <w:rPr>
                      <w:color w:val="auto"/>
                      <w:sz w:val="21"/>
                      <w:szCs w:val="21"/>
                    </w:rPr>
                    <w:t>方案要求</w:t>
                  </w:r>
                </w:p>
              </w:tc>
              <w:tc>
                <w:tcPr>
                  <w:tcW w:w="1587" w:type="dxa"/>
                  <w:noWrap w:val="0"/>
                  <w:vAlign w:val="center"/>
                </w:tcPr>
                <w:p>
                  <w:pPr>
                    <w:pStyle w:val="15"/>
                    <w:keepNext w:val="0"/>
                    <w:keepLines w:val="0"/>
                    <w:pageBreakBefore w:val="0"/>
                    <w:kinsoku/>
                    <w:wordWrap/>
                    <w:overflowPunct/>
                    <w:bidi w:val="0"/>
                    <w:adjustRightInd w:val="0"/>
                    <w:snapToGrid w:val="0"/>
                    <w:textAlignment w:val="auto"/>
                    <w:rPr>
                      <w:color w:val="auto"/>
                      <w:sz w:val="21"/>
                      <w:szCs w:val="21"/>
                    </w:rPr>
                  </w:pPr>
                  <w:r>
                    <w:rPr>
                      <w:color w:val="auto"/>
                      <w:sz w:val="21"/>
                      <w:szCs w:val="21"/>
                    </w:rPr>
                    <w:t>项目情况</w:t>
                  </w:r>
                </w:p>
              </w:tc>
              <w:tc>
                <w:tcPr>
                  <w:tcW w:w="1020" w:type="dxa"/>
                  <w:noWrap w:val="0"/>
                  <w:vAlign w:val="center"/>
                </w:tcPr>
                <w:p>
                  <w:pPr>
                    <w:pStyle w:val="15"/>
                    <w:keepNext w:val="0"/>
                    <w:keepLines w:val="0"/>
                    <w:pageBreakBefore w:val="0"/>
                    <w:kinsoku/>
                    <w:wordWrap/>
                    <w:overflowPunct/>
                    <w:bidi w:val="0"/>
                    <w:adjustRightInd w:val="0"/>
                    <w:snapToGrid w:val="0"/>
                    <w:textAlignment w:val="auto"/>
                    <w:rPr>
                      <w:color w:val="auto"/>
                      <w:sz w:val="21"/>
                      <w:szCs w:val="21"/>
                    </w:rPr>
                  </w:pPr>
                  <w:r>
                    <w:rPr>
                      <w:color w:val="auto"/>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35" w:hRule="atLeast"/>
                <w:jc w:val="center"/>
              </w:trPr>
              <w:tc>
                <w:tcPr>
                  <w:tcW w:w="6009" w:type="dxa"/>
                  <w:noWrap w:val="0"/>
                  <w:vAlign w:val="center"/>
                </w:tcPr>
                <w:p>
                  <w:pPr>
                    <w:pStyle w:val="13"/>
                    <w:keepNext w:val="0"/>
                    <w:keepLines w:val="0"/>
                    <w:pageBreakBefore w:val="0"/>
                    <w:kinsoku/>
                    <w:wordWrap/>
                    <w:overflowPunct/>
                    <w:bidi w:val="0"/>
                    <w:adjustRightInd w:val="0"/>
                    <w:snapToGrid w:val="0"/>
                    <w:jc w:val="both"/>
                    <w:textAlignment w:val="auto"/>
                    <w:rPr>
                      <w:color w:val="auto"/>
                      <w:sz w:val="21"/>
                      <w:szCs w:val="21"/>
                    </w:rPr>
                  </w:pPr>
                  <w:r>
                    <w:rPr>
                      <w:rFonts w:hint="eastAsia"/>
                      <w:color w:val="auto"/>
                      <w:sz w:val="21"/>
                      <w:szCs w:val="21"/>
                    </w:rPr>
                    <w:t>（二</w:t>
                  </w:r>
                  <w:r>
                    <w:rPr>
                      <w:color w:val="auto"/>
                      <w:sz w:val="21"/>
                      <w:szCs w:val="21"/>
                    </w:rPr>
                    <w:t>）全面加强无组织排放控制。重点对含VOCs物料</w:t>
                  </w:r>
                  <w:r>
                    <w:rPr>
                      <w:rFonts w:hint="eastAsia"/>
                      <w:color w:val="auto"/>
                      <w:sz w:val="21"/>
                      <w:szCs w:val="21"/>
                    </w:rPr>
                    <w:t>（</w:t>
                  </w:r>
                  <w:r>
                    <w:rPr>
                      <w:color w:val="auto"/>
                      <w:sz w:val="21"/>
                      <w:szCs w:val="21"/>
                    </w:rPr>
                    <w:t>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推进使用先进生产工艺。通过采用全密闭、连续化、自动化等生产技术，以及高效工艺与设备等，减少工艺过程无组织排放。挥发性有机液体装载优先采用底部装载方式。石化、化工行业重点推进使用低</w:t>
                  </w:r>
                  <w:r>
                    <w:rPr>
                      <w:rFonts w:hint="eastAsia"/>
                      <w:color w:val="auto"/>
                      <w:sz w:val="21"/>
                      <w:szCs w:val="21"/>
                    </w:rPr>
                    <w:t>（</w:t>
                  </w:r>
                  <w:r>
                    <w:rPr>
                      <w:color w:val="auto"/>
                      <w:sz w:val="21"/>
                      <w:szCs w:val="21"/>
                    </w:rPr>
                    <w:t>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87" w:type="dxa"/>
                  <w:noWrap w:val="0"/>
                  <w:vAlign w:val="center"/>
                </w:tcPr>
                <w:p>
                  <w:pPr>
                    <w:pStyle w:val="13"/>
                    <w:keepNext w:val="0"/>
                    <w:keepLines w:val="0"/>
                    <w:pageBreakBefore w:val="0"/>
                    <w:kinsoku/>
                    <w:wordWrap/>
                    <w:overflowPunct/>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项目生产过程中产生的有机废气经收集后由二级活性炭吸附设备处理</w:t>
                  </w:r>
                  <w:r>
                    <w:rPr>
                      <w:rFonts w:hint="eastAsia" w:ascii="Times New Roman" w:hAnsi="Times New Roman" w:eastAsia="宋体" w:cs="Times New Roman"/>
                      <w:color w:val="auto"/>
                      <w:sz w:val="21"/>
                      <w:szCs w:val="21"/>
                      <w:lang w:val="en-US" w:eastAsia="zh-CN" w:bidi="ar-SA"/>
                    </w:rPr>
                    <w:t>，</w:t>
                  </w:r>
                  <w:r>
                    <w:rPr>
                      <w:rFonts w:hint="eastAsia" w:cs="Times New Roman"/>
                      <w:color w:val="auto"/>
                      <w:sz w:val="21"/>
                      <w:szCs w:val="21"/>
                      <w:lang w:val="en-US" w:eastAsia="zh-CN" w:bidi="ar-SA"/>
                    </w:rPr>
                    <w:t>加强了VOCs的收集与处理，</w:t>
                  </w:r>
                  <w:r>
                    <w:rPr>
                      <w:rFonts w:hint="eastAsia" w:ascii="Times New Roman" w:hAnsi="Times New Roman" w:eastAsia="宋体" w:cs="Times New Roman"/>
                      <w:color w:val="auto"/>
                      <w:sz w:val="21"/>
                      <w:szCs w:val="21"/>
                      <w:lang w:val="en-US" w:eastAsia="zh-CN" w:bidi="ar-SA"/>
                    </w:rPr>
                    <w:t>削减</w:t>
                  </w:r>
                  <w:r>
                    <w:rPr>
                      <w:rFonts w:hint="eastAsia" w:cs="Times New Roman"/>
                      <w:color w:val="auto"/>
                      <w:sz w:val="21"/>
                      <w:szCs w:val="21"/>
                      <w:lang w:val="en-US" w:eastAsia="zh-CN" w:bidi="ar-SA"/>
                    </w:rPr>
                    <w:t>了</w:t>
                  </w:r>
                  <w:r>
                    <w:rPr>
                      <w:rFonts w:hint="eastAsia" w:ascii="Times New Roman" w:hAnsi="Times New Roman" w:eastAsia="宋体" w:cs="Times New Roman"/>
                      <w:color w:val="auto"/>
                      <w:sz w:val="21"/>
                      <w:szCs w:val="21"/>
                      <w:lang w:val="en-US" w:eastAsia="zh-CN" w:bidi="ar-SA"/>
                    </w:rPr>
                    <w:t>VOCs无组织排放量。</w:t>
                  </w:r>
                </w:p>
              </w:tc>
              <w:tc>
                <w:tcPr>
                  <w:tcW w:w="1020" w:type="dxa"/>
                  <w:noWrap w:val="0"/>
                  <w:vAlign w:val="center"/>
                </w:tcPr>
                <w:p>
                  <w:pPr>
                    <w:pStyle w:val="13"/>
                    <w:keepNext w:val="0"/>
                    <w:keepLines w:val="0"/>
                    <w:pageBreakBefore w:val="0"/>
                    <w:kinsoku/>
                    <w:wordWrap/>
                    <w:overflowPunct/>
                    <w:bidi w:val="0"/>
                    <w:adjustRightInd w:val="0"/>
                    <w:snapToGrid w:val="0"/>
                    <w:textAlignment w:val="auto"/>
                    <w:rPr>
                      <w:rFonts w:hint="eastAsia"/>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252" w:hRule="atLeast"/>
                <w:jc w:val="center"/>
              </w:trPr>
              <w:tc>
                <w:tcPr>
                  <w:tcW w:w="6009" w:type="dxa"/>
                  <w:noWrap w:val="0"/>
                  <w:vAlign w:val="center"/>
                </w:tcPr>
                <w:p>
                  <w:pPr>
                    <w:pStyle w:val="13"/>
                    <w:keepNext w:val="0"/>
                    <w:keepLines w:val="0"/>
                    <w:pageBreakBefore w:val="0"/>
                    <w:kinsoku/>
                    <w:wordWrap/>
                    <w:overflowPunct/>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w:t>
                  </w:r>
                  <w:r>
                    <w:rPr>
                      <w:rFonts w:hint="eastAsia"/>
                      <w:color w:val="auto"/>
                      <w:sz w:val="21"/>
                      <w:szCs w:val="21"/>
                    </w:rPr>
                    <w:t>（</w:t>
                  </w:r>
                  <w:r>
                    <w:rPr>
                      <w:color w:val="auto"/>
                      <w:sz w:val="21"/>
                      <w:szCs w:val="21"/>
                    </w:rPr>
                    <w:t>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587" w:type="dxa"/>
                  <w:noWrap w:val="0"/>
                  <w:vAlign w:val="center"/>
                </w:tcPr>
                <w:p>
                  <w:pPr>
                    <w:pStyle w:val="13"/>
                    <w:keepNext w:val="0"/>
                    <w:keepLines w:val="0"/>
                    <w:pageBreakBefore w:val="0"/>
                    <w:kinsoku/>
                    <w:wordWrap/>
                    <w:overflowPunct/>
                    <w:bidi w:val="0"/>
                    <w:adjustRightInd w:val="0"/>
                    <w:snapToGrid w:val="0"/>
                    <w:jc w:val="center"/>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项目生产过程中产生的有机废气经收集后由二级活性炭吸附设备处理</w:t>
                  </w:r>
                  <w:r>
                    <w:rPr>
                      <w:rFonts w:hint="eastAsia" w:ascii="Times New Roman" w:hAnsi="Times New Roman" w:eastAsia="宋体" w:cs="Times New Roman"/>
                      <w:color w:val="auto"/>
                      <w:sz w:val="21"/>
                      <w:szCs w:val="21"/>
                      <w:lang w:val="en-US" w:eastAsia="zh-CN" w:bidi="ar-SA"/>
                    </w:rPr>
                    <w:t>。</w:t>
                  </w:r>
                </w:p>
              </w:tc>
              <w:tc>
                <w:tcPr>
                  <w:tcW w:w="1020" w:type="dxa"/>
                  <w:noWrap w:val="0"/>
                  <w:vAlign w:val="center"/>
                </w:tcPr>
                <w:p>
                  <w:pPr>
                    <w:pStyle w:val="13"/>
                    <w:keepNext w:val="0"/>
                    <w:keepLines w:val="0"/>
                    <w:pageBreakBefore w:val="0"/>
                    <w:kinsoku/>
                    <w:wordWrap/>
                    <w:overflowPunct/>
                    <w:bidi w:val="0"/>
                    <w:adjustRightInd w:val="0"/>
                    <w:snapToGrid w:val="0"/>
                    <w:textAlignment w:val="auto"/>
                    <w:rPr>
                      <w:rFonts w:hint="eastAsia"/>
                      <w:color w:val="auto"/>
                      <w:sz w:val="21"/>
                      <w:szCs w:val="21"/>
                    </w:rPr>
                  </w:pPr>
                  <w:r>
                    <w:rPr>
                      <w:rFonts w:hint="eastAsia"/>
                      <w:color w:val="auto"/>
                      <w:sz w:val="21"/>
                      <w:szCs w:val="21"/>
                    </w:rPr>
                    <w:t>符合</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color w:val="auto"/>
              </w:rPr>
              <w:t>综上</w:t>
            </w:r>
            <w:r>
              <w:rPr>
                <w:rFonts w:hint="eastAsia"/>
                <w:color w:val="auto"/>
                <w:lang w:val="en-US" w:eastAsia="zh-CN"/>
              </w:rPr>
              <w:t>分析可知</w:t>
            </w:r>
            <w:r>
              <w:rPr>
                <w:color w:val="auto"/>
              </w:rPr>
              <w:t>，项目建设符合《重点行业挥发性有机物综合治理方案》中要求。</w:t>
            </w:r>
          </w:p>
          <w:p>
            <w:pPr>
              <w:pStyle w:val="18"/>
              <w:bidi w:val="0"/>
              <w:rPr>
                <w:color w:val="auto"/>
              </w:rPr>
            </w:pPr>
            <w:r>
              <w:rPr>
                <w:rFonts w:hint="eastAsia"/>
                <w:color w:val="auto"/>
                <w:lang w:val="en-US" w:eastAsia="zh-CN"/>
              </w:rPr>
              <w:t>5、</w:t>
            </w:r>
            <w:r>
              <w:rPr>
                <w:color w:val="auto"/>
              </w:rPr>
              <w:t>与《长三角地区2020-2021年秋冬季大气污染综合治理攻坚行动方案》</w:t>
            </w:r>
            <w:r>
              <w:rPr>
                <w:rFonts w:hint="eastAsia"/>
                <w:color w:val="auto"/>
              </w:rPr>
              <w:t>（</w:t>
            </w:r>
            <w:r>
              <w:rPr>
                <w:color w:val="auto"/>
              </w:rPr>
              <w:t>环大气〔2020〕62号）</w:t>
            </w:r>
            <w:r>
              <w:rPr>
                <w:rFonts w:hint="eastAsia"/>
                <w:color w:val="auto"/>
              </w:rPr>
              <w:t>相符性</w:t>
            </w:r>
            <w:r>
              <w:rPr>
                <w:color w:val="auto"/>
              </w:rPr>
              <w:t>分析</w:t>
            </w:r>
          </w:p>
          <w:p>
            <w:pPr>
              <w:pStyle w:val="16"/>
              <w:keepNext w:val="0"/>
              <w:keepLines w:val="0"/>
              <w:pageBreakBefore w:val="0"/>
              <w:kinsoku/>
              <w:wordWrap/>
              <w:overflowPunct/>
              <w:bidi w:val="0"/>
              <w:adjustRightInd w:val="0"/>
              <w:snapToGrid w:val="0"/>
              <w:textAlignment w:val="auto"/>
              <w:rPr>
                <w:color w:val="auto"/>
              </w:rPr>
            </w:pPr>
            <w:r>
              <w:rPr>
                <w:rFonts w:hint="eastAsia"/>
                <w:color w:val="auto"/>
              </w:rPr>
              <w:t>项目与环大气〔2020〕62号</w:t>
            </w:r>
            <w:r>
              <w:rPr>
                <w:rFonts w:hint="eastAsia"/>
                <w:color w:val="auto"/>
                <w:lang w:val="en-US" w:eastAsia="zh-CN"/>
              </w:rPr>
              <w:t>文</w:t>
            </w:r>
            <w:r>
              <w:rPr>
                <w:rFonts w:hint="eastAsia"/>
                <w:color w:val="auto"/>
              </w:rPr>
              <w:t>相符性分析内容，具体见下表。</w:t>
            </w:r>
          </w:p>
          <w:p>
            <w:pPr>
              <w:pStyle w:val="11"/>
              <w:keepNext w:val="0"/>
              <w:keepLines w:val="0"/>
              <w:pageBreakBefore w:val="0"/>
              <w:kinsoku/>
              <w:wordWrap/>
              <w:overflowPunct/>
              <w:bidi w:val="0"/>
              <w:adjustRightInd w:val="0"/>
              <w:snapToGrid w:val="0"/>
              <w:textAlignment w:val="auto"/>
              <w:rPr>
                <w:color w:val="auto"/>
              </w:rPr>
            </w:pPr>
            <w:r>
              <w:rPr>
                <w:color w:val="auto"/>
              </w:rPr>
              <w:t>表1-</w:t>
            </w:r>
            <w:r>
              <w:rPr>
                <w:rFonts w:hint="eastAsia"/>
                <w:color w:val="auto"/>
                <w:lang w:val="en-US" w:eastAsia="zh-CN"/>
              </w:rPr>
              <w:t xml:space="preserve">5 </w:t>
            </w:r>
            <w:r>
              <w:rPr>
                <w:rFonts w:hint="eastAsia"/>
                <w:color w:val="auto"/>
              </w:rPr>
              <w:t>项目与环大气〔2020〕62号文相符性</w:t>
            </w:r>
            <w:r>
              <w:rPr>
                <w:color w:val="auto"/>
              </w:rPr>
              <w:t>分析</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5443"/>
              <w:gridCol w:w="2154"/>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5443" w:type="dxa"/>
                  <w:noWrap w:val="0"/>
                  <w:vAlign w:val="center"/>
                </w:tcPr>
                <w:p>
                  <w:pPr>
                    <w:pStyle w:val="15"/>
                    <w:keepNext w:val="0"/>
                    <w:keepLines w:val="0"/>
                    <w:pageBreakBefore w:val="0"/>
                    <w:kinsoku/>
                    <w:wordWrap/>
                    <w:overflowPunct/>
                    <w:bidi w:val="0"/>
                    <w:adjustRightInd w:val="0"/>
                    <w:snapToGrid w:val="0"/>
                    <w:textAlignment w:val="auto"/>
                    <w:rPr>
                      <w:color w:val="auto"/>
                    </w:rPr>
                  </w:pPr>
                  <w:r>
                    <w:rPr>
                      <w:color w:val="auto"/>
                    </w:rPr>
                    <w:t>方案要求</w:t>
                  </w:r>
                </w:p>
              </w:tc>
              <w:tc>
                <w:tcPr>
                  <w:tcW w:w="2154" w:type="dxa"/>
                  <w:noWrap w:val="0"/>
                  <w:vAlign w:val="center"/>
                </w:tcPr>
                <w:p>
                  <w:pPr>
                    <w:pStyle w:val="15"/>
                    <w:keepNext w:val="0"/>
                    <w:keepLines w:val="0"/>
                    <w:pageBreakBefore w:val="0"/>
                    <w:kinsoku/>
                    <w:wordWrap/>
                    <w:overflowPunct/>
                    <w:bidi w:val="0"/>
                    <w:adjustRightInd w:val="0"/>
                    <w:snapToGrid w:val="0"/>
                    <w:textAlignment w:val="auto"/>
                    <w:rPr>
                      <w:color w:val="auto"/>
                    </w:rPr>
                  </w:pPr>
                  <w:r>
                    <w:rPr>
                      <w:color w:val="auto"/>
                    </w:rPr>
                    <w:t>项目情况</w:t>
                  </w:r>
                </w:p>
              </w:tc>
              <w:tc>
                <w:tcPr>
                  <w:tcW w:w="1020" w:type="dxa"/>
                  <w:noWrap w:val="0"/>
                  <w:vAlign w:val="center"/>
                </w:tcPr>
                <w:p>
                  <w:pPr>
                    <w:pStyle w:val="15"/>
                    <w:keepNext w:val="0"/>
                    <w:keepLines w:val="0"/>
                    <w:pageBreakBefore w:val="0"/>
                    <w:kinsoku/>
                    <w:wordWrap/>
                    <w:overflowPunct/>
                    <w:bidi w:val="0"/>
                    <w:adjustRightInd w:val="0"/>
                    <w:snapToGrid w:val="0"/>
                    <w:textAlignment w:val="auto"/>
                    <w:rPr>
                      <w:color w:val="auto"/>
                    </w:rPr>
                  </w:pPr>
                  <w:r>
                    <w:rPr>
                      <w:color w:val="auto"/>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721" w:hRule="atLeast"/>
                <w:jc w:val="center"/>
              </w:trPr>
              <w:tc>
                <w:tcPr>
                  <w:tcW w:w="5443" w:type="dxa"/>
                  <w:noWrap w:val="0"/>
                  <w:vAlign w:val="center"/>
                </w:tcPr>
                <w:p>
                  <w:pPr>
                    <w:pStyle w:val="13"/>
                    <w:keepNext w:val="0"/>
                    <w:keepLines w:val="0"/>
                    <w:pageBreakBefore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四）严防</w:t>
                  </w:r>
                  <w:r>
                    <w:rPr>
                      <w:rFonts w:hint="eastAsia"/>
                      <w:color w:val="auto"/>
                      <w:sz w:val="21"/>
                      <w:szCs w:val="21"/>
                    </w:rPr>
                    <w:t>“散乱污”</w:t>
                  </w:r>
                  <w:r>
                    <w:rPr>
                      <w:color w:val="auto"/>
                      <w:sz w:val="21"/>
                      <w:szCs w:val="21"/>
                    </w:rPr>
                    <w:t>企业反弹。各城市完善动态管理机制，实现</w:t>
                  </w:r>
                  <w:r>
                    <w:rPr>
                      <w:rFonts w:hint="eastAsia"/>
                      <w:color w:val="auto"/>
                      <w:sz w:val="21"/>
                      <w:szCs w:val="21"/>
                    </w:rPr>
                    <w:t>“散乱污”</w:t>
                  </w:r>
                  <w:r>
                    <w:rPr>
                      <w:color w:val="auto"/>
                      <w:sz w:val="21"/>
                      <w:szCs w:val="21"/>
                    </w:rPr>
                    <w:t>企业动态清零。将完成整改的企业及时移出</w:t>
                  </w:r>
                  <w:r>
                    <w:rPr>
                      <w:rFonts w:hint="eastAsia"/>
                      <w:color w:val="auto"/>
                      <w:sz w:val="21"/>
                      <w:szCs w:val="21"/>
                    </w:rPr>
                    <w:t>“散乱污”</w:t>
                  </w:r>
                  <w:r>
                    <w:rPr>
                      <w:color w:val="auto"/>
                      <w:sz w:val="21"/>
                      <w:szCs w:val="21"/>
                    </w:rPr>
                    <w:t>清单，对新发现的</w:t>
                  </w:r>
                  <w:r>
                    <w:rPr>
                      <w:rFonts w:hint="eastAsia"/>
                      <w:color w:val="auto"/>
                      <w:sz w:val="21"/>
                      <w:szCs w:val="21"/>
                    </w:rPr>
                    <w:t>“散乱污”</w:t>
                  </w:r>
                  <w:r>
                    <w:rPr>
                      <w:color w:val="auto"/>
                      <w:sz w:val="21"/>
                      <w:szCs w:val="21"/>
                    </w:rPr>
                    <w:t>企业建档立册，及时纳入管理台账。进一步夯实网格化管理，落实乡镇街道属地管理责任，定期开展排查整治工作，发现一起、整治一起。坚决防止已关停取缔的</w:t>
                  </w:r>
                  <w:r>
                    <w:rPr>
                      <w:rFonts w:hint="eastAsia"/>
                      <w:color w:val="auto"/>
                      <w:sz w:val="21"/>
                      <w:szCs w:val="21"/>
                    </w:rPr>
                    <w:t>“</w:t>
                  </w:r>
                  <w:r>
                    <w:rPr>
                      <w:color w:val="auto"/>
                      <w:sz w:val="21"/>
                      <w:szCs w:val="21"/>
                    </w:rPr>
                    <w:t>散乱污</w:t>
                  </w:r>
                  <w:r>
                    <w:rPr>
                      <w:rFonts w:hint="eastAsia"/>
                      <w:color w:val="auto"/>
                      <w:sz w:val="21"/>
                      <w:szCs w:val="21"/>
                    </w:rPr>
                    <w:t>”</w:t>
                  </w:r>
                  <w:r>
                    <w:rPr>
                      <w:color w:val="auto"/>
                      <w:sz w:val="21"/>
                      <w:szCs w:val="21"/>
                    </w:rPr>
                    <w:t>企业死灰复燃、异地转移，坚决遏制反弹现象。创新监管方式，充分运用电网公司专用变压器电量数据以及卫星遥感、无人机等技术，扎实开展</w:t>
                  </w:r>
                  <w:r>
                    <w:rPr>
                      <w:rFonts w:hint="eastAsia"/>
                      <w:color w:val="auto"/>
                      <w:sz w:val="21"/>
                      <w:szCs w:val="21"/>
                    </w:rPr>
                    <w:t>“</w:t>
                  </w:r>
                  <w:r>
                    <w:rPr>
                      <w:color w:val="auto"/>
                      <w:sz w:val="21"/>
                      <w:szCs w:val="21"/>
                    </w:rPr>
                    <w:t>散乱污</w:t>
                  </w:r>
                  <w:r>
                    <w:rPr>
                      <w:rFonts w:hint="eastAsia"/>
                      <w:color w:val="auto"/>
                      <w:sz w:val="21"/>
                      <w:szCs w:val="21"/>
                    </w:rPr>
                    <w:t>”</w:t>
                  </w:r>
                  <w:r>
                    <w:rPr>
                      <w:color w:val="auto"/>
                      <w:sz w:val="21"/>
                      <w:szCs w:val="21"/>
                    </w:rPr>
                    <w:t>企业排查及监管工作。</w:t>
                  </w:r>
                </w:p>
              </w:tc>
              <w:tc>
                <w:tcPr>
                  <w:tcW w:w="2154" w:type="dxa"/>
                  <w:noWrap w:val="0"/>
                  <w:vAlign w:val="center"/>
                </w:tcPr>
                <w:p>
                  <w:pPr>
                    <w:pStyle w:val="13"/>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rPr>
                  </w:pPr>
                  <w:r>
                    <w:rPr>
                      <w:rFonts w:hint="eastAsia"/>
                      <w:color w:val="auto"/>
                      <w:sz w:val="21"/>
                      <w:szCs w:val="21"/>
                      <w:lang w:eastAsia="zh-CN"/>
                    </w:rPr>
                    <w:t>本</w:t>
                  </w:r>
                  <w:r>
                    <w:rPr>
                      <w:rFonts w:hint="eastAsia"/>
                      <w:color w:val="auto"/>
                      <w:sz w:val="21"/>
                      <w:szCs w:val="21"/>
                      <w:lang w:val="en-US" w:eastAsia="zh-CN"/>
                    </w:rPr>
                    <w:t>企业</w:t>
                  </w:r>
                  <w:r>
                    <w:rPr>
                      <w:rFonts w:hint="eastAsia"/>
                      <w:color w:val="auto"/>
                      <w:sz w:val="21"/>
                      <w:szCs w:val="21"/>
                    </w:rPr>
                    <w:t>不属于“散乱污”企业。</w:t>
                  </w:r>
                </w:p>
              </w:tc>
              <w:tc>
                <w:tcPr>
                  <w:tcW w:w="1020" w:type="dxa"/>
                  <w:noWrap w:val="0"/>
                  <w:vAlign w:val="center"/>
                </w:tcPr>
                <w:p>
                  <w:pPr>
                    <w:pStyle w:val="13"/>
                    <w:keepNext w:val="0"/>
                    <w:keepLines w:val="0"/>
                    <w:pageBreakBefore w:val="0"/>
                    <w:kinsoku/>
                    <w:wordWrap/>
                    <w:overflowPunct/>
                    <w:bidi w:val="0"/>
                    <w:adjustRightInd w:val="0"/>
                    <w:snapToGrid w:val="0"/>
                    <w:textAlignment w:val="auto"/>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386" w:hRule="atLeast"/>
                <w:jc w:val="center"/>
              </w:trPr>
              <w:tc>
                <w:tcPr>
                  <w:tcW w:w="5443"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before="95" w:beforeLines="30" w:after="95" w:afterLines="30"/>
                    <w:jc w:val="both"/>
                    <w:textAlignment w:val="auto"/>
                    <w:rPr>
                      <w:rFonts w:hint="eastAsia"/>
                      <w:color w:val="auto"/>
                      <w:sz w:val="21"/>
                      <w:szCs w:val="21"/>
                    </w:rPr>
                  </w:pPr>
                  <w:r>
                    <w:rPr>
                      <w:rFonts w:hint="eastAsia"/>
                      <w:color w:val="auto"/>
                      <w:highlight w:val="none"/>
                    </w:rPr>
                    <w:t>（</w:t>
                  </w:r>
                  <w:r>
                    <w:rPr>
                      <w:color w:val="auto"/>
                      <w:highlight w:val="none"/>
                    </w:rPr>
                    <w:t>七）持续推进挥发性有机物</w:t>
                  </w:r>
                  <w:r>
                    <w:rPr>
                      <w:rFonts w:hint="eastAsia"/>
                      <w:color w:val="auto"/>
                      <w:highlight w:val="none"/>
                    </w:rPr>
                    <w:t>（</w:t>
                  </w:r>
                  <w:r>
                    <w:rPr>
                      <w:color w:val="auto"/>
                      <w:highlight w:val="none"/>
                    </w:rPr>
                    <w:t>VOCs）治理攻坚。落实《2020年挥发性有机物治理攻坚方案》，持续推进VOCs治理攻坚各项任务措施。完成重点治理工程建设，做到</w:t>
                  </w:r>
                  <w:r>
                    <w:rPr>
                      <w:rFonts w:hint="eastAsia"/>
                      <w:color w:val="auto"/>
                      <w:highlight w:val="none"/>
                    </w:rPr>
                    <w:t>“夏病冬治”</w:t>
                  </w:r>
                  <w:r>
                    <w:rPr>
                      <w:color w:val="auto"/>
                      <w:highlight w:val="none"/>
                    </w:rPr>
                    <w:t>。2020年12月底前，各地对夏季臭氧污染防治监督帮扶工作中发现的存在突出问题的企业，指导企业制定整改方案；培育树立一批VOCs源头治理的标杆企业，加大宣传力度，形成带动效应；组织完成石化、化工、工业涂装、包装印刷等企业废气排放系统旁路摸底排查，石化、化工行业火炬排放情况排查，原油、成品油、有机化学品等挥发性有机液体储罐排查，港口码头油气回收设施建设、使用情况排查，建立管理清单。2021年3月底前，督促企业取消非必要的旁路，因安全生产等原因必须保留的，通过铅封、安装自动监控设施、流量计等方式加强监管；在确保安全的情况下，督促石化、化工企业通过安装火炬系统温度监控、视频监控及热值检测仪、废气流量计、助燃气体流量计等加强火炬系统排放监管。进一步加大石化、化工、制药、农药、汽车制造、船舶制造与维修、家具制造、包装印刷等行业废气综合治理力度，推动重点行业</w:t>
                  </w:r>
                  <w:r>
                    <w:rPr>
                      <w:rFonts w:hint="eastAsia"/>
                      <w:color w:val="auto"/>
                      <w:highlight w:val="none"/>
                    </w:rPr>
                    <w:t>“</w:t>
                  </w:r>
                  <w:r>
                    <w:rPr>
                      <w:color w:val="auto"/>
                      <w:highlight w:val="none"/>
                    </w:rPr>
                    <w:t>一行一策</w:t>
                  </w:r>
                  <w:r>
                    <w:rPr>
                      <w:rFonts w:hint="eastAsia"/>
                      <w:color w:val="auto"/>
                      <w:highlight w:val="none"/>
                    </w:rPr>
                    <w:t>”</w:t>
                  </w:r>
                  <w:r>
                    <w:rPr>
                      <w:color w:val="auto"/>
                      <w:highlight w:val="none"/>
                    </w:rPr>
                    <w:t>，加大清洁生产改造力度。</w:t>
                  </w:r>
                </w:p>
              </w:tc>
              <w:tc>
                <w:tcPr>
                  <w:tcW w:w="215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color w:val="auto"/>
                      <w:sz w:val="21"/>
                      <w:szCs w:val="21"/>
                    </w:rPr>
                  </w:pPr>
                  <w:r>
                    <w:rPr>
                      <w:rFonts w:hint="eastAsia" w:ascii="Times New Roman" w:hAnsi="Times New Roman" w:eastAsia="宋体" w:cs="Times New Roman"/>
                      <w:color w:val="auto"/>
                      <w:sz w:val="21"/>
                      <w:szCs w:val="21"/>
                      <w:lang w:eastAsia="zh-CN"/>
                    </w:rPr>
                    <w:t>本</w:t>
                  </w:r>
                  <w:r>
                    <w:rPr>
                      <w:rFonts w:hint="eastAsia" w:ascii="Times New Roman" w:hAnsi="Times New Roman" w:eastAsia="宋体" w:cs="Times New Roman"/>
                      <w:color w:val="auto"/>
                      <w:sz w:val="21"/>
                      <w:szCs w:val="21"/>
                    </w:rPr>
                    <w:t>项目为</w:t>
                  </w:r>
                  <w:r>
                    <w:rPr>
                      <w:rFonts w:hint="eastAsia" w:cs="Times New Roman"/>
                      <w:color w:val="auto"/>
                      <w:sz w:val="21"/>
                      <w:szCs w:val="21"/>
                      <w:lang w:val="en-US" w:eastAsia="zh-CN"/>
                    </w:rPr>
                    <w:t>扩建</w:t>
                  </w:r>
                  <w:r>
                    <w:rPr>
                      <w:rFonts w:hint="eastAsia" w:ascii="Times New Roman" w:hAnsi="Times New Roman" w:eastAsia="宋体" w:cs="Times New Roman"/>
                      <w:color w:val="auto"/>
                      <w:sz w:val="21"/>
                      <w:szCs w:val="21"/>
                    </w:rPr>
                    <w:t>项目，生产过程</w:t>
                  </w:r>
                  <w:r>
                    <w:rPr>
                      <w:rFonts w:hint="eastAsia" w:cs="Times New Roman"/>
                      <w:color w:val="auto"/>
                      <w:sz w:val="21"/>
                      <w:szCs w:val="21"/>
                      <w:lang w:eastAsia="zh-CN"/>
                    </w:rPr>
                    <w:t>中</w:t>
                  </w:r>
                  <w:r>
                    <w:rPr>
                      <w:rFonts w:hint="eastAsia" w:ascii="Times New Roman" w:hAnsi="Times New Roman" w:eastAsia="宋体" w:cs="Times New Roman"/>
                      <w:color w:val="auto"/>
                      <w:sz w:val="21"/>
                      <w:szCs w:val="21"/>
                    </w:rPr>
                    <w:t>产生的有机废气</w:t>
                  </w:r>
                  <w:r>
                    <w:rPr>
                      <w:rFonts w:hint="eastAsia" w:cs="Times New Roman"/>
                      <w:color w:val="auto"/>
                      <w:sz w:val="21"/>
                      <w:szCs w:val="21"/>
                      <w:lang w:val="en-US" w:eastAsia="zh-CN"/>
                    </w:rPr>
                    <w:t>经收集后由</w:t>
                  </w:r>
                  <w:r>
                    <w:rPr>
                      <w:rFonts w:hint="eastAsia" w:cs="Times New Roman"/>
                      <w:color w:val="auto"/>
                      <w:sz w:val="21"/>
                      <w:szCs w:val="21"/>
                      <w:lang w:eastAsia="zh-CN"/>
                    </w:rPr>
                    <w:t>二级活性炭吸附设备</w:t>
                  </w:r>
                  <w:r>
                    <w:rPr>
                      <w:rFonts w:hint="eastAsia" w:ascii="Times New Roman" w:hAnsi="Times New Roman" w:eastAsia="宋体" w:cs="Times New Roman"/>
                      <w:color w:val="auto"/>
                      <w:sz w:val="21"/>
                      <w:szCs w:val="21"/>
                    </w:rPr>
                    <w:t>处理，满足相关排放标准限值要求。</w:t>
                  </w:r>
                </w:p>
              </w:tc>
              <w:tc>
                <w:tcPr>
                  <w:tcW w:w="1020" w:type="dxa"/>
                  <w:noWrap w:val="0"/>
                  <w:vAlign w:val="center"/>
                </w:tcPr>
                <w:p>
                  <w:pPr>
                    <w:pStyle w:val="13"/>
                    <w:keepNext w:val="0"/>
                    <w:keepLines w:val="0"/>
                    <w:pageBreakBefore w:val="0"/>
                    <w:kinsoku/>
                    <w:wordWrap/>
                    <w:overflowPunct/>
                    <w:bidi w:val="0"/>
                    <w:adjustRightInd w:val="0"/>
                    <w:snapToGrid w:val="0"/>
                    <w:textAlignment w:val="auto"/>
                    <w:rPr>
                      <w:rFonts w:hint="eastAsia"/>
                      <w:color w:val="auto"/>
                    </w:rPr>
                  </w:pPr>
                  <w:r>
                    <w:rPr>
                      <w:rFonts w:hint="eastAsia"/>
                      <w:color w:val="auto"/>
                    </w:rPr>
                    <w:t>符合</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综上</w:t>
            </w:r>
            <w:r>
              <w:rPr>
                <w:rFonts w:hint="eastAsia"/>
                <w:color w:val="auto"/>
                <w:lang w:val="en-US" w:eastAsia="zh-CN"/>
              </w:rPr>
              <w:t>分析可知</w:t>
            </w:r>
            <w:r>
              <w:rPr>
                <w:color w:val="auto"/>
              </w:rPr>
              <w:t>，项目建设符合《长三角地区2020-2021年秋冬季大气污染综合治理攻坚行动方案》</w:t>
            </w:r>
            <w:r>
              <w:rPr>
                <w:rFonts w:hint="eastAsia"/>
                <w:color w:val="auto"/>
              </w:rPr>
              <w:t>（</w:t>
            </w:r>
            <w:r>
              <w:rPr>
                <w:color w:val="auto"/>
              </w:rPr>
              <w:t>环大气〔2020〕62号）中要求。</w:t>
            </w:r>
          </w:p>
          <w:p>
            <w:pPr>
              <w:pStyle w:val="18"/>
              <w:bidi w:val="0"/>
              <w:rPr>
                <w:color w:val="auto"/>
              </w:rPr>
            </w:pPr>
            <w:r>
              <w:rPr>
                <w:rFonts w:hint="eastAsia"/>
                <w:color w:val="auto"/>
                <w:lang w:val="en-US" w:eastAsia="zh-CN"/>
              </w:rPr>
              <w:t>6</w:t>
            </w:r>
            <w:r>
              <w:rPr>
                <w:color w:val="auto"/>
              </w:rPr>
              <w:t>、与安徽省大气办印发《安徽省2021-2022年秋冬季大气污染综合治理攻坚方案》</w:t>
            </w:r>
            <w:r>
              <w:rPr>
                <w:rFonts w:hint="eastAsia"/>
                <w:color w:val="auto"/>
              </w:rPr>
              <w:t>相符性</w:t>
            </w:r>
            <w:r>
              <w:rPr>
                <w:color w:val="auto"/>
              </w:rPr>
              <w:t>分析</w:t>
            </w:r>
          </w:p>
          <w:p>
            <w:pPr>
              <w:pStyle w:val="16"/>
              <w:bidi w:val="0"/>
              <w:rPr>
                <w:color w:val="auto"/>
              </w:rPr>
            </w:pPr>
            <w:r>
              <w:rPr>
                <w:rFonts w:hint="eastAsia"/>
                <w:color w:val="auto"/>
              </w:rPr>
              <w:t>项目与《安徽省2021-2022年秋冬季大气污染综合治理攻坚方案》相符性分析内容，具体见下表。</w:t>
            </w: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color w:val="auto"/>
              </w:rPr>
              <w:t>表1-</w:t>
            </w:r>
            <w:r>
              <w:rPr>
                <w:rFonts w:hint="eastAsia"/>
                <w:color w:val="auto"/>
                <w:lang w:val="en-US" w:eastAsia="zh-CN"/>
              </w:rPr>
              <w:t>6</w:t>
            </w:r>
            <w:r>
              <w:rPr>
                <w:rFonts w:hint="eastAsia"/>
                <w:color w:val="auto"/>
              </w:rPr>
              <w:t xml:space="preserve"> </w:t>
            </w:r>
            <w:r>
              <w:rPr>
                <w:color w:val="auto"/>
              </w:rPr>
              <w:t>与《安徽省2021-2022年秋冬季大气污染综合治理攻坚方案》</w:t>
            </w:r>
            <w:r>
              <w:rPr>
                <w:rFonts w:hint="eastAsia"/>
                <w:color w:val="auto"/>
              </w:rPr>
              <w:t>相符性</w:t>
            </w:r>
            <w:r>
              <w:rPr>
                <w:color w:val="auto"/>
              </w:rPr>
              <w:t>分析</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4762"/>
              <w:gridCol w:w="2835"/>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4762" w:type="dxa"/>
                  <w:noWrap w:val="0"/>
                  <w:vAlign w:val="center"/>
                </w:tcPr>
                <w:p>
                  <w:pPr>
                    <w:pStyle w:val="15"/>
                    <w:keepNext w:val="0"/>
                    <w:keepLines w:val="0"/>
                    <w:pageBreakBefore w:val="0"/>
                    <w:kinsoku/>
                    <w:wordWrap/>
                    <w:overflowPunct/>
                    <w:bidi w:val="0"/>
                    <w:adjustRightInd w:val="0"/>
                    <w:snapToGrid w:val="0"/>
                    <w:textAlignment w:val="auto"/>
                    <w:rPr>
                      <w:color w:val="auto"/>
                      <w:sz w:val="21"/>
                      <w:szCs w:val="21"/>
                    </w:rPr>
                  </w:pPr>
                  <w:r>
                    <w:rPr>
                      <w:color w:val="auto"/>
                      <w:sz w:val="21"/>
                      <w:szCs w:val="21"/>
                    </w:rPr>
                    <w:t>方案要求</w:t>
                  </w:r>
                </w:p>
              </w:tc>
              <w:tc>
                <w:tcPr>
                  <w:tcW w:w="2835" w:type="dxa"/>
                  <w:noWrap w:val="0"/>
                  <w:vAlign w:val="center"/>
                </w:tcPr>
                <w:p>
                  <w:pPr>
                    <w:pStyle w:val="15"/>
                    <w:keepNext w:val="0"/>
                    <w:keepLines w:val="0"/>
                    <w:pageBreakBefore w:val="0"/>
                    <w:kinsoku/>
                    <w:wordWrap/>
                    <w:overflowPunct/>
                    <w:bidi w:val="0"/>
                    <w:adjustRightInd w:val="0"/>
                    <w:snapToGrid w:val="0"/>
                    <w:textAlignment w:val="auto"/>
                    <w:rPr>
                      <w:color w:val="auto"/>
                      <w:sz w:val="21"/>
                      <w:szCs w:val="21"/>
                    </w:rPr>
                  </w:pPr>
                  <w:r>
                    <w:rPr>
                      <w:color w:val="auto"/>
                      <w:sz w:val="21"/>
                      <w:szCs w:val="21"/>
                    </w:rPr>
                    <w:t>项目情况</w:t>
                  </w:r>
                </w:p>
              </w:tc>
              <w:tc>
                <w:tcPr>
                  <w:tcW w:w="1020" w:type="dxa"/>
                  <w:noWrap w:val="0"/>
                  <w:vAlign w:val="center"/>
                </w:tcPr>
                <w:p>
                  <w:pPr>
                    <w:pStyle w:val="15"/>
                    <w:keepNext w:val="0"/>
                    <w:keepLines w:val="0"/>
                    <w:pageBreakBefore w:val="0"/>
                    <w:kinsoku/>
                    <w:wordWrap/>
                    <w:overflowPunct/>
                    <w:bidi w:val="0"/>
                    <w:adjustRightInd w:val="0"/>
                    <w:snapToGrid w:val="0"/>
                    <w:textAlignment w:val="auto"/>
                    <w:rPr>
                      <w:color w:val="auto"/>
                      <w:sz w:val="21"/>
                      <w:szCs w:val="21"/>
                    </w:rPr>
                  </w:pPr>
                  <w:r>
                    <w:rPr>
                      <w:color w:val="auto"/>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15" w:hRule="atLeast"/>
                <w:jc w:val="center"/>
              </w:trPr>
              <w:tc>
                <w:tcPr>
                  <w:tcW w:w="4762" w:type="dxa"/>
                  <w:noWrap w:val="0"/>
                  <w:vAlign w:val="center"/>
                </w:tcPr>
                <w:p>
                  <w:pPr>
                    <w:pStyle w:val="13"/>
                    <w:keepNext w:val="0"/>
                    <w:keepLines w:val="0"/>
                    <w:pageBreakBefore w:val="0"/>
                    <w:kinsoku/>
                    <w:wordWrap/>
                    <w:overflowPunct/>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一）坚决遏制</w:t>
                  </w:r>
                  <w:r>
                    <w:rPr>
                      <w:rFonts w:hint="eastAsia"/>
                      <w:color w:val="auto"/>
                      <w:sz w:val="21"/>
                      <w:szCs w:val="21"/>
                    </w:rPr>
                    <w:t>“两高”</w:t>
                  </w:r>
                  <w:r>
                    <w:rPr>
                      <w:color w:val="auto"/>
                      <w:sz w:val="21"/>
                      <w:szCs w:val="21"/>
                    </w:rPr>
                    <w:t>项目盲目发展：深入贯彻落实党中央、国务院关于坚</w:t>
                  </w:r>
                  <w:r>
                    <w:rPr>
                      <w:rFonts w:hint="eastAsia"/>
                      <w:color w:val="auto"/>
                      <w:sz w:val="21"/>
                      <w:szCs w:val="21"/>
                    </w:rPr>
                    <w:t>决遏制“两高”项目盲目</w:t>
                  </w:r>
                  <w:r>
                    <w:rPr>
                      <w:color w:val="auto"/>
                      <w:sz w:val="21"/>
                      <w:szCs w:val="21"/>
                    </w:rPr>
                    <w:t>发展相关决策部署，按照生态环境部《关于加强高耗能、高排放建设项目生态环境源头防控的指导意见》等文件要求，以石化、化工、煤化工、焦化、钢铁、建材、有色、煤电等行业为重点，全面梳理排查拟建、在建和</w:t>
                  </w:r>
                  <w:r>
                    <w:rPr>
                      <w:rFonts w:hint="eastAsia"/>
                      <w:color w:val="auto"/>
                      <w:sz w:val="21"/>
                      <w:szCs w:val="21"/>
                    </w:rPr>
                    <w:t>存量“两高”项目，对“两高”项目实行清单管理，进行分类处置、动态监控。严格落实能耗“双控”、</w:t>
                  </w:r>
                  <w:r>
                    <w:rPr>
                      <w:color w:val="auto"/>
                      <w:sz w:val="21"/>
                      <w:szCs w:val="21"/>
                    </w:rPr>
                    <w:t>产能置换、污染物区域削减、煤炭减量替代等要求。对标国内外产品能效、环保先进水平，推动在建和拟</w:t>
                  </w:r>
                  <w:r>
                    <w:rPr>
                      <w:rFonts w:hint="eastAsia"/>
                      <w:color w:val="auto"/>
                      <w:sz w:val="21"/>
                      <w:szCs w:val="21"/>
                    </w:rPr>
                    <w:t>建“两高”项</w:t>
                  </w:r>
                  <w:r>
                    <w:rPr>
                      <w:color w:val="auto"/>
                      <w:sz w:val="21"/>
                      <w:szCs w:val="21"/>
                    </w:rPr>
                    <w:t>目能效、环保水平提升，推进存量</w:t>
                  </w:r>
                  <w:r>
                    <w:rPr>
                      <w:rFonts w:hint="eastAsia"/>
                      <w:color w:val="auto"/>
                      <w:sz w:val="21"/>
                      <w:szCs w:val="21"/>
                    </w:rPr>
                    <w:t>“两高”</w:t>
                  </w:r>
                  <w:r>
                    <w:rPr>
                      <w:color w:val="auto"/>
                      <w:sz w:val="21"/>
                      <w:szCs w:val="21"/>
                    </w:rPr>
                    <w:t>项目改造升级。</w:t>
                  </w:r>
                </w:p>
              </w:tc>
              <w:tc>
                <w:tcPr>
                  <w:tcW w:w="2835" w:type="dxa"/>
                  <w:noWrap w:val="0"/>
                  <w:vAlign w:val="center"/>
                </w:tcPr>
                <w:p>
                  <w:pPr>
                    <w:pStyle w:val="13"/>
                    <w:keepNext w:val="0"/>
                    <w:keepLines w:val="0"/>
                    <w:pageBreakBefore w:val="0"/>
                    <w:kinsoku/>
                    <w:wordWrap/>
                    <w:overflowPunct/>
                    <w:bidi w:val="0"/>
                    <w:adjustRightInd w:val="0"/>
                    <w:snapToGrid w:val="0"/>
                    <w:jc w:val="center"/>
                    <w:textAlignment w:val="auto"/>
                    <w:rPr>
                      <w:rFonts w:hint="eastAsia"/>
                      <w:color w:val="auto"/>
                      <w:sz w:val="21"/>
                      <w:szCs w:val="21"/>
                    </w:rPr>
                  </w:pPr>
                  <w:r>
                    <w:rPr>
                      <w:rFonts w:hint="eastAsia"/>
                      <w:color w:val="auto"/>
                      <w:sz w:val="21"/>
                      <w:szCs w:val="21"/>
                      <w:highlight w:val="none"/>
                      <w:lang w:val="en-US" w:eastAsia="zh-CN"/>
                    </w:rPr>
                    <w:t>本项目行业类别为C1781非织造布制造，根据《安徽省节能减排及应对气候变化工作领导小组关于进一步加强新上“两高”项目管理的通知》（皖节能〔2021〕3号），本项目</w:t>
                  </w:r>
                  <w:r>
                    <w:rPr>
                      <w:rFonts w:hint="eastAsia"/>
                      <w:color w:val="auto"/>
                      <w:sz w:val="21"/>
                      <w:szCs w:val="21"/>
                      <w:highlight w:val="none"/>
                    </w:rPr>
                    <w:t>不属于“两高”项目</w:t>
                  </w:r>
                  <w:r>
                    <w:rPr>
                      <w:rFonts w:hint="eastAsia"/>
                      <w:color w:val="auto"/>
                      <w:sz w:val="21"/>
                      <w:szCs w:val="21"/>
                    </w:rPr>
                    <w:t>。</w:t>
                  </w:r>
                </w:p>
              </w:tc>
              <w:tc>
                <w:tcPr>
                  <w:tcW w:w="1020" w:type="dxa"/>
                  <w:noWrap w:val="0"/>
                  <w:vAlign w:val="center"/>
                </w:tcPr>
                <w:p>
                  <w:pPr>
                    <w:pStyle w:val="13"/>
                    <w:keepNext w:val="0"/>
                    <w:keepLines w:val="0"/>
                    <w:pageBreakBefore w:val="0"/>
                    <w:kinsoku/>
                    <w:wordWrap/>
                    <w:overflowPunct/>
                    <w:bidi w:val="0"/>
                    <w:adjustRightInd w:val="0"/>
                    <w:snapToGrid w:val="0"/>
                    <w:textAlignment w:val="auto"/>
                    <w:rPr>
                      <w:rFonts w:hint="eastAsia"/>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5386" w:hRule="atLeast"/>
                <w:jc w:val="center"/>
              </w:trPr>
              <w:tc>
                <w:tcPr>
                  <w:tcW w:w="4762" w:type="dxa"/>
                  <w:noWrap w:val="0"/>
                  <w:vAlign w:val="center"/>
                </w:tcPr>
                <w:p>
                  <w:pPr>
                    <w:pStyle w:val="13"/>
                    <w:keepNext w:val="0"/>
                    <w:keepLines w:val="0"/>
                    <w:pageBreakBefore w:val="0"/>
                    <w:kinsoku/>
                    <w:wordWrap/>
                    <w:overflowPunct/>
                    <w:bidi w:val="0"/>
                    <w:adjustRightInd w:val="0"/>
                    <w:snapToGrid w:val="0"/>
                    <w:jc w:val="both"/>
                    <w:textAlignment w:val="auto"/>
                    <w:rPr>
                      <w:rFonts w:hint="eastAsia"/>
                      <w:color w:val="auto"/>
                      <w:sz w:val="21"/>
                      <w:szCs w:val="21"/>
                    </w:rPr>
                  </w:pPr>
                  <w:r>
                    <w:rPr>
                      <w:rFonts w:hint="eastAsia"/>
                      <w:color w:val="auto"/>
                      <w:sz w:val="21"/>
                      <w:szCs w:val="21"/>
                    </w:rPr>
                    <w:t>（</w:t>
                  </w:r>
                  <w:r>
                    <w:rPr>
                      <w:color w:val="auto"/>
                      <w:sz w:val="21"/>
                      <w:szCs w:val="21"/>
                    </w:rPr>
                    <w:t>四）持续开展VOCs整治攻坚行动：持续落实《安徽省大气办关于深入开展挥发性有机物污染治理工作的通知》有关要求，加快整治年度VOCs综合治理项目，确保完成挥发性有机物重点工程减排量年度计划目标。高质量开展当前存在的挥发性有机物治理问题排查整治，2021年10月底前，结合本地特色产业，以石化、化工、工业涂装、包装印刷以及油品储运销为重点，组织企业针对挥发性有机液体储罐、装卸、敞开液面、泄漏检测与修复、废气收集、废气旁路、治理设施、加油站、非正常工况、产品VOCs含量等10个关键环节完成一轮排查工作。在企业自查基础上，各市生态环境部门开展一轮检查抽测，对排污许可重点管理企业全覆盖。2021年12月底前，各市对检查抽测中发现存在的突出问题，指导企业结合</w:t>
                  </w:r>
                  <w:r>
                    <w:rPr>
                      <w:rFonts w:hint="eastAsia"/>
                      <w:color w:val="auto"/>
                      <w:sz w:val="21"/>
                      <w:szCs w:val="21"/>
                    </w:rPr>
                    <w:t>“一企一案”</w:t>
                  </w:r>
                  <w:r>
                    <w:rPr>
                      <w:color w:val="auto"/>
                      <w:sz w:val="21"/>
                      <w:szCs w:val="21"/>
                    </w:rPr>
                    <w:t>编制，制定整改方案加快按照治理要求开展整治。开展VOCs治理示范项目推选，引导推动低VOCs替代、无组织排放管控、末端治理升级改造、运维能力提升等技术创新，以先进促后进。</w:t>
                  </w:r>
                </w:p>
              </w:tc>
              <w:tc>
                <w:tcPr>
                  <w:tcW w:w="2835"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eastAsia"/>
                      <w:color w:val="auto"/>
                      <w:sz w:val="21"/>
                      <w:szCs w:val="21"/>
                    </w:rPr>
                  </w:pPr>
                  <w:r>
                    <w:rPr>
                      <w:rFonts w:hint="eastAsia" w:ascii="Times New Roman" w:hAnsi="Times New Roman" w:eastAsia="宋体" w:cs="Times New Roman"/>
                      <w:color w:val="auto"/>
                      <w:sz w:val="21"/>
                      <w:szCs w:val="21"/>
                      <w:lang w:val="en-US" w:eastAsia="zh-CN" w:bidi="ar-SA"/>
                    </w:rPr>
                    <w:t>项目为扩建项目，生产过程产生的有机废气采取</w:t>
                  </w:r>
                  <w:r>
                    <w:rPr>
                      <w:rFonts w:hint="eastAsia" w:cs="Times New Roman"/>
                      <w:color w:val="auto"/>
                      <w:sz w:val="21"/>
                      <w:szCs w:val="21"/>
                      <w:lang w:val="en-US" w:eastAsia="zh-CN" w:bidi="ar-SA"/>
                    </w:rPr>
                    <w:t>二级活性炭吸附设备</w:t>
                  </w:r>
                  <w:r>
                    <w:rPr>
                      <w:rFonts w:hint="eastAsia" w:ascii="Times New Roman" w:hAnsi="Times New Roman" w:eastAsia="宋体" w:cs="Times New Roman"/>
                      <w:color w:val="auto"/>
                      <w:sz w:val="21"/>
                      <w:szCs w:val="21"/>
                      <w:lang w:val="en-US" w:eastAsia="zh-CN" w:bidi="ar-SA"/>
                    </w:rPr>
                    <w:t>进行处理，满足相关排放标准限值要求。</w:t>
                  </w:r>
                </w:p>
              </w:tc>
              <w:tc>
                <w:tcPr>
                  <w:tcW w:w="1020" w:type="dxa"/>
                  <w:noWrap w:val="0"/>
                  <w:vAlign w:val="center"/>
                </w:tcPr>
                <w:p>
                  <w:pPr>
                    <w:pStyle w:val="13"/>
                    <w:keepNext w:val="0"/>
                    <w:keepLines w:val="0"/>
                    <w:pageBreakBefore w:val="0"/>
                    <w:kinsoku/>
                    <w:wordWrap/>
                    <w:overflowPunct/>
                    <w:bidi w:val="0"/>
                    <w:adjustRightInd w:val="0"/>
                    <w:snapToGrid w:val="0"/>
                    <w:textAlignment w:val="auto"/>
                    <w:rPr>
                      <w:rFonts w:hint="eastAsia"/>
                      <w:color w:val="auto"/>
                      <w:sz w:val="21"/>
                      <w:szCs w:val="21"/>
                    </w:rPr>
                  </w:pPr>
                  <w:r>
                    <w:rPr>
                      <w:rFonts w:hint="eastAsia"/>
                      <w:color w:val="auto"/>
                      <w:sz w:val="21"/>
                      <w:szCs w:val="21"/>
                    </w:rPr>
                    <w:t>符合</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综上</w:t>
            </w:r>
            <w:r>
              <w:rPr>
                <w:rFonts w:hint="eastAsia"/>
                <w:color w:val="auto"/>
                <w:lang w:val="en-US" w:eastAsia="zh-CN"/>
              </w:rPr>
              <w:t>分析可知</w:t>
            </w:r>
            <w:r>
              <w:rPr>
                <w:color w:val="auto"/>
              </w:rPr>
              <w:t>，项目建设符合《安徽省2021-2022年秋冬季大气污染综合治理攻坚方案》中要求。</w:t>
            </w:r>
          </w:p>
          <w:p>
            <w:pPr>
              <w:pStyle w:val="16"/>
              <w:keepNext w:val="0"/>
              <w:keepLines w:val="0"/>
              <w:pageBreakBefore w:val="0"/>
              <w:kinsoku/>
              <w:wordWrap/>
              <w:overflowPunct/>
              <w:bidi w:val="0"/>
              <w:adjustRightInd w:val="0"/>
              <w:snapToGrid w:val="0"/>
              <w:textAlignment w:val="auto"/>
              <w:rPr>
                <w:rFonts w:hint="eastAsia"/>
                <w:color w:val="auto"/>
                <w:lang w:val="en-US" w:eastAsia="zh-CN"/>
              </w:rPr>
            </w:pPr>
          </w:p>
          <w:p>
            <w:pPr>
              <w:pStyle w:val="16"/>
              <w:keepNext w:val="0"/>
              <w:keepLines w:val="0"/>
              <w:pageBreakBefore w:val="0"/>
              <w:kinsoku/>
              <w:wordWrap/>
              <w:overflowPunct/>
              <w:bidi w:val="0"/>
              <w:adjustRightInd w:val="0"/>
              <w:snapToGrid w:val="0"/>
              <w:textAlignment w:val="auto"/>
              <w:rPr>
                <w:rFonts w:hint="eastAsia"/>
                <w:color w:val="auto"/>
                <w:lang w:val="en-US" w:eastAsia="zh-CN"/>
              </w:rPr>
            </w:pPr>
          </w:p>
          <w:p>
            <w:pPr>
              <w:pStyle w:val="16"/>
              <w:keepNext w:val="0"/>
              <w:keepLines w:val="0"/>
              <w:pageBreakBefore w:val="0"/>
              <w:kinsoku/>
              <w:wordWrap/>
              <w:overflowPunct/>
              <w:bidi w:val="0"/>
              <w:adjustRightInd w:val="0"/>
              <w:snapToGrid w:val="0"/>
              <w:textAlignment w:val="auto"/>
              <w:rPr>
                <w:rFonts w:hint="eastAsia"/>
                <w:color w:val="auto"/>
                <w:lang w:val="en-US" w:eastAsia="zh-CN"/>
              </w:rPr>
            </w:pPr>
          </w:p>
          <w:p>
            <w:pPr>
              <w:pStyle w:val="16"/>
              <w:keepNext w:val="0"/>
              <w:keepLines w:val="0"/>
              <w:pageBreakBefore w:val="0"/>
              <w:kinsoku/>
              <w:wordWrap/>
              <w:overflowPunct/>
              <w:bidi w:val="0"/>
              <w:adjustRightInd w:val="0"/>
              <w:snapToGrid w:val="0"/>
              <w:textAlignment w:val="auto"/>
              <w:rPr>
                <w:rFonts w:hint="eastAsia"/>
                <w:color w:val="auto"/>
                <w:lang w:val="en-US" w:eastAsia="zh-CN"/>
              </w:rPr>
            </w:pPr>
          </w:p>
          <w:p>
            <w:pPr>
              <w:pStyle w:val="16"/>
              <w:keepNext w:val="0"/>
              <w:keepLines w:val="0"/>
              <w:pageBreakBefore w:val="0"/>
              <w:kinsoku/>
              <w:wordWrap/>
              <w:overflowPunct/>
              <w:bidi w:val="0"/>
              <w:adjustRightInd w:val="0"/>
              <w:snapToGrid w:val="0"/>
              <w:textAlignment w:val="auto"/>
              <w:rPr>
                <w:rFonts w:hint="eastAsia"/>
                <w:color w:val="auto"/>
                <w:lang w:val="en-US" w:eastAsia="zh-CN"/>
              </w:rPr>
            </w:pPr>
          </w:p>
          <w:p>
            <w:pPr>
              <w:pStyle w:val="16"/>
              <w:keepNext w:val="0"/>
              <w:keepLines w:val="0"/>
              <w:pageBreakBefore w:val="0"/>
              <w:kinsoku/>
              <w:wordWrap/>
              <w:overflowPunct/>
              <w:bidi w:val="0"/>
              <w:adjustRightInd w:val="0"/>
              <w:snapToGrid w:val="0"/>
              <w:textAlignment w:val="auto"/>
              <w:rPr>
                <w:rFonts w:hint="eastAsia"/>
                <w:color w:val="auto"/>
                <w:lang w:val="en-US" w:eastAsia="zh-CN"/>
              </w:rPr>
            </w:pPr>
          </w:p>
          <w:p>
            <w:pPr>
              <w:pStyle w:val="16"/>
              <w:keepNext w:val="0"/>
              <w:keepLines w:val="0"/>
              <w:pageBreakBefore w:val="0"/>
              <w:kinsoku/>
              <w:wordWrap/>
              <w:overflowPunct/>
              <w:bidi w:val="0"/>
              <w:adjustRightInd w:val="0"/>
              <w:snapToGrid w:val="0"/>
              <w:textAlignment w:val="auto"/>
              <w:rPr>
                <w:rFonts w:hint="default" w:eastAsia="宋体"/>
                <w:color w:val="auto"/>
                <w:highlight w:val="none"/>
                <w:lang w:val="en-US" w:eastAsia="zh-CN"/>
              </w:rPr>
            </w:pPr>
          </w:p>
        </w:tc>
      </w:tr>
    </w:tbl>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textAlignment w:val="auto"/>
        <w:rPr>
          <w:color w:val="auto"/>
          <w:highlight w:val="none"/>
        </w:rPr>
        <w:sectPr>
          <w:headerReference r:id="rId6" w:type="default"/>
          <w:footerReference r:id="rId7" w:type="default"/>
          <w:pgSz w:w="11906" w:h="16838"/>
          <w:pgMar w:top="1304" w:right="1304" w:bottom="1304" w:left="1304" w:header="850"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2"/>
        <w:bidi w:val="0"/>
        <w:rPr>
          <w:rFonts w:hint="eastAsia"/>
          <w:color w:val="auto"/>
        </w:rPr>
      </w:pPr>
      <w:r>
        <w:rPr>
          <w:rFonts w:hint="eastAsia"/>
          <w:color w:val="auto"/>
        </w:rPr>
        <w:t>二、建设项目工程分析</w:t>
      </w:r>
    </w:p>
    <w:tbl>
      <w:tblPr>
        <w:tblStyle w:val="7"/>
        <w:tblW w:w="93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24"/>
        <w:gridCol w:w="8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6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cs="宋体"/>
                <w:b/>
                <w:bCs/>
                <w:color w:val="auto"/>
                <w:highlight w:val="none"/>
              </w:rPr>
            </w:pPr>
            <w:r>
              <w:rPr>
                <w:rFonts w:hint="eastAsia" w:cs="宋体"/>
                <w:b/>
                <w:bCs/>
                <w:color w:val="auto"/>
                <w:highlight w:val="none"/>
              </w:rPr>
              <w:t>建设内容</w:t>
            </w:r>
          </w:p>
        </w:tc>
        <w:tc>
          <w:tcPr>
            <w:tcW w:w="8731" w:type="dxa"/>
            <w:noWrap w:val="0"/>
            <w:vAlign w:val="top"/>
          </w:tcPr>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一、</w:t>
            </w:r>
            <w:r>
              <w:rPr>
                <w:rFonts w:hint="eastAsia"/>
                <w:color w:val="auto"/>
                <w:lang w:eastAsia="zh-CN"/>
              </w:rPr>
              <w:t>扩建项目</w:t>
            </w:r>
            <w:r>
              <w:rPr>
                <w:rFonts w:hint="eastAsia"/>
                <w:color w:val="auto"/>
              </w:rPr>
              <w:t>概况</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w:t>
            </w:r>
            <w:r>
              <w:rPr>
                <w:color w:val="auto"/>
              </w:rPr>
              <w:t>1）项目名称：</w:t>
            </w:r>
            <w:r>
              <w:rPr>
                <w:rFonts w:hint="eastAsia"/>
                <w:color w:val="auto"/>
                <w:lang w:eastAsia="zh-CN"/>
              </w:rPr>
              <w:t>年产1000万平米滤清器过滤材料扩建项目</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w:t>
            </w:r>
            <w:r>
              <w:rPr>
                <w:color w:val="auto"/>
              </w:rPr>
              <w:t>2）项目性质：</w:t>
            </w:r>
            <w:r>
              <w:rPr>
                <w:rFonts w:hint="eastAsia"/>
                <w:color w:val="auto"/>
                <w:lang w:val="en-US" w:eastAsia="zh-CN"/>
              </w:rPr>
              <w:t>扩建</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w:t>
            </w:r>
            <w:r>
              <w:rPr>
                <w:color w:val="auto"/>
              </w:rPr>
              <w:t>3）建设单位：</w:t>
            </w:r>
            <w:r>
              <w:rPr>
                <w:rFonts w:hint="eastAsia"/>
                <w:color w:val="auto"/>
                <w:lang w:eastAsia="zh-CN"/>
              </w:rPr>
              <w:t>安徽凤凰滤清器股份有限公司华纺滤材分公司</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w:t>
            </w:r>
            <w:r>
              <w:rPr>
                <w:color w:val="auto"/>
              </w:rPr>
              <w:t>4）建设地点：</w:t>
            </w:r>
            <w:r>
              <w:rPr>
                <w:rFonts w:hint="eastAsia"/>
                <w:color w:val="auto"/>
                <w:lang w:eastAsia="zh-CN"/>
              </w:rPr>
              <w:t>蚌埠市怀远县经济开发区金河路32号</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rPr>
              <w:t>（</w:t>
            </w:r>
            <w:r>
              <w:rPr>
                <w:color w:val="auto"/>
              </w:rPr>
              <w:t>5）建设内容及规模：</w:t>
            </w:r>
            <w:r>
              <w:rPr>
                <w:rFonts w:hint="eastAsia"/>
                <w:color w:val="auto"/>
                <w:lang w:eastAsia="zh-CN"/>
              </w:rPr>
              <w:t>扩建项目依托现有厂房，对现有生产工艺进行细化</w:t>
            </w:r>
            <w:r>
              <w:rPr>
                <w:color w:val="auto"/>
              </w:rPr>
              <w:t>，</w:t>
            </w:r>
            <w:r>
              <w:rPr>
                <w:rFonts w:hint="eastAsia"/>
                <w:color w:val="auto"/>
                <w:lang w:eastAsia="zh-CN"/>
              </w:rPr>
              <w:t>新增</w:t>
            </w:r>
            <w:r>
              <w:rPr>
                <w:rFonts w:hint="eastAsia"/>
                <w:color w:val="auto"/>
                <w:lang w:val="en-US" w:eastAsia="zh-CN"/>
              </w:rPr>
              <w:t>2条无纺布生产线和2条超声波复合无纺布生产线，拟购置和毛中仓一体机、主开松机、给棉机、梳理机、铺网机、高速预刺机、高速下刺机、烘箱、压光机、成卷机、超声波滤纸复合分条一体机</w:t>
            </w:r>
            <w:r>
              <w:rPr>
                <w:color w:val="auto"/>
              </w:rPr>
              <w:t>等</w:t>
            </w:r>
            <w:r>
              <w:rPr>
                <w:rFonts w:hint="eastAsia"/>
                <w:color w:val="auto"/>
              </w:rPr>
              <w:t>设备及</w:t>
            </w:r>
            <w:r>
              <w:rPr>
                <w:color w:val="auto"/>
              </w:rPr>
              <w:t>其辅助设施</w:t>
            </w:r>
            <w:r>
              <w:rPr>
                <w:rFonts w:hint="eastAsia"/>
                <w:color w:val="auto"/>
                <w:lang w:eastAsia="zh-CN"/>
              </w:rPr>
              <w:t>，</w:t>
            </w:r>
            <w:r>
              <w:rPr>
                <w:rFonts w:hint="eastAsia"/>
                <w:color w:val="auto"/>
                <w:lang w:val="en-US" w:eastAsia="zh-CN"/>
              </w:rPr>
              <w:t>年新增800万平方米的无纺布和600平方米的超声波复合无纺布，扩建后可形成年产2400平方米滤清器过滤材料的</w:t>
            </w:r>
            <w:r>
              <w:rPr>
                <w:color w:val="auto"/>
              </w:rPr>
              <w:t>生产规模</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w:t>
            </w:r>
            <w:r>
              <w:rPr>
                <w:color w:val="auto"/>
              </w:rPr>
              <w:t>6）</w:t>
            </w:r>
            <w:r>
              <w:rPr>
                <w:rFonts w:hint="eastAsia"/>
                <w:color w:val="auto"/>
                <w:lang w:eastAsia="zh-CN"/>
              </w:rPr>
              <w:t>扩建项目</w:t>
            </w:r>
            <w:r>
              <w:rPr>
                <w:color w:val="auto"/>
              </w:rPr>
              <w:t>总投资：</w:t>
            </w:r>
            <w:r>
              <w:rPr>
                <w:rFonts w:hint="eastAsia"/>
                <w:color w:val="auto"/>
                <w:lang w:val="en-US" w:eastAsia="zh-CN"/>
              </w:rPr>
              <w:t>530</w:t>
            </w:r>
            <w:r>
              <w:rPr>
                <w:color w:val="auto"/>
              </w:rPr>
              <w:t>万元。</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二、</w:t>
            </w:r>
            <w:r>
              <w:rPr>
                <w:rFonts w:hint="eastAsia"/>
                <w:color w:val="auto"/>
                <w:lang w:eastAsia="zh-CN"/>
              </w:rPr>
              <w:t>扩建项目</w:t>
            </w:r>
            <w:r>
              <w:rPr>
                <w:rFonts w:hint="eastAsia"/>
                <w:color w:val="auto"/>
              </w:rPr>
              <w:t>环评类别</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r>
              <w:rPr>
                <w:rFonts w:hint="eastAsia"/>
                <w:color w:val="auto"/>
              </w:rPr>
              <w:t>根据《中华人民共和国环境保护法》、《中华人民共和国环境影响评价法》和《建设项目环境保护管理条例》（国务院令682号）</w:t>
            </w:r>
            <w:r>
              <w:rPr>
                <w:rFonts w:hint="eastAsia"/>
                <w:color w:val="auto"/>
                <w:lang w:eastAsia="zh-CN"/>
              </w:rPr>
              <w:t>中</w:t>
            </w:r>
            <w:r>
              <w:rPr>
                <w:rFonts w:hint="eastAsia"/>
                <w:color w:val="auto"/>
              </w:rPr>
              <w:t>有关规定，建设项目应履行环境影响评价手续。对照《国民经济行业分类》（GB/T 4754-2017），</w:t>
            </w:r>
            <w:r>
              <w:rPr>
                <w:rFonts w:hint="eastAsia"/>
                <w:color w:val="auto"/>
                <w:lang w:eastAsia="zh-CN"/>
              </w:rPr>
              <w:t>扩建项目</w:t>
            </w:r>
            <w:r>
              <w:rPr>
                <w:rFonts w:hint="eastAsia"/>
                <w:color w:val="auto"/>
              </w:rPr>
              <w:t>属于</w:t>
            </w:r>
            <w:r>
              <w:rPr>
                <w:rFonts w:hint="eastAsia"/>
                <w:color w:val="auto"/>
                <w:lang w:eastAsia="zh-CN"/>
              </w:rPr>
              <w:t>纺织业</w:t>
            </w:r>
            <w:r>
              <w:rPr>
                <w:rFonts w:hint="eastAsia"/>
                <w:color w:val="auto"/>
              </w:rPr>
              <w:t>中“</w:t>
            </w:r>
            <w:r>
              <w:rPr>
                <w:rFonts w:hint="eastAsia"/>
                <w:color w:val="auto"/>
                <w:lang w:eastAsia="zh-CN"/>
              </w:rPr>
              <w:t>C1781非织造布制造</w:t>
            </w:r>
            <w:r>
              <w:rPr>
                <w:rFonts w:hint="eastAsia"/>
                <w:color w:val="auto"/>
              </w:rPr>
              <w:t>”，对照《建设项目环境影响评价分类管理名录（2021年版）》，</w:t>
            </w:r>
            <w:r>
              <w:rPr>
                <w:rFonts w:hint="eastAsia"/>
                <w:color w:val="auto"/>
                <w:lang w:eastAsia="zh-CN"/>
              </w:rPr>
              <w:t>扩建项目</w:t>
            </w:r>
            <w:r>
              <w:rPr>
                <w:rFonts w:hint="eastAsia"/>
                <w:color w:val="auto"/>
              </w:rPr>
              <w:t>属于“</w:t>
            </w:r>
            <w:r>
              <w:rPr>
                <w:rFonts w:hint="eastAsia"/>
                <w:color w:val="auto"/>
                <w:lang w:eastAsia="zh-CN"/>
              </w:rPr>
              <w:t>十四、纺织业17--28产业用纺织制成品制造178</w:t>
            </w:r>
            <w:r>
              <w:rPr>
                <w:rFonts w:hint="eastAsia"/>
                <w:color w:val="auto"/>
              </w:rPr>
              <w:t>--</w:t>
            </w:r>
            <w:r>
              <w:rPr>
                <w:rFonts w:hint="eastAsia"/>
                <w:color w:val="auto"/>
                <w:lang w:eastAsia="zh-CN"/>
              </w:rPr>
              <w:t>有喷墨印花或数码印花工艺的；后整理工序涉及有机溶剂的；有喷水织造工艺的；有水刺无纺布织造工艺的</w:t>
            </w:r>
            <w:r>
              <w:rPr>
                <w:rFonts w:hint="eastAsia"/>
                <w:color w:val="auto"/>
              </w:rPr>
              <w:t>”，应编制环境影响报告表。</w:t>
            </w:r>
          </w:p>
          <w:p>
            <w:pPr>
              <w:pStyle w:val="11"/>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表2-1</w:t>
            </w:r>
            <w:r>
              <w:rPr>
                <w:rFonts w:hint="eastAsia"/>
                <w:color w:val="auto"/>
              </w:rPr>
              <w:t xml:space="preserve"> 《建设项目环境影响评价分类管理名录（2021年版）》摘录</w:t>
            </w:r>
          </w:p>
          <w:tbl>
            <w:tblPr>
              <w:tblStyle w:val="7"/>
              <w:tblW w:w="86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535"/>
              <w:gridCol w:w="3385"/>
              <w:gridCol w:w="2025"/>
              <w:gridCol w:w="1857"/>
              <w:gridCol w:w="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794" w:hRule="atLeast"/>
                <w:jc w:val="center"/>
              </w:trPr>
              <w:tc>
                <w:tcPr>
                  <w:tcW w:w="3920" w:type="dxa"/>
                  <w:gridSpan w:val="2"/>
                  <w:tcBorders>
                    <w:tl2br w:val="single" w:color="auto" w:sz="4" w:space="0"/>
                  </w:tcBorders>
                  <w:shd w:val="clear" w:color="auto" w:fill="auto"/>
                  <w:noWrap w:val="0"/>
                  <w:vAlign w:val="center"/>
                </w:tcPr>
                <w:p>
                  <w:pPr>
                    <w:pStyle w:val="15"/>
                    <w:keepNext w:val="0"/>
                    <w:keepLines w:val="0"/>
                    <w:pageBreakBefore w:val="0"/>
                    <w:widowControl w:val="0"/>
                    <w:kinsoku/>
                    <w:wordWrap/>
                    <w:overflowPunct/>
                    <w:topLinePunct w:val="0"/>
                    <w:autoSpaceDE/>
                    <w:autoSpaceDN/>
                    <w:bidi w:val="0"/>
                    <w:adjustRightInd w:val="0"/>
                    <w:snapToGrid w:val="0"/>
                    <w:ind w:left="120" w:leftChars="50" w:right="120" w:rightChars="50"/>
                    <w:jc w:val="right"/>
                    <w:textAlignment w:val="auto"/>
                    <w:rPr>
                      <w:color w:val="auto"/>
                    </w:rPr>
                  </w:pPr>
                  <w:r>
                    <w:rPr>
                      <w:color w:val="auto"/>
                    </w:rPr>
                    <w:t>环评类别</w:t>
                  </w:r>
                </w:p>
                <w:p>
                  <w:pPr>
                    <w:pStyle w:val="15"/>
                    <w:keepNext w:val="0"/>
                    <w:keepLines w:val="0"/>
                    <w:pageBreakBefore w:val="0"/>
                    <w:widowControl w:val="0"/>
                    <w:kinsoku/>
                    <w:wordWrap/>
                    <w:overflowPunct/>
                    <w:topLinePunct w:val="0"/>
                    <w:autoSpaceDE/>
                    <w:autoSpaceDN/>
                    <w:bidi w:val="0"/>
                    <w:adjustRightInd w:val="0"/>
                    <w:snapToGrid w:val="0"/>
                    <w:ind w:left="120" w:leftChars="50" w:right="120" w:rightChars="50"/>
                    <w:jc w:val="left"/>
                    <w:textAlignment w:val="auto"/>
                    <w:rPr>
                      <w:rFonts w:hint="default"/>
                      <w:color w:val="auto"/>
                    </w:rPr>
                  </w:pPr>
                  <w:r>
                    <w:rPr>
                      <w:color w:val="auto"/>
                    </w:rPr>
                    <w:t>项目类别</w:t>
                  </w:r>
                </w:p>
              </w:tc>
              <w:tc>
                <w:tcPr>
                  <w:tcW w:w="2025" w:type="dxa"/>
                  <w:shd w:val="clear" w:color="auto" w:fill="auto"/>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color w:val="auto"/>
                    </w:rPr>
                    <w:t>报告书</w:t>
                  </w:r>
                </w:p>
              </w:tc>
              <w:tc>
                <w:tcPr>
                  <w:tcW w:w="1857" w:type="dxa"/>
                  <w:shd w:val="clear" w:color="auto" w:fill="D7D7D7"/>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color w:val="auto"/>
                    </w:rPr>
                    <w:t>报告表</w:t>
                  </w:r>
                </w:p>
              </w:tc>
              <w:tc>
                <w:tcPr>
                  <w:tcW w:w="833"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color w:val="auto"/>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8635" w:type="dxa"/>
                  <w:gridSpan w:val="5"/>
                  <w:shd w:val="clear" w:color="auto" w:fill="D7D7D7"/>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lang w:eastAsia="zh-CN"/>
                    </w:rPr>
                  </w:pPr>
                  <w:r>
                    <w:rPr>
                      <w:rFonts w:hint="eastAsia"/>
                      <w:color w:val="auto"/>
                      <w:lang w:eastAsia="zh-CN"/>
                    </w:rPr>
                    <w:t>十四、纺织业17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211" w:hRule="atLeast"/>
                <w:jc w:val="center"/>
              </w:trPr>
              <w:tc>
                <w:tcPr>
                  <w:tcW w:w="535" w:type="dxa"/>
                  <w:shd w:val="clear" w:color="auto" w:fill="D7D7D7"/>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lang w:val="en-US" w:eastAsia="zh-CN"/>
                    </w:rPr>
                  </w:pPr>
                  <w:r>
                    <w:rPr>
                      <w:rFonts w:hint="eastAsia"/>
                      <w:color w:val="auto"/>
                      <w:lang w:val="en-US" w:eastAsia="zh-CN"/>
                    </w:rPr>
                    <w:t>28</w:t>
                  </w:r>
                </w:p>
              </w:tc>
              <w:tc>
                <w:tcPr>
                  <w:tcW w:w="3385" w:type="dxa"/>
                  <w:shd w:val="clear" w:color="auto" w:fill="auto"/>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eastAsia="zh-CN"/>
                    </w:rPr>
                    <w:t>棉纺织及印染精加工171*；毛纺织及染整精加工172*；麻纺织及染整精加工173*；丝绢纺织及印染精加工174*；化纤织造及印染精加工175*；针织或钩针编织物及其制品制造176*；家用纺织制成品制造177*；</w:t>
                  </w:r>
                  <w:r>
                    <w:rPr>
                      <w:rFonts w:hint="eastAsia"/>
                      <w:color w:val="auto"/>
                      <w:shd w:val="clear" w:fill="D7D7D7" w:themeFill="background1" w:themeFillShade="D8"/>
                      <w:lang w:eastAsia="zh-CN"/>
                    </w:rPr>
                    <w:t>产业用纺织制成品制造178*</w:t>
                  </w:r>
                </w:p>
              </w:tc>
              <w:tc>
                <w:tcPr>
                  <w:tcW w:w="2025" w:type="dxa"/>
                  <w:shd w:val="clear" w:color="auto" w:fill="auto"/>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有洗毛、脱胶、缫丝工艺的；染整工艺有前处理、染色、印花（喷墨印花和数码印花的除外）工序的；有使用有机溶剂的涂层工艺的</w:t>
                  </w:r>
                </w:p>
              </w:tc>
              <w:tc>
                <w:tcPr>
                  <w:tcW w:w="1857" w:type="dxa"/>
                  <w:shd w:val="clear" w:color="auto" w:fill="auto"/>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eastAsia="zh-CN"/>
                    </w:rPr>
                    <w:t>有喷墨印花或数码印花工艺的；</w:t>
                  </w:r>
                  <w:r>
                    <w:rPr>
                      <w:rFonts w:hint="eastAsia"/>
                      <w:color w:val="auto"/>
                      <w:shd w:val="clear" w:fill="D7D7D7" w:themeFill="background1" w:themeFillShade="D8"/>
                      <w:lang w:eastAsia="zh-CN"/>
                    </w:rPr>
                    <w:t>后整理工序涉及有机溶剂的；</w:t>
                  </w:r>
                  <w:r>
                    <w:rPr>
                      <w:rFonts w:hint="eastAsia"/>
                      <w:color w:val="auto"/>
                      <w:lang w:eastAsia="zh-CN"/>
                    </w:rPr>
                    <w:t>有喷水织造工艺的；有水刺无纺布织造工艺的</w:t>
                  </w:r>
                </w:p>
              </w:tc>
              <w:tc>
                <w:tcPr>
                  <w:tcW w:w="833"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eastAsia"/>
                <w:color w:val="auto"/>
              </w:rPr>
              <w:t>三、</w:t>
            </w:r>
            <w:r>
              <w:rPr>
                <w:rFonts w:hint="eastAsia"/>
                <w:color w:val="auto"/>
                <w:lang w:eastAsia="zh-CN"/>
              </w:rPr>
              <w:t>扩建项目</w:t>
            </w:r>
            <w:r>
              <w:rPr>
                <w:rFonts w:hint="eastAsia"/>
                <w:color w:val="auto"/>
                <w:lang w:val="en-US" w:eastAsia="zh-CN"/>
              </w:rPr>
              <w:t>排污许可</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val="en-US" w:eastAsia="zh-CN"/>
              </w:rPr>
            </w:pPr>
            <w:r>
              <w:rPr>
                <w:rFonts w:hint="eastAsia"/>
                <w:color w:val="auto"/>
                <w:lang w:val="en-US" w:eastAsia="zh-CN"/>
              </w:rPr>
              <w:t>根据《固定污染源排污许可分类管理名录》（2019年版），并结合项目产品、生产工艺、生产及辅助设备、原辅材料等情况，扩建项目属于“十二、纺织业17--26、产业用纺织制成品制造178”中“其他”和“五十一、通用工序--110工业窑炉”中“除纳入重点排污单位名录的，以天然气或者电为能源的加热炉、热处理炉或者干燥炉（窑）”，属于登记管理，项目适用的排污许可技术规范为《排污许可证申请与核发技术规范-总则》（HJ 942-2018），项目适用的排污许可自行监测技术指南为《排污单位自行监测技术指南-总则》（HJ 819-2017）。</w:t>
            </w:r>
          </w:p>
          <w:p>
            <w:pPr>
              <w:pStyle w:val="11"/>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表2-</w:t>
            </w:r>
            <w:r>
              <w:rPr>
                <w:rFonts w:hint="eastAsia"/>
                <w:color w:val="auto"/>
                <w:lang w:val="en-US" w:eastAsia="zh-CN"/>
              </w:rPr>
              <w:t>2</w:t>
            </w:r>
            <w:r>
              <w:rPr>
                <w:rFonts w:hint="eastAsia"/>
                <w:color w:val="auto"/>
              </w:rPr>
              <w:t xml:space="preserve"> 《固定污染源排污许可分类管理名录》（2019年版）摘录</w:t>
            </w:r>
          </w:p>
          <w:tbl>
            <w:tblPr>
              <w:tblStyle w:val="7"/>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454"/>
              <w:gridCol w:w="2268"/>
              <w:gridCol w:w="737"/>
              <w:gridCol w:w="794"/>
              <w:gridCol w:w="1928"/>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850"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w:t>
                  </w:r>
                </w:p>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大类</w:t>
                  </w:r>
                </w:p>
              </w:tc>
              <w:tc>
                <w:tcPr>
                  <w:tcW w:w="454"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2268"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行业类别</w:t>
                  </w:r>
                </w:p>
              </w:tc>
              <w:tc>
                <w:tcPr>
                  <w:tcW w:w="737"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行业代码</w:t>
                  </w:r>
                </w:p>
              </w:tc>
              <w:tc>
                <w:tcPr>
                  <w:tcW w:w="794"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重点</w:t>
                  </w:r>
                </w:p>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管理</w:t>
                  </w:r>
                </w:p>
              </w:tc>
              <w:tc>
                <w:tcPr>
                  <w:tcW w:w="1928"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简化管理</w:t>
                  </w:r>
                </w:p>
              </w:tc>
              <w:tc>
                <w:tcPr>
                  <w:tcW w:w="1587" w:type="dxa"/>
                  <w:tcBorders>
                    <w:tl2br w:val="nil"/>
                    <w:tr2bl w:val="nil"/>
                  </w:tcBorders>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04" w:hRule="atLeast"/>
                <w:jc w:val="center"/>
              </w:trPr>
              <w:tc>
                <w:tcPr>
                  <w:tcW w:w="850" w:type="dxa"/>
                  <w:tcBorders>
                    <w:tl2br w:val="nil"/>
                    <w:tr2bl w:val="nil"/>
                  </w:tcBorders>
                  <w:shd w:val="clear" w:color="auto" w:fill="D7D7D7"/>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十二、纺织业17</w:t>
                  </w:r>
                </w:p>
              </w:tc>
              <w:tc>
                <w:tcPr>
                  <w:tcW w:w="454" w:type="dxa"/>
                  <w:tcBorders>
                    <w:tl2br w:val="nil"/>
                    <w:tr2bl w:val="nil"/>
                  </w:tcBorders>
                  <w:shd w:val="clear" w:color="auto" w:fill="D7D7D7"/>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w:t>
                  </w:r>
                </w:p>
              </w:tc>
              <w:tc>
                <w:tcPr>
                  <w:tcW w:w="2268"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eastAsia"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针织或钩针编织物及其制品制造176，家用纺织制成品制造177，</w:t>
                  </w:r>
                  <w:r>
                    <w:rPr>
                      <w:rFonts w:hint="eastAsia" w:cs="Times New Roman"/>
                      <w:b w:val="0"/>
                      <w:bCs w:val="0"/>
                      <w:color w:val="auto"/>
                      <w:sz w:val="21"/>
                      <w:szCs w:val="21"/>
                      <w:highlight w:val="none"/>
                      <w:shd w:val="clear" w:fill="D7D7D7" w:themeFill="background1" w:themeFillShade="D8"/>
                      <w:lang w:eastAsia="zh-CN"/>
                    </w:rPr>
                    <w:t>产业用纺织制成品制造178</w:t>
                  </w:r>
                </w:p>
              </w:tc>
              <w:tc>
                <w:tcPr>
                  <w:tcW w:w="737"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176/177/</w:t>
                  </w:r>
                  <w:r>
                    <w:rPr>
                      <w:rFonts w:hint="default" w:ascii="Times New Roman" w:hAnsi="Times New Roman" w:eastAsia="宋体" w:cs="Times New Roman"/>
                      <w:b w:val="0"/>
                      <w:bCs w:val="0"/>
                      <w:color w:val="auto"/>
                      <w:sz w:val="21"/>
                      <w:szCs w:val="21"/>
                      <w:highlight w:val="none"/>
                      <w:shd w:val="clear" w:fill="D7D7D7" w:themeFill="background1" w:themeFillShade="D8"/>
                    </w:rPr>
                    <w:t>178</w:t>
                  </w:r>
                </w:p>
              </w:tc>
              <w:tc>
                <w:tcPr>
                  <w:tcW w:w="794"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涉及通用工序重点管理的</w:t>
                  </w:r>
                </w:p>
              </w:tc>
              <w:tc>
                <w:tcPr>
                  <w:tcW w:w="1928"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涉及通用工序简化管理的</w:t>
                  </w:r>
                </w:p>
              </w:tc>
              <w:tc>
                <w:tcPr>
                  <w:tcW w:w="1587" w:type="dxa"/>
                  <w:tcBorders>
                    <w:tl2br w:val="nil"/>
                    <w:tr2bl w:val="nil"/>
                  </w:tcBorders>
                  <w:shd w:val="clear" w:color="auto" w:fill="D7D7D7" w:themeFill="background1" w:themeFillShade="D8"/>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shd w:val="clear" w:color="auto" w:fill="auto"/>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14" w:hRule="atLeast"/>
                <w:jc w:val="center"/>
              </w:trPr>
              <w:tc>
                <w:tcPr>
                  <w:tcW w:w="850" w:type="dxa"/>
                  <w:tcBorders>
                    <w:tl2br w:val="nil"/>
                    <w:tr2bl w:val="nil"/>
                  </w:tcBorders>
                  <w:shd w:val="clear" w:color="auto" w:fill="D7D7D7"/>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五十一、通用工序</w:t>
                  </w:r>
                </w:p>
              </w:tc>
              <w:tc>
                <w:tcPr>
                  <w:tcW w:w="454" w:type="dxa"/>
                  <w:tcBorders>
                    <w:tl2br w:val="nil"/>
                    <w:tr2bl w:val="nil"/>
                  </w:tcBorders>
                  <w:shd w:val="clear" w:color="auto" w:fill="D7D7D7"/>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110</w:t>
                  </w:r>
                </w:p>
              </w:tc>
              <w:tc>
                <w:tcPr>
                  <w:tcW w:w="2268"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eastAsia"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工业炉窑</w:t>
                  </w:r>
                </w:p>
              </w:tc>
              <w:tc>
                <w:tcPr>
                  <w:tcW w:w="737"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794"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纳入重点排污单位名录的</w:t>
                  </w:r>
                </w:p>
              </w:tc>
              <w:tc>
                <w:tcPr>
                  <w:tcW w:w="1928" w:type="dxa"/>
                  <w:tcBorders>
                    <w:tl2br w:val="nil"/>
                    <w:tr2bl w:val="nil"/>
                  </w:tcBorders>
                  <w:shd w:val="clear" w:color="auto" w:fill="auto"/>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除纳入重点排污单位名录的</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除以天然气或者电为能源的加热炉、热处理炉、干燥炉（窑）以外的其他工业炉窑</w:t>
                  </w:r>
                </w:p>
              </w:tc>
              <w:tc>
                <w:tcPr>
                  <w:tcW w:w="1587" w:type="dxa"/>
                  <w:tcBorders>
                    <w:tl2br w:val="nil"/>
                    <w:tr2bl w:val="nil"/>
                  </w:tcBorders>
                  <w:shd w:val="clear" w:color="auto" w:fill="D7D7D7" w:themeFill="background1" w:themeFillShade="D8"/>
                  <w:noWrap w:val="0"/>
                  <w:vAlign w:val="center"/>
                </w:tcPr>
                <w:p>
                  <w:pPr>
                    <w:pStyle w:val="15"/>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除纳入重点排污单位名录的，以天然气或者电为能源的加热炉、热处理炉或者干燥炉（窑）</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lang w:val="en-US" w:eastAsia="zh-CN"/>
              </w:rPr>
              <w:t>四、扩建项目</w:t>
            </w:r>
            <w:r>
              <w:rPr>
                <w:rFonts w:hint="eastAsia"/>
                <w:color w:val="auto"/>
              </w:rPr>
              <w:t>建设内容</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eastAsia="zh-CN"/>
              </w:rPr>
              <w:t>扩建项目</w:t>
            </w:r>
            <w:r>
              <w:rPr>
                <w:rFonts w:hint="eastAsia"/>
                <w:color w:val="auto"/>
              </w:rPr>
              <w:t>建设内容</w:t>
            </w:r>
            <w:r>
              <w:rPr>
                <w:rFonts w:hint="eastAsia"/>
                <w:color w:val="auto"/>
                <w:lang w:eastAsia="zh-CN"/>
              </w:rPr>
              <w:t>，</w:t>
            </w:r>
            <w:r>
              <w:rPr>
                <w:rFonts w:hint="eastAsia"/>
                <w:color w:val="auto"/>
                <w:lang w:val="en-US" w:eastAsia="zh-CN"/>
              </w:rPr>
              <w:t>具体见下表。</w:t>
            </w:r>
          </w:p>
          <w:p>
            <w:pPr>
              <w:pStyle w:val="11"/>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表2-</w:t>
            </w:r>
            <w:r>
              <w:rPr>
                <w:rFonts w:hint="eastAsia"/>
                <w:color w:val="auto"/>
                <w:lang w:val="en-US" w:eastAsia="zh-CN"/>
              </w:rPr>
              <w:t>3</w:t>
            </w:r>
            <w:r>
              <w:rPr>
                <w:rFonts w:hint="eastAsia"/>
                <w:color w:val="auto"/>
              </w:rPr>
              <w:t xml:space="preserve"> </w:t>
            </w:r>
            <w:r>
              <w:rPr>
                <w:rFonts w:hint="eastAsia"/>
                <w:color w:val="auto"/>
                <w:lang w:eastAsia="zh-CN"/>
              </w:rPr>
              <w:t>扩建项目</w:t>
            </w:r>
            <w:r>
              <w:rPr>
                <w:rFonts w:hint="eastAsia"/>
                <w:color w:val="auto"/>
              </w:rPr>
              <w:t>建设内容</w:t>
            </w:r>
          </w:p>
          <w:tbl>
            <w:tblPr>
              <w:tblStyle w:val="7"/>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64"/>
              <w:gridCol w:w="1417"/>
              <w:gridCol w:w="2665"/>
              <w:gridCol w:w="2778"/>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6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工程类别</w:t>
                  </w:r>
                </w:p>
              </w:tc>
              <w:tc>
                <w:tcPr>
                  <w:tcW w:w="141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单项工程名称</w:t>
                  </w:r>
                </w:p>
              </w:tc>
              <w:tc>
                <w:tcPr>
                  <w:tcW w:w="2665"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eastAsia"/>
                      <w:color w:val="auto"/>
                      <w:sz w:val="21"/>
                      <w:szCs w:val="21"/>
                      <w:lang w:eastAsia="zh-CN"/>
                    </w:rPr>
                    <w:t>现有项目</w:t>
                  </w:r>
                  <w:r>
                    <w:rPr>
                      <w:rFonts w:hint="eastAsia"/>
                      <w:color w:val="auto"/>
                      <w:sz w:val="21"/>
                      <w:szCs w:val="21"/>
                    </w:rPr>
                    <w:t>内容及规模</w:t>
                  </w:r>
                </w:p>
              </w:tc>
              <w:tc>
                <w:tcPr>
                  <w:tcW w:w="2778"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eastAsia"/>
                      <w:color w:val="auto"/>
                      <w:sz w:val="21"/>
                      <w:szCs w:val="21"/>
                      <w:lang w:eastAsia="zh-CN"/>
                    </w:rPr>
                    <w:t>改建</w:t>
                  </w:r>
                  <w:r>
                    <w:rPr>
                      <w:rFonts w:hint="eastAsia"/>
                      <w:color w:val="auto"/>
                      <w:sz w:val="21"/>
                      <w:szCs w:val="21"/>
                    </w:rPr>
                    <w:t>工程内容及规模</w:t>
                  </w:r>
                </w:p>
              </w:tc>
              <w:tc>
                <w:tcPr>
                  <w:tcW w:w="79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57" w:hRule="atLeast"/>
                <w:jc w:val="center"/>
              </w:trPr>
              <w:tc>
                <w:tcPr>
                  <w:tcW w:w="96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主体工程</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无纺布车间</w:t>
                  </w:r>
                </w:p>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（即1#</w:t>
                  </w:r>
                  <w:r>
                    <w:rPr>
                      <w:color w:val="auto"/>
                      <w:sz w:val="21"/>
                      <w:szCs w:val="21"/>
                    </w:rPr>
                    <w:t>车间</w:t>
                  </w:r>
                  <w:r>
                    <w:rPr>
                      <w:rFonts w:hint="eastAsia"/>
                      <w:color w:val="auto"/>
                      <w:sz w:val="21"/>
                      <w:szCs w:val="21"/>
                      <w:lang w:val="en-US" w:eastAsia="zh-CN"/>
                    </w:rPr>
                    <w:t>）</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color w:val="auto"/>
                      <w:sz w:val="21"/>
                      <w:szCs w:val="21"/>
                      <w:lang w:val="en-US" w:eastAsia="zh-CN"/>
                    </w:rPr>
                  </w:pPr>
                  <w:r>
                    <w:rPr>
                      <w:rFonts w:hint="eastAsia"/>
                      <w:color w:val="auto"/>
                      <w:sz w:val="21"/>
                      <w:szCs w:val="21"/>
                      <w:lang w:val="en-US" w:eastAsia="zh-CN"/>
                    </w:rPr>
                    <w:t>与办公楼联建，总</w:t>
                  </w:r>
                  <w:r>
                    <w:rPr>
                      <w:color w:val="auto"/>
                      <w:sz w:val="21"/>
                      <w:szCs w:val="21"/>
                    </w:rPr>
                    <w:t>建筑面积为</w:t>
                  </w:r>
                  <w:r>
                    <w:rPr>
                      <w:rFonts w:hint="eastAsia"/>
                      <w:color w:val="auto"/>
                      <w:sz w:val="21"/>
                      <w:szCs w:val="21"/>
                      <w:lang w:val="en-US" w:eastAsia="zh-CN"/>
                    </w:rPr>
                    <w:t>4689.69</w:t>
                  </w:r>
                  <w:r>
                    <w:rPr>
                      <w:color w:val="auto"/>
                      <w:sz w:val="21"/>
                      <w:szCs w:val="21"/>
                    </w:rPr>
                    <w:t>㎡，</w:t>
                  </w:r>
                  <w:r>
                    <w:rPr>
                      <w:rFonts w:hint="eastAsia"/>
                      <w:color w:val="auto"/>
                      <w:sz w:val="21"/>
                      <w:szCs w:val="21"/>
                      <w:lang w:val="en-US" w:eastAsia="zh-CN"/>
                    </w:rPr>
                    <w:t>其中1#车间建筑面积为2777.32㎡（共1层）</w:t>
                  </w:r>
                  <w:r>
                    <w:rPr>
                      <w:rFonts w:hint="eastAsia"/>
                      <w:color w:val="auto"/>
                      <w:sz w:val="21"/>
                      <w:szCs w:val="21"/>
                      <w:lang w:eastAsia="zh-CN"/>
                    </w:rPr>
                    <w:t>，设置</w:t>
                  </w:r>
                  <w:r>
                    <w:rPr>
                      <w:rFonts w:hint="eastAsia"/>
                      <w:color w:val="auto"/>
                      <w:sz w:val="21"/>
                      <w:szCs w:val="21"/>
                      <w:lang w:val="en-US" w:eastAsia="zh-CN"/>
                    </w:rPr>
                    <w:t>1#无纺布生产线、1#无纺布后处理生产线、1#无纺布分切生产线</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eastAsia="zh-CN"/>
                    </w:rPr>
                  </w:pPr>
                  <w:r>
                    <w:rPr>
                      <w:rFonts w:hint="eastAsia"/>
                      <w:color w:val="auto"/>
                      <w:sz w:val="21"/>
                      <w:szCs w:val="21"/>
                    </w:rPr>
                    <w:t>与办公楼联建，总建筑面积为4689.69㎡，其中1#车间建筑面积为2777.32㎡（共1层），设置1#</w:t>
                  </w:r>
                  <w:r>
                    <w:rPr>
                      <w:rFonts w:hint="eastAsia"/>
                      <w:color w:val="auto"/>
                      <w:sz w:val="21"/>
                      <w:szCs w:val="21"/>
                      <w:lang w:val="en-US" w:eastAsia="zh-CN"/>
                    </w:rPr>
                    <w:t>和4#</w:t>
                  </w:r>
                  <w:r>
                    <w:rPr>
                      <w:rFonts w:hint="eastAsia"/>
                      <w:color w:val="auto"/>
                      <w:sz w:val="21"/>
                      <w:szCs w:val="21"/>
                    </w:rPr>
                    <w:t>无纺布生产线、1#无纺布后处理</w:t>
                  </w:r>
                  <w:r>
                    <w:rPr>
                      <w:rFonts w:hint="eastAsia"/>
                      <w:color w:val="auto"/>
                      <w:sz w:val="21"/>
                      <w:szCs w:val="21"/>
                      <w:lang w:val="en-US" w:eastAsia="zh-CN"/>
                    </w:rPr>
                    <w:t>生产</w:t>
                  </w:r>
                  <w:r>
                    <w:rPr>
                      <w:rFonts w:hint="eastAsia"/>
                      <w:color w:val="auto"/>
                      <w:sz w:val="21"/>
                      <w:szCs w:val="21"/>
                    </w:rPr>
                    <w:t>线、1#无纺布分切生产线</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eastAsia="zh-CN"/>
                    </w:rPr>
                    <w:t>生产工艺</w:t>
                  </w:r>
                  <w:r>
                    <w:rPr>
                      <w:rFonts w:hint="eastAsia"/>
                      <w:color w:val="auto"/>
                      <w:sz w:val="21"/>
                      <w:szCs w:val="21"/>
                      <w:lang w:val="en-US" w:eastAsia="zh-CN"/>
                    </w:rPr>
                    <w:t>进行细化并扩建生产线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98"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活性炭车间</w:t>
                  </w:r>
                </w:p>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（即2#车间）</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sz w:val="21"/>
                      <w:szCs w:val="21"/>
                      <w:lang w:val="en-US" w:eastAsia="zh-CN"/>
                    </w:rPr>
                  </w:pPr>
                  <w:r>
                    <w:rPr>
                      <w:rFonts w:hint="eastAsia"/>
                      <w:color w:val="auto"/>
                      <w:sz w:val="21"/>
                      <w:szCs w:val="21"/>
                    </w:rPr>
                    <w:t>总建筑面积为8248.93</w:t>
                  </w:r>
                  <w:r>
                    <w:rPr>
                      <w:rFonts w:hint="eastAsia"/>
                      <w:color w:val="auto"/>
                      <w:sz w:val="21"/>
                      <w:szCs w:val="21"/>
                      <w:lang w:val="en-US" w:eastAsia="zh-CN"/>
                    </w:rPr>
                    <w:t>㎡（共3层），其中一层设置2#无纺布生产线、2#无纺布后处理生产线，二层为仓库，三层设置1#和2#活性炭无纺布生产线、2#无纺布分切生产线</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rPr>
                    <w:t>总建筑面积为8248.93㎡（共3层），其中一层设置2#</w:t>
                  </w:r>
                  <w:r>
                    <w:rPr>
                      <w:rFonts w:hint="eastAsia"/>
                      <w:color w:val="auto"/>
                      <w:sz w:val="21"/>
                      <w:szCs w:val="21"/>
                      <w:lang w:val="en-US" w:eastAsia="zh-CN"/>
                    </w:rPr>
                    <w:t>和3#</w:t>
                  </w:r>
                  <w:r>
                    <w:rPr>
                      <w:rFonts w:hint="eastAsia"/>
                      <w:color w:val="auto"/>
                      <w:sz w:val="21"/>
                      <w:szCs w:val="21"/>
                    </w:rPr>
                    <w:t>无纺布生产线、2#无纺布后处理生产线，二层为仓库，三层设置1#和2#活性炭无纺布生产线、2#无纺布分切生产线</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eastAsia="zh-CN"/>
                    </w:rPr>
                    <w:t>生产工艺进行细化并扩建生产线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超声波复合无纺布车间</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sz w:val="21"/>
                      <w:szCs w:val="21"/>
                      <w:lang w:val="en-US" w:eastAsia="zh-CN"/>
                    </w:rPr>
                  </w:pPr>
                  <w:r>
                    <w:rPr>
                      <w:rFonts w:hint="eastAsia"/>
                      <w:color w:val="auto"/>
                      <w:sz w:val="21"/>
                      <w:szCs w:val="21"/>
                      <w:lang w:val="en-US" w:eastAsia="zh-CN"/>
                    </w:rPr>
                    <w:t>位于办公楼1层，设置1#和2#超声波复合无纺布生产线</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新建生产线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57" w:hRule="atLeast"/>
                <w:jc w:val="center"/>
              </w:trPr>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辅助工程</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eastAsia="zh-CN"/>
                    </w:rPr>
                  </w:pPr>
                  <w:r>
                    <w:rPr>
                      <w:color w:val="auto"/>
                      <w:sz w:val="21"/>
                      <w:szCs w:val="21"/>
                    </w:rPr>
                    <w:t>办公</w:t>
                  </w:r>
                  <w:r>
                    <w:rPr>
                      <w:rFonts w:hint="eastAsia"/>
                      <w:color w:val="auto"/>
                      <w:sz w:val="21"/>
                      <w:szCs w:val="21"/>
                      <w:lang w:eastAsia="zh-CN"/>
                    </w:rPr>
                    <w:t>楼</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eastAsia="zh-CN"/>
                    </w:rPr>
                  </w:pPr>
                  <w:r>
                    <w:rPr>
                      <w:rFonts w:hint="eastAsia"/>
                      <w:color w:val="auto"/>
                      <w:sz w:val="21"/>
                      <w:szCs w:val="21"/>
                    </w:rPr>
                    <w:t>与</w:t>
                  </w:r>
                  <w:r>
                    <w:rPr>
                      <w:rFonts w:hint="eastAsia"/>
                      <w:color w:val="auto"/>
                      <w:sz w:val="21"/>
                      <w:szCs w:val="21"/>
                      <w:lang w:val="en-US" w:eastAsia="zh-CN"/>
                    </w:rPr>
                    <w:t>1#车间</w:t>
                  </w:r>
                  <w:r>
                    <w:rPr>
                      <w:rFonts w:hint="eastAsia"/>
                      <w:color w:val="auto"/>
                      <w:sz w:val="21"/>
                      <w:szCs w:val="21"/>
                    </w:rPr>
                    <w:t>联建，总建筑面积为4689.69㎡，其中</w:t>
                  </w:r>
                  <w:r>
                    <w:rPr>
                      <w:rFonts w:hint="eastAsia"/>
                      <w:color w:val="auto"/>
                      <w:sz w:val="21"/>
                      <w:szCs w:val="21"/>
                      <w:lang w:val="en-US" w:eastAsia="zh-CN"/>
                    </w:rPr>
                    <w:t>办公楼</w:t>
                  </w:r>
                  <w:r>
                    <w:rPr>
                      <w:rFonts w:hint="eastAsia"/>
                      <w:color w:val="auto"/>
                      <w:sz w:val="21"/>
                      <w:szCs w:val="21"/>
                    </w:rPr>
                    <w:t>建筑面积为</w:t>
                  </w:r>
                  <w:r>
                    <w:rPr>
                      <w:rFonts w:hint="eastAsia"/>
                      <w:color w:val="auto"/>
                      <w:sz w:val="21"/>
                      <w:szCs w:val="21"/>
                      <w:lang w:val="en-US" w:eastAsia="zh-CN"/>
                    </w:rPr>
                    <w:t>1912.37</w:t>
                  </w:r>
                  <w:r>
                    <w:rPr>
                      <w:rFonts w:hint="eastAsia"/>
                      <w:color w:val="auto"/>
                      <w:sz w:val="21"/>
                      <w:szCs w:val="21"/>
                    </w:rPr>
                    <w:t>㎡（共</w:t>
                  </w:r>
                  <w:r>
                    <w:rPr>
                      <w:rFonts w:hint="eastAsia"/>
                      <w:color w:val="auto"/>
                      <w:sz w:val="21"/>
                      <w:szCs w:val="21"/>
                      <w:lang w:val="en-US" w:eastAsia="zh-CN"/>
                    </w:rPr>
                    <w:t>3</w:t>
                  </w:r>
                  <w:r>
                    <w:rPr>
                      <w:rFonts w:hint="eastAsia"/>
                      <w:color w:val="auto"/>
                      <w:sz w:val="21"/>
                      <w:szCs w:val="21"/>
                    </w:rPr>
                    <w:t>层），</w:t>
                  </w:r>
                  <w:r>
                    <w:rPr>
                      <w:rFonts w:hint="eastAsia"/>
                      <w:color w:val="auto"/>
                      <w:sz w:val="21"/>
                      <w:szCs w:val="21"/>
                      <w:lang w:val="en-US" w:eastAsia="zh-CN"/>
                    </w:rPr>
                    <w:t>其中一层为食堂</w:t>
                  </w:r>
                  <w:r>
                    <w:rPr>
                      <w:color w:val="auto"/>
                      <w:sz w:val="21"/>
                      <w:szCs w:val="21"/>
                    </w:rPr>
                    <w:t>，</w:t>
                  </w:r>
                  <w:r>
                    <w:rPr>
                      <w:rFonts w:hint="eastAsia"/>
                      <w:color w:val="auto"/>
                      <w:sz w:val="21"/>
                      <w:szCs w:val="21"/>
                      <w:lang w:val="en-US" w:eastAsia="zh-CN"/>
                    </w:rPr>
                    <w:t>二层和三层</w:t>
                  </w:r>
                  <w:r>
                    <w:rPr>
                      <w:color w:val="auto"/>
                      <w:sz w:val="21"/>
                      <w:szCs w:val="21"/>
                    </w:rPr>
                    <w:t>用于员工办公</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val="en-US" w:eastAsia="zh-CN"/>
                    </w:rPr>
                  </w:pPr>
                  <w:r>
                    <w:rPr>
                      <w:rFonts w:hint="eastAsia"/>
                      <w:color w:val="auto"/>
                      <w:sz w:val="21"/>
                      <w:szCs w:val="21"/>
                    </w:rPr>
                    <w:t>与1#车间联建，总建筑面积为4689.69㎡，其中办公楼建筑面积为1912.37㎡（共3层），其中一层设置1间超声波复合无纺布车间和食堂，二层和三层用于员工办公</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新建生产线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96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储运工程</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eastAsia="zh-CN"/>
                    </w:rPr>
                    <w:t>仓库</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sz w:val="21"/>
                      <w:szCs w:val="21"/>
                      <w:lang w:val="en-US" w:eastAsia="zh-CN"/>
                    </w:rPr>
                  </w:pPr>
                  <w:r>
                    <w:rPr>
                      <w:rFonts w:hint="eastAsia"/>
                      <w:color w:val="auto"/>
                      <w:sz w:val="21"/>
                      <w:szCs w:val="21"/>
                      <w:lang w:eastAsia="zh-CN"/>
                    </w:rPr>
                    <w:t>位于2#车间</w:t>
                  </w:r>
                  <w:r>
                    <w:rPr>
                      <w:rFonts w:hint="eastAsia"/>
                      <w:color w:val="auto"/>
                      <w:sz w:val="21"/>
                      <w:szCs w:val="21"/>
                      <w:lang w:val="en-US" w:eastAsia="zh-CN"/>
                    </w:rPr>
                    <w:t>二层</w:t>
                  </w:r>
                  <w:r>
                    <w:rPr>
                      <w:rFonts w:hint="eastAsia"/>
                      <w:color w:val="auto"/>
                      <w:sz w:val="21"/>
                      <w:szCs w:val="21"/>
                      <w:lang w:eastAsia="zh-CN"/>
                    </w:rPr>
                    <w:t>，用于储存原辅材料、成品</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lang w:eastAsia="zh-CN"/>
                    </w:rPr>
                    <w:t>位于2#车间二层，用于储存原辅材料、成品</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szCs w:val="21"/>
                      <w:lang w:val="en-US" w:eastAsia="zh-CN" w:bidi="ar-SA"/>
                    </w:rPr>
                  </w:pPr>
                  <w:r>
                    <w:rPr>
                      <w:rFonts w:hint="eastAsia"/>
                      <w:color w:val="auto"/>
                      <w:sz w:val="21"/>
                      <w:szCs w:val="21"/>
                      <w:lang w:eastAsia="zh-CN"/>
                    </w:rPr>
                    <w:t>一般固废暂存区</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lang w:val="en-US" w:eastAsia="zh-CN" w:bidi="ar-SA"/>
                    </w:rPr>
                  </w:pPr>
                  <w:r>
                    <w:rPr>
                      <w:color w:val="auto"/>
                      <w:sz w:val="21"/>
                      <w:szCs w:val="21"/>
                    </w:rPr>
                    <w:t>位于</w:t>
                  </w:r>
                  <w:r>
                    <w:rPr>
                      <w:rFonts w:hint="eastAsia"/>
                      <w:color w:val="auto"/>
                      <w:sz w:val="21"/>
                      <w:szCs w:val="21"/>
                      <w:lang w:eastAsia="zh-CN"/>
                    </w:rPr>
                    <w:t>车间内</w:t>
                  </w:r>
                  <w:r>
                    <w:rPr>
                      <w:color w:val="auto"/>
                      <w:sz w:val="21"/>
                      <w:szCs w:val="21"/>
                    </w:rPr>
                    <w:t>，占地面积</w:t>
                  </w:r>
                  <w:r>
                    <w:rPr>
                      <w:rFonts w:hint="eastAsia"/>
                      <w:color w:val="auto"/>
                      <w:sz w:val="21"/>
                      <w:szCs w:val="21"/>
                    </w:rPr>
                    <w:t>约</w:t>
                  </w:r>
                  <w:r>
                    <w:rPr>
                      <w:color w:val="auto"/>
                      <w:sz w:val="21"/>
                      <w:szCs w:val="21"/>
                    </w:rPr>
                    <w:t>为</w:t>
                  </w:r>
                  <w:r>
                    <w:rPr>
                      <w:rFonts w:hint="eastAsia"/>
                      <w:color w:val="auto"/>
                      <w:sz w:val="21"/>
                      <w:szCs w:val="21"/>
                      <w:lang w:val="en-US" w:eastAsia="zh-CN"/>
                    </w:rPr>
                    <w:t>2</w:t>
                  </w:r>
                  <w:r>
                    <w:rPr>
                      <w:color w:val="auto"/>
                      <w:sz w:val="21"/>
                      <w:szCs w:val="21"/>
                    </w:rPr>
                    <w:t>0㎡，用于存放一般固废</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rPr>
                    <w:t>位于车间内，占地面积约为20㎡，用于存放一般固废</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危废暂存间</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val="en-US" w:eastAsia="zh-CN"/>
                    </w:rPr>
                  </w:pPr>
                  <w:r>
                    <w:rPr>
                      <w:rFonts w:hint="eastAsia"/>
                      <w:color w:val="auto"/>
                      <w:sz w:val="21"/>
                      <w:szCs w:val="21"/>
                    </w:rPr>
                    <w:t>位于车间内，占地面积约为</w:t>
                  </w:r>
                  <w:r>
                    <w:rPr>
                      <w:rFonts w:hint="eastAsia"/>
                      <w:color w:val="auto"/>
                      <w:sz w:val="21"/>
                      <w:szCs w:val="21"/>
                      <w:lang w:val="en-US" w:eastAsia="zh-CN"/>
                    </w:rPr>
                    <w:t>1</w:t>
                  </w:r>
                  <w:r>
                    <w:rPr>
                      <w:rFonts w:hint="eastAsia"/>
                      <w:color w:val="auto"/>
                      <w:sz w:val="21"/>
                      <w:szCs w:val="21"/>
                    </w:rPr>
                    <w:t>0㎡，用于存放</w:t>
                  </w:r>
                  <w:r>
                    <w:rPr>
                      <w:rFonts w:hint="eastAsia"/>
                      <w:color w:val="auto"/>
                      <w:sz w:val="21"/>
                      <w:szCs w:val="21"/>
                      <w:lang w:val="en-US" w:eastAsia="zh-CN"/>
                    </w:rPr>
                    <w:t>危险废物</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rPr>
                  </w:pPr>
                  <w:r>
                    <w:rPr>
                      <w:rFonts w:hint="eastAsia"/>
                      <w:color w:val="auto"/>
                      <w:sz w:val="21"/>
                      <w:szCs w:val="21"/>
                    </w:rPr>
                    <w:t>位于车间内，占地面积约为10㎡，用于存放危险废物</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6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公用工程</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给水系统</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color w:val="auto"/>
                      <w:sz w:val="21"/>
                      <w:szCs w:val="21"/>
                    </w:rPr>
                    <w:t>来自当地</w:t>
                  </w:r>
                  <w:r>
                    <w:rPr>
                      <w:rFonts w:hint="eastAsia"/>
                      <w:color w:val="auto"/>
                      <w:sz w:val="21"/>
                      <w:szCs w:val="21"/>
                    </w:rPr>
                    <w:t>市政</w:t>
                  </w:r>
                  <w:r>
                    <w:rPr>
                      <w:color w:val="auto"/>
                      <w:sz w:val="21"/>
                      <w:szCs w:val="21"/>
                    </w:rPr>
                    <w:t>供水管网</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lang w:val="en-US" w:eastAsia="zh-CN" w:bidi="ar-SA"/>
                    </w:rPr>
                  </w:pPr>
                  <w:r>
                    <w:rPr>
                      <w:color w:val="auto"/>
                      <w:sz w:val="21"/>
                      <w:szCs w:val="21"/>
                    </w:rPr>
                    <w:t>来自当地</w:t>
                  </w:r>
                  <w:r>
                    <w:rPr>
                      <w:rFonts w:hint="eastAsia"/>
                      <w:color w:val="auto"/>
                      <w:sz w:val="21"/>
                      <w:szCs w:val="21"/>
                    </w:rPr>
                    <w:t>市政</w:t>
                  </w:r>
                  <w:r>
                    <w:rPr>
                      <w:color w:val="auto"/>
                      <w:sz w:val="21"/>
                      <w:szCs w:val="21"/>
                    </w:rPr>
                    <w:t>供水管网</w:t>
                  </w:r>
                </w:p>
              </w:tc>
              <w:tc>
                <w:tcPr>
                  <w:tcW w:w="79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eastAsia="zh-CN"/>
                    </w:rPr>
                    <w:t>依托现有设施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排水系统</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rPr>
                  </w:pPr>
                  <w:r>
                    <w:rPr>
                      <w:color w:val="auto"/>
                      <w:sz w:val="21"/>
                      <w:szCs w:val="21"/>
                    </w:rPr>
                    <w:t>项目排水实行雨污分流</w:t>
                  </w:r>
                  <w:r>
                    <w:rPr>
                      <w:rFonts w:hint="eastAsia"/>
                      <w:color w:val="auto"/>
                      <w:sz w:val="21"/>
                      <w:szCs w:val="21"/>
                    </w:rPr>
                    <w:t>制</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olor w:val="auto"/>
                      <w:sz w:val="21"/>
                      <w:szCs w:val="21"/>
                      <w:lang w:val="en-US" w:eastAsia="zh-CN" w:bidi="ar-SA"/>
                    </w:rPr>
                  </w:pPr>
                  <w:r>
                    <w:rPr>
                      <w:color w:val="auto"/>
                      <w:sz w:val="21"/>
                      <w:szCs w:val="21"/>
                    </w:rPr>
                    <w:t>项目排水实行雨污分流</w:t>
                  </w:r>
                  <w:r>
                    <w:rPr>
                      <w:rFonts w:hint="eastAsia"/>
                      <w:color w:val="auto"/>
                      <w:sz w:val="21"/>
                      <w:szCs w:val="21"/>
                    </w:rPr>
                    <w:t>制</w:t>
                  </w:r>
                </w:p>
              </w:tc>
              <w:tc>
                <w:tcPr>
                  <w:tcW w:w="79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供电系统</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color w:val="auto"/>
                      <w:sz w:val="21"/>
                      <w:szCs w:val="21"/>
                    </w:rPr>
                    <w:t>来自当地市政电网</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ascii="Times New Roman" w:hAnsi="Times New Roman" w:eastAsia="宋体"/>
                      <w:color w:val="auto"/>
                      <w:sz w:val="21"/>
                      <w:szCs w:val="21"/>
                      <w:lang w:val="en-US" w:eastAsia="zh-CN" w:bidi="ar-SA"/>
                    </w:rPr>
                  </w:pPr>
                  <w:r>
                    <w:rPr>
                      <w:color w:val="auto"/>
                      <w:sz w:val="21"/>
                      <w:szCs w:val="21"/>
                    </w:rPr>
                    <w:t>来自当地市政电网</w:t>
                  </w:r>
                </w:p>
              </w:tc>
              <w:tc>
                <w:tcPr>
                  <w:tcW w:w="79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96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环保工程</w:t>
                  </w:r>
                </w:p>
              </w:tc>
              <w:tc>
                <w:tcPr>
                  <w:tcW w:w="1417"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废气处理</w:t>
                  </w:r>
                </w:p>
              </w:tc>
              <w:tc>
                <w:tcPr>
                  <w:tcW w:w="2665"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sz w:val="21"/>
                      <w:szCs w:val="21"/>
                      <w:lang w:val="en-US" w:eastAsia="zh-CN"/>
                    </w:rPr>
                  </w:pPr>
                  <w:r>
                    <w:rPr>
                      <w:rFonts w:hint="eastAsia"/>
                      <w:color w:val="auto"/>
                      <w:sz w:val="21"/>
                      <w:szCs w:val="21"/>
                      <w:lang w:val="en-US" w:eastAsia="zh-CN"/>
                    </w:rPr>
                    <w:t>油烟设置油烟净化装置；工艺有机废气采用集气罩收集后通过15米高排气筒高空排放</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color w:val="auto"/>
                      <w:sz w:val="21"/>
                      <w:szCs w:val="21"/>
                      <w:lang w:val="en-US" w:eastAsia="zh-CN"/>
                    </w:rPr>
                  </w:pPr>
                  <w:r>
                    <w:rPr>
                      <w:rFonts w:hint="eastAsia"/>
                      <w:color w:val="auto"/>
                      <w:sz w:val="21"/>
                      <w:szCs w:val="21"/>
                      <w:lang w:val="en-US" w:eastAsia="zh-CN"/>
                    </w:rPr>
                    <w:t>食堂油烟通过油烟净化器处理后于楼顶高空排放</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31"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665"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lang w:val="en-US" w:eastAsia="zh-CN"/>
                    </w:rPr>
                  </w:pP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lang w:val="en-US" w:eastAsia="zh-CN"/>
                    </w:rPr>
                  </w:pPr>
                  <w:r>
                    <w:rPr>
                      <w:rFonts w:hint="eastAsia"/>
                      <w:color w:val="auto"/>
                      <w:sz w:val="21"/>
                      <w:szCs w:val="21"/>
                      <w:lang w:val="en-US" w:eastAsia="zh-CN"/>
                    </w:rPr>
                    <w:t>1#无纺布后处理生产线产生的废气（含天然气燃烧废气）通过集气设施收集经二级活性炭处理后由一根15m高排气筒（DA001）排放</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31"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665"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lang w:val="en-US" w:eastAsia="zh-CN"/>
                    </w:rPr>
                  </w:pP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lang w:val="en-US" w:eastAsia="zh-CN"/>
                    </w:rPr>
                  </w:pPr>
                  <w:r>
                    <w:rPr>
                      <w:rFonts w:hint="eastAsia"/>
                      <w:color w:val="auto"/>
                      <w:sz w:val="21"/>
                      <w:szCs w:val="21"/>
                      <w:lang w:val="en-US" w:eastAsia="zh-CN"/>
                    </w:rPr>
                    <w:t>1#活性炭无纺布生产线产生的废气通过集气设施收集经布袋除尘器+二级活性炭处理后由一根15m高排气筒（DA002）排放</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41" w:hRule="atLeast"/>
                <w:jc w:val="center"/>
              </w:trPr>
              <w:tc>
                <w:tcPr>
                  <w:tcW w:w="96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1417"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665"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eastAsia="zh-CN"/>
                    </w:rPr>
                  </w:pP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olor w:val="auto"/>
                      <w:sz w:val="21"/>
                      <w:szCs w:val="21"/>
                      <w:lang w:val="en-US" w:eastAsia="zh-CN" w:bidi="ar-SA"/>
                    </w:rPr>
                  </w:pPr>
                  <w:r>
                    <w:rPr>
                      <w:rFonts w:hint="eastAsia"/>
                      <w:color w:val="auto"/>
                      <w:sz w:val="21"/>
                      <w:szCs w:val="21"/>
                      <w:lang w:val="en-US" w:eastAsia="zh-CN"/>
                    </w:rPr>
                    <w:t>2#活性炭无纺布生产线产生的废气与2#无纺布后处理生产线产生的废气（含天然气燃烧废气）通过集气设施收集经布袋除尘器+二级活性炭处理后由一根15m高排气筒（DA003）排放</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964" w:type="dxa"/>
                  <w:vMerge w:val="continue"/>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color w:val="auto"/>
                      <w:sz w:val="21"/>
                      <w:szCs w:val="21"/>
                      <w:highlight w:val="none"/>
                    </w:rPr>
                  </w:pPr>
                </w:p>
              </w:tc>
              <w:tc>
                <w:tcPr>
                  <w:tcW w:w="1417"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废水处理</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color w:val="auto"/>
                      <w:sz w:val="21"/>
                      <w:szCs w:val="21"/>
                    </w:rPr>
                    <w:t>生活污水经</w:t>
                  </w:r>
                  <w:r>
                    <w:rPr>
                      <w:rFonts w:hint="eastAsia"/>
                      <w:color w:val="auto"/>
                      <w:sz w:val="21"/>
                      <w:szCs w:val="21"/>
                      <w:lang w:eastAsia="zh-CN"/>
                    </w:rPr>
                    <w:t>隔油池、化粪池</w:t>
                  </w:r>
                  <w:r>
                    <w:rPr>
                      <w:color w:val="auto"/>
                      <w:sz w:val="21"/>
                      <w:szCs w:val="21"/>
                    </w:rPr>
                    <w:t>预处理后排入</w:t>
                  </w:r>
                  <w:r>
                    <w:rPr>
                      <w:rFonts w:hint="eastAsia"/>
                      <w:color w:val="auto"/>
                      <w:sz w:val="21"/>
                      <w:szCs w:val="21"/>
                      <w:lang w:eastAsia="zh-CN"/>
                    </w:rPr>
                    <w:t>怀远经济开发区污水处理厂</w:t>
                  </w:r>
                  <w:r>
                    <w:rPr>
                      <w:rFonts w:hint="eastAsia"/>
                      <w:color w:val="auto"/>
                      <w:sz w:val="21"/>
                      <w:szCs w:val="21"/>
                    </w:rPr>
                    <w:t>进一步处理</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rPr>
                    <w:t>生活污水经隔油池、化粪池预处理后排入怀远经济开发区污水处理厂进一步处理</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964" w:type="dxa"/>
                  <w:vMerge w:val="continue"/>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color w:val="auto"/>
                      <w:sz w:val="21"/>
                      <w:szCs w:val="21"/>
                      <w:highlight w:val="none"/>
                    </w:rPr>
                  </w:pPr>
                </w:p>
              </w:tc>
              <w:tc>
                <w:tcPr>
                  <w:tcW w:w="1417"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sz w:val="21"/>
                      <w:szCs w:val="21"/>
                      <w:lang w:val="en-US" w:eastAsia="zh-CN"/>
                    </w:rPr>
                  </w:pPr>
                  <w:r>
                    <w:rPr>
                      <w:rFonts w:hint="eastAsia"/>
                      <w:color w:val="auto"/>
                      <w:sz w:val="21"/>
                      <w:szCs w:val="21"/>
                      <w:lang w:val="en-US" w:eastAsia="zh-CN"/>
                    </w:rPr>
                    <w:t>冷却排水为清净下水，排入市政雨水管网</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sz w:val="21"/>
                      <w:szCs w:val="21"/>
                    </w:rPr>
                  </w:pPr>
                  <w:r>
                    <w:rPr>
                      <w:rFonts w:hint="eastAsia"/>
                      <w:color w:val="auto"/>
                      <w:sz w:val="21"/>
                      <w:szCs w:val="21"/>
                      <w:lang w:val="en-US" w:eastAsia="zh-CN"/>
                    </w:rPr>
                    <w:t>冷却排水为清净下水，排入</w:t>
                  </w:r>
                  <w:r>
                    <w:rPr>
                      <w:rFonts w:hint="eastAsia"/>
                      <w:color w:val="auto"/>
                      <w:sz w:val="21"/>
                      <w:szCs w:val="21"/>
                    </w:rPr>
                    <w:t>怀远经济开发区污水处理厂进一步处理</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排放去向改变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964" w:type="dxa"/>
                  <w:vMerge w:val="continue"/>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color w:val="auto"/>
                      <w:sz w:val="21"/>
                      <w:szCs w:val="21"/>
                      <w:highlight w:val="none"/>
                    </w:rPr>
                  </w:pPr>
                </w:p>
              </w:tc>
              <w:tc>
                <w:tcPr>
                  <w:tcW w:w="1417"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eastAsia="zh-CN"/>
                    </w:rPr>
                  </w:pPr>
                  <w:r>
                    <w:rPr>
                      <w:rFonts w:hint="eastAsia"/>
                      <w:color w:val="auto"/>
                      <w:sz w:val="21"/>
                      <w:szCs w:val="21"/>
                    </w:rPr>
                    <w:t>设备</w:t>
                  </w:r>
                  <w:r>
                    <w:rPr>
                      <w:rFonts w:hint="eastAsia"/>
                      <w:color w:val="auto"/>
                      <w:sz w:val="21"/>
                      <w:szCs w:val="21"/>
                      <w:lang w:val="en-US" w:eastAsia="zh-CN"/>
                    </w:rPr>
                    <w:t>清洗废水收集后</w:t>
                  </w:r>
                  <w:r>
                    <w:rPr>
                      <w:rFonts w:hint="eastAsia"/>
                      <w:color w:val="auto"/>
                      <w:sz w:val="21"/>
                      <w:szCs w:val="21"/>
                      <w:lang w:eastAsia="zh-CN"/>
                    </w:rPr>
                    <w:t>作为发泡配置用水</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eastAsia="zh-CN"/>
                    </w:rPr>
                  </w:pPr>
                  <w:r>
                    <w:rPr>
                      <w:rFonts w:hint="eastAsia"/>
                      <w:color w:val="auto"/>
                      <w:sz w:val="21"/>
                      <w:szCs w:val="21"/>
                    </w:rPr>
                    <w:t>设备</w:t>
                  </w:r>
                  <w:r>
                    <w:rPr>
                      <w:rFonts w:hint="eastAsia"/>
                      <w:color w:val="auto"/>
                      <w:sz w:val="21"/>
                      <w:szCs w:val="21"/>
                      <w:lang w:val="en-US" w:eastAsia="zh-CN"/>
                    </w:rPr>
                    <w:t>清洗废水</w:t>
                  </w:r>
                  <w:r>
                    <w:rPr>
                      <w:rFonts w:hint="eastAsia"/>
                      <w:color w:val="auto"/>
                      <w:sz w:val="21"/>
                      <w:szCs w:val="21"/>
                    </w:rPr>
                    <w:t>收集后</w:t>
                  </w:r>
                  <w:r>
                    <w:rPr>
                      <w:rFonts w:hint="eastAsia"/>
                      <w:color w:val="auto"/>
                      <w:sz w:val="21"/>
                      <w:szCs w:val="21"/>
                      <w:lang w:eastAsia="zh-CN"/>
                    </w:rPr>
                    <w:t>作为发泡配置用水</w:t>
                  </w:r>
                </w:p>
              </w:tc>
              <w:tc>
                <w:tcPr>
                  <w:tcW w:w="79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964" w:type="dxa"/>
                  <w:vMerge w:val="continue"/>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color w:val="auto"/>
                      <w:sz w:val="21"/>
                      <w:szCs w:val="21"/>
                      <w:highlight w:val="none"/>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噪声防治</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auto"/>
                      <w:sz w:val="21"/>
                      <w:szCs w:val="21"/>
                      <w:lang w:eastAsia="zh-CN"/>
                    </w:rPr>
                  </w:pPr>
                  <w:r>
                    <w:rPr>
                      <w:rFonts w:hint="eastAsia"/>
                      <w:color w:val="auto"/>
                      <w:sz w:val="21"/>
                      <w:szCs w:val="21"/>
                      <w:lang w:eastAsia="zh-CN"/>
                    </w:rPr>
                    <w:t>采取选用低噪声设备、厂房隔声、基础减振等降噪措施进行处理</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lang w:eastAsia="zh-CN"/>
                    </w:rPr>
                    <w:t>采取选用低噪声设备、厂房隔声、基础减振等降噪措施进行处理</w:t>
                  </w:r>
                </w:p>
              </w:tc>
              <w:tc>
                <w:tcPr>
                  <w:tcW w:w="794" w:type="dxa"/>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lang w:eastAsia="zh-CN"/>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14" w:hRule="atLeast"/>
                <w:jc w:val="center"/>
              </w:trPr>
              <w:tc>
                <w:tcPr>
                  <w:tcW w:w="964" w:type="dxa"/>
                  <w:vMerge w:val="continue"/>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color w:val="auto"/>
                      <w:sz w:val="21"/>
                      <w:szCs w:val="21"/>
                      <w:highlight w:val="none"/>
                    </w:rPr>
                  </w:pP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固废处理</w:t>
                  </w:r>
                </w:p>
              </w:tc>
              <w:tc>
                <w:tcPr>
                  <w:tcW w:w="2665"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color w:val="auto"/>
                      <w:sz w:val="21"/>
                      <w:szCs w:val="21"/>
                    </w:rPr>
                    <w:t>一般固体废物：</w:t>
                  </w:r>
                  <w:r>
                    <w:rPr>
                      <w:rFonts w:hint="eastAsia"/>
                      <w:color w:val="auto"/>
                      <w:sz w:val="21"/>
                      <w:szCs w:val="21"/>
                      <w:lang w:eastAsia="zh-CN"/>
                    </w:rPr>
                    <w:t>一般固废暂存区</w:t>
                  </w:r>
                  <w:r>
                    <w:rPr>
                      <w:color w:val="auto"/>
                      <w:sz w:val="21"/>
                      <w:szCs w:val="21"/>
                    </w:rPr>
                    <w:t>，占地面积</w:t>
                  </w:r>
                  <w:r>
                    <w:rPr>
                      <w:rFonts w:hint="eastAsia"/>
                      <w:color w:val="auto"/>
                      <w:sz w:val="21"/>
                      <w:szCs w:val="21"/>
                    </w:rPr>
                    <w:t>约</w:t>
                  </w:r>
                  <w:r>
                    <w:rPr>
                      <w:color w:val="auto"/>
                      <w:sz w:val="21"/>
                      <w:szCs w:val="21"/>
                    </w:rPr>
                    <w:t>为</w:t>
                  </w:r>
                  <w:r>
                    <w:rPr>
                      <w:rFonts w:hint="eastAsia"/>
                      <w:color w:val="auto"/>
                      <w:sz w:val="21"/>
                      <w:szCs w:val="21"/>
                      <w:lang w:val="en-US" w:eastAsia="zh-CN"/>
                    </w:rPr>
                    <w:t>2</w:t>
                  </w:r>
                  <w:r>
                    <w:rPr>
                      <w:color w:val="auto"/>
                      <w:sz w:val="21"/>
                      <w:szCs w:val="21"/>
                    </w:rPr>
                    <w:t>0㎡；生活垃圾：设置垃圾桶；危险废物：危废暂存间，占地面积</w:t>
                  </w:r>
                  <w:r>
                    <w:rPr>
                      <w:rFonts w:hint="eastAsia"/>
                      <w:color w:val="auto"/>
                      <w:sz w:val="21"/>
                      <w:szCs w:val="21"/>
                    </w:rPr>
                    <w:t>约</w:t>
                  </w:r>
                  <w:r>
                    <w:rPr>
                      <w:color w:val="auto"/>
                      <w:sz w:val="21"/>
                      <w:szCs w:val="21"/>
                    </w:rPr>
                    <w:t>为</w:t>
                  </w:r>
                  <w:r>
                    <w:rPr>
                      <w:rFonts w:hint="eastAsia"/>
                      <w:color w:val="auto"/>
                      <w:sz w:val="21"/>
                      <w:szCs w:val="21"/>
                      <w:lang w:val="en-US" w:eastAsia="zh-CN"/>
                    </w:rPr>
                    <w:t>1</w:t>
                  </w:r>
                  <w:r>
                    <w:rPr>
                      <w:color w:val="auto"/>
                      <w:sz w:val="21"/>
                      <w:szCs w:val="21"/>
                    </w:rPr>
                    <w:t>0㎡，设置防腐防渗措施</w:t>
                  </w:r>
                </w:p>
              </w:tc>
              <w:tc>
                <w:tcPr>
                  <w:tcW w:w="277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color w:val="auto"/>
                      <w:sz w:val="21"/>
                      <w:szCs w:val="21"/>
                    </w:rPr>
                  </w:pPr>
                  <w:r>
                    <w:rPr>
                      <w:rFonts w:hint="eastAsia"/>
                      <w:color w:val="auto"/>
                      <w:sz w:val="21"/>
                      <w:szCs w:val="21"/>
                    </w:rPr>
                    <w:t>一般固体废物：一般固废暂存区，占地面积约为20㎡；生活垃圾：设置垃圾桶；危险废物：危废暂存间，占地面积约为10㎡，设置防腐防渗措施</w:t>
                  </w:r>
                </w:p>
              </w:tc>
              <w:tc>
                <w:tcPr>
                  <w:tcW w:w="794" w:type="dxa"/>
                  <w:noWrap w:val="0"/>
                  <w:vAlign w:val="center"/>
                </w:tcPr>
                <w:p>
                  <w:pPr>
                    <w:pStyle w:val="13"/>
                    <w:keepNext w:val="0"/>
                    <w:keepLines w:val="0"/>
                    <w:pageBreakBefore w:val="0"/>
                    <w:widowControl w:val="0"/>
                    <w:shd w:val="clear" w:color="auto" w:fill="auto"/>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lang w:val="en-US" w:eastAsia="zh-CN"/>
                    </w:rPr>
                    <w:t>新建危废暂存间</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三、</w:t>
            </w:r>
            <w:r>
              <w:rPr>
                <w:rFonts w:hint="eastAsia"/>
                <w:color w:val="auto"/>
                <w:lang w:eastAsia="zh-CN"/>
              </w:rPr>
              <w:t>扩建项目</w:t>
            </w:r>
            <w:r>
              <w:rPr>
                <w:rFonts w:hint="eastAsia"/>
                <w:color w:val="auto"/>
              </w:rPr>
              <w:t>产品方案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s="宋体"/>
                <w:color w:val="auto"/>
                <w:highlight w:val="none"/>
              </w:rPr>
            </w:pPr>
            <w:r>
              <w:rPr>
                <w:rFonts w:hint="eastAsia"/>
                <w:color w:val="auto"/>
                <w:lang w:eastAsia="zh-CN"/>
              </w:rPr>
              <w:t>扩建项目</w:t>
            </w:r>
            <w:r>
              <w:rPr>
                <w:color w:val="auto"/>
              </w:rPr>
              <w:t>产品方案见下表</w:t>
            </w:r>
            <w:r>
              <w:rPr>
                <w:rFonts w:hint="eastAsia"/>
                <w:color w:val="auto"/>
              </w:rPr>
              <w:t>。</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表2-</w:t>
            </w:r>
            <w:r>
              <w:rPr>
                <w:rFonts w:hint="eastAsia"/>
                <w:color w:val="auto"/>
                <w:lang w:val="en-US" w:eastAsia="zh-CN"/>
              </w:rPr>
              <w:t>4</w:t>
            </w:r>
            <w:r>
              <w:rPr>
                <w:rFonts w:hint="eastAsia"/>
                <w:color w:val="auto"/>
              </w:rPr>
              <w:t xml:space="preserve"> </w:t>
            </w:r>
            <w:r>
              <w:rPr>
                <w:rFonts w:hint="eastAsia"/>
                <w:color w:val="auto"/>
                <w:lang w:eastAsia="zh-CN"/>
              </w:rPr>
              <w:t>扩建项目</w:t>
            </w:r>
            <w:r>
              <w:rPr>
                <w:rFonts w:hint="eastAsia"/>
                <w:color w:val="auto"/>
              </w:rPr>
              <w:t>产品方案</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984"/>
              <w:gridCol w:w="850"/>
              <w:gridCol w:w="1814"/>
              <w:gridCol w:w="2041"/>
              <w:gridCol w:w="1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序号</w:t>
                  </w:r>
                </w:p>
              </w:tc>
              <w:tc>
                <w:tcPr>
                  <w:tcW w:w="198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名称</w:t>
                  </w:r>
                </w:p>
              </w:tc>
              <w:tc>
                <w:tcPr>
                  <w:tcW w:w="850" w:type="dxa"/>
                  <w:noWrap w:val="0"/>
                  <w:vAlign w:val="center"/>
                </w:tcPr>
                <w:p>
                  <w:pPr>
                    <w:pStyle w:val="15"/>
                    <w:bidi w:val="0"/>
                    <w:rPr>
                      <w:rFonts w:hint="eastAsia"/>
                      <w:color w:val="auto"/>
                      <w:sz w:val="21"/>
                      <w:szCs w:val="21"/>
                    </w:rPr>
                  </w:pPr>
                  <w:r>
                    <w:rPr>
                      <w:rFonts w:hint="eastAsia"/>
                      <w:color w:val="auto"/>
                      <w:sz w:val="21"/>
                      <w:szCs w:val="21"/>
                    </w:rPr>
                    <w:t>规格</w:t>
                  </w:r>
                </w:p>
              </w:tc>
              <w:tc>
                <w:tcPr>
                  <w:tcW w:w="18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现有项目年产</w:t>
                  </w:r>
                  <w:r>
                    <w:rPr>
                      <w:rFonts w:hint="eastAsia" w:ascii="宋体" w:hAnsi="宋体" w:eastAsia="宋体" w:cs="宋体"/>
                      <w:b/>
                      <w:bCs/>
                      <w:color w:val="auto"/>
                      <w:sz w:val="21"/>
                      <w:szCs w:val="21"/>
                    </w:rPr>
                    <w:t>量</w:t>
                  </w:r>
                </w:p>
              </w:tc>
              <w:tc>
                <w:tcPr>
                  <w:tcW w:w="20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扩建</w:t>
                  </w:r>
                  <w:r>
                    <w:rPr>
                      <w:rFonts w:hint="eastAsia" w:ascii="宋体" w:hAnsi="宋体" w:cs="宋体"/>
                      <w:b/>
                      <w:bCs/>
                      <w:color w:val="auto"/>
                      <w:sz w:val="21"/>
                      <w:szCs w:val="21"/>
                      <w:lang w:val="en-US" w:eastAsia="zh-CN"/>
                    </w:rPr>
                    <w:t>后项目</w:t>
                  </w:r>
                  <w:r>
                    <w:rPr>
                      <w:rFonts w:hint="eastAsia" w:ascii="宋体" w:hAnsi="宋体" w:eastAsia="宋体" w:cs="宋体"/>
                      <w:b/>
                      <w:bCs/>
                      <w:color w:val="auto"/>
                      <w:sz w:val="21"/>
                      <w:szCs w:val="21"/>
                      <w:lang w:val="en-US" w:eastAsia="zh-CN"/>
                    </w:rPr>
                    <w:t>年产</w:t>
                  </w:r>
                  <w:r>
                    <w:rPr>
                      <w:rFonts w:hint="eastAsia" w:ascii="宋体" w:hAnsi="宋体" w:eastAsia="宋体" w:cs="宋体"/>
                      <w:b/>
                      <w:bCs/>
                      <w:color w:val="auto"/>
                      <w:sz w:val="21"/>
                      <w:szCs w:val="21"/>
                    </w:rPr>
                    <w:t>量</w:t>
                  </w:r>
                </w:p>
              </w:tc>
              <w:tc>
                <w:tcPr>
                  <w:tcW w:w="119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eastAsia="zh-CN"/>
                    </w:rPr>
                    <w:t>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1</w:t>
                  </w:r>
                </w:p>
              </w:tc>
              <w:tc>
                <w:tcPr>
                  <w:tcW w:w="198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浸渍无纺布</w:t>
                  </w:r>
                </w:p>
              </w:tc>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700万㎡</w:t>
                  </w:r>
                </w:p>
              </w:tc>
              <w:tc>
                <w:tcPr>
                  <w:tcW w:w="204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700万㎡</w:t>
                  </w:r>
                </w:p>
              </w:tc>
              <w:tc>
                <w:tcPr>
                  <w:tcW w:w="119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w:t>
                  </w:r>
                </w:p>
              </w:tc>
              <w:tc>
                <w:tcPr>
                  <w:tcW w:w="198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无纺布</w:t>
                  </w:r>
                </w:p>
              </w:tc>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204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800万㎡</w:t>
                  </w:r>
                </w:p>
              </w:tc>
              <w:tc>
                <w:tcPr>
                  <w:tcW w:w="119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+800万㎡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w:t>
                  </w:r>
                </w:p>
              </w:tc>
              <w:tc>
                <w:tcPr>
                  <w:tcW w:w="198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活性炭无纺布</w:t>
                  </w:r>
                </w:p>
              </w:tc>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3</w:t>
                  </w:r>
                  <w:r>
                    <w:rPr>
                      <w:rFonts w:hint="eastAsia"/>
                      <w:color w:val="auto"/>
                      <w:sz w:val="21"/>
                      <w:szCs w:val="21"/>
                      <w:lang w:eastAsia="zh-CN"/>
                    </w:rPr>
                    <w:t>00万㎡</w:t>
                  </w:r>
                </w:p>
              </w:tc>
              <w:tc>
                <w:tcPr>
                  <w:tcW w:w="204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300万㎡</w:t>
                  </w:r>
                </w:p>
              </w:tc>
              <w:tc>
                <w:tcPr>
                  <w:tcW w:w="119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4</w:t>
                  </w:r>
                </w:p>
              </w:tc>
              <w:tc>
                <w:tcPr>
                  <w:tcW w:w="198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超声波复合无纺布</w:t>
                  </w:r>
                </w:p>
              </w:tc>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w:t>
                  </w:r>
                </w:p>
              </w:tc>
              <w:tc>
                <w:tcPr>
                  <w:tcW w:w="204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600万㎡</w:t>
                  </w:r>
                </w:p>
              </w:tc>
              <w:tc>
                <w:tcPr>
                  <w:tcW w:w="119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+600万㎡</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四、</w:t>
            </w:r>
            <w:r>
              <w:rPr>
                <w:rFonts w:hint="eastAsia"/>
                <w:color w:val="auto"/>
                <w:lang w:eastAsia="zh-CN"/>
              </w:rPr>
              <w:t>扩建项目</w:t>
            </w:r>
            <w:r>
              <w:rPr>
                <w:rFonts w:hint="eastAsia"/>
                <w:color w:val="auto"/>
              </w:rPr>
              <w:t>主要生产设备</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r>
              <w:rPr>
                <w:rFonts w:hint="eastAsia"/>
                <w:color w:val="auto"/>
              </w:rPr>
              <w:t>根据建设单位提供，</w:t>
            </w:r>
            <w:r>
              <w:rPr>
                <w:rFonts w:hint="eastAsia"/>
                <w:color w:val="auto"/>
                <w:lang w:eastAsia="zh-CN"/>
              </w:rPr>
              <w:t>扩建项目</w:t>
            </w:r>
            <w:r>
              <w:rPr>
                <w:rFonts w:hint="eastAsia"/>
                <w:color w:val="auto"/>
              </w:rPr>
              <w:t>主要生产设备见下表。</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表2-</w:t>
            </w:r>
            <w:r>
              <w:rPr>
                <w:rFonts w:hint="eastAsia"/>
                <w:color w:val="auto"/>
                <w:lang w:val="en-US" w:eastAsia="zh-CN"/>
              </w:rPr>
              <w:t>5</w:t>
            </w:r>
            <w:r>
              <w:rPr>
                <w:rFonts w:hint="eastAsia"/>
                <w:color w:val="auto"/>
              </w:rPr>
              <w:t xml:space="preserve"> </w:t>
            </w:r>
            <w:r>
              <w:rPr>
                <w:rFonts w:hint="eastAsia"/>
                <w:color w:val="auto"/>
                <w:lang w:eastAsia="zh-CN"/>
              </w:rPr>
              <w:t>扩建项目</w:t>
            </w:r>
            <w:r>
              <w:rPr>
                <w:rFonts w:hint="eastAsia"/>
                <w:color w:val="auto"/>
              </w:rPr>
              <w:t>主要生产设备</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928"/>
              <w:gridCol w:w="1247"/>
              <w:gridCol w:w="964"/>
              <w:gridCol w:w="850"/>
              <w:gridCol w:w="737"/>
              <w:gridCol w:w="680"/>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928"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生产设备名称</w:t>
                  </w:r>
                </w:p>
              </w:tc>
              <w:tc>
                <w:tcPr>
                  <w:tcW w:w="124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规格</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型号</w:t>
                  </w:r>
                </w:p>
              </w:tc>
              <w:tc>
                <w:tcPr>
                  <w:tcW w:w="96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2"/>
                      <w:sz w:val="21"/>
                      <w:szCs w:val="21"/>
                      <w:lang w:eastAsia="zh-CN"/>
                    </w:rPr>
                    <w:t>现有项目数量</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jc w:val="center"/>
                    <w:textAlignment w:val="auto"/>
                    <w:rPr>
                      <w:rFonts w:hint="default" w:ascii="Times New Roman" w:hAnsi="Times New Roman" w:eastAsia="宋体" w:cs="Times New Roman"/>
                      <w:color w:val="auto"/>
                      <w:sz w:val="21"/>
                      <w:szCs w:val="21"/>
                      <w:highlight w:val="none"/>
                    </w:rPr>
                  </w:pPr>
                  <w:r>
                    <w:rPr>
                      <w:rFonts w:hint="eastAsia" w:ascii="宋体" w:hAnsi="宋体" w:cs="宋体"/>
                      <w:b/>
                      <w:bCs/>
                      <w:color w:val="auto"/>
                      <w:sz w:val="21"/>
                      <w:szCs w:val="21"/>
                      <w:lang w:eastAsia="zh-CN"/>
                    </w:rPr>
                    <w:t>扩建后数量</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变化量</w:t>
                  </w:r>
                </w:p>
              </w:tc>
              <w:tc>
                <w:tcPr>
                  <w:tcW w:w="680"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53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开包机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3个投料口/台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混棉箱</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粗开松机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精开松机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振动棉箱</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梳理机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铺网机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套</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预刺机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主刺机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烘箱（电）</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切边装置</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热烫压合机（电）</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收卷机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边角料开松机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电子秤混棉机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条</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和毛中仓一体机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主开松机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给棉机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超声波滤纸复合分条一体机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前放布架</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后放布架</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撒粉机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复合压辊机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胶机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25</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上料架</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26</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发泡机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73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27</w:t>
                  </w:r>
                </w:p>
              </w:tc>
              <w:tc>
                <w:tcPr>
                  <w:tcW w:w="192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浸胶对压辊</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28</w:t>
                  </w:r>
                </w:p>
              </w:tc>
              <w:tc>
                <w:tcPr>
                  <w:tcW w:w="192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辊烫机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olor w:val="auto"/>
                      <w:sz w:val="21"/>
                      <w:szCs w:val="21"/>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29</w:t>
                  </w:r>
                </w:p>
              </w:tc>
              <w:tc>
                <w:tcPr>
                  <w:tcW w:w="192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烘箱（天然气）</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olor w:val="auto"/>
                      <w:sz w:val="21"/>
                      <w:szCs w:val="21"/>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30</w:t>
                  </w:r>
                </w:p>
              </w:tc>
              <w:tc>
                <w:tcPr>
                  <w:tcW w:w="192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天然气燃烧机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250万大卡</w:t>
                  </w: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olor w:val="auto"/>
                      <w:sz w:val="21"/>
                      <w:szCs w:val="21"/>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31</w:t>
                  </w:r>
                </w:p>
              </w:tc>
              <w:tc>
                <w:tcPr>
                  <w:tcW w:w="192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压合机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olor w:val="auto"/>
                      <w:sz w:val="21"/>
                      <w:szCs w:val="21"/>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32</w:t>
                  </w:r>
                </w:p>
              </w:tc>
              <w:tc>
                <w:tcPr>
                  <w:tcW w:w="192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分切机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olor w:val="auto"/>
                      <w:sz w:val="21"/>
                      <w:szCs w:val="21"/>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33</w:t>
                  </w:r>
                </w:p>
              </w:tc>
              <w:tc>
                <w:tcPr>
                  <w:tcW w:w="192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空压机</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964"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8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3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olor w:val="auto"/>
                      <w:sz w:val="21"/>
                      <w:szCs w:val="21"/>
                    </w:rPr>
                  </w:pPr>
                  <w:r>
                    <w:rPr>
                      <w:rFonts w:hint="eastAsia" w:ascii="宋体" w:hAnsi="宋体" w:eastAsia="宋体"/>
                      <w:color w:val="auto"/>
                      <w:sz w:val="21"/>
                      <w:szCs w:val="21"/>
                    </w:rPr>
                    <w:t>台</w:t>
                  </w:r>
                </w:p>
              </w:tc>
              <w:tc>
                <w:tcPr>
                  <w:tcW w:w="15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五、</w:t>
            </w:r>
            <w:r>
              <w:rPr>
                <w:rFonts w:hint="eastAsia"/>
                <w:color w:val="auto"/>
                <w:lang w:eastAsia="zh-CN"/>
              </w:rPr>
              <w:t>扩建项目</w:t>
            </w:r>
            <w:r>
              <w:rPr>
                <w:rFonts w:hint="eastAsia"/>
                <w:color w:val="auto"/>
              </w:rPr>
              <w:t>主要原辅材料和能源消耗</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s="宋体"/>
                <w:b/>
                <w:bCs/>
                <w:color w:val="auto"/>
                <w:highlight w:val="none"/>
              </w:rPr>
            </w:pPr>
            <w:r>
              <w:rPr>
                <w:rFonts w:hint="eastAsia"/>
                <w:color w:val="auto"/>
              </w:rPr>
              <w:t>根据建设单位提供，</w:t>
            </w:r>
            <w:r>
              <w:rPr>
                <w:rFonts w:hint="eastAsia"/>
                <w:color w:val="auto"/>
                <w:lang w:eastAsia="zh-CN"/>
              </w:rPr>
              <w:t>扩建项目</w:t>
            </w:r>
            <w:r>
              <w:rPr>
                <w:rFonts w:hint="eastAsia"/>
                <w:color w:val="auto"/>
              </w:rPr>
              <w:t>主要原辅材料和能源消耗见下表。</w:t>
            </w:r>
          </w:p>
          <w:p>
            <w:pPr>
              <w:pStyle w:val="11"/>
              <w:bidi w:val="0"/>
              <w:rPr>
                <w:rFonts w:hint="eastAsia"/>
                <w:color w:val="auto"/>
              </w:rPr>
            </w:pPr>
            <w:r>
              <w:rPr>
                <w:rFonts w:hint="eastAsia"/>
                <w:color w:val="auto"/>
              </w:rPr>
              <w:t>表2-</w:t>
            </w:r>
            <w:r>
              <w:rPr>
                <w:rFonts w:hint="eastAsia"/>
                <w:color w:val="auto"/>
                <w:lang w:val="en-US" w:eastAsia="zh-CN"/>
              </w:rPr>
              <w:t>6</w:t>
            </w:r>
            <w:r>
              <w:rPr>
                <w:rFonts w:hint="eastAsia"/>
                <w:color w:val="auto"/>
              </w:rPr>
              <w:t xml:space="preserve"> </w:t>
            </w:r>
            <w:r>
              <w:rPr>
                <w:rFonts w:hint="eastAsia"/>
                <w:color w:val="auto"/>
                <w:lang w:eastAsia="zh-CN"/>
              </w:rPr>
              <w:t>扩建项目</w:t>
            </w:r>
            <w:r>
              <w:rPr>
                <w:rFonts w:hint="eastAsia"/>
                <w:color w:val="auto"/>
              </w:rPr>
              <w:t>原辅材料、能源消耗指标</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134"/>
              <w:gridCol w:w="794"/>
              <w:gridCol w:w="794"/>
              <w:gridCol w:w="737"/>
              <w:gridCol w:w="794"/>
              <w:gridCol w:w="850"/>
              <w:gridCol w:w="1020"/>
              <w:gridCol w:w="1020"/>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80" w:type="dxa"/>
                  <w:noWrap w:val="0"/>
                  <w:vAlign w:val="center"/>
                </w:tcPr>
                <w:p>
                  <w:pPr>
                    <w:pStyle w:val="15"/>
                    <w:bidi w:val="0"/>
                    <w:rPr>
                      <w:color w:val="auto"/>
                    </w:rPr>
                  </w:pPr>
                  <w:r>
                    <w:rPr>
                      <w:color w:val="auto"/>
                    </w:rPr>
                    <w:t>类别</w:t>
                  </w:r>
                </w:p>
              </w:tc>
              <w:tc>
                <w:tcPr>
                  <w:tcW w:w="1134" w:type="dxa"/>
                  <w:noWrap w:val="0"/>
                  <w:vAlign w:val="center"/>
                </w:tcPr>
                <w:p>
                  <w:pPr>
                    <w:pStyle w:val="15"/>
                    <w:bidi w:val="0"/>
                    <w:rPr>
                      <w:rFonts w:hint="default"/>
                      <w:color w:val="auto"/>
                    </w:rPr>
                  </w:pPr>
                  <w:r>
                    <w:rPr>
                      <w:rFonts w:hint="default"/>
                      <w:color w:val="auto"/>
                    </w:rPr>
                    <w:t>材料名称</w:t>
                  </w:r>
                </w:p>
              </w:tc>
              <w:tc>
                <w:tcPr>
                  <w:tcW w:w="794" w:type="dxa"/>
                  <w:noWrap w:val="0"/>
                  <w:vAlign w:val="center"/>
                </w:tcPr>
                <w:p>
                  <w:pPr>
                    <w:pStyle w:val="15"/>
                    <w:bidi w:val="0"/>
                    <w:rPr>
                      <w:rFonts w:hint="default"/>
                      <w:color w:val="auto"/>
                    </w:rPr>
                  </w:pPr>
                  <w:r>
                    <w:rPr>
                      <w:rFonts w:hint="eastAsia"/>
                      <w:color w:val="auto"/>
                      <w:lang w:eastAsia="zh-CN"/>
                    </w:rPr>
                    <w:t>现有项目</w:t>
                  </w:r>
                </w:p>
              </w:tc>
              <w:tc>
                <w:tcPr>
                  <w:tcW w:w="794" w:type="dxa"/>
                  <w:noWrap w:val="0"/>
                  <w:vAlign w:val="center"/>
                </w:tcPr>
                <w:p>
                  <w:pPr>
                    <w:pStyle w:val="15"/>
                    <w:bidi w:val="0"/>
                    <w:rPr>
                      <w:rFonts w:hint="default"/>
                      <w:color w:val="auto"/>
                    </w:rPr>
                  </w:pPr>
                  <w:r>
                    <w:rPr>
                      <w:rFonts w:hint="eastAsia"/>
                      <w:color w:val="auto"/>
                      <w:lang w:eastAsia="zh-CN"/>
                    </w:rPr>
                    <w:t>改建后</w:t>
                  </w:r>
                </w:p>
              </w:tc>
              <w:tc>
                <w:tcPr>
                  <w:tcW w:w="737" w:type="dxa"/>
                  <w:noWrap w:val="0"/>
                  <w:vAlign w:val="center"/>
                </w:tcPr>
                <w:p>
                  <w:pPr>
                    <w:pStyle w:val="15"/>
                    <w:bidi w:val="0"/>
                    <w:rPr>
                      <w:rFonts w:hint="eastAsia"/>
                      <w:color w:val="auto"/>
                      <w:lang w:eastAsia="zh-CN"/>
                    </w:rPr>
                  </w:pPr>
                  <w:r>
                    <w:rPr>
                      <w:rFonts w:hint="eastAsia"/>
                      <w:color w:val="auto"/>
                      <w:lang w:eastAsia="zh-CN"/>
                    </w:rPr>
                    <w:t>变化量</w:t>
                  </w:r>
                </w:p>
              </w:tc>
              <w:tc>
                <w:tcPr>
                  <w:tcW w:w="794" w:type="dxa"/>
                  <w:noWrap w:val="0"/>
                  <w:vAlign w:val="center"/>
                </w:tcPr>
                <w:p>
                  <w:pPr>
                    <w:pStyle w:val="15"/>
                    <w:bidi w:val="0"/>
                    <w:rPr>
                      <w:rFonts w:hint="default"/>
                      <w:color w:val="auto"/>
                    </w:rPr>
                  </w:pPr>
                  <w:r>
                    <w:rPr>
                      <w:rFonts w:hint="default"/>
                      <w:color w:val="auto"/>
                    </w:rPr>
                    <w:t>最大</w:t>
                  </w:r>
                  <w:r>
                    <w:rPr>
                      <w:color w:val="auto"/>
                    </w:rPr>
                    <w:t>贮存</w:t>
                  </w:r>
                  <w:r>
                    <w:rPr>
                      <w:rFonts w:hint="default"/>
                      <w:color w:val="auto"/>
                    </w:rPr>
                    <w:t>量</w:t>
                  </w:r>
                </w:p>
              </w:tc>
              <w:tc>
                <w:tcPr>
                  <w:tcW w:w="850" w:type="dxa"/>
                  <w:noWrap w:val="0"/>
                  <w:vAlign w:val="center"/>
                </w:tcPr>
                <w:p>
                  <w:pPr>
                    <w:pStyle w:val="15"/>
                    <w:bidi w:val="0"/>
                    <w:rPr>
                      <w:rFonts w:hint="default"/>
                      <w:color w:val="auto"/>
                    </w:rPr>
                  </w:pPr>
                  <w:r>
                    <w:rPr>
                      <w:rFonts w:hint="default"/>
                      <w:color w:val="auto"/>
                    </w:rPr>
                    <w:t>单位</w:t>
                  </w:r>
                </w:p>
              </w:tc>
              <w:tc>
                <w:tcPr>
                  <w:tcW w:w="1020" w:type="dxa"/>
                  <w:noWrap w:val="0"/>
                  <w:vAlign w:val="center"/>
                </w:tcPr>
                <w:p>
                  <w:pPr>
                    <w:pStyle w:val="15"/>
                    <w:bidi w:val="0"/>
                    <w:rPr>
                      <w:rFonts w:hint="default"/>
                      <w:color w:val="auto"/>
                    </w:rPr>
                  </w:pPr>
                  <w:r>
                    <w:rPr>
                      <w:rFonts w:hint="default"/>
                      <w:color w:val="auto"/>
                    </w:rPr>
                    <w:t>来源方式</w:t>
                  </w:r>
                </w:p>
              </w:tc>
              <w:tc>
                <w:tcPr>
                  <w:tcW w:w="1020" w:type="dxa"/>
                  <w:noWrap w:val="0"/>
                  <w:vAlign w:val="center"/>
                </w:tcPr>
                <w:p>
                  <w:pPr>
                    <w:pStyle w:val="15"/>
                    <w:bidi w:val="0"/>
                    <w:rPr>
                      <w:rFonts w:hint="default"/>
                      <w:color w:val="auto"/>
                    </w:rPr>
                  </w:pPr>
                  <w:r>
                    <w:rPr>
                      <w:color w:val="auto"/>
                    </w:rPr>
                    <w:t>包装</w:t>
                  </w:r>
                  <w:r>
                    <w:rPr>
                      <w:rFonts w:hint="default"/>
                      <w:color w:val="auto"/>
                    </w:rPr>
                    <w:t>方式</w:t>
                  </w:r>
                </w:p>
              </w:tc>
              <w:tc>
                <w:tcPr>
                  <w:tcW w:w="794" w:type="dxa"/>
                  <w:noWrap w:val="0"/>
                  <w:vAlign w:val="center"/>
                </w:tcPr>
                <w:p>
                  <w:pPr>
                    <w:pStyle w:val="15"/>
                    <w:bidi w:val="0"/>
                    <w:rPr>
                      <w:rFonts w:hint="eastAsia"/>
                      <w:color w:val="auto"/>
                      <w:lang w:val="en-US" w:eastAsia="zh-CN"/>
                    </w:rPr>
                  </w:pPr>
                  <w:r>
                    <w:rPr>
                      <w:rFonts w:hint="eastAsia"/>
                      <w:color w:val="auto"/>
                      <w:lang w:val="en-US" w:eastAsia="zh-CN"/>
                    </w:rPr>
                    <w:t>物料</w:t>
                  </w:r>
                </w:p>
                <w:p>
                  <w:pPr>
                    <w:pStyle w:val="15"/>
                    <w:bidi w:val="0"/>
                    <w:rPr>
                      <w:color w:val="auto"/>
                    </w:rPr>
                  </w:pPr>
                  <w:r>
                    <w:rPr>
                      <w:rFonts w:hint="default"/>
                      <w:color w:val="auto"/>
                    </w:rPr>
                    <w:t>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3"/>
                    <w:bidi w:val="0"/>
                    <w:rPr>
                      <w:color w:val="auto"/>
                    </w:rPr>
                  </w:pPr>
                  <w:r>
                    <w:rPr>
                      <w:color w:val="auto"/>
                    </w:rPr>
                    <w:t>原辅材料</w:t>
                  </w:r>
                </w:p>
              </w:tc>
              <w:tc>
                <w:tcPr>
                  <w:tcW w:w="1134" w:type="dxa"/>
                  <w:noWrap w:val="0"/>
                  <w:vAlign w:val="center"/>
                </w:tcPr>
                <w:p>
                  <w:pPr>
                    <w:pStyle w:val="13"/>
                    <w:bidi w:val="0"/>
                    <w:rPr>
                      <w:rFonts w:hint="default"/>
                      <w:color w:val="auto"/>
                      <w:lang w:val="en-US" w:eastAsia="zh-CN"/>
                    </w:rPr>
                  </w:pPr>
                  <w:r>
                    <w:rPr>
                      <w:rFonts w:hint="eastAsia"/>
                      <w:color w:val="auto"/>
                    </w:rPr>
                    <w:t>合成纤维</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900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2000</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+1100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160</w:t>
                  </w:r>
                </w:p>
              </w:tc>
              <w:tc>
                <w:tcPr>
                  <w:tcW w:w="850" w:type="dxa"/>
                  <w:noWrap w:val="0"/>
                  <w:vAlign w:val="center"/>
                </w:tcPr>
                <w:p>
                  <w:pPr>
                    <w:pStyle w:val="13"/>
                    <w:bidi w:val="0"/>
                    <w:rPr>
                      <w:rFonts w:hint="default"/>
                      <w:color w:val="auto"/>
                      <w:lang w:val="en-US" w:eastAsia="zh-CN"/>
                    </w:rPr>
                  </w:pPr>
                  <w:r>
                    <w:rPr>
                      <w:rFonts w:hint="eastAsia"/>
                      <w:color w:val="auto"/>
                    </w:rPr>
                    <w:t>t/a</w:t>
                  </w:r>
                </w:p>
              </w:tc>
              <w:tc>
                <w:tcPr>
                  <w:tcW w:w="1020" w:type="dxa"/>
                  <w:noWrap w:val="0"/>
                  <w:vAlign w:val="center"/>
                </w:tcPr>
                <w:p>
                  <w:pPr>
                    <w:pStyle w:val="13"/>
                    <w:bidi w:val="0"/>
                    <w:rPr>
                      <w:rFonts w:hint="eastAsia"/>
                      <w:color w:val="auto"/>
                    </w:rPr>
                  </w:pPr>
                  <w:r>
                    <w:rPr>
                      <w:rFonts w:hint="eastAsia"/>
                      <w:color w:val="auto"/>
                    </w:rPr>
                    <w:t>外购</w:t>
                  </w:r>
                </w:p>
              </w:tc>
              <w:tc>
                <w:tcPr>
                  <w:tcW w:w="1020" w:type="dxa"/>
                  <w:noWrap w:val="0"/>
                  <w:vAlign w:val="center"/>
                </w:tcPr>
                <w:p>
                  <w:pPr>
                    <w:pStyle w:val="13"/>
                    <w:bidi w:val="0"/>
                    <w:rPr>
                      <w:rFonts w:hint="default"/>
                      <w:color w:val="auto"/>
                      <w:lang w:val="en-US"/>
                    </w:rPr>
                  </w:pPr>
                  <w:r>
                    <w:rPr>
                      <w:rFonts w:hint="eastAsia"/>
                      <w:color w:val="auto"/>
                      <w:lang w:val="en-US" w:eastAsia="zh-CN"/>
                    </w:rPr>
                    <w:t>袋装</w:t>
                  </w:r>
                </w:p>
              </w:tc>
              <w:tc>
                <w:tcPr>
                  <w:tcW w:w="794"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bookmarkStart w:id="2" w:name="OLE_LINK3" w:colFirst="3" w:colLast="4"/>
                </w:p>
              </w:tc>
              <w:tc>
                <w:tcPr>
                  <w:tcW w:w="1134" w:type="dxa"/>
                  <w:noWrap w:val="0"/>
                  <w:vAlign w:val="center"/>
                </w:tcPr>
                <w:p>
                  <w:pPr>
                    <w:pStyle w:val="13"/>
                    <w:bidi w:val="0"/>
                    <w:rPr>
                      <w:rFonts w:hint="default"/>
                      <w:color w:val="auto"/>
                      <w:lang w:val="en-US" w:eastAsia="zh-CN"/>
                    </w:rPr>
                  </w:pPr>
                  <w:r>
                    <w:rPr>
                      <w:rFonts w:hint="eastAsia"/>
                      <w:color w:val="auto"/>
                      <w:lang w:val="en-US" w:eastAsia="zh-CN"/>
                    </w:rPr>
                    <w:t>PP熔喷布</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60</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+60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5</w:t>
                  </w:r>
                </w:p>
              </w:tc>
              <w:tc>
                <w:tcPr>
                  <w:tcW w:w="850" w:type="dxa"/>
                  <w:noWrap w:val="0"/>
                  <w:vAlign w:val="center"/>
                </w:tcPr>
                <w:p>
                  <w:pPr>
                    <w:pStyle w:val="13"/>
                    <w:bidi w:val="0"/>
                    <w:rPr>
                      <w:rFonts w:hint="eastAsia"/>
                      <w:color w:val="auto"/>
                    </w:rPr>
                  </w:pPr>
                  <w:r>
                    <w:rPr>
                      <w:rFonts w:hint="eastAsia"/>
                      <w:color w:val="auto"/>
                    </w:rPr>
                    <w:t>t/a</w:t>
                  </w:r>
                </w:p>
              </w:tc>
              <w:tc>
                <w:tcPr>
                  <w:tcW w:w="1020" w:type="dxa"/>
                  <w:noWrap w:val="0"/>
                  <w:vAlign w:val="center"/>
                </w:tcPr>
                <w:p>
                  <w:pPr>
                    <w:pStyle w:val="13"/>
                    <w:bidi w:val="0"/>
                    <w:rPr>
                      <w:rFonts w:hint="eastAsia"/>
                      <w:color w:val="auto"/>
                    </w:rPr>
                  </w:pPr>
                  <w:r>
                    <w:rPr>
                      <w:rFonts w:hint="eastAsia"/>
                      <w:color w:val="auto"/>
                    </w:rPr>
                    <w:t>外购</w:t>
                  </w:r>
                </w:p>
              </w:tc>
              <w:tc>
                <w:tcPr>
                  <w:tcW w:w="1020" w:type="dxa"/>
                  <w:noWrap w:val="0"/>
                  <w:vAlign w:val="center"/>
                </w:tcPr>
                <w:p>
                  <w:pPr>
                    <w:pStyle w:val="13"/>
                    <w:bidi w:val="0"/>
                    <w:rPr>
                      <w:rFonts w:hint="default"/>
                      <w:color w:val="auto"/>
                      <w:lang w:val="en-US" w:eastAsia="zh-CN"/>
                    </w:rPr>
                  </w:pPr>
                  <w:r>
                    <w:rPr>
                      <w:rFonts w:hint="eastAsia"/>
                      <w:color w:val="auto"/>
                      <w:lang w:val="en-US" w:eastAsia="zh-CN"/>
                    </w:rPr>
                    <w:t>纸箱装</w:t>
                  </w:r>
                </w:p>
              </w:tc>
              <w:tc>
                <w:tcPr>
                  <w:tcW w:w="794" w:type="dxa"/>
                  <w:noWrap w:val="0"/>
                  <w:vAlign w:val="center"/>
                </w:tcPr>
                <w:p>
                  <w:pPr>
                    <w:pStyle w:val="13"/>
                    <w:bidi w:val="0"/>
                    <w:rPr>
                      <w:rFonts w:hint="eastAsia" w:eastAsia="宋体"/>
                      <w:color w:val="auto"/>
                      <w:lang w:val="en-US" w:eastAsia="zh-CN"/>
                    </w:rPr>
                  </w:pPr>
                  <w:r>
                    <w:rPr>
                      <w:rFonts w:hint="eastAsia"/>
                      <w:color w:val="auto"/>
                      <w:lang w:val="en-US" w:eastAsia="zh-CN"/>
                    </w:rPr>
                    <w:t>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color w:val="auto"/>
                      <w:lang w:val="en-US" w:eastAsia="zh-CN"/>
                    </w:rPr>
                  </w:pPr>
                  <w:r>
                    <w:rPr>
                      <w:rFonts w:hint="eastAsia"/>
                      <w:color w:val="auto"/>
                      <w:lang w:val="en-US" w:eastAsia="zh-CN"/>
                    </w:rPr>
                    <w:t>热风棉</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120</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+120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10</w:t>
                  </w:r>
                </w:p>
              </w:tc>
              <w:tc>
                <w:tcPr>
                  <w:tcW w:w="850" w:type="dxa"/>
                  <w:noWrap w:val="0"/>
                  <w:vAlign w:val="center"/>
                </w:tcPr>
                <w:p>
                  <w:pPr>
                    <w:pStyle w:val="13"/>
                    <w:bidi w:val="0"/>
                    <w:rPr>
                      <w:rFonts w:hint="eastAsia"/>
                      <w:color w:val="auto"/>
                    </w:rPr>
                  </w:pPr>
                  <w:r>
                    <w:rPr>
                      <w:rFonts w:hint="eastAsia"/>
                      <w:color w:val="auto"/>
                    </w:rPr>
                    <w:t>t/a</w:t>
                  </w:r>
                </w:p>
              </w:tc>
              <w:tc>
                <w:tcPr>
                  <w:tcW w:w="1020" w:type="dxa"/>
                  <w:noWrap w:val="0"/>
                  <w:vAlign w:val="center"/>
                </w:tcPr>
                <w:p>
                  <w:pPr>
                    <w:pStyle w:val="13"/>
                    <w:bidi w:val="0"/>
                    <w:rPr>
                      <w:rFonts w:hint="eastAsia"/>
                      <w:color w:val="auto"/>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纸箱装</w:t>
                  </w:r>
                </w:p>
              </w:tc>
              <w:tc>
                <w:tcPr>
                  <w:tcW w:w="794" w:type="dxa"/>
                  <w:noWrap w:val="0"/>
                  <w:vAlign w:val="center"/>
                </w:tcPr>
                <w:p>
                  <w:pPr>
                    <w:pStyle w:val="13"/>
                    <w:bidi w:val="0"/>
                    <w:rPr>
                      <w:rFonts w:hint="eastAsia"/>
                      <w:color w:val="auto"/>
                    </w:rPr>
                  </w:pPr>
                  <w:r>
                    <w:rPr>
                      <w:rFonts w:hint="eastAsia"/>
                      <w:color w:val="auto"/>
                    </w:rPr>
                    <w:t>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default"/>
                      <w:color w:val="auto"/>
                      <w:lang w:val="en-US" w:eastAsia="zh-CN"/>
                    </w:rPr>
                  </w:pPr>
                  <w:r>
                    <w:rPr>
                      <w:rFonts w:hint="eastAsia"/>
                      <w:color w:val="auto"/>
                      <w:lang w:val="en-US" w:eastAsia="zh-CN"/>
                    </w:rPr>
                    <w:t>PP无纺布</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60</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+60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5</w:t>
                  </w:r>
                </w:p>
              </w:tc>
              <w:tc>
                <w:tcPr>
                  <w:tcW w:w="850" w:type="dxa"/>
                  <w:noWrap w:val="0"/>
                  <w:vAlign w:val="center"/>
                </w:tcPr>
                <w:p>
                  <w:pPr>
                    <w:pStyle w:val="13"/>
                    <w:bidi w:val="0"/>
                    <w:rPr>
                      <w:rFonts w:hint="eastAsia"/>
                      <w:color w:val="auto"/>
                    </w:rPr>
                  </w:pPr>
                  <w:r>
                    <w:rPr>
                      <w:rFonts w:hint="eastAsia"/>
                      <w:color w:val="auto"/>
                    </w:rPr>
                    <w:t>t/a</w:t>
                  </w:r>
                </w:p>
              </w:tc>
              <w:tc>
                <w:tcPr>
                  <w:tcW w:w="1020" w:type="dxa"/>
                  <w:noWrap w:val="0"/>
                  <w:vAlign w:val="center"/>
                </w:tcPr>
                <w:p>
                  <w:pPr>
                    <w:pStyle w:val="13"/>
                    <w:bidi w:val="0"/>
                    <w:rPr>
                      <w:rFonts w:hint="eastAsia"/>
                      <w:color w:val="auto"/>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袋装</w:t>
                  </w:r>
                </w:p>
              </w:tc>
              <w:tc>
                <w:tcPr>
                  <w:tcW w:w="794"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color w:val="auto"/>
                      <w:lang w:val="en-US" w:eastAsia="zh-CN"/>
                    </w:rPr>
                  </w:pPr>
                  <w:r>
                    <w:rPr>
                      <w:rFonts w:hint="eastAsia"/>
                      <w:color w:val="auto"/>
                    </w:rPr>
                    <w:t>活性炭</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180</w:t>
                  </w:r>
                </w:p>
              </w:tc>
              <w:tc>
                <w:tcPr>
                  <w:tcW w:w="794" w:type="dxa"/>
                  <w:noWrap w:val="0"/>
                  <w:vAlign w:val="center"/>
                </w:tcPr>
                <w:p>
                  <w:pPr>
                    <w:pStyle w:val="13"/>
                    <w:bidi w:val="0"/>
                    <w:rPr>
                      <w:rFonts w:hint="default"/>
                      <w:color w:val="auto"/>
                      <w:lang w:val="en-US" w:eastAsia="zh-CN"/>
                    </w:rPr>
                  </w:pPr>
                  <w:r>
                    <w:rPr>
                      <w:rFonts w:hint="default"/>
                      <w:color w:val="auto"/>
                    </w:rPr>
                    <w:t>180</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15</w:t>
                  </w:r>
                </w:p>
              </w:tc>
              <w:tc>
                <w:tcPr>
                  <w:tcW w:w="850" w:type="dxa"/>
                  <w:noWrap w:val="0"/>
                  <w:vAlign w:val="center"/>
                </w:tcPr>
                <w:p>
                  <w:pPr>
                    <w:pStyle w:val="13"/>
                    <w:bidi w:val="0"/>
                    <w:rPr>
                      <w:rFonts w:hint="eastAsia"/>
                      <w:color w:val="auto"/>
                      <w:lang w:val="en-US" w:eastAsia="zh-CN"/>
                    </w:rPr>
                  </w:pPr>
                  <w:r>
                    <w:rPr>
                      <w:rFonts w:hint="eastAsia"/>
                      <w:color w:val="auto"/>
                    </w:rPr>
                    <w:t>t/a</w:t>
                  </w:r>
                </w:p>
              </w:tc>
              <w:tc>
                <w:tcPr>
                  <w:tcW w:w="1020" w:type="dxa"/>
                  <w:noWrap w:val="0"/>
                  <w:vAlign w:val="center"/>
                </w:tcPr>
                <w:p>
                  <w:pPr>
                    <w:pStyle w:val="13"/>
                    <w:bidi w:val="0"/>
                    <w:rPr>
                      <w:rFonts w:hint="eastAsia"/>
                      <w:color w:val="auto"/>
                      <w:lang w:val="en-US" w:eastAsia="zh-CN"/>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袋装</w:t>
                  </w:r>
                </w:p>
              </w:tc>
              <w:tc>
                <w:tcPr>
                  <w:tcW w:w="794" w:type="dxa"/>
                  <w:noWrap w:val="0"/>
                  <w:vAlign w:val="center"/>
                </w:tcPr>
                <w:p>
                  <w:pPr>
                    <w:pStyle w:val="13"/>
                    <w:bidi w:val="0"/>
                    <w:rPr>
                      <w:rFonts w:hint="eastAsia"/>
                      <w:color w:val="auto"/>
                      <w:lang w:val="en-US" w:eastAsia="zh-CN"/>
                    </w:rPr>
                  </w:pPr>
                  <w:r>
                    <w:rPr>
                      <w:rFonts w:hint="eastAsia"/>
                      <w:color w:val="auto"/>
                      <w:lang w:val="en-US" w:eastAsia="zh-CN"/>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color w:val="auto"/>
                      <w:lang w:val="en-US" w:eastAsia="zh-CN"/>
                    </w:rPr>
                  </w:pPr>
                  <w:r>
                    <w:rPr>
                      <w:rFonts w:hint="eastAsia"/>
                      <w:color w:val="auto"/>
                    </w:rPr>
                    <w:t>热熔胶</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60</w:t>
                  </w:r>
                </w:p>
              </w:tc>
              <w:tc>
                <w:tcPr>
                  <w:tcW w:w="794" w:type="dxa"/>
                  <w:noWrap w:val="0"/>
                  <w:vAlign w:val="center"/>
                </w:tcPr>
                <w:p>
                  <w:pPr>
                    <w:pStyle w:val="13"/>
                    <w:bidi w:val="0"/>
                    <w:rPr>
                      <w:rFonts w:hint="default"/>
                      <w:color w:val="auto"/>
                      <w:lang w:val="en-US" w:eastAsia="zh-CN"/>
                    </w:rPr>
                  </w:pPr>
                  <w:r>
                    <w:rPr>
                      <w:rFonts w:hint="default"/>
                      <w:color w:val="auto"/>
                    </w:rPr>
                    <w:t>60</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5</w:t>
                  </w:r>
                </w:p>
              </w:tc>
              <w:tc>
                <w:tcPr>
                  <w:tcW w:w="850" w:type="dxa"/>
                  <w:noWrap w:val="0"/>
                  <w:vAlign w:val="center"/>
                </w:tcPr>
                <w:p>
                  <w:pPr>
                    <w:pStyle w:val="13"/>
                    <w:bidi w:val="0"/>
                    <w:rPr>
                      <w:rFonts w:hint="eastAsia"/>
                      <w:color w:val="auto"/>
                      <w:lang w:val="en-US" w:eastAsia="zh-CN"/>
                    </w:rPr>
                  </w:pPr>
                  <w:r>
                    <w:rPr>
                      <w:rFonts w:hint="eastAsia"/>
                      <w:color w:val="auto"/>
                    </w:rPr>
                    <w:t>t/a</w:t>
                  </w:r>
                </w:p>
              </w:tc>
              <w:tc>
                <w:tcPr>
                  <w:tcW w:w="1020" w:type="dxa"/>
                  <w:noWrap w:val="0"/>
                  <w:vAlign w:val="center"/>
                </w:tcPr>
                <w:p>
                  <w:pPr>
                    <w:pStyle w:val="13"/>
                    <w:bidi w:val="0"/>
                    <w:rPr>
                      <w:rFonts w:hint="eastAsia"/>
                      <w:color w:val="auto"/>
                      <w:lang w:val="en-US" w:eastAsia="zh-CN"/>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袋装</w:t>
                  </w:r>
                </w:p>
              </w:tc>
              <w:tc>
                <w:tcPr>
                  <w:tcW w:w="794" w:type="dxa"/>
                  <w:noWrap w:val="0"/>
                  <w:vAlign w:val="center"/>
                </w:tcPr>
                <w:p>
                  <w:pPr>
                    <w:pStyle w:val="13"/>
                    <w:bidi w:val="0"/>
                    <w:rPr>
                      <w:rFonts w:hint="eastAsia"/>
                      <w:color w:val="auto"/>
                      <w:lang w:val="en-US" w:eastAsia="zh-CN"/>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color w:val="auto"/>
                      <w:lang w:val="en-US" w:eastAsia="zh-CN"/>
                    </w:rPr>
                  </w:pPr>
                  <w:r>
                    <w:rPr>
                      <w:rFonts w:hint="eastAsia"/>
                      <w:color w:val="auto"/>
                    </w:rPr>
                    <w:t>软胶805</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4.8</w:t>
                  </w:r>
                </w:p>
              </w:tc>
              <w:tc>
                <w:tcPr>
                  <w:tcW w:w="794" w:type="dxa"/>
                  <w:noWrap w:val="0"/>
                  <w:vAlign w:val="center"/>
                </w:tcPr>
                <w:p>
                  <w:pPr>
                    <w:pStyle w:val="13"/>
                    <w:bidi w:val="0"/>
                    <w:rPr>
                      <w:rFonts w:hint="default"/>
                      <w:color w:val="auto"/>
                      <w:lang w:val="en-US" w:eastAsia="zh-CN"/>
                    </w:rPr>
                  </w:pPr>
                  <w:r>
                    <w:rPr>
                      <w:rFonts w:hint="default"/>
                      <w:color w:val="auto"/>
                    </w:rPr>
                    <w:t>4.8</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0.4</w:t>
                  </w:r>
                </w:p>
              </w:tc>
              <w:tc>
                <w:tcPr>
                  <w:tcW w:w="850" w:type="dxa"/>
                  <w:noWrap w:val="0"/>
                  <w:vAlign w:val="center"/>
                </w:tcPr>
                <w:p>
                  <w:pPr>
                    <w:pStyle w:val="13"/>
                    <w:bidi w:val="0"/>
                    <w:rPr>
                      <w:rFonts w:hint="eastAsia"/>
                      <w:color w:val="auto"/>
                      <w:lang w:val="en-US" w:eastAsia="zh-CN"/>
                    </w:rPr>
                  </w:pPr>
                  <w:r>
                    <w:rPr>
                      <w:rFonts w:hint="eastAsia"/>
                      <w:color w:val="auto"/>
                    </w:rPr>
                    <w:t>t/a</w:t>
                  </w:r>
                </w:p>
              </w:tc>
              <w:tc>
                <w:tcPr>
                  <w:tcW w:w="1020" w:type="dxa"/>
                  <w:noWrap w:val="0"/>
                  <w:vAlign w:val="center"/>
                </w:tcPr>
                <w:p>
                  <w:pPr>
                    <w:pStyle w:val="13"/>
                    <w:bidi w:val="0"/>
                    <w:rPr>
                      <w:rFonts w:hint="eastAsia"/>
                      <w:color w:val="auto"/>
                      <w:lang w:val="en-US" w:eastAsia="zh-CN"/>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rPr>
                    <w:t>塑料桶装</w:t>
                  </w:r>
                </w:p>
              </w:tc>
              <w:tc>
                <w:tcPr>
                  <w:tcW w:w="794" w:type="dxa"/>
                  <w:noWrap w:val="0"/>
                  <w:vAlign w:val="center"/>
                </w:tcPr>
                <w:p>
                  <w:pPr>
                    <w:pStyle w:val="13"/>
                    <w:bidi w:val="0"/>
                    <w:rPr>
                      <w:rFonts w:hint="eastAsia"/>
                      <w:color w:val="auto"/>
                    </w:rPr>
                  </w:pPr>
                  <w:r>
                    <w:rPr>
                      <w:rFonts w:hint="eastAsia"/>
                      <w:color w:val="auto"/>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eastAsia="宋体"/>
                      <w:color w:val="auto"/>
                      <w:lang w:val="en-US" w:eastAsia="zh-CN"/>
                    </w:rPr>
                  </w:pPr>
                  <w:r>
                    <w:rPr>
                      <w:rFonts w:hint="eastAsia"/>
                      <w:color w:val="auto"/>
                      <w:lang w:eastAsia="zh-CN"/>
                    </w:rPr>
                    <w:t>软胶810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5.5</w:t>
                  </w:r>
                </w:p>
              </w:tc>
              <w:tc>
                <w:tcPr>
                  <w:tcW w:w="794" w:type="dxa"/>
                  <w:noWrap w:val="0"/>
                  <w:vAlign w:val="center"/>
                </w:tcPr>
                <w:p>
                  <w:pPr>
                    <w:pStyle w:val="13"/>
                    <w:bidi w:val="0"/>
                    <w:rPr>
                      <w:rFonts w:hint="default"/>
                      <w:color w:val="auto"/>
                      <w:lang w:val="en-US" w:eastAsia="zh-CN"/>
                    </w:rPr>
                  </w:pPr>
                  <w:r>
                    <w:rPr>
                      <w:rFonts w:hint="default"/>
                      <w:color w:val="auto"/>
                    </w:rPr>
                    <w:t>5.5</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0.5</w:t>
                  </w:r>
                </w:p>
              </w:tc>
              <w:tc>
                <w:tcPr>
                  <w:tcW w:w="850" w:type="dxa"/>
                  <w:noWrap w:val="0"/>
                  <w:vAlign w:val="center"/>
                </w:tcPr>
                <w:p>
                  <w:pPr>
                    <w:pStyle w:val="13"/>
                    <w:bidi w:val="0"/>
                    <w:rPr>
                      <w:rFonts w:hint="eastAsia"/>
                      <w:color w:val="auto"/>
                      <w:lang w:val="en-US" w:eastAsia="zh-CN"/>
                    </w:rPr>
                  </w:pPr>
                  <w:r>
                    <w:rPr>
                      <w:rFonts w:hint="eastAsia"/>
                      <w:color w:val="auto"/>
                    </w:rPr>
                    <w:t>t/a</w:t>
                  </w:r>
                </w:p>
              </w:tc>
              <w:tc>
                <w:tcPr>
                  <w:tcW w:w="1020" w:type="dxa"/>
                  <w:noWrap w:val="0"/>
                  <w:vAlign w:val="center"/>
                </w:tcPr>
                <w:p>
                  <w:pPr>
                    <w:pStyle w:val="13"/>
                    <w:bidi w:val="0"/>
                    <w:rPr>
                      <w:rFonts w:hint="eastAsia"/>
                      <w:color w:val="auto"/>
                      <w:lang w:val="en-US" w:eastAsia="zh-CN"/>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rPr>
                    <w:t>塑料桶装</w:t>
                  </w:r>
                </w:p>
              </w:tc>
              <w:tc>
                <w:tcPr>
                  <w:tcW w:w="794" w:type="dxa"/>
                  <w:noWrap w:val="0"/>
                  <w:vAlign w:val="center"/>
                </w:tcPr>
                <w:p>
                  <w:pPr>
                    <w:pStyle w:val="13"/>
                    <w:bidi w:val="0"/>
                    <w:rPr>
                      <w:rFonts w:hint="eastAsia"/>
                      <w:color w:val="auto"/>
                    </w:rPr>
                  </w:pPr>
                  <w:r>
                    <w:rPr>
                      <w:rFonts w:hint="eastAsia"/>
                      <w:color w:val="auto"/>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eastAsia="宋体"/>
                      <w:color w:val="auto"/>
                      <w:lang w:val="en-US" w:eastAsia="zh-CN"/>
                    </w:rPr>
                  </w:pPr>
                  <w:r>
                    <w:rPr>
                      <w:rFonts w:hint="eastAsia"/>
                      <w:color w:val="auto"/>
                      <w:lang w:eastAsia="zh-CN"/>
                    </w:rPr>
                    <w:t>硬浆4075</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1.2</w:t>
                  </w:r>
                </w:p>
              </w:tc>
              <w:tc>
                <w:tcPr>
                  <w:tcW w:w="794" w:type="dxa"/>
                  <w:noWrap w:val="0"/>
                  <w:vAlign w:val="center"/>
                </w:tcPr>
                <w:p>
                  <w:pPr>
                    <w:pStyle w:val="13"/>
                    <w:bidi w:val="0"/>
                    <w:rPr>
                      <w:rFonts w:hint="default"/>
                      <w:color w:val="auto"/>
                      <w:lang w:val="en-US" w:eastAsia="zh-CN"/>
                    </w:rPr>
                  </w:pPr>
                  <w:r>
                    <w:rPr>
                      <w:rFonts w:hint="default"/>
                      <w:color w:val="auto"/>
                    </w:rPr>
                    <w:t>1.2</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0.1</w:t>
                  </w:r>
                </w:p>
              </w:tc>
              <w:tc>
                <w:tcPr>
                  <w:tcW w:w="850" w:type="dxa"/>
                  <w:noWrap w:val="0"/>
                  <w:vAlign w:val="center"/>
                </w:tcPr>
                <w:p>
                  <w:pPr>
                    <w:pStyle w:val="13"/>
                    <w:bidi w:val="0"/>
                    <w:rPr>
                      <w:rFonts w:hint="eastAsia"/>
                      <w:color w:val="auto"/>
                      <w:lang w:val="en-US" w:eastAsia="zh-CN"/>
                    </w:rPr>
                  </w:pPr>
                  <w:r>
                    <w:rPr>
                      <w:rFonts w:hint="eastAsia"/>
                      <w:color w:val="auto"/>
                    </w:rPr>
                    <w:t>t/a</w:t>
                  </w:r>
                </w:p>
              </w:tc>
              <w:tc>
                <w:tcPr>
                  <w:tcW w:w="1020" w:type="dxa"/>
                  <w:noWrap w:val="0"/>
                  <w:vAlign w:val="center"/>
                </w:tcPr>
                <w:p>
                  <w:pPr>
                    <w:pStyle w:val="13"/>
                    <w:bidi w:val="0"/>
                    <w:rPr>
                      <w:rFonts w:hint="eastAsia"/>
                      <w:color w:val="auto"/>
                      <w:lang w:val="en-US" w:eastAsia="zh-CN"/>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rPr>
                    <w:t>塑料桶装</w:t>
                  </w:r>
                </w:p>
              </w:tc>
              <w:tc>
                <w:tcPr>
                  <w:tcW w:w="794"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default"/>
                      <w:color w:val="auto"/>
                      <w:lang w:val="en-US" w:eastAsia="zh-CN"/>
                    </w:rPr>
                  </w:pPr>
                  <w:r>
                    <w:rPr>
                      <w:rFonts w:hint="eastAsia"/>
                      <w:color w:val="auto"/>
                      <w:lang w:val="en-US" w:eastAsia="zh-CN"/>
                    </w:rPr>
                    <w:t>颜料</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0.03</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0.03</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0.003</w:t>
                  </w:r>
                </w:p>
              </w:tc>
              <w:tc>
                <w:tcPr>
                  <w:tcW w:w="850" w:type="dxa"/>
                  <w:noWrap w:val="0"/>
                  <w:vAlign w:val="center"/>
                </w:tcPr>
                <w:p>
                  <w:pPr>
                    <w:pStyle w:val="13"/>
                    <w:bidi w:val="0"/>
                    <w:rPr>
                      <w:rFonts w:hint="default"/>
                      <w:color w:val="auto"/>
                      <w:lang w:val="en-US" w:eastAsia="zh-CN"/>
                    </w:rPr>
                  </w:pPr>
                  <w:r>
                    <w:rPr>
                      <w:rFonts w:hint="eastAsia"/>
                      <w:color w:val="auto"/>
                      <w:lang w:val="en-US" w:eastAsia="zh-CN"/>
                    </w:rPr>
                    <w:t>t/a</w:t>
                  </w:r>
                </w:p>
              </w:tc>
              <w:tc>
                <w:tcPr>
                  <w:tcW w:w="1020" w:type="dxa"/>
                  <w:noWrap w:val="0"/>
                  <w:vAlign w:val="center"/>
                </w:tcPr>
                <w:p>
                  <w:pPr>
                    <w:pStyle w:val="13"/>
                    <w:bidi w:val="0"/>
                    <w:rPr>
                      <w:rFonts w:hint="eastAsia"/>
                      <w:color w:val="auto"/>
                      <w:lang w:val="en-US" w:eastAsia="zh-CN"/>
                    </w:rPr>
                  </w:pPr>
                  <w:r>
                    <w:rPr>
                      <w:rFonts w:hint="eastAsia"/>
                      <w:color w:val="auto"/>
                    </w:rPr>
                    <w:t>外购</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塑料桶装</w:t>
                  </w:r>
                </w:p>
              </w:tc>
              <w:tc>
                <w:tcPr>
                  <w:tcW w:w="794" w:type="dxa"/>
                  <w:noWrap w:val="0"/>
                  <w:vAlign w:val="center"/>
                </w:tcPr>
                <w:p>
                  <w:pPr>
                    <w:pStyle w:val="13"/>
                    <w:bidi w:val="0"/>
                    <w:rPr>
                      <w:rFonts w:hint="eastAsia"/>
                      <w:color w:val="auto"/>
                    </w:rPr>
                  </w:pPr>
                  <w:r>
                    <w:rPr>
                      <w:rFonts w:hint="eastAsia"/>
                      <w:color w:val="auto"/>
                    </w:rPr>
                    <w:t>液态</w:t>
                  </w:r>
                </w:p>
              </w:tc>
            </w:tr>
            <w:bookmarkEnd w:id="2"/>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3"/>
                    <w:bidi w:val="0"/>
                    <w:rPr>
                      <w:color w:val="auto"/>
                    </w:rPr>
                  </w:pPr>
                  <w:r>
                    <w:rPr>
                      <w:color w:val="auto"/>
                    </w:rPr>
                    <w:t>能源</w:t>
                  </w:r>
                </w:p>
              </w:tc>
              <w:tc>
                <w:tcPr>
                  <w:tcW w:w="1134" w:type="dxa"/>
                  <w:noWrap w:val="0"/>
                  <w:vAlign w:val="center"/>
                </w:tcPr>
                <w:p>
                  <w:pPr>
                    <w:pStyle w:val="13"/>
                    <w:bidi w:val="0"/>
                    <w:rPr>
                      <w:color w:val="auto"/>
                    </w:rPr>
                  </w:pPr>
                  <w:r>
                    <w:rPr>
                      <w:color w:val="auto"/>
                    </w:rPr>
                    <w:t>电</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180</w:t>
                  </w:r>
                  <w:r>
                    <w:rPr>
                      <w:rFonts w:hint="eastAsia"/>
                      <w:color w:val="auto"/>
                    </w:rPr>
                    <w:t>万</w:t>
                  </w:r>
                </w:p>
              </w:tc>
              <w:tc>
                <w:tcPr>
                  <w:tcW w:w="794" w:type="dxa"/>
                  <w:noWrap w:val="0"/>
                  <w:vAlign w:val="center"/>
                </w:tcPr>
                <w:p>
                  <w:pPr>
                    <w:pStyle w:val="13"/>
                    <w:bidi w:val="0"/>
                    <w:rPr>
                      <w:rFonts w:hint="default" w:eastAsia="宋体"/>
                      <w:color w:val="auto"/>
                      <w:lang w:val="en-US" w:eastAsia="zh-CN"/>
                    </w:rPr>
                  </w:pPr>
                  <w:r>
                    <w:rPr>
                      <w:rFonts w:hint="eastAsia"/>
                      <w:color w:val="auto"/>
                      <w:lang w:val="en-US" w:eastAsia="zh-CN"/>
                    </w:rPr>
                    <w:t>100万</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-80万</w:t>
                  </w:r>
                </w:p>
              </w:tc>
              <w:tc>
                <w:tcPr>
                  <w:tcW w:w="794" w:type="dxa"/>
                  <w:noWrap w:val="0"/>
                  <w:vAlign w:val="center"/>
                </w:tcPr>
                <w:p>
                  <w:pPr>
                    <w:pStyle w:val="13"/>
                    <w:bidi w:val="0"/>
                    <w:rPr>
                      <w:color w:val="auto"/>
                    </w:rPr>
                  </w:pPr>
                  <w:r>
                    <w:rPr>
                      <w:rFonts w:hint="eastAsia"/>
                      <w:color w:val="auto"/>
                    </w:rPr>
                    <w:t>/</w:t>
                  </w:r>
                </w:p>
              </w:tc>
              <w:tc>
                <w:tcPr>
                  <w:tcW w:w="850" w:type="dxa"/>
                  <w:noWrap w:val="0"/>
                  <w:vAlign w:val="center"/>
                </w:tcPr>
                <w:p>
                  <w:pPr>
                    <w:pStyle w:val="13"/>
                    <w:bidi w:val="0"/>
                    <w:rPr>
                      <w:color w:val="auto"/>
                    </w:rPr>
                  </w:pPr>
                  <w:r>
                    <w:rPr>
                      <w:color w:val="auto"/>
                    </w:rPr>
                    <w:t>kW·h/a</w:t>
                  </w:r>
                </w:p>
              </w:tc>
              <w:tc>
                <w:tcPr>
                  <w:tcW w:w="1020" w:type="dxa"/>
                  <w:noWrap w:val="0"/>
                  <w:vAlign w:val="center"/>
                </w:tcPr>
                <w:p>
                  <w:pPr>
                    <w:pStyle w:val="13"/>
                    <w:bidi w:val="0"/>
                    <w:rPr>
                      <w:color w:val="auto"/>
                    </w:rPr>
                  </w:pPr>
                  <w:r>
                    <w:rPr>
                      <w:color w:val="auto"/>
                    </w:rPr>
                    <w:t>市政电网</w:t>
                  </w:r>
                </w:p>
              </w:tc>
              <w:tc>
                <w:tcPr>
                  <w:tcW w:w="1020" w:type="dxa"/>
                  <w:noWrap w:val="0"/>
                  <w:vAlign w:val="center"/>
                </w:tcPr>
                <w:p>
                  <w:pPr>
                    <w:pStyle w:val="13"/>
                    <w:bidi w:val="0"/>
                    <w:rPr>
                      <w:color w:val="auto"/>
                    </w:rPr>
                  </w:pPr>
                  <w:r>
                    <w:rPr>
                      <w:rFonts w:hint="eastAsia"/>
                      <w:color w:val="auto"/>
                    </w:rPr>
                    <w:t>/</w:t>
                  </w:r>
                </w:p>
              </w:tc>
              <w:tc>
                <w:tcPr>
                  <w:tcW w:w="794" w:type="dxa"/>
                  <w:noWrap w:val="0"/>
                  <w:vAlign w:val="center"/>
                </w:tcPr>
                <w:p>
                  <w:pPr>
                    <w:pStyle w:val="13"/>
                    <w:bidi w:val="0"/>
                    <w:rPr>
                      <w:rFonts w:hint="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color w:val="auto"/>
                      <w:lang w:val="en-US" w:eastAsia="zh-CN"/>
                    </w:rPr>
                  </w:pPr>
                  <w:r>
                    <w:rPr>
                      <w:color w:val="auto"/>
                    </w:rPr>
                    <w:t>水</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4057.5</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4057.5</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0</w:t>
                  </w:r>
                </w:p>
              </w:tc>
              <w:tc>
                <w:tcPr>
                  <w:tcW w:w="794" w:type="dxa"/>
                  <w:noWrap w:val="0"/>
                  <w:vAlign w:val="center"/>
                </w:tcPr>
                <w:p>
                  <w:pPr>
                    <w:pStyle w:val="13"/>
                    <w:bidi w:val="0"/>
                    <w:rPr>
                      <w:rFonts w:hint="eastAsia"/>
                      <w:color w:val="auto"/>
                      <w:lang w:val="en-US" w:eastAsia="zh-CN"/>
                    </w:rPr>
                  </w:pPr>
                  <w:r>
                    <w:rPr>
                      <w:rFonts w:hint="eastAsia"/>
                      <w:color w:val="auto"/>
                    </w:rPr>
                    <w:t>/</w:t>
                  </w:r>
                </w:p>
              </w:tc>
              <w:tc>
                <w:tcPr>
                  <w:tcW w:w="850" w:type="dxa"/>
                  <w:noWrap w:val="0"/>
                  <w:vAlign w:val="center"/>
                </w:tcPr>
                <w:p>
                  <w:pPr>
                    <w:pStyle w:val="13"/>
                    <w:bidi w:val="0"/>
                    <w:rPr>
                      <w:color w:val="auto"/>
                      <w:lang w:val="en-US" w:eastAsia="zh-CN"/>
                    </w:rPr>
                  </w:pPr>
                  <w:r>
                    <w:rPr>
                      <w:color w:val="auto"/>
                    </w:rPr>
                    <w:t>t/a</w:t>
                  </w:r>
                </w:p>
              </w:tc>
              <w:tc>
                <w:tcPr>
                  <w:tcW w:w="1020" w:type="dxa"/>
                  <w:noWrap w:val="0"/>
                  <w:vAlign w:val="center"/>
                </w:tcPr>
                <w:p>
                  <w:pPr>
                    <w:pStyle w:val="13"/>
                    <w:bidi w:val="0"/>
                    <w:rPr>
                      <w:rFonts w:hint="eastAsia"/>
                      <w:color w:val="auto"/>
                      <w:lang w:val="en-US" w:eastAsia="zh-CN"/>
                    </w:rPr>
                  </w:pPr>
                  <w:r>
                    <w:rPr>
                      <w:rFonts w:hint="eastAsia"/>
                      <w:color w:val="auto"/>
                    </w:rPr>
                    <w:t>供水管网</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134" w:type="dxa"/>
                  <w:noWrap w:val="0"/>
                  <w:vAlign w:val="center"/>
                </w:tcPr>
                <w:p>
                  <w:pPr>
                    <w:pStyle w:val="13"/>
                    <w:bidi w:val="0"/>
                    <w:rPr>
                      <w:rFonts w:hint="eastAsia"/>
                      <w:color w:val="auto"/>
                      <w:lang w:eastAsia="zh-CN"/>
                    </w:rPr>
                  </w:pPr>
                  <w:r>
                    <w:rPr>
                      <w:rFonts w:hint="eastAsia"/>
                      <w:color w:val="auto"/>
                      <w:lang w:eastAsia="zh-CN"/>
                    </w:rPr>
                    <w:t>天然气</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w:t>
                  </w:r>
                </w:p>
              </w:tc>
              <w:tc>
                <w:tcPr>
                  <w:tcW w:w="794" w:type="dxa"/>
                  <w:noWrap w:val="0"/>
                  <w:vAlign w:val="center"/>
                </w:tcPr>
                <w:p>
                  <w:pPr>
                    <w:pStyle w:val="13"/>
                    <w:bidi w:val="0"/>
                    <w:rPr>
                      <w:rFonts w:hint="default"/>
                      <w:color w:val="auto"/>
                      <w:lang w:val="en-US" w:eastAsia="zh-CN"/>
                    </w:rPr>
                  </w:pPr>
                  <w:r>
                    <w:rPr>
                      <w:rFonts w:hint="eastAsia"/>
                      <w:color w:val="auto"/>
                      <w:lang w:val="en-US" w:eastAsia="zh-CN"/>
                    </w:rPr>
                    <w:t>3万</w:t>
                  </w:r>
                </w:p>
              </w:tc>
              <w:tc>
                <w:tcPr>
                  <w:tcW w:w="737" w:type="dxa"/>
                  <w:noWrap w:val="0"/>
                  <w:vAlign w:val="center"/>
                </w:tcPr>
                <w:p>
                  <w:pPr>
                    <w:pStyle w:val="13"/>
                    <w:bidi w:val="0"/>
                    <w:rPr>
                      <w:rFonts w:hint="default"/>
                      <w:color w:val="auto"/>
                      <w:lang w:val="en-US" w:eastAsia="zh-CN"/>
                    </w:rPr>
                  </w:pPr>
                  <w:r>
                    <w:rPr>
                      <w:rFonts w:hint="eastAsia"/>
                      <w:color w:val="auto"/>
                      <w:lang w:val="en-US" w:eastAsia="zh-CN"/>
                    </w:rPr>
                    <w:t>+3万</w:t>
                  </w:r>
                </w:p>
              </w:tc>
              <w:tc>
                <w:tcPr>
                  <w:tcW w:w="794" w:type="dxa"/>
                  <w:noWrap w:val="0"/>
                  <w:vAlign w:val="center"/>
                </w:tcPr>
                <w:p>
                  <w:pPr>
                    <w:pStyle w:val="13"/>
                    <w:bidi w:val="0"/>
                    <w:rPr>
                      <w:rFonts w:hint="default"/>
                      <w:color w:val="auto"/>
                      <w:lang w:val="en-US" w:eastAsia="zh-CN"/>
                    </w:rPr>
                  </w:pPr>
                  <w:r>
                    <w:rPr>
                      <w:rFonts w:hint="default"/>
                      <w:color w:val="auto"/>
                      <w:lang w:val="en-US" w:eastAsia="zh-CN"/>
                    </w:rPr>
                    <w:t>/</w:t>
                  </w:r>
                </w:p>
              </w:tc>
              <w:tc>
                <w:tcPr>
                  <w:tcW w:w="850" w:type="dxa"/>
                  <w:noWrap w:val="0"/>
                  <w:vAlign w:val="center"/>
                </w:tcPr>
                <w:p>
                  <w:pPr>
                    <w:pStyle w:val="13"/>
                    <w:bidi w:val="0"/>
                    <w:rPr>
                      <w:rFonts w:hint="default"/>
                      <w:color w:val="auto"/>
                      <w:lang w:val="en-US" w:eastAsia="zh-CN"/>
                    </w:rPr>
                  </w:pPr>
                  <w:r>
                    <w:rPr>
                      <w:rFonts w:hint="default"/>
                      <w:color w:val="auto"/>
                      <w:lang w:val="en-US" w:eastAsia="zh-CN"/>
                    </w:rPr>
                    <w:t>m³/a</w:t>
                  </w:r>
                </w:p>
              </w:tc>
              <w:tc>
                <w:tcPr>
                  <w:tcW w:w="1020" w:type="dxa"/>
                  <w:noWrap w:val="0"/>
                  <w:vAlign w:val="center"/>
                </w:tcPr>
                <w:p>
                  <w:pPr>
                    <w:pStyle w:val="13"/>
                    <w:bidi w:val="0"/>
                    <w:rPr>
                      <w:rFonts w:hint="default"/>
                      <w:color w:val="auto"/>
                      <w:lang w:val="en-US" w:eastAsia="zh-CN"/>
                    </w:rPr>
                  </w:pPr>
                  <w:r>
                    <w:rPr>
                      <w:rFonts w:hint="eastAsia"/>
                      <w:color w:val="auto"/>
                      <w:lang w:eastAsia="zh-CN"/>
                    </w:rPr>
                    <w:t>燃气</w:t>
                  </w:r>
                  <w:r>
                    <w:rPr>
                      <w:rFonts w:hint="eastAsia"/>
                      <w:color w:val="auto"/>
                      <w:lang w:val="en-US" w:eastAsia="zh-CN"/>
                    </w:rPr>
                    <w:t>公司</w:t>
                  </w:r>
                </w:p>
              </w:tc>
              <w:tc>
                <w:tcPr>
                  <w:tcW w:w="1020" w:type="dxa"/>
                  <w:noWrap w:val="0"/>
                  <w:vAlign w:val="center"/>
                </w:tcPr>
                <w:p>
                  <w:pPr>
                    <w:pStyle w:val="13"/>
                    <w:bidi w:val="0"/>
                    <w:rPr>
                      <w:color w:val="auto"/>
                    </w:rPr>
                  </w:pPr>
                  <w:r>
                    <w:rPr>
                      <w:rFonts w:hint="eastAsia"/>
                      <w:color w:val="auto"/>
                    </w:rPr>
                    <w:t>/</w:t>
                  </w:r>
                </w:p>
              </w:tc>
              <w:tc>
                <w:tcPr>
                  <w:tcW w:w="794" w:type="dxa"/>
                  <w:noWrap w:val="0"/>
                  <w:vAlign w:val="center"/>
                </w:tcPr>
                <w:p>
                  <w:pPr>
                    <w:pStyle w:val="13"/>
                    <w:bidi w:val="0"/>
                    <w:rPr>
                      <w:rFonts w:hint="eastAsia"/>
                      <w:color w:val="auto"/>
                      <w:lang w:val="en-US" w:eastAsia="zh-CN"/>
                    </w:rPr>
                  </w:pPr>
                  <w:r>
                    <w:rPr>
                      <w:rFonts w:hint="eastAsia"/>
                      <w:color w:val="auto"/>
                      <w:lang w:val="en-US" w:eastAsia="zh-CN"/>
                    </w:rPr>
                    <w:t>气态</w:t>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rFonts w:hint="eastAsia"/>
                <w:color w:val="auto"/>
              </w:rPr>
              <w:t>表2-</w:t>
            </w:r>
            <w:r>
              <w:rPr>
                <w:rFonts w:hint="eastAsia"/>
                <w:color w:val="auto"/>
                <w:lang w:val="en-US" w:eastAsia="zh-CN"/>
              </w:rPr>
              <w:t>7</w:t>
            </w:r>
            <w:r>
              <w:rPr>
                <w:rFonts w:hint="eastAsia"/>
                <w:color w:val="auto"/>
              </w:rPr>
              <w:t xml:space="preserve"> 主要原辅材料理化性质</w:t>
            </w:r>
          </w:p>
          <w:tbl>
            <w:tblPr>
              <w:tblStyle w:val="7"/>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680"/>
              <w:gridCol w:w="907"/>
              <w:gridCol w:w="7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680"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rFonts w:hint="default"/>
                      <w:color w:val="auto"/>
                    </w:rPr>
                    <w:t>序号</w:t>
                  </w:r>
                </w:p>
              </w:tc>
              <w:tc>
                <w:tcPr>
                  <w:tcW w:w="90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rFonts w:hint="default"/>
                      <w:color w:val="auto"/>
                    </w:rPr>
                    <w:t>名称</w:t>
                  </w:r>
                </w:p>
              </w:tc>
              <w:tc>
                <w:tcPr>
                  <w:tcW w:w="708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rPr>
                  </w:pPr>
                  <w:r>
                    <w:rPr>
                      <w:rFonts w:hint="default"/>
                      <w:color w:val="auto"/>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020"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1</w:t>
                  </w:r>
                </w:p>
              </w:tc>
              <w:tc>
                <w:tcPr>
                  <w:tcW w:w="907" w:type="dxa"/>
                  <w:noWrap w:val="0"/>
                  <w:vAlign w:val="center"/>
                </w:tcPr>
                <w:p>
                  <w:pPr>
                    <w:pStyle w:val="13"/>
                    <w:spacing w:beforeLines="0" w:afterLines="0"/>
                    <w:rPr>
                      <w:color w:val="auto"/>
                      <w:lang w:val="en-US" w:eastAsia="zh-CN"/>
                    </w:rPr>
                  </w:pPr>
                  <w:r>
                    <w:rPr>
                      <w:rFonts w:hint="default" w:ascii="宋体" w:eastAsia="宋体"/>
                      <w:color w:val="auto"/>
                      <w:sz w:val="21"/>
                      <w:szCs w:val="24"/>
                    </w:rPr>
                    <w:t>热熔胶</w:t>
                  </w:r>
                </w:p>
              </w:tc>
              <w:tc>
                <w:tcPr>
                  <w:tcW w:w="708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lang w:val="en-US" w:eastAsia="zh-CN"/>
                    </w:rPr>
                  </w:pPr>
                  <w:r>
                    <w:rPr>
                      <w:rFonts w:hint="eastAsia"/>
                      <w:color w:val="auto"/>
                      <w:lang w:val="en-US" w:eastAsia="zh-CN"/>
                    </w:rPr>
                    <w:t>即EVA680C（乙烯-醋酸乙烯共聚物），</w:t>
                  </w:r>
                  <w:r>
                    <w:rPr>
                      <w:rFonts w:hint="eastAsia"/>
                      <w:color w:val="auto"/>
                      <w:lang w:val="en-US" w:eastAsia="zh-CN"/>
                    </w:rPr>
                    <w:fldChar w:fldCharType="begin"/>
                  </w:r>
                  <w:r>
                    <w:rPr>
                      <w:rFonts w:hint="eastAsia"/>
                      <w:color w:val="auto"/>
                      <w:lang w:val="en-US" w:eastAsia="zh-CN"/>
                    </w:rPr>
                    <w:instrText xml:space="preserve"> HYPERLINK "https://baike.so.com/doc/6746773-6961319.html" \t "https://baike.so.com/doc/_blank" </w:instrText>
                  </w:r>
                  <w:r>
                    <w:rPr>
                      <w:rFonts w:hint="eastAsia"/>
                      <w:color w:val="auto"/>
                      <w:lang w:val="en-US" w:eastAsia="zh-CN"/>
                    </w:rPr>
                    <w:fldChar w:fldCharType="separate"/>
                  </w:r>
                  <w:r>
                    <w:rPr>
                      <w:rFonts w:hint="eastAsia"/>
                      <w:color w:val="auto"/>
                      <w:lang w:val="en-US" w:eastAsia="zh-CN"/>
                    </w:rPr>
                    <w:t>分子式</w:t>
                  </w:r>
                  <w:r>
                    <w:rPr>
                      <w:rFonts w:hint="eastAsia"/>
                      <w:color w:val="auto"/>
                      <w:lang w:val="en-US" w:eastAsia="zh-CN"/>
                    </w:rPr>
                    <w:fldChar w:fldCharType="end"/>
                  </w:r>
                  <w:r>
                    <w:rPr>
                      <w:rFonts w:hint="eastAsia"/>
                      <w:color w:val="auto"/>
                      <w:lang w:val="en-US" w:eastAsia="zh-CN"/>
                    </w:rPr>
                    <w:t>为（C</w:t>
                  </w:r>
                  <w:r>
                    <w:rPr>
                      <w:rFonts w:hint="eastAsia"/>
                      <w:color w:val="auto"/>
                      <w:vertAlign w:val="subscript"/>
                      <w:lang w:val="en-US" w:eastAsia="zh-CN"/>
                    </w:rPr>
                    <w:t>2</w:t>
                  </w:r>
                  <w:r>
                    <w:rPr>
                      <w:rFonts w:hint="eastAsia"/>
                      <w:color w:val="auto"/>
                      <w:lang w:val="en-US" w:eastAsia="zh-CN"/>
                    </w:rPr>
                    <w:t>H</w:t>
                  </w:r>
                  <w:r>
                    <w:rPr>
                      <w:rFonts w:hint="eastAsia"/>
                      <w:color w:val="auto"/>
                      <w:vertAlign w:val="subscript"/>
                      <w:lang w:val="en-US" w:eastAsia="zh-CN"/>
                    </w:rPr>
                    <w:t>4</w:t>
                  </w:r>
                  <w:r>
                    <w:rPr>
                      <w:rFonts w:hint="eastAsia"/>
                      <w:color w:val="auto"/>
                      <w:lang w:val="en-US" w:eastAsia="zh-CN"/>
                    </w:rPr>
                    <w:t>）x（C</w:t>
                  </w:r>
                  <w:r>
                    <w:rPr>
                      <w:rFonts w:hint="eastAsia"/>
                      <w:color w:val="auto"/>
                      <w:vertAlign w:val="subscript"/>
                      <w:lang w:val="en-US" w:eastAsia="zh-CN"/>
                    </w:rPr>
                    <w:t>4</w:t>
                  </w:r>
                  <w:r>
                    <w:rPr>
                      <w:rFonts w:hint="eastAsia"/>
                      <w:color w:val="auto"/>
                      <w:lang w:val="en-US" w:eastAsia="zh-CN"/>
                    </w:rPr>
                    <w:t>H</w:t>
                  </w:r>
                  <w:r>
                    <w:rPr>
                      <w:rFonts w:hint="eastAsia"/>
                      <w:color w:val="auto"/>
                      <w:vertAlign w:val="subscript"/>
                      <w:lang w:val="en-US" w:eastAsia="zh-CN"/>
                    </w:rPr>
                    <w:t>6</w:t>
                  </w:r>
                  <w:r>
                    <w:rPr>
                      <w:rFonts w:hint="eastAsia"/>
                      <w:color w:val="auto"/>
                      <w:lang w:val="en-US" w:eastAsia="zh-CN"/>
                    </w:rPr>
                    <w:t>O</w:t>
                  </w:r>
                  <w:r>
                    <w:rPr>
                      <w:rFonts w:hint="eastAsia"/>
                      <w:color w:val="auto"/>
                      <w:vertAlign w:val="subscript"/>
                      <w:lang w:val="en-US" w:eastAsia="zh-CN"/>
                    </w:rPr>
                    <w:t>2</w:t>
                  </w:r>
                  <w:r>
                    <w:rPr>
                      <w:rFonts w:hint="eastAsia"/>
                      <w:color w:val="auto"/>
                      <w:lang w:val="en-US" w:eastAsia="zh-CN"/>
                    </w:rPr>
                    <w:t>）y，粉状，软化点为75±5℃，硬度为82，熔点为99℃，沸点为170.6℃，密度为0.92~0.98g/cm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流动性为非常好，</w:t>
                  </w:r>
                  <w:r>
                    <w:rPr>
                      <w:rFonts w:hint="default"/>
                      <w:color w:val="auto"/>
                      <w:lang w:val="en-US" w:eastAsia="zh-CN"/>
                    </w:rPr>
                    <w:t>主要用途</w:t>
                  </w:r>
                  <w:r>
                    <w:rPr>
                      <w:rFonts w:hint="eastAsia"/>
                      <w:color w:val="auto"/>
                      <w:lang w:val="en-US" w:eastAsia="zh-CN"/>
                    </w:rPr>
                    <w:t>为</w:t>
                  </w:r>
                  <w:r>
                    <w:rPr>
                      <w:rFonts w:hint="default"/>
                      <w:color w:val="auto"/>
                      <w:lang w:val="en-US" w:eastAsia="zh-CN"/>
                    </w:rPr>
                    <w:t>无纺布粘合</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020"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2</w:t>
                  </w:r>
                </w:p>
              </w:tc>
              <w:tc>
                <w:tcPr>
                  <w:tcW w:w="907" w:type="dxa"/>
                  <w:noWrap w:val="0"/>
                  <w:vAlign w:val="center"/>
                </w:tcPr>
                <w:p>
                  <w:pPr>
                    <w:pStyle w:val="13"/>
                    <w:spacing w:beforeLines="0" w:afterLines="0"/>
                    <w:rPr>
                      <w:rFonts w:hint="default"/>
                      <w:color w:val="auto"/>
                      <w:lang w:val="en-US" w:eastAsia="zh-CN"/>
                    </w:rPr>
                  </w:pPr>
                  <w:r>
                    <w:rPr>
                      <w:rFonts w:hint="default" w:ascii="宋体" w:eastAsia="宋体"/>
                      <w:color w:val="auto"/>
                      <w:sz w:val="21"/>
                      <w:szCs w:val="24"/>
                    </w:rPr>
                    <w:t>软胶805</w:t>
                  </w:r>
                </w:p>
              </w:tc>
              <w:tc>
                <w:tcPr>
                  <w:tcW w:w="708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auto"/>
                      <w:lang w:val="en-US" w:eastAsia="zh-CN"/>
                    </w:rPr>
                  </w:pPr>
                  <w:r>
                    <w:rPr>
                      <w:rFonts w:hint="eastAsia"/>
                      <w:color w:val="auto"/>
                      <w:lang w:val="en-US" w:eastAsia="zh-CN"/>
                    </w:rPr>
                    <w:t>液态，呈</w:t>
                  </w:r>
                  <w:r>
                    <w:rPr>
                      <w:rFonts w:hint="default" w:eastAsia="宋体"/>
                      <w:color w:val="auto"/>
                      <w:lang w:val="en-US" w:eastAsia="zh-CN"/>
                    </w:rPr>
                    <w:t>白色乳液状</w:t>
                  </w:r>
                  <w:r>
                    <w:rPr>
                      <w:rFonts w:hint="eastAsia"/>
                      <w:color w:val="auto"/>
                      <w:lang w:val="en-US" w:eastAsia="zh-CN"/>
                    </w:rPr>
                    <w:t>，无气味，pH为6.5～7.5，可溶解，不分解，比重为1.05，由丙烯酸乳液（39%）、乳化剂（2.5%）、引发剂（0.5%）、交联剂（3%）、水（55%）组成。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020"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bidi="ar-SA"/>
                    </w:rPr>
                  </w:pPr>
                  <w:r>
                    <w:rPr>
                      <w:rFonts w:hint="eastAsia"/>
                      <w:color w:val="auto"/>
                      <w:lang w:val="en-US" w:eastAsia="zh-CN"/>
                    </w:rPr>
                    <w:t>3</w:t>
                  </w:r>
                </w:p>
              </w:tc>
              <w:tc>
                <w:tcPr>
                  <w:tcW w:w="907" w:type="dxa"/>
                  <w:noWrap w:val="0"/>
                  <w:vAlign w:val="center"/>
                </w:tcPr>
                <w:p>
                  <w:pPr>
                    <w:pStyle w:val="13"/>
                    <w:spacing w:beforeLines="0" w:afterLines="0"/>
                    <w:rPr>
                      <w:rFonts w:hint="eastAsia" w:ascii="Times New Roman" w:hAnsi="Times New Roman" w:eastAsia="宋体"/>
                      <w:color w:val="auto"/>
                      <w:sz w:val="21"/>
                      <w:lang w:val="en-US" w:eastAsia="zh-CN" w:bidi="ar-SA"/>
                    </w:rPr>
                  </w:pPr>
                  <w:r>
                    <w:rPr>
                      <w:rFonts w:hint="eastAsia" w:ascii="宋体"/>
                      <w:color w:val="auto"/>
                      <w:sz w:val="21"/>
                      <w:szCs w:val="24"/>
                      <w:lang w:eastAsia="zh-CN"/>
                    </w:rPr>
                    <w:t>软胶810</w:t>
                  </w:r>
                </w:p>
              </w:tc>
              <w:tc>
                <w:tcPr>
                  <w:tcW w:w="708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olor w:val="auto"/>
                      <w:sz w:val="21"/>
                      <w:lang w:val="en-US" w:eastAsia="zh-CN" w:bidi="ar-SA"/>
                    </w:rPr>
                  </w:pPr>
                  <w:r>
                    <w:rPr>
                      <w:rFonts w:hint="eastAsia" w:ascii="Times New Roman" w:hAnsi="Times New Roman" w:eastAsia="宋体"/>
                      <w:color w:val="auto"/>
                      <w:sz w:val="21"/>
                      <w:lang w:val="en-US" w:eastAsia="zh-CN" w:bidi="ar-SA"/>
                    </w:rPr>
                    <w:t>液态，呈白色乳液状，无气味，pH为6.5～7.5，可溶解，不分解，比重为1.05，由苯丙烯酸乳液（39%）、乳化剂（2.5%）、引发剂（0.5%）、交联剂（3%）、水（55%）组成。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737"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bidi="ar-SA"/>
                    </w:rPr>
                  </w:pPr>
                  <w:r>
                    <w:rPr>
                      <w:rFonts w:hint="eastAsia"/>
                      <w:color w:val="auto"/>
                      <w:lang w:val="en-US" w:eastAsia="zh-CN"/>
                    </w:rPr>
                    <w:t>4</w:t>
                  </w:r>
                </w:p>
              </w:tc>
              <w:tc>
                <w:tcPr>
                  <w:tcW w:w="907" w:type="dxa"/>
                  <w:noWrap w:val="0"/>
                  <w:vAlign w:val="center"/>
                </w:tcPr>
                <w:p>
                  <w:pPr>
                    <w:pStyle w:val="13"/>
                    <w:spacing w:beforeLines="0" w:afterLines="0"/>
                    <w:rPr>
                      <w:rFonts w:hint="eastAsia" w:ascii="Times New Roman" w:hAnsi="Times New Roman" w:eastAsia="宋体"/>
                      <w:color w:val="auto"/>
                      <w:sz w:val="21"/>
                      <w:lang w:val="en-US" w:eastAsia="zh-CN" w:bidi="ar-SA"/>
                    </w:rPr>
                  </w:pPr>
                  <w:r>
                    <w:rPr>
                      <w:rFonts w:hint="eastAsia" w:ascii="宋体"/>
                      <w:color w:val="auto"/>
                      <w:sz w:val="21"/>
                      <w:szCs w:val="24"/>
                      <w:lang w:eastAsia="zh-CN"/>
                    </w:rPr>
                    <w:t>硬浆4075</w:t>
                  </w:r>
                </w:p>
              </w:tc>
              <w:tc>
                <w:tcPr>
                  <w:tcW w:w="708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olor w:val="auto"/>
                      <w:sz w:val="21"/>
                      <w:lang w:val="en-US" w:eastAsia="zh-CN" w:bidi="ar-SA"/>
                    </w:rPr>
                  </w:pPr>
                  <w:r>
                    <w:rPr>
                      <w:rFonts w:hint="eastAsia"/>
                      <w:color w:val="auto"/>
                      <w:sz w:val="21"/>
                      <w:lang w:val="en-US" w:eastAsia="zh-CN" w:bidi="ar-SA"/>
                    </w:rPr>
                    <w:t>乳白胶状液体，无气味，pH为7.5±1.0，完全溶解于水，密度为1.0～1.1，</w:t>
                  </w:r>
                  <w:r>
                    <w:rPr>
                      <w:rFonts w:hint="eastAsia" w:ascii="Times New Roman" w:hAnsi="Times New Roman" w:eastAsia="宋体"/>
                      <w:color w:val="auto"/>
                      <w:sz w:val="21"/>
                      <w:lang w:val="en-US" w:eastAsia="zh-CN" w:bidi="ar-SA"/>
                    </w:rPr>
                    <w:t>由丙烯酸</w:t>
                  </w:r>
                  <w:r>
                    <w:rPr>
                      <w:rFonts w:hint="eastAsia"/>
                      <w:color w:val="auto"/>
                      <w:sz w:val="21"/>
                      <w:lang w:val="en-US" w:eastAsia="zh-CN" w:bidi="ar-SA"/>
                    </w:rPr>
                    <w:t>聚合物</w:t>
                  </w:r>
                  <w:r>
                    <w:rPr>
                      <w:rFonts w:hint="eastAsia" w:ascii="Times New Roman" w:hAnsi="Times New Roman" w:eastAsia="宋体"/>
                      <w:color w:val="auto"/>
                      <w:sz w:val="21"/>
                      <w:lang w:val="en-US" w:eastAsia="zh-CN" w:bidi="ar-SA"/>
                    </w:rPr>
                    <w:t>（</w:t>
                  </w:r>
                  <w:r>
                    <w:rPr>
                      <w:rFonts w:hint="eastAsia"/>
                      <w:color w:val="auto"/>
                      <w:sz w:val="21"/>
                      <w:lang w:val="en-US" w:eastAsia="zh-CN" w:bidi="ar-SA"/>
                    </w:rPr>
                    <w:t>42</w:t>
                  </w:r>
                  <w:r>
                    <w:rPr>
                      <w:rFonts w:hint="eastAsia" w:ascii="Times New Roman" w:hAnsi="Times New Roman" w:eastAsia="宋体"/>
                      <w:color w:val="auto"/>
                      <w:sz w:val="21"/>
                      <w:lang w:val="en-US" w:eastAsia="zh-CN" w:bidi="ar-SA"/>
                    </w:rPr>
                    <w:t>%）、</w:t>
                  </w:r>
                  <w:r>
                    <w:rPr>
                      <w:rFonts w:hint="eastAsia"/>
                      <w:color w:val="auto"/>
                      <w:sz w:val="21"/>
                      <w:lang w:val="en-US" w:eastAsia="zh-CN" w:bidi="ar-SA"/>
                    </w:rPr>
                    <w:t>非离子界面活性剂</w:t>
                  </w:r>
                  <w:r>
                    <w:rPr>
                      <w:rFonts w:hint="eastAsia" w:ascii="Times New Roman" w:hAnsi="Times New Roman" w:eastAsia="宋体"/>
                      <w:color w:val="auto"/>
                      <w:sz w:val="21"/>
                      <w:lang w:val="en-US" w:eastAsia="zh-CN" w:bidi="ar-SA"/>
                    </w:rPr>
                    <w:t>（</w:t>
                  </w:r>
                  <w:r>
                    <w:rPr>
                      <w:rFonts w:hint="eastAsia"/>
                      <w:color w:val="auto"/>
                      <w:sz w:val="21"/>
                      <w:lang w:val="en-US" w:eastAsia="zh-CN" w:bidi="ar-SA"/>
                    </w:rPr>
                    <w:t>3</w:t>
                  </w:r>
                  <w:r>
                    <w:rPr>
                      <w:rFonts w:hint="eastAsia" w:ascii="Times New Roman" w:hAnsi="Times New Roman" w:eastAsia="宋体"/>
                      <w:color w:val="auto"/>
                      <w:sz w:val="21"/>
                      <w:lang w:val="en-US" w:eastAsia="zh-CN" w:bidi="ar-SA"/>
                    </w:rPr>
                    <w:t>%）、水（55%）组成</w:t>
                  </w:r>
                  <w:r>
                    <w:rPr>
                      <w:rFonts w:hint="eastAsia"/>
                      <w:color w:val="auto"/>
                      <w:sz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1531" w:hRule="atLeast"/>
                <w:jc w:val="center"/>
              </w:trPr>
              <w:tc>
                <w:tcPr>
                  <w:tcW w:w="68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5</w:t>
                  </w:r>
                </w:p>
              </w:tc>
              <w:tc>
                <w:tcPr>
                  <w:tcW w:w="90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eastAsia="zh-CN"/>
                    </w:rPr>
                    <w:t>天然气</w:t>
                  </w:r>
                </w:p>
              </w:tc>
              <w:tc>
                <w:tcPr>
                  <w:tcW w:w="708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rPr>
                  </w:pPr>
                  <w:r>
                    <w:rPr>
                      <w:rFonts w:hint="default"/>
                      <w:color w:val="auto"/>
                      <w:lang w:val="en-US" w:eastAsia="zh-CN"/>
                    </w:rPr>
                    <w:t>天然气主要成分</w:t>
                  </w:r>
                  <w:r>
                    <w:rPr>
                      <w:rFonts w:hint="eastAsia"/>
                      <w:color w:val="auto"/>
                      <w:lang w:val="en-US" w:eastAsia="zh-CN"/>
                    </w:rPr>
                    <w:t>为</w:t>
                  </w:r>
                  <w:r>
                    <w:rPr>
                      <w:rFonts w:hint="default"/>
                      <w:color w:val="auto"/>
                      <w:lang w:val="en-US" w:eastAsia="zh-CN"/>
                    </w:rPr>
                    <w:t>烷烃，其中甲烷占绝大多数，另有少量的乙烷、丙烷和丁烷。不溶于水，密度为0.7174kg/Nm³，相对密度（水）约为0.45（液化），燃点为650℃，比重约为0.65，比空气轻，具有无色、无味、无毒之特性。在标准状况下，甲烷至丁烷以气体状态存在，戊烷以上为液体。甲烷是最短和最轻的烃分子。天然气每立方燃烧热值为8000大卡至8500大卡。</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eastAsia"/>
                <w:color w:val="auto"/>
                <w:lang w:val="en-US" w:eastAsia="zh-CN"/>
              </w:rPr>
              <w:t>项目设置2条活性炭无纺布生产线，生产过程中使用热熔胶即EVA680C（乙烯-醋酸乙烯共聚物），根据</w:t>
            </w:r>
            <w:r>
              <w:rPr>
                <w:rFonts w:hint="eastAsia"/>
                <w:color w:val="auto"/>
                <w:lang w:eastAsia="zh-CN"/>
              </w:rPr>
              <w:t>《排放源统计调查产排污核算方法和系数手册》中“1781非织造布制造行业系数手册</w:t>
            </w:r>
            <w:r>
              <w:rPr>
                <w:rFonts w:hint="eastAsia"/>
                <w:color w:val="auto"/>
                <w:lang w:val="en-US" w:eastAsia="zh-CN"/>
              </w:rPr>
              <w:t>-非织造布-化学粘合工艺</w:t>
            </w:r>
            <w:r>
              <w:rPr>
                <w:rFonts w:hint="eastAsia"/>
                <w:color w:val="auto"/>
                <w:lang w:eastAsia="zh-CN"/>
              </w:rPr>
              <w:t>”</w:t>
            </w:r>
            <w:r>
              <w:rPr>
                <w:rFonts w:hint="eastAsia"/>
                <w:color w:val="auto"/>
                <w:lang w:val="en-US" w:eastAsia="zh-CN"/>
              </w:rPr>
              <w:t>挥发性有机物的</w:t>
            </w:r>
            <w:r>
              <w:rPr>
                <w:rFonts w:hint="eastAsia"/>
                <w:color w:val="auto"/>
                <w:lang w:eastAsia="zh-CN"/>
              </w:rPr>
              <w:t>产污系数（</w:t>
            </w:r>
            <w:r>
              <w:rPr>
                <w:rFonts w:hint="eastAsia"/>
                <w:color w:val="auto"/>
                <w:lang w:val="en-US" w:eastAsia="zh-CN"/>
              </w:rPr>
              <w:t>266g/t-产品</w:t>
            </w:r>
            <w:r>
              <w:rPr>
                <w:rFonts w:hint="eastAsia"/>
                <w:color w:val="auto"/>
                <w:lang w:eastAsia="zh-CN"/>
              </w:rPr>
              <w:t>）计算，</w:t>
            </w:r>
            <w:r>
              <w:rPr>
                <w:rFonts w:hint="eastAsia"/>
                <w:color w:val="auto"/>
                <w:lang w:val="en-US" w:eastAsia="zh-CN"/>
              </w:rPr>
              <w:t>活性炭无纺布的年生产量为300万㎡，比重约为300g/㎡，经计算</w:t>
            </w:r>
            <w:r>
              <w:rPr>
                <w:rFonts w:hint="default"/>
                <w:color w:val="auto"/>
                <w:lang w:val="en-US" w:eastAsia="zh-CN"/>
              </w:rPr>
              <w:t>活性炭无纺布的年生产量为</w:t>
            </w:r>
            <w:r>
              <w:rPr>
                <w:rFonts w:hint="eastAsia"/>
                <w:color w:val="auto"/>
                <w:lang w:val="en-US" w:eastAsia="zh-CN"/>
              </w:rPr>
              <w:t>900t，则VOCs的产生量为0.2394t/a。</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rPr>
            </w:pPr>
            <w:r>
              <w:rPr>
                <w:rFonts w:hint="eastAsia"/>
                <w:color w:val="auto"/>
                <w:lang w:eastAsia="zh-CN"/>
              </w:rPr>
              <w:t>根据企业提供材料，</w:t>
            </w:r>
            <w:r>
              <w:rPr>
                <w:rFonts w:hint="eastAsia"/>
                <w:color w:val="auto"/>
              </w:rPr>
              <w:t>项目</w:t>
            </w:r>
            <w:r>
              <w:rPr>
                <w:rFonts w:hint="eastAsia"/>
                <w:color w:val="auto"/>
                <w:lang w:val="en-US" w:eastAsia="zh-CN"/>
              </w:rPr>
              <w:t>软胶805使用量为4.8t/a（检测报告中VOCs含量为3g/L，密度为1.05g/mL），软胶810使用量为5.5t/a（检测报告中VOCs含量为4g/L，密度为1.05g/mL），硬浆4075使用量为1.2t/a（检测报告中VOCs含量为未检出），经计算软胶805挥发出VOCs的量约为0.0137t/a，软胶810挥发出VOCs的量约为0.0210t/a，硬浆4075不挥发有机废气。</w:t>
            </w:r>
          </w:p>
          <w:p>
            <w:pPr>
              <w:pStyle w:val="16"/>
              <w:bidi w:val="0"/>
              <w:rPr>
                <w:rFonts w:hint="eastAsia"/>
                <w:color w:val="auto"/>
              </w:rPr>
            </w:pPr>
            <w:r>
              <w:rPr>
                <w:rFonts w:hint="eastAsia"/>
                <w:color w:val="auto"/>
              </w:rPr>
              <w:t>项目VOCs平衡分析，见下表。</w:t>
            </w:r>
          </w:p>
          <w:p>
            <w:pPr>
              <w:pStyle w:val="11"/>
              <w:bidi w:val="0"/>
              <w:rPr>
                <w:rFonts w:hint="eastAsia"/>
                <w:color w:val="auto"/>
              </w:rPr>
            </w:pPr>
            <w:r>
              <w:rPr>
                <w:rFonts w:hint="eastAsia"/>
                <w:color w:val="auto"/>
              </w:rPr>
              <w:t>表2-</w:t>
            </w:r>
            <w:r>
              <w:rPr>
                <w:rFonts w:hint="eastAsia"/>
                <w:color w:val="auto"/>
                <w:lang w:val="en-US" w:eastAsia="zh-CN"/>
              </w:rPr>
              <w:t>8</w:t>
            </w:r>
            <w:r>
              <w:rPr>
                <w:rFonts w:hint="eastAsia"/>
                <w:color w:val="auto"/>
              </w:rPr>
              <w:t xml:space="preserve"> 项目VOCs平衡表</w:t>
            </w:r>
          </w:p>
          <w:tbl>
            <w:tblPr>
              <w:tblStyle w:val="7"/>
              <w:tblW w:w="8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2"/>
              <w:gridCol w:w="1312"/>
              <w:gridCol w:w="1005"/>
              <w:gridCol w:w="1170"/>
              <w:gridCol w:w="750"/>
              <w:gridCol w:w="1275"/>
              <w:gridCol w:w="1485"/>
              <w:gridCol w:w="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2" w:type="dxa"/>
                  <w:noWrap w:val="0"/>
                  <w:vAlign w:val="center"/>
                </w:tcPr>
                <w:p>
                  <w:pPr>
                    <w:pStyle w:val="15"/>
                    <w:bidi w:val="0"/>
                    <w:rPr>
                      <w:rFonts w:hint="eastAsia"/>
                      <w:color w:val="auto"/>
                    </w:rPr>
                  </w:pPr>
                  <w:r>
                    <w:rPr>
                      <w:rFonts w:hint="eastAsia"/>
                      <w:color w:val="auto"/>
                    </w:rPr>
                    <w:t>序号</w:t>
                  </w:r>
                </w:p>
              </w:tc>
              <w:tc>
                <w:tcPr>
                  <w:tcW w:w="2317" w:type="dxa"/>
                  <w:gridSpan w:val="2"/>
                  <w:noWrap w:val="0"/>
                  <w:vAlign w:val="center"/>
                </w:tcPr>
                <w:p>
                  <w:pPr>
                    <w:pStyle w:val="15"/>
                    <w:bidi w:val="0"/>
                    <w:rPr>
                      <w:rFonts w:hint="default" w:eastAsia="宋体"/>
                      <w:color w:val="auto"/>
                      <w:lang w:val="en-US" w:eastAsia="zh-CN"/>
                    </w:rPr>
                  </w:pPr>
                  <w:r>
                    <w:rPr>
                      <w:rFonts w:hint="eastAsia"/>
                      <w:color w:val="auto"/>
                      <w:lang w:val="en-US" w:eastAsia="zh-CN"/>
                    </w:rPr>
                    <w:t>原辅材料</w:t>
                  </w:r>
                  <w:r>
                    <w:rPr>
                      <w:rFonts w:hint="eastAsia"/>
                      <w:color w:val="auto"/>
                      <w:lang w:eastAsia="zh-CN"/>
                    </w:rPr>
                    <w:t>（</w:t>
                  </w:r>
                  <w:r>
                    <w:rPr>
                      <w:rFonts w:hint="eastAsia"/>
                      <w:color w:val="auto"/>
                    </w:rPr>
                    <w:t>t/a）</w:t>
                  </w:r>
                  <w:r>
                    <w:rPr>
                      <w:rFonts w:hint="eastAsia"/>
                      <w:color w:val="auto"/>
                      <w:lang w:val="en-US" w:eastAsia="zh-CN"/>
                    </w:rPr>
                    <w:t>/来源</w:t>
                  </w:r>
                </w:p>
              </w:tc>
              <w:tc>
                <w:tcPr>
                  <w:tcW w:w="1170" w:type="dxa"/>
                  <w:noWrap w:val="0"/>
                  <w:vAlign w:val="center"/>
                </w:tcPr>
                <w:p>
                  <w:pPr>
                    <w:pStyle w:val="15"/>
                    <w:bidi w:val="0"/>
                    <w:rPr>
                      <w:rFonts w:hint="eastAsia"/>
                      <w:color w:val="auto"/>
                    </w:rPr>
                  </w:pPr>
                  <w:r>
                    <w:rPr>
                      <w:rFonts w:hint="eastAsia"/>
                      <w:color w:val="auto"/>
                    </w:rPr>
                    <w:t>VOCs量</w:t>
                  </w:r>
                </w:p>
              </w:tc>
              <w:tc>
                <w:tcPr>
                  <w:tcW w:w="4373" w:type="dxa"/>
                  <w:gridSpan w:val="4"/>
                  <w:noWrap w:val="0"/>
                  <w:vAlign w:val="center"/>
                </w:tcPr>
                <w:p>
                  <w:pPr>
                    <w:pStyle w:val="15"/>
                    <w:bidi w:val="0"/>
                    <w:rPr>
                      <w:rFonts w:hint="eastAsia"/>
                      <w:color w:val="auto"/>
                    </w:rPr>
                  </w:pPr>
                  <w:r>
                    <w:rPr>
                      <w:rFonts w:hint="eastAsia"/>
                      <w:color w:val="auto"/>
                    </w:rPr>
                    <w:t>输出</w:t>
                  </w:r>
                  <w:r>
                    <w:rPr>
                      <w:rFonts w:hint="eastAsia"/>
                      <w:color w:val="auto"/>
                      <w:lang w:eastAsia="zh-CN"/>
                    </w:rPr>
                    <w:t>（</w:t>
                  </w:r>
                  <w:r>
                    <w:rPr>
                      <w:rFonts w:hint="eastAsia"/>
                      <w:color w:val="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2" w:type="dxa"/>
                  <w:noWrap w:val="0"/>
                  <w:vAlign w:val="center"/>
                </w:tcPr>
                <w:p>
                  <w:pPr>
                    <w:pStyle w:val="13"/>
                    <w:bidi w:val="0"/>
                    <w:rPr>
                      <w:rFonts w:hint="eastAsia"/>
                      <w:color w:val="auto"/>
                    </w:rPr>
                  </w:pPr>
                  <w:r>
                    <w:rPr>
                      <w:rFonts w:hint="eastAsia"/>
                      <w:color w:val="auto"/>
                    </w:rPr>
                    <w:t>1</w:t>
                  </w:r>
                </w:p>
              </w:tc>
              <w:tc>
                <w:tcPr>
                  <w:tcW w:w="1312" w:type="dxa"/>
                  <w:noWrap w:val="0"/>
                  <w:vAlign w:val="center"/>
                </w:tcPr>
                <w:p>
                  <w:pPr>
                    <w:pStyle w:val="13"/>
                    <w:bidi w:val="0"/>
                    <w:rPr>
                      <w:rFonts w:hint="eastAsia"/>
                      <w:color w:val="auto"/>
                      <w:lang w:val="en-US" w:eastAsia="zh-CN"/>
                    </w:rPr>
                  </w:pPr>
                  <w:r>
                    <w:rPr>
                      <w:rFonts w:hint="eastAsia"/>
                      <w:color w:val="auto"/>
                      <w:lang w:val="en-US" w:eastAsia="zh-CN"/>
                    </w:rPr>
                    <w:t>软胶805</w:t>
                  </w:r>
                </w:p>
              </w:tc>
              <w:tc>
                <w:tcPr>
                  <w:tcW w:w="1005" w:type="dxa"/>
                  <w:noWrap w:val="0"/>
                  <w:vAlign w:val="center"/>
                </w:tcPr>
                <w:p>
                  <w:pPr>
                    <w:pStyle w:val="13"/>
                    <w:bidi w:val="0"/>
                    <w:rPr>
                      <w:rFonts w:hint="eastAsia"/>
                      <w:color w:val="auto"/>
                      <w:lang w:val="en-US" w:eastAsia="zh-CN"/>
                    </w:rPr>
                  </w:pPr>
                  <w:r>
                    <w:rPr>
                      <w:rFonts w:hint="eastAsia"/>
                      <w:color w:val="auto"/>
                      <w:lang w:val="en-US" w:eastAsia="zh-CN"/>
                    </w:rPr>
                    <w:t>4.8</w:t>
                  </w:r>
                </w:p>
              </w:tc>
              <w:tc>
                <w:tcPr>
                  <w:tcW w:w="1170" w:type="dxa"/>
                  <w:noWrap w:val="0"/>
                  <w:vAlign w:val="center"/>
                </w:tcPr>
                <w:p>
                  <w:pPr>
                    <w:pStyle w:val="13"/>
                    <w:bidi w:val="0"/>
                    <w:rPr>
                      <w:rFonts w:hint="eastAsia"/>
                      <w:color w:val="auto"/>
                      <w:lang w:val="en-US" w:eastAsia="zh-CN"/>
                    </w:rPr>
                  </w:pPr>
                  <w:r>
                    <w:rPr>
                      <w:rFonts w:hint="eastAsia"/>
                      <w:color w:val="auto"/>
                      <w:lang w:val="en-US" w:eastAsia="zh-CN"/>
                    </w:rPr>
                    <w:t>0.0137</w:t>
                  </w:r>
                </w:p>
              </w:tc>
              <w:tc>
                <w:tcPr>
                  <w:tcW w:w="750" w:type="dxa"/>
                  <w:vMerge w:val="restart"/>
                  <w:noWrap w:val="0"/>
                  <w:vAlign w:val="center"/>
                </w:tcPr>
                <w:p>
                  <w:pPr>
                    <w:pStyle w:val="13"/>
                    <w:bidi w:val="0"/>
                    <w:rPr>
                      <w:rFonts w:hint="eastAsia"/>
                      <w:color w:val="auto"/>
                      <w:lang w:val="en-US" w:eastAsia="zh-CN"/>
                    </w:rPr>
                  </w:pPr>
                  <w:r>
                    <w:rPr>
                      <w:rFonts w:hint="eastAsia"/>
                      <w:color w:val="auto"/>
                    </w:rPr>
                    <w:t>收集</w:t>
                  </w:r>
                </w:p>
              </w:tc>
              <w:tc>
                <w:tcPr>
                  <w:tcW w:w="1275" w:type="dxa"/>
                  <w:vMerge w:val="restart"/>
                  <w:noWrap w:val="0"/>
                  <w:vAlign w:val="center"/>
                </w:tcPr>
                <w:p>
                  <w:pPr>
                    <w:pStyle w:val="13"/>
                    <w:bidi w:val="0"/>
                    <w:rPr>
                      <w:rFonts w:hint="eastAsia"/>
                      <w:color w:val="auto"/>
                      <w:lang w:val="en-US" w:eastAsia="zh-CN"/>
                    </w:rPr>
                  </w:pPr>
                  <w:r>
                    <w:rPr>
                      <w:rFonts w:hint="eastAsia"/>
                      <w:color w:val="auto"/>
                    </w:rPr>
                    <w:t>非甲烷总烃</w:t>
                  </w:r>
                  <w:r>
                    <w:rPr>
                      <w:rFonts w:hint="eastAsia"/>
                      <w:color w:val="auto"/>
                      <w:lang w:eastAsia="zh-CN"/>
                    </w:rPr>
                    <w:t>（</w:t>
                  </w:r>
                  <w:r>
                    <w:rPr>
                      <w:rFonts w:hint="eastAsia"/>
                      <w:color w:val="auto"/>
                      <w:lang w:val="en-US" w:eastAsia="zh-CN"/>
                    </w:rPr>
                    <w:t>0.24669</w:t>
                  </w:r>
                  <w:r>
                    <w:rPr>
                      <w:rFonts w:hint="eastAsia"/>
                      <w:color w:val="auto"/>
                    </w:rPr>
                    <w:t>）</w:t>
                  </w:r>
                </w:p>
              </w:tc>
              <w:tc>
                <w:tcPr>
                  <w:tcW w:w="1485" w:type="dxa"/>
                  <w:vMerge w:val="restart"/>
                  <w:noWrap w:val="0"/>
                  <w:vAlign w:val="center"/>
                </w:tcPr>
                <w:p>
                  <w:pPr>
                    <w:pStyle w:val="13"/>
                    <w:bidi w:val="0"/>
                    <w:rPr>
                      <w:rFonts w:hint="eastAsia"/>
                      <w:color w:val="auto"/>
                      <w:lang w:val="en-US" w:eastAsia="zh-CN"/>
                    </w:rPr>
                  </w:pPr>
                  <w:r>
                    <w:rPr>
                      <w:rFonts w:hint="eastAsia"/>
                      <w:color w:val="auto"/>
                      <w:lang w:eastAsia="zh-CN"/>
                    </w:rPr>
                    <w:t>吸附</w:t>
                  </w:r>
                  <w:r>
                    <w:rPr>
                      <w:rFonts w:hint="eastAsia"/>
                      <w:color w:val="auto"/>
                    </w:rPr>
                    <w:t>量</w:t>
                  </w:r>
                </w:p>
              </w:tc>
              <w:tc>
                <w:tcPr>
                  <w:tcW w:w="863" w:type="dxa"/>
                  <w:vMerge w:val="restart"/>
                  <w:noWrap w:val="0"/>
                  <w:vAlign w:val="center"/>
                </w:tcPr>
                <w:p>
                  <w:pPr>
                    <w:pStyle w:val="13"/>
                    <w:bidi w:val="0"/>
                    <w:rPr>
                      <w:rFonts w:hint="default"/>
                      <w:color w:val="auto"/>
                      <w:lang w:val="en-US" w:eastAsia="zh-CN"/>
                    </w:rPr>
                  </w:pPr>
                  <w:r>
                    <w:rPr>
                      <w:rFonts w:hint="eastAsia"/>
                      <w:color w:val="auto"/>
                      <w:lang w:val="en-US" w:eastAsia="zh-CN"/>
                    </w:rPr>
                    <w:t>0.22202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2" w:type="dxa"/>
                  <w:noWrap w:val="0"/>
                  <w:vAlign w:val="center"/>
                </w:tcPr>
                <w:p>
                  <w:pPr>
                    <w:pStyle w:val="13"/>
                    <w:bidi w:val="0"/>
                    <w:rPr>
                      <w:rFonts w:hint="eastAsia"/>
                      <w:color w:val="auto"/>
                      <w:lang w:val="en-US" w:eastAsia="zh-CN"/>
                    </w:rPr>
                  </w:pPr>
                  <w:r>
                    <w:rPr>
                      <w:rFonts w:hint="eastAsia"/>
                      <w:color w:val="auto"/>
                    </w:rPr>
                    <w:t>2</w:t>
                  </w:r>
                </w:p>
              </w:tc>
              <w:tc>
                <w:tcPr>
                  <w:tcW w:w="1312" w:type="dxa"/>
                  <w:noWrap w:val="0"/>
                  <w:vAlign w:val="center"/>
                </w:tcPr>
                <w:p>
                  <w:pPr>
                    <w:pStyle w:val="13"/>
                    <w:bidi w:val="0"/>
                    <w:rPr>
                      <w:rFonts w:hint="eastAsia"/>
                      <w:color w:val="auto"/>
                      <w:lang w:val="en-US" w:eastAsia="zh-CN"/>
                    </w:rPr>
                  </w:pPr>
                  <w:r>
                    <w:rPr>
                      <w:rFonts w:hint="eastAsia"/>
                      <w:color w:val="auto"/>
                      <w:lang w:val="en-US" w:eastAsia="zh-CN"/>
                    </w:rPr>
                    <w:t>软胶810</w:t>
                  </w:r>
                </w:p>
              </w:tc>
              <w:tc>
                <w:tcPr>
                  <w:tcW w:w="1005" w:type="dxa"/>
                  <w:noWrap w:val="0"/>
                  <w:vAlign w:val="center"/>
                </w:tcPr>
                <w:p>
                  <w:pPr>
                    <w:pStyle w:val="13"/>
                    <w:bidi w:val="0"/>
                    <w:rPr>
                      <w:rFonts w:hint="eastAsia"/>
                      <w:color w:val="auto"/>
                      <w:lang w:val="en-US" w:eastAsia="zh-CN"/>
                    </w:rPr>
                  </w:pPr>
                  <w:r>
                    <w:rPr>
                      <w:rFonts w:hint="eastAsia"/>
                      <w:color w:val="auto"/>
                      <w:lang w:val="en-US" w:eastAsia="zh-CN"/>
                    </w:rPr>
                    <w:t>5.5</w:t>
                  </w:r>
                </w:p>
              </w:tc>
              <w:tc>
                <w:tcPr>
                  <w:tcW w:w="1170" w:type="dxa"/>
                  <w:noWrap w:val="0"/>
                  <w:vAlign w:val="center"/>
                </w:tcPr>
                <w:p>
                  <w:pPr>
                    <w:pStyle w:val="13"/>
                    <w:bidi w:val="0"/>
                    <w:rPr>
                      <w:rFonts w:hint="eastAsia"/>
                      <w:color w:val="auto"/>
                      <w:lang w:val="en-US" w:eastAsia="zh-CN"/>
                    </w:rPr>
                  </w:pPr>
                  <w:r>
                    <w:rPr>
                      <w:rFonts w:hint="eastAsia"/>
                      <w:color w:val="auto"/>
                      <w:lang w:val="en-US" w:eastAsia="zh-CN"/>
                    </w:rPr>
                    <w:t>0.0210</w:t>
                  </w:r>
                </w:p>
              </w:tc>
              <w:tc>
                <w:tcPr>
                  <w:tcW w:w="750" w:type="dxa"/>
                  <w:vMerge w:val="continue"/>
                  <w:noWrap w:val="0"/>
                  <w:vAlign w:val="center"/>
                </w:tcPr>
                <w:p>
                  <w:pPr>
                    <w:pStyle w:val="13"/>
                    <w:bidi w:val="0"/>
                    <w:rPr>
                      <w:rFonts w:hint="eastAsia"/>
                      <w:color w:val="auto"/>
                    </w:rPr>
                  </w:pPr>
                </w:p>
              </w:tc>
              <w:tc>
                <w:tcPr>
                  <w:tcW w:w="1275" w:type="dxa"/>
                  <w:vMerge w:val="continue"/>
                  <w:noWrap w:val="0"/>
                  <w:vAlign w:val="center"/>
                </w:tcPr>
                <w:p>
                  <w:pPr>
                    <w:pStyle w:val="13"/>
                    <w:bidi w:val="0"/>
                    <w:rPr>
                      <w:rFonts w:hint="eastAsia"/>
                      <w:color w:val="auto"/>
                    </w:rPr>
                  </w:pPr>
                </w:p>
              </w:tc>
              <w:tc>
                <w:tcPr>
                  <w:tcW w:w="1485" w:type="dxa"/>
                  <w:vMerge w:val="continue"/>
                  <w:noWrap w:val="0"/>
                  <w:vAlign w:val="center"/>
                </w:tcPr>
                <w:p>
                  <w:pPr>
                    <w:pStyle w:val="13"/>
                    <w:bidi w:val="0"/>
                    <w:rPr>
                      <w:rFonts w:hint="eastAsia"/>
                      <w:color w:val="auto"/>
                      <w:lang w:eastAsia="zh-CN"/>
                    </w:rPr>
                  </w:pPr>
                </w:p>
              </w:tc>
              <w:tc>
                <w:tcPr>
                  <w:tcW w:w="863" w:type="dxa"/>
                  <w:vMerge w:val="continue"/>
                  <w:noWrap w:val="0"/>
                  <w:vAlign w:val="center"/>
                </w:tcPr>
                <w:p>
                  <w:pPr>
                    <w:pStyle w:val="13"/>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2" w:type="dxa"/>
                  <w:noWrap w:val="0"/>
                  <w:vAlign w:val="center"/>
                </w:tcPr>
                <w:p>
                  <w:pPr>
                    <w:pStyle w:val="13"/>
                    <w:bidi w:val="0"/>
                    <w:rPr>
                      <w:rFonts w:hint="eastAsia"/>
                      <w:color w:val="auto"/>
                      <w:lang w:val="en-US" w:eastAsia="zh-CN"/>
                    </w:rPr>
                  </w:pPr>
                  <w:r>
                    <w:rPr>
                      <w:rFonts w:hint="eastAsia"/>
                      <w:color w:val="auto"/>
                      <w:lang w:val="en-US" w:eastAsia="zh-CN"/>
                    </w:rPr>
                    <w:t>3</w:t>
                  </w:r>
                </w:p>
              </w:tc>
              <w:tc>
                <w:tcPr>
                  <w:tcW w:w="2317" w:type="dxa"/>
                  <w:gridSpan w:val="2"/>
                  <w:noWrap w:val="0"/>
                  <w:vAlign w:val="center"/>
                </w:tcPr>
                <w:p>
                  <w:pPr>
                    <w:pStyle w:val="13"/>
                    <w:bidi w:val="0"/>
                    <w:rPr>
                      <w:rFonts w:hint="default"/>
                      <w:color w:val="auto"/>
                      <w:lang w:val="en-US" w:eastAsia="zh-CN"/>
                    </w:rPr>
                  </w:pPr>
                  <w:r>
                    <w:rPr>
                      <w:rFonts w:hint="default"/>
                      <w:color w:val="auto"/>
                      <w:lang w:val="en-US" w:eastAsia="zh-CN"/>
                    </w:rPr>
                    <w:t>活性炭无纺布</w:t>
                  </w:r>
                </w:p>
              </w:tc>
              <w:tc>
                <w:tcPr>
                  <w:tcW w:w="1170" w:type="dxa"/>
                  <w:noWrap w:val="0"/>
                  <w:vAlign w:val="center"/>
                </w:tcPr>
                <w:p>
                  <w:pPr>
                    <w:pStyle w:val="13"/>
                    <w:bidi w:val="0"/>
                    <w:rPr>
                      <w:rFonts w:hint="default"/>
                      <w:color w:val="auto"/>
                      <w:lang w:val="en-US" w:eastAsia="zh-CN"/>
                    </w:rPr>
                  </w:pPr>
                  <w:r>
                    <w:rPr>
                      <w:rFonts w:hint="default"/>
                      <w:color w:val="auto"/>
                      <w:lang w:val="en-US" w:eastAsia="zh-CN"/>
                    </w:rPr>
                    <w:t>0.2394</w:t>
                  </w:r>
                </w:p>
              </w:tc>
              <w:tc>
                <w:tcPr>
                  <w:tcW w:w="750" w:type="dxa"/>
                  <w:vMerge w:val="continue"/>
                  <w:noWrap w:val="0"/>
                  <w:vAlign w:val="center"/>
                </w:tcPr>
                <w:p>
                  <w:pPr>
                    <w:pStyle w:val="13"/>
                    <w:bidi w:val="0"/>
                    <w:rPr>
                      <w:rFonts w:hint="eastAsia"/>
                      <w:color w:val="auto"/>
                    </w:rPr>
                  </w:pPr>
                </w:p>
              </w:tc>
              <w:tc>
                <w:tcPr>
                  <w:tcW w:w="1275" w:type="dxa"/>
                  <w:vMerge w:val="continue"/>
                  <w:noWrap w:val="0"/>
                  <w:vAlign w:val="center"/>
                </w:tcPr>
                <w:p>
                  <w:pPr>
                    <w:pStyle w:val="13"/>
                    <w:bidi w:val="0"/>
                    <w:rPr>
                      <w:rFonts w:hint="eastAsia"/>
                      <w:color w:val="auto"/>
                    </w:rPr>
                  </w:pPr>
                </w:p>
              </w:tc>
              <w:tc>
                <w:tcPr>
                  <w:tcW w:w="1485" w:type="dxa"/>
                  <w:noWrap w:val="0"/>
                  <w:vAlign w:val="center"/>
                </w:tcPr>
                <w:p>
                  <w:pPr>
                    <w:pStyle w:val="13"/>
                    <w:bidi w:val="0"/>
                    <w:rPr>
                      <w:rFonts w:hint="eastAsia"/>
                      <w:color w:val="auto"/>
                    </w:rPr>
                  </w:pPr>
                  <w:r>
                    <w:rPr>
                      <w:rFonts w:hint="eastAsia"/>
                      <w:color w:val="auto"/>
                      <w:lang w:eastAsia="zh-CN"/>
                    </w:rPr>
                    <w:t>吸附</w:t>
                  </w:r>
                  <w:r>
                    <w:rPr>
                      <w:rFonts w:hint="eastAsia"/>
                      <w:color w:val="auto"/>
                    </w:rPr>
                    <w:t>后排放量</w:t>
                  </w:r>
                </w:p>
              </w:tc>
              <w:tc>
                <w:tcPr>
                  <w:tcW w:w="863" w:type="dxa"/>
                  <w:noWrap w:val="0"/>
                  <w:vAlign w:val="center"/>
                </w:tcPr>
                <w:p>
                  <w:pPr>
                    <w:pStyle w:val="13"/>
                    <w:bidi w:val="0"/>
                    <w:rPr>
                      <w:rFonts w:hint="default"/>
                      <w:color w:val="auto"/>
                      <w:lang w:val="en-US" w:eastAsia="zh-CN"/>
                    </w:rPr>
                  </w:pPr>
                  <w:r>
                    <w:rPr>
                      <w:rFonts w:hint="eastAsia"/>
                      <w:color w:val="auto"/>
                      <w:lang w:val="en-US" w:eastAsia="zh-CN"/>
                    </w:rPr>
                    <w:t>0.02467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2" w:type="dxa"/>
                  <w:noWrap w:val="0"/>
                  <w:vAlign w:val="center"/>
                </w:tcPr>
                <w:p>
                  <w:pPr>
                    <w:pStyle w:val="13"/>
                    <w:bidi w:val="0"/>
                    <w:rPr>
                      <w:rFonts w:hint="default"/>
                      <w:color w:val="auto"/>
                      <w:lang w:val="en-US" w:eastAsia="zh-CN"/>
                    </w:rPr>
                  </w:pPr>
                  <w:r>
                    <w:rPr>
                      <w:rFonts w:hint="eastAsia"/>
                      <w:color w:val="auto"/>
                      <w:lang w:val="en-US" w:eastAsia="zh-CN"/>
                    </w:rPr>
                    <w:t>4</w:t>
                  </w:r>
                </w:p>
              </w:tc>
              <w:tc>
                <w:tcPr>
                  <w:tcW w:w="1312" w:type="dxa"/>
                  <w:noWrap w:val="0"/>
                  <w:vAlign w:val="center"/>
                </w:tcPr>
                <w:p>
                  <w:pPr>
                    <w:pStyle w:val="13"/>
                    <w:bidi w:val="0"/>
                    <w:rPr>
                      <w:rFonts w:hint="default"/>
                      <w:color w:val="auto"/>
                      <w:lang w:val="en-US" w:eastAsia="zh-CN"/>
                    </w:rPr>
                  </w:pPr>
                  <w:r>
                    <w:rPr>
                      <w:rFonts w:hint="eastAsia"/>
                      <w:color w:val="auto"/>
                      <w:lang w:val="en-US" w:eastAsia="zh-CN"/>
                    </w:rPr>
                    <w:t>/</w:t>
                  </w:r>
                </w:p>
              </w:tc>
              <w:tc>
                <w:tcPr>
                  <w:tcW w:w="1005" w:type="dxa"/>
                  <w:noWrap w:val="0"/>
                  <w:vAlign w:val="center"/>
                </w:tcPr>
                <w:p>
                  <w:pPr>
                    <w:pStyle w:val="13"/>
                    <w:bidi w:val="0"/>
                    <w:rPr>
                      <w:rFonts w:hint="default"/>
                      <w:color w:val="auto"/>
                      <w:lang w:val="en-US" w:eastAsia="zh-CN"/>
                    </w:rPr>
                  </w:pPr>
                  <w:r>
                    <w:rPr>
                      <w:rFonts w:hint="eastAsia"/>
                      <w:color w:val="auto"/>
                      <w:lang w:val="en-US" w:eastAsia="zh-CN"/>
                    </w:rPr>
                    <w:t>/</w:t>
                  </w:r>
                </w:p>
              </w:tc>
              <w:tc>
                <w:tcPr>
                  <w:tcW w:w="1170" w:type="dxa"/>
                  <w:noWrap w:val="0"/>
                  <w:vAlign w:val="center"/>
                </w:tcPr>
                <w:p>
                  <w:pPr>
                    <w:pStyle w:val="13"/>
                    <w:bidi w:val="0"/>
                    <w:rPr>
                      <w:rFonts w:hint="eastAsia"/>
                      <w:color w:val="auto"/>
                      <w:lang w:val="en-US" w:eastAsia="zh-CN"/>
                    </w:rPr>
                  </w:pPr>
                  <w:r>
                    <w:rPr>
                      <w:rFonts w:hint="eastAsia"/>
                      <w:color w:val="auto"/>
                      <w:lang w:val="en-US" w:eastAsia="zh-CN"/>
                    </w:rPr>
                    <w:t>/</w:t>
                  </w:r>
                </w:p>
              </w:tc>
              <w:tc>
                <w:tcPr>
                  <w:tcW w:w="2025" w:type="dxa"/>
                  <w:gridSpan w:val="2"/>
                  <w:noWrap w:val="0"/>
                  <w:vAlign w:val="center"/>
                </w:tcPr>
                <w:p>
                  <w:pPr>
                    <w:pStyle w:val="13"/>
                    <w:bidi w:val="0"/>
                    <w:rPr>
                      <w:rFonts w:hint="eastAsia"/>
                      <w:color w:val="auto"/>
                    </w:rPr>
                  </w:pPr>
                  <w:r>
                    <w:rPr>
                      <w:rFonts w:hint="eastAsia"/>
                      <w:color w:val="auto"/>
                    </w:rPr>
                    <w:t>未收集</w:t>
                  </w:r>
                  <w:r>
                    <w:rPr>
                      <w:rFonts w:hint="eastAsia"/>
                      <w:color w:val="auto"/>
                      <w:lang w:eastAsia="zh-CN"/>
                    </w:rPr>
                    <w:t>（</w:t>
                  </w:r>
                  <w:r>
                    <w:rPr>
                      <w:rFonts w:hint="eastAsia"/>
                      <w:color w:val="auto"/>
                    </w:rPr>
                    <w:t>无组织）</w:t>
                  </w:r>
                </w:p>
              </w:tc>
              <w:tc>
                <w:tcPr>
                  <w:tcW w:w="1485" w:type="dxa"/>
                  <w:noWrap w:val="0"/>
                  <w:vAlign w:val="center"/>
                </w:tcPr>
                <w:p>
                  <w:pPr>
                    <w:pStyle w:val="13"/>
                    <w:bidi w:val="0"/>
                    <w:rPr>
                      <w:rFonts w:hint="eastAsia"/>
                      <w:color w:val="auto"/>
                    </w:rPr>
                  </w:pPr>
                  <w:r>
                    <w:rPr>
                      <w:rFonts w:hint="eastAsia"/>
                      <w:color w:val="auto"/>
                    </w:rPr>
                    <w:t>非甲烷总烃</w:t>
                  </w:r>
                </w:p>
              </w:tc>
              <w:tc>
                <w:tcPr>
                  <w:tcW w:w="863" w:type="dxa"/>
                  <w:noWrap w:val="0"/>
                  <w:vAlign w:val="center"/>
                </w:tcPr>
                <w:p>
                  <w:pPr>
                    <w:pStyle w:val="13"/>
                    <w:bidi w:val="0"/>
                    <w:rPr>
                      <w:rFonts w:hint="default"/>
                      <w:color w:val="auto"/>
                      <w:lang w:val="en-US" w:eastAsia="zh-CN"/>
                    </w:rPr>
                  </w:pPr>
                  <w:r>
                    <w:rPr>
                      <w:rFonts w:hint="eastAsia"/>
                      <w:color w:val="auto"/>
                      <w:lang w:val="en-US" w:eastAsia="zh-CN"/>
                    </w:rPr>
                    <w:t>0.02741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52" w:type="dxa"/>
                  <w:noWrap w:val="0"/>
                  <w:vAlign w:val="center"/>
                </w:tcPr>
                <w:p>
                  <w:pPr>
                    <w:pStyle w:val="13"/>
                    <w:bidi w:val="0"/>
                    <w:rPr>
                      <w:rFonts w:hint="eastAsia"/>
                      <w:color w:val="auto"/>
                    </w:rPr>
                  </w:pPr>
                  <w:r>
                    <w:rPr>
                      <w:rFonts w:hint="eastAsia"/>
                      <w:color w:val="auto"/>
                    </w:rPr>
                    <w:t>合计</w:t>
                  </w:r>
                </w:p>
              </w:tc>
              <w:tc>
                <w:tcPr>
                  <w:tcW w:w="1312" w:type="dxa"/>
                  <w:noWrap w:val="0"/>
                  <w:vAlign w:val="center"/>
                </w:tcPr>
                <w:p>
                  <w:pPr>
                    <w:pStyle w:val="13"/>
                    <w:bidi w:val="0"/>
                    <w:rPr>
                      <w:rFonts w:hint="eastAsia"/>
                      <w:color w:val="auto"/>
                    </w:rPr>
                  </w:pPr>
                  <w:r>
                    <w:rPr>
                      <w:rFonts w:hint="eastAsia"/>
                      <w:color w:val="auto"/>
                    </w:rPr>
                    <w:t>/</w:t>
                  </w:r>
                </w:p>
              </w:tc>
              <w:tc>
                <w:tcPr>
                  <w:tcW w:w="1005" w:type="dxa"/>
                  <w:noWrap w:val="0"/>
                  <w:vAlign w:val="center"/>
                </w:tcPr>
                <w:p>
                  <w:pPr>
                    <w:pStyle w:val="13"/>
                    <w:bidi w:val="0"/>
                    <w:rPr>
                      <w:rFonts w:hint="default"/>
                      <w:color w:val="auto"/>
                      <w:lang w:val="en-US" w:eastAsia="zh-CN"/>
                    </w:rPr>
                  </w:pPr>
                  <w:r>
                    <w:rPr>
                      <w:rFonts w:hint="eastAsia"/>
                      <w:color w:val="auto"/>
                      <w:lang w:val="en-US" w:eastAsia="zh-CN"/>
                    </w:rPr>
                    <w:t>/</w:t>
                  </w:r>
                </w:p>
              </w:tc>
              <w:tc>
                <w:tcPr>
                  <w:tcW w:w="1170" w:type="dxa"/>
                  <w:noWrap w:val="0"/>
                  <w:vAlign w:val="center"/>
                </w:tcPr>
                <w:p>
                  <w:pPr>
                    <w:pStyle w:val="13"/>
                    <w:bidi w:val="0"/>
                    <w:rPr>
                      <w:rFonts w:hint="default"/>
                      <w:color w:val="auto"/>
                      <w:lang w:val="en-US" w:eastAsia="zh-CN"/>
                    </w:rPr>
                  </w:pPr>
                  <w:r>
                    <w:rPr>
                      <w:rFonts w:hint="eastAsia"/>
                      <w:color w:val="auto"/>
                      <w:lang w:val="en-US" w:eastAsia="zh-CN"/>
                    </w:rPr>
                    <w:t>0.2741</w:t>
                  </w:r>
                </w:p>
              </w:tc>
              <w:tc>
                <w:tcPr>
                  <w:tcW w:w="3510" w:type="dxa"/>
                  <w:gridSpan w:val="3"/>
                  <w:noWrap w:val="0"/>
                  <w:vAlign w:val="center"/>
                </w:tcPr>
                <w:p>
                  <w:pPr>
                    <w:pStyle w:val="13"/>
                    <w:bidi w:val="0"/>
                    <w:rPr>
                      <w:rFonts w:hint="eastAsia"/>
                      <w:color w:val="auto"/>
                    </w:rPr>
                  </w:pPr>
                  <w:r>
                    <w:rPr>
                      <w:rFonts w:hint="eastAsia"/>
                      <w:color w:val="auto"/>
                    </w:rPr>
                    <w:t>/</w:t>
                  </w:r>
                </w:p>
              </w:tc>
              <w:tc>
                <w:tcPr>
                  <w:tcW w:w="863" w:type="dxa"/>
                  <w:noWrap w:val="0"/>
                  <w:vAlign w:val="center"/>
                </w:tcPr>
                <w:p>
                  <w:pPr>
                    <w:pStyle w:val="13"/>
                    <w:bidi w:val="0"/>
                    <w:rPr>
                      <w:rFonts w:hint="eastAsia"/>
                      <w:color w:val="auto"/>
                      <w:lang w:val="en-US" w:eastAsia="zh-CN"/>
                    </w:rPr>
                  </w:pPr>
                  <w:r>
                    <w:rPr>
                      <w:rFonts w:hint="eastAsia"/>
                      <w:color w:val="auto"/>
                      <w:lang w:val="en-US" w:eastAsia="zh-CN"/>
                    </w:rPr>
                    <w:t>0.2741</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项目VOCs平衡图，见下图。</w:t>
            </w:r>
          </w:p>
          <w:p>
            <w:pPr>
              <w:pStyle w:val="16"/>
              <w:bidi w:val="0"/>
              <w:ind w:left="0" w:leftChars="0" w:firstLine="0" w:firstLineChars="0"/>
              <w:jc w:val="center"/>
              <w:rPr>
                <w:rFonts w:hint="eastAsia"/>
                <w:color w:val="auto"/>
              </w:rPr>
            </w:pPr>
            <w:r>
              <w:rPr>
                <w:rFonts w:hint="eastAsia"/>
                <w:color w:val="auto"/>
              </w:rPr>
              <w:object>
                <v:shape id="_x0000_i1025" o:spt="75" type="#_x0000_t75" style="height:184.35pt;width:430.3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pStyle w:val="11"/>
              <w:bidi w:val="0"/>
              <w:rPr>
                <w:rFonts w:hint="eastAsia"/>
                <w:color w:val="auto"/>
              </w:rPr>
            </w:pPr>
            <w:r>
              <w:rPr>
                <w:rFonts w:hint="eastAsia"/>
                <w:color w:val="auto"/>
              </w:rPr>
              <w:t>图2-1 项目VOCs平衡图</w:t>
            </w:r>
          </w:p>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rPr>
              <w:t>六、劳动定员</w:t>
            </w:r>
            <w:r>
              <w:rPr>
                <w:rFonts w:hint="eastAsia"/>
                <w:color w:val="auto"/>
                <w:lang w:eastAsia="zh-CN"/>
              </w:rPr>
              <w:t>和工作制度</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1、</w:t>
            </w:r>
            <w:r>
              <w:rPr>
                <w:rFonts w:hint="eastAsia"/>
                <w:color w:val="auto"/>
                <w:lang w:eastAsia="zh-CN"/>
              </w:rPr>
              <w:t>劳动定员</w:t>
            </w:r>
          </w:p>
          <w:p>
            <w:pPr>
              <w:pStyle w:val="16"/>
              <w:bidi w:val="0"/>
              <w:rPr>
                <w:rFonts w:hint="eastAsia"/>
                <w:color w:val="auto"/>
                <w:lang w:eastAsia="zh-CN"/>
              </w:rPr>
            </w:pPr>
            <w:r>
              <w:rPr>
                <w:rFonts w:hint="eastAsia"/>
                <w:color w:val="auto"/>
                <w:lang w:eastAsia="zh-CN"/>
              </w:rPr>
              <w:t>现有</w:t>
            </w:r>
            <w:r>
              <w:rPr>
                <w:color w:val="auto"/>
              </w:rPr>
              <w:t>项目总定员为</w:t>
            </w:r>
            <w:r>
              <w:rPr>
                <w:rFonts w:hint="eastAsia"/>
                <w:color w:val="auto"/>
                <w:lang w:val="en-US" w:eastAsia="zh-CN"/>
              </w:rPr>
              <w:t>60</w:t>
            </w:r>
            <w:r>
              <w:rPr>
                <w:color w:val="auto"/>
              </w:rPr>
              <w:t>人</w:t>
            </w:r>
            <w:r>
              <w:rPr>
                <w:rFonts w:hint="eastAsia"/>
                <w:color w:val="auto"/>
                <w:lang w:eastAsia="zh-CN"/>
              </w:rPr>
              <w:t>，扩建项目不</w:t>
            </w:r>
            <w:r>
              <w:rPr>
                <w:rFonts w:hint="eastAsia"/>
                <w:color w:val="auto"/>
                <w:lang w:val="en-US" w:eastAsia="zh-CN"/>
              </w:rPr>
              <w:t>新增员工，扩建项目建成后全厂员工人数为60人</w:t>
            </w:r>
            <w:r>
              <w:rPr>
                <w:color w:val="auto"/>
              </w:rPr>
              <w:t>，</w:t>
            </w:r>
            <w:r>
              <w:rPr>
                <w:rFonts w:hint="eastAsia"/>
                <w:color w:val="auto"/>
                <w:lang w:val="en-US" w:eastAsia="zh-CN"/>
              </w:rPr>
              <w:t>厂区设置食堂，</w:t>
            </w:r>
            <w:r>
              <w:rPr>
                <w:rFonts w:hint="eastAsia"/>
                <w:color w:val="auto"/>
                <w:lang w:eastAsia="zh-CN"/>
              </w:rPr>
              <w:t>不提供</w:t>
            </w:r>
            <w:r>
              <w:rPr>
                <w:rFonts w:hint="eastAsia"/>
                <w:color w:val="auto"/>
                <w:lang w:val="en-US" w:eastAsia="zh-CN"/>
              </w:rPr>
              <w:t>住</w:t>
            </w:r>
            <w:r>
              <w:rPr>
                <w:rFonts w:hint="eastAsia"/>
                <w:color w:val="auto"/>
                <w:lang w:eastAsia="zh-CN"/>
              </w:rPr>
              <w:t>宿。</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2、</w:t>
            </w:r>
            <w:r>
              <w:rPr>
                <w:rFonts w:hint="eastAsia"/>
                <w:color w:val="auto"/>
                <w:lang w:eastAsia="zh-CN"/>
              </w:rPr>
              <w:t>工作制度</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lang w:eastAsia="zh-CN"/>
              </w:rPr>
              <w:t>项目</w:t>
            </w:r>
            <w:r>
              <w:rPr>
                <w:color w:val="auto"/>
              </w:rPr>
              <w:t>年工作时间为3</w:t>
            </w:r>
            <w:r>
              <w:rPr>
                <w:rFonts w:hint="eastAsia"/>
                <w:color w:val="auto"/>
              </w:rPr>
              <w:t>0</w:t>
            </w:r>
            <w:r>
              <w:rPr>
                <w:color w:val="auto"/>
              </w:rPr>
              <w:t>0天，实行</w:t>
            </w:r>
            <w:r>
              <w:rPr>
                <w:rFonts w:hint="eastAsia"/>
                <w:color w:val="auto"/>
                <w:lang w:val="en-US" w:eastAsia="zh-CN"/>
              </w:rPr>
              <w:t>1</w:t>
            </w:r>
            <w:r>
              <w:rPr>
                <w:color w:val="auto"/>
              </w:rPr>
              <w:t>班制，每班工作</w:t>
            </w:r>
            <w:r>
              <w:rPr>
                <w:rFonts w:hint="eastAsia"/>
                <w:color w:val="auto"/>
                <w:lang w:val="en-US" w:eastAsia="zh-CN"/>
              </w:rPr>
              <w:t>8</w:t>
            </w:r>
            <w:r>
              <w:rPr>
                <w:color w:val="auto"/>
              </w:rPr>
              <w:t>小时。</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七、厂区平面布置</w:t>
            </w:r>
          </w:p>
          <w:p>
            <w:pPr>
              <w:pStyle w:val="16"/>
              <w:bidi w:val="0"/>
              <w:rPr>
                <w:color w:val="auto"/>
                <w:highlight w:val="none"/>
              </w:rPr>
            </w:pPr>
            <w:r>
              <w:rPr>
                <w:color w:val="auto"/>
              </w:rPr>
              <w:t>根据项目功能要求和场地地形，项目出入口设置在厂区</w:t>
            </w:r>
            <w:r>
              <w:rPr>
                <w:rFonts w:hint="eastAsia"/>
                <w:color w:val="auto"/>
                <w:lang w:val="en-US" w:eastAsia="zh-CN"/>
              </w:rPr>
              <w:t>东</w:t>
            </w:r>
            <w:r>
              <w:rPr>
                <w:color w:val="auto"/>
              </w:rPr>
              <w:t>侧；厂区东侧为</w:t>
            </w:r>
            <w:r>
              <w:rPr>
                <w:rFonts w:hint="eastAsia"/>
                <w:color w:val="auto"/>
                <w:lang w:val="en-US" w:eastAsia="zh-CN"/>
              </w:rPr>
              <w:t>金河路</w:t>
            </w:r>
            <w:r>
              <w:rPr>
                <w:color w:val="auto"/>
              </w:rPr>
              <w:t>，南侧为</w:t>
            </w:r>
            <w:r>
              <w:rPr>
                <w:rFonts w:hint="eastAsia"/>
                <w:color w:val="auto"/>
                <w:lang w:val="en-US" w:eastAsia="zh-CN"/>
              </w:rPr>
              <w:t>蚌埠市多宝塑模科技有限公司</w:t>
            </w:r>
            <w:r>
              <w:rPr>
                <w:color w:val="auto"/>
              </w:rPr>
              <w:t>，西侧为</w:t>
            </w:r>
            <w:r>
              <w:rPr>
                <w:rFonts w:hint="eastAsia"/>
                <w:color w:val="auto"/>
                <w:lang w:val="en-US" w:eastAsia="zh-CN"/>
              </w:rPr>
              <w:t>空地</w:t>
            </w:r>
            <w:r>
              <w:rPr>
                <w:rFonts w:hint="eastAsia"/>
                <w:color w:val="auto"/>
                <w:lang w:eastAsia="zh-CN"/>
              </w:rPr>
              <w:t>，隔</w:t>
            </w:r>
            <w:r>
              <w:rPr>
                <w:rFonts w:hint="eastAsia"/>
                <w:color w:val="auto"/>
                <w:lang w:val="en-US" w:eastAsia="zh-CN"/>
              </w:rPr>
              <w:t>空地</w:t>
            </w:r>
            <w:r>
              <w:rPr>
                <w:rFonts w:hint="eastAsia"/>
                <w:color w:val="auto"/>
                <w:lang w:eastAsia="zh-CN"/>
              </w:rPr>
              <w:t>为</w:t>
            </w:r>
            <w:r>
              <w:rPr>
                <w:rFonts w:hint="eastAsia"/>
                <w:color w:val="auto"/>
                <w:lang w:val="en-US" w:eastAsia="zh-CN"/>
              </w:rPr>
              <w:t>合徐高速公路</w:t>
            </w:r>
            <w:r>
              <w:rPr>
                <w:color w:val="auto"/>
              </w:rPr>
              <w:t>，北侧为</w:t>
            </w:r>
            <w:r>
              <w:rPr>
                <w:rFonts w:hint="eastAsia"/>
                <w:color w:val="auto"/>
                <w:lang w:val="en-US" w:eastAsia="zh-CN"/>
              </w:rPr>
              <w:t>安徽博泰氟材料科技有限公司</w:t>
            </w:r>
            <w:r>
              <w:rPr>
                <w:color w:val="auto"/>
              </w:rPr>
              <w:t>。厂区设置</w:t>
            </w:r>
            <w:r>
              <w:rPr>
                <w:rFonts w:hint="eastAsia"/>
                <w:color w:val="auto"/>
                <w:lang w:val="en-US" w:eastAsia="zh-CN"/>
              </w:rPr>
              <w:t>1#</w:t>
            </w:r>
            <w:r>
              <w:rPr>
                <w:rFonts w:hint="eastAsia"/>
                <w:color w:val="auto"/>
                <w:lang w:eastAsia="zh-CN"/>
              </w:rPr>
              <w:t>车间、</w:t>
            </w:r>
            <w:r>
              <w:rPr>
                <w:rFonts w:hint="eastAsia"/>
                <w:color w:val="auto"/>
                <w:lang w:val="en-US" w:eastAsia="zh-CN"/>
              </w:rPr>
              <w:t>2#</w:t>
            </w:r>
            <w:r>
              <w:rPr>
                <w:rFonts w:hint="eastAsia"/>
                <w:color w:val="auto"/>
                <w:lang w:eastAsia="zh-CN"/>
              </w:rPr>
              <w:t>车间、办公</w:t>
            </w:r>
            <w:r>
              <w:rPr>
                <w:rFonts w:hint="eastAsia"/>
                <w:color w:val="auto"/>
                <w:lang w:val="en-US" w:eastAsia="zh-CN"/>
              </w:rPr>
              <w:t>楼</w:t>
            </w:r>
            <w:r>
              <w:rPr>
                <w:rFonts w:hint="eastAsia"/>
                <w:color w:val="auto"/>
                <w:lang w:eastAsia="zh-CN"/>
              </w:rPr>
              <w:t>等</w:t>
            </w:r>
            <w:r>
              <w:rPr>
                <w:color w:val="auto"/>
              </w:rPr>
              <w:t>，车间内部明确各生产区位置、设置人车通道，满足生产、人流、物流分离，互不交叉干扰的原则（见附图3）。因此，项目厂区平面布局较合理。</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八、公用工程</w:t>
            </w:r>
          </w:p>
          <w:p>
            <w:pPr>
              <w:pStyle w:val="1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1、</w:t>
            </w:r>
            <w:r>
              <w:rPr>
                <w:color w:val="auto"/>
              </w:rPr>
              <w:t>给水</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项目用水由当地自来水管网供给。</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生活用水</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rPr>
              <w:t>生活用水</w:t>
            </w:r>
            <w:r>
              <w:rPr>
                <w:rFonts w:hint="eastAsia"/>
                <w:color w:val="auto"/>
              </w:rPr>
              <w:t>是指</w:t>
            </w:r>
            <w:r>
              <w:rPr>
                <w:color w:val="auto"/>
              </w:rPr>
              <w:t>员工办公</w:t>
            </w:r>
            <w:r>
              <w:rPr>
                <w:rFonts w:hint="eastAsia"/>
                <w:color w:val="auto"/>
                <w:lang w:eastAsia="zh-CN"/>
              </w:rPr>
              <w:t>生活</w:t>
            </w:r>
            <w:r>
              <w:rPr>
                <w:rFonts w:hint="eastAsia"/>
                <w:color w:val="auto"/>
              </w:rPr>
              <w:t>用水</w:t>
            </w:r>
            <w:r>
              <w:rPr>
                <w:color w:val="auto"/>
              </w:rPr>
              <w:t>，项目</w:t>
            </w:r>
            <w:r>
              <w:rPr>
                <w:rFonts w:hint="eastAsia"/>
                <w:color w:val="auto"/>
                <w:lang w:eastAsia="zh-CN"/>
              </w:rPr>
              <w:t>劳动</w:t>
            </w:r>
            <w:r>
              <w:rPr>
                <w:color w:val="auto"/>
              </w:rPr>
              <w:t>定员</w:t>
            </w:r>
            <w:r>
              <w:rPr>
                <w:rFonts w:hint="eastAsia"/>
                <w:color w:val="auto"/>
                <w:lang w:val="en-US" w:eastAsia="zh-CN"/>
              </w:rPr>
              <w:t>60</w:t>
            </w:r>
            <w:r>
              <w:rPr>
                <w:color w:val="auto"/>
              </w:rPr>
              <w:t>人，</w:t>
            </w:r>
            <w:r>
              <w:rPr>
                <w:rFonts w:hint="eastAsia"/>
                <w:color w:val="auto"/>
                <w:lang w:val="en-US" w:eastAsia="zh-CN"/>
              </w:rPr>
              <w:t>厂区设置食堂，</w:t>
            </w:r>
            <w:r>
              <w:rPr>
                <w:rFonts w:hint="eastAsia"/>
                <w:color w:val="auto"/>
                <w:lang w:eastAsia="zh-CN"/>
              </w:rPr>
              <w:t>不提供</w:t>
            </w:r>
            <w:r>
              <w:rPr>
                <w:rFonts w:hint="eastAsia"/>
                <w:color w:val="auto"/>
                <w:lang w:val="en-US" w:eastAsia="zh-CN"/>
              </w:rPr>
              <w:t>住</w:t>
            </w:r>
            <w:r>
              <w:rPr>
                <w:rFonts w:hint="eastAsia"/>
                <w:color w:val="auto"/>
                <w:lang w:eastAsia="zh-CN"/>
              </w:rPr>
              <w:t>宿</w:t>
            </w:r>
            <w:r>
              <w:rPr>
                <w:color w:val="auto"/>
              </w:rPr>
              <w:t>，根据《建筑给水排水设计标准》</w:t>
            </w:r>
            <w:r>
              <w:rPr>
                <w:rFonts w:hint="eastAsia"/>
                <w:color w:val="auto"/>
              </w:rPr>
              <w:t>（</w:t>
            </w:r>
            <w:r>
              <w:rPr>
                <w:color w:val="auto"/>
              </w:rPr>
              <w:t>GB</w:t>
            </w:r>
            <w:r>
              <w:rPr>
                <w:rFonts w:hint="eastAsia"/>
                <w:color w:val="auto"/>
              </w:rPr>
              <w:t xml:space="preserve"> </w:t>
            </w:r>
            <w:r>
              <w:rPr>
                <w:color w:val="auto"/>
              </w:rPr>
              <w:t>50015-2019），生活用水按</w:t>
            </w:r>
            <w:r>
              <w:rPr>
                <w:rFonts w:hint="eastAsia"/>
                <w:color w:val="auto"/>
                <w:lang w:val="en-US" w:eastAsia="zh-CN"/>
              </w:rPr>
              <w:t>120</w:t>
            </w:r>
            <w:r>
              <w:rPr>
                <w:color w:val="auto"/>
              </w:rPr>
              <w:t>L/人·d计，</w:t>
            </w:r>
            <w:r>
              <w:rPr>
                <w:rFonts w:hint="eastAsia"/>
                <w:color w:val="auto"/>
                <w:lang w:eastAsia="zh-CN"/>
              </w:rPr>
              <w:t>年</w:t>
            </w:r>
            <w:r>
              <w:rPr>
                <w:color w:val="auto"/>
              </w:rPr>
              <w:t>用水量为</w:t>
            </w:r>
            <w:r>
              <w:rPr>
                <w:rFonts w:hint="eastAsia"/>
                <w:color w:val="auto"/>
                <w:lang w:val="en-US" w:eastAsia="zh-CN"/>
              </w:rPr>
              <w:t>2160</w:t>
            </w:r>
            <w:r>
              <w:rPr>
                <w:color w:val="auto"/>
              </w:rPr>
              <w:t>t/a</w:t>
            </w:r>
            <w:r>
              <w:rPr>
                <w:rFonts w:hint="eastAsia"/>
                <w:color w:val="auto"/>
                <w:lang w:eastAsia="zh-CN"/>
              </w:rPr>
              <w:t>（</w:t>
            </w:r>
            <w:r>
              <w:rPr>
                <w:rFonts w:hint="eastAsia"/>
                <w:color w:val="auto"/>
                <w:lang w:val="en-US" w:eastAsia="zh-CN"/>
              </w:rPr>
              <w:t>7.2</w:t>
            </w:r>
            <w:r>
              <w:rPr>
                <w:color w:val="auto"/>
              </w:rPr>
              <w:t>t/d</w:t>
            </w:r>
            <w:r>
              <w:rPr>
                <w:rFonts w:hint="eastAsia"/>
                <w:color w:val="auto"/>
                <w:lang w:eastAsia="zh-CN"/>
              </w:rPr>
              <w:t>）</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）生产用水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项目生产用水主要为</w:t>
            </w:r>
            <w:r>
              <w:rPr>
                <w:rFonts w:hint="eastAsia"/>
                <w:color w:val="auto"/>
                <w:lang w:val="en-US" w:eastAsia="zh-CN"/>
              </w:rPr>
              <w:t>设备</w:t>
            </w:r>
            <w:r>
              <w:rPr>
                <w:rFonts w:hint="eastAsia"/>
                <w:color w:val="auto"/>
                <w:lang w:eastAsia="zh-CN"/>
              </w:rPr>
              <w:t>清洗用水、</w:t>
            </w:r>
            <w:r>
              <w:rPr>
                <w:rFonts w:hint="eastAsia"/>
                <w:color w:val="auto"/>
                <w:lang w:val="en-US" w:eastAsia="zh-CN"/>
              </w:rPr>
              <w:t>冷却</w:t>
            </w:r>
            <w:r>
              <w:rPr>
                <w:rFonts w:hint="eastAsia"/>
                <w:color w:val="auto"/>
                <w:lang w:eastAsia="zh-CN"/>
              </w:rPr>
              <w:t>用水</w:t>
            </w:r>
            <w:r>
              <w:rPr>
                <w:rFonts w:hint="eastAsia"/>
                <w:color w:val="auto"/>
                <w:lang w:val="en-US" w:eastAsia="zh-CN"/>
              </w:rPr>
              <w:t>和发泡配置用水</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①</w:t>
            </w:r>
            <w:r>
              <w:rPr>
                <w:rFonts w:hint="eastAsia"/>
                <w:color w:val="auto"/>
                <w:lang w:val="en-US" w:eastAsia="zh-CN"/>
              </w:rPr>
              <w:t>设备</w:t>
            </w:r>
            <w:r>
              <w:rPr>
                <w:rFonts w:hint="eastAsia"/>
                <w:color w:val="auto"/>
                <w:lang w:eastAsia="zh-CN"/>
              </w:rPr>
              <w:t>清洗用水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企业提供资料，无纺布后处理工序中所用的发泡机需要定期清洗（一天清洗一次），每次清洗用水约为0.25吨，则设备清洗用水量为75t/a。清洗过程中的损耗量按10%计，设备冷却排水产生量约为67.5t/a（0.225t/d），收集后作为发泡配置用水，不外排。</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②</w:t>
            </w:r>
            <w:r>
              <w:rPr>
                <w:rFonts w:hint="eastAsia"/>
                <w:color w:val="auto"/>
                <w:lang w:val="en-US" w:eastAsia="zh-CN"/>
              </w:rPr>
              <w:t>冷却</w:t>
            </w:r>
            <w:r>
              <w:rPr>
                <w:rFonts w:hint="eastAsia"/>
                <w:color w:val="auto"/>
                <w:lang w:eastAsia="zh-CN"/>
              </w:rPr>
              <w:t>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eastAsia="zh-CN"/>
              </w:rPr>
              <w:t>根据企业提供材料，项目冷却用水量约为6.0</w:t>
            </w:r>
            <w:r>
              <w:rPr>
                <w:rFonts w:hint="eastAsia"/>
                <w:color w:val="auto"/>
                <w:lang w:val="en-US" w:eastAsia="zh-CN"/>
              </w:rPr>
              <w:t>t</w:t>
            </w:r>
            <w:r>
              <w:rPr>
                <w:rFonts w:hint="eastAsia"/>
                <w:color w:val="auto"/>
                <w:lang w:eastAsia="zh-CN"/>
              </w:rPr>
              <w:t>/d（</w:t>
            </w:r>
            <w:r>
              <w:rPr>
                <w:rFonts w:hint="eastAsia"/>
                <w:color w:val="auto"/>
                <w:lang w:val="en-US" w:eastAsia="zh-CN"/>
              </w:rPr>
              <w:t>1800t/a</w:t>
            </w:r>
            <w:r>
              <w:rPr>
                <w:rFonts w:hint="eastAsia"/>
                <w:color w:val="auto"/>
                <w:lang w:eastAsia="zh-CN"/>
              </w:rPr>
              <w:t>），冷却</w:t>
            </w:r>
            <w:r>
              <w:rPr>
                <w:rFonts w:hint="eastAsia"/>
                <w:color w:val="auto"/>
                <w:lang w:val="en-US" w:eastAsia="zh-CN"/>
              </w:rPr>
              <w:t>过程中的损耗量按5%计</w:t>
            </w:r>
            <w:r>
              <w:rPr>
                <w:rFonts w:hint="eastAsia"/>
                <w:color w:val="auto"/>
                <w:lang w:eastAsia="zh-CN"/>
              </w:rPr>
              <w:t>，冷却排水量约为5.7</w:t>
            </w:r>
            <w:r>
              <w:rPr>
                <w:rFonts w:hint="eastAsia"/>
                <w:color w:val="auto"/>
                <w:lang w:val="en-US" w:eastAsia="zh-CN"/>
              </w:rPr>
              <w:t>t</w:t>
            </w:r>
            <w:r>
              <w:rPr>
                <w:rFonts w:hint="eastAsia"/>
                <w:color w:val="auto"/>
                <w:lang w:eastAsia="zh-CN"/>
              </w:rPr>
              <w:t>/d（</w:t>
            </w:r>
            <w:r>
              <w:rPr>
                <w:rFonts w:hint="eastAsia"/>
                <w:color w:val="auto"/>
                <w:lang w:val="en-US" w:eastAsia="zh-CN"/>
              </w:rPr>
              <w:t>1710t/a</w:t>
            </w:r>
            <w:r>
              <w:rPr>
                <w:rFonts w:hint="eastAsia"/>
                <w:color w:val="auto"/>
                <w:lang w:eastAsia="zh-CN"/>
              </w:rPr>
              <w:t>），该排水为清净下水。</w:t>
            </w:r>
          </w:p>
          <w:p>
            <w:pPr>
              <w:pStyle w:val="16"/>
              <w:bidi w:val="0"/>
              <w:rPr>
                <w:rFonts w:hint="eastAsia"/>
                <w:color w:val="auto"/>
                <w:lang w:val="en-US" w:eastAsia="zh-CN"/>
              </w:rPr>
            </w:pPr>
            <w:r>
              <w:rPr>
                <w:rFonts w:hint="eastAsia"/>
                <w:color w:val="auto"/>
                <w:lang w:val="en-US" w:eastAsia="zh-CN"/>
              </w:rPr>
              <w:t>③发泡配置用水</w:t>
            </w:r>
          </w:p>
          <w:p>
            <w:pPr>
              <w:pStyle w:val="16"/>
              <w:bidi w:val="0"/>
              <w:rPr>
                <w:rFonts w:hint="default"/>
                <w:color w:val="auto"/>
                <w:lang w:val="en-US" w:eastAsia="zh-CN"/>
              </w:rPr>
            </w:pPr>
            <w:r>
              <w:rPr>
                <w:rFonts w:hint="eastAsia"/>
                <w:color w:val="auto"/>
                <w:lang w:val="en-US" w:eastAsia="zh-CN"/>
              </w:rPr>
              <w:t>根据企业提供材料，发泡配置用水量约为0.3t/d，则发泡配置用水量为90t/a。设备冷却排水产生量约为67.5t/a（0.225t/d），收集后作为发泡配置用水，则发泡配置补充用水量为0.075t/d（22.5t/a）。</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val="en-US" w:eastAsia="zh-CN"/>
              </w:rPr>
              <w:t>2、</w:t>
            </w:r>
            <w:r>
              <w:rPr>
                <w:rFonts w:hint="eastAsia"/>
                <w:color w:val="auto"/>
              </w:rPr>
              <w:t>排水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s="宋体"/>
                <w:color w:val="auto"/>
                <w:highlight w:val="none"/>
              </w:rPr>
            </w:pPr>
            <w:r>
              <w:rPr>
                <w:rFonts w:hint="eastAsia"/>
                <w:color w:val="auto"/>
              </w:rPr>
              <w:t>项目排水采用雨污分流制。项目废水为生活污水</w:t>
            </w:r>
            <w:r>
              <w:rPr>
                <w:rFonts w:hint="eastAsia"/>
                <w:color w:val="auto"/>
                <w:lang w:eastAsia="zh-CN"/>
              </w:rPr>
              <w:t>和</w:t>
            </w:r>
            <w:r>
              <w:rPr>
                <w:rFonts w:hint="eastAsia"/>
                <w:color w:val="auto"/>
                <w:lang w:val="en-US" w:eastAsia="zh-CN"/>
              </w:rPr>
              <w:t>冷却排水</w:t>
            </w:r>
            <w:r>
              <w:rPr>
                <w:rFonts w:hint="eastAsia"/>
                <w:color w:val="auto"/>
              </w:rPr>
              <w:t>。</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生活污水</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rPr>
              <w:t>项目生活用水量为</w:t>
            </w:r>
            <w:r>
              <w:rPr>
                <w:rFonts w:hint="eastAsia"/>
                <w:color w:val="auto"/>
                <w:lang w:val="en-US" w:eastAsia="zh-CN"/>
              </w:rPr>
              <w:t>2160t/a（7.2t/d）</w:t>
            </w:r>
            <w:r>
              <w:rPr>
                <w:color w:val="auto"/>
              </w:rPr>
              <w:t>，</w:t>
            </w:r>
            <w:r>
              <w:rPr>
                <w:rFonts w:hint="eastAsia"/>
                <w:color w:val="auto"/>
              </w:rPr>
              <w:t>产污</w:t>
            </w:r>
            <w:r>
              <w:rPr>
                <w:color w:val="auto"/>
              </w:rPr>
              <w:t>系数</w:t>
            </w:r>
            <w:r>
              <w:rPr>
                <w:rFonts w:hint="eastAsia"/>
                <w:color w:val="auto"/>
              </w:rPr>
              <w:t>按</w:t>
            </w:r>
            <w:r>
              <w:rPr>
                <w:color w:val="auto"/>
              </w:rPr>
              <w:t>0.8</w:t>
            </w:r>
            <w:r>
              <w:rPr>
                <w:rFonts w:hint="eastAsia"/>
                <w:color w:val="auto"/>
              </w:rPr>
              <w:t>计</w:t>
            </w:r>
            <w:r>
              <w:rPr>
                <w:color w:val="auto"/>
              </w:rPr>
              <w:t>，则生活污水</w:t>
            </w:r>
            <w:r>
              <w:rPr>
                <w:rFonts w:hint="eastAsia"/>
                <w:color w:val="auto"/>
              </w:rPr>
              <w:t>的产生</w:t>
            </w:r>
            <w:r>
              <w:rPr>
                <w:color w:val="auto"/>
              </w:rPr>
              <w:t>量为</w:t>
            </w:r>
            <w:r>
              <w:rPr>
                <w:rFonts w:hint="eastAsia"/>
                <w:color w:val="auto"/>
                <w:lang w:val="en-US" w:eastAsia="zh-CN"/>
              </w:rPr>
              <w:t>1728</w:t>
            </w:r>
            <w:r>
              <w:rPr>
                <w:color w:val="auto"/>
              </w:rPr>
              <w:t>t/a</w:t>
            </w:r>
            <w:r>
              <w:rPr>
                <w:rFonts w:hint="eastAsia"/>
                <w:color w:val="auto"/>
              </w:rPr>
              <w:t>（</w:t>
            </w:r>
            <w:r>
              <w:rPr>
                <w:rFonts w:hint="eastAsia"/>
                <w:color w:val="auto"/>
                <w:lang w:val="en-US" w:eastAsia="zh-CN"/>
              </w:rPr>
              <w:t>5.76</w:t>
            </w:r>
            <w:r>
              <w:rPr>
                <w:color w:val="auto"/>
              </w:rPr>
              <w:t>t/d），经</w:t>
            </w:r>
            <w:r>
              <w:rPr>
                <w:rFonts w:hint="eastAsia"/>
                <w:color w:val="auto"/>
                <w:lang w:eastAsia="zh-CN"/>
              </w:rPr>
              <w:t>隔油池、化粪池</w:t>
            </w:r>
            <w:r>
              <w:rPr>
                <w:color w:val="auto"/>
              </w:rPr>
              <w:t>预处理后排入市政管网</w:t>
            </w:r>
            <w:r>
              <w:rPr>
                <w:rFonts w:hint="eastAsia"/>
                <w:color w:val="auto"/>
              </w:rPr>
              <w:t>，</w:t>
            </w:r>
            <w:r>
              <w:rPr>
                <w:rFonts w:hint="eastAsia"/>
                <w:color w:val="auto"/>
                <w:lang w:eastAsia="zh-CN"/>
              </w:rPr>
              <w:t>进入怀远经济开发区污水处理厂处理</w:t>
            </w:r>
            <w:r>
              <w:rPr>
                <w:rFonts w:hint="eastAsia"/>
                <w:color w:val="auto"/>
              </w:rPr>
              <w:t>，处理达标后外排</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冷却排水</w:t>
            </w:r>
          </w:p>
          <w:p>
            <w:pPr>
              <w:pStyle w:val="16"/>
              <w:bidi w:val="0"/>
              <w:rPr>
                <w:rFonts w:hint="eastAsia"/>
                <w:color w:val="auto"/>
                <w:lang w:val="en-US" w:eastAsia="zh-CN"/>
              </w:rPr>
            </w:pPr>
            <w:r>
              <w:rPr>
                <w:rFonts w:hint="eastAsia"/>
                <w:color w:val="auto"/>
                <w:lang w:eastAsia="zh-CN"/>
              </w:rPr>
              <w:t>根据前文分析，冷却排水量约为5.7</w:t>
            </w:r>
            <w:r>
              <w:rPr>
                <w:rFonts w:hint="eastAsia"/>
                <w:color w:val="auto"/>
                <w:lang w:val="en-US" w:eastAsia="zh-CN"/>
              </w:rPr>
              <w:t>t</w:t>
            </w:r>
            <w:r>
              <w:rPr>
                <w:rFonts w:hint="eastAsia"/>
                <w:color w:val="auto"/>
                <w:lang w:eastAsia="zh-CN"/>
              </w:rPr>
              <w:t>/d（</w:t>
            </w:r>
            <w:r>
              <w:rPr>
                <w:rFonts w:hint="eastAsia"/>
                <w:color w:val="auto"/>
                <w:lang w:val="en-US" w:eastAsia="zh-CN"/>
              </w:rPr>
              <w:t>1710t/a</w:t>
            </w:r>
            <w:r>
              <w:rPr>
                <w:rFonts w:hint="eastAsia"/>
                <w:color w:val="auto"/>
                <w:lang w:eastAsia="zh-CN"/>
              </w:rPr>
              <w:t>），该排水为清净下水，进入怀远经济开发区污水处理厂处理</w:t>
            </w:r>
            <w:r>
              <w:rPr>
                <w:rFonts w:hint="eastAsia"/>
                <w:color w:val="auto"/>
              </w:rPr>
              <w:t>，处理达标后外排</w:t>
            </w:r>
            <w:r>
              <w:rPr>
                <w:rFonts w:hint="eastAsia"/>
                <w:color w:val="auto"/>
                <w:lang w:val="en-US"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项目水平衡图，见下图。</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color w:val="auto"/>
                <w:lang w:val="en-US" w:eastAsia="zh-CN"/>
              </w:rPr>
            </w:pPr>
            <w:r>
              <w:rPr>
                <w:rFonts w:hint="default"/>
                <w:color w:val="auto"/>
                <w:lang w:val="en-US" w:eastAsia="zh-CN"/>
              </w:rPr>
              <w:object>
                <v:shape id="_x0000_i1026" o:spt="75" type="#_x0000_t75" style="height:200.8pt;width:430.5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图2-</w:t>
            </w:r>
            <w:r>
              <w:rPr>
                <w:rFonts w:hint="eastAsia"/>
                <w:color w:val="auto"/>
                <w:lang w:val="en-US" w:eastAsia="zh-CN"/>
              </w:rPr>
              <w:t>2</w:t>
            </w:r>
            <w:r>
              <w:rPr>
                <w:rFonts w:hint="eastAsia"/>
                <w:color w:val="auto"/>
              </w:rPr>
              <w:t xml:space="preserve"> 项目用水平衡图（单位：t/d）</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val="en-US" w:eastAsia="zh-CN"/>
              </w:rPr>
              <w:t>3、</w:t>
            </w:r>
            <w:r>
              <w:rPr>
                <w:rFonts w:hint="eastAsia"/>
                <w:color w:val="auto"/>
              </w:rPr>
              <w:t>供电</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Cs/>
                <w:color w:val="auto"/>
                <w:highlight w:val="none"/>
                <w:lang w:val="en-US" w:eastAsia="zh-CN"/>
              </w:rPr>
            </w:pPr>
            <w:r>
              <w:rPr>
                <w:color w:val="auto"/>
              </w:rPr>
              <w:t>项目用电来自当地市政电网，</w:t>
            </w:r>
            <w:r>
              <w:rPr>
                <w:rFonts w:hint="eastAsia"/>
                <w:color w:val="auto"/>
              </w:rPr>
              <w:t>用</w:t>
            </w:r>
            <w:r>
              <w:rPr>
                <w:color w:val="auto"/>
              </w:rPr>
              <w:t>电量为</w:t>
            </w:r>
            <w:r>
              <w:rPr>
                <w:rFonts w:hint="eastAsia"/>
                <w:color w:val="auto"/>
                <w:lang w:val="en-US" w:eastAsia="zh-CN"/>
              </w:rPr>
              <w:t>100</w:t>
            </w:r>
            <w:r>
              <w:rPr>
                <w:color w:val="auto"/>
              </w:rPr>
              <w:t>万kW·h/a。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42" w:hRule="atLeast"/>
          <w:jc w:val="center"/>
        </w:trPr>
        <w:tc>
          <w:tcPr>
            <w:tcW w:w="6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eastAsia" w:cs="宋体"/>
                <w:b/>
                <w:bCs/>
                <w:color w:val="auto"/>
                <w:highlight w:val="none"/>
              </w:rPr>
            </w:pPr>
            <w:r>
              <w:rPr>
                <w:rFonts w:hint="eastAsia" w:cs="宋体"/>
                <w:b/>
                <w:bCs/>
                <w:color w:val="auto"/>
                <w:highlight w:val="none"/>
              </w:rPr>
              <w:t>工艺流程和产排污环节</w:t>
            </w:r>
          </w:p>
        </w:tc>
        <w:tc>
          <w:tcPr>
            <w:tcW w:w="8731" w:type="dxa"/>
            <w:noWrap w:val="0"/>
            <w:vAlign w:val="top"/>
          </w:tcPr>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一、施工期</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s="宋体"/>
                <w:color w:val="auto"/>
                <w:highlight w:val="none"/>
              </w:rPr>
            </w:pPr>
            <w:r>
              <w:rPr>
                <w:rFonts w:hint="eastAsia"/>
                <w:color w:val="auto"/>
              </w:rPr>
              <w:t>项目为</w:t>
            </w:r>
            <w:r>
              <w:rPr>
                <w:rFonts w:hint="eastAsia"/>
                <w:color w:val="auto"/>
                <w:lang w:eastAsia="zh-CN"/>
              </w:rPr>
              <w:t>扩建项目</w:t>
            </w:r>
            <w:r>
              <w:rPr>
                <w:rFonts w:hint="eastAsia"/>
                <w:color w:val="auto"/>
              </w:rPr>
              <w:t>，施工期主要环境问题是项目设备安装期间产生的污染。施工期工艺流程如下图所示。</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center"/>
              <w:textAlignment w:val="auto"/>
              <w:rPr>
                <w:rFonts w:hint="eastAsia" w:ascii="宋体" w:hAnsi="宋体" w:cs="宋体"/>
                <w:b/>
                <w:bCs/>
                <w:color w:val="auto"/>
                <w:highlight w:val="none"/>
              </w:rPr>
            </w:pPr>
            <w:r>
              <w:rPr>
                <w:rFonts w:hint="eastAsia" w:ascii="宋体" w:hAnsi="宋体" w:cs="宋体"/>
                <w:b/>
                <w:bCs/>
                <w:color w:val="auto"/>
                <w:highlight w:val="none"/>
              </w:rPr>
              <w:object>
                <v:shape id="_x0000_i1027" o:spt="75" type="#_x0000_t75" style="height:84pt;width:173.2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图2-</w:t>
            </w:r>
            <w:r>
              <w:rPr>
                <w:rFonts w:hint="eastAsia"/>
                <w:color w:val="auto"/>
                <w:lang w:val="en-US" w:eastAsia="zh-CN"/>
              </w:rPr>
              <w:t>3</w:t>
            </w:r>
            <w:r>
              <w:rPr>
                <w:rFonts w:hint="eastAsia"/>
                <w:color w:val="auto"/>
              </w:rPr>
              <w:t xml:space="preserve"> 施工期工艺流程示意图及产污环节图</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二、运营期</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1、</w:t>
            </w:r>
            <w:r>
              <w:rPr>
                <w:rFonts w:hint="eastAsia"/>
                <w:color w:val="auto"/>
                <w:lang w:eastAsia="zh-CN"/>
              </w:rPr>
              <w:t>扩建项目</w:t>
            </w:r>
            <w:r>
              <w:rPr>
                <w:rFonts w:hint="eastAsia"/>
                <w:color w:val="auto"/>
              </w:rPr>
              <w:t>生产工艺流程</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eastAsia"/>
                <w:color w:val="auto"/>
                <w:lang w:val="en-US" w:eastAsia="zh-CN"/>
              </w:rPr>
              <w:t>本次扩建2条无纺布生产线（3#、4#）和2条超声波复合无纺布生产线（1#、2#）并对现有生产工艺进行细化，</w:t>
            </w:r>
            <w:r>
              <w:rPr>
                <w:rFonts w:hint="default"/>
                <w:color w:val="auto"/>
                <w:lang w:val="en-US" w:eastAsia="zh-CN"/>
              </w:rPr>
              <w:t>项目设置4条无纺布生产线、2条超声波复合无纺布生产线、2条活性炭无纺布生产线、2条无纺布后处理生产线和2条无纺布分切生产线，其中2条超声波复合无纺布生产线生产工艺相同、2条无纺布分切生产线生产工艺相同。</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（一）1#无纺布生产线</w:t>
            </w:r>
          </w:p>
          <w:p>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lang w:val="en-US" w:eastAsia="zh-CN"/>
              </w:rPr>
            </w:pPr>
            <w:r>
              <w:rPr>
                <w:rFonts w:hint="default"/>
                <w:color w:val="auto"/>
                <w:lang w:val="en-US" w:eastAsia="zh-CN"/>
              </w:rPr>
              <w:object>
                <v:shape id="_x0000_i1028" o:spt="75" type="#_x0000_t75" style="height:486.05pt;width:430.3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pPr>
              <w:pStyle w:val="11"/>
              <w:bidi w:val="0"/>
              <w:rPr>
                <w:rFonts w:hint="default"/>
                <w:color w:val="auto"/>
                <w:lang w:val="en-US" w:eastAsia="zh-CN"/>
              </w:rPr>
            </w:pPr>
            <w:r>
              <w:rPr>
                <w:rFonts w:hint="default"/>
                <w:color w:val="auto"/>
                <w:lang w:val="en-US" w:eastAsia="zh-CN"/>
              </w:rPr>
              <w:t>图2-</w:t>
            </w:r>
            <w:r>
              <w:rPr>
                <w:rFonts w:hint="eastAsia"/>
                <w:color w:val="auto"/>
                <w:lang w:val="en-US" w:eastAsia="zh-CN"/>
              </w:rPr>
              <w:t>4</w:t>
            </w:r>
            <w:r>
              <w:rPr>
                <w:rFonts w:hint="default"/>
                <w:color w:val="auto"/>
                <w:lang w:val="en-US" w:eastAsia="zh-CN"/>
              </w:rPr>
              <w:t xml:space="preserve"> 1#无纺布</w:t>
            </w:r>
            <w:r>
              <w:rPr>
                <w:rFonts w:hint="eastAsia"/>
                <w:color w:val="auto"/>
                <w:lang w:val="en-US" w:eastAsia="zh-CN"/>
              </w:rPr>
              <w:t>生产工艺及产污节点</w:t>
            </w:r>
            <w:r>
              <w:rPr>
                <w:rFonts w:hint="default"/>
                <w:color w:val="auto"/>
                <w:lang w:val="en-US" w:eastAsia="zh-CN"/>
              </w:rPr>
              <w:t>（G-废气 S-固废 W-废水）</w:t>
            </w:r>
          </w:p>
          <w:p>
            <w:pPr>
              <w:pStyle w:val="16"/>
              <w:bidi w:val="0"/>
              <w:rPr>
                <w:rFonts w:hint="default"/>
                <w:color w:val="auto"/>
                <w:lang w:val="en-US" w:eastAsia="zh-CN"/>
              </w:rPr>
            </w:pPr>
            <w:r>
              <w:rPr>
                <w:rFonts w:hint="default"/>
                <w:color w:val="auto"/>
                <w:lang w:val="en-US" w:eastAsia="zh-CN"/>
              </w:rPr>
              <w:t>生产工艺流程和产污节点说明：</w:t>
            </w:r>
          </w:p>
          <w:p>
            <w:pPr>
              <w:pStyle w:val="16"/>
              <w:bidi w:val="0"/>
              <w:rPr>
                <w:rFonts w:hint="default"/>
                <w:color w:val="auto"/>
                <w:lang w:val="en-US" w:eastAsia="zh-CN"/>
              </w:rPr>
            </w:pPr>
            <w:r>
              <w:rPr>
                <w:rFonts w:hint="default"/>
                <w:color w:val="auto"/>
                <w:lang w:val="en-US" w:eastAsia="zh-CN"/>
              </w:rPr>
              <w:t>（1）开包</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将外购的合成纤维进行开包，投入开包机进料口。</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产污节点：开包工序产生的废包装材料（S1）。</w:t>
            </w:r>
          </w:p>
          <w:p>
            <w:pPr>
              <w:pStyle w:val="16"/>
              <w:bidi w:val="0"/>
              <w:rPr>
                <w:rFonts w:hint="default"/>
                <w:color w:val="auto"/>
                <w:lang w:val="en-US" w:eastAsia="zh-CN"/>
              </w:rPr>
            </w:pPr>
            <w:r>
              <w:rPr>
                <w:rFonts w:hint="default"/>
                <w:color w:val="auto"/>
                <w:lang w:val="en-US" w:eastAsia="zh-CN"/>
              </w:rPr>
              <w:t>（2）混棉</w:t>
            </w:r>
          </w:p>
          <w:p>
            <w:pPr>
              <w:pStyle w:val="16"/>
              <w:bidi w:val="0"/>
              <w:rPr>
                <w:rFonts w:hint="default"/>
                <w:color w:val="auto"/>
                <w:lang w:val="en-US" w:eastAsia="zh-CN"/>
              </w:rPr>
            </w:pPr>
            <w:r>
              <w:rPr>
                <w:rFonts w:hint="default"/>
                <w:color w:val="auto"/>
                <w:lang w:val="en-US" w:eastAsia="zh-CN"/>
              </w:rPr>
              <w:t>合成纤维通过开包机输送管道进入混棉箱，在混棉箱中进行混合均匀。</w:t>
            </w:r>
          </w:p>
          <w:p>
            <w:pPr>
              <w:pStyle w:val="16"/>
              <w:bidi w:val="0"/>
              <w:rPr>
                <w:rFonts w:hint="default"/>
                <w:color w:val="auto"/>
                <w:lang w:val="en-US" w:eastAsia="zh-CN"/>
              </w:rPr>
            </w:pPr>
            <w:r>
              <w:rPr>
                <w:rFonts w:hint="default"/>
                <w:color w:val="auto"/>
                <w:lang w:val="en-US" w:eastAsia="zh-CN"/>
              </w:rPr>
              <w:t>（3）粗开松</w:t>
            </w:r>
          </w:p>
          <w:p>
            <w:pPr>
              <w:pStyle w:val="16"/>
              <w:bidi w:val="0"/>
              <w:rPr>
                <w:rFonts w:hint="default"/>
                <w:color w:val="auto"/>
                <w:lang w:val="en-US" w:eastAsia="zh-CN"/>
              </w:rPr>
            </w:pPr>
            <w:r>
              <w:rPr>
                <w:rFonts w:hint="default"/>
                <w:color w:val="auto"/>
                <w:lang w:val="en-US" w:eastAsia="zh-CN"/>
              </w:rPr>
              <w:t>混合后的合成纤维进入粗开松机中，在粗开松机中进行粗开松处理，即用高速回转的打击机件上的针齿对喂入的合成纤维进行分割和分梳，破坏纤维之间和纤维与杂质间的联结力，达到松解纤维块的目的。</w:t>
            </w:r>
          </w:p>
          <w:p>
            <w:pPr>
              <w:pStyle w:val="16"/>
              <w:bidi w:val="0"/>
              <w:rPr>
                <w:rFonts w:hint="default"/>
                <w:color w:val="auto"/>
                <w:lang w:val="en-US" w:eastAsia="zh-CN"/>
              </w:rPr>
            </w:pPr>
            <w:r>
              <w:rPr>
                <w:rFonts w:hint="default"/>
                <w:color w:val="auto"/>
                <w:lang w:val="en-US" w:eastAsia="zh-CN"/>
              </w:rPr>
              <w:t>（4）精开松</w:t>
            </w:r>
          </w:p>
          <w:p>
            <w:pPr>
              <w:pStyle w:val="16"/>
              <w:bidi w:val="0"/>
              <w:rPr>
                <w:rFonts w:hint="default"/>
                <w:color w:val="auto"/>
                <w:lang w:val="en-US" w:eastAsia="zh-CN"/>
              </w:rPr>
            </w:pPr>
            <w:r>
              <w:rPr>
                <w:rFonts w:hint="default"/>
                <w:color w:val="auto"/>
                <w:lang w:val="en-US" w:eastAsia="zh-CN"/>
              </w:rPr>
              <w:t>粗开松后的合成纤维风送至精开松机中，在精开松机中进行精开松处理，即用高速回转的打击机件上的针齿对喂入的纤维材料进行分割和分梳，破坏纤维之间和纤维与杂质间的联结力，达到进一步松解纤维块的目的。</w:t>
            </w:r>
          </w:p>
          <w:p>
            <w:pPr>
              <w:pStyle w:val="16"/>
              <w:bidi w:val="0"/>
              <w:rPr>
                <w:rFonts w:hint="default"/>
                <w:color w:val="auto"/>
                <w:lang w:val="en-US" w:eastAsia="zh-CN"/>
              </w:rPr>
            </w:pPr>
            <w:r>
              <w:rPr>
                <w:rFonts w:hint="default"/>
                <w:color w:val="auto"/>
                <w:lang w:val="en-US" w:eastAsia="zh-CN"/>
              </w:rPr>
              <w:t>（5）振动</w:t>
            </w:r>
          </w:p>
          <w:p>
            <w:pPr>
              <w:pStyle w:val="16"/>
              <w:bidi w:val="0"/>
              <w:rPr>
                <w:rFonts w:hint="default"/>
                <w:color w:val="auto"/>
                <w:lang w:val="en-US" w:eastAsia="zh-CN"/>
              </w:rPr>
            </w:pPr>
            <w:r>
              <w:rPr>
                <w:rFonts w:hint="default"/>
                <w:color w:val="auto"/>
                <w:lang w:val="en-US" w:eastAsia="zh-CN"/>
              </w:rPr>
              <w:t>精开松后的纤维材料风送至振动棉箱中，在振动棉箱中进行振动处理，使纤维层更加均匀紧实，同时起到临时储存和缓冲作用。</w:t>
            </w:r>
          </w:p>
          <w:p>
            <w:pPr>
              <w:pStyle w:val="16"/>
              <w:bidi w:val="0"/>
              <w:rPr>
                <w:rFonts w:hint="default"/>
                <w:color w:val="auto"/>
                <w:lang w:val="en-US" w:eastAsia="zh-CN"/>
              </w:rPr>
            </w:pPr>
            <w:r>
              <w:rPr>
                <w:rFonts w:hint="default"/>
                <w:color w:val="auto"/>
                <w:lang w:val="en-US" w:eastAsia="zh-CN"/>
              </w:rPr>
              <w:t>（6）梳理</w:t>
            </w:r>
          </w:p>
          <w:p>
            <w:pPr>
              <w:pStyle w:val="16"/>
              <w:bidi w:val="0"/>
              <w:rPr>
                <w:rFonts w:hint="default"/>
                <w:color w:val="auto"/>
                <w:lang w:val="en-US" w:eastAsia="zh-CN"/>
              </w:rPr>
            </w:pPr>
            <w:r>
              <w:rPr>
                <w:rFonts w:hint="default"/>
                <w:color w:val="auto"/>
                <w:lang w:val="en-US" w:eastAsia="zh-CN"/>
              </w:rPr>
              <w:t>振动后的纤维材料风送至梳理机中，在梳理机中进行梳理，使其形成具有一定排列取向的纤维单网。梳理过程中产生的纤维絮经管道收集后风送至混棉箱中。</w:t>
            </w:r>
          </w:p>
          <w:p>
            <w:pPr>
              <w:pStyle w:val="16"/>
              <w:bidi w:val="0"/>
              <w:rPr>
                <w:rFonts w:hint="default"/>
                <w:color w:val="auto"/>
                <w:lang w:val="en-US" w:eastAsia="zh-CN"/>
              </w:rPr>
            </w:pPr>
            <w:r>
              <w:rPr>
                <w:rFonts w:hint="default"/>
                <w:color w:val="auto"/>
                <w:lang w:val="en-US" w:eastAsia="zh-CN"/>
              </w:rPr>
              <w:t>（7）铺网</w:t>
            </w:r>
          </w:p>
          <w:p>
            <w:pPr>
              <w:pStyle w:val="16"/>
              <w:bidi w:val="0"/>
              <w:rPr>
                <w:rFonts w:hint="default"/>
                <w:color w:val="auto"/>
                <w:lang w:val="en-US" w:eastAsia="zh-CN"/>
              </w:rPr>
            </w:pPr>
            <w:r>
              <w:rPr>
                <w:rFonts w:hint="eastAsia"/>
                <w:color w:val="auto"/>
                <w:lang w:val="en-US" w:eastAsia="zh-CN"/>
              </w:rPr>
              <w:t>使用铺网机将梳理机输出的纤维单网进行交叉折叠，使之成为具有所需幅宽和单位克重的多层纤维网。</w:t>
            </w:r>
          </w:p>
          <w:p>
            <w:pPr>
              <w:pStyle w:val="16"/>
              <w:bidi w:val="0"/>
              <w:rPr>
                <w:rFonts w:hint="default"/>
                <w:color w:val="auto"/>
                <w:lang w:val="en-US" w:eastAsia="zh-CN"/>
              </w:rPr>
            </w:pPr>
            <w:r>
              <w:rPr>
                <w:rFonts w:hint="default"/>
                <w:color w:val="auto"/>
                <w:lang w:val="en-US" w:eastAsia="zh-CN"/>
              </w:rPr>
              <w:t>（8）预刺</w:t>
            </w:r>
          </w:p>
          <w:p>
            <w:pPr>
              <w:pStyle w:val="16"/>
              <w:bidi w:val="0"/>
              <w:rPr>
                <w:rFonts w:hint="default"/>
                <w:color w:val="auto"/>
                <w:lang w:val="en-US" w:eastAsia="zh-CN"/>
              </w:rPr>
            </w:pPr>
            <w:r>
              <w:rPr>
                <w:rFonts w:hint="eastAsia"/>
                <w:color w:val="auto"/>
                <w:lang w:val="en-US" w:eastAsia="zh-CN"/>
              </w:rPr>
              <w:t>前面2道工序生产的多层纤维网在预刺机进口处汇合进入预刺机中</w:t>
            </w:r>
            <w:r>
              <w:rPr>
                <w:rFonts w:hint="default"/>
                <w:color w:val="auto"/>
                <w:lang w:val="en-US" w:eastAsia="zh-CN"/>
              </w:rPr>
              <w:t>，</w:t>
            </w:r>
            <w:r>
              <w:rPr>
                <w:rFonts w:hint="eastAsia"/>
                <w:color w:val="auto"/>
                <w:lang w:val="en-US" w:eastAsia="zh-CN"/>
              </w:rPr>
              <w:t>在预刺机中进行预刺</w:t>
            </w:r>
            <w:r>
              <w:rPr>
                <w:rFonts w:hint="default"/>
                <w:color w:val="auto"/>
                <w:lang w:val="en-US" w:eastAsia="zh-CN"/>
              </w:rPr>
              <w:t>，主要是利用预刺机中带有刺钩的刺针对纤维网反复进行穿刺，将十分蓬松的纤维网加固成具有一定性能的无纺布，使其具有一定的强度、密度和厚度。</w:t>
            </w:r>
          </w:p>
          <w:p>
            <w:pPr>
              <w:pStyle w:val="16"/>
              <w:bidi w:val="0"/>
              <w:rPr>
                <w:rFonts w:hint="default"/>
                <w:color w:val="auto"/>
                <w:lang w:val="en-US" w:eastAsia="zh-CN"/>
              </w:rPr>
            </w:pPr>
            <w:r>
              <w:rPr>
                <w:rFonts w:hint="default"/>
                <w:color w:val="auto"/>
                <w:lang w:val="en-US" w:eastAsia="zh-CN"/>
              </w:rPr>
              <w:t>产污节点：预刺工序产生的纤维碎屑（S2）。</w:t>
            </w:r>
          </w:p>
          <w:p>
            <w:pPr>
              <w:pStyle w:val="16"/>
              <w:bidi w:val="0"/>
              <w:rPr>
                <w:rFonts w:hint="default"/>
                <w:color w:val="auto"/>
                <w:lang w:val="en-US" w:eastAsia="zh-CN"/>
              </w:rPr>
            </w:pPr>
            <w:r>
              <w:rPr>
                <w:rFonts w:hint="default"/>
                <w:color w:val="auto"/>
                <w:lang w:val="en-US" w:eastAsia="zh-CN"/>
              </w:rPr>
              <w:t>（9）主刺</w:t>
            </w:r>
          </w:p>
          <w:p>
            <w:pPr>
              <w:pStyle w:val="16"/>
              <w:bidi w:val="0"/>
              <w:rPr>
                <w:rFonts w:hint="default"/>
                <w:color w:val="auto"/>
                <w:lang w:val="en-US" w:eastAsia="zh-CN"/>
              </w:rPr>
            </w:pPr>
            <w:r>
              <w:rPr>
                <w:rFonts w:hint="default"/>
                <w:color w:val="auto"/>
                <w:lang w:val="en-US" w:eastAsia="zh-CN"/>
              </w:rPr>
              <w:t>预刺后的无纺布进入主刺机中，</w:t>
            </w:r>
            <w:r>
              <w:rPr>
                <w:rFonts w:hint="eastAsia"/>
                <w:color w:val="auto"/>
                <w:lang w:val="en-US" w:eastAsia="zh-CN"/>
              </w:rPr>
              <w:t>在主刺机中进行主刺</w:t>
            </w:r>
            <w:r>
              <w:rPr>
                <w:rFonts w:hint="default"/>
                <w:color w:val="auto"/>
                <w:lang w:val="en-US" w:eastAsia="zh-CN"/>
              </w:rPr>
              <w:t>，主要是利用主刺机中加强密度的带有刺钩的针刺对预刺后的无纺布反复进行穿刺，以增加其强度和密度。</w:t>
            </w:r>
          </w:p>
          <w:p>
            <w:pPr>
              <w:pStyle w:val="16"/>
              <w:bidi w:val="0"/>
              <w:rPr>
                <w:rFonts w:hint="default"/>
                <w:color w:val="auto"/>
                <w:lang w:val="en-US" w:eastAsia="zh-CN"/>
              </w:rPr>
            </w:pPr>
            <w:r>
              <w:rPr>
                <w:rFonts w:hint="default"/>
                <w:color w:val="auto"/>
                <w:lang w:val="en-US" w:eastAsia="zh-CN"/>
              </w:rPr>
              <w:t>产污节点：主刺工序产生的纤维碎屑（S3）。</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（10）加热定型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主刺后的无纺布进入加热定型工序，在烘箱内进行加热定型。加热方式为电加热，加热温度为90～130℃。</w:t>
            </w:r>
          </w:p>
          <w:p>
            <w:pPr>
              <w:pStyle w:val="16"/>
              <w:bidi w:val="0"/>
              <w:rPr>
                <w:rFonts w:hint="default"/>
                <w:color w:val="auto"/>
                <w:lang w:val="en-US" w:eastAsia="zh-CN"/>
              </w:rPr>
            </w:pPr>
            <w:r>
              <w:rPr>
                <w:rFonts w:hint="default"/>
                <w:color w:val="auto"/>
                <w:lang w:val="en-US" w:eastAsia="zh-CN"/>
              </w:rPr>
              <w:t>（11）切边</w:t>
            </w:r>
          </w:p>
          <w:p>
            <w:pPr>
              <w:pStyle w:val="16"/>
              <w:bidi w:val="0"/>
              <w:rPr>
                <w:rFonts w:hint="default"/>
                <w:color w:val="auto"/>
                <w:lang w:val="en-US" w:eastAsia="zh-CN"/>
              </w:rPr>
            </w:pPr>
            <w:r>
              <w:rPr>
                <w:rFonts w:hint="default"/>
                <w:color w:val="auto"/>
                <w:lang w:val="en-US" w:eastAsia="zh-CN"/>
              </w:rPr>
              <w:t>加热定型后的无纺布经切边装置进行切边，得到具有一定尺寸的无纺布。</w:t>
            </w:r>
          </w:p>
          <w:p>
            <w:pPr>
              <w:pStyle w:val="16"/>
              <w:bidi w:val="0"/>
              <w:rPr>
                <w:rFonts w:hint="default"/>
                <w:color w:val="auto"/>
                <w:lang w:val="en-US" w:eastAsia="zh-CN"/>
              </w:rPr>
            </w:pPr>
            <w:r>
              <w:rPr>
                <w:rFonts w:hint="default"/>
                <w:color w:val="auto"/>
                <w:lang w:val="en-US" w:eastAsia="zh-CN"/>
              </w:rPr>
              <w:t>产污节点：切边工序产生的边角料（S4）。</w:t>
            </w:r>
          </w:p>
          <w:p>
            <w:pPr>
              <w:pStyle w:val="16"/>
              <w:bidi w:val="0"/>
              <w:rPr>
                <w:rFonts w:hint="default"/>
                <w:color w:val="auto"/>
                <w:lang w:val="en-US" w:eastAsia="zh-CN"/>
              </w:rPr>
            </w:pPr>
            <w:r>
              <w:rPr>
                <w:rFonts w:hint="default"/>
                <w:color w:val="auto"/>
                <w:lang w:val="en-US" w:eastAsia="zh-CN"/>
              </w:rPr>
              <w:t>（12）热烫压合</w:t>
            </w:r>
          </w:p>
          <w:p>
            <w:pPr>
              <w:pStyle w:val="16"/>
              <w:bidi w:val="0"/>
              <w:rPr>
                <w:rFonts w:hint="default"/>
                <w:color w:val="auto"/>
                <w:lang w:val="en-US" w:eastAsia="zh-CN"/>
              </w:rPr>
            </w:pPr>
            <w:r>
              <w:rPr>
                <w:rFonts w:hint="default"/>
                <w:color w:val="auto"/>
                <w:lang w:val="en-US" w:eastAsia="zh-CN"/>
              </w:rPr>
              <w:t>切边后的无纺布进入热烫压合机中，在热烫压合机中进行热烫压合，得到一定厚度的无纺布。加热方式为电加热，加热温度约为200℃左右。</w:t>
            </w:r>
          </w:p>
          <w:p>
            <w:pPr>
              <w:pStyle w:val="16"/>
              <w:bidi w:val="0"/>
              <w:rPr>
                <w:rFonts w:hint="default"/>
                <w:color w:val="auto"/>
                <w:lang w:val="en-US" w:eastAsia="zh-CN"/>
              </w:rPr>
            </w:pPr>
            <w:r>
              <w:rPr>
                <w:rFonts w:hint="default"/>
                <w:color w:val="auto"/>
                <w:lang w:val="en-US" w:eastAsia="zh-CN"/>
              </w:rPr>
              <w:t>（13）收卷</w:t>
            </w:r>
          </w:p>
          <w:p>
            <w:pPr>
              <w:pStyle w:val="16"/>
              <w:bidi w:val="0"/>
              <w:rPr>
                <w:rFonts w:hint="default"/>
                <w:color w:val="auto"/>
                <w:lang w:val="en-US" w:eastAsia="zh-CN"/>
              </w:rPr>
            </w:pPr>
            <w:r>
              <w:rPr>
                <w:rFonts w:hint="default"/>
                <w:color w:val="auto"/>
                <w:lang w:val="en-US" w:eastAsia="zh-CN"/>
              </w:rPr>
              <w:t>热烫压合后的无纺布经收卷机进行收卷，即为成品。</w:t>
            </w:r>
          </w:p>
          <w:p>
            <w:pPr>
              <w:pStyle w:val="16"/>
              <w:bidi w:val="0"/>
              <w:rPr>
                <w:rFonts w:hint="default"/>
                <w:color w:val="auto"/>
                <w:lang w:val="en-US" w:eastAsia="zh-CN"/>
              </w:rPr>
            </w:pPr>
            <w:r>
              <w:rPr>
                <w:rFonts w:hint="default"/>
                <w:color w:val="auto"/>
                <w:lang w:val="en-US" w:eastAsia="zh-CN"/>
              </w:rPr>
              <w:t>（14）边角料开松</w:t>
            </w:r>
          </w:p>
          <w:p>
            <w:pPr>
              <w:pStyle w:val="16"/>
              <w:bidi w:val="0"/>
              <w:rPr>
                <w:rFonts w:hint="default"/>
                <w:color w:val="auto"/>
                <w:lang w:val="en-US" w:eastAsia="zh-CN"/>
              </w:rPr>
            </w:pPr>
            <w:r>
              <w:rPr>
                <w:rFonts w:hint="default"/>
                <w:color w:val="auto"/>
                <w:lang w:val="en-US" w:eastAsia="zh-CN"/>
              </w:rPr>
              <w:t>切边工序产生的边角料输送至边角料开松机中进行开松，开松后经管道风送至混棉工序。</w:t>
            </w:r>
          </w:p>
          <w:p>
            <w:pPr>
              <w:pStyle w:val="16"/>
              <w:bidi w:val="0"/>
              <w:rPr>
                <w:rFonts w:hint="default"/>
                <w:color w:val="auto"/>
                <w:lang w:val="en-US" w:eastAsia="zh-CN"/>
              </w:rPr>
            </w:pPr>
            <w:r>
              <w:rPr>
                <w:rFonts w:hint="default"/>
                <w:color w:val="auto"/>
                <w:lang w:val="en-US" w:eastAsia="zh-CN"/>
              </w:rPr>
              <w:t>（二）2#无纺布生产线</w:t>
            </w: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6"/>
              <w:bidi w:val="0"/>
              <w:rPr>
                <w:rFonts w:hint="default"/>
                <w:color w:val="auto"/>
                <w:lang w:val="en-US" w:eastAsia="zh-CN"/>
              </w:rPr>
            </w:pPr>
          </w:p>
          <w:p>
            <w:pPr>
              <w:pStyle w:val="11"/>
              <w:bidi w:val="0"/>
              <w:rPr>
                <w:rFonts w:hint="default"/>
                <w:color w:val="auto"/>
                <w:lang w:val="en-US" w:eastAsia="zh-CN"/>
              </w:rPr>
            </w:pPr>
            <w:r>
              <w:rPr>
                <w:rFonts w:hint="default"/>
                <w:color w:val="auto"/>
                <w:lang w:val="en-US" w:eastAsia="zh-CN"/>
              </w:rPr>
              <w:object>
                <v:shape id="_x0000_i1029" o:spt="75" type="#_x0000_t75" style="height:474.55pt;width:430.7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图2-</w:t>
            </w:r>
            <w:r>
              <w:rPr>
                <w:rFonts w:hint="eastAsia"/>
                <w:color w:val="auto"/>
                <w:lang w:val="en-US" w:eastAsia="zh-CN"/>
              </w:rPr>
              <w:t>5</w:t>
            </w:r>
            <w:r>
              <w:rPr>
                <w:rFonts w:hint="default"/>
                <w:color w:val="auto"/>
                <w:lang w:val="en-US" w:eastAsia="zh-CN"/>
              </w:rPr>
              <w:t xml:space="preserve"> 2#无纺布</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（1）开包</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将外购的合成纤维进行开包，投入开包机进料口。</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产污节点：开包工序产生的废包装材料（S1）。</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（2）混棉</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合成纤维通过开包机输送管道进入混棉箱，在混棉箱中进行混合均匀。</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（3）粗开松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混合后的合成纤维进入粗开松机中，在粗开松机中进行粗开松处理，即用高速回转的打击机件上的针齿对喂入的合成纤维进行分割和分梳，破坏纤维之间和纤维与杂质间的联结力，达到松解纤维块的目的。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（4）精开松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粗开松后的合成纤维风送至精开松机中，在精开松机中进行精开松处理，即用高速回转的打击机件上的针齿对喂入的纤维材料进行分割和分梳，破坏纤维之间和纤维与杂质间的联结力，达到进一步松解纤维块的目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（5）振动</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精开松后的纤维材料风送至振动棉箱中，在振动棉箱中进行振动处理，使纤维层更加均匀紧实，同时起到临时储存和缓冲作用。</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（6）梳理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振动后的纤维材料风送至梳理机中，在梳理机中进行梳理，使其形成具有一定排列取向的纤维单网。梳理过程中产生的纤维絮经管道收集后风送至混棉箱中。</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（7）铺网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使用铺网机将梳理机输出的纤维单网进行交叉折叠，使之成为具有所需幅宽和单位克重的多层纤维网。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（8）预刺</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前面3道工序生产的多层纤维网在预刺机进口汇合进入预刺机中，</w:t>
            </w:r>
            <w:r>
              <w:rPr>
                <w:rFonts w:hint="eastAsia"/>
                <w:color w:val="auto"/>
                <w:lang w:val="en-US" w:eastAsia="zh-CN"/>
              </w:rPr>
              <w:t>在预刺机中进行预刺</w:t>
            </w:r>
            <w:r>
              <w:rPr>
                <w:rFonts w:hint="default"/>
                <w:color w:val="auto"/>
                <w:lang w:val="en-US" w:eastAsia="zh-CN"/>
              </w:rPr>
              <w:t>，主要是利用预刺机中带有刺钩的刺针对纤维网反复进行穿刺，将十分蓬松的纤维网加固成具有一定性能的无纺布，使其具有一定的强度、密度和厚度。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产污节点：预刺工序产生的纤维碎屑（S2）。</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（9）主刺</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预刺后的无纺布进入主刺机中，</w:t>
            </w:r>
            <w:r>
              <w:rPr>
                <w:rFonts w:hint="eastAsia"/>
                <w:color w:val="auto"/>
                <w:lang w:val="en-US" w:eastAsia="zh-CN"/>
              </w:rPr>
              <w:t>在主刺机中进行主刺</w:t>
            </w:r>
            <w:r>
              <w:rPr>
                <w:rFonts w:hint="default"/>
                <w:color w:val="auto"/>
                <w:lang w:val="en-US" w:eastAsia="zh-CN"/>
              </w:rPr>
              <w:t>，主要是利用主刺机中加强密度的带有刺钩的针刺对预刺后的无纺布反复进行穿刺，以增加其强度和密度。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产污节点：主刺工序产生的纤维碎屑（S3）。</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（10）加热定型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主刺后的无纺布进入加热定型工序，在烘箱内进行加热定型。加热方式为电加热，加热温度为90～130℃。</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（11）切边</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加热定型后的无纺布经切边装置进行切边，得到具有一定尺寸的无纺布。</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产污节点：切边工序产生的边角料（S4）。</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（12）热烫压合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切边后的无纺布进入热烫压合机中，在热烫压合机中进行热烫压合，得到一定厚度的无纺布。加热方式为电加热，加热温度约为200℃左右。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（13）收卷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热烫压合后的无纺布经收卷机进行收卷，即为成品。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（14）边角料开松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切边工序产生的边角料输送至边角料开松机中进行开松，开松后经管道风送至混棉工序。</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（三）3#无纺布生产线</w:t>
            </w:r>
          </w:p>
          <w:p>
            <w:pPr>
              <w:pStyle w:val="16"/>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color w:val="auto"/>
                <w:lang w:val="en-US" w:eastAsia="zh-CN"/>
              </w:rPr>
            </w:pPr>
            <w:r>
              <w:rPr>
                <w:rFonts w:hint="default"/>
                <w:color w:val="auto"/>
                <w:lang w:val="en-US" w:eastAsia="zh-CN"/>
              </w:rPr>
              <w:object>
                <v:shape id="_x0000_i1030" o:spt="75" type="#_x0000_t75" style="height:204.4pt;width:430.3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p>
          <w:p>
            <w:pPr>
              <w:pStyle w:val="11"/>
              <w:bidi w:val="0"/>
              <w:rPr>
                <w:rFonts w:hint="default"/>
                <w:color w:val="auto"/>
                <w:lang w:val="en-US" w:eastAsia="zh-CN"/>
              </w:rPr>
            </w:pPr>
            <w:r>
              <w:rPr>
                <w:rFonts w:hint="default"/>
                <w:color w:val="auto"/>
                <w:lang w:val="en-US" w:eastAsia="zh-CN"/>
              </w:rPr>
              <w:t>图2-</w:t>
            </w:r>
            <w:r>
              <w:rPr>
                <w:rFonts w:hint="eastAsia"/>
                <w:color w:val="auto"/>
                <w:lang w:val="en-US" w:eastAsia="zh-CN"/>
              </w:rPr>
              <w:t>6</w:t>
            </w:r>
            <w:r>
              <w:rPr>
                <w:rFonts w:hint="default"/>
                <w:color w:val="auto"/>
                <w:lang w:val="en-US" w:eastAsia="zh-CN"/>
              </w:rPr>
              <w:t xml:space="preserve"> 3#无纺布</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（1）一次混棉</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将外购的合成纤维进行开包，投入电子秤混棉机，在电子秤混棉机中进行一次混合。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产污节点：一次混棉工序产生的废包装材料（S1）。</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（2）粗开松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混合后的合成纤维进入粗开松机中，在粗开松机中进行粗开松处理，即用高速回转的打击机件上的针齿对喂入的合成纤维进行分割和分梳，破坏纤维之间和纤维与杂质间的联结力，达到松解纤维块的目的。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（3）精开松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粗开松后的合成纤维风送至精开松机中，在精开松机中进行精开松处理，即用高速回转的打击机件上的针齿对喂入的纤维材料进行分割和分梳，破坏纤维之间和纤维与杂质间的联结力，达到进一步松解纤维块的目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（4）二次混棉</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精开松后的纤维材料进入混棉箱中，在混棉箱中进行二次混棉，同时起到临时储存和缓冲作用。</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（5）梳理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二次混棉后的纤维材料进入梳理机中，在梳理机中进行梳理，使其形成具有一定排列取向的纤维单网。梳理过程中产生的纤维絮经管道收集后风送至混棉箱中。</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（6）铺网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使用铺网机将梳理机输出的纤维单网进行交叉折叠，使之成为具有所需幅宽和单位克重的多层纤维网。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（7）预刺</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多层纤维网进入预刺机中，</w:t>
            </w:r>
            <w:r>
              <w:rPr>
                <w:rFonts w:hint="eastAsia"/>
                <w:color w:val="auto"/>
                <w:lang w:val="en-US" w:eastAsia="zh-CN"/>
              </w:rPr>
              <w:t>在预刺机中进行预刺</w:t>
            </w:r>
            <w:r>
              <w:rPr>
                <w:rFonts w:hint="default"/>
                <w:color w:val="auto"/>
                <w:lang w:val="en-US" w:eastAsia="zh-CN"/>
              </w:rPr>
              <w:t>，主要是利用预刺机中带有刺钩的刺针对纤维网反复进行穿刺，将十分蓬松的纤维网加固成具有一定性能的无纺布，使其具有一定的强度、密度和厚度。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产污节点：预刺工序产生的纤维碎屑（S2）。</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（8）主刺</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预刺后的无纺布进入主刺机中，</w:t>
            </w:r>
            <w:r>
              <w:rPr>
                <w:rFonts w:hint="eastAsia"/>
                <w:color w:val="auto"/>
                <w:lang w:val="en-US" w:eastAsia="zh-CN"/>
              </w:rPr>
              <w:t>在主刺机中进行主刺</w:t>
            </w:r>
            <w:r>
              <w:rPr>
                <w:rFonts w:hint="default"/>
                <w:color w:val="auto"/>
                <w:lang w:val="en-US" w:eastAsia="zh-CN"/>
              </w:rPr>
              <w:t>，主要是利用主刺机中加强密度的带有刺钩的针刺对预刺后的无纺布反复进行穿刺，以增加其强度和密度。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产污节点：主刺工序产生的纤维碎屑（S3）。</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（9）切边</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主刺后的无纺布经切边装置进行切边，得到具有一定尺寸的无纺布。</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产污节点：切边工序产生的边角料（S4）。</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（10）加热定型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切边后的无纺布进入加热定型工序，在烘箱内进行加热定型。加热方式为电加热，加热温度为90～130℃。</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（10）热烫压合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切边后的无纺布进入热烫压合机中，在热烫压合机中进行热烫压合，得到一定厚度的无纺布。加热方式为电加热，加热温度约为200℃左右。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（11）收卷</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热烫压合后的无纺布经收卷机进行收卷，即为成品。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（12）边角料开松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切边工序产生的边角料输送至边角料开松机中进行开松，开松后经管道风送至一次混棉工序。</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（四）4#无纺布生产线</w:t>
            </w:r>
          </w:p>
          <w:p>
            <w:pPr>
              <w:pStyle w:val="11"/>
              <w:bidi w:val="0"/>
              <w:rPr>
                <w:rFonts w:hint="default"/>
                <w:color w:val="auto"/>
                <w:lang w:val="en-US" w:eastAsia="zh-CN"/>
              </w:rPr>
            </w:pPr>
            <w:r>
              <w:rPr>
                <w:rFonts w:hint="default"/>
                <w:color w:val="auto"/>
                <w:lang w:val="en-US" w:eastAsia="zh-CN"/>
              </w:rPr>
              <w:object>
                <v:shape id="_x0000_i1031" o:spt="75" type="#_x0000_t75" style="height:400.2pt;width:430.35pt;" o:ole="t" filled="f" o:preferrelative="t" stroked="f" coordsize="21600,21600">
                  <v:path/>
                  <v:fill on="f" focussize="0,0"/>
                  <v:stroke on="f"/>
                  <v:imagedata r:id="rId23" o:title=""/>
                  <o:lock v:ext="edit" aspectratio="f"/>
                  <w10:wrap type="none"/>
                  <w10:anchorlock/>
                </v:shape>
                <o:OLEObject Type="Embed" ProgID="Visio.Drawing.11" ShapeID="_x0000_i1031" DrawAspect="Content" ObjectID="_1468075731" r:id="rId22">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图2-</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4#无纺布生产工艺及产污节点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（1）混棉</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将外购的合成纤维进行开包，投入和毛中仓一体机，在和毛中仓一体机中进行混合。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产污节点：混棉工序产生的废包装材料（S1）。</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（2）开松</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混合后的合成纤维进入主开松机中，在主开松机中进行开松处理，即用高速回转的打击机件上的针齿对喂入的合成纤维进行分割和分梳，破坏纤维之间和纤维与杂质间的联结力，达到松解纤维块的目的。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（3）储棉</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开松后的纤维材料风送至给棉机中，在给棉机中进行临时储存，起到缓冲作用。</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（4）梳理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给棉机中的纤维材料风送至梳理机中，在梳理机中进行梳理，使其形成具有一定排列取向的纤维单网。梳理过程中产生的纤维絮经管道收集后风送至混棉箱中。</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（5）铺网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使用铺网机将梳理机输出的纤维单网进行交叉折叠，使之成为具有所需幅宽和单位克重的多层纤维网。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（6）预刺</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前面2道工序生产的多层纤维网在预刺机进口处汇合进入预刺机中</w:t>
            </w:r>
            <w:r>
              <w:rPr>
                <w:rFonts w:hint="default"/>
                <w:color w:val="auto"/>
                <w:lang w:val="en-US" w:eastAsia="zh-CN"/>
              </w:rPr>
              <w:t>，</w:t>
            </w:r>
            <w:r>
              <w:rPr>
                <w:rFonts w:hint="eastAsia"/>
                <w:color w:val="auto"/>
                <w:lang w:val="en-US" w:eastAsia="zh-CN"/>
              </w:rPr>
              <w:t>在预刺机中进行预刺</w:t>
            </w:r>
            <w:r>
              <w:rPr>
                <w:rFonts w:hint="default"/>
                <w:color w:val="auto"/>
                <w:lang w:val="en-US" w:eastAsia="zh-CN"/>
              </w:rPr>
              <w:t>，主要是利用预刺机中带有刺钩的刺针对纤维网反复进行穿刺，将十分蓬松的纤维网加固成具有一定性能的无纺布，使其具有一定的强度、密度和厚度。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产污节点：预刺工序产生的纤维碎屑（S2）。</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（7）主刺</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预刺后的无纺布依次进入3台主刺机中，</w:t>
            </w:r>
            <w:r>
              <w:rPr>
                <w:rFonts w:hint="eastAsia"/>
                <w:color w:val="auto"/>
                <w:lang w:val="en-US" w:eastAsia="zh-CN"/>
              </w:rPr>
              <w:t>在主刺机中进行主刺</w:t>
            </w:r>
            <w:r>
              <w:rPr>
                <w:rFonts w:hint="default"/>
                <w:color w:val="auto"/>
                <w:lang w:val="en-US" w:eastAsia="zh-CN"/>
              </w:rPr>
              <w:t>，主要是利用主刺机中加强密度的带有刺钩的针刺对预刺后的无纺布反复进行穿刺，以增加其强度和密度。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产污节点：主刺工序产生的纤维碎屑（S3）。</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（8）加热定型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主刺后的无纺布进入加热定型工序，在烘箱内进行加热定型。加热方式为电加热，加热温度为90～130℃。</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（9）切边</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加热定型后的无纺布经切边装置进行切边，得到具有一定尺寸的无纺布。</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产污节点：切边工序产生的边角料（S4）。</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（10）热烫压合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切边后的无纺布进入热烫压合机中，在热烫压合机中进行热烫压合，得到一定厚度的无纺布。加热方式为电加热，加热温度约为200℃左右。</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（11）收卷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热烫压合后的无纺布经收卷机进行收卷，即为成品。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（12）边角料开松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切边工序产生的边角料输送至边角料开松机中进行开松，开松后经管道风送至混棉工序。</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（五）超声波复合无纺布生产线</w:t>
            </w:r>
          </w:p>
          <w:p>
            <w:pPr>
              <w:pStyle w:val="11"/>
              <w:bidi w:val="0"/>
              <w:rPr>
                <w:rFonts w:hint="default"/>
                <w:color w:val="auto"/>
                <w:lang w:val="en-US" w:eastAsia="zh-CN"/>
              </w:rPr>
            </w:pPr>
            <w:r>
              <w:rPr>
                <w:rFonts w:hint="default"/>
                <w:color w:val="auto"/>
                <w:lang w:val="en-US" w:eastAsia="zh-CN"/>
              </w:rPr>
              <w:object>
                <v:shape id="_x0000_i1032" o:spt="75" type="#_x0000_t75" style="height:81.6pt;width:430.55pt;" o:ole="t" filled="f" o:preferrelative="t" stroked="f" coordsize="21600,21600">
                  <v:path/>
                  <v:fill on="f" focussize="0,0"/>
                  <v:stroke on="f"/>
                  <v:imagedata r:id="rId25" o:title=""/>
                  <o:lock v:ext="edit" aspectratio="f"/>
                  <w10:wrap type="none"/>
                  <w10:anchorlock/>
                </v:shape>
                <o:OLEObject Type="Embed" ProgID="Visio.Drawing.11" ShapeID="_x0000_i1032" DrawAspect="Content" ObjectID="_1468075732" r:id="rId24">
                  <o:LockedField>false</o:LockedField>
                </o:OLEObject>
              </w:object>
            </w:r>
          </w:p>
          <w:p>
            <w:pPr>
              <w:pStyle w:val="11"/>
              <w:bidi w:val="0"/>
              <w:rPr>
                <w:rFonts w:hint="default"/>
                <w:color w:val="auto"/>
                <w:lang w:val="en-US" w:eastAsia="zh-CN"/>
              </w:rPr>
            </w:pPr>
            <w:r>
              <w:rPr>
                <w:rFonts w:hint="default"/>
                <w:color w:val="auto"/>
                <w:lang w:val="en-US" w:eastAsia="zh-CN"/>
              </w:rPr>
              <w:t>图2-</w:t>
            </w:r>
            <w:r>
              <w:rPr>
                <w:rFonts w:hint="eastAsia"/>
                <w:color w:val="auto"/>
                <w:lang w:val="en-US" w:eastAsia="zh-CN"/>
              </w:rPr>
              <w:t>8</w:t>
            </w:r>
            <w:r>
              <w:rPr>
                <w:rFonts w:hint="default"/>
                <w:color w:val="auto"/>
                <w:lang w:val="en-US" w:eastAsia="zh-CN"/>
              </w:rPr>
              <w:t xml:space="preserve"> </w:t>
            </w:r>
            <w:r>
              <w:rPr>
                <w:rFonts w:hint="eastAsia"/>
                <w:color w:val="auto"/>
                <w:lang w:val="en-US" w:eastAsia="zh-CN"/>
              </w:rPr>
              <w:t>超声波复合无纺布生产工艺及产污节点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（1）开卷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将外购的PP熔喷布、热风棉、PP无纺布和企业生产的无纺布根据客户产品的要求放置在超声波滤纸复合分条一体机的料架上进行开卷。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产污节点：开卷工序产生的废包装材料（S1）。</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（2）复合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无纺布材料进入超声波滤纸复合分条一体机中，在超声波滤纸复合分条一体机内进行超声波复合，复合后即为成品。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（六）1#活性炭无纺布生产线</w:t>
            </w:r>
          </w:p>
          <w:p>
            <w:pPr>
              <w:pStyle w:val="11"/>
              <w:bidi w:val="0"/>
              <w:rPr>
                <w:rFonts w:hint="default"/>
                <w:color w:val="auto"/>
                <w:lang w:val="en-US" w:eastAsia="zh-CN"/>
              </w:rPr>
            </w:pPr>
            <w:r>
              <w:rPr>
                <w:rFonts w:hint="default"/>
                <w:color w:val="auto"/>
                <w:lang w:val="en-US" w:eastAsia="zh-CN"/>
              </w:rPr>
              <w:object>
                <v:shape id="_x0000_i1033" o:spt="75" type="#_x0000_t75" style="height:196.3pt;width:430.3pt;" o:ole="t" filled="f" o:preferrelative="t" stroked="f" coordsize="21600,21600">
                  <v:path/>
                  <v:fill on="f" focussize="0,0"/>
                  <v:stroke on="f"/>
                  <v:imagedata r:id="rId27" o:title=""/>
                  <o:lock v:ext="edit" aspectratio="f"/>
                  <w10:wrap type="none"/>
                  <w10:anchorlock/>
                </v:shape>
                <o:OLEObject Type="Embed" ProgID="Visio.Drawing.11" ShapeID="_x0000_i1033" DrawAspect="Content" ObjectID="_1468075733" r:id="rId26">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图2-</w:t>
            </w:r>
            <w:r>
              <w:rPr>
                <w:rFonts w:hint="eastAsia"/>
                <w:color w:val="auto"/>
                <w:lang w:val="en-US" w:eastAsia="zh-CN"/>
              </w:rPr>
              <w:t>9</w:t>
            </w:r>
            <w:r>
              <w:rPr>
                <w:rFonts w:hint="default"/>
                <w:color w:val="auto"/>
                <w:lang w:val="en-US" w:eastAsia="zh-CN"/>
              </w:rPr>
              <w:t xml:space="preserve"> 1#活性炭无纺布</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（1）开卷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将企业生产的超声波复合无纺布放置在前放布架上进行开卷，将外购的无纺布材料放置在后放布架上进行开卷。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（2）摊铺、加热</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本工艺设置2道摊铺工序和2道加热工序。超声波复合无纺布依次进入摊铺→加热→摊铺→加热工序。</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摊铺：前放布架上的超声波复合无纺布进入摊铺工序，在超声波复合无纺布上撒上活性炭和热熔胶。</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w:t>
            </w:r>
            <w:r>
              <w:rPr>
                <w:rFonts w:hint="eastAsia"/>
                <w:color w:val="auto"/>
                <w:lang w:val="en-US" w:eastAsia="zh-CN"/>
              </w:rPr>
              <w:t>摊铺工序产生的粉尘和有机废气（G1、G3），废包装材料、废热熔胶袋（S1）。</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加热：撒了活性炭和热熔胶的超声波复合无纺布进入烤箱中进行加热，加热方式为电加热，加热温度为185℃左右。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产污节点：加热工序产生的有机废气（G2、G4）。</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（3）复合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将后放布架上的无纺布材料铺在上一工序处理后的超声波复合无纺布上，经过复合压辊机进行复合。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产污节点：复合工序产生的有机废气（G5）。</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（4）收卷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复合后的无纺布经收卷机进行收卷，即为成品。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（七）2#活性炭无纺布生产线</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p>
            <w:pPr>
              <w:pStyle w:val="11"/>
              <w:bidi w:val="0"/>
              <w:rPr>
                <w:rFonts w:hint="default"/>
                <w:color w:val="auto"/>
                <w:lang w:val="en-US" w:eastAsia="zh-CN"/>
              </w:rPr>
            </w:pPr>
            <w:r>
              <w:rPr>
                <w:rFonts w:hint="default"/>
                <w:color w:val="auto"/>
                <w:lang w:val="en-US" w:eastAsia="zh-CN"/>
              </w:rPr>
              <w:object>
                <v:shape id="_x0000_i1034" o:spt="75" type="#_x0000_t75" style="height:275.55pt;width:430.3pt;" o:ole="t" filled="f" o:preferrelative="t" stroked="f" coordsize="21600,21600">
                  <v:path/>
                  <v:fill on="f" focussize="0,0"/>
                  <v:stroke on="f"/>
                  <v:imagedata r:id="rId29" o:title=""/>
                  <o:lock v:ext="edit" aspectratio="f"/>
                  <w10:wrap type="none"/>
                  <w10:anchorlock/>
                </v:shape>
                <o:OLEObject Type="Embed" ProgID="Visio.Drawing.11" ShapeID="_x0000_i1034" DrawAspect="Content" ObjectID="_1468075734" r:id="rId28">
                  <o:LockedField>false</o:LockedField>
                </o:OLEObject>
              </w:object>
            </w:r>
          </w:p>
          <w:p>
            <w:pPr>
              <w:pStyle w:val="11"/>
              <w:bidi w:val="0"/>
              <w:rPr>
                <w:rFonts w:hint="default"/>
                <w:color w:val="auto"/>
                <w:lang w:val="en-US" w:eastAsia="zh-CN"/>
              </w:rPr>
            </w:pPr>
            <w:r>
              <w:rPr>
                <w:rFonts w:hint="default"/>
                <w:color w:val="auto"/>
                <w:lang w:val="en-US" w:eastAsia="zh-CN"/>
              </w:rPr>
              <w:t>图2-</w:t>
            </w:r>
            <w:r>
              <w:rPr>
                <w:rFonts w:hint="eastAsia"/>
                <w:color w:val="auto"/>
                <w:lang w:val="en-US" w:eastAsia="zh-CN"/>
              </w:rPr>
              <w:t>10</w:t>
            </w:r>
            <w:r>
              <w:rPr>
                <w:rFonts w:hint="default"/>
                <w:color w:val="auto"/>
                <w:lang w:val="en-US" w:eastAsia="zh-CN"/>
              </w:rPr>
              <w:t xml:space="preserve"> 2#活性炭无纺布</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（1）开卷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将企业生产的超声波复合无纺布放置在前放布架上进行开卷，将外购的无纺布材料放置在后放布架上进行开卷。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（2）涂胶、撒粉</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本工艺设置4道涂胶工序和3道撒粉工序。超声波复合无纺布依次进入涂胶→撒粉→涂胶→撒粉→涂胶→撒粉→涂胶工序。</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涂胶：前放布架上的超声波复合无纺布进入涂胶工序，热熔胶经胶机加热后涂布在超声波复合无纺布上，加热方式为电加热，加热温度为185℃左右。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撒粉：涂胶后的超声波复合无纺布进入撒粉工序，撒粉机将活性炭撒在涂胶后的超声波复合无纺布上。</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产污节点：涂胶、撒粉工序产生的粉尘和有机废气（G1～G7）、废热熔胶袋（S1）、废包装材料（S2）。</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（3）复合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将后放布架上的无纺布材料铺在上一工序处理后的超声波复合无纺布上，经过复合压辊机进行复合。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产污节点：复合工序产生的有机废气（G8）。</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（4）收卷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复合后的无纺布经收卷机进行收卷，即为成品。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（八）1#无纺布后处理生产线（</w:t>
            </w:r>
            <w:r>
              <w:rPr>
                <w:rFonts w:hint="eastAsia"/>
                <w:color w:val="auto"/>
                <w:lang w:val="en-US" w:eastAsia="zh-CN"/>
              </w:rPr>
              <w:t>1#</w:t>
            </w:r>
            <w:r>
              <w:rPr>
                <w:rFonts w:hint="default"/>
                <w:color w:val="auto"/>
                <w:lang w:val="en-US" w:eastAsia="zh-CN"/>
              </w:rPr>
              <w:t>浸渍无纺布生产线）</w:t>
            </w:r>
          </w:p>
          <w:p>
            <w:pPr>
              <w:pStyle w:val="11"/>
              <w:bidi w:val="0"/>
              <w:rPr>
                <w:rFonts w:hint="default"/>
                <w:color w:val="auto"/>
                <w:lang w:val="en-US" w:eastAsia="zh-CN"/>
              </w:rPr>
            </w:pPr>
            <w:r>
              <w:rPr>
                <w:rFonts w:hint="default"/>
                <w:color w:val="auto"/>
                <w:lang w:val="en-US" w:eastAsia="zh-CN"/>
              </w:rPr>
              <w:object>
                <v:shape id="_x0000_i1035" o:spt="75" type="#_x0000_t75" style="height:203.65pt;width:430.35pt;" o:ole="t" filled="f" o:preferrelative="t" stroked="f" coordsize="21600,21600">
                  <v:path/>
                  <v:fill on="f" focussize="0,0"/>
                  <v:stroke on="f"/>
                  <v:imagedata r:id="rId31" o:title=""/>
                  <o:lock v:ext="edit" aspectratio="f"/>
                  <w10:wrap type="none"/>
                  <w10:anchorlock/>
                </v:shape>
                <o:OLEObject Type="Embed" ProgID="Visio.Drawing.11" ShapeID="_x0000_i1035" DrawAspect="Content" ObjectID="_1468075735" r:id="rId30">
                  <o:LockedField>false</o:LockedField>
                </o:OLEObject>
              </w:object>
            </w:r>
          </w:p>
          <w:p>
            <w:pPr>
              <w:pStyle w:val="11"/>
              <w:bidi w:val="0"/>
              <w:rPr>
                <w:rFonts w:hint="default"/>
                <w:color w:val="auto"/>
                <w:lang w:val="en-US" w:eastAsia="zh-CN"/>
              </w:rPr>
            </w:pPr>
            <w:r>
              <w:rPr>
                <w:rFonts w:hint="default"/>
                <w:color w:val="auto"/>
                <w:lang w:val="en-US" w:eastAsia="zh-CN"/>
              </w:rPr>
              <w:t>图2-</w:t>
            </w:r>
            <w:r>
              <w:rPr>
                <w:rFonts w:hint="eastAsia"/>
                <w:color w:val="auto"/>
                <w:lang w:val="en-US" w:eastAsia="zh-CN"/>
              </w:rPr>
              <w:t>11</w:t>
            </w:r>
            <w:r>
              <w:rPr>
                <w:rFonts w:hint="default"/>
                <w:color w:val="auto"/>
                <w:lang w:val="en-US" w:eastAsia="zh-CN"/>
              </w:rPr>
              <w:t xml:space="preserve"> 1#无纺布后处理</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（1）上料</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将企业生产的无纺布放置在上料架上</w:t>
            </w:r>
            <w:r>
              <w:rPr>
                <w:rFonts w:hint="default"/>
                <w:color w:val="auto"/>
                <w:lang w:val="en-US"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（2）发泡、浸胶对压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发泡：将软胶805、</w:t>
            </w:r>
            <w:r>
              <w:rPr>
                <w:rFonts w:hint="eastAsia"/>
                <w:color w:val="auto"/>
                <w:lang w:val="en-US" w:eastAsia="zh-CN"/>
              </w:rPr>
              <w:t>软胶810</w:t>
            </w:r>
            <w:r>
              <w:rPr>
                <w:rFonts w:hint="default"/>
                <w:color w:val="auto"/>
                <w:lang w:val="en-US" w:eastAsia="zh-CN"/>
              </w:rPr>
              <w:t>、</w:t>
            </w:r>
            <w:r>
              <w:rPr>
                <w:rFonts w:hint="eastAsia"/>
                <w:color w:val="auto"/>
                <w:lang w:val="en-US" w:eastAsia="zh-CN"/>
              </w:rPr>
              <w:t>硬浆4075</w:t>
            </w:r>
            <w:r>
              <w:rPr>
                <w:rFonts w:hint="default"/>
                <w:color w:val="auto"/>
                <w:lang w:val="en-US" w:eastAsia="zh-CN"/>
              </w:rPr>
              <w:t>、颜料、水按照调和比例在发泡机中进行发泡。</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产污节点：发泡工序产生的有机废气（G1），废软胶805桶、废软胶810桶、</w:t>
            </w:r>
            <w:r>
              <w:rPr>
                <w:rFonts w:hint="eastAsia"/>
                <w:color w:val="auto"/>
                <w:lang w:val="en-US" w:eastAsia="zh-CN"/>
              </w:rPr>
              <w:t>废硬浆4075桶和废颜料桶（S1）</w:t>
            </w:r>
            <w:r>
              <w:rPr>
                <w:rFonts w:hint="default"/>
                <w:color w:val="auto"/>
                <w:lang w:val="en-US"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浸胶对压：将发泡后的泡沫浸渍在无纺布上，经浸胶对压辊进行浸胶对压。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产污节点：浸胶对压工序产生的有机废气（G2）。</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（3）热烫</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浸胶对压后的无纺布依次进入2台辊烫机进行热烫</w:t>
            </w:r>
            <w:r>
              <w:rPr>
                <w:rFonts w:hint="default"/>
                <w:color w:val="auto"/>
                <w:lang w:val="en-US" w:eastAsia="zh-CN"/>
              </w:rPr>
              <w:t>。加热方式为电加热，温度控制在210～240℃左右。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产污节点：热烫工序产生的有机废气（G3）。</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（4）烘干</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热烫后的无纺布进入烘干工序，在烘箱内进行烘干。烘干工序所需热量由2台天然气燃烧机（250万大卡/台）提供，燃料为天然气，温度控制在70～110℃左右。</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产污节点：烘干工序产生的有机废气（G4）。</w:t>
            </w:r>
          </w:p>
          <w:p>
            <w:pPr>
              <w:pStyle w:val="16"/>
              <w:bidi w:val="0"/>
              <w:rPr>
                <w:rFonts w:hint="default"/>
                <w:color w:val="auto"/>
                <w:lang w:val="en-US" w:eastAsia="zh-CN"/>
              </w:rPr>
            </w:pPr>
            <w:r>
              <w:rPr>
                <w:rFonts w:hint="default"/>
                <w:color w:val="auto"/>
                <w:lang w:val="en-US" w:eastAsia="zh-CN"/>
              </w:rPr>
              <w:t>（5）压合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烘干后的无纺布进入压合工序，经压合机进行压合。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（6）收卷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压合后的无纺布经收卷机进行收卷，即为成品（浸渍无纺布）。</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（九）2#无纺布后处理生产线（</w:t>
            </w:r>
            <w:r>
              <w:rPr>
                <w:rFonts w:hint="eastAsia"/>
                <w:color w:val="auto"/>
                <w:lang w:val="en-US" w:eastAsia="zh-CN"/>
              </w:rPr>
              <w:t>2#</w:t>
            </w:r>
            <w:r>
              <w:rPr>
                <w:rFonts w:hint="default"/>
                <w:color w:val="auto"/>
                <w:lang w:val="en-US" w:eastAsia="zh-CN"/>
              </w:rPr>
              <w:t>浸渍无纺布生产线）</w:t>
            </w:r>
          </w:p>
          <w:p>
            <w:pPr>
              <w:pStyle w:val="11"/>
              <w:bidi w:val="0"/>
              <w:rPr>
                <w:rFonts w:hint="default"/>
                <w:color w:val="auto"/>
                <w:lang w:val="en-US" w:eastAsia="zh-CN"/>
              </w:rPr>
            </w:pPr>
            <w:r>
              <w:rPr>
                <w:rFonts w:hint="default"/>
                <w:color w:val="auto"/>
                <w:lang w:val="en-US" w:eastAsia="zh-CN"/>
              </w:rPr>
              <w:object>
                <v:shape id="_x0000_i1036" o:spt="75" type="#_x0000_t75" style="height:161.15pt;width:430.35pt;" o:ole="t" filled="f" o:preferrelative="t" stroked="f" coordsize="21600,21600">
                  <v:path/>
                  <v:fill on="f" focussize="0,0"/>
                  <v:stroke on="f"/>
                  <v:imagedata r:id="rId33" o:title=""/>
                  <o:lock v:ext="edit" aspectratio="f"/>
                  <w10:wrap type="none"/>
                  <w10:anchorlock/>
                </v:shape>
                <o:OLEObject Type="Embed" ProgID="Visio.Drawing.11" ShapeID="_x0000_i1036" DrawAspect="Content" ObjectID="_1468075736" r:id="rId32">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图2-</w:t>
            </w:r>
            <w:r>
              <w:rPr>
                <w:rFonts w:hint="eastAsia"/>
                <w:color w:val="auto"/>
                <w:lang w:val="en-US" w:eastAsia="zh-CN"/>
              </w:rPr>
              <w:t>12</w:t>
            </w:r>
            <w:r>
              <w:rPr>
                <w:rFonts w:hint="default"/>
                <w:color w:val="auto"/>
                <w:lang w:val="en-US" w:eastAsia="zh-CN"/>
              </w:rPr>
              <w:t xml:space="preserve"> 2#无纺布后处理</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（1）上料</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将企业生产的无纺布放置在上料架上</w:t>
            </w:r>
            <w:r>
              <w:rPr>
                <w:rFonts w:hint="default"/>
                <w:color w:val="auto"/>
                <w:lang w:val="en-US"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（2）发泡、浸胶对压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发泡：将软胶805、</w:t>
            </w:r>
            <w:r>
              <w:rPr>
                <w:rFonts w:hint="eastAsia"/>
                <w:color w:val="auto"/>
                <w:lang w:val="en-US" w:eastAsia="zh-CN"/>
              </w:rPr>
              <w:t>软胶810</w:t>
            </w:r>
            <w:r>
              <w:rPr>
                <w:rFonts w:hint="default"/>
                <w:color w:val="auto"/>
                <w:lang w:val="en-US" w:eastAsia="zh-CN"/>
              </w:rPr>
              <w:t>、</w:t>
            </w:r>
            <w:r>
              <w:rPr>
                <w:rFonts w:hint="eastAsia"/>
                <w:color w:val="auto"/>
                <w:lang w:val="en-US" w:eastAsia="zh-CN"/>
              </w:rPr>
              <w:t>硬浆4075</w:t>
            </w:r>
            <w:r>
              <w:rPr>
                <w:rFonts w:hint="default"/>
                <w:color w:val="auto"/>
                <w:lang w:val="en-US" w:eastAsia="zh-CN"/>
              </w:rPr>
              <w:t>、水按照调和比例在发泡机中进行发泡。</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产污节点：发泡工序产生的有机废气（G1），废软胶805桶、废软胶810桶、废</w:t>
            </w:r>
            <w:r>
              <w:rPr>
                <w:rFonts w:hint="eastAsia"/>
                <w:color w:val="auto"/>
                <w:lang w:val="en-US" w:eastAsia="zh-CN"/>
              </w:rPr>
              <w:t>硬浆4075</w:t>
            </w:r>
            <w:r>
              <w:rPr>
                <w:rFonts w:hint="default"/>
                <w:color w:val="auto"/>
                <w:lang w:val="en-US" w:eastAsia="zh-CN"/>
              </w:rPr>
              <w:t>桶（S1）。</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浸胶对压：将发泡后的泡沫浸渍在无纺布上，经浸胶对压辊进行浸胶对压。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产污节点：浸胶对压工序产生的有机废气（G2）。</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（3）烘干</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浸胶对压后的无纺布进入烘干工序，在烘箱内进行烘干。烘干工序所需热量由2台天然气燃烧机（250万大卡/台）提供，燃料为天然气，温度控制在70～110℃左右。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产污节点：烘干工序产生的有机废气（G3）。</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default"/>
                <w:color w:val="auto"/>
                <w:lang w:val="en-US" w:eastAsia="zh-CN"/>
              </w:rPr>
              <w:t>（4）压合</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烘干后的无纺布进入压合工序，经压合机进行压合。</w:t>
            </w:r>
          </w:p>
          <w:p>
            <w:pPr>
              <w:pStyle w:val="16"/>
              <w:bidi w:val="0"/>
              <w:rPr>
                <w:rFonts w:hint="default"/>
                <w:color w:val="auto"/>
                <w:lang w:val="en-US" w:eastAsia="zh-CN"/>
              </w:rPr>
            </w:pPr>
            <w:r>
              <w:rPr>
                <w:rFonts w:hint="default"/>
                <w:color w:val="auto"/>
                <w:lang w:val="en-US" w:eastAsia="zh-CN"/>
              </w:rPr>
              <w:t>（5）收卷</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压合后的无纺布经收卷机进行收卷，即为成品（浸渍无纺布）。</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（十）无纺布分切生产线</w:t>
            </w:r>
          </w:p>
          <w:p>
            <w:pPr>
              <w:pStyle w:val="11"/>
              <w:bidi w:val="0"/>
              <w:rPr>
                <w:rFonts w:hint="default"/>
                <w:color w:val="auto"/>
                <w:lang w:val="en-US" w:eastAsia="zh-CN"/>
              </w:rPr>
            </w:pPr>
            <w:r>
              <w:rPr>
                <w:rFonts w:hint="default"/>
                <w:color w:val="auto"/>
                <w:lang w:val="en-US" w:eastAsia="zh-CN"/>
              </w:rPr>
              <w:object>
                <v:shape id="_x0000_i1037" o:spt="75" type="#_x0000_t75" style="height:77.45pt;width:430.35pt;" o:ole="t" filled="f" o:preferrelative="t" stroked="f" coordsize="21600,21600">
                  <v:path/>
                  <v:fill on="f" focussize="0,0"/>
                  <v:stroke on="f"/>
                  <v:imagedata r:id="rId35" o:title=""/>
                  <o:lock v:ext="edit" aspectratio="f"/>
                  <w10:wrap type="none"/>
                  <w10:anchorlock/>
                </v:shape>
                <o:OLEObject Type="Embed" ProgID="Visio.Drawing.11" ShapeID="_x0000_i1037" DrawAspect="Content" ObjectID="_1468075737" r:id="rId34">
                  <o:LockedField>false</o:LockedField>
                </o:OLEObject>
              </w:object>
            </w:r>
          </w:p>
          <w:p>
            <w:pPr>
              <w:pStyle w:val="11"/>
              <w:bidi w:val="0"/>
              <w:rPr>
                <w:rFonts w:hint="default"/>
                <w:color w:val="auto"/>
                <w:lang w:val="en-US" w:eastAsia="zh-CN"/>
              </w:rPr>
            </w:pPr>
            <w:r>
              <w:rPr>
                <w:rFonts w:hint="default"/>
                <w:color w:val="auto"/>
                <w:lang w:val="en-US" w:eastAsia="zh-CN"/>
              </w:rPr>
              <w:t>图2-</w:t>
            </w:r>
            <w:r>
              <w:rPr>
                <w:rFonts w:hint="eastAsia"/>
                <w:color w:val="auto"/>
                <w:lang w:val="en-US" w:eastAsia="zh-CN"/>
              </w:rPr>
              <w:t>13</w:t>
            </w:r>
            <w:r>
              <w:rPr>
                <w:rFonts w:hint="default"/>
                <w:color w:val="auto"/>
                <w:lang w:val="en-US" w:eastAsia="zh-CN"/>
              </w:rPr>
              <w:t xml:space="preserve"> 无纺布分切</w:t>
            </w:r>
            <w:r>
              <w:rPr>
                <w:rFonts w:hint="eastAsia"/>
                <w:color w:val="auto"/>
                <w:lang w:val="en-US" w:eastAsia="zh-CN"/>
              </w:rPr>
              <w:t>生产工艺及产污节点</w:t>
            </w:r>
            <w:r>
              <w:rPr>
                <w:rFonts w:hint="default"/>
                <w:color w:val="auto"/>
                <w:lang w:val="en-US" w:eastAsia="zh-CN"/>
              </w:rPr>
              <w:t>（G-废气 S-固废 W-废水）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生产工艺流程和产污节点说明：</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default"/>
                <w:color w:val="auto"/>
                <w:lang w:val="en-US" w:eastAsia="zh-CN"/>
              </w:rPr>
              <w:t>将企业生产的超声波复合无纺布、活性炭无纺布、无纺布、浸渍无纺布运至分切生产线，经分切机分切后可得到一定规格的超声波复合无纺布、活性炭无纺布、无纺布、浸渍无纺布成品。</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lang w:val="en-US" w:eastAsia="zh-CN"/>
              </w:rPr>
            </w:pPr>
            <w:r>
              <w:rPr>
                <w:rFonts w:hint="default"/>
                <w:color w:val="auto"/>
                <w:lang w:val="en-US" w:eastAsia="zh-CN"/>
              </w:rPr>
              <w:t>产污节点：分切工序产生的活性炭无纺布和浸渍无纺布边角料、超声波复合无纺布和无纺布边角料（S1）。</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2、主要产污环节及污染物</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r>
              <w:rPr>
                <w:rFonts w:hint="eastAsia"/>
                <w:color w:val="auto"/>
                <w:lang w:eastAsia="zh-CN"/>
              </w:rPr>
              <w:t>项目</w:t>
            </w:r>
            <w:r>
              <w:rPr>
                <w:rFonts w:hint="eastAsia"/>
                <w:color w:val="auto"/>
              </w:rPr>
              <w:t>主要产污环节及</w:t>
            </w:r>
            <w:r>
              <w:rPr>
                <w:rFonts w:hint="eastAsia"/>
                <w:color w:val="auto"/>
                <w:lang w:eastAsia="zh-CN"/>
              </w:rPr>
              <w:t>主要</w:t>
            </w:r>
            <w:r>
              <w:rPr>
                <w:rFonts w:hint="eastAsia"/>
                <w:color w:val="auto"/>
              </w:rPr>
              <w:t>污染物情况，见下表。</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rPr>
              <w:t>表2-</w:t>
            </w:r>
            <w:r>
              <w:rPr>
                <w:rFonts w:hint="eastAsia"/>
                <w:color w:val="auto"/>
                <w:lang w:val="en-US" w:eastAsia="zh-CN"/>
              </w:rPr>
              <w:t>9</w:t>
            </w:r>
            <w:r>
              <w:rPr>
                <w:rFonts w:hint="eastAsia"/>
                <w:color w:val="auto"/>
              </w:rPr>
              <w:t xml:space="preserve"> </w:t>
            </w:r>
            <w:r>
              <w:rPr>
                <w:rFonts w:hint="eastAsia"/>
                <w:color w:val="auto"/>
                <w:lang w:eastAsia="zh-CN"/>
              </w:rPr>
              <w:t>项目</w:t>
            </w:r>
            <w:r>
              <w:rPr>
                <w:rFonts w:hint="eastAsia"/>
                <w:color w:val="auto"/>
              </w:rPr>
              <w:t>主要产污环节及</w:t>
            </w:r>
            <w:r>
              <w:rPr>
                <w:rFonts w:hint="eastAsia"/>
                <w:color w:val="auto"/>
                <w:lang w:eastAsia="zh-CN"/>
              </w:rPr>
              <w:t>主要</w:t>
            </w:r>
            <w:r>
              <w:rPr>
                <w:rFonts w:hint="eastAsia"/>
                <w:color w:val="auto"/>
              </w:rPr>
              <w:t>污染物</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928"/>
              <w:gridCol w:w="1304"/>
              <w:gridCol w:w="1814"/>
              <w:gridCol w:w="28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5"/>
                    <w:bidi w:val="0"/>
                    <w:rPr>
                      <w:rFonts w:hint="default"/>
                      <w:color w:val="auto"/>
                    </w:rPr>
                  </w:pPr>
                  <w:r>
                    <w:rPr>
                      <w:color w:val="auto"/>
                    </w:rPr>
                    <w:t>类别</w:t>
                  </w:r>
                </w:p>
              </w:tc>
              <w:tc>
                <w:tcPr>
                  <w:tcW w:w="1928" w:type="dxa"/>
                  <w:noWrap w:val="0"/>
                  <w:vAlign w:val="center"/>
                </w:tcPr>
                <w:p>
                  <w:pPr>
                    <w:pStyle w:val="15"/>
                    <w:bidi w:val="0"/>
                    <w:rPr>
                      <w:color w:val="auto"/>
                    </w:rPr>
                  </w:pPr>
                  <w:r>
                    <w:rPr>
                      <w:color w:val="auto"/>
                    </w:rPr>
                    <w:t>名称</w:t>
                  </w:r>
                </w:p>
              </w:tc>
              <w:tc>
                <w:tcPr>
                  <w:tcW w:w="1304" w:type="dxa"/>
                  <w:noWrap w:val="0"/>
                  <w:vAlign w:val="center"/>
                </w:tcPr>
                <w:p>
                  <w:pPr>
                    <w:pStyle w:val="15"/>
                    <w:bidi w:val="0"/>
                    <w:rPr>
                      <w:rFonts w:hint="default"/>
                      <w:color w:val="auto"/>
                    </w:rPr>
                  </w:pPr>
                  <w:r>
                    <w:rPr>
                      <w:color w:val="auto"/>
                    </w:rPr>
                    <w:t>产污环节</w:t>
                  </w:r>
                </w:p>
              </w:tc>
              <w:tc>
                <w:tcPr>
                  <w:tcW w:w="1814" w:type="dxa"/>
                  <w:noWrap w:val="0"/>
                  <w:vAlign w:val="center"/>
                </w:tcPr>
                <w:p>
                  <w:pPr>
                    <w:pStyle w:val="15"/>
                    <w:bidi w:val="0"/>
                    <w:rPr>
                      <w:rFonts w:hint="default"/>
                      <w:color w:val="auto"/>
                    </w:rPr>
                  </w:pPr>
                  <w:r>
                    <w:rPr>
                      <w:color w:val="auto"/>
                    </w:rPr>
                    <w:t>主要污染物</w:t>
                  </w:r>
                </w:p>
              </w:tc>
              <w:tc>
                <w:tcPr>
                  <w:tcW w:w="2891" w:type="dxa"/>
                  <w:noWrap w:val="0"/>
                  <w:vAlign w:val="center"/>
                </w:tcPr>
                <w:p>
                  <w:pPr>
                    <w:pStyle w:val="15"/>
                    <w:bidi w:val="0"/>
                    <w:rPr>
                      <w:rFonts w:hint="default"/>
                      <w:color w:val="auto"/>
                    </w:rPr>
                  </w:pPr>
                  <w:r>
                    <w:rPr>
                      <w:color w:val="auto"/>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80" w:type="dxa"/>
                  <w:vMerge w:val="restart"/>
                  <w:noWrap w:val="0"/>
                  <w:vAlign w:val="center"/>
                </w:tcPr>
                <w:p>
                  <w:pPr>
                    <w:pStyle w:val="13"/>
                    <w:bidi w:val="0"/>
                    <w:rPr>
                      <w:color w:val="auto"/>
                    </w:rPr>
                  </w:pPr>
                  <w:r>
                    <w:rPr>
                      <w:rFonts w:hint="eastAsia"/>
                      <w:color w:val="auto"/>
                    </w:rPr>
                    <w:t>废水</w:t>
                  </w:r>
                </w:p>
              </w:tc>
              <w:tc>
                <w:tcPr>
                  <w:tcW w:w="1928" w:type="dxa"/>
                  <w:noWrap w:val="0"/>
                  <w:vAlign w:val="center"/>
                </w:tcPr>
                <w:p>
                  <w:pPr>
                    <w:pStyle w:val="13"/>
                    <w:bidi w:val="0"/>
                    <w:rPr>
                      <w:color w:val="auto"/>
                    </w:rPr>
                  </w:pPr>
                  <w:r>
                    <w:rPr>
                      <w:rFonts w:hint="eastAsia"/>
                      <w:color w:val="auto"/>
                    </w:rPr>
                    <w:t>生活污水</w:t>
                  </w:r>
                </w:p>
              </w:tc>
              <w:tc>
                <w:tcPr>
                  <w:tcW w:w="1304" w:type="dxa"/>
                  <w:noWrap w:val="0"/>
                  <w:vAlign w:val="center"/>
                </w:tcPr>
                <w:p>
                  <w:pPr>
                    <w:pStyle w:val="13"/>
                    <w:bidi w:val="0"/>
                    <w:rPr>
                      <w:color w:val="auto"/>
                    </w:rPr>
                  </w:pPr>
                  <w:r>
                    <w:rPr>
                      <w:color w:val="auto"/>
                    </w:rPr>
                    <w:t>办公生活</w:t>
                  </w:r>
                </w:p>
              </w:tc>
              <w:tc>
                <w:tcPr>
                  <w:tcW w:w="1814" w:type="dxa"/>
                  <w:noWrap w:val="0"/>
                  <w:vAlign w:val="center"/>
                </w:tcPr>
                <w:p>
                  <w:pPr>
                    <w:pStyle w:val="13"/>
                    <w:bidi w:val="0"/>
                    <w:rPr>
                      <w:rFonts w:hint="default" w:eastAsia="宋体"/>
                      <w:color w:val="auto"/>
                      <w:lang w:val="en-US" w:eastAsia="zh-CN"/>
                    </w:rPr>
                  </w:pPr>
                  <w:r>
                    <w:rPr>
                      <w:rFonts w:hint="eastAsia"/>
                      <w:color w:val="auto"/>
                    </w:rPr>
                    <w:t>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w:t>
                  </w:r>
                  <w:r>
                    <w:rPr>
                      <w:rFonts w:hint="eastAsia"/>
                      <w:color w:val="auto"/>
                      <w:lang w:eastAsia="zh-CN"/>
                    </w:rPr>
                    <w:t>、</w:t>
                  </w:r>
                  <w:r>
                    <w:rPr>
                      <w:rFonts w:hint="eastAsia"/>
                      <w:color w:val="auto"/>
                      <w:lang w:val="en-US" w:eastAsia="zh-CN"/>
                    </w:rPr>
                    <w:t>动植物油</w:t>
                  </w:r>
                </w:p>
              </w:tc>
              <w:tc>
                <w:tcPr>
                  <w:tcW w:w="2891" w:type="dxa"/>
                  <w:vMerge w:val="restart"/>
                  <w:noWrap w:val="0"/>
                  <w:vAlign w:val="center"/>
                </w:tcPr>
                <w:p>
                  <w:pPr>
                    <w:pStyle w:val="13"/>
                    <w:bidi w:val="0"/>
                    <w:rPr>
                      <w:color w:val="auto"/>
                    </w:rPr>
                  </w:pPr>
                  <w:r>
                    <w:rPr>
                      <w:rFonts w:hint="eastAsia"/>
                      <w:color w:val="auto"/>
                      <w:lang w:val="en-US" w:eastAsia="zh-CN"/>
                    </w:rPr>
                    <w:t>生活污水经隔油池、化粪池预处理后与冷却排水一起排入怀远经济开发区污水处理厂处理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color w:val="auto"/>
                    </w:rPr>
                  </w:pPr>
                </w:p>
              </w:tc>
              <w:tc>
                <w:tcPr>
                  <w:tcW w:w="1928" w:type="dxa"/>
                  <w:noWrap w:val="0"/>
                  <w:vAlign w:val="center"/>
                </w:tcPr>
                <w:p>
                  <w:pPr>
                    <w:pStyle w:val="13"/>
                    <w:bidi w:val="0"/>
                    <w:rPr>
                      <w:color w:val="auto"/>
                    </w:rPr>
                  </w:pPr>
                  <w:r>
                    <w:rPr>
                      <w:rFonts w:hint="eastAsia"/>
                      <w:color w:val="auto"/>
                      <w:lang w:val="en-US" w:eastAsia="zh-CN"/>
                    </w:rPr>
                    <w:t>冷却排水</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冷却</w:t>
                  </w:r>
                </w:p>
              </w:tc>
              <w:tc>
                <w:tcPr>
                  <w:tcW w:w="1814" w:type="dxa"/>
                  <w:noWrap w:val="0"/>
                  <w:vAlign w:val="center"/>
                </w:tcPr>
                <w:p>
                  <w:pPr>
                    <w:pStyle w:val="13"/>
                    <w:bidi w:val="0"/>
                    <w:rPr>
                      <w:rFonts w:hint="eastAsia"/>
                      <w:color w:val="auto"/>
                      <w:lang w:eastAsia="zh-CN"/>
                    </w:rPr>
                  </w:pPr>
                  <w:r>
                    <w:rPr>
                      <w:rFonts w:hint="eastAsia"/>
                      <w:color w:val="auto"/>
                      <w:lang w:val="en-US" w:eastAsia="zh-CN"/>
                    </w:rPr>
                    <w:t>COD</w:t>
                  </w:r>
                  <w:r>
                    <w:rPr>
                      <w:rFonts w:hint="eastAsia"/>
                      <w:color w:val="auto"/>
                      <w:lang w:eastAsia="zh-CN"/>
                    </w:rPr>
                    <w:t>、</w:t>
                  </w:r>
                  <w:r>
                    <w:rPr>
                      <w:rFonts w:hint="eastAsia"/>
                      <w:color w:val="auto"/>
                    </w:rPr>
                    <w:t>SS</w:t>
                  </w:r>
                </w:p>
              </w:tc>
              <w:tc>
                <w:tcPr>
                  <w:tcW w:w="2891" w:type="dxa"/>
                  <w:vMerge w:val="continue"/>
                  <w:noWrap w:val="0"/>
                  <w:vAlign w:val="center"/>
                </w:tcPr>
                <w:p>
                  <w:pPr>
                    <w:pStyle w:val="13"/>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680" w:type="dxa"/>
                  <w:vMerge w:val="restart"/>
                  <w:noWrap w:val="0"/>
                  <w:vAlign w:val="center"/>
                </w:tcPr>
                <w:p>
                  <w:pPr>
                    <w:pStyle w:val="13"/>
                    <w:bidi w:val="0"/>
                    <w:rPr>
                      <w:color w:val="auto"/>
                    </w:rPr>
                  </w:pPr>
                  <w:r>
                    <w:rPr>
                      <w:rFonts w:hint="eastAsia"/>
                      <w:color w:val="auto"/>
                    </w:rPr>
                    <w:t>废气</w:t>
                  </w:r>
                </w:p>
              </w:tc>
              <w:tc>
                <w:tcPr>
                  <w:tcW w:w="1928" w:type="dxa"/>
                  <w:noWrap w:val="0"/>
                  <w:vAlign w:val="center"/>
                </w:tcPr>
                <w:p>
                  <w:pPr>
                    <w:pStyle w:val="13"/>
                    <w:bidi w:val="0"/>
                    <w:rPr>
                      <w:rFonts w:hint="eastAsia"/>
                      <w:color w:val="auto"/>
                      <w:lang w:val="en-US" w:eastAsia="zh-CN"/>
                    </w:rPr>
                  </w:pPr>
                  <w:r>
                    <w:rPr>
                      <w:rFonts w:hint="eastAsia"/>
                      <w:color w:val="auto"/>
                      <w:lang w:val="en-US" w:eastAsia="zh-CN"/>
                    </w:rPr>
                    <w:t>1#无纺布后处理生产线产生的废气（含天然气燃烧废气）</w:t>
                  </w:r>
                </w:p>
              </w:tc>
              <w:tc>
                <w:tcPr>
                  <w:tcW w:w="1304" w:type="dxa"/>
                  <w:noWrap w:val="0"/>
                  <w:vAlign w:val="center"/>
                </w:tcPr>
                <w:p>
                  <w:pPr>
                    <w:pStyle w:val="13"/>
                    <w:bidi w:val="0"/>
                    <w:rPr>
                      <w:rFonts w:hint="eastAsia"/>
                      <w:color w:val="auto"/>
                    </w:rPr>
                  </w:pPr>
                  <w:r>
                    <w:rPr>
                      <w:rFonts w:hint="eastAsia"/>
                      <w:color w:val="auto"/>
                      <w:lang w:val="en-US" w:eastAsia="zh-CN"/>
                    </w:rPr>
                    <w:t>发泡、浸胶对压、热烫、烘干工序</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非甲烷总烃、颗粒物、SO</w:t>
                  </w:r>
                  <w:r>
                    <w:rPr>
                      <w:rFonts w:hint="eastAsia"/>
                      <w:color w:val="auto"/>
                      <w:vertAlign w:val="subscript"/>
                      <w:lang w:val="en-US" w:eastAsia="zh-CN"/>
                    </w:rPr>
                    <w:t>2</w:t>
                  </w:r>
                  <w:r>
                    <w:rPr>
                      <w:rFonts w:hint="eastAsia"/>
                      <w:color w:val="auto"/>
                      <w:lang w:val="en-US" w:eastAsia="zh-CN"/>
                    </w:rPr>
                    <w:t>、NOx</w:t>
                  </w:r>
                </w:p>
              </w:tc>
              <w:tc>
                <w:tcPr>
                  <w:tcW w:w="2891" w:type="dxa"/>
                  <w:noWrap w:val="0"/>
                  <w:vAlign w:val="center"/>
                </w:tcPr>
                <w:p>
                  <w:pPr>
                    <w:pStyle w:val="13"/>
                    <w:bidi w:val="0"/>
                    <w:rPr>
                      <w:rFonts w:hint="eastAsia"/>
                      <w:color w:val="auto"/>
                      <w:lang w:eastAsia="zh-CN"/>
                    </w:rPr>
                  </w:pPr>
                  <w:r>
                    <w:rPr>
                      <w:rFonts w:hint="eastAsia"/>
                      <w:color w:val="auto"/>
                      <w:lang w:val="en-US" w:eastAsia="zh-CN"/>
                    </w:rPr>
                    <w:t>通过集气设施收集经二级活性炭处理后由一根15m高排气筒（DA001）排放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1#活性炭无纺布生产线产生的废气</w:t>
                  </w:r>
                </w:p>
              </w:tc>
              <w:tc>
                <w:tcPr>
                  <w:tcW w:w="1304" w:type="dxa"/>
                  <w:noWrap w:val="0"/>
                  <w:vAlign w:val="center"/>
                </w:tcPr>
                <w:p>
                  <w:pPr>
                    <w:pStyle w:val="13"/>
                    <w:bidi w:val="0"/>
                    <w:rPr>
                      <w:rFonts w:hint="default"/>
                      <w:color w:val="auto"/>
                      <w:lang w:val="en-US"/>
                    </w:rPr>
                  </w:pPr>
                  <w:r>
                    <w:rPr>
                      <w:rFonts w:hint="eastAsia"/>
                      <w:color w:val="auto"/>
                      <w:lang w:val="en-US" w:eastAsia="zh-CN"/>
                    </w:rPr>
                    <w:t>摊铺、加热、复合工序</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非甲烷总烃、颗粒物</w:t>
                  </w:r>
                </w:p>
              </w:tc>
              <w:tc>
                <w:tcPr>
                  <w:tcW w:w="2891" w:type="dxa"/>
                  <w:noWrap w:val="0"/>
                  <w:vAlign w:val="center"/>
                </w:tcPr>
                <w:p>
                  <w:pPr>
                    <w:pStyle w:val="13"/>
                    <w:bidi w:val="0"/>
                    <w:rPr>
                      <w:rFonts w:hint="eastAsia"/>
                      <w:color w:val="auto"/>
                      <w:lang w:eastAsia="zh-CN"/>
                    </w:rPr>
                  </w:pPr>
                  <w:r>
                    <w:rPr>
                      <w:rFonts w:hint="eastAsia"/>
                      <w:color w:val="auto"/>
                      <w:lang w:val="en-US" w:eastAsia="zh-CN"/>
                    </w:rPr>
                    <w:t>通过集气设施收集经布袋除尘器+二级活性炭处理后由一根15m高排气筒（DA002）排放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2#活性炭无纺布生产线产生的废气</w:t>
                  </w:r>
                </w:p>
              </w:tc>
              <w:tc>
                <w:tcPr>
                  <w:tcW w:w="1304" w:type="dxa"/>
                  <w:noWrap w:val="0"/>
                  <w:vAlign w:val="center"/>
                </w:tcPr>
                <w:p>
                  <w:pPr>
                    <w:pStyle w:val="13"/>
                    <w:bidi w:val="0"/>
                    <w:rPr>
                      <w:rFonts w:hint="eastAsia"/>
                      <w:color w:val="auto"/>
                    </w:rPr>
                  </w:pPr>
                  <w:r>
                    <w:rPr>
                      <w:rFonts w:hint="eastAsia"/>
                      <w:color w:val="auto"/>
                      <w:lang w:val="en-US" w:eastAsia="zh-CN"/>
                    </w:rPr>
                    <w:t>涂胶、撒粉、复合工序</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非甲烷总烃、颗粒物</w:t>
                  </w:r>
                </w:p>
              </w:tc>
              <w:tc>
                <w:tcPr>
                  <w:tcW w:w="2891" w:type="dxa"/>
                  <w:vMerge w:val="restart"/>
                  <w:noWrap w:val="0"/>
                  <w:vAlign w:val="center"/>
                </w:tcPr>
                <w:p>
                  <w:pPr>
                    <w:pStyle w:val="13"/>
                    <w:bidi w:val="0"/>
                    <w:rPr>
                      <w:rFonts w:hint="eastAsia"/>
                      <w:color w:val="auto"/>
                      <w:lang w:eastAsia="zh-CN"/>
                    </w:rPr>
                  </w:pPr>
                  <w:r>
                    <w:rPr>
                      <w:rFonts w:hint="eastAsia"/>
                      <w:color w:val="auto"/>
                      <w:lang w:val="en-US" w:eastAsia="zh-CN"/>
                    </w:rPr>
                    <w:t>通过集气设施收集经布袋除尘器+二级活性炭处理后由一根15m高排气筒（DA003）排放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64" w:hRule="atLeast"/>
                <w:jc w:val="center"/>
              </w:trPr>
              <w:tc>
                <w:tcPr>
                  <w:tcW w:w="680" w:type="dxa"/>
                  <w:vMerge w:val="continue"/>
                  <w:noWrap w:val="0"/>
                  <w:vAlign w:val="center"/>
                </w:tcPr>
                <w:p>
                  <w:pPr>
                    <w:pStyle w:val="13"/>
                    <w:bidi w:val="0"/>
                    <w:rPr>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2#无纺布后处理生产线产生的废气（含天然气燃烧废气）</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发泡、浸胶对压、烘干工序</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非甲烷总烃、颗粒物、SO</w:t>
                  </w:r>
                  <w:r>
                    <w:rPr>
                      <w:rFonts w:hint="eastAsia"/>
                      <w:color w:val="auto"/>
                      <w:vertAlign w:val="subscript"/>
                      <w:lang w:val="en-US" w:eastAsia="zh-CN"/>
                    </w:rPr>
                    <w:t>2</w:t>
                  </w:r>
                  <w:r>
                    <w:rPr>
                      <w:rFonts w:hint="eastAsia"/>
                      <w:color w:val="auto"/>
                      <w:lang w:val="en-US" w:eastAsia="zh-CN"/>
                    </w:rPr>
                    <w:t>、NOx</w:t>
                  </w:r>
                </w:p>
              </w:tc>
              <w:tc>
                <w:tcPr>
                  <w:tcW w:w="2891" w:type="dxa"/>
                  <w:vMerge w:val="continue"/>
                  <w:noWrap w:val="0"/>
                  <w:vAlign w:val="center"/>
                </w:tcPr>
                <w:p>
                  <w:pPr>
                    <w:pStyle w:val="13"/>
                    <w:bidi w:val="0"/>
                    <w:rPr>
                      <w:rFonts w:hint="eastAsia"/>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食堂油烟</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食堂</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油烟</w:t>
                  </w:r>
                </w:p>
              </w:tc>
              <w:tc>
                <w:tcPr>
                  <w:tcW w:w="2891" w:type="dxa"/>
                  <w:noWrap w:val="0"/>
                  <w:vAlign w:val="center"/>
                </w:tcPr>
                <w:p>
                  <w:pPr>
                    <w:pStyle w:val="13"/>
                    <w:bidi w:val="0"/>
                    <w:rPr>
                      <w:rFonts w:hint="eastAsia"/>
                      <w:color w:val="auto"/>
                      <w:lang w:val="en-US" w:eastAsia="zh-CN"/>
                    </w:rPr>
                  </w:pPr>
                  <w:r>
                    <w:rPr>
                      <w:rFonts w:hint="eastAsia"/>
                      <w:color w:val="auto"/>
                      <w:lang w:val="en-US" w:eastAsia="zh-CN"/>
                    </w:rPr>
                    <w:t>通过油烟净化器处理后于楼顶高空排放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bidi w:val="0"/>
                    <w:rPr>
                      <w:rFonts w:hint="eastAsia"/>
                      <w:color w:val="auto"/>
                    </w:rPr>
                  </w:pPr>
                  <w:r>
                    <w:rPr>
                      <w:rFonts w:hint="eastAsia"/>
                      <w:color w:val="auto"/>
                    </w:rPr>
                    <w:t>噪声</w:t>
                  </w:r>
                </w:p>
              </w:tc>
              <w:tc>
                <w:tcPr>
                  <w:tcW w:w="1928" w:type="dxa"/>
                  <w:noWrap w:val="0"/>
                  <w:vAlign w:val="center"/>
                </w:tcPr>
                <w:p>
                  <w:pPr>
                    <w:pStyle w:val="13"/>
                    <w:bidi w:val="0"/>
                    <w:rPr>
                      <w:color w:val="auto"/>
                    </w:rPr>
                  </w:pPr>
                  <w:r>
                    <w:rPr>
                      <w:rFonts w:hint="eastAsia"/>
                      <w:color w:val="auto"/>
                    </w:rPr>
                    <w:t>噪声</w:t>
                  </w:r>
                </w:p>
              </w:tc>
              <w:tc>
                <w:tcPr>
                  <w:tcW w:w="1304" w:type="dxa"/>
                  <w:noWrap w:val="0"/>
                  <w:vAlign w:val="center"/>
                </w:tcPr>
                <w:p>
                  <w:pPr>
                    <w:pStyle w:val="13"/>
                    <w:bidi w:val="0"/>
                    <w:rPr>
                      <w:color w:val="auto"/>
                    </w:rPr>
                  </w:pPr>
                  <w:r>
                    <w:rPr>
                      <w:rFonts w:hint="eastAsia"/>
                      <w:color w:val="auto"/>
                    </w:rPr>
                    <w:t>设备运行</w:t>
                  </w:r>
                </w:p>
              </w:tc>
              <w:tc>
                <w:tcPr>
                  <w:tcW w:w="1814" w:type="dxa"/>
                  <w:noWrap w:val="0"/>
                  <w:vAlign w:val="center"/>
                </w:tcPr>
                <w:p>
                  <w:pPr>
                    <w:pStyle w:val="13"/>
                    <w:bidi w:val="0"/>
                    <w:rPr>
                      <w:color w:val="auto"/>
                    </w:rPr>
                  </w:pPr>
                  <w:r>
                    <w:rPr>
                      <w:rFonts w:hint="eastAsia"/>
                      <w:color w:val="auto"/>
                    </w:rPr>
                    <w:t>噪声</w:t>
                  </w:r>
                </w:p>
              </w:tc>
              <w:tc>
                <w:tcPr>
                  <w:tcW w:w="2891" w:type="dxa"/>
                  <w:noWrap w:val="0"/>
                  <w:vAlign w:val="center"/>
                </w:tcPr>
                <w:p>
                  <w:pPr>
                    <w:pStyle w:val="13"/>
                    <w:bidi w:val="0"/>
                    <w:rPr>
                      <w:rFonts w:hint="eastAsia"/>
                      <w:color w:val="auto"/>
                      <w:lang w:eastAsia="zh-CN"/>
                    </w:rPr>
                  </w:pPr>
                  <w:r>
                    <w:rPr>
                      <w:rFonts w:hint="eastAsia"/>
                      <w:color w:val="auto"/>
                      <w:lang w:eastAsia="zh-CN"/>
                    </w:rPr>
                    <w:t>采取选用低噪声设备、厂房隔声、基础减振等降噪措施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3"/>
                    <w:bidi w:val="0"/>
                    <w:rPr>
                      <w:rFonts w:hint="eastAsia"/>
                      <w:color w:val="auto"/>
                    </w:rPr>
                  </w:pPr>
                  <w:r>
                    <w:rPr>
                      <w:rFonts w:hint="eastAsia"/>
                      <w:color w:val="auto"/>
                    </w:rPr>
                    <w:t>固废</w:t>
                  </w:r>
                </w:p>
              </w:tc>
              <w:tc>
                <w:tcPr>
                  <w:tcW w:w="1928"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rPr>
                    <w:t>废包装材料</w:t>
                  </w:r>
                </w:p>
              </w:tc>
              <w:tc>
                <w:tcPr>
                  <w:tcW w:w="1304"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s="Times New Roman"/>
                      <w:color w:val="auto"/>
                      <w:sz w:val="21"/>
                      <w:lang w:val="en-US" w:eastAsia="zh-CN" w:bidi="ar-SA"/>
                    </w:rPr>
                    <w:t>生产</w:t>
                  </w:r>
                </w:p>
              </w:tc>
              <w:tc>
                <w:tcPr>
                  <w:tcW w:w="181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rPr>
                    <w:t>废包装材料</w:t>
                  </w:r>
                </w:p>
              </w:tc>
              <w:tc>
                <w:tcPr>
                  <w:tcW w:w="2891" w:type="dxa"/>
                  <w:noWrap w:val="0"/>
                  <w:vAlign w:val="center"/>
                </w:tcPr>
                <w:p>
                  <w:pPr>
                    <w:pStyle w:val="13"/>
                    <w:bidi w:val="0"/>
                    <w:rPr>
                      <w:rFonts w:hint="eastAsia" w:eastAsia="宋体"/>
                      <w:color w:val="auto"/>
                      <w:lang w:eastAsia="zh-CN"/>
                    </w:rPr>
                  </w:pPr>
                  <w:r>
                    <w:rPr>
                      <w:rFonts w:hint="eastAsia"/>
                      <w:color w:val="auto"/>
                      <w:lang w:eastAsia="zh-CN"/>
                    </w:rPr>
                    <w:t>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default"/>
                      <w:color w:val="auto"/>
                      <w:lang w:val="en-US" w:eastAsia="zh-CN"/>
                    </w:rPr>
                  </w:pPr>
                  <w:r>
                    <w:rPr>
                      <w:rFonts w:hint="default"/>
                      <w:color w:val="auto"/>
                      <w:lang w:val="en-US" w:eastAsia="zh-CN"/>
                    </w:rPr>
                    <w:t>纤维碎屑</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预刺、主刺</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纤维碎屑</w:t>
                  </w:r>
                </w:p>
              </w:tc>
              <w:tc>
                <w:tcPr>
                  <w:tcW w:w="2891" w:type="dxa"/>
                  <w:noWrap w:val="0"/>
                  <w:vAlign w:val="center"/>
                </w:tcPr>
                <w:p>
                  <w:pPr>
                    <w:pStyle w:val="13"/>
                    <w:bidi w:val="0"/>
                    <w:rPr>
                      <w:rFonts w:hint="default" w:eastAsia="宋体"/>
                      <w:color w:val="auto"/>
                      <w:lang w:val="en-US" w:eastAsia="zh-CN"/>
                    </w:rPr>
                  </w:pPr>
                  <w:r>
                    <w:rPr>
                      <w:rFonts w:hint="eastAsia"/>
                      <w:color w:val="auto"/>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边角料</w:t>
                  </w:r>
                </w:p>
              </w:tc>
              <w:tc>
                <w:tcPr>
                  <w:tcW w:w="130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切边</w:t>
                  </w:r>
                </w:p>
              </w:tc>
              <w:tc>
                <w:tcPr>
                  <w:tcW w:w="181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边角料</w:t>
                  </w:r>
                </w:p>
              </w:tc>
              <w:tc>
                <w:tcPr>
                  <w:tcW w:w="2891" w:type="dxa"/>
                  <w:noWrap w:val="0"/>
                  <w:vAlign w:val="center"/>
                </w:tcPr>
                <w:p>
                  <w:pPr>
                    <w:pStyle w:val="13"/>
                    <w:bidi w:val="0"/>
                    <w:rPr>
                      <w:rFonts w:hint="default"/>
                      <w:color w:val="auto"/>
                      <w:lang w:val="en-US" w:eastAsia="zh-CN"/>
                    </w:rPr>
                  </w:pPr>
                  <w:r>
                    <w:rPr>
                      <w:rFonts w:hint="eastAsia"/>
                      <w:color w:val="auto"/>
                      <w:lang w:val="en-US" w:eastAsia="zh-CN"/>
                    </w:rPr>
                    <w:t>经开松后回用于生产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超声波复合无纺布和无纺布边角料</w:t>
                  </w:r>
                </w:p>
              </w:tc>
              <w:tc>
                <w:tcPr>
                  <w:tcW w:w="130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分切</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超声波复合无纺布和无纺布边角料</w:t>
                  </w:r>
                </w:p>
              </w:tc>
              <w:tc>
                <w:tcPr>
                  <w:tcW w:w="2891" w:type="dxa"/>
                  <w:noWrap w:val="0"/>
                  <w:vAlign w:val="center"/>
                </w:tcPr>
                <w:p>
                  <w:pPr>
                    <w:pStyle w:val="13"/>
                    <w:bidi w:val="0"/>
                    <w:rPr>
                      <w:rFonts w:hint="eastAsia"/>
                      <w:color w:val="auto"/>
                      <w:lang w:val="en-US" w:eastAsia="zh-CN"/>
                    </w:rPr>
                  </w:pPr>
                  <w:r>
                    <w:rPr>
                      <w:rFonts w:hint="eastAsia"/>
                      <w:color w:val="auto"/>
                      <w:lang w:val="en-US" w:eastAsia="zh-CN"/>
                    </w:rPr>
                    <w:t>经开松后回用于生产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活性炭无纺布和浸渍无纺布边角料</w:t>
                  </w:r>
                </w:p>
              </w:tc>
              <w:tc>
                <w:tcPr>
                  <w:tcW w:w="130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ascii="Times New Roman" w:hAnsi="Times New Roman" w:eastAsia="宋体" w:cs="Times New Roman"/>
                      <w:color w:val="auto"/>
                      <w:sz w:val="21"/>
                      <w:lang w:val="en-US" w:eastAsia="zh-CN" w:bidi="ar-SA"/>
                    </w:rPr>
                    <w:t>分切</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活性炭无纺布和浸渍无纺布边角料</w:t>
                  </w:r>
                </w:p>
              </w:tc>
              <w:tc>
                <w:tcPr>
                  <w:tcW w:w="2891" w:type="dxa"/>
                  <w:noWrap w:val="0"/>
                  <w:vAlign w:val="center"/>
                </w:tcPr>
                <w:p>
                  <w:pPr>
                    <w:pStyle w:val="13"/>
                    <w:bidi w:val="0"/>
                    <w:rPr>
                      <w:rFonts w:hint="eastAsia"/>
                      <w:color w:val="auto"/>
                      <w:lang w:val="en-US" w:eastAsia="zh-CN"/>
                    </w:rPr>
                  </w:pPr>
                  <w:r>
                    <w:rPr>
                      <w:rFonts w:hint="eastAsia"/>
                      <w:color w:val="auto"/>
                      <w:lang w:val="en-US" w:eastAsia="zh-CN"/>
                    </w:rPr>
                    <w:t>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布袋收尘</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废气处理</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活性炭</w:t>
                  </w:r>
                </w:p>
              </w:tc>
              <w:tc>
                <w:tcPr>
                  <w:tcW w:w="2891" w:type="dxa"/>
                  <w:noWrap w:val="0"/>
                  <w:vAlign w:val="center"/>
                </w:tcPr>
                <w:p>
                  <w:pPr>
                    <w:pStyle w:val="13"/>
                    <w:bidi w:val="0"/>
                    <w:rPr>
                      <w:rFonts w:hint="eastAsia"/>
                      <w:color w:val="auto"/>
                      <w:lang w:val="en-US" w:eastAsia="zh-CN"/>
                    </w:rPr>
                  </w:pPr>
                  <w:r>
                    <w:rPr>
                      <w:rFonts w:hint="eastAsia"/>
                      <w:color w:val="auto"/>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废硬浆4075桶</w:t>
                  </w:r>
                </w:p>
              </w:tc>
              <w:tc>
                <w:tcPr>
                  <w:tcW w:w="130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发泡</w:t>
                  </w:r>
                </w:p>
              </w:tc>
              <w:tc>
                <w:tcPr>
                  <w:tcW w:w="181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硬浆4075</w:t>
                  </w:r>
                </w:p>
              </w:tc>
              <w:tc>
                <w:tcPr>
                  <w:tcW w:w="2891" w:type="dxa"/>
                  <w:noWrap w:val="0"/>
                  <w:vAlign w:val="center"/>
                </w:tcPr>
                <w:p>
                  <w:pPr>
                    <w:pStyle w:val="13"/>
                    <w:bidi w:val="0"/>
                    <w:rPr>
                      <w:rFonts w:hint="default"/>
                      <w:color w:val="auto"/>
                      <w:lang w:val="en-US" w:eastAsia="zh-CN"/>
                    </w:rPr>
                  </w:pPr>
                  <w:r>
                    <w:rPr>
                      <w:rFonts w:hint="eastAsia"/>
                      <w:color w:val="auto"/>
                      <w:lang w:val="en-US" w:eastAsia="zh-CN"/>
                    </w:rPr>
                    <w:t>收集后由厂家回收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废颜料桶</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发泡</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颜料</w:t>
                  </w:r>
                </w:p>
              </w:tc>
              <w:tc>
                <w:tcPr>
                  <w:tcW w:w="2891" w:type="dxa"/>
                  <w:noWrap w:val="0"/>
                  <w:vAlign w:val="center"/>
                </w:tcPr>
                <w:p>
                  <w:pPr>
                    <w:pStyle w:val="13"/>
                    <w:bidi w:val="0"/>
                    <w:rPr>
                      <w:rFonts w:hint="eastAsia"/>
                      <w:color w:val="auto"/>
                      <w:lang w:val="en-US" w:eastAsia="zh-CN"/>
                    </w:rPr>
                  </w:pPr>
                  <w:r>
                    <w:rPr>
                      <w:rFonts w:hint="eastAsia"/>
                      <w:color w:val="auto"/>
                      <w:lang w:val="en-US" w:eastAsia="zh-CN"/>
                    </w:rPr>
                    <w:t>收集后由厂家回收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废热熔胶袋</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摊铺、涂胶</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废热熔胶袋</w:t>
                  </w:r>
                </w:p>
              </w:tc>
              <w:tc>
                <w:tcPr>
                  <w:tcW w:w="2891" w:type="dxa"/>
                  <w:vMerge w:val="restart"/>
                  <w:noWrap w:val="0"/>
                  <w:vAlign w:val="center"/>
                </w:tcPr>
                <w:p>
                  <w:pPr>
                    <w:pStyle w:val="13"/>
                    <w:bidi w:val="0"/>
                    <w:rPr>
                      <w:rFonts w:hint="eastAsia"/>
                      <w:color w:val="auto"/>
                    </w:rPr>
                  </w:pPr>
                  <w:r>
                    <w:rPr>
                      <w:color w:val="auto"/>
                    </w:rPr>
                    <w:t>定期委托有资质单位处理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废软胶805桶</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发泡</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软胶805</w:t>
                  </w:r>
                </w:p>
              </w:tc>
              <w:tc>
                <w:tcPr>
                  <w:tcW w:w="2891" w:type="dxa"/>
                  <w:vMerge w:val="continue"/>
                  <w:noWrap w:val="0"/>
                  <w:vAlign w:val="center"/>
                </w:tcPr>
                <w:p>
                  <w:pPr>
                    <w:pStyle w:val="13"/>
                    <w:bidi w:val="0"/>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color w:val="auto"/>
                      <w:lang w:val="en-US" w:eastAsia="zh-CN"/>
                    </w:rPr>
                  </w:pPr>
                  <w:r>
                    <w:rPr>
                      <w:rFonts w:hint="eastAsia"/>
                      <w:color w:val="auto"/>
                      <w:lang w:val="en-US" w:eastAsia="zh-CN"/>
                    </w:rPr>
                    <w:t>废软胶810桶</w:t>
                  </w:r>
                </w:p>
              </w:tc>
              <w:tc>
                <w:tcPr>
                  <w:tcW w:w="1304" w:type="dxa"/>
                  <w:noWrap w:val="0"/>
                  <w:vAlign w:val="center"/>
                </w:tcPr>
                <w:p>
                  <w:pPr>
                    <w:pStyle w:val="13"/>
                    <w:bidi w:val="0"/>
                    <w:rPr>
                      <w:rFonts w:hint="eastAsia"/>
                      <w:color w:val="auto"/>
                      <w:lang w:val="en-US" w:eastAsia="zh-CN"/>
                    </w:rPr>
                  </w:pPr>
                  <w:r>
                    <w:rPr>
                      <w:rFonts w:hint="eastAsia"/>
                      <w:color w:val="auto"/>
                      <w:lang w:val="en-US" w:eastAsia="zh-CN"/>
                    </w:rPr>
                    <w:t>发泡</w:t>
                  </w:r>
                </w:p>
              </w:tc>
              <w:tc>
                <w:tcPr>
                  <w:tcW w:w="1814" w:type="dxa"/>
                  <w:noWrap w:val="0"/>
                  <w:vAlign w:val="center"/>
                </w:tcPr>
                <w:p>
                  <w:pPr>
                    <w:pStyle w:val="13"/>
                    <w:bidi w:val="0"/>
                    <w:rPr>
                      <w:rFonts w:hint="eastAsia"/>
                      <w:color w:val="auto"/>
                      <w:lang w:val="en-US" w:eastAsia="zh-CN"/>
                    </w:rPr>
                  </w:pPr>
                  <w:r>
                    <w:rPr>
                      <w:rFonts w:hint="eastAsia"/>
                      <w:color w:val="auto"/>
                      <w:lang w:val="en-US" w:eastAsia="zh-CN"/>
                    </w:rPr>
                    <w:t>软胶810</w:t>
                  </w:r>
                </w:p>
              </w:tc>
              <w:tc>
                <w:tcPr>
                  <w:tcW w:w="2891" w:type="dxa"/>
                  <w:vMerge w:val="continue"/>
                  <w:noWrap w:val="0"/>
                  <w:vAlign w:val="center"/>
                </w:tcPr>
                <w:p>
                  <w:pPr>
                    <w:pStyle w:val="13"/>
                    <w:bidi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bidi w:val="0"/>
                    <w:rPr>
                      <w:rFonts w:hint="eastAsia"/>
                      <w:color w:val="auto"/>
                    </w:rPr>
                  </w:pPr>
                </w:p>
              </w:tc>
              <w:tc>
                <w:tcPr>
                  <w:tcW w:w="1928"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废活性炭</w:t>
                  </w:r>
                </w:p>
              </w:tc>
              <w:tc>
                <w:tcPr>
                  <w:tcW w:w="130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废气处理</w:t>
                  </w:r>
                </w:p>
              </w:tc>
              <w:tc>
                <w:tcPr>
                  <w:tcW w:w="181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废活性炭</w:t>
                  </w:r>
                </w:p>
              </w:tc>
              <w:tc>
                <w:tcPr>
                  <w:tcW w:w="2891" w:type="dxa"/>
                  <w:vMerge w:val="continue"/>
                  <w:noWrap w:val="0"/>
                  <w:vAlign w:val="center"/>
                </w:tcPr>
                <w:p>
                  <w:pPr>
                    <w:pStyle w:val="13"/>
                    <w:bidi w:val="0"/>
                    <w:rPr>
                      <w:color w:val="auto"/>
                    </w:rPr>
                  </w:pPr>
                </w:p>
              </w:tc>
            </w:tr>
          </w:tbl>
          <w:p>
            <w:pPr>
              <w:pStyle w:val="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sz w:val="13"/>
                <w:szCs w:val="13"/>
                <w:highlight w:val="none"/>
                <w:lang w:val="en-US" w:eastAsia="zh-CN"/>
              </w:rPr>
            </w:pPr>
            <w:r>
              <w:rPr>
                <w:rFonts w:hint="eastAsia"/>
                <w:color w:val="FFFFFF" w:themeColor="background1"/>
                <w:sz w:val="13"/>
                <w:szCs w:val="13"/>
                <w:highlight w:val="none"/>
                <w:lang w:val="en-US" w:eastAsia="zh-CN"/>
                <w14:textFill>
                  <w14:solidFill>
                    <w14:schemeClr w14:val="bg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94" w:hRule="atLeast"/>
          <w:jc w:val="center"/>
        </w:trPr>
        <w:tc>
          <w:tcPr>
            <w:tcW w:w="624" w:type="dxa"/>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cs="宋体"/>
                <w:b/>
                <w:color w:val="auto"/>
                <w:highlight w:val="none"/>
              </w:rPr>
            </w:pPr>
            <w:r>
              <w:rPr>
                <w:rFonts w:hint="eastAsia" w:cs="宋体"/>
                <w:b/>
                <w:color w:val="auto"/>
                <w:highlight w:val="none"/>
              </w:rPr>
              <w:t>与项目有关的原有环境污染问题</w:t>
            </w:r>
          </w:p>
        </w:tc>
        <w:tc>
          <w:tcPr>
            <w:tcW w:w="8731" w:type="dxa"/>
            <w:noWrap w:val="0"/>
            <w:vAlign w:val="top"/>
          </w:tcPr>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宋体" w:hAnsi="宋体" w:cs="宋体"/>
                <w:color w:val="auto"/>
                <w:kern w:val="0"/>
                <w:highlight w:val="none"/>
              </w:rPr>
            </w:pPr>
            <w:r>
              <w:rPr>
                <w:rFonts w:hint="eastAsia"/>
                <w:color w:val="auto"/>
                <w:lang w:eastAsia="zh-CN"/>
              </w:rPr>
              <w:t>安徽凤凰滤清器股份有限公司华纺滤材分公司</w:t>
            </w:r>
            <w:r>
              <w:rPr>
                <w:color w:val="auto"/>
              </w:rPr>
              <w:t>位于</w:t>
            </w:r>
            <w:r>
              <w:rPr>
                <w:rFonts w:hint="eastAsia"/>
                <w:color w:val="auto"/>
                <w:lang w:eastAsia="zh-CN"/>
              </w:rPr>
              <w:t>蚌埠市怀远县经济开发区金河路32号</w:t>
            </w:r>
            <w:r>
              <w:rPr>
                <w:rFonts w:hint="eastAsia"/>
                <w:color w:val="auto"/>
              </w:rPr>
              <w:t>，</w:t>
            </w:r>
            <w:r>
              <w:rPr>
                <w:rFonts w:hint="eastAsia"/>
                <w:color w:val="auto"/>
                <w:lang w:eastAsia="zh-CN"/>
              </w:rPr>
              <w:t>扩建项目依托现有厂房，企业</w:t>
            </w:r>
            <w:r>
              <w:rPr>
                <w:rFonts w:hint="eastAsia"/>
                <w:color w:val="auto"/>
                <w:lang w:val="en-US" w:eastAsia="zh-CN"/>
              </w:rPr>
              <w:t>现有项目情况如下</w:t>
            </w:r>
            <w:r>
              <w:rPr>
                <w:color w:val="auto"/>
              </w:rPr>
              <w:t>。</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一、现有项目基本情况</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1、现有项目产品方案</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表2-</w:t>
            </w:r>
            <w:r>
              <w:rPr>
                <w:rFonts w:hint="eastAsia"/>
                <w:color w:val="auto"/>
                <w:lang w:val="en-US" w:eastAsia="zh-CN"/>
              </w:rPr>
              <w:t>10</w:t>
            </w:r>
            <w:r>
              <w:rPr>
                <w:rFonts w:hint="eastAsia"/>
                <w:color w:val="auto"/>
              </w:rPr>
              <w:t xml:space="preserve"> </w:t>
            </w:r>
            <w:r>
              <w:rPr>
                <w:rFonts w:hint="eastAsia"/>
                <w:color w:val="auto"/>
                <w:lang w:eastAsia="zh-CN"/>
              </w:rPr>
              <w:t>现有</w:t>
            </w:r>
            <w:r>
              <w:rPr>
                <w:rFonts w:hint="eastAsia"/>
                <w:color w:val="auto"/>
              </w:rPr>
              <w:t>项目产品方案</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721"/>
              <w:gridCol w:w="1417"/>
              <w:gridCol w:w="1928"/>
              <w:gridCol w:w="1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序号</w:t>
                  </w:r>
                </w:p>
              </w:tc>
              <w:tc>
                <w:tcPr>
                  <w:tcW w:w="272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名称</w:t>
                  </w:r>
                </w:p>
              </w:tc>
              <w:tc>
                <w:tcPr>
                  <w:tcW w:w="1417" w:type="dxa"/>
                  <w:noWrap w:val="0"/>
                  <w:vAlign w:val="center"/>
                </w:tcPr>
                <w:p>
                  <w:pPr>
                    <w:pStyle w:val="15"/>
                    <w:bidi w:val="0"/>
                    <w:rPr>
                      <w:rFonts w:hint="eastAsia"/>
                      <w:color w:val="auto"/>
                      <w:sz w:val="21"/>
                      <w:szCs w:val="21"/>
                    </w:rPr>
                  </w:pPr>
                  <w:r>
                    <w:rPr>
                      <w:rFonts w:hint="eastAsia"/>
                      <w:color w:val="auto"/>
                      <w:sz w:val="21"/>
                      <w:szCs w:val="21"/>
                    </w:rPr>
                    <w:t>规格</w:t>
                  </w:r>
                </w:p>
              </w:tc>
              <w:tc>
                <w:tcPr>
                  <w:tcW w:w="192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年产</w:t>
                  </w:r>
                  <w:r>
                    <w:rPr>
                      <w:rFonts w:hint="eastAsia" w:ascii="宋体" w:hAnsi="宋体" w:eastAsia="宋体" w:cs="宋体"/>
                      <w:b/>
                      <w:bCs/>
                      <w:color w:val="auto"/>
                      <w:sz w:val="21"/>
                      <w:szCs w:val="21"/>
                    </w:rPr>
                    <w:t>量</w:t>
                  </w:r>
                </w:p>
              </w:tc>
              <w:tc>
                <w:tcPr>
                  <w:tcW w:w="141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1</w:t>
                  </w:r>
                </w:p>
              </w:tc>
              <w:tc>
                <w:tcPr>
                  <w:tcW w:w="272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无纺布（含浸渍）</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w:t>
                  </w:r>
                </w:p>
              </w:tc>
              <w:tc>
                <w:tcPr>
                  <w:tcW w:w="192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700万</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w:t>
                  </w:r>
                </w:p>
              </w:tc>
              <w:tc>
                <w:tcPr>
                  <w:tcW w:w="272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活性炭无纺布</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w:t>
                  </w:r>
                </w:p>
              </w:tc>
              <w:tc>
                <w:tcPr>
                  <w:tcW w:w="1928"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3</w:t>
                  </w:r>
                  <w:r>
                    <w:rPr>
                      <w:rFonts w:hint="eastAsia"/>
                      <w:color w:val="auto"/>
                      <w:sz w:val="21"/>
                      <w:szCs w:val="21"/>
                      <w:lang w:eastAsia="zh-CN"/>
                    </w:rPr>
                    <w:t>00万</w:t>
                  </w:r>
                </w:p>
              </w:tc>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eastAsia="zh-CN"/>
                    </w:rPr>
                    <w:t>㎡</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lang w:val="en-US" w:eastAsia="zh-CN"/>
              </w:rPr>
              <w:t>2</w:t>
            </w:r>
            <w:r>
              <w:rPr>
                <w:rFonts w:hint="eastAsia"/>
                <w:color w:val="auto"/>
              </w:rPr>
              <w:t>、</w:t>
            </w:r>
            <w:r>
              <w:rPr>
                <w:rFonts w:hint="eastAsia"/>
                <w:color w:val="auto"/>
                <w:lang w:eastAsia="zh-CN"/>
              </w:rPr>
              <w:t>现有</w:t>
            </w:r>
            <w:r>
              <w:rPr>
                <w:rFonts w:hint="eastAsia"/>
                <w:color w:val="auto"/>
              </w:rPr>
              <w:t>项目主要生产设备</w:t>
            </w:r>
          </w:p>
          <w:p>
            <w:pPr>
              <w:pStyle w:val="11"/>
              <w:bidi w:val="0"/>
              <w:rPr>
                <w:rFonts w:hint="eastAsia"/>
                <w:color w:val="auto"/>
              </w:rPr>
            </w:pPr>
            <w:r>
              <w:rPr>
                <w:rFonts w:hint="eastAsia"/>
                <w:color w:val="auto"/>
              </w:rPr>
              <w:t>表2-</w:t>
            </w:r>
            <w:r>
              <w:rPr>
                <w:rFonts w:hint="eastAsia"/>
                <w:color w:val="auto"/>
                <w:lang w:val="en-US" w:eastAsia="zh-CN"/>
              </w:rPr>
              <w:t>11</w:t>
            </w:r>
            <w:r>
              <w:rPr>
                <w:rFonts w:hint="eastAsia"/>
                <w:color w:val="auto"/>
              </w:rPr>
              <w:t xml:space="preserve"> </w:t>
            </w:r>
            <w:r>
              <w:rPr>
                <w:rFonts w:hint="eastAsia"/>
                <w:color w:val="auto"/>
                <w:lang w:eastAsia="zh-CN"/>
              </w:rPr>
              <w:t>现有</w:t>
            </w:r>
            <w:r>
              <w:rPr>
                <w:rFonts w:hint="eastAsia"/>
                <w:color w:val="auto"/>
              </w:rPr>
              <w:t>项目主要生产设备</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2268"/>
              <w:gridCol w:w="1417"/>
              <w:gridCol w:w="1247"/>
              <w:gridCol w:w="1134"/>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268"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生产设备名称</w:t>
                  </w:r>
                </w:p>
              </w:tc>
              <w:tc>
                <w:tcPr>
                  <w:tcW w:w="141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规格</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型号</w:t>
                  </w:r>
                </w:p>
              </w:tc>
              <w:tc>
                <w:tcPr>
                  <w:tcW w:w="124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ind w:right="0" w:rightChars="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2"/>
                      <w:sz w:val="21"/>
                      <w:szCs w:val="21"/>
                      <w:lang w:eastAsia="zh-CN"/>
                    </w:rPr>
                    <w:t>数量</w:t>
                  </w:r>
                </w:p>
              </w:tc>
              <w:tc>
                <w:tcPr>
                  <w:tcW w:w="113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70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开包机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3个投料口/台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混棉箱</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粗开松机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精开松机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振动棉箱</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梳理机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铺网机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套</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8</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预刺机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主刺机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烘箱（电）</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切边装置</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热烫压合机（电）</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收卷机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边角料开松机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前放布架</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后放布架</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撒粉机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复合压辊机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19</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胶机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上料架</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发泡机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浸胶对压辊</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23</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辊烫机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24</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烘箱（天然气）</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25</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天然气燃烧机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250万大卡</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26</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压合机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27</w:t>
                  </w:r>
                </w:p>
              </w:tc>
              <w:tc>
                <w:tcPr>
                  <w:tcW w:w="2268" w:type="dxa"/>
                  <w:noWrap w:val="0"/>
                  <w:vAlign w:val="center"/>
                </w:tcPr>
                <w:p>
                  <w:pPr>
                    <w:pStyle w:val="13"/>
                    <w:rPr>
                      <w:rFonts w:hint="default" w:ascii="Times New Roman" w:hAnsi="Times New Roman" w:eastAsia="宋体" w:cs="Times New Roman"/>
                      <w:color w:val="auto"/>
                      <w:sz w:val="21"/>
                      <w:szCs w:val="21"/>
                      <w:lang w:val="en-US" w:eastAsia="zh-CN" w:bidi="ar-SA"/>
                    </w:rPr>
                  </w:pPr>
                  <w:r>
                    <w:rPr>
                      <w:rFonts w:hint="eastAsia" w:eastAsia="宋体"/>
                      <w:color w:val="auto"/>
                      <w:sz w:val="21"/>
                      <w:szCs w:val="21"/>
                    </w:rPr>
                    <w:t>分切机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rPr>
                  </w:pPr>
                  <w:r>
                    <w:rPr>
                      <w:rFonts w:hint="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28</w:t>
                  </w:r>
                </w:p>
              </w:tc>
              <w:tc>
                <w:tcPr>
                  <w:tcW w:w="2268" w:type="dxa"/>
                  <w:noWrap w:val="0"/>
                  <w:vAlign w:val="center"/>
                </w:tcPr>
                <w:p>
                  <w:pPr>
                    <w:pStyle w:val="13"/>
                    <w:rPr>
                      <w:rFonts w:hint="eastAsia" w:ascii="Times New Roman" w:hAnsi="Times New Roman" w:eastAsia="宋体" w:cs="Times New Roman"/>
                      <w:color w:val="auto"/>
                      <w:sz w:val="21"/>
                      <w:szCs w:val="21"/>
                      <w:lang w:val="en-US" w:eastAsia="zh-CN" w:bidi="ar-SA"/>
                    </w:rPr>
                  </w:pPr>
                  <w:r>
                    <w:rPr>
                      <w:rFonts w:hint="eastAsia" w:eastAsia="宋体"/>
                      <w:color w:val="auto"/>
                      <w:sz w:val="21"/>
                      <w:szCs w:val="21"/>
                    </w:rPr>
                    <w:t>空压机</w:t>
                  </w:r>
                </w:p>
              </w:tc>
              <w:tc>
                <w:tcPr>
                  <w:tcW w:w="1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247" w:type="dxa"/>
                  <w:noWrap w:val="0"/>
                  <w:vAlign w:val="center"/>
                </w:tcPr>
                <w:p>
                  <w:pPr>
                    <w:adjustRightInd w:val="0"/>
                    <w:snapToGrid w:val="0"/>
                    <w:spacing w:beforeLines="0" w:afterLine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Times New Roman"/>
                      <w:color w:val="auto"/>
                      <w:kern w:val="2"/>
                      <w:sz w:val="21"/>
                      <w:szCs w:val="21"/>
                      <w:lang w:val="en-US" w:eastAsia="zh-CN" w:bidi="ar-SA"/>
                    </w:rPr>
                  </w:pPr>
                  <w:r>
                    <w:rPr>
                      <w:rFonts w:hint="eastAsia" w:ascii="宋体" w:hAnsi="宋体" w:eastAsia="宋体"/>
                      <w:color w:val="auto"/>
                      <w:sz w:val="21"/>
                      <w:szCs w:val="21"/>
                    </w:rPr>
                    <w:t>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lang w:val="en-US" w:eastAsia="zh-CN"/>
              </w:rPr>
              <w:t>3</w:t>
            </w:r>
            <w:r>
              <w:rPr>
                <w:rFonts w:hint="eastAsia"/>
                <w:color w:val="auto"/>
              </w:rPr>
              <w:t>、</w:t>
            </w:r>
            <w:r>
              <w:rPr>
                <w:rFonts w:hint="eastAsia"/>
                <w:color w:val="auto"/>
                <w:lang w:eastAsia="zh-CN"/>
              </w:rPr>
              <w:t>现有</w:t>
            </w:r>
            <w:r>
              <w:rPr>
                <w:rFonts w:hint="eastAsia"/>
                <w:color w:val="auto"/>
              </w:rPr>
              <w:t>项目主要原辅材料和能源消耗</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表2-</w:t>
            </w:r>
            <w:r>
              <w:rPr>
                <w:rFonts w:hint="eastAsia"/>
                <w:color w:val="auto"/>
                <w:lang w:val="en-US" w:eastAsia="zh-CN"/>
              </w:rPr>
              <w:t>12</w:t>
            </w:r>
            <w:r>
              <w:rPr>
                <w:rFonts w:hint="eastAsia"/>
                <w:color w:val="auto"/>
              </w:rPr>
              <w:t xml:space="preserve"> </w:t>
            </w:r>
            <w:r>
              <w:rPr>
                <w:rFonts w:hint="eastAsia"/>
                <w:color w:val="auto"/>
                <w:lang w:eastAsia="zh-CN"/>
              </w:rPr>
              <w:t>现有</w:t>
            </w:r>
            <w:r>
              <w:rPr>
                <w:rFonts w:hint="eastAsia"/>
                <w:color w:val="auto"/>
              </w:rPr>
              <w:t>项目原辅材料、能源消耗指标</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1417"/>
              <w:gridCol w:w="1304"/>
              <w:gridCol w:w="1134"/>
              <w:gridCol w:w="1304"/>
              <w:gridCol w:w="1361"/>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5"/>
                    <w:bidi w:val="0"/>
                    <w:rPr>
                      <w:color w:val="auto"/>
                    </w:rPr>
                  </w:pPr>
                  <w:r>
                    <w:rPr>
                      <w:color w:val="auto"/>
                    </w:rPr>
                    <w:t>类别</w:t>
                  </w:r>
                </w:p>
              </w:tc>
              <w:tc>
                <w:tcPr>
                  <w:tcW w:w="1417" w:type="dxa"/>
                  <w:noWrap w:val="0"/>
                  <w:vAlign w:val="center"/>
                </w:tcPr>
                <w:p>
                  <w:pPr>
                    <w:pStyle w:val="15"/>
                    <w:bidi w:val="0"/>
                    <w:rPr>
                      <w:rFonts w:hint="default"/>
                      <w:color w:val="auto"/>
                    </w:rPr>
                  </w:pPr>
                  <w:r>
                    <w:rPr>
                      <w:rFonts w:hint="default"/>
                      <w:color w:val="auto"/>
                    </w:rPr>
                    <w:t>材料名称</w:t>
                  </w:r>
                </w:p>
              </w:tc>
              <w:tc>
                <w:tcPr>
                  <w:tcW w:w="1304" w:type="dxa"/>
                  <w:noWrap w:val="0"/>
                  <w:vAlign w:val="center"/>
                </w:tcPr>
                <w:p>
                  <w:pPr>
                    <w:pStyle w:val="15"/>
                    <w:bidi w:val="0"/>
                    <w:rPr>
                      <w:rFonts w:hint="default" w:eastAsia="宋体"/>
                      <w:color w:val="auto"/>
                      <w:lang w:val="en-US" w:eastAsia="zh-CN"/>
                    </w:rPr>
                  </w:pPr>
                  <w:r>
                    <w:rPr>
                      <w:rFonts w:hint="eastAsia"/>
                      <w:color w:val="auto"/>
                      <w:lang w:val="en-US" w:eastAsia="zh-CN"/>
                    </w:rPr>
                    <w:t>年使用量</w:t>
                  </w:r>
                </w:p>
              </w:tc>
              <w:tc>
                <w:tcPr>
                  <w:tcW w:w="1134" w:type="dxa"/>
                  <w:noWrap w:val="0"/>
                  <w:vAlign w:val="center"/>
                </w:tcPr>
                <w:p>
                  <w:pPr>
                    <w:pStyle w:val="15"/>
                    <w:bidi w:val="0"/>
                    <w:rPr>
                      <w:rFonts w:hint="default"/>
                      <w:color w:val="auto"/>
                    </w:rPr>
                  </w:pPr>
                  <w:r>
                    <w:rPr>
                      <w:rFonts w:hint="default"/>
                      <w:color w:val="auto"/>
                    </w:rPr>
                    <w:t>单位</w:t>
                  </w:r>
                </w:p>
              </w:tc>
              <w:tc>
                <w:tcPr>
                  <w:tcW w:w="1304" w:type="dxa"/>
                  <w:noWrap w:val="0"/>
                  <w:vAlign w:val="center"/>
                </w:tcPr>
                <w:p>
                  <w:pPr>
                    <w:pStyle w:val="15"/>
                    <w:bidi w:val="0"/>
                    <w:rPr>
                      <w:rFonts w:hint="default"/>
                      <w:color w:val="auto"/>
                    </w:rPr>
                  </w:pPr>
                  <w:r>
                    <w:rPr>
                      <w:rFonts w:hint="default"/>
                      <w:color w:val="auto"/>
                    </w:rPr>
                    <w:t>来源方式</w:t>
                  </w:r>
                </w:p>
              </w:tc>
              <w:tc>
                <w:tcPr>
                  <w:tcW w:w="1361" w:type="dxa"/>
                  <w:noWrap w:val="0"/>
                  <w:vAlign w:val="center"/>
                </w:tcPr>
                <w:p>
                  <w:pPr>
                    <w:pStyle w:val="15"/>
                    <w:bidi w:val="0"/>
                    <w:rPr>
                      <w:rFonts w:hint="default"/>
                      <w:color w:val="auto"/>
                    </w:rPr>
                  </w:pPr>
                  <w:r>
                    <w:rPr>
                      <w:color w:val="auto"/>
                    </w:rPr>
                    <w:t>包装</w:t>
                  </w:r>
                  <w:r>
                    <w:rPr>
                      <w:rFonts w:hint="default"/>
                      <w:color w:val="auto"/>
                    </w:rPr>
                    <w:t>方式</w:t>
                  </w:r>
                </w:p>
              </w:tc>
              <w:tc>
                <w:tcPr>
                  <w:tcW w:w="1247" w:type="dxa"/>
                  <w:noWrap w:val="0"/>
                  <w:vAlign w:val="center"/>
                </w:tcPr>
                <w:p>
                  <w:pPr>
                    <w:pStyle w:val="15"/>
                    <w:bidi w:val="0"/>
                    <w:rPr>
                      <w:color w:val="auto"/>
                    </w:rPr>
                  </w:pPr>
                  <w:r>
                    <w:rPr>
                      <w:rFonts w:hint="eastAsia"/>
                      <w:color w:val="auto"/>
                      <w:lang w:val="en-US" w:eastAsia="zh-CN"/>
                    </w:rPr>
                    <w:t>物料</w:t>
                  </w:r>
                  <w:r>
                    <w:rPr>
                      <w:rFonts w:hint="default"/>
                      <w:color w:val="auto"/>
                    </w:rPr>
                    <w:t>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restart"/>
                  <w:noWrap w:val="0"/>
                  <w:vAlign w:val="center"/>
                </w:tcPr>
                <w:p>
                  <w:pPr>
                    <w:pStyle w:val="13"/>
                    <w:bidi w:val="0"/>
                    <w:rPr>
                      <w:color w:val="auto"/>
                    </w:rPr>
                  </w:pPr>
                  <w:r>
                    <w:rPr>
                      <w:color w:val="auto"/>
                    </w:rPr>
                    <w:t>原辅材料</w:t>
                  </w:r>
                </w:p>
              </w:tc>
              <w:tc>
                <w:tcPr>
                  <w:tcW w:w="1417" w:type="dxa"/>
                  <w:noWrap w:val="0"/>
                  <w:vAlign w:val="center"/>
                </w:tcPr>
                <w:p>
                  <w:pPr>
                    <w:pStyle w:val="13"/>
                    <w:bidi w:val="0"/>
                    <w:rPr>
                      <w:rFonts w:hint="default"/>
                      <w:color w:val="auto"/>
                      <w:lang w:val="en-US" w:eastAsia="zh-CN"/>
                    </w:rPr>
                  </w:pPr>
                  <w:r>
                    <w:rPr>
                      <w:rFonts w:hint="eastAsia"/>
                      <w:color w:val="auto"/>
                    </w:rPr>
                    <w:t>合成纤维</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900</w:t>
                  </w:r>
                </w:p>
              </w:tc>
              <w:tc>
                <w:tcPr>
                  <w:tcW w:w="1134" w:type="dxa"/>
                  <w:noWrap w:val="0"/>
                  <w:vAlign w:val="center"/>
                </w:tcPr>
                <w:p>
                  <w:pPr>
                    <w:pStyle w:val="13"/>
                    <w:bidi w:val="0"/>
                    <w:rPr>
                      <w:rFonts w:hint="default"/>
                      <w:color w:val="auto"/>
                      <w:lang w:val="en-US" w:eastAsia="zh-CN"/>
                    </w:rPr>
                  </w:pPr>
                  <w:r>
                    <w:rPr>
                      <w:rFonts w:hint="eastAsia"/>
                      <w:color w:val="auto"/>
                    </w:rPr>
                    <w:t>t/a</w:t>
                  </w:r>
                </w:p>
              </w:tc>
              <w:tc>
                <w:tcPr>
                  <w:tcW w:w="1304" w:type="dxa"/>
                  <w:noWrap w:val="0"/>
                  <w:vAlign w:val="center"/>
                </w:tcPr>
                <w:p>
                  <w:pPr>
                    <w:pStyle w:val="13"/>
                    <w:bidi w:val="0"/>
                    <w:rPr>
                      <w:rFonts w:hint="eastAsia"/>
                      <w:color w:val="auto"/>
                    </w:rPr>
                  </w:pPr>
                  <w:r>
                    <w:rPr>
                      <w:rFonts w:hint="eastAsia"/>
                      <w:color w:val="auto"/>
                    </w:rPr>
                    <w:t>外购</w:t>
                  </w:r>
                </w:p>
              </w:tc>
              <w:tc>
                <w:tcPr>
                  <w:tcW w:w="1361" w:type="dxa"/>
                  <w:noWrap w:val="0"/>
                  <w:vAlign w:val="center"/>
                </w:tcPr>
                <w:p>
                  <w:pPr>
                    <w:pStyle w:val="13"/>
                    <w:bidi w:val="0"/>
                    <w:rPr>
                      <w:rFonts w:hint="default"/>
                      <w:color w:val="auto"/>
                      <w:lang w:val="en-US"/>
                    </w:rPr>
                  </w:pPr>
                  <w:r>
                    <w:rPr>
                      <w:rFonts w:hint="eastAsia"/>
                      <w:color w:val="auto"/>
                      <w:lang w:val="en-US" w:eastAsia="zh-CN"/>
                    </w:rPr>
                    <w:t>袋装</w:t>
                  </w:r>
                </w:p>
              </w:tc>
              <w:tc>
                <w:tcPr>
                  <w:tcW w:w="1247"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rFonts w:hint="eastAsia"/>
                      <w:color w:val="auto"/>
                      <w:lang w:val="en-US" w:eastAsia="zh-CN"/>
                    </w:rPr>
                  </w:pPr>
                  <w:r>
                    <w:rPr>
                      <w:rFonts w:hint="eastAsia"/>
                      <w:color w:val="auto"/>
                    </w:rPr>
                    <w:t>活性炭</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180</w:t>
                  </w:r>
                </w:p>
              </w:tc>
              <w:tc>
                <w:tcPr>
                  <w:tcW w:w="1134" w:type="dxa"/>
                  <w:noWrap w:val="0"/>
                  <w:vAlign w:val="center"/>
                </w:tcPr>
                <w:p>
                  <w:pPr>
                    <w:pStyle w:val="13"/>
                    <w:bidi w:val="0"/>
                    <w:rPr>
                      <w:rFonts w:hint="eastAsia"/>
                      <w:color w:val="auto"/>
                      <w:lang w:val="en-US" w:eastAsia="zh-CN"/>
                    </w:rPr>
                  </w:pPr>
                  <w:r>
                    <w:rPr>
                      <w:rFonts w:hint="eastAsia"/>
                      <w:color w:val="auto"/>
                    </w:rPr>
                    <w:t>t/a</w:t>
                  </w:r>
                </w:p>
              </w:tc>
              <w:tc>
                <w:tcPr>
                  <w:tcW w:w="1304" w:type="dxa"/>
                  <w:noWrap w:val="0"/>
                  <w:vAlign w:val="center"/>
                </w:tcPr>
                <w:p>
                  <w:pPr>
                    <w:pStyle w:val="13"/>
                    <w:bidi w:val="0"/>
                    <w:rPr>
                      <w:rFonts w:hint="eastAsia"/>
                      <w:color w:val="auto"/>
                      <w:lang w:val="en-US" w:eastAsia="zh-CN"/>
                    </w:rPr>
                  </w:pPr>
                  <w:r>
                    <w:rPr>
                      <w:rFonts w:hint="eastAsia"/>
                      <w:color w:val="auto"/>
                    </w:rPr>
                    <w:t>外购</w:t>
                  </w:r>
                </w:p>
              </w:tc>
              <w:tc>
                <w:tcPr>
                  <w:tcW w:w="1361" w:type="dxa"/>
                  <w:noWrap w:val="0"/>
                  <w:vAlign w:val="center"/>
                </w:tcPr>
                <w:p>
                  <w:pPr>
                    <w:pStyle w:val="13"/>
                    <w:bidi w:val="0"/>
                    <w:rPr>
                      <w:rFonts w:hint="eastAsia"/>
                      <w:color w:val="auto"/>
                      <w:lang w:val="en-US" w:eastAsia="zh-CN"/>
                    </w:rPr>
                  </w:pPr>
                  <w:r>
                    <w:rPr>
                      <w:rFonts w:hint="eastAsia"/>
                      <w:color w:val="auto"/>
                      <w:lang w:val="en-US" w:eastAsia="zh-CN"/>
                    </w:rPr>
                    <w:t>袋装</w:t>
                  </w:r>
                </w:p>
              </w:tc>
              <w:tc>
                <w:tcPr>
                  <w:tcW w:w="1247" w:type="dxa"/>
                  <w:noWrap w:val="0"/>
                  <w:vAlign w:val="center"/>
                </w:tcPr>
                <w:p>
                  <w:pPr>
                    <w:pStyle w:val="13"/>
                    <w:bidi w:val="0"/>
                    <w:rPr>
                      <w:rFonts w:hint="eastAsia"/>
                      <w:color w:val="auto"/>
                      <w:lang w:val="en-US" w:eastAsia="zh-CN"/>
                    </w:rPr>
                  </w:pPr>
                  <w:r>
                    <w:rPr>
                      <w:rFonts w:hint="eastAsia"/>
                      <w:color w:val="auto"/>
                      <w:lang w:val="en-US" w:eastAsia="zh-CN"/>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rFonts w:hint="eastAsia"/>
                      <w:color w:val="auto"/>
                      <w:lang w:val="en-US" w:eastAsia="zh-CN"/>
                    </w:rPr>
                  </w:pPr>
                  <w:r>
                    <w:rPr>
                      <w:rFonts w:hint="eastAsia"/>
                      <w:color w:val="auto"/>
                    </w:rPr>
                    <w:t>热熔胶</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60</w:t>
                  </w:r>
                </w:p>
              </w:tc>
              <w:tc>
                <w:tcPr>
                  <w:tcW w:w="1134" w:type="dxa"/>
                  <w:noWrap w:val="0"/>
                  <w:vAlign w:val="center"/>
                </w:tcPr>
                <w:p>
                  <w:pPr>
                    <w:pStyle w:val="13"/>
                    <w:bidi w:val="0"/>
                    <w:rPr>
                      <w:rFonts w:hint="eastAsia"/>
                      <w:color w:val="auto"/>
                      <w:lang w:val="en-US" w:eastAsia="zh-CN"/>
                    </w:rPr>
                  </w:pPr>
                  <w:r>
                    <w:rPr>
                      <w:rFonts w:hint="eastAsia"/>
                      <w:color w:val="auto"/>
                    </w:rPr>
                    <w:t>t/a</w:t>
                  </w:r>
                </w:p>
              </w:tc>
              <w:tc>
                <w:tcPr>
                  <w:tcW w:w="1304" w:type="dxa"/>
                  <w:noWrap w:val="0"/>
                  <w:vAlign w:val="center"/>
                </w:tcPr>
                <w:p>
                  <w:pPr>
                    <w:pStyle w:val="13"/>
                    <w:bidi w:val="0"/>
                    <w:rPr>
                      <w:rFonts w:hint="eastAsia"/>
                      <w:color w:val="auto"/>
                      <w:lang w:val="en-US" w:eastAsia="zh-CN"/>
                    </w:rPr>
                  </w:pPr>
                  <w:r>
                    <w:rPr>
                      <w:rFonts w:hint="eastAsia"/>
                      <w:color w:val="auto"/>
                    </w:rPr>
                    <w:t>外购</w:t>
                  </w:r>
                </w:p>
              </w:tc>
              <w:tc>
                <w:tcPr>
                  <w:tcW w:w="1361" w:type="dxa"/>
                  <w:noWrap w:val="0"/>
                  <w:vAlign w:val="center"/>
                </w:tcPr>
                <w:p>
                  <w:pPr>
                    <w:pStyle w:val="13"/>
                    <w:bidi w:val="0"/>
                    <w:rPr>
                      <w:rFonts w:hint="eastAsia"/>
                      <w:color w:val="auto"/>
                      <w:lang w:val="en-US" w:eastAsia="zh-CN"/>
                    </w:rPr>
                  </w:pPr>
                  <w:r>
                    <w:rPr>
                      <w:rFonts w:hint="eastAsia"/>
                      <w:color w:val="auto"/>
                      <w:lang w:val="en-US" w:eastAsia="zh-CN"/>
                    </w:rPr>
                    <w:t>塑料桶装</w:t>
                  </w:r>
                </w:p>
              </w:tc>
              <w:tc>
                <w:tcPr>
                  <w:tcW w:w="1247" w:type="dxa"/>
                  <w:noWrap w:val="0"/>
                  <w:vAlign w:val="center"/>
                </w:tcPr>
                <w:p>
                  <w:pPr>
                    <w:pStyle w:val="13"/>
                    <w:bidi w:val="0"/>
                    <w:rPr>
                      <w:rFonts w:hint="eastAsia"/>
                      <w:color w:val="auto"/>
                      <w:lang w:val="en-US" w:eastAsia="zh-CN"/>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rFonts w:hint="eastAsia"/>
                      <w:color w:val="auto"/>
                      <w:lang w:val="en-US" w:eastAsia="zh-CN"/>
                    </w:rPr>
                  </w:pPr>
                  <w:r>
                    <w:rPr>
                      <w:rFonts w:hint="eastAsia"/>
                      <w:color w:val="auto"/>
                    </w:rPr>
                    <w:t>软胶805</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4.8</w:t>
                  </w:r>
                </w:p>
              </w:tc>
              <w:tc>
                <w:tcPr>
                  <w:tcW w:w="1134" w:type="dxa"/>
                  <w:noWrap w:val="0"/>
                  <w:vAlign w:val="center"/>
                </w:tcPr>
                <w:p>
                  <w:pPr>
                    <w:pStyle w:val="13"/>
                    <w:bidi w:val="0"/>
                    <w:rPr>
                      <w:rFonts w:hint="eastAsia"/>
                      <w:color w:val="auto"/>
                      <w:lang w:val="en-US" w:eastAsia="zh-CN"/>
                    </w:rPr>
                  </w:pPr>
                  <w:r>
                    <w:rPr>
                      <w:rFonts w:hint="eastAsia"/>
                      <w:color w:val="auto"/>
                    </w:rPr>
                    <w:t>t/a</w:t>
                  </w:r>
                </w:p>
              </w:tc>
              <w:tc>
                <w:tcPr>
                  <w:tcW w:w="1304" w:type="dxa"/>
                  <w:noWrap w:val="0"/>
                  <w:vAlign w:val="center"/>
                </w:tcPr>
                <w:p>
                  <w:pPr>
                    <w:pStyle w:val="13"/>
                    <w:bidi w:val="0"/>
                    <w:rPr>
                      <w:rFonts w:hint="eastAsia"/>
                      <w:color w:val="auto"/>
                      <w:lang w:val="en-US" w:eastAsia="zh-CN"/>
                    </w:rPr>
                  </w:pPr>
                  <w:r>
                    <w:rPr>
                      <w:rFonts w:hint="eastAsia"/>
                      <w:color w:val="auto"/>
                    </w:rPr>
                    <w:t>外购</w:t>
                  </w:r>
                </w:p>
              </w:tc>
              <w:tc>
                <w:tcPr>
                  <w:tcW w:w="1361" w:type="dxa"/>
                  <w:noWrap w:val="0"/>
                  <w:vAlign w:val="center"/>
                </w:tcPr>
                <w:p>
                  <w:pPr>
                    <w:pStyle w:val="13"/>
                    <w:bidi w:val="0"/>
                    <w:rPr>
                      <w:rFonts w:hint="eastAsia"/>
                      <w:color w:val="auto"/>
                      <w:lang w:val="en-US" w:eastAsia="zh-CN"/>
                    </w:rPr>
                  </w:pPr>
                  <w:r>
                    <w:rPr>
                      <w:rFonts w:hint="eastAsia"/>
                      <w:color w:val="auto"/>
                    </w:rPr>
                    <w:t>塑料桶装</w:t>
                  </w:r>
                </w:p>
              </w:tc>
              <w:tc>
                <w:tcPr>
                  <w:tcW w:w="1247" w:type="dxa"/>
                  <w:noWrap w:val="0"/>
                  <w:vAlign w:val="center"/>
                </w:tcPr>
                <w:p>
                  <w:pPr>
                    <w:pStyle w:val="13"/>
                    <w:bidi w:val="0"/>
                    <w:rPr>
                      <w:rFonts w:hint="eastAsia"/>
                      <w:color w:val="auto"/>
                    </w:rPr>
                  </w:pPr>
                  <w:r>
                    <w:rPr>
                      <w:rFonts w:hint="eastAsia"/>
                      <w:color w:val="auto"/>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rFonts w:hint="eastAsia" w:eastAsia="宋体"/>
                      <w:color w:val="auto"/>
                      <w:lang w:val="en-US" w:eastAsia="zh-CN"/>
                    </w:rPr>
                  </w:pPr>
                  <w:r>
                    <w:rPr>
                      <w:rFonts w:hint="eastAsia"/>
                      <w:color w:val="auto"/>
                      <w:lang w:eastAsia="zh-CN"/>
                    </w:rPr>
                    <w:t>软胶810</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5.5</w:t>
                  </w:r>
                </w:p>
              </w:tc>
              <w:tc>
                <w:tcPr>
                  <w:tcW w:w="1134" w:type="dxa"/>
                  <w:noWrap w:val="0"/>
                  <w:vAlign w:val="center"/>
                </w:tcPr>
                <w:p>
                  <w:pPr>
                    <w:pStyle w:val="13"/>
                    <w:bidi w:val="0"/>
                    <w:rPr>
                      <w:rFonts w:hint="eastAsia"/>
                      <w:color w:val="auto"/>
                      <w:lang w:val="en-US" w:eastAsia="zh-CN"/>
                    </w:rPr>
                  </w:pPr>
                  <w:r>
                    <w:rPr>
                      <w:rFonts w:hint="eastAsia"/>
                      <w:color w:val="auto"/>
                    </w:rPr>
                    <w:t>t/a</w:t>
                  </w:r>
                </w:p>
              </w:tc>
              <w:tc>
                <w:tcPr>
                  <w:tcW w:w="1304" w:type="dxa"/>
                  <w:noWrap w:val="0"/>
                  <w:vAlign w:val="center"/>
                </w:tcPr>
                <w:p>
                  <w:pPr>
                    <w:pStyle w:val="13"/>
                    <w:bidi w:val="0"/>
                    <w:rPr>
                      <w:rFonts w:hint="eastAsia"/>
                      <w:color w:val="auto"/>
                      <w:lang w:val="en-US" w:eastAsia="zh-CN"/>
                    </w:rPr>
                  </w:pPr>
                  <w:r>
                    <w:rPr>
                      <w:rFonts w:hint="eastAsia"/>
                      <w:color w:val="auto"/>
                    </w:rPr>
                    <w:t>外购</w:t>
                  </w:r>
                </w:p>
              </w:tc>
              <w:tc>
                <w:tcPr>
                  <w:tcW w:w="1361" w:type="dxa"/>
                  <w:noWrap w:val="0"/>
                  <w:vAlign w:val="center"/>
                </w:tcPr>
                <w:p>
                  <w:pPr>
                    <w:pStyle w:val="13"/>
                    <w:bidi w:val="0"/>
                    <w:rPr>
                      <w:rFonts w:hint="eastAsia"/>
                      <w:color w:val="auto"/>
                      <w:lang w:val="en-US" w:eastAsia="zh-CN"/>
                    </w:rPr>
                  </w:pPr>
                  <w:r>
                    <w:rPr>
                      <w:rFonts w:hint="eastAsia"/>
                      <w:color w:val="auto"/>
                    </w:rPr>
                    <w:t>塑料桶装</w:t>
                  </w:r>
                </w:p>
              </w:tc>
              <w:tc>
                <w:tcPr>
                  <w:tcW w:w="1247"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rFonts w:hint="eastAsia" w:eastAsia="宋体"/>
                      <w:color w:val="auto"/>
                      <w:lang w:val="en-US" w:eastAsia="zh-CN"/>
                    </w:rPr>
                  </w:pPr>
                  <w:r>
                    <w:rPr>
                      <w:rFonts w:hint="eastAsia"/>
                      <w:color w:val="auto"/>
                      <w:lang w:eastAsia="zh-CN"/>
                    </w:rPr>
                    <w:t>硬浆4075</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1.2</w:t>
                  </w:r>
                </w:p>
              </w:tc>
              <w:tc>
                <w:tcPr>
                  <w:tcW w:w="1134" w:type="dxa"/>
                  <w:noWrap w:val="0"/>
                  <w:vAlign w:val="center"/>
                </w:tcPr>
                <w:p>
                  <w:pPr>
                    <w:pStyle w:val="13"/>
                    <w:bidi w:val="0"/>
                    <w:rPr>
                      <w:rFonts w:hint="eastAsia"/>
                      <w:color w:val="auto"/>
                      <w:lang w:val="en-US" w:eastAsia="zh-CN"/>
                    </w:rPr>
                  </w:pPr>
                  <w:r>
                    <w:rPr>
                      <w:rFonts w:hint="eastAsia"/>
                      <w:color w:val="auto"/>
                    </w:rPr>
                    <w:t>t/a</w:t>
                  </w:r>
                </w:p>
              </w:tc>
              <w:tc>
                <w:tcPr>
                  <w:tcW w:w="1304" w:type="dxa"/>
                  <w:noWrap w:val="0"/>
                  <w:vAlign w:val="center"/>
                </w:tcPr>
                <w:p>
                  <w:pPr>
                    <w:pStyle w:val="13"/>
                    <w:bidi w:val="0"/>
                    <w:rPr>
                      <w:rFonts w:hint="eastAsia"/>
                      <w:color w:val="auto"/>
                      <w:lang w:val="en-US" w:eastAsia="zh-CN"/>
                    </w:rPr>
                  </w:pPr>
                  <w:r>
                    <w:rPr>
                      <w:rFonts w:hint="eastAsia"/>
                      <w:color w:val="auto"/>
                    </w:rPr>
                    <w:t>外购</w:t>
                  </w:r>
                </w:p>
              </w:tc>
              <w:tc>
                <w:tcPr>
                  <w:tcW w:w="1361" w:type="dxa"/>
                  <w:noWrap w:val="0"/>
                  <w:vAlign w:val="center"/>
                </w:tcPr>
                <w:p>
                  <w:pPr>
                    <w:pStyle w:val="13"/>
                    <w:bidi w:val="0"/>
                    <w:rPr>
                      <w:rFonts w:hint="eastAsia"/>
                      <w:color w:val="auto"/>
                      <w:lang w:val="en-US" w:eastAsia="zh-CN"/>
                    </w:rPr>
                  </w:pPr>
                  <w:r>
                    <w:rPr>
                      <w:rFonts w:hint="eastAsia"/>
                      <w:color w:val="auto"/>
                    </w:rPr>
                    <w:t>塑料桶装</w:t>
                  </w:r>
                </w:p>
              </w:tc>
              <w:tc>
                <w:tcPr>
                  <w:tcW w:w="1247"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rFonts w:hint="default"/>
                      <w:color w:val="auto"/>
                      <w:lang w:val="en-US" w:eastAsia="zh-CN"/>
                    </w:rPr>
                  </w:pPr>
                  <w:r>
                    <w:rPr>
                      <w:rFonts w:hint="eastAsia"/>
                      <w:color w:val="auto"/>
                      <w:lang w:val="en-US" w:eastAsia="zh-CN"/>
                    </w:rPr>
                    <w:t>颜料</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0.03</w:t>
                  </w:r>
                </w:p>
              </w:tc>
              <w:tc>
                <w:tcPr>
                  <w:tcW w:w="1134" w:type="dxa"/>
                  <w:noWrap w:val="0"/>
                  <w:vAlign w:val="center"/>
                </w:tcPr>
                <w:p>
                  <w:pPr>
                    <w:pStyle w:val="13"/>
                    <w:bidi w:val="0"/>
                    <w:rPr>
                      <w:rFonts w:hint="default"/>
                      <w:color w:val="auto"/>
                      <w:lang w:val="en-US" w:eastAsia="zh-CN"/>
                    </w:rPr>
                  </w:pPr>
                  <w:r>
                    <w:rPr>
                      <w:rFonts w:hint="eastAsia"/>
                      <w:color w:val="auto"/>
                      <w:lang w:val="en-US" w:eastAsia="zh-CN"/>
                    </w:rPr>
                    <w:t>t/a</w:t>
                  </w:r>
                </w:p>
              </w:tc>
              <w:tc>
                <w:tcPr>
                  <w:tcW w:w="1304" w:type="dxa"/>
                  <w:noWrap w:val="0"/>
                  <w:vAlign w:val="center"/>
                </w:tcPr>
                <w:p>
                  <w:pPr>
                    <w:pStyle w:val="13"/>
                    <w:bidi w:val="0"/>
                    <w:rPr>
                      <w:rFonts w:hint="eastAsia"/>
                      <w:color w:val="auto"/>
                      <w:lang w:val="en-US" w:eastAsia="zh-CN"/>
                    </w:rPr>
                  </w:pPr>
                  <w:r>
                    <w:rPr>
                      <w:rFonts w:hint="eastAsia"/>
                      <w:color w:val="auto"/>
                    </w:rPr>
                    <w:t>外购</w:t>
                  </w:r>
                </w:p>
              </w:tc>
              <w:tc>
                <w:tcPr>
                  <w:tcW w:w="1361" w:type="dxa"/>
                  <w:noWrap w:val="0"/>
                  <w:vAlign w:val="center"/>
                </w:tcPr>
                <w:p>
                  <w:pPr>
                    <w:pStyle w:val="13"/>
                    <w:bidi w:val="0"/>
                    <w:rPr>
                      <w:rFonts w:hint="eastAsia"/>
                      <w:color w:val="auto"/>
                      <w:lang w:val="en-US" w:eastAsia="zh-CN"/>
                    </w:rPr>
                  </w:pPr>
                  <w:r>
                    <w:rPr>
                      <w:rFonts w:hint="eastAsia"/>
                      <w:color w:val="auto"/>
                    </w:rPr>
                    <w:t>塑料桶装</w:t>
                  </w:r>
                </w:p>
              </w:tc>
              <w:tc>
                <w:tcPr>
                  <w:tcW w:w="1247" w:type="dxa"/>
                  <w:noWrap w:val="0"/>
                  <w:vAlign w:val="center"/>
                </w:tcPr>
                <w:p>
                  <w:pPr>
                    <w:pStyle w:val="13"/>
                    <w:bidi w:val="0"/>
                    <w:rPr>
                      <w:rFonts w:hint="eastAsia"/>
                      <w:color w:val="auto"/>
                    </w:rPr>
                  </w:pPr>
                  <w:r>
                    <w:rPr>
                      <w:rFonts w:hint="eastAsia"/>
                      <w:color w:val="auto"/>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restart"/>
                  <w:noWrap w:val="0"/>
                  <w:vAlign w:val="center"/>
                </w:tcPr>
                <w:p>
                  <w:pPr>
                    <w:pStyle w:val="13"/>
                    <w:bidi w:val="0"/>
                    <w:rPr>
                      <w:color w:val="auto"/>
                    </w:rPr>
                  </w:pPr>
                  <w:r>
                    <w:rPr>
                      <w:color w:val="auto"/>
                    </w:rPr>
                    <w:t>能源</w:t>
                  </w:r>
                </w:p>
              </w:tc>
              <w:tc>
                <w:tcPr>
                  <w:tcW w:w="1417" w:type="dxa"/>
                  <w:noWrap w:val="0"/>
                  <w:vAlign w:val="center"/>
                </w:tcPr>
                <w:p>
                  <w:pPr>
                    <w:pStyle w:val="13"/>
                    <w:bidi w:val="0"/>
                    <w:rPr>
                      <w:color w:val="auto"/>
                    </w:rPr>
                  </w:pPr>
                  <w:r>
                    <w:rPr>
                      <w:color w:val="auto"/>
                    </w:rPr>
                    <w:t>电</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180</w:t>
                  </w:r>
                  <w:r>
                    <w:rPr>
                      <w:rFonts w:hint="eastAsia"/>
                      <w:color w:val="auto"/>
                    </w:rPr>
                    <w:t>万</w:t>
                  </w:r>
                </w:p>
              </w:tc>
              <w:tc>
                <w:tcPr>
                  <w:tcW w:w="1134" w:type="dxa"/>
                  <w:noWrap w:val="0"/>
                  <w:vAlign w:val="center"/>
                </w:tcPr>
                <w:p>
                  <w:pPr>
                    <w:pStyle w:val="13"/>
                    <w:bidi w:val="0"/>
                    <w:rPr>
                      <w:color w:val="auto"/>
                    </w:rPr>
                  </w:pPr>
                  <w:r>
                    <w:rPr>
                      <w:color w:val="auto"/>
                    </w:rPr>
                    <w:t>kW·h/a</w:t>
                  </w:r>
                </w:p>
              </w:tc>
              <w:tc>
                <w:tcPr>
                  <w:tcW w:w="1304" w:type="dxa"/>
                  <w:noWrap w:val="0"/>
                  <w:vAlign w:val="center"/>
                </w:tcPr>
                <w:p>
                  <w:pPr>
                    <w:pStyle w:val="13"/>
                    <w:bidi w:val="0"/>
                    <w:rPr>
                      <w:color w:val="auto"/>
                    </w:rPr>
                  </w:pPr>
                  <w:r>
                    <w:rPr>
                      <w:color w:val="auto"/>
                    </w:rPr>
                    <w:t>市政电网</w:t>
                  </w:r>
                </w:p>
              </w:tc>
              <w:tc>
                <w:tcPr>
                  <w:tcW w:w="1361" w:type="dxa"/>
                  <w:noWrap w:val="0"/>
                  <w:vAlign w:val="center"/>
                </w:tcPr>
                <w:p>
                  <w:pPr>
                    <w:pStyle w:val="13"/>
                    <w:bidi w:val="0"/>
                    <w:rPr>
                      <w:color w:val="auto"/>
                    </w:rPr>
                  </w:pPr>
                  <w:r>
                    <w:rPr>
                      <w:rFonts w:hint="eastAsia"/>
                      <w:color w:val="auto"/>
                    </w:rPr>
                    <w:t>/</w:t>
                  </w:r>
                </w:p>
              </w:tc>
              <w:tc>
                <w:tcPr>
                  <w:tcW w:w="1247" w:type="dxa"/>
                  <w:noWrap w:val="0"/>
                  <w:vAlign w:val="center"/>
                </w:tcPr>
                <w:p>
                  <w:pPr>
                    <w:pStyle w:val="13"/>
                    <w:bidi w:val="0"/>
                    <w:rPr>
                      <w:rFonts w:hint="eastAsia"/>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bidi w:val="0"/>
                    <w:rPr>
                      <w:color w:val="auto"/>
                    </w:rPr>
                  </w:pPr>
                </w:p>
              </w:tc>
              <w:tc>
                <w:tcPr>
                  <w:tcW w:w="1417" w:type="dxa"/>
                  <w:noWrap w:val="0"/>
                  <w:vAlign w:val="center"/>
                </w:tcPr>
                <w:p>
                  <w:pPr>
                    <w:pStyle w:val="13"/>
                    <w:bidi w:val="0"/>
                    <w:rPr>
                      <w:color w:val="auto"/>
                      <w:lang w:val="en-US" w:eastAsia="zh-CN"/>
                    </w:rPr>
                  </w:pPr>
                  <w:r>
                    <w:rPr>
                      <w:color w:val="auto"/>
                    </w:rPr>
                    <w:t>水</w:t>
                  </w:r>
                </w:p>
              </w:tc>
              <w:tc>
                <w:tcPr>
                  <w:tcW w:w="1304" w:type="dxa"/>
                  <w:noWrap w:val="0"/>
                  <w:vAlign w:val="center"/>
                </w:tcPr>
                <w:p>
                  <w:pPr>
                    <w:pStyle w:val="13"/>
                    <w:bidi w:val="0"/>
                    <w:rPr>
                      <w:rFonts w:hint="default"/>
                      <w:color w:val="auto"/>
                      <w:lang w:val="en-US" w:eastAsia="zh-CN"/>
                    </w:rPr>
                  </w:pPr>
                  <w:r>
                    <w:rPr>
                      <w:rFonts w:hint="eastAsia"/>
                      <w:color w:val="auto"/>
                      <w:lang w:val="en-US" w:eastAsia="zh-CN"/>
                    </w:rPr>
                    <w:t>4057.5</w:t>
                  </w:r>
                </w:p>
              </w:tc>
              <w:tc>
                <w:tcPr>
                  <w:tcW w:w="1134" w:type="dxa"/>
                  <w:noWrap w:val="0"/>
                  <w:vAlign w:val="center"/>
                </w:tcPr>
                <w:p>
                  <w:pPr>
                    <w:pStyle w:val="13"/>
                    <w:bidi w:val="0"/>
                    <w:rPr>
                      <w:color w:val="auto"/>
                      <w:lang w:val="en-US" w:eastAsia="zh-CN"/>
                    </w:rPr>
                  </w:pPr>
                  <w:r>
                    <w:rPr>
                      <w:color w:val="auto"/>
                    </w:rPr>
                    <w:t>t/a</w:t>
                  </w:r>
                </w:p>
              </w:tc>
              <w:tc>
                <w:tcPr>
                  <w:tcW w:w="1304" w:type="dxa"/>
                  <w:noWrap w:val="0"/>
                  <w:vAlign w:val="center"/>
                </w:tcPr>
                <w:p>
                  <w:pPr>
                    <w:pStyle w:val="13"/>
                    <w:bidi w:val="0"/>
                    <w:rPr>
                      <w:rFonts w:hint="eastAsia"/>
                      <w:color w:val="auto"/>
                      <w:lang w:val="en-US" w:eastAsia="zh-CN"/>
                    </w:rPr>
                  </w:pPr>
                  <w:r>
                    <w:rPr>
                      <w:rFonts w:hint="eastAsia"/>
                      <w:color w:val="auto"/>
                    </w:rPr>
                    <w:t>供水管网</w:t>
                  </w:r>
                </w:p>
              </w:tc>
              <w:tc>
                <w:tcPr>
                  <w:tcW w:w="1361" w:type="dxa"/>
                  <w:noWrap w:val="0"/>
                  <w:vAlign w:val="center"/>
                </w:tcPr>
                <w:p>
                  <w:pPr>
                    <w:pStyle w:val="13"/>
                    <w:bidi w:val="0"/>
                    <w:rPr>
                      <w:rFonts w:hint="eastAsia"/>
                      <w:color w:val="auto"/>
                      <w:lang w:val="en-US" w:eastAsia="zh-CN"/>
                    </w:rPr>
                  </w:pPr>
                  <w:r>
                    <w:rPr>
                      <w:rFonts w:hint="eastAsia"/>
                      <w:color w:val="auto"/>
                      <w:lang w:val="en-US" w:eastAsia="zh-CN"/>
                    </w:rPr>
                    <w:t>/</w:t>
                  </w:r>
                </w:p>
              </w:tc>
              <w:tc>
                <w:tcPr>
                  <w:tcW w:w="1247" w:type="dxa"/>
                  <w:noWrap w:val="0"/>
                  <w:vAlign w:val="center"/>
                </w:tcPr>
                <w:p>
                  <w:pPr>
                    <w:pStyle w:val="13"/>
                    <w:bidi w:val="0"/>
                    <w:rPr>
                      <w:rFonts w:hint="default"/>
                      <w:color w:val="auto"/>
                      <w:lang w:val="en-US" w:eastAsia="zh-CN"/>
                    </w:rPr>
                  </w:pPr>
                  <w:r>
                    <w:rPr>
                      <w:rFonts w:hint="eastAsia"/>
                      <w:color w:val="auto"/>
                      <w:lang w:val="en-US" w:eastAsia="zh-CN"/>
                    </w:rPr>
                    <w:t>/</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lang w:val="en-US" w:eastAsia="zh-CN"/>
              </w:rPr>
              <w:t>4</w:t>
            </w:r>
            <w:r>
              <w:rPr>
                <w:rFonts w:hint="eastAsia"/>
                <w:color w:val="auto"/>
              </w:rPr>
              <w:t>、</w:t>
            </w:r>
            <w:r>
              <w:rPr>
                <w:rFonts w:hint="eastAsia"/>
                <w:color w:val="auto"/>
                <w:lang w:eastAsia="zh-CN"/>
              </w:rPr>
              <w:t>现有项目</w:t>
            </w:r>
            <w:r>
              <w:rPr>
                <w:rFonts w:hint="eastAsia"/>
                <w:color w:val="auto"/>
              </w:rPr>
              <w:t>劳动定员</w:t>
            </w:r>
            <w:r>
              <w:rPr>
                <w:rFonts w:hint="eastAsia"/>
                <w:color w:val="auto"/>
                <w:lang w:eastAsia="zh-CN"/>
              </w:rPr>
              <w:t>和工作制度</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（1）</w:t>
            </w:r>
            <w:r>
              <w:rPr>
                <w:rFonts w:hint="eastAsia"/>
                <w:color w:val="auto"/>
                <w:lang w:eastAsia="zh-CN"/>
              </w:rPr>
              <w:t>劳动定员</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现有项目总定员为</w:t>
            </w:r>
            <w:r>
              <w:rPr>
                <w:rFonts w:hint="eastAsia"/>
                <w:color w:val="auto"/>
                <w:lang w:val="en-US" w:eastAsia="zh-CN"/>
              </w:rPr>
              <w:t>60</w:t>
            </w:r>
            <w:r>
              <w:rPr>
                <w:rFonts w:hint="eastAsia"/>
                <w:color w:val="auto"/>
                <w:lang w:eastAsia="zh-CN"/>
              </w:rPr>
              <w:t>人，</w:t>
            </w:r>
            <w:r>
              <w:rPr>
                <w:rFonts w:hint="eastAsia"/>
                <w:color w:val="auto"/>
                <w:lang w:val="en-US" w:eastAsia="zh-CN"/>
              </w:rPr>
              <w:t>厂区设置食堂，</w:t>
            </w:r>
            <w:r>
              <w:rPr>
                <w:rFonts w:hint="eastAsia"/>
                <w:color w:val="auto"/>
                <w:lang w:eastAsia="zh-CN"/>
              </w:rPr>
              <w:t>不提供</w:t>
            </w:r>
            <w:r>
              <w:rPr>
                <w:rFonts w:hint="eastAsia"/>
                <w:color w:val="auto"/>
                <w:lang w:val="en-US" w:eastAsia="zh-CN"/>
              </w:rPr>
              <w:t>住</w:t>
            </w:r>
            <w:r>
              <w:rPr>
                <w:rFonts w:hint="eastAsia"/>
                <w:color w:val="auto"/>
                <w:lang w:eastAsia="zh-CN"/>
              </w:rPr>
              <w:t>宿。</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（2）</w:t>
            </w:r>
            <w:r>
              <w:rPr>
                <w:rFonts w:hint="eastAsia"/>
                <w:color w:val="auto"/>
                <w:lang w:eastAsia="zh-CN"/>
              </w:rPr>
              <w:t>工作制度</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Cs/>
                <w:color w:val="auto"/>
                <w:highlight w:val="none"/>
                <w:lang w:val="en-US" w:eastAsia="zh-CN"/>
              </w:rPr>
            </w:pPr>
            <w:r>
              <w:rPr>
                <w:rFonts w:hint="eastAsia"/>
                <w:color w:val="auto"/>
                <w:lang w:eastAsia="zh-CN"/>
              </w:rPr>
              <w:t>项目年工作时间为300天，实行</w:t>
            </w:r>
            <w:r>
              <w:rPr>
                <w:rFonts w:hint="eastAsia"/>
                <w:color w:val="auto"/>
                <w:lang w:val="en-US" w:eastAsia="zh-CN"/>
              </w:rPr>
              <w:t>1</w:t>
            </w:r>
            <w:r>
              <w:rPr>
                <w:rFonts w:hint="eastAsia"/>
                <w:color w:val="auto"/>
                <w:lang w:eastAsia="zh-CN"/>
              </w:rPr>
              <w:t>班制，每班工作</w:t>
            </w:r>
            <w:r>
              <w:rPr>
                <w:rFonts w:hint="eastAsia"/>
                <w:color w:val="auto"/>
                <w:lang w:val="en-US" w:eastAsia="zh-CN"/>
              </w:rPr>
              <w:t>8</w:t>
            </w:r>
            <w:r>
              <w:rPr>
                <w:rFonts w:hint="eastAsia"/>
                <w:color w:val="auto"/>
                <w:lang w:eastAsia="zh-CN"/>
              </w:rPr>
              <w:t>小时。</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b/>
                <w:bCs/>
                <w:color w:val="auto"/>
                <w:highlight w:val="none"/>
                <w:lang w:val="en-US" w:eastAsia="zh-CN"/>
              </w:rPr>
            </w:pPr>
            <w:r>
              <w:rPr>
                <w:rFonts w:hint="eastAsia"/>
                <w:b/>
                <w:bCs/>
                <w:color w:val="auto"/>
                <w:lang w:val="en-US" w:eastAsia="zh-CN"/>
              </w:rPr>
              <w:t>5</w:t>
            </w:r>
            <w:r>
              <w:rPr>
                <w:rFonts w:hint="eastAsia"/>
                <w:b/>
                <w:bCs/>
                <w:color w:val="auto"/>
              </w:rPr>
              <w:t>、</w:t>
            </w:r>
            <w:r>
              <w:rPr>
                <w:rFonts w:hint="eastAsia"/>
                <w:b/>
                <w:bCs/>
                <w:color w:val="auto"/>
                <w:lang w:eastAsia="zh-CN"/>
              </w:rPr>
              <w:t>现有项目用水平衡</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val="en-US" w:eastAsia="zh-CN"/>
              </w:rPr>
              <w:object>
                <v:shape id="_x0000_i1038" o:spt="75" type="#_x0000_t75" style="height:200.8pt;width:430.55pt;" o:ole="t" filled="f" o:preferrelative="t" stroked="f" coordsize="21600,21600">
                  <v:path/>
                  <v:fill on="f" focussize="0,0"/>
                  <v:stroke on="f"/>
                  <v:imagedata r:id="rId37" o:title=""/>
                  <o:lock v:ext="edit" aspectratio="f"/>
                  <w10:wrap type="none"/>
                  <w10:anchorlock/>
                </v:shape>
                <o:OLEObject Type="Embed" ProgID="Visio.Drawing.11" ShapeID="_x0000_i1038" DrawAspect="Content" ObjectID="_1468075738" r:id="rId36">
                  <o:LockedField>false</o:LockedField>
                </o:OLEObject>
              </w:objec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rPr>
              <w:t>图2-</w:t>
            </w:r>
            <w:r>
              <w:rPr>
                <w:rFonts w:hint="eastAsia"/>
                <w:color w:val="auto"/>
                <w:lang w:val="en-US" w:eastAsia="zh-CN"/>
              </w:rPr>
              <w:t>14</w:t>
            </w:r>
            <w:r>
              <w:rPr>
                <w:rFonts w:hint="eastAsia"/>
                <w:color w:val="auto"/>
              </w:rPr>
              <w:t xml:space="preserve"> </w:t>
            </w:r>
            <w:r>
              <w:rPr>
                <w:rFonts w:hint="eastAsia"/>
                <w:color w:val="auto"/>
                <w:lang w:eastAsia="zh-CN"/>
              </w:rPr>
              <w:t>现有</w:t>
            </w:r>
            <w:r>
              <w:rPr>
                <w:rFonts w:hint="eastAsia"/>
                <w:color w:val="auto"/>
              </w:rPr>
              <w:t>项目用水平衡图（单位：t/d）</w:t>
            </w:r>
          </w:p>
          <w:p>
            <w:pPr>
              <w:pStyle w:val="18"/>
              <w:bidi w:val="0"/>
              <w:rPr>
                <w:rFonts w:hint="eastAsia"/>
                <w:color w:val="auto"/>
                <w:lang w:eastAsia="zh-CN"/>
              </w:rPr>
            </w:pPr>
            <w:r>
              <w:rPr>
                <w:rFonts w:hint="eastAsia"/>
                <w:color w:val="auto"/>
                <w:lang w:val="en-US" w:eastAsia="zh-CN"/>
              </w:rPr>
              <w:t>6</w:t>
            </w:r>
            <w:r>
              <w:rPr>
                <w:rFonts w:hint="eastAsia"/>
                <w:color w:val="auto"/>
              </w:rPr>
              <w:t>、</w:t>
            </w:r>
            <w:r>
              <w:rPr>
                <w:rFonts w:hint="eastAsia"/>
                <w:color w:val="auto"/>
                <w:lang w:eastAsia="zh-CN"/>
              </w:rPr>
              <w:t>现有项目生产工艺</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（一）活性炭滤材生产工艺</w:t>
            </w:r>
          </w:p>
          <w:p>
            <w:pPr>
              <w:pStyle w:val="16"/>
              <w:bidi w:val="0"/>
              <w:rPr>
                <w:rFonts w:hint="eastAsia"/>
                <w:color w:val="auto"/>
                <w:lang w:val="en-US" w:eastAsia="zh-CN"/>
              </w:rPr>
            </w:pPr>
            <w:r>
              <w:rPr>
                <w:rFonts w:hint="default"/>
                <w:color w:val="auto"/>
                <w:lang w:val="en-US" w:eastAsia="zh-CN"/>
              </w:rPr>
              <w:t>现有项目活性炭滤材</w:t>
            </w:r>
            <w:r>
              <w:rPr>
                <w:rFonts w:hint="eastAsia"/>
                <w:color w:val="auto"/>
                <w:lang w:val="en-US" w:eastAsia="zh-CN"/>
              </w:rPr>
              <w:t>生产工艺及产污节点，见下图。</w:t>
            </w:r>
          </w:p>
          <w:p>
            <w:pPr>
              <w:pStyle w:val="16"/>
              <w:bidi w:val="0"/>
              <w:rPr>
                <w:rFonts w:hint="eastAsia"/>
                <w:color w:val="auto"/>
                <w:lang w:val="en-US" w:eastAsia="zh-CN"/>
              </w:rPr>
            </w:pPr>
          </w:p>
          <w:p>
            <w:pPr>
              <w:pStyle w:val="16"/>
              <w:bidi w:val="0"/>
              <w:rPr>
                <w:rFonts w:hint="eastAsia"/>
                <w:color w:val="auto"/>
                <w:lang w:val="en-US" w:eastAsia="zh-CN"/>
              </w:rPr>
            </w:pPr>
          </w:p>
          <w:p>
            <w:pPr>
              <w:pStyle w:val="16"/>
              <w:bidi w:val="0"/>
              <w:rPr>
                <w:rFonts w:hint="eastAsia"/>
                <w:color w:val="auto"/>
                <w:lang w:val="en-US" w:eastAsia="zh-CN"/>
              </w:rPr>
            </w:pPr>
          </w:p>
          <w:p>
            <w:pPr>
              <w:pStyle w:val="1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val="0"/>
                <w:bCs/>
                <w:color w:val="auto"/>
              </w:rPr>
            </w:pPr>
            <w:r>
              <w:rPr>
                <w:rFonts w:hint="eastAsia"/>
                <w:b w:val="0"/>
                <w:bCs/>
                <w:color w:val="auto"/>
              </w:rPr>
              <w:drawing>
                <wp:inline distT="0" distB="0" distL="114300" distR="114300">
                  <wp:extent cx="4733925" cy="4552950"/>
                  <wp:effectExtent l="0" t="0" r="9525" b="0"/>
                  <wp:docPr id="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pic:cNvPicPr>
                            <a:picLocks noChangeAspect="1"/>
                          </pic:cNvPicPr>
                        </pic:nvPicPr>
                        <pic:blipFill>
                          <a:blip r:embed="rId38"/>
                          <a:stretch>
                            <a:fillRect/>
                          </a:stretch>
                        </pic:blipFill>
                        <pic:spPr>
                          <a:xfrm>
                            <a:off x="0" y="0"/>
                            <a:ext cx="4733925" cy="455295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rPr>
              <w:t>图2-</w:t>
            </w:r>
            <w:r>
              <w:rPr>
                <w:rFonts w:hint="eastAsia"/>
                <w:color w:val="auto"/>
                <w:lang w:val="en-US" w:eastAsia="zh-CN"/>
              </w:rPr>
              <w:t>15</w:t>
            </w:r>
            <w:r>
              <w:rPr>
                <w:rFonts w:hint="eastAsia"/>
                <w:color w:val="auto"/>
              </w:rPr>
              <w:t xml:space="preserve"> </w:t>
            </w:r>
            <w:r>
              <w:rPr>
                <w:rFonts w:hint="eastAsia"/>
                <w:color w:val="auto"/>
                <w:lang w:eastAsia="zh-CN"/>
              </w:rPr>
              <w:t>现有</w:t>
            </w:r>
            <w:r>
              <w:rPr>
                <w:rFonts w:hint="eastAsia"/>
                <w:color w:val="auto"/>
              </w:rPr>
              <w:t>项目</w:t>
            </w:r>
            <w:r>
              <w:rPr>
                <w:rFonts w:hint="eastAsia"/>
                <w:color w:val="auto"/>
                <w:lang w:val="en-US" w:eastAsia="zh-CN"/>
              </w:rPr>
              <w:t>活性炭滤材</w:t>
            </w:r>
            <w:r>
              <w:rPr>
                <w:rFonts w:hint="eastAsia"/>
                <w:color w:val="auto"/>
                <w:lang w:eastAsia="zh-CN"/>
              </w:rPr>
              <w:t>生产工艺及产污节点</w:t>
            </w:r>
            <w:r>
              <w:rPr>
                <w:rFonts w:hint="eastAsia"/>
                <w:color w:val="auto"/>
              </w:rPr>
              <w:t>图</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default"/>
                <w:color w:val="auto"/>
              </w:rPr>
              <w:t>生产工艺说明：</w:t>
            </w:r>
          </w:p>
          <w:p>
            <w:pPr>
              <w:pStyle w:val="16"/>
              <w:bidi w:val="0"/>
              <w:rPr>
                <w:rFonts w:hint="eastAsia"/>
                <w:b/>
                <w:bCs/>
                <w:color w:val="auto"/>
                <w:lang w:val="en-US" w:eastAsia="zh-CN"/>
              </w:rPr>
            </w:pPr>
            <w:r>
              <w:rPr>
                <w:rFonts w:hint="eastAsia"/>
                <w:color w:val="auto"/>
                <w:lang w:val="en-US" w:eastAsia="zh-CN"/>
              </w:rPr>
              <w:t>将厂内自行生产的无纺布滤材开卷，在无纺布滤材上面铺上一层活性炭，接着撒上热熔胶粉末，然后在其上面再铺上一层无纺布滤材，经过红外线加热仪加热后，再经过电加热筒进行热烫，即得活性炭滤材，最后进行分切包装成品。</w:t>
            </w:r>
          </w:p>
          <w:p>
            <w:pPr>
              <w:keepNext w:val="0"/>
              <w:keepLines w:val="0"/>
              <w:pageBreakBefore w:val="0"/>
              <w:widowControl w:val="0"/>
              <w:shd w:val="clear" w:color="auto" w:fill="auto"/>
              <w:kinsoku/>
              <w:wordWrap/>
              <w:overflowPunct/>
              <w:topLinePunct w:val="0"/>
              <w:autoSpaceDE/>
              <w:autoSpaceDN/>
              <w:bidi w:val="0"/>
              <w:adjustRightInd w:val="0"/>
              <w:snapToGrid w:val="0"/>
              <w:spacing w:before="63" w:beforeLines="20" w:line="360" w:lineRule="auto"/>
              <w:ind w:firstLine="482" w:firstLineChars="200"/>
              <w:textAlignment w:val="auto"/>
              <w:rPr>
                <w:rFonts w:hint="eastAsia"/>
                <w:b/>
                <w:bCs/>
                <w:color w:val="auto"/>
                <w:lang w:val="en-US" w:eastAsia="zh-CN"/>
              </w:rPr>
            </w:pPr>
            <w:r>
              <w:rPr>
                <w:rFonts w:hint="eastAsia"/>
                <w:b/>
                <w:bCs/>
                <w:color w:val="auto"/>
                <w:lang w:val="en-US" w:eastAsia="zh-CN"/>
              </w:rPr>
              <w:t>（二）无纺布滤材生产工艺</w:t>
            </w:r>
          </w:p>
          <w:p>
            <w:pPr>
              <w:keepNext w:val="0"/>
              <w:keepLines w:val="0"/>
              <w:pageBreakBefore w:val="0"/>
              <w:widowControl w:val="0"/>
              <w:shd w:val="clear" w:color="auto" w:fill="auto"/>
              <w:kinsoku/>
              <w:wordWrap/>
              <w:overflowPunct/>
              <w:topLinePunct w:val="0"/>
              <w:autoSpaceDE/>
              <w:autoSpaceDN/>
              <w:bidi w:val="0"/>
              <w:adjustRightInd w:val="0"/>
              <w:snapToGrid w:val="0"/>
              <w:spacing w:before="63" w:beforeLines="20" w:line="360" w:lineRule="auto"/>
              <w:ind w:firstLine="482" w:firstLineChars="200"/>
              <w:textAlignment w:val="auto"/>
              <w:rPr>
                <w:rFonts w:hint="eastAsia"/>
                <w:b/>
                <w:bCs/>
                <w:color w:val="auto"/>
                <w:lang w:val="en-US" w:eastAsia="zh-CN"/>
              </w:rPr>
            </w:pPr>
            <w:r>
              <w:rPr>
                <w:rFonts w:hint="eastAsia"/>
                <w:b/>
                <w:bCs/>
                <w:color w:val="auto"/>
                <w:lang w:val="en-US" w:eastAsia="zh-CN"/>
              </w:rPr>
              <w:t>现有项目无纺布滤材生产工艺及产污节点，见下图。</w:t>
            </w: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p>
          <w:p>
            <w:pPr>
              <w:pStyle w:val="11"/>
              <w:bidi w:val="0"/>
              <w:rPr>
                <w:rFonts w:hint="eastAsia"/>
                <w:color w:val="auto"/>
                <w:lang w:val="en-US" w:eastAsia="zh-CN"/>
              </w:rPr>
            </w:pPr>
            <w:r>
              <w:rPr>
                <w:color w:val="auto"/>
              </w:rPr>
              <w:drawing>
                <wp:inline distT="0" distB="0" distL="114300" distR="114300">
                  <wp:extent cx="5286375" cy="5610225"/>
                  <wp:effectExtent l="0" t="0" r="9525" b="9525"/>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pic:cNvPicPr>
                            <a:picLocks noChangeAspect="1"/>
                          </pic:cNvPicPr>
                        </pic:nvPicPr>
                        <pic:blipFill>
                          <a:blip r:embed="rId39"/>
                          <a:stretch>
                            <a:fillRect/>
                          </a:stretch>
                        </pic:blipFill>
                        <pic:spPr>
                          <a:xfrm>
                            <a:off x="0" y="0"/>
                            <a:ext cx="5286375" cy="5610225"/>
                          </a:xfrm>
                          <a:prstGeom prst="rect">
                            <a:avLst/>
                          </a:prstGeom>
                          <a:noFill/>
                          <a:ln>
                            <a:noFill/>
                          </a:ln>
                        </pic:spPr>
                      </pic:pic>
                    </a:graphicData>
                  </a:graphic>
                </wp:inline>
              </w:drawing>
            </w:r>
          </w:p>
          <w:p>
            <w:pPr>
              <w:pStyle w:val="11"/>
              <w:bidi w:val="0"/>
              <w:rPr>
                <w:rFonts w:hint="eastAsia"/>
                <w:color w:val="auto"/>
                <w:lang w:val="en-US" w:eastAsia="zh-CN"/>
              </w:rPr>
            </w:pPr>
            <w:r>
              <w:rPr>
                <w:rFonts w:hint="eastAsia"/>
                <w:color w:val="auto"/>
                <w:lang w:val="en-US" w:eastAsia="zh-CN"/>
              </w:rPr>
              <w:t>图2-16 现有项目无纺布滤材生产工艺及产污节点图</w:t>
            </w:r>
          </w:p>
          <w:p>
            <w:pPr>
              <w:pStyle w:val="18"/>
              <w:bidi w:val="0"/>
              <w:rPr>
                <w:rFonts w:hint="eastAsia"/>
                <w:color w:val="auto"/>
                <w:lang w:val="en-US" w:eastAsia="zh-CN"/>
              </w:rPr>
            </w:pPr>
            <w:r>
              <w:rPr>
                <w:rFonts w:hint="eastAsia"/>
                <w:color w:val="auto"/>
                <w:lang w:val="en-US" w:eastAsia="zh-CN"/>
              </w:rPr>
              <w:t>生产工艺说明：</w:t>
            </w:r>
          </w:p>
          <w:p>
            <w:pPr>
              <w:pStyle w:val="16"/>
              <w:bidi w:val="0"/>
              <w:rPr>
                <w:rFonts w:hint="eastAsia"/>
                <w:color w:val="auto"/>
                <w:lang w:val="en-US" w:eastAsia="zh-CN"/>
              </w:rPr>
            </w:pPr>
            <w:r>
              <w:rPr>
                <w:rFonts w:hint="eastAsia"/>
                <w:color w:val="auto"/>
                <w:lang w:val="en-US" w:eastAsia="zh-CN"/>
              </w:rPr>
              <w:t>将外购成捆的合成纤维开包后进行梳理成薄薄的纤维丝层，然后将不同规格的合成纤维进行混合，接着将这些纤维摊铺成纤维层后进行针刺成型。将硬浆、软胶、颜料和水按比例调和后进行发泡，待用于浸胶工序，生产得到的无纺布基布进入浸胶工序，浸胶完成后进行热烫（温度控制在210℃左右），然后需进入烤箱热烘（温度控制在120℃左右），再经过冷压后，即得到无纺布滤材，收料，待分切、包装。</w:t>
            </w:r>
          </w:p>
          <w:p>
            <w:pPr>
              <w:pStyle w:val="18"/>
              <w:bidi w:val="0"/>
              <w:rPr>
                <w:rFonts w:hint="eastAsia"/>
                <w:color w:val="auto"/>
                <w:lang w:val="en-US" w:eastAsia="zh-CN"/>
              </w:rPr>
            </w:pPr>
            <w:r>
              <w:rPr>
                <w:rFonts w:hint="eastAsia"/>
                <w:color w:val="auto"/>
                <w:lang w:val="en-US" w:eastAsia="zh-CN"/>
              </w:rPr>
              <w:t>7</w:t>
            </w:r>
            <w:r>
              <w:rPr>
                <w:rFonts w:hint="eastAsia"/>
                <w:color w:val="auto"/>
              </w:rPr>
              <w:t>、</w:t>
            </w:r>
            <w:r>
              <w:rPr>
                <w:rFonts w:hint="eastAsia"/>
                <w:color w:val="auto"/>
                <w:lang w:eastAsia="zh-CN"/>
              </w:rPr>
              <w:t>现有项目污染物排放情况及治理措施</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（1）废气</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现有项目废气主要为无纺布滤材后处理工序中热烫、热烘工序产生的有机废气以及食堂油烟。有机废气经收集后由15米高排气筒高空排放；食堂油烟经油烟净化器处理后排放。</w:t>
            </w:r>
          </w:p>
          <w:p>
            <w:pPr>
              <w:pStyle w:val="16"/>
              <w:bidi w:val="0"/>
              <w:rPr>
                <w:rFonts w:hint="default"/>
                <w:color w:val="auto"/>
                <w:lang w:val="en-US" w:eastAsia="zh-CN"/>
              </w:rPr>
            </w:pPr>
            <w:r>
              <w:rPr>
                <w:rFonts w:hint="eastAsia"/>
                <w:color w:val="auto"/>
                <w:lang w:val="en-US" w:eastAsia="zh-CN"/>
              </w:rPr>
              <w:t>根据企业提供的现有项目监测报告（报告编号为AHJYHJ100122022），DA001废气出口非甲烷总烃的监测浓度范围为5.35mg/m³～6.04mg/m³、排放速率监测范围为0.00567kg/h～0.00639kg/h，DA002废气出口非甲烷总烃的监测浓度范围为8.25mg/m³～9.98mg/m³、排放速率监测范围为0.00803kg/h～0.0110kg/h，满足《大气污染物综合排放标准》（GB 16297-1996）表2中排放限值（非甲烷总烃排放浓度：120mg/m³，排放速率：10kg/h）。</w:t>
            </w:r>
          </w:p>
          <w:p>
            <w:pPr>
              <w:pStyle w:val="16"/>
              <w:bidi w:val="0"/>
              <w:rPr>
                <w:rFonts w:hint="default"/>
                <w:color w:val="auto"/>
                <w:lang w:val="en-US" w:eastAsia="zh-CN"/>
              </w:rPr>
            </w:pPr>
            <w:r>
              <w:rPr>
                <w:rFonts w:hint="eastAsia"/>
                <w:color w:val="auto"/>
                <w:lang w:val="en-US" w:eastAsia="zh-CN"/>
              </w:rPr>
              <w:t>根据企业提供的现有项目监测报告（报告编号为AHJYHJ090772022），无组织非甲烷总烃的监测浓度范围为0.12mg/m³～0.68mg/m³，满足《大气污染物综合排放标准》（GB 16297-1996）表2中排放限值（非甲烷总烃：4.0mg/m³）。</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（2）废水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现有项目废水主要为生活污水。生活污水经隔油池+化粪池预处理后排入市政污水管网，进入怀远经济开发区污水处理厂。</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根据企业提供的现有项目监测报告（报告编号为AHJYHJ100122022），生活污水排口排放的pH的范围为7.8～8.1，COD的浓度范围为223～265mg/L、BOD</w:t>
            </w:r>
            <w:r>
              <w:rPr>
                <w:rFonts w:hint="eastAsia"/>
                <w:color w:val="auto"/>
                <w:vertAlign w:val="subscript"/>
                <w:lang w:val="en-US" w:eastAsia="zh-CN"/>
              </w:rPr>
              <w:t>5</w:t>
            </w:r>
            <w:r>
              <w:rPr>
                <w:rFonts w:hint="eastAsia"/>
                <w:color w:val="auto"/>
                <w:lang w:val="en-US" w:eastAsia="zh-CN"/>
              </w:rPr>
              <w:t>的浓度范围为50.3～69.1mg/L、SS的浓度范围为158～165mg/L、NH</w:t>
            </w:r>
            <w:r>
              <w:rPr>
                <w:rFonts w:hint="eastAsia"/>
                <w:color w:val="auto"/>
                <w:vertAlign w:val="subscript"/>
                <w:lang w:val="en-US" w:eastAsia="zh-CN"/>
              </w:rPr>
              <w:t>3</w:t>
            </w:r>
            <w:r>
              <w:rPr>
                <w:rFonts w:hint="eastAsia"/>
                <w:color w:val="auto"/>
                <w:lang w:val="en-US" w:eastAsia="zh-CN"/>
              </w:rPr>
              <w:t>-N的浓度范围为12.4～14.0mg/L，满足《污水综合排放标准》（GB8978-1996）表4中三级标准和怀远经济开发区污水处理厂接管限值（COD：500mg/L、BOD</w:t>
            </w:r>
            <w:r>
              <w:rPr>
                <w:rFonts w:hint="eastAsia"/>
                <w:color w:val="auto"/>
                <w:vertAlign w:val="subscript"/>
                <w:lang w:val="en-US" w:eastAsia="zh-CN"/>
              </w:rPr>
              <w:t>5</w:t>
            </w:r>
            <w:r>
              <w:rPr>
                <w:rFonts w:hint="eastAsia"/>
                <w:color w:val="auto"/>
                <w:lang w:val="en-US" w:eastAsia="zh-CN"/>
              </w:rPr>
              <w:t>：300mg/L、SS：400mg/L、NH</w:t>
            </w:r>
            <w:r>
              <w:rPr>
                <w:rFonts w:hint="eastAsia"/>
                <w:color w:val="auto"/>
                <w:vertAlign w:val="subscript"/>
                <w:lang w:val="en-US" w:eastAsia="zh-CN"/>
              </w:rPr>
              <w:t>3</w:t>
            </w:r>
            <w:r>
              <w:rPr>
                <w:rFonts w:hint="eastAsia"/>
                <w:color w:val="auto"/>
                <w:lang w:val="en-US" w:eastAsia="zh-CN"/>
              </w:rPr>
              <w:t>-N：30mg/L）。</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（3）噪声</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现有项目噪声设备主要为生产设备，主要采取厂房隔声、基础减振等措施，可起到一定降噪效果。</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根据企业提供的现有项目监测报告（报告编号为AHJYHJ050052020），厂界昼间噪声最大值为57.6dB（A），满足《工业企业厂界环境噪声排放标准》（GB 12348-2008）中3类标准，即昼间65dB（A）。</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（4）固体废物</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现有项目产生的固体废物主要包括：生产过程中裁剪的边角料及次品和厂区工作人员的生活垃圾。生产过程中裁剪的边角料及次品与生活垃圾属于一般固废。生产过程中裁剪的边角料及次品集中收集后外售给物资回收部门，生活垃圾委托环卫部门清运。</w:t>
            </w:r>
          </w:p>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二、现有项目环保审批及环保验收情况</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现有项目的环保审批及环保验收情况见下表。</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表2-13 现有项目环保审批及验收情况</w:t>
            </w:r>
          </w:p>
          <w:tbl>
            <w:tblPr>
              <w:tblStyle w:val="14"/>
              <w:tblW w:w="856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2381"/>
              <w:gridCol w:w="1531"/>
              <w:gridCol w:w="1474"/>
              <w:gridCol w:w="1814"/>
              <w:gridCol w:w="13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238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rPr>
                  </w:pPr>
                  <w:r>
                    <w:rPr>
                      <w:rFonts w:hint="eastAsia" w:cs="黑体"/>
                      <w:color w:val="auto"/>
                    </w:rPr>
                    <w:t>项目名称</w:t>
                  </w:r>
                </w:p>
              </w:tc>
              <w:tc>
                <w:tcPr>
                  <w:tcW w:w="153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rPr>
                  </w:pPr>
                  <w:r>
                    <w:rPr>
                      <w:rFonts w:hint="eastAsia" w:cs="黑体"/>
                      <w:color w:val="auto"/>
                    </w:rPr>
                    <w:t>环评批复情况</w:t>
                  </w:r>
                </w:p>
              </w:tc>
              <w:tc>
                <w:tcPr>
                  <w:tcW w:w="147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rPr>
                  </w:pPr>
                  <w:r>
                    <w:rPr>
                      <w:rFonts w:hint="eastAsia" w:cs="黑体"/>
                      <w:color w:val="auto"/>
                    </w:rPr>
                    <w:t>批复文号</w:t>
                  </w:r>
                </w:p>
              </w:tc>
              <w:tc>
                <w:tcPr>
                  <w:tcW w:w="181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rPr>
                  </w:pPr>
                  <w:r>
                    <w:rPr>
                      <w:rFonts w:hint="eastAsia" w:cs="黑体"/>
                      <w:color w:val="auto"/>
                    </w:rPr>
                    <w:t>环保验收情况</w:t>
                  </w:r>
                </w:p>
              </w:tc>
              <w:tc>
                <w:tcPr>
                  <w:tcW w:w="136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rPr>
                  </w:pPr>
                  <w:r>
                    <w:rPr>
                      <w:rFonts w:hint="eastAsia" w:cs="黑体"/>
                      <w:color w:val="auto"/>
                    </w:rPr>
                    <w:t>验收日期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2381" w:type="dxa"/>
                  <w:noWrap w:val="0"/>
                  <w:vAlign w:val="center"/>
                </w:tcPr>
                <w:p>
                  <w:pPr>
                    <w:pStyle w:val="13"/>
                    <w:bidi w:val="0"/>
                    <w:rPr>
                      <w:rFonts w:hint="eastAsia"/>
                      <w:color w:val="auto"/>
                      <w:szCs w:val="22"/>
                    </w:rPr>
                  </w:pPr>
                  <w:r>
                    <w:rPr>
                      <w:rFonts w:hint="eastAsia"/>
                      <w:color w:val="auto"/>
                      <w:szCs w:val="22"/>
                    </w:rPr>
                    <w:t>年产1000万平方米滤清器过滤材料项目</w:t>
                  </w:r>
                </w:p>
              </w:tc>
              <w:tc>
                <w:tcPr>
                  <w:tcW w:w="1531" w:type="dxa"/>
                  <w:noWrap w:val="0"/>
                  <w:vAlign w:val="center"/>
                </w:tcPr>
                <w:p>
                  <w:pPr>
                    <w:pStyle w:val="13"/>
                    <w:bidi w:val="0"/>
                    <w:rPr>
                      <w:rFonts w:hint="eastAsia"/>
                      <w:color w:val="auto"/>
                      <w:szCs w:val="22"/>
                    </w:rPr>
                  </w:pPr>
                  <w:r>
                    <w:rPr>
                      <w:rFonts w:hint="eastAsia"/>
                      <w:color w:val="auto"/>
                      <w:szCs w:val="22"/>
                    </w:rPr>
                    <w:t>已批复</w:t>
                  </w:r>
                </w:p>
              </w:tc>
              <w:tc>
                <w:tcPr>
                  <w:tcW w:w="1474" w:type="dxa"/>
                  <w:noWrap w:val="0"/>
                  <w:vAlign w:val="center"/>
                </w:tcPr>
                <w:p>
                  <w:pPr>
                    <w:pStyle w:val="13"/>
                    <w:bidi w:val="0"/>
                    <w:rPr>
                      <w:rFonts w:hint="eastAsia" w:eastAsia="宋体"/>
                      <w:color w:val="auto"/>
                      <w:szCs w:val="22"/>
                      <w:lang w:val="en-US" w:eastAsia="zh-CN"/>
                    </w:rPr>
                  </w:pPr>
                  <w:r>
                    <w:rPr>
                      <w:rFonts w:hint="eastAsia"/>
                      <w:color w:val="auto"/>
                      <w:szCs w:val="22"/>
                      <w:lang w:val="en-US" w:eastAsia="zh-CN"/>
                    </w:rPr>
                    <w:t>/</w:t>
                  </w:r>
                </w:p>
              </w:tc>
              <w:tc>
                <w:tcPr>
                  <w:tcW w:w="1814" w:type="dxa"/>
                  <w:noWrap w:val="0"/>
                  <w:vAlign w:val="center"/>
                </w:tcPr>
                <w:p>
                  <w:pPr>
                    <w:pStyle w:val="13"/>
                    <w:bidi w:val="0"/>
                    <w:rPr>
                      <w:rFonts w:hint="eastAsia"/>
                      <w:color w:val="auto"/>
                      <w:szCs w:val="22"/>
                    </w:rPr>
                  </w:pPr>
                  <w:r>
                    <w:rPr>
                      <w:rFonts w:hint="eastAsia"/>
                      <w:color w:val="auto"/>
                      <w:szCs w:val="22"/>
                      <w:lang w:eastAsia="zh-CN"/>
                    </w:rPr>
                    <w:t>已验收，怀环监（2009）第09号</w:t>
                  </w:r>
                </w:p>
              </w:tc>
              <w:tc>
                <w:tcPr>
                  <w:tcW w:w="1361" w:type="dxa"/>
                  <w:noWrap w:val="0"/>
                  <w:vAlign w:val="center"/>
                </w:tcPr>
                <w:p>
                  <w:pPr>
                    <w:pStyle w:val="13"/>
                    <w:bidi w:val="0"/>
                    <w:rPr>
                      <w:rFonts w:hint="eastAsia"/>
                      <w:color w:val="auto"/>
                      <w:szCs w:val="22"/>
                    </w:rPr>
                  </w:pPr>
                  <w:r>
                    <w:rPr>
                      <w:rFonts w:hint="eastAsia"/>
                      <w:color w:val="auto"/>
                      <w:szCs w:val="22"/>
                    </w:rPr>
                    <w:t>2009年7月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238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szCs w:val="22"/>
                      <w:lang w:eastAsia="zh-CN"/>
                    </w:rPr>
                  </w:pPr>
                  <w:r>
                    <w:rPr>
                      <w:rFonts w:hint="eastAsia" w:cs="黑体"/>
                      <w:color w:val="auto"/>
                      <w:szCs w:val="22"/>
                      <w:lang w:eastAsia="zh-CN"/>
                    </w:rPr>
                    <w:t>年产1000万平方米滤清器过滤材料项目变更</w:t>
                  </w:r>
                </w:p>
              </w:tc>
              <w:tc>
                <w:tcPr>
                  <w:tcW w:w="153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szCs w:val="22"/>
                    </w:rPr>
                  </w:pPr>
                  <w:r>
                    <w:rPr>
                      <w:rFonts w:hint="eastAsia" w:cs="黑体"/>
                      <w:color w:val="auto"/>
                      <w:szCs w:val="22"/>
                    </w:rPr>
                    <w:t>已批复</w:t>
                  </w:r>
                </w:p>
              </w:tc>
              <w:tc>
                <w:tcPr>
                  <w:tcW w:w="147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szCs w:val="22"/>
                    </w:rPr>
                  </w:pPr>
                  <w:r>
                    <w:rPr>
                      <w:rFonts w:hint="eastAsia" w:cs="黑体"/>
                      <w:color w:val="auto"/>
                      <w:szCs w:val="22"/>
                      <w:lang w:eastAsia="zh-CN"/>
                    </w:rPr>
                    <w:t>怀环函</w:t>
                  </w:r>
                  <w:r>
                    <w:rPr>
                      <w:rFonts w:hint="eastAsia" w:cs="黑体"/>
                      <w:color w:val="auto"/>
                      <w:szCs w:val="22"/>
                    </w:rPr>
                    <w:t>〔</w:t>
                  </w:r>
                  <w:r>
                    <w:rPr>
                      <w:rFonts w:hint="eastAsia" w:cs="黑体"/>
                      <w:color w:val="auto"/>
                      <w:szCs w:val="22"/>
                      <w:lang w:val="en-US" w:eastAsia="zh-CN"/>
                    </w:rPr>
                    <w:t>2016</w:t>
                  </w:r>
                  <w:r>
                    <w:rPr>
                      <w:rFonts w:hint="eastAsia" w:cs="黑体"/>
                      <w:color w:val="auto"/>
                      <w:szCs w:val="22"/>
                    </w:rPr>
                    <w:t>〕</w:t>
                  </w:r>
                  <w:r>
                    <w:rPr>
                      <w:rFonts w:hint="eastAsia" w:cs="黑体"/>
                      <w:color w:val="auto"/>
                      <w:szCs w:val="22"/>
                      <w:lang w:val="en-US" w:eastAsia="zh-CN"/>
                    </w:rPr>
                    <w:t>63</w:t>
                  </w:r>
                  <w:r>
                    <w:rPr>
                      <w:rFonts w:hint="eastAsia" w:cs="黑体"/>
                      <w:color w:val="auto"/>
                      <w:szCs w:val="22"/>
                    </w:rPr>
                    <w:t>号</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szCs w:val="22"/>
                      <w:lang w:eastAsia="zh-CN"/>
                    </w:rPr>
                  </w:pPr>
                  <w:r>
                    <w:rPr>
                      <w:rFonts w:hint="eastAsia" w:cs="黑体"/>
                      <w:color w:val="auto"/>
                      <w:szCs w:val="22"/>
                      <w:lang w:eastAsia="zh-CN"/>
                    </w:rPr>
                    <w:t>已验收，怀环监验（2016）10号</w:t>
                  </w:r>
                </w:p>
              </w:tc>
              <w:tc>
                <w:tcPr>
                  <w:tcW w:w="136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s="黑体"/>
                      <w:color w:val="auto"/>
                      <w:szCs w:val="22"/>
                      <w:lang w:val="en-US" w:eastAsia="zh-CN"/>
                    </w:rPr>
                  </w:pPr>
                  <w:r>
                    <w:rPr>
                      <w:rFonts w:hint="eastAsia" w:cs="黑体"/>
                      <w:color w:val="auto"/>
                      <w:szCs w:val="22"/>
                    </w:rPr>
                    <w:t>20</w:t>
                  </w:r>
                  <w:r>
                    <w:rPr>
                      <w:rFonts w:hint="eastAsia" w:cs="黑体"/>
                      <w:color w:val="auto"/>
                      <w:szCs w:val="22"/>
                      <w:lang w:val="en-US" w:eastAsia="zh-CN"/>
                    </w:rPr>
                    <w:t>16年10月12日</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三、现有项目排污许可执行情况</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现有项目已于2020年4月23日取得了排污许可证，管理类别为简化管理，证书编号为：91340300MA2N1R1318001U。</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四、现有项目主要污染物排放情况及总量控制指标</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现有项目主要污染物排放情况及总量控制指标见下表。</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表2-14 现有项目主要污染物排放情况及总量控制指标</w:t>
            </w:r>
          </w:p>
          <w:tbl>
            <w:tblPr>
              <w:tblStyle w:val="14"/>
              <w:tblW w:w="86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417"/>
              <w:gridCol w:w="2041"/>
              <w:gridCol w:w="1814"/>
              <w:gridCol w:w="1814"/>
              <w:gridCol w:w="15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141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s="黑体"/>
                      <w:color w:val="auto"/>
                      <w:lang w:eastAsia="zh-CN"/>
                    </w:rPr>
                  </w:pPr>
                  <w:r>
                    <w:rPr>
                      <w:rFonts w:hint="eastAsia" w:cs="黑体"/>
                      <w:color w:val="auto"/>
                      <w:lang w:eastAsia="zh-CN"/>
                    </w:rPr>
                    <w:t>类别</w:t>
                  </w:r>
                </w:p>
              </w:tc>
              <w:tc>
                <w:tcPr>
                  <w:tcW w:w="204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s="黑体"/>
                      <w:color w:val="auto"/>
                      <w:lang w:eastAsia="zh-CN"/>
                    </w:rPr>
                  </w:pPr>
                  <w:r>
                    <w:rPr>
                      <w:rFonts w:hint="eastAsia" w:cs="黑体"/>
                      <w:color w:val="auto"/>
                      <w:lang w:eastAsia="zh-CN"/>
                    </w:rPr>
                    <w:t>污染物名称</w:t>
                  </w:r>
                </w:p>
              </w:tc>
              <w:tc>
                <w:tcPr>
                  <w:tcW w:w="181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s="黑体"/>
                      <w:color w:val="auto"/>
                      <w:lang w:eastAsia="zh-CN"/>
                    </w:rPr>
                  </w:pPr>
                  <w:r>
                    <w:rPr>
                      <w:rFonts w:hint="eastAsia" w:cs="黑体"/>
                      <w:color w:val="auto"/>
                      <w:lang w:eastAsia="zh-CN"/>
                    </w:rPr>
                    <w:t>实际排放量</w:t>
                  </w:r>
                </w:p>
              </w:tc>
              <w:tc>
                <w:tcPr>
                  <w:tcW w:w="181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s="黑体"/>
                      <w:color w:val="auto"/>
                      <w:lang w:eastAsia="zh-CN"/>
                    </w:rPr>
                  </w:pPr>
                  <w:r>
                    <w:rPr>
                      <w:rFonts w:hint="eastAsia" w:cs="黑体"/>
                      <w:color w:val="auto"/>
                      <w:lang w:eastAsia="zh-CN"/>
                    </w:rPr>
                    <w:t>许可排放量</w:t>
                  </w:r>
                </w:p>
              </w:tc>
              <w:tc>
                <w:tcPr>
                  <w:tcW w:w="153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eastAsia" w:eastAsia="宋体" w:cs="黑体"/>
                      <w:color w:val="auto"/>
                      <w:lang w:eastAsia="zh-CN"/>
                    </w:rPr>
                  </w:pPr>
                  <w:r>
                    <w:rPr>
                      <w:rFonts w:hint="eastAsia" w:cs="黑体"/>
                      <w:color w:val="auto"/>
                      <w:lang w:eastAsia="zh-CN"/>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141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s="黑体"/>
                      <w:color w:val="auto"/>
                      <w:szCs w:val="22"/>
                      <w:lang w:eastAsia="zh-CN"/>
                    </w:rPr>
                  </w:pPr>
                  <w:r>
                    <w:rPr>
                      <w:rFonts w:hint="eastAsia" w:cs="黑体"/>
                      <w:color w:val="auto"/>
                      <w:szCs w:val="22"/>
                      <w:lang w:eastAsia="zh-CN"/>
                    </w:rPr>
                    <w:t>废气</w:t>
                  </w:r>
                </w:p>
              </w:tc>
              <w:tc>
                <w:tcPr>
                  <w:tcW w:w="204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s="黑体"/>
                      <w:color w:val="auto"/>
                      <w:szCs w:val="22"/>
                      <w:lang w:val="en-US" w:eastAsia="zh-CN"/>
                    </w:rPr>
                  </w:pPr>
                  <w:r>
                    <w:rPr>
                      <w:rFonts w:hint="eastAsia" w:cs="黑体"/>
                      <w:color w:val="auto"/>
                      <w:szCs w:val="22"/>
                      <w:lang w:val="en-US" w:eastAsia="zh-CN"/>
                    </w:rPr>
                    <w:t>VOCs</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s="黑体"/>
                      <w:color w:val="auto"/>
                      <w:szCs w:val="22"/>
                      <w:lang w:val="en-US" w:eastAsia="zh-CN"/>
                    </w:rPr>
                  </w:pPr>
                  <w:r>
                    <w:rPr>
                      <w:rFonts w:hint="eastAsia" w:cs="黑体"/>
                      <w:color w:val="auto"/>
                      <w:szCs w:val="22"/>
                      <w:lang w:val="en-US" w:eastAsia="zh-CN"/>
                    </w:rPr>
                    <w:t>0.0364</w:t>
                  </w:r>
                </w:p>
              </w:tc>
              <w:tc>
                <w:tcPr>
                  <w:tcW w:w="181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s="黑体"/>
                      <w:color w:val="auto"/>
                      <w:szCs w:val="22"/>
                      <w:lang w:val="en-US" w:eastAsia="zh-CN"/>
                    </w:rPr>
                  </w:pPr>
                  <w:r>
                    <w:rPr>
                      <w:rFonts w:hint="eastAsia" w:cs="黑体"/>
                      <w:color w:val="auto"/>
                      <w:szCs w:val="22"/>
                      <w:lang w:val="en-US" w:eastAsia="zh-CN"/>
                    </w:rPr>
                    <w:t>/</w:t>
                  </w:r>
                </w:p>
              </w:tc>
              <w:tc>
                <w:tcPr>
                  <w:tcW w:w="153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eastAsia="宋体" w:cs="黑体"/>
                      <w:color w:val="auto"/>
                      <w:szCs w:val="22"/>
                      <w:lang w:val="en-US" w:eastAsia="zh-CN"/>
                    </w:rPr>
                  </w:pPr>
                  <w:r>
                    <w:rPr>
                      <w:rFonts w:hint="eastAsia" w:eastAsia="宋体" w:cs="黑体"/>
                      <w:color w:val="auto"/>
                      <w:szCs w:val="22"/>
                      <w:lang w:val="en-US" w:eastAsia="zh-CN"/>
                    </w:rPr>
                    <w:t>t/a</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五、现有项目环境防护距离要求及落实情况</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根据现有项目环评及其批复要求，以厂界为起点设置50m环境防护距离。目前项目环境防护距离内无居民集中居住区等环境敏感目标，符合环境防护距离要求。</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六、现有工程存在的环境问题</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（1）存在问题</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①现有项目在生产过程中产生的粉尘和有机废气未安装废气处理设施。②冷却排水排入市政雨水管网。</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（2）以新带老措施</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①扩建项目建成后，项目在生产过程中产生的粉尘经布袋除尘器处理，有机废气经二级活性炭吸附处理，处理后的废气由15m高排气筒排放。②冷却排水排入市政污水管网，进入怀远经济开发区污水处理厂处理。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p>
        </w:tc>
      </w:tr>
    </w:tbl>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textAlignment w:val="auto"/>
        <w:rPr>
          <w:color w:val="auto"/>
          <w:highlight w:val="none"/>
        </w:rPr>
        <w:sectPr>
          <w:pgSz w:w="11906" w:h="16838"/>
          <w:pgMar w:top="1304" w:right="1304" w:bottom="1304" w:left="1304"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pPr>
        <w:keepNext w:val="0"/>
        <w:keepLines w:val="0"/>
        <w:pageBreakBefore w:val="0"/>
        <w:widowControl w:val="0"/>
        <w:shd w:val="clear" w:color="auto" w:fill="auto"/>
        <w:kinsoku/>
        <w:wordWrap/>
        <w:overflowPunct/>
        <w:topLinePunct/>
        <w:autoSpaceDE/>
        <w:autoSpaceDN/>
        <w:bidi w:val="0"/>
        <w:adjustRightInd w:val="0"/>
        <w:snapToGrid w:val="0"/>
        <w:spacing w:line="14" w:lineRule="auto"/>
        <w:jc w:val="center"/>
        <w:textAlignment w:val="auto"/>
        <w:outlineLvl w:val="0"/>
        <w:rPr>
          <w:rFonts w:hint="eastAsia" w:ascii="黑体" w:hAnsi="黑体" w:eastAsia="黑体"/>
          <w:snapToGrid w:val="0"/>
          <w:color w:val="auto"/>
          <w:sz w:val="30"/>
          <w:szCs w:val="30"/>
          <w:highlight w:val="none"/>
        </w:rPr>
      </w:pPr>
    </w:p>
    <w:p>
      <w:pPr>
        <w:pStyle w:val="2"/>
        <w:keepLines w:val="0"/>
        <w:pageBreakBefore w:val="0"/>
        <w:kinsoku/>
        <w:wordWrap/>
        <w:bidi w:val="0"/>
        <w:adjustRightInd w:val="0"/>
        <w:snapToGrid w:val="0"/>
        <w:textAlignment w:val="auto"/>
        <w:rPr>
          <w:color w:val="auto"/>
        </w:rPr>
      </w:pPr>
      <w:r>
        <w:rPr>
          <w:rFonts w:hint="eastAsia"/>
          <w:color w:val="auto"/>
        </w:rPr>
        <w:t>三、区域环境质量现状、环境保护目标及评价标准</w:t>
      </w:r>
    </w:p>
    <w:tbl>
      <w:tblPr>
        <w:tblStyle w:val="7"/>
        <w:tblW w:w="93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24"/>
        <w:gridCol w:w="8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41" w:hRule="atLeast"/>
          <w:jc w:val="center"/>
        </w:trPr>
        <w:tc>
          <w:tcPr>
            <w:tcW w:w="62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hint="eastAsia" w:ascii="宋体" w:hAnsi="宋体" w:cs="宋体"/>
                <w:b/>
                <w:bCs/>
                <w:color w:val="auto"/>
                <w:kern w:val="0"/>
                <w:highlight w:val="none"/>
              </w:rPr>
            </w:pPr>
            <w:r>
              <w:rPr>
                <w:rFonts w:hint="eastAsia" w:ascii="宋体" w:hAnsi="宋体" w:cs="宋体"/>
                <w:b/>
                <w:bCs/>
                <w:color w:val="auto"/>
                <w:kern w:val="0"/>
                <w:highlight w:val="none"/>
              </w:rPr>
              <w:t>区域</w:t>
            </w:r>
          </w:p>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hint="eastAsia" w:ascii="宋体" w:hAnsi="宋体" w:cs="宋体"/>
                <w:b/>
                <w:bCs/>
                <w:color w:val="auto"/>
                <w:kern w:val="0"/>
                <w:highlight w:val="none"/>
              </w:rPr>
            </w:pPr>
            <w:r>
              <w:rPr>
                <w:rFonts w:hint="eastAsia" w:ascii="宋体" w:hAnsi="宋体" w:cs="宋体"/>
                <w:b/>
                <w:bCs/>
                <w:color w:val="auto"/>
                <w:kern w:val="0"/>
                <w:highlight w:val="none"/>
              </w:rPr>
              <w:t>环境</w:t>
            </w:r>
          </w:p>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hint="eastAsia" w:ascii="宋体" w:hAnsi="宋体" w:cs="宋体"/>
                <w:b/>
                <w:bCs/>
                <w:color w:val="auto"/>
                <w:kern w:val="0"/>
                <w:highlight w:val="none"/>
              </w:rPr>
            </w:pPr>
            <w:r>
              <w:rPr>
                <w:rFonts w:hint="eastAsia" w:ascii="宋体" w:hAnsi="宋体" w:cs="宋体"/>
                <w:b/>
                <w:bCs/>
                <w:color w:val="auto"/>
                <w:kern w:val="0"/>
                <w:highlight w:val="none"/>
              </w:rPr>
              <w:t>质量</w:t>
            </w:r>
          </w:p>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ascii="宋体" w:hAnsi="宋体" w:cs="宋体"/>
                <w:b/>
                <w:bCs/>
                <w:color w:val="auto"/>
                <w:kern w:val="0"/>
                <w:highlight w:val="none"/>
              </w:rPr>
            </w:pPr>
            <w:r>
              <w:rPr>
                <w:rFonts w:hint="eastAsia" w:ascii="宋体" w:hAnsi="宋体" w:cs="宋体"/>
                <w:b/>
                <w:bCs/>
                <w:color w:val="auto"/>
                <w:kern w:val="0"/>
                <w:highlight w:val="none"/>
              </w:rPr>
              <w:t>现状</w:t>
            </w:r>
          </w:p>
        </w:tc>
        <w:tc>
          <w:tcPr>
            <w:tcW w:w="8731"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1、</w:t>
            </w:r>
            <w:r>
              <w:rPr>
                <w:rFonts w:hint="eastAsia"/>
                <w:color w:val="auto"/>
              </w:rPr>
              <w:t>大气</w:t>
            </w:r>
            <w:r>
              <w:rPr>
                <w:color w:val="auto"/>
              </w:rPr>
              <w:t>环境</w:t>
            </w:r>
          </w:p>
          <w:p>
            <w:pPr>
              <w:pStyle w:val="16"/>
              <w:keepLines w:val="0"/>
              <w:pageBreakBefore w:val="0"/>
              <w:kinsoku/>
              <w:wordWrap/>
              <w:bidi w:val="0"/>
              <w:adjustRightInd w:val="0"/>
              <w:snapToGrid w:val="0"/>
              <w:textAlignment w:val="auto"/>
              <w:rPr>
                <w:color w:val="auto"/>
              </w:rPr>
            </w:pPr>
            <w:r>
              <w:rPr>
                <w:rFonts w:hint="eastAsia"/>
                <w:color w:val="auto"/>
              </w:rPr>
              <w:t>（</w:t>
            </w:r>
            <w:r>
              <w:rPr>
                <w:color w:val="auto"/>
              </w:rPr>
              <w:t>1）项目区域达标判断</w:t>
            </w:r>
          </w:p>
          <w:p>
            <w:pPr>
              <w:pStyle w:val="16"/>
              <w:keepLines w:val="0"/>
              <w:pageBreakBefore w:val="0"/>
              <w:kinsoku/>
              <w:wordWrap/>
              <w:bidi w:val="0"/>
              <w:adjustRightInd w:val="0"/>
              <w:snapToGrid w:val="0"/>
              <w:textAlignment w:val="auto"/>
              <w:rPr>
                <w:color w:val="auto"/>
              </w:rPr>
            </w:pPr>
            <w:r>
              <w:rPr>
                <w:color w:val="auto"/>
              </w:rPr>
              <w:t>依据《环境影响评价技术导则</w:t>
            </w:r>
            <w:r>
              <w:rPr>
                <w:rFonts w:hint="eastAsia"/>
                <w:color w:val="auto"/>
              </w:rPr>
              <w:t>--</w:t>
            </w:r>
            <w:r>
              <w:rPr>
                <w:color w:val="auto"/>
              </w:rPr>
              <w:t>大气环境》</w:t>
            </w:r>
            <w:r>
              <w:rPr>
                <w:rFonts w:hint="eastAsia"/>
                <w:color w:val="auto"/>
              </w:rPr>
              <w:t>（</w:t>
            </w:r>
            <w:r>
              <w:rPr>
                <w:color w:val="auto"/>
              </w:rPr>
              <w:t>HJ2.2-2018），项目所在区域达标情况判定，优先采用国家或地方生态环境主管部门公开发布的评价基准年环境质量公告或环境质量报告中的数据或结论。</w:t>
            </w:r>
          </w:p>
          <w:p>
            <w:pPr>
              <w:pStyle w:val="16"/>
              <w:keepLines w:val="0"/>
              <w:pageBreakBefore w:val="0"/>
              <w:kinsoku/>
              <w:wordWrap/>
              <w:bidi w:val="0"/>
              <w:adjustRightInd w:val="0"/>
              <w:snapToGrid w:val="0"/>
              <w:textAlignment w:val="auto"/>
              <w:rPr>
                <w:color w:val="auto"/>
                <w:highlight w:val="none"/>
              </w:rPr>
            </w:pPr>
            <w:r>
              <w:rPr>
                <w:color w:val="auto"/>
                <w:highlight w:val="none"/>
              </w:rPr>
              <w:t>项目评价基准年为</w:t>
            </w:r>
            <w:r>
              <w:rPr>
                <w:rFonts w:hint="eastAsia"/>
                <w:color w:val="auto"/>
                <w:highlight w:val="none"/>
              </w:rPr>
              <w:t>202</w:t>
            </w:r>
            <w:r>
              <w:rPr>
                <w:rFonts w:hint="eastAsia"/>
                <w:color w:val="auto"/>
                <w:highlight w:val="none"/>
                <w:lang w:val="en-US" w:eastAsia="zh-CN"/>
              </w:rPr>
              <w:t>1</w:t>
            </w:r>
            <w:r>
              <w:rPr>
                <w:rFonts w:hint="eastAsia"/>
                <w:color w:val="auto"/>
                <w:highlight w:val="none"/>
              </w:rPr>
              <w:t>年</w:t>
            </w:r>
            <w:r>
              <w:rPr>
                <w:color w:val="auto"/>
                <w:highlight w:val="none"/>
              </w:rPr>
              <w:t>，根据</w:t>
            </w:r>
            <w:r>
              <w:rPr>
                <w:rFonts w:hint="eastAsia"/>
                <w:color w:val="auto"/>
                <w:highlight w:val="none"/>
              </w:rPr>
              <w:t>蚌埠市生态环境局公布的《</w:t>
            </w:r>
            <w:r>
              <w:rPr>
                <w:rFonts w:hint="eastAsia"/>
                <w:color w:val="auto"/>
                <w:highlight w:val="none"/>
                <w:lang w:eastAsia="zh-CN"/>
              </w:rPr>
              <w:t>蚌埠市2021年生态环境质量概况</w:t>
            </w:r>
            <w:r>
              <w:rPr>
                <w:rFonts w:hint="eastAsia"/>
                <w:color w:val="auto"/>
                <w:highlight w:val="none"/>
              </w:rPr>
              <w:t>》</w:t>
            </w:r>
            <w:r>
              <w:rPr>
                <w:color w:val="auto"/>
                <w:highlight w:val="none"/>
              </w:rPr>
              <w:t>可知：蚌埠市</w:t>
            </w:r>
            <w:r>
              <w:rPr>
                <w:rFonts w:hint="eastAsia"/>
                <w:color w:val="auto"/>
                <w:highlight w:val="none"/>
              </w:rPr>
              <w:t>202</w:t>
            </w:r>
            <w:r>
              <w:rPr>
                <w:rFonts w:hint="eastAsia"/>
                <w:color w:val="auto"/>
                <w:highlight w:val="none"/>
                <w:lang w:val="en-US" w:eastAsia="zh-CN"/>
              </w:rPr>
              <w:t>1</w:t>
            </w:r>
            <w:r>
              <w:rPr>
                <w:rFonts w:hint="eastAsia"/>
                <w:color w:val="auto"/>
                <w:highlight w:val="none"/>
              </w:rPr>
              <w:t>年</w:t>
            </w: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年平均浓度分别为1</w:t>
            </w:r>
            <w:r>
              <w:rPr>
                <w:rFonts w:hint="eastAsia"/>
                <w:color w:val="auto"/>
                <w:highlight w:val="none"/>
                <w:lang w:val="en-US" w:eastAsia="zh-CN"/>
              </w:rPr>
              <w:t>1</w:t>
            </w:r>
            <w:r>
              <w:rPr>
                <w:color w:val="auto"/>
                <w:highlight w:val="none"/>
              </w:rPr>
              <w:t>μg/m³、</w:t>
            </w:r>
            <w:r>
              <w:rPr>
                <w:rFonts w:hint="eastAsia"/>
                <w:color w:val="auto"/>
                <w:highlight w:val="none"/>
                <w:lang w:val="en-US" w:eastAsia="zh-CN"/>
              </w:rPr>
              <w:t>27</w:t>
            </w:r>
            <w:r>
              <w:rPr>
                <w:color w:val="auto"/>
                <w:highlight w:val="none"/>
              </w:rPr>
              <w:t>μg/m³；PM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年平均浓度分别为</w:t>
            </w:r>
            <w:r>
              <w:rPr>
                <w:rFonts w:hint="eastAsia"/>
                <w:color w:val="auto"/>
                <w:highlight w:val="none"/>
                <w:lang w:val="en-US" w:eastAsia="zh-CN"/>
              </w:rPr>
              <w:t>68</w:t>
            </w:r>
            <w:r>
              <w:rPr>
                <w:color w:val="auto"/>
                <w:highlight w:val="none"/>
              </w:rPr>
              <w:t>μg/m³、</w:t>
            </w:r>
            <w:r>
              <w:rPr>
                <w:rFonts w:hint="eastAsia"/>
                <w:color w:val="auto"/>
                <w:highlight w:val="none"/>
                <w:lang w:val="en-US" w:eastAsia="zh-CN"/>
              </w:rPr>
              <w:t>37</w:t>
            </w:r>
            <w:r>
              <w:rPr>
                <w:color w:val="auto"/>
                <w:highlight w:val="none"/>
              </w:rPr>
              <w:t>μg/m³；CO日均值第95百分位数为</w:t>
            </w:r>
            <w:r>
              <w:rPr>
                <w:rFonts w:hint="eastAsia"/>
                <w:color w:val="auto"/>
                <w:highlight w:val="none"/>
                <w:lang w:val="en-US" w:eastAsia="zh-CN"/>
              </w:rPr>
              <w:t>8</w:t>
            </w:r>
            <w:r>
              <w:rPr>
                <w:rFonts w:hint="eastAsia"/>
                <w:color w:val="auto"/>
                <w:highlight w:val="none"/>
              </w:rPr>
              <w:t>00</w:t>
            </w:r>
            <w:r>
              <w:rPr>
                <w:color w:val="auto"/>
                <w:highlight w:val="none"/>
              </w:rPr>
              <w:t>μg/m³，O</w:t>
            </w:r>
            <w:r>
              <w:rPr>
                <w:color w:val="auto"/>
                <w:highlight w:val="none"/>
                <w:vertAlign w:val="subscript"/>
              </w:rPr>
              <w:t>3</w:t>
            </w:r>
            <w:r>
              <w:rPr>
                <w:color w:val="auto"/>
                <w:highlight w:val="none"/>
              </w:rPr>
              <w:t>日最大8h平均值第90百分位数为1</w:t>
            </w:r>
            <w:r>
              <w:rPr>
                <w:rFonts w:hint="eastAsia"/>
                <w:color w:val="auto"/>
                <w:highlight w:val="none"/>
                <w:lang w:val="en-US" w:eastAsia="zh-CN"/>
              </w:rPr>
              <w:t>55</w:t>
            </w:r>
            <w:r>
              <w:rPr>
                <w:color w:val="auto"/>
                <w:highlight w:val="none"/>
              </w:rPr>
              <w:t>μg/m³；超过《环境空气质量标准》</w:t>
            </w:r>
            <w:r>
              <w:rPr>
                <w:rFonts w:hint="eastAsia"/>
                <w:color w:val="auto"/>
                <w:highlight w:val="none"/>
              </w:rPr>
              <w:t>（</w:t>
            </w:r>
            <w:r>
              <w:rPr>
                <w:color w:val="auto"/>
                <w:highlight w:val="none"/>
              </w:rPr>
              <w:t>GB 3095-2012）</w:t>
            </w:r>
            <w:r>
              <w:rPr>
                <w:rFonts w:hint="eastAsia"/>
                <w:color w:val="auto"/>
                <w:highlight w:val="none"/>
                <w:lang w:eastAsia="zh-CN"/>
              </w:rPr>
              <w:t>中</w:t>
            </w:r>
            <w:r>
              <w:rPr>
                <w:color w:val="auto"/>
                <w:highlight w:val="none"/>
              </w:rPr>
              <w:t>二级标准要求的污染物为PM</w:t>
            </w:r>
            <w:r>
              <w:rPr>
                <w:color w:val="auto"/>
                <w:highlight w:val="none"/>
                <w:vertAlign w:val="subscript"/>
              </w:rPr>
              <w:t>2.5</w:t>
            </w:r>
            <w:r>
              <w:rPr>
                <w:color w:val="auto"/>
                <w:highlight w:val="none"/>
              </w:rPr>
              <w:t>。</w:t>
            </w:r>
          </w:p>
          <w:p>
            <w:pPr>
              <w:pStyle w:val="16"/>
              <w:keepLines w:val="0"/>
              <w:pageBreakBefore w:val="0"/>
              <w:kinsoku/>
              <w:wordWrap/>
              <w:bidi w:val="0"/>
              <w:adjustRightInd w:val="0"/>
              <w:snapToGrid w:val="0"/>
              <w:textAlignment w:val="auto"/>
              <w:rPr>
                <w:color w:val="auto"/>
              </w:rPr>
            </w:pPr>
            <w:r>
              <w:rPr>
                <w:color w:val="auto"/>
              </w:rPr>
              <w:t>因此，项目区域为环境空气质量不达标区。</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rPr>
              <w:t>（</w:t>
            </w:r>
            <w:r>
              <w:rPr>
                <w:color w:val="auto"/>
              </w:rPr>
              <w:t>2）</w:t>
            </w:r>
            <w:r>
              <w:rPr>
                <w:rFonts w:hint="eastAsia"/>
                <w:color w:val="auto"/>
                <w:lang w:eastAsia="zh-CN"/>
              </w:rPr>
              <w:t>基本污染物</w:t>
            </w:r>
          </w:p>
          <w:p>
            <w:pPr>
              <w:pStyle w:val="16"/>
              <w:keepLines w:val="0"/>
              <w:pageBreakBefore w:val="0"/>
              <w:kinsoku/>
              <w:wordWrap/>
              <w:bidi w:val="0"/>
              <w:adjustRightInd w:val="0"/>
              <w:snapToGrid w:val="0"/>
              <w:textAlignment w:val="auto"/>
              <w:rPr>
                <w:color w:val="auto"/>
              </w:rPr>
            </w:pPr>
            <w:r>
              <w:rPr>
                <w:color w:val="auto"/>
              </w:rPr>
              <w:t>本次环境空气质量</w:t>
            </w:r>
            <w:r>
              <w:rPr>
                <w:rFonts w:hint="eastAsia"/>
                <w:color w:val="auto"/>
                <w:lang w:eastAsia="zh-CN"/>
              </w:rPr>
              <w:t>基本污染物</w:t>
            </w:r>
            <w:r>
              <w:rPr>
                <w:color w:val="auto"/>
              </w:rPr>
              <w:t>现状评价引用蚌埠市生态环境局公布的《</w:t>
            </w:r>
            <w:r>
              <w:rPr>
                <w:rFonts w:hint="eastAsia"/>
                <w:color w:val="auto"/>
                <w:lang w:eastAsia="zh-CN"/>
              </w:rPr>
              <w:t>蚌埠市2021年生态环境质量概况</w:t>
            </w:r>
            <w:r>
              <w:rPr>
                <w:color w:val="auto"/>
              </w:rPr>
              <w:t>》</w:t>
            </w:r>
            <w:r>
              <w:rPr>
                <w:rFonts w:hint="eastAsia"/>
                <w:color w:val="auto"/>
              </w:rPr>
              <w:t>中的</w:t>
            </w:r>
            <w:r>
              <w:rPr>
                <w:color w:val="auto"/>
              </w:rPr>
              <w:t>数据，统计分析结果见下表。</w:t>
            </w:r>
          </w:p>
          <w:p>
            <w:pPr>
              <w:pStyle w:val="11"/>
              <w:keepLines w:val="0"/>
              <w:pageBreakBefore w:val="0"/>
              <w:kinsoku/>
              <w:wordWrap/>
              <w:bidi w:val="0"/>
              <w:adjustRightInd w:val="0"/>
              <w:snapToGrid w:val="0"/>
              <w:textAlignment w:val="auto"/>
              <w:rPr>
                <w:rFonts w:hint="eastAsia"/>
                <w:color w:val="auto"/>
                <w:lang w:eastAsia="zh-CN"/>
              </w:rPr>
            </w:pPr>
            <w:r>
              <w:rPr>
                <w:rFonts w:hint="eastAsia"/>
                <w:color w:val="auto"/>
              </w:rPr>
              <w:t>表3-1 蚌埠市2021年生态环境质量概况</w:t>
            </w:r>
            <w:r>
              <w:rPr>
                <w:rFonts w:hint="eastAsia"/>
                <w:color w:val="auto"/>
                <w:lang w:eastAsia="zh-CN"/>
              </w:rPr>
              <w:t>（</w:t>
            </w:r>
            <w:r>
              <w:rPr>
                <w:rFonts w:hint="eastAsia"/>
                <w:color w:val="auto"/>
                <w:lang w:val="en-US" w:eastAsia="zh-CN"/>
              </w:rPr>
              <w:t>单位：</w:t>
            </w:r>
            <w:r>
              <w:rPr>
                <w:rFonts w:hint="default"/>
                <w:color w:val="auto"/>
                <w:sz w:val="21"/>
                <w:szCs w:val="21"/>
              </w:rPr>
              <w:t>μg/m³</w:t>
            </w:r>
            <w:r>
              <w:rPr>
                <w:rFonts w:hint="eastAsia"/>
                <w:color w:val="auto"/>
                <w:lang w:eastAsia="zh-CN"/>
              </w:rPr>
              <w:t>）</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3005"/>
              <w:gridCol w:w="907"/>
              <w:gridCol w:w="1020"/>
              <w:gridCol w:w="1191"/>
              <w:gridCol w:w="964"/>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850"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污染物</w:t>
                  </w:r>
                </w:p>
              </w:tc>
              <w:tc>
                <w:tcPr>
                  <w:tcW w:w="3005"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评价指标</w:t>
                  </w:r>
                </w:p>
              </w:tc>
              <w:tc>
                <w:tcPr>
                  <w:tcW w:w="907"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标准值</w:t>
                  </w:r>
                </w:p>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color w:val="auto"/>
                      <w:sz w:val="21"/>
                      <w:szCs w:val="21"/>
                    </w:rPr>
                    <w:t>（</w:t>
                  </w:r>
                  <w:r>
                    <w:rPr>
                      <w:rFonts w:hint="default"/>
                      <w:color w:val="auto"/>
                      <w:sz w:val="21"/>
                      <w:szCs w:val="21"/>
                    </w:rPr>
                    <w:t>μg/m³）</w:t>
                  </w:r>
                </w:p>
              </w:tc>
              <w:tc>
                <w:tcPr>
                  <w:tcW w:w="1020"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现状浓度</w:t>
                  </w:r>
                </w:p>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color w:val="auto"/>
                      <w:sz w:val="21"/>
                      <w:szCs w:val="21"/>
                    </w:rPr>
                    <w:t>（</w:t>
                  </w:r>
                  <w:r>
                    <w:rPr>
                      <w:rFonts w:hint="default"/>
                      <w:color w:val="auto"/>
                      <w:sz w:val="21"/>
                      <w:szCs w:val="21"/>
                    </w:rPr>
                    <w:t>μg/m³）</w:t>
                  </w:r>
                </w:p>
              </w:tc>
              <w:tc>
                <w:tcPr>
                  <w:tcW w:w="1191"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最大浓度占标率</w:t>
                  </w:r>
                  <w:r>
                    <w:rPr>
                      <w:color w:val="auto"/>
                      <w:sz w:val="21"/>
                      <w:szCs w:val="21"/>
                    </w:rPr>
                    <w:t>（</w:t>
                  </w:r>
                  <w:r>
                    <w:rPr>
                      <w:rFonts w:hint="default"/>
                      <w:color w:val="auto"/>
                      <w:sz w:val="21"/>
                      <w:szCs w:val="21"/>
                    </w:rPr>
                    <w:t>%）</w:t>
                  </w:r>
                </w:p>
              </w:tc>
              <w:tc>
                <w:tcPr>
                  <w:tcW w:w="964"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超标频率</w:t>
                  </w:r>
                  <w:r>
                    <w:rPr>
                      <w:color w:val="auto"/>
                      <w:sz w:val="21"/>
                      <w:szCs w:val="21"/>
                    </w:rPr>
                    <w:t>（</w:t>
                  </w:r>
                  <w:r>
                    <w:rPr>
                      <w:rFonts w:hint="default"/>
                      <w:color w:val="auto"/>
                      <w:sz w:val="21"/>
                      <w:szCs w:val="21"/>
                    </w:rPr>
                    <w:t>%）</w:t>
                  </w:r>
                </w:p>
              </w:tc>
              <w:tc>
                <w:tcPr>
                  <w:tcW w:w="680" w:type="dxa"/>
                  <w:noWrap w:val="0"/>
                  <w:vAlign w:val="center"/>
                </w:tcPr>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达标</w:t>
                  </w:r>
                </w:p>
                <w:p>
                  <w:pPr>
                    <w:pStyle w:val="15"/>
                    <w:keepNext w:val="0"/>
                    <w:keepLines w:val="0"/>
                    <w:pageBreakBefore w:val="0"/>
                    <w:kinsoku/>
                    <w:wordWrap/>
                    <w:overflowPunct/>
                    <w:topLinePunct/>
                    <w:autoSpaceDE w:val="0"/>
                    <w:autoSpaceDN/>
                    <w:bidi w:val="0"/>
                    <w:adjustRightInd w:val="0"/>
                    <w:snapToGrid w:val="0"/>
                    <w:textAlignment w:val="auto"/>
                    <w:rPr>
                      <w:rFonts w:hint="default"/>
                      <w:color w:val="auto"/>
                      <w:sz w:val="21"/>
                      <w:szCs w:val="21"/>
                    </w:rPr>
                  </w:pPr>
                  <w:r>
                    <w:rPr>
                      <w:rFonts w:hint="default"/>
                      <w:color w:val="auto"/>
                      <w:sz w:val="21"/>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3005"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年平均浓度</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60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11</w:t>
                  </w:r>
                </w:p>
              </w:tc>
              <w:tc>
                <w:tcPr>
                  <w:tcW w:w="119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18.3</w:t>
                  </w:r>
                </w:p>
              </w:tc>
              <w:tc>
                <w:tcPr>
                  <w:tcW w:w="964" w:type="dxa"/>
                  <w:noWrap w:val="0"/>
                  <w:vAlign w:val="center"/>
                </w:tcPr>
                <w:p>
                  <w:pPr>
                    <w:pStyle w:val="13"/>
                    <w:keepLines w:val="0"/>
                    <w:pageBreakBefore w:val="0"/>
                    <w:kinsoku/>
                    <w:wordWrap/>
                    <w:bidi w:val="0"/>
                    <w:adjustRightInd w:val="0"/>
                    <w:snapToGrid w:val="0"/>
                    <w:textAlignment w:val="auto"/>
                    <w:rPr>
                      <w:color w:val="auto"/>
                    </w:rPr>
                  </w:pPr>
                  <w:r>
                    <w:rPr>
                      <w:color w:val="auto"/>
                    </w:rPr>
                    <w:t>/</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3005"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年平均浓度</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40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27</w:t>
                  </w:r>
                </w:p>
              </w:tc>
              <w:tc>
                <w:tcPr>
                  <w:tcW w:w="119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67.5</w:t>
                  </w:r>
                </w:p>
              </w:tc>
              <w:tc>
                <w:tcPr>
                  <w:tcW w:w="964" w:type="dxa"/>
                  <w:noWrap w:val="0"/>
                  <w:vAlign w:val="center"/>
                </w:tcPr>
                <w:p>
                  <w:pPr>
                    <w:pStyle w:val="13"/>
                    <w:keepLines w:val="0"/>
                    <w:pageBreakBefore w:val="0"/>
                    <w:kinsoku/>
                    <w:wordWrap/>
                    <w:bidi w:val="0"/>
                    <w:adjustRightInd w:val="0"/>
                    <w:snapToGrid w:val="0"/>
                    <w:textAlignment w:val="auto"/>
                    <w:rPr>
                      <w:color w:val="auto"/>
                    </w:rPr>
                  </w:pPr>
                  <w:r>
                    <w:rPr>
                      <w:color w:val="auto"/>
                    </w:rPr>
                    <w:t>/</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highlight w:val="none"/>
                    </w:rPr>
                  </w:pPr>
                  <w:r>
                    <w:rPr>
                      <w:color w:val="auto"/>
                      <w:sz w:val="21"/>
                      <w:szCs w:val="21"/>
                      <w:highlight w:val="none"/>
                    </w:rPr>
                    <w:t>PM</w:t>
                  </w:r>
                  <w:r>
                    <w:rPr>
                      <w:color w:val="auto"/>
                      <w:sz w:val="21"/>
                      <w:szCs w:val="21"/>
                      <w:highlight w:val="none"/>
                      <w:vertAlign w:val="subscript"/>
                    </w:rPr>
                    <w:t>10</w:t>
                  </w:r>
                </w:p>
              </w:tc>
              <w:tc>
                <w:tcPr>
                  <w:tcW w:w="3005"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年平均浓度</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70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68</w:t>
                  </w:r>
                </w:p>
              </w:tc>
              <w:tc>
                <w:tcPr>
                  <w:tcW w:w="119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97.1</w:t>
                  </w:r>
                </w:p>
              </w:tc>
              <w:tc>
                <w:tcPr>
                  <w:tcW w:w="964"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highlight w:val="none"/>
                    </w:rPr>
                  </w:pPr>
                  <w:r>
                    <w:rPr>
                      <w:color w:val="auto"/>
                      <w:sz w:val="21"/>
                      <w:szCs w:val="21"/>
                      <w:highlight w:val="none"/>
                    </w:rPr>
                    <w:t>PM</w:t>
                  </w:r>
                  <w:r>
                    <w:rPr>
                      <w:color w:val="auto"/>
                      <w:sz w:val="21"/>
                      <w:szCs w:val="21"/>
                      <w:highlight w:val="none"/>
                      <w:vertAlign w:val="subscript"/>
                    </w:rPr>
                    <w:t>2.5</w:t>
                  </w:r>
                </w:p>
              </w:tc>
              <w:tc>
                <w:tcPr>
                  <w:tcW w:w="3005"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年平均浓度</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35</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37</w:t>
                  </w:r>
                </w:p>
              </w:tc>
              <w:tc>
                <w:tcPr>
                  <w:tcW w:w="119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105.7</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5.7</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CO</w:t>
                  </w:r>
                </w:p>
              </w:tc>
              <w:tc>
                <w:tcPr>
                  <w:tcW w:w="3005"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日均值第95百分位数</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4</w:t>
                  </w:r>
                  <w:r>
                    <w:rPr>
                      <w:rFonts w:hint="eastAsia"/>
                      <w:color w:val="auto"/>
                    </w:rPr>
                    <w:t>000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800</w:t>
                  </w:r>
                </w:p>
              </w:tc>
              <w:tc>
                <w:tcPr>
                  <w:tcW w:w="119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20.0</w:t>
                  </w:r>
                </w:p>
              </w:tc>
              <w:tc>
                <w:tcPr>
                  <w:tcW w:w="964" w:type="dxa"/>
                  <w:noWrap w:val="0"/>
                  <w:vAlign w:val="center"/>
                </w:tcPr>
                <w:p>
                  <w:pPr>
                    <w:pStyle w:val="13"/>
                    <w:keepLines w:val="0"/>
                    <w:pageBreakBefore w:val="0"/>
                    <w:kinsoku/>
                    <w:wordWrap/>
                    <w:bidi w:val="0"/>
                    <w:adjustRightInd w:val="0"/>
                    <w:snapToGrid w:val="0"/>
                    <w:textAlignment w:val="auto"/>
                    <w:rPr>
                      <w:color w:val="auto"/>
                    </w:rPr>
                  </w:pPr>
                  <w:r>
                    <w:rPr>
                      <w:color w:val="auto"/>
                    </w:rPr>
                    <w:t>/</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highlight w:val="none"/>
                    </w:rPr>
                  </w:pPr>
                  <w:r>
                    <w:rPr>
                      <w:color w:val="auto"/>
                      <w:sz w:val="21"/>
                      <w:szCs w:val="21"/>
                      <w:highlight w:val="none"/>
                    </w:rPr>
                    <w:t>O</w:t>
                  </w:r>
                  <w:r>
                    <w:rPr>
                      <w:color w:val="auto"/>
                      <w:sz w:val="21"/>
                      <w:szCs w:val="21"/>
                      <w:highlight w:val="none"/>
                      <w:vertAlign w:val="subscript"/>
                    </w:rPr>
                    <w:t>3</w:t>
                  </w:r>
                </w:p>
              </w:tc>
              <w:tc>
                <w:tcPr>
                  <w:tcW w:w="3005" w:type="dxa"/>
                  <w:noWrap w:val="0"/>
                  <w:vAlign w:val="center"/>
                </w:tcPr>
                <w:p>
                  <w:pPr>
                    <w:pStyle w:val="13"/>
                    <w:keepNext w:val="0"/>
                    <w:keepLines w:val="0"/>
                    <w:pageBreakBefore w:val="0"/>
                    <w:kinsoku/>
                    <w:wordWrap/>
                    <w:overflowPunct/>
                    <w:topLinePunct/>
                    <w:autoSpaceDE w:val="0"/>
                    <w:autoSpaceDN/>
                    <w:bidi w:val="0"/>
                    <w:adjustRightInd w:val="0"/>
                    <w:snapToGrid w:val="0"/>
                    <w:textAlignment w:val="auto"/>
                    <w:rPr>
                      <w:color w:val="auto"/>
                      <w:sz w:val="21"/>
                      <w:szCs w:val="21"/>
                    </w:rPr>
                  </w:pPr>
                  <w:r>
                    <w:rPr>
                      <w:color w:val="auto"/>
                      <w:sz w:val="21"/>
                      <w:szCs w:val="21"/>
                    </w:rPr>
                    <w:t>日最大8h平均值第90百分位数</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160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155</w:t>
                  </w:r>
                </w:p>
              </w:tc>
              <w:tc>
                <w:tcPr>
                  <w:tcW w:w="119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96.9</w:t>
                  </w:r>
                </w:p>
              </w:tc>
              <w:tc>
                <w:tcPr>
                  <w:tcW w:w="964" w:type="dxa"/>
                  <w:noWrap w:val="0"/>
                  <w:vAlign w:val="center"/>
                </w:tcPr>
                <w:p>
                  <w:pPr>
                    <w:pStyle w:val="13"/>
                    <w:keepLines w:val="0"/>
                    <w:pageBreakBefore w:val="0"/>
                    <w:kinsoku/>
                    <w:wordWrap/>
                    <w:bidi w:val="0"/>
                    <w:adjustRightInd w:val="0"/>
                    <w:snapToGrid w:val="0"/>
                    <w:textAlignment w:val="auto"/>
                    <w:rPr>
                      <w:color w:val="auto"/>
                    </w:rPr>
                  </w:pPr>
                  <w:r>
                    <w:rPr>
                      <w:color w:val="auto"/>
                    </w:rPr>
                    <w:t>/</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达标</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根据上表可知，2021年蚌埠市环境空气</w:t>
            </w:r>
            <w:r>
              <w:rPr>
                <w:rFonts w:hint="eastAsia"/>
                <w:color w:val="auto"/>
                <w:lang w:eastAsia="zh-CN"/>
              </w:rPr>
              <w:t>基本污染物</w:t>
            </w:r>
            <w:r>
              <w:rPr>
                <w:rFonts w:hint="eastAsia"/>
                <w:color w:val="auto"/>
              </w:rPr>
              <w:t>中SO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、CO、O</w:t>
            </w:r>
            <w:r>
              <w:rPr>
                <w:rFonts w:hint="eastAsia"/>
                <w:color w:val="auto"/>
                <w:vertAlign w:val="subscript"/>
              </w:rPr>
              <w:t>3</w:t>
            </w:r>
            <w:r>
              <w:rPr>
                <w:rFonts w:hint="eastAsia"/>
                <w:color w:val="auto"/>
              </w:rPr>
              <w:t>、PM</w:t>
            </w:r>
            <w:r>
              <w:rPr>
                <w:rFonts w:hint="eastAsia"/>
                <w:color w:val="auto"/>
                <w:vertAlign w:val="subscript"/>
              </w:rPr>
              <w:t>10</w:t>
            </w:r>
            <w:r>
              <w:rPr>
                <w:rFonts w:hint="eastAsia"/>
                <w:color w:val="auto"/>
              </w:rPr>
              <w:t>均满足《环境空气质量标准》（GB 3095-2012）中二级标准要求；PM</w:t>
            </w:r>
            <w:r>
              <w:rPr>
                <w:rFonts w:hint="eastAsia"/>
                <w:color w:val="auto"/>
                <w:vertAlign w:val="subscript"/>
              </w:rPr>
              <w:t>2.5</w:t>
            </w:r>
            <w:r>
              <w:rPr>
                <w:rFonts w:hint="eastAsia"/>
                <w:color w:val="auto"/>
              </w:rPr>
              <w:t>超出《环境空气质量标准》（GB 3095-2012）中二级标准要求，PM</w:t>
            </w:r>
            <w:r>
              <w:rPr>
                <w:rFonts w:hint="eastAsia"/>
                <w:color w:val="auto"/>
                <w:vertAlign w:val="subscript"/>
              </w:rPr>
              <w:t>2.5</w:t>
            </w:r>
            <w:r>
              <w:rPr>
                <w:rFonts w:hint="eastAsia"/>
                <w:color w:val="auto"/>
              </w:rPr>
              <w:t>年平均浓度最大超标倍数为0.057。</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rPr>
              <w:t>蚌埠市人民政府以蚌政秘〔2021〕10号文下发了“蚌埠市人民政府关于印发《蚌埠市环境空气质量达标规划（2019-2030年）》的通知”，通过积极落实相关大气污染防治工作，预计区域环境空气质量将会进一步好转。</w:t>
            </w:r>
          </w:p>
          <w:p>
            <w:pPr>
              <w:pStyle w:val="16"/>
              <w:keepLines w:val="0"/>
              <w:pageBreakBefore w:val="0"/>
              <w:kinsoku/>
              <w:wordWrap/>
              <w:bidi w:val="0"/>
              <w:adjustRightInd w:val="0"/>
              <w:snapToGrid w:val="0"/>
              <w:textAlignment w:val="auto"/>
              <w:rPr>
                <w:rFonts w:hint="eastAsia"/>
                <w:color w:val="auto"/>
              </w:rPr>
            </w:pPr>
            <w:r>
              <w:rPr>
                <w:rFonts w:hint="eastAsia"/>
                <w:color w:val="auto"/>
              </w:rPr>
              <w:t>（3）特征污染物</w:t>
            </w:r>
          </w:p>
          <w:p>
            <w:pPr>
              <w:pStyle w:val="16"/>
              <w:bidi w:val="0"/>
              <w:rPr>
                <w:rFonts w:hint="eastAsia"/>
                <w:color w:val="auto"/>
              </w:rPr>
            </w:pPr>
            <w:r>
              <w:rPr>
                <w:color w:val="auto"/>
              </w:rPr>
              <w:t>本次项目区域</w:t>
            </w:r>
            <w:r>
              <w:rPr>
                <w:rFonts w:hint="eastAsia"/>
                <w:color w:val="auto"/>
                <w:lang w:val="en-US" w:eastAsia="zh-CN"/>
              </w:rPr>
              <w:t>TSP</w:t>
            </w:r>
            <w:r>
              <w:rPr>
                <w:rFonts w:hint="eastAsia"/>
                <w:color w:val="auto"/>
                <w:lang w:eastAsia="zh-CN"/>
              </w:rPr>
              <w:t>、</w:t>
            </w:r>
            <w:r>
              <w:rPr>
                <w:rFonts w:hint="eastAsia"/>
                <w:color w:val="auto"/>
                <w:lang w:val="en-US" w:eastAsia="zh-CN"/>
              </w:rPr>
              <w:t>非甲烷总烃</w:t>
            </w:r>
            <w:r>
              <w:rPr>
                <w:color w:val="auto"/>
              </w:rPr>
              <w:t>评价引用《</w:t>
            </w:r>
            <w:r>
              <w:rPr>
                <w:rFonts w:hint="eastAsia"/>
                <w:color w:val="auto"/>
                <w:lang w:eastAsia="zh-CN"/>
              </w:rPr>
              <w:t>安徽怀远经济开发区环境影响区域评估报告》</w:t>
            </w:r>
            <w:r>
              <w:rPr>
                <w:color w:val="auto"/>
              </w:rPr>
              <w:t>中</w:t>
            </w:r>
            <w:r>
              <w:rPr>
                <w:rFonts w:hint="eastAsia"/>
                <w:color w:val="auto"/>
                <w:lang w:val="en-US" w:eastAsia="zh-CN"/>
              </w:rPr>
              <w:t>G9魏岗村</w:t>
            </w:r>
            <w:r>
              <w:rPr>
                <w:rFonts w:hint="eastAsia"/>
                <w:color w:val="auto"/>
              </w:rPr>
              <w:t>的</w:t>
            </w:r>
            <w:r>
              <w:rPr>
                <w:color w:val="auto"/>
              </w:rPr>
              <w:t>监测数据，监测时间为</w:t>
            </w:r>
            <w:r>
              <w:rPr>
                <w:rFonts w:hint="eastAsia"/>
                <w:color w:val="auto"/>
                <w:lang w:eastAsia="zh-CN"/>
              </w:rPr>
              <w:t>2020年10月10日至2020年10月16日</w:t>
            </w:r>
            <w:r>
              <w:rPr>
                <w:color w:val="auto"/>
              </w:rPr>
              <w:t>。项目距离</w:t>
            </w:r>
            <w:r>
              <w:rPr>
                <w:rFonts w:hint="eastAsia"/>
                <w:color w:val="auto"/>
                <w:lang w:val="en-US" w:eastAsia="zh-CN"/>
              </w:rPr>
              <w:t>G9魏岗村</w:t>
            </w:r>
            <w:r>
              <w:rPr>
                <w:color w:val="auto"/>
              </w:rPr>
              <w:t>约为</w:t>
            </w:r>
            <w:r>
              <w:rPr>
                <w:rFonts w:hint="eastAsia"/>
                <w:color w:val="auto"/>
                <w:lang w:val="en-US" w:eastAsia="zh-CN"/>
              </w:rPr>
              <w:t>560</w:t>
            </w:r>
            <w:r>
              <w:rPr>
                <w:color w:val="auto"/>
              </w:rPr>
              <w:t>m，满足引用数据时效性和有效性要求</w:t>
            </w:r>
            <w:r>
              <w:rPr>
                <w:rFonts w:hint="eastAsia"/>
                <w:color w:val="auto"/>
                <w:lang w:eastAsia="zh-CN"/>
              </w:rPr>
              <w:t>（建设项目周边5千米范围内近3年</w:t>
            </w:r>
            <w:r>
              <w:rPr>
                <w:rFonts w:hint="eastAsia"/>
                <w:color w:val="auto"/>
                <w:lang w:val="en-US" w:eastAsia="zh-CN"/>
              </w:rPr>
              <w:t>的现有监测数据</w:t>
            </w:r>
            <w:r>
              <w:rPr>
                <w:rFonts w:hint="eastAsia"/>
                <w:color w:val="auto"/>
                <w:lang w:eastAsia="zh-CN"/>
              </w:rPr>
              <w:t>）</w:t>
            </w:r>
            <w:r>
              <w:rPr>
                <w:color w:val="auto"/>
              </w:rPr>
              <w:t>。</w:t>
            </w:r>
            <w:r>
              <w:rPr>
                <w:rFonts w:hint="eastAsia"/>
                <w:color w:val="auto"/>
              </w:rPr>
              <w:t>具体内容</w:t>
            </w:r>
            <w:r>
              <w:rPr>
                <w:color w:val="auto"/>
              </w:rPr>
              <w:t>见下表。</w:t>
            </w:r>
          </w:p>
          <w:p>
            <w:pPr>
              <w:pStyle w:val="11"/>
              <w:keepLines w:val="0"/>
              <w:pageBreakBefore w:val="0"/>
              <w:kinsoku/>
              <w:wordWrap/>
              <w:bidi w:val="0"/>
              <w:adjustRightInd w:val="0"/>
              <w:snapToGrid w:val="0"/>
              <w:textAlignment w:val="auto"/>
              <w:rPr>
                <w:color w:val="auto"/>
              </w:rPr>
            </w:pPr>
            <w:r>
              <w:rPr>
                <w:color w:val="auto"/>
              </w:rPr>
              <w:t>表3-2</w:t>
            </w:r>
            <w:r>
              <w:rPr>
                <w:rFonts w:hint="eastAsia"/>
                <w:color w:val="auto"/>
              </w:rPr>
              <w:t xml:space="preserve"> 特征污染物</w:t>
            </w:r>
            <w:r>
              <w:rPr>
                <w:color w:val="auto"/>
              </w:rPr>
              <w:t>补充监测点位基本信息</w:t>
            </w:r>
          </w:p>
          <w:tbl>
            <w:tblPr>
              <w:tblStyle w:val="7"/>
              <w:tblW w:w="85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7"/>
              <w:gridCol w:w="1361"/>
              <w:gridCol w:w="1304"/>
              <w:gridCol w:w="2098"/>
              <w:gridCol w:w="1531"/>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37" w:type="dxa"/>
                  <w:noWrap w:val="0"/>
                  <w:vAlign w:val="center"/>
                </w:tcPr>
                <w:p>
                  <w:pPr>
                    <w:pStyle w:val="15"/>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编号</w:t>
                  </w:r>
                </w:p>
              </w:tc>
              <w:tc>
                <w:tcPr>
                  <w:tcW w:w="1361" w:type="dxa"/>
                  <w:noWrap w:val="0"/>
                  <w:vAlign w:val="center"/>
                </w:tcPr>
                <w:p>
                  <w:pPr>
                    <w:pStyle w:val="15"/>
                    <w:keepLines w:val="0"/>
                    <w:pageBreakBefore w:val="0"/>
                    <w:kinsoku/>
                    <w:wordWrap/>
                    <w:bidi w:val="0"/>
                    <w:adjustRightInd w:val="0"/>
                    <w:snapToGrid w:val="0"/>
                    <w:textAlignment w:val="auto"/>
                    <w:rPr>
                      <w:color w:val="auto"/>
                    </w:rPr>
                  </w:pPr>
                  <w:r>
                    <w:rPr>
                      <w:color w:val="auto"/>
                    </w:rPr>
                    <w:t>监测点名称</w:t>
                  </w:r>
                </w:p>
              </w:tc>
              <w:tc>
                <w:tcPr>
                  <w:tcW w:w="1304" w:type="dxa"/>
                  <w:noWrap w:val="0"/>
                  <w:vAlign w:val="center"/>
                </w:tcPr>
                <w:p>
                  <w:pPr>
                    <w:pStyle w:val="15"/>
                    <w:keepLines w:val="0"/>
                    <w:pageBreakBefore w:val="0"/>
                    <w:kinsoku/>
                    <w:wordWrap/>
                    <w:bidi w:val="0"/>
                    <w:adjustRightInd w:val="0"/>
                    <w:snapToGrid w:val="0"/>
                    <w:textAlignment w:val="auto"/>
                    <w:rPr>
                      <w:color w:val="auto"/>
                    </w:rPr>
                  </w:pPr>
                  <w:r>
                    <w:rPr>
                      <w:color w:val="auto"/>
                    </w:rPr>
                    <w:t>监测因子</w:t>
                  </w:r>
                </w:p>
              </w:tc>
              <w:tc>
                <w:tcPr>
                  <w:tcW w:w="2098" w:type="dxa"/>
                  <w:noWrap w:val="0"/>
                  <w:vAlign w:val="center"/>
                </w:tcPr>
                <w:p>
                  <w:pPr>
                    <w:pStyle w:val="15"/>
                    <w:keepLines w:val="0"/>
                    <w:pageBreakBefore w:val="0"/>
                    <w:kinsoku/>
                    <w:wordWrap/>
                    <w:bidi w:val="0"/>
                    <w:adjustRightInd w:val="0"/>
                    <w:snapToGrid w:val="0"/>
                    <w:textAlignment w:val="auto"/>
                    <w:rPr>
                      <w:color w:val="auto"/>
                    </w:rPr>
                  </w:pPr>
                  <w:r>
                    <w:rPr>
                      <w:color w:val="auto"/>
                    </w:rPr>
                    <w:t>监测时段</w:t>
                  </w:r>
                </w:p>
              </w:tc>
              <w:tc>
                <w:tcPr>
                  <w:tcW w:w="1531" w:type="dxa"/>
                  <w:noWrap w:val="0"/>
                  <w:vAlign w:val="center"/>
                </w:tcPr>
                <w:p>
                  <w:pPr>
                    <w:pStyle w:val="15"/>
                    <w:keepLines w:val="0"/>
                    <w:pageBreakBefore w:val="0"/>
                    <w:kinsoku/>
                    <w:wordWrap/>
                    <w:bidi w:val="0"/>
                    <w:adjustRightInd w:val="0"/>
                    <w:snapToGrid w:val="0"/>
                    <w:textAlignment w:val="auto"/>
                    <w:rPr>
                      <w:color w:val="auto"/>
                    </w:rPr>
                  </w:pPr>
                  <w:r>
                    <w:rPr>
                      <w:color w:val="auto"/>
                    </w:rPr>
                    <w:t>相对厂址方位</w:t>
                  </w:r>
                </w:p>
              </w:tc>
              <w:tc>
                <w:tcPr>
                  <w:tcW w:w="1531" w:type="dxa"/>
                  <w:noWrap w:val="0"/>
                  <w:vAlign w:val="center"/>
                </w:tcPr>
                <w:p>
                  <w:pPr>
                    <w:pStyle w:val="15"/>
                    <w:keepLines w:val="0"/>
                    <w:pageBreakBefore w:val="0"/>
                    <w:kinsoku/>
                    <w:wordWrap/>
                    <w:bidi w:val="0"/>
                    <w:adjustRightInd w:val="0"/>
                    <w:snapToGrid w:val="0"/>
                    <w:textAlignment w:val="auto"/>
                    <w:rPr>
                      <w:color w:val="auto"/>
                    </w:rPr>
                  </w:pPr>
                  <w:r>
                    <w:rPr>
                      <w:color w:val="auto"/>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73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G9</w:t>
                  </w:r>
                </w:p>
              </w:tc>
              <w:tc>
                <w:tcPr>
                  <w:tcW w:w="1361"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魏岗村</w:t>
                  </w:r>
                </w:p>
              </w:tc>
              <w:tc>
                <w:tcPr>
                  <w:tcW w:w="130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非甲烷总烃、TSP</w:t>
                  </w:r>
                </w:p>
              </w:tc>
              <w:tc>
                <w:tcPr>
                  <w:tcW w:w="2098"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2020年10月10日至2020年10月16日</w:t>
                  </w:r>
                </w:p>
              </w:tc>
              <w:tc>
                <w:tcPr>
                  <w:tcW w:w="153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ENE</w:t>
                  </w:r>
                </w:p>
              </w:tc>
              <w:tc>
                <w:tcPr>
                  <w:tcW w:w="153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560</w:t>
                  </w:r>
                  <w:r>
                    <w:rPr>
                      <w:color w:val="auto"/>
                    </w:rPr>
                    <w:t>m</w:t>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表3-3</w:t>
            </w:r>
            <w:r>
              <w:rPr>
                <w:rFonts w:hint="eastAsia"/>
                <w:color w:val="auto"/>
              </w:rPr>
              <w:t xml:space="preserve"> 特征污染物</w:t>
            </w:r>
            <w:r>
              <w:rPr>
                <w:color w:val="auto"/>
              </w:rPr>
              <w:t>环境质量现状</w:t>
            </w:r>
            <w:r>
              <w:rPr>
                <w:rFonts w:hint="default"/>
                <w:color w:val="auto"/>
              </w:rPr>
              <w:t>表（单位：</w:t>
            </w:r>
            <w:r>
              <w:rPr>
                <w:rFonts w:hint="default"/>
                <w:color w:val="auto"/>
                <w:lang w:val="en-US" w:eastAsia="zh-CN"/>
              </w:rPr>
              <w:t>u</w:t>
            </w:r>
            <w:r>
              <w:rPr>
                <w:rFonts w:hint="default"/>
                <w:color w:val="auto"/>
              </w:rPr>
              <w:t>g/m³）</w:t>
            </w:r>
          </w:p>
          <w:tbl>
            <w:tblPr>
              <w:tblStyle w:val="7"/>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79" w:type="dxa"/>
                <w:bottom w:w="0" w:type="dxa"/>
                <w:right w:w="79" w:type="dxa"/>
              </w:tblCellMar>
            </w:tblPr>
            <w:tblGrid>
              <w:gridCol w:w="964"/>
              <w:gridCol w:w="1361"/>
              <w:gridCol w:w="1077"/>
              <w:gridCol w:w="1077"/>
              <w:gridCol w:w="1304"/>
              <w:gridCol w:w="1247"/>
              <w:gridCol w:w="850"/>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737" w:hRule="atLeast"/>
                <w:jc w:val="center"/>
              </w:trPr>
              <w:tc>
                <w:tcPr>
                  <w:tcW w:w="96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监测点名称</w:t>
                  </w:r>
                </w:p>
              </w:tc>
              <w:tc>
                <w:tcPr>
                  <w:tcW w:w="1361" w:type="dxa"/>
                  <w:noWrap w:val="0"/>
                  <w:vAlign w:val="center"/>
                </w:tcPr>
                <w:p>
                  <w:pPr>
                    <w:pStyle w:val="15"/>
                    <w:keepLines w:val="0"/>
                    <w:pageBreakBefore w:val="0"/>
                    <w:kinsoku/>
                    <w:wordWrap/>
                    <w:bidi w:val="0"/>
                    <w:adjustRightInd w:val="0"/>
                    <w:snapToGrid w:val="0"/>
                    <w:textAlignment w:val="auto"/>
                    <w:rPr>
                      <w:color w:val="auto"/>
                    </w:rPr>
                  </w:pPr>
                  <w:r>
                    <w:rPr>
                      <w:rFonts w:hint="default"/>
                      <w:color w:val="auto"/>
                    </w:rPr>
                    <w:t>污染物</w:t>
                  </w:r>
                </w:p>
              </w:tc>
              <w:tc>
                <w:tcPr>
                  <w:tcW w:w="1077" w:type="dxa"/>
                  <w:noWrap w:val="0"/>
                  <w:vAlign w:val="center"/>
                </w:tcPr>
                <w:p>
                  <w:pPr>
                    <w:pStyle w:val="15"/>
                    <w:keepLines w:val="0"/>
                    <w:pageBreakBefore w:val="0"/>
                    <w:kinsoku/>
                    <w:wordWrap/>
                    <w:bidi w:val="0"/>
                    <w:adjustRightInd w:val="0"/>
                    <w:snapToGrid w:val="0"/>
                    <w:textAlignment w:val="auto"/>
                    <w:rPr>
                      <w:color w:val="auto"/>
                    </w:rPr>
                  </w:pPr>
                  <w:r>
                    <w:rPr>
                      <w:rFonts w:hint="default"/>
                      <w:color w:val="auto"/>
                    </w:rPr>
                    <w:t>平均时间</w:t>
                  </w:r>
                </w:p>
              </w:tc>
              <w:tc>
                <w:tcPr>
                  <w:tcW w:w="1077" w:type="dxa"/>
                  <w:noWrap w:val="0"/>
                  <w:vAlign w:val="center"/>
                </w:tcPr>
                <w:p>
                  <w:pPr>
                    <w:pStyle w:val="15"/>
                    <w:keepLines w:val="0"/>
                    <w:pageBreakBefore w:val="0"/>
                    <w:kinsoku/>
                    <w:wordWrap/>
                    <w:bidi w:val="0"/>
                    <w:adjustRightInd w:val="0"/>
                    <w:snapToGrid w:val="0"/>
                    <w:textAlignment w:val="auto"/>
                    <w:rPr>
                      <w:color w:val="auto"/>
                    </w:rPr>
                  </w:pPr>
                  <w:r>
                    <w:rPr>
                      <w:rFonts w:hint="default"/>
                      <w:color w:val="auto"/>
                    </w:rPr>
                    <w:t>评价标准</w:t>
                  </w:r>
                </w:p>
              </w:tc>
              <w:tc>
                <w:tcPr>
                  <w:tcW w:w="130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监测浓度</w:t>
                  </w:r>
                </w:p>
                <w:p>
                  <w:pPr>
                    <w:pStyle w:val="15"/>
                    <w:keepLines w:val="0"/>
                    <w:pageBreakBefore w:val="0"/>
                    <w:kinsoku/>
                    <w:wordWrap/>
                    <w:bidi w:val="0"/>
                    <w:adjustRightInd w:val="0"/>
                    <w:snapToGrid w:val="0"/>
                    <w:textAlignment w:val="auto"/>
                    <w:rPr>
                      <w:color w:val="auto"/>
                    </w:rPr>
                  </w:pPr>
                  <w:r>
                    <w:rPr>
                      <w:rFonts w:hint="default"/>
                      <w:color w:val="auto"/>
                    </w:rPr>
                    <w:t>范围</w:t>
                  </w:r>
                </w:p>
              </w:tc>
              <w:tc>
                <w:tcPr>
                  <w:tcW w:w="1247" w:type="dxa"/>
                  <w:noWrap w:val="0"/>
                  <w:vAlign w:val="center"/>
                </w:tcPr>
                <w:p>
                  <w:pPr>
                    <w:pStyle w:val="15"/>
                    <w:keepLines w:val="0"/>
                    <w:pageBreakBefore w:val="0"/>
                    <w:kinsoku/>
                    <w:wordWrap/>
                    <w:bidi w:val="0"/>
                    <w:adjustRightInd w:val="0"/>
                    <w:snapToGrid w:val="0"/>
                    <w:textAlignment w:val="auto"/>
                    <w:rPr>
                      <w:color w:val="auto"/>
                    </w:rPr>
                  </w:pPr>
                  <w:r>
                    <w:rPr>
                      <w:rFonts w:hint="default"/>
                      <w:color w:val="auto"/>
                    </w:rPr>
                    <w:t>最大浓度占标率</w:t>
                  </w:r>
                  <w:r>
                    <w:rPr>
                      <w:color w:val="auto"/>
                    </w:rPr>
                    <w:t>/</w:t>
                  </w:r>
                  <w:r>
                    <w:rPr>
                      <w:rFonts w:hint="default"/>
                      <w:color w:val="auto"/>
                    </w:rPr>
                    <w:t>%</w:t>
                  </w:r>
                </w:p>
              </w:tc>
              <w:tc>
                <w:tcPr>
                  <w:tcW w:w="850" w:type="dxa"/>
                  <w:noWrap w:val="0"/>
                  <w:vAlign w:val="center"/>
                </w:tcPr>
                <w:p>
                  <w:pPr>
                    <w:pStyle w:val="15"/>
                    <w:keepLines w:val="0"/>
                    <w:pageBreakBefore w:val="0"/>
                    <w:kinsoku/>
                    <w:wordWrap/>
                    <w:bidi w:val="0"/>
                    <w:adjustRightInd w:val="0"/>
                    <w:snapToGrid w:val="0"/>
                    <w:textAlignment w:val="auto"/>
                    <w:rPr>
                      <w:color w:val="auto"/>
                    </w:rPr>
                  </w:pPr>
                  <w:r>
                    <w:rPr>
                      <w:rFonts w:hint="default"/>
                      <w:color w:val="auto"/>
                    </w:rPr>
                    <w:t>超标率</w:t>
                  </w:r>
                  <w:r>
                    <w:rPr>
                      <w:color w:val="auto"/>
                    </w:rPr>
                    <w:t>/</w:t>
                  </w:r>
                  <w:r>
                    <w:rPr>
                      <w:rFonts w:hint="default"/>
                      <w:color w:val="auto"/>
                    </w:rPr>
                    <w:t>%</w:t>
                  </w:r>
                </w:p>
              </w:tc>
              <w:tc>
                <w:tcPr>
                  <w:tcW w:w="79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达标</w:t>
                  </w:r>
                </w:p>
                <w:p>
                  <w:pPr>
                    <w:pStyle w:val="15"/>
                    <w:keepLines w:val="0"/>
                    <w:pageBreakBefore w:val="0"/>
                    <w:kinsoku/>
                    <w:wordWrap/>
                    <w:bidi w:val="0"/>
                    <w:adjustRightInd w:val="0"/>
                    <w:snapToGrid w:val="0"/>
                    <w:textAlignment w:val="auto"/>
                    <w:rPr>
                      <w:color w:val="auto"/>
                    </w:rPr>
                  </w:pPr>
                  <w:r>
                    <w:rPr>
                      <w:rFonts w:hint="default"/>
                      <w:color w:val="auto"/>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964" w:type="dxa"/>
                  <w:vMerge w:val="restart"/>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魏岗村</w:t>
                  </w:r>
                </w:p>
              </w:tc>
              <w:tc>
                <w:tcPr>
                  <w:tcW w:w="1361"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lang w:val="en-US" w:eastAsia="zh-CN"/>
                    </w:rPr>
                    <w:t>非甲烷总烃</w:t>
                  </w:r>
                </w:p>
              </w:tc>
              <w:tc>
                <w:tcPr>
                  <w:tcW w:w="1077"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小时值</w:t>
                  </w:r>
                </w:p>
              </w:tc>
              <w:tc>
                <w:tcPr>
                  <w:tcW w:w="107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2.0</w:t>
                  </w:r>
                </w:p>
              </w:tc>
              <w:tc>
                <w:tcPr>
                  <w:tcW w:w="1304" w:type="dxa"/>
                  <w:noWrap w:val="0"/>
                  <w:vAlign w:val="center"/>
                </w:tcPr>
                <w:p>
                  <w:pPr>
                    <w:pStyle w:val="13"/>
                    <w:keepLines w:val="0"/>
                    <w:pageBreakBefore w:val="0"/>
                    <w:kinsoku/>
                    <w:wordWrap/>
                    <w:bidi w:val="0"/>
                    <w:adjustRightInd w:val="0"/>
                    <w:snapToGrid w:val="0"/>
                    <w:textAlignment w:val="auto"/>
                    <w:rPr>
                      <w:rFonts w:hint="default" w:eastAsia="宋体"/>
                      <w:color w:val="auto"/>
                      <w:lang w:val="en-US" w:eastAsia="zh-CN"/>
                    </w:rPr>
                  </w:pPr>
                  <w:r>
                    <w:rPr>
                      <w:rFonts w:hint="eastAsia"/>
                      <w:color w:val="auto"/>
                      <w:lang w:val="en-US" w:eastAsia="zh-CN"/>
                    </w:rPr>
                    <w:t>0.59</w:t>
                  </w:r>
                  <w:r>
                    <w:rPr>
                      <w:rFonts w:hint="eastAsia"/>
                      <w:color w:val="auto"/>
                    </w:rPr>
                    <w:t>～</w:t>
                  </w:r>
                  <w:r>
                    <w:rPr>
                      <w:rFonts w:hint="eastAsia"/>
                      <w:color w:val="auto"/>
                      <w:lang w:val="en-US" w:eastAsia="zh-CN"/>
                    </w:rPr>
                    <w:t>0.75</w:t>
                  </w:r>
                </w:p>
              </w:tc>
              <w:tc>
                <w:tcPr>
                  <w:tcW w:w="124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37.5</w:t>
                  </w:r>
                </w:p>
              </w:tc>
              <w:tc>
                <w:tcPr>
                  <w:tcW w:w="85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0</w:t>
                  </w:r>
                </w:p>
              </w:tc>
              <w:tc>
                <w:tcPr>
                  <w:tcW w:w="794"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54" w:hRule="atLeast"/>
                <w:jc w:val="center"/>
              </w:trPr>
              <w:tc>
                <w:tcPr>
                  <w:tcW w:w="96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136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TSP</w:t>
                  </w:r>
                </w:p>
              </w:tc>
              <w:tc>
                <w:tcPr>
                  <w:tcW w:w="1077" w:type="dxa"/>
                  <w:noWrap w:val="0"/>
                  <w:vAlign w:val="center"/>
                </w:tcPr>
                <w:p>
                  <w:pPr>
                    <w:pStyle w:val="13"/>
                    <w:keepLines w:val="0"/>
                    <w:pageBreakBefore w:val="0"/>
                    <w:kinsoku/>
                    <w:wordWrap/>
                    <w:bidi w:val="0"/>
                    <w:adjustRightInd w:val="0"/>
                    <w:snapToGrid w:val="0"/>
                    <w:textAlignment w:val="auto"/>
                    <w:rPr>
                      <w:rFonts w:hint="eastAsia" w:eastAsia="宋体"/>
                      <w:color w:val="auto"/>
                      <w:lang w:val="en-US" w:eastAsia="zh-CN"/>
                    </w:rPr>
                  </w:pPr>
                  <w:r>
                    <w:rPr>
                      <w:rFonts w:hint="eastAsia"/>
                      <w:color w:val="auto"/>
                      <w:lang w:val="en-US" w:eastAsia="zh-CN"/>
                    </w:rPr>
                    <w:t>日均值</w:t>
                  </w:r>
                </w:p>
              </w:tc>
              <w:tc>
                <w:tcPr>
                  <w:tcW w:w="107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0.3</w:t>
                  </w:r>
                </w:p>
              </w:tc>
              <w:tc>
                <w:tcPr>
                  <w:tcW w:w="130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0.095～0.1</w:t>
                  </w:r>
                </w:p>
              </w:tc>
              <w:tc>
                <w:tcPr>
                  <w:tcW w:w="124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33.3</w:t>
                  </w:r>
                </w:p>
              </w:tc>
              <w:tc>
                <w:tcPr>
                  <w:tcW w:w="850" w:type="dxa"/>
                  <w:noWrap w:val="0"/>
                  <w:vAlign w:val="center"/>
                </w:tcPr>
                <w:p>
                  <w:pPr>
                    <w:pStyle w:val="13"/>
                    <w:keepLines w:val="0"/>
                    <w:pageBreakBefore w:val="0"/>
                    <w:kinsoku/>
                    <w:wordWrap/>
                    <w:bidi w:val="0"/>
                    <w:adjustRightInd w:val="0"/>
                    <w:snapToGrid w:val="0"/>
                    <w:textAlignment w:val="auto"/>
                    <w:rPr>
                      <w:rFonts w:hint="eastAsia" w:eastAsia="宋体"/>
                      <w:color w:val="auto"/>
                      <w:lang w:val="en-US" w:eastAsia="zh-CN"/>
                    </w:rPr>
                  </w:pPr>
                  <w:r>
                    <w:rPr>
                      <w:rFonts w:hint="eastAsia"/>
                      <w:color w:val="auto"/>
                      <w:lang w:val="en-US" w:eastAsia="zh-CN"/>
                    </w:rPr>
                    <w:t>0</w:t>
                  </w: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rPr>
                    <w:t>达标</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由上表可知，</w:t>
            </w:r>
            <w:r>
              <w:rPr>
                <w:rFonts w:hint="eastAsia"/>
                <w:color w:val="auto"/>
              </w:rPr>
              <w:t>项目区域TSP的监测结果满足《环境空气质量标准》（GB3095-2012）中二级标准要求</w:t>
            </w:r>
            <w:r>
              <w:rPr>
                <w:rFonts w:hint="eastAsia"/>
                <w:color w:val="auto"/>
                <w:lang w:eastAsia="zh-CN"/>
              </w:rPr>
              <w:t>，</w:t>
            </w:r>
            <w:r>
              <w:rPr>
                <w:rFonts w:hint="eastAsia"/>
                <w:color w:val="auto"/>
              </w:rPr>
              <w:t>非甲烷总烃的监测结果满足《大气污染物综合排放标准详解》</w:t>
            </w:r>
            <w:r>
              <w:rPr>
                <w:rFonts w:hint="eastAsia"/>
                <w:color w:val="auto"/>
                <w:lang w:eastAsia="zh-CN"/>
              </w:rPr>
              <w:t>中</w:t>
            </w:r>
            <w:r>
              <w:rPr>
                <w:rFonts w:hint="eastAsia"/>
                <w:color w:val="auto"/>
              </w:rPr>
              <w:t>要求</w:t>
            </w:r>
            <w:r>
              <w:rPr>
                <w:color w:val="auto"/>
              </w:rPr>
              <w:t>。</w:t>
            </w:r>
          </w:p>
          <w:p>
            <w:pPr>
              <w:pStyle w:val="18"/>
              <w:keepLines w:val="0"/>
              <w:pageBreakBefore w:val="0"/>
              <w:kinsoku/>
              <w:wordWrap/>
              <w:bidi w:val="0"/>
              <w:adjustRightInd w:val="0"/>
              <w:snapToGrid w:val="0"/>
              <w:textAlignment w:val="auto"/>
              <w:rPr>
                <w:color w:val="auto"/>
              </w:rPr>
            </w:pPr>
            <w:r>
              <w:rPr>
                <w:color w:val="auto"/>
              </w:rPr>
              <w:t>2、地表水环境</w:t>
            </w:r>
          </w:p>
          <w:p>
            <w:pPr>
              <w:pStyle w:val="16"/>
              <w:keepLines w:val="0"/>
              <w:pageBreakBefore w:val="0"/>
              <w:kinsoku/>
              <w:wordWrap/>
              <w:bidi w:val="0"/>
              <w:adjustRightInd w:val="0"/>
              <w:snapToGrid w:val="0"/>
              <w:textAlignment w:val="auto"/>
              <w:rPr>
                <w:rFonts w:hint="eastAsia" w:ascii="宋体" w:hAnsi="宋体" w:cs="宋体"/>
                <w:color w:val="auto"/>
                <w:highlight w:val="none"/>
              </w:rPr>
            </w:pPr>
            <w:r>
              <w:rPr>
                <w:rFonts w:hint="eastAsia" w:ascii="宋体" w:hAnsi="宋体" w:cs="宋体"/>
                <w:color w:val="auto"/>
                <w:highlight w:val="none"/>
              </w:rPr>
              <w:t>建设项目评价区域内的地表水体为淮河。淮河水质质量现状数据引用蚌埠市生态环境局发布的《</w:t>
            </w:r>
            <w:r>
              <w:rPr>
                <w:rFonts w:hint="eastAsia"/>
                <w:color w:val="auto"/>
                <w:highlight w:val="none"/>
              </w:rPr>
              <w:t>2021年蚌埠市生态环境质量概况</w:t>
            </w:r>
            <w:r>
              <w:rPr>
                <w:rFonts w:hint="eastAsia" w:ascii="宋体" w:hAnsi="宋体" w:cs="宋体"/>
                <w:color w:val="auto"/>
                <w:highlight w:val="none"/>
              </w:rPr>
              <w:t>》中结论“</w:t>
            </w:r>
            <w:r>
              <w:rPr>
                <w:color w:val="auto"/>
                <w:highlight w:val="none"/>
              </w:rPr>
              <w:t>淮河干流蚌埠段：2021年，淮河干流马城、蚌埠闸上、新铁桥下、沫河口和黄盆窑5个监测断面水质类别均符合《地表水环境质量标准》（GB3838-2002）中Ⅲ类标准，水质状况良好，同比无明显变化。</w:t>
            </w:r>
            <w:r>
              <w:rPr>
                <w:rFonts w:hint="eastAsia" w:ascii="宋体" w:hAnsi="宋体" w:cs="宋体"/>
                <w:color w:val="auto"/>
                <w:highlight w:val="none"/>
              </w:rPr>
              <w:t>”。因此，项目区域地表水环境质量较好。</w:t>
            </w:r>
          </w:p>
          <w:p>
            <w:pPr>
              <w:pStyle w:val="18"/>
              <w:keepLines w:val="0"/>
              <w:pageBreakBefore w:val="0"/>
              <w:kinsoku/>
              <w:wordWrap/>
              <w:bidi w:val="0"/>
              <w:adjustRightInd w:val="0"/>
              <w:snapToGrid w:val="0"/>
              <w:textAlignment w:val="auto"/>
              <w:rPr>
                <w:rFonts w:hint="eastAsia"/>
                <w:color w:val="auto"/>
              </w:rPr>
            </w:pPr>
            <w:r>
              <w:rPr>
                <w:rFonts w:hint="eastAsia"/>
                <w:color w:val="auto"/>
              </w:rPr>
              <w:t>3、声环境</w:t>
            </w:r>
          </w:p>
          <w:p>
            <w:pPr>
              <w:pStyle w:val="16"/>
              <w:keepLines w:val="0"/>
              <w:pageBreakBefore w:val="0"/>
              <w:kinsoku/>
              <w:wordWrap/>
              <w:bidi w:val="0"/>
              <w:adjustRightInd w:val="0"/>
              <w:snapToGrid w:val="0"/>
              <w:textAlignment w:val="auto"/>
              <w:rPr>
                <w:rFonts w:hint="default"/>
                <w:color w:val="auto"/>
                <w:highlight w:val="none"/>
                <w:lang w:val="en-US" w:eastAsia="zh-CN"/>
              </w:rPr>
            </w:pPr>
            <w:r>
              <w:rPr>
                <w:rFonts w:hint="eastAsia"/>
                <w:color w:val="auto"/>
              </w:rPr>
              <w:t>项目</w:t>
            </w:r>
            <w:r>
              <w:rPr>
                <w:color w:val="auto"/>
              </w:rPr>
              <w:t>位于</w:t>
            </w:r>
            <w:r>
              <w:rPr>
                <w:rFonts w:hint="eastAsia"/>
                <w:color w:val="auto"/>
                <w:lang w:eastAsia="zh-CN"/>
              </w:rPr>
              <w:t>蚌埠市怀远县经济开发区金河路32号</w:t>
            </w:r>
            <w:r>
              <w:rPr>
                <w:color w:val="auto"/>
              </w:rPr>
              <w:t>，</w:t>
            </w:r>
            <w:r>
              <w:rPr>
                <w:rFonts w:hint="eastAsia"/>
                <w:color w:val="auto"/>
                <w:highlight w:val="none"/>
              </w:rPr>
              <w:t>属于</w:t>
            </w:r>
            <w:r>
              <w:rPr>
                <w:rFonts w:hint="eastAsia"/>
                <w:color w:val="auto"/>
                <w:highlight w:val="none"/>
                <w:lang w:eastAsia="zh-CN"/>
              </w:rPr>
              <w:t>怀远经济开发区中的榴城工业园范围内</w:t>
            </w:r>
            <w:r>
              <w:rPr>
                <w:rFonts w:hint="eastAsia"/>
                <w:color w:val="auto"/>
                <w:highlight w:val="none"/>
              </w:rPr>
              <w:t>，周边</w:t>
            </w:r>
            <w:r>
              <w:rPr>
                <w:color w:val="auto"/>
                <w:highlight w:val="none"/>
              </w:rPr>
              <w:t>50m范围内无声环境敏感点</w:t>
            </w:r>
            <w:r>
              <w:rPr>
                <w:rFonts w:hint="eastAsia"/>
                <w:color w:val="auto"/>
                <w:highlight w:val="none"/>
                <w:lang w:eastAsia="zh-CN"/>
              </w:rPr>
              <w:t>。根据企业提供的现有项目监测报告（报告编号为</w:t>
            </w:r>
            <w:r>
              <w:rPr>
                <w:rFonts w:hint="eastAsia"/>
                <w:color w:val="auto"/>
                <w:highlight w:val="none"/>
                <w:lang w:val="en-US" w:eastAsia="zh-CN"/>
              </w:rPr>
              <w:t>AHJYHJ050052020</w:t>
            </w:r>
            <w:r>
              <w:rPr>
                <w:rFonts w:hint="eastAsia"/>
                <w:color w:val="auto"/>
                <w:highlight w:val="none"/>
                <w:lang w:eastAsia="zh-CN"/>
              </w:rPr>
              <w:t>），监测时间为</w:t>
            </w:r>
            <w:r>
              <w:rPr>
                <w:rFonts w:hint="eastAsia"/>
                <w:color w:val="auto"/>
                <w:highlight w:val="none"/>
                <w:lang w:val="en-US" w:eastAsia="zh-CN"/>
              </w:rPr>
              <w:t>2020年4月28日，厂界噪声监测结果见下表。</w:t>
            </w:r>
          </w:p>
          <w:p>
            <w:pPr>
              <w:pStyle w:val="11"/>
              <w:bidi w:val="0"/>
              <w:rPr>
                <w:rFonts w:hint="eastAsia"/>
                <w:color w:val="auto"/>
                <w:lang w:val="en-US" w:eastAsia="zh-CN"/>
              </w:rPr>
            </w:pP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表3-4 厂界噪声监测结果</w:t>
            </w:r>
          </w:p>
          <w:tbl>
            <w:tblPr>
              <w:tblStyle w:val="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205"/>
              <w:gridCol w:w="2176"/>
              <w:gridCol w:w="1918"/>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4" w:type="pct"/>
                  <w:tcBorders>
                    <w:tl2br w:val="nil"/>
                    <w:tr2bl w:val="nil"/>
                  </w:tcBorders>
                  <w:noWrap w:val="0"/>
                  <w:vAlign w:val="center"/>
                </w:tcPr>
                <w:p>
                  <w:pPr>
                    <w:pStyle w:val="15"/>
                    <w:bidi w:val="0"/>
                    <w:rPr>
                      <w:rFonts w:hint="default"/>
                      <w:color w:val="auto"/>
                      <w:sz w:val="21"/>
                      <w:szCs w:val="21"/>
                    </w:rPr>
                  </w:pPr>
                  <w:r>
                    <w:rPr>
                      <w:rFonts w:hint="default"/>
                      <w:color w:val="auto"/>
                      <w:sz w:val="21"/>
                      <w:szCs w:val="21"/>
                    </w:rPr>
                    <w:t>监测日期</w:t>
                  </w:r>
                </w:p>
              </w:tc>
              <w:tc>
                <w:tcPr>
                  <w:tcW w:w="1279" w:type="pct"/>
                  <w:tcBorders>
                    <w:tl2br w:val="nil"/>
                    <w:tr2bl w:val="nil"/>
                  </w:tcBorders>
                  <w:noWrap w:val="0"/>
                  <w:vAlign w:val="center"/>
                </w:tcPr>
                <w:p>
                  <w:pPr>
                    <w:pStyle w:val="15"/>
                    <w:bidi w:val="0"/>
                    <w:rPr>
                      <w:rFonts w:hint="eastAsia"/>
                      <w:color w:val="auto"/>
                      <w:sz w:val="21"/>
                      <w:szCs w:val="21"/>
                      <w:lang w:eastAsia="zh-CN"/>
                    </w:rPr>
                  </w:pPr>
                  <w:r>
                    <w:rPr>
                      <w:rFonts w:hint="eastAsia"/>
                      <w:color w:val="auto"/>
                      <w:sz w:val="21"/>
                      <w:szCs w:val="21"/>
                      <w:lang w:eastAsia="zh-CN"/>
                    </w:rPr>
                    <w:t>监测点位</w:t>
                  </w:r>
                </w:p>
              </w:tc>
              <w:tc>
                <w:tcPr>
                  <w:tcW w:w="1262" w:type="pct"/>
                  <w:tcBorders>
                    <w:tl2br w:val="nil"/>
                    <w:tr2bl w:val="nil"/>
                  </w:tcBorders>
                  <w:noWrap w:val="0"/>
                  <w:vAlign w:val="center"/>
                </w:tcPr>
                <w:p>
                  <w:pPr>
                    <w:pStyle w:val="15"/>
                    <w:bidi w:val="0"/>
                    <w:rPr>
                      <w:rFonts w:hint="eastAsia" w:eastAsia="宋体"/>
                      <w:color w:val="auto"/>
                      <w:sz w:val="21"/>
                      <w:szCs w:val="21"/>
                      <w:lang w:val="en-US" w:eastAsia="zh-CN"/>
                    </w:rPr>
                  </w:pPr>
                  <w:r>
                    <w:rPr>
                      <w:rFonts w:hint="default"/>
                      <w:color w:val="auto"/>
                      <w:sz w:val="21"/>
                      <w:szCs w:val="21"/>
                    </w:rPr>
                    <w:t>昼间</w:t>
                  </w:r>
                  <w:r>
                    <w:rPr>
                      <w:rFonts w:hint="eastAsia"/>
                      <w:color w:val="auto"/>
                      <w:sz w:val="21"/>
                      <w:szCs w:val="21"/>
                      <w:lang w:val="en-US" w:eastAsia="zh-CN"/>
                    </w:rPr>
                    <w:t>噪声检测结果</w:t>
                  </w:r>
                </w:p>
              </w:tc>
              <w:tc>
                <w:tcPr>
                  <w:tcW w:w="1113" w:type="pct"/>
                  <w:gridSpan w:val="2"/>
                  <w:tcBorders>
                    <w:tl2br w:val="nil"/>
                    <w:tr2bl w:val="nil"/>
                  </w:tcBorders>
                  <w:noWrap w:val="0"/>
                  <w:vAlign w:val="center"/>
                </w:tcPr>
                <w:p>
                  <w:pPr>
                    <w:pStyle w:val="15"/>
                    <w:bidi w:val="0"/>
                    <w:rPr>
                      <w:rFonts w:hint="eastAsia" w:eastAsia="宋体"/>
                      <w:color w:val="auto"/>
                      <w:sz w:val="21"/>
                      <w:szCs w:val="21"/>
                      <w:lang w:val="en-US" w:eastAsia="zh-CN"/>
                    </w:rPr>
                  </w:pPr>
                  <w:r>
                    <w:rPr>
                      <w:rFonts w:hint="eastAsia"/>
                      <w:color w:val="auto"/>
                      <w:sz w:val="21"/>
                      <w:szCs w:val="21"/>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exact"/>
                <w:jc w:val="center"/>
              </w:trPr>
              <w:tc>
                <w:tcPr>
                  <w:tcW w:w="1344" w:type="pct"/>
                  <w:vMerge w:val="restart"/>
                  <w:tcBorders>
                    <w:tl2br w:val="nil"/>
                    <w:tr2bl w:val="nil"/>
                  </w:tcBorders>
                  <w:noWrap w:val="0"/>
                  <w:vAlign w:val="center"/>
                </w:tcPr>
                <w:p>
                  <w:pPr>
                    <w:pStyle w:val="13"/>
                    <w:bidi w:val="0"/>
                    <w:rPr>
                      <w:rFonts w:hint="eastAsia"/>
                      <w:color w:val="auto"/>
                      <w:sz w:val="21"/>
                      <w:szCs w:val="21"/>
                      <w:lang w:eastAsia="zh-CN"/>
                    </w:rPr>
                  </w:pPr>
                  <w:r>
                    <w:rPr>
                      <w:rFonts w:hint="eastAsia"/>
                      <w:color w:val="auto"/>
                      <w:sz w:val="21"/>
                      <w:szCs w:val="21"/>
                      <w:lang w:val="en-US" w:eastAsia="zh-CN"/>
                    </w:rPr>
                    <w:t>2020年4月28日</w:t>
                  </w:r>
                </w:p>
              </w:tc>
              <w:tc>
                <w:tcPr>
                  <w:tcW w:w="1279" w:type="pct"/>
                  <w:tcBorders>
                    <w:tl2br w:val="nil"/>
                    <w:tr2bl w:val="nil"/>
                  </w:tcBorders>
                  <w:noWrap w:val="0"/>
                  <w:vAlign w:val="center"/>
                </w:tcPr>
                <w:p>
                  <w:pPr>
                    <w:pStyle w:val="13"/>
                    <w:bidi w:val="0"/>
                    <w:rPr>
                      <w:rFonts w:hint="eastAsia"/>
                      <w:color w:val="auto"/>
                      <w:sz w:val="21"/>
                      <w:szCs w:val="21"/>
                      <w:lang w:val="en-US" w:eastAsia="zh-CN"/>
                    </w:rPr>
                  </w:pPr>
                  <w:r>
                    <w:rPr>
                      <w:rFonts w:hint="default"/>
                      <w:color w:val="auto"/>
                      <w:sz w:val="21"/>
                      <w:szCs w:val="21"/>
                    </w:rPr>
                    <w:t>东厂界</w:t>
                  </w:r>
                </w:p>
              </w:tc>
              <w:tc>
                <w:tcPr>
                  <w:tcW w:w="1262" w:type="pct"/>
                  <w:tcBorders>
                    <w:tl2br w:val="nil"/>
                    <w:tr2bl w:val="nil"/>
                  </w:tcBorders>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56.4</w:t>
                  </w:r>
                </w:p>
              </w:tc>
              <w:tc>
                <w:tcPr>
                  <w:tcW w:w="1112" w:type="pct"/>
                  <w:tcBorders>
                    <w:tl2br w:val="nil"/>
                    <w:tr2bl w:val="nil"/>
                  </w:tcBorders>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exact"/>
                <w:jc w:val="center"/>
              </w:trPr>
              <w:tc>
                <w:tcPr>
                  <w:tcW w:w="1344" w:type="pct"/>
                  <w:vMerge w:val="continue"/>
                  <w:tcBorders>
                    <w:tl2br w:val="nil"/>
                    <w:tr2bl w:val="nil"/>
                  </w:tcBorders>
                  <w:noWrap w:val="0"/>
                  <w:vAlign w:val="center"/>
                </w:tcPr>
                <w:p>
                  <w:pPr>
                    <w:pStyle w:val="13"/>
                    <w:bidi w:val="0"/>
                    <w:rPr>
                      <w:rFonts w:hint="default"/>
                      <w:color w:val="auto"/>
                      <w:sz w:val="21"/>
                      <w:szCs w:val="21"/>
                    </w:rPr>
                  </w:pPr>
                </w:p>
              </w:tc>
              <w:tc>
                <w:tcPr>
                  <w:tcW w:w="1279" w:type="pct"/>
                  <w:tcBorders>
                    <w:tl2br w:val="nil"/>
                    <w:tr2bl w:val="nil"/>
                  </w:tcBorders>
                  <w:noWrap w:val="0"/>
                  <w:vAlign w:val="center"/>
                </w:tcPr>
                <w:p>
                  <w:pPr>
                    <w:pStyle w:val="13"/>
                    <w:bidi w:val="0"/>
                    <w:rPr>
                      <w:rFonts w:hint="default"/>
                      <w:color w:val="auto"/>
                      <w:sz w:val="21"/>
                      <w:szCs w:val="21"/>
                      <w:lang w:val="en-US" w:eastAsia="zh-CN"/>
                    </w:rPr>
                  </w:pPr>
                  <w:r>
                    <w:rPr>
                      <w:rFonts w:hint="default"/>
                      <w:color w:val="auto"/>
                      <w:sz w:val="21"/>
                      <w:szCs w:val="21"/>
                    </w:rPr>
                    <w:t>南厂界</w:t>
                  </w:r>
                </w:p>
              </w:tc>
              <w:tc>
                <w:tcPr>
                  <w:tcW w:w="1262" w:type="pct"/>
                  <w:tcBorders>
                    <w:tl2br w:val="nil"/>
                    <w:tr2bl w:val="nil"/>
                  </w:tcBorders>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56.9</w:t>
                  </w:r>
                </w:p>
              </w:tc>
              <w:tc>
                <w:tcPr>
                  <w:tcW w:w="1112" w:type="pct"/>
                  <w:tcBorders>
                    <w:tl2br w:val="nil"/>
                    <w:tr2bl w:val="nil"/>
                  </w:tcBorders>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exact"/>
                <w:jc w:val="center"/>
              </w:trPr>
              <w:tc>
                <w:tcPr>
                  <w:tcW w:w="1344" w:type="pct"/>
                  <w:vMerge w:val="continue"/>
                  <w:tcBorders>
                    <w:tl2br w:val="nil"/>
                    <w:tr2bl w:val="nil"/>
                  </w:tcBorders>
                  <w:noWrap w:val="0"/>
                  <w:vAlign w:val="center"/>
                </w:tcPr>
                <w:p>
                  <w:pPr>
                    <w:pStyle w:val="13"/>
                    <w:bidi w:val="0"/>
                    <w:rPr>
                      <w:rFonts w:hint="default"/>
                      <w:color w:val="auto"/>
                      <w:sz w:val="21"/>
                      <w:szCs w:val="21"/>
                    </w:rPr>
                  </w:pPr>
                </w:p>
              </w:tc>
              <w:tc>
                <w:tcPr>
                  <w:tcW w:w="1279" w:type="pct"/>
                  <w:tcBorders>
                    <w:tl2br w:val="nil"/>
                    <w:tr2bl w:val="nil"/>
                  </w:tcBorders>
                  <w:noWrap w:val="0"/>
                  <w:vAlign w:val="center"/>
                </w:tcPr>
                <w:p>
                  <w:pPr>
                    <w:pStyle w:val="13"/>
                    <w:bidi w:val="0"/>
                    <w:rPr>
                      <w:rFonts w:hint="default"/>
                      <w:color w:val="auto"/>
                      <w:sz w:val="21"/>
                      <w:szCs w:val="21"/>
                      <w:lang w:val="en-US" w:eastAsia="zh-CN"/>
                    </w:rPr>
                  </w:pPr>
                  <w:r>
                    <w:rPr>
                      <w:rFonts w:hint="default"/>
                      <w:color w:val="auto"/>
                      <w:sz w:val="21"/>
                      <w:szCs w:val="21"/>
                    </w:rPr>
                    <w:t>西厂界</w:t>
                  </w:r>
                </w:p>
              </w:tc>
              <w:tc>
                <w:tcPr>
                  <w:tcW w:w="1262" w:type="pct"/>
                  <w:tcBorders>
                    <w:tl2br w:val="nil"/>
                    <w:tr2bl w:val="nil"/>
                  </w:tcBorders>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57.6</w:t>
                  </w:r>
                </w:p>
              </w:tc>
              <w:tc>
                <w:tcPr>
                  <w:tcW w:w="1112" w:type="pct"/>
                  <w:tcBorders>
                    <w:tl2br w:val="nil"/>
                    <w:tr2bl w:val="nil"/>
                  </w:tcBorders>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exact"/>
                <w:jc w:val="center"/>
              </w:trPr>
              <w:tc>
                <w:tcPr>
                  <w:tcW w:w="1344" w:type="pct"/>
                  <w:vMerge w:val="continue"/>
                  <w:tcBorders>
                    <w:tl2br w:val="nil"/>
                    <w:tr2bl w:val="nil"/>
                  </w:tcBorders>
                  <w:noWrap w:val="0"/>
                  <w:vAlign w:val="center"/>
                </w:tcPr>
                <w:p>
                  <w:pPr>
                    <w:pStyle w:val="13"/>
                    <w:bidi w:val="0"/>
                    <w:rPr>
                      <w:rFonts w:hint="default"/>
                      <w:color w:val="auto"/>
                      <w:sz w:val="21"/>
                      <w:szCs w:val="21"/>
                    </w:rPr>
                  </w:pPr>
                </w:p>
              </w:tc>
              <w:tc>
                <w:tcPr>
                  <w:tcW w:w="1279" w:type="pct"/>
                  <w:tcBorders>
                    <w:tl2br w:val="nil"/>
                    <w:tr2bl w:val="nil"/>
                  </w:tcBorders>
                  <w:noWrap w:val="0"/>
                  <w:vAlign w:val="center"/>
                </w:tcPr>
                <w:p>
                  <w:pPr>
                    <w:pStyle w:val="13"/>
                    <w:bidi w:val="0"/>
                    <w:rPr>
                      <w:rFonts w:hint="default"/>
                      <w:color w:val="auto"/>
                      <w:sz w:val="21"/>
                      <w:szCs w:val="21"/>
                      <w:lang w:val="en-US" w:eastAsia="zh-CN"/>
                    </w:rPr>
                  </w:pPr>
                  <w:r>
                    <w:rPr>
                      <w:rFonts w:hint="default"/>
                      <w:color w:val="auto"/>
                      <w:sz w:val="21"/>
                      <w:szCs w:val="21"/>
                    </w:rPr>
                    <w:t>北厂界</w:t>
                  </w:r>
                </w:p>
              </w:tc>
              <w:tc>
                <w:tcPr>
                  <w:tcW w:w="1262" w:type="pct"/>
                  <w:tcBorders>
                    <w:tl2br w:val="nil"/>
                    <w:tr2bl w:val="nil"/>
                  </w:tcBorders>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55.0</w:t>
                  </w:r>
                </w:p>
              </w:tc>
              <w:tc>
                <w:tcPr>
                  <w:tcW w:w="1112" w:type="pct"/>
                  <w:tcBorders>
                    <w:tl2br w:val="nil"/>
                    <w:tr2bl w:val="nil"/>
                  </w:tcBorders>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exact"/>
                <w:jc w:val="center"/>
              </w:trPr>
              <w:tc>
                <w:tcPr>
                  <w:tcW w:w="2623" w:type="pct"/>
                  <w:gridSpan w:val="2"/>
                  <w:tcBorders>
                    <w:tl2br w:val="nil"/>
                    <w:tr2bl w:val="nil"/>
                  </w:tcBorders>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（GB 3096-2008）中3类标准</w:t>
                  </w:r>
                </w:p>
              </w:tc>
              <w:tc>
                <w:tcPr>
                  <w:tcW w:w="1262" w:type="pct"/>
                  <w:tcBorders>
                    <w:tl2br w:val="nil"/>
                    <w:tr2bl w:val="nil"/>
                  </w:tcBorders>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65</w:t>
                  </w:r>
                </w:p>
              </w:tc>
              <w:tc>
                <w:tcPr>
                  <w:tcW w:w="1112" w:type="pct"/>
                  <w:tcBorders>
                    <w:tl2br w:val="nil"/>
                    <w:tr2bl w:val="nil"/>
                  </w:tcBorders>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0" w:type="pct"/>
                <w:trHeight w:val="454" w:hRule="exact"/>
                <w:jc w:val="center"/>
              </w:trPr>
              <w:tc>
                <w:tcPr>
                  <w:tcW w:w="2623" w:type="pct"/>
                  <w:gridSpan w:val="2"/>
                  <w:tcBorders>
                    <w:tl2br w:val="nil"/>
                    <w:tr2bl w:val="nil"/>
                  </w:tcBorders>
                  <w:noWrap w:val="0"/>
                  <w:vAlign w:val="center"/>
                </w:tcPr>
                <w:p>
                  <w:pPr>
                    <w:pStyle w:val="13"/>
                    <w:bidi w:val="0"/>
                    <w:rPr>
                      <w:rFonts w:hint="default"/>
                      <w:color w:val="auto"/>
                      <w:sz w:val="21"/>
                      <w:szCs w:val="21"/>
                    </w:rPr>
                  </w:pPr>
                  <w:r>
                    <w:rPr>
                      <w:rFonts w:hint="default"/>
                      <w:color w:val="auto"/>
                      <w:sz w:val="21"/>
                      <w:szCs w:val="21"/>
                    </w:rPr>
                    <w:t>是否达标</w:t>
                  </w:r>
                </w:p>
              </w:tc>
              <w:tc>
                <w:tcPr>
                  <w:tcW w:w="1262" w:type="pct"/>
                  <w:tcBorders>
                    <w:tl2br w:val="nil"/>
                    <w:tr2bl w:val="nil"/>
                  </w:tcBorders>
                  <w:noWrap w:val="0"/>
                  <w:vAlign w:val="center"/>
                </w:tcPr>
                <w:p>
                  <w:pPr>
                    <w:pStyle w:val="13"/>
                    <w:bidi w:val="0"/>
                    <w:rPr>
                      <w:rFonts w:hint="default"/>
                      <w:color w:val="auto"/>
                      <w:sz w:val="21"/>
                      <w:szCs w:val="21"/>
                      <w:lang w:val="zh-CN"/>
                    </w:rPr>
                  </w:pPr>
                  <w:r>
                    <w:rPr>
                      <w:rFonts w:hint="default"/>
                      <w:color w:val="auto"/>
                      <w:sz w:val="21"/>
                      <w:szCs w:val="21"/>
                    </w:rPr>
                    <w:t>达标</w:t>
                  </w:r>
                </w:p>
              </w:tc>
              <w:tc>
                <w:tcPr>
                  <w:tcW w:w="1112" w:type="pct"/>
                  <w:tcBorders>
                    <w:tl2br w:val="nil"/>
                    <w:tr2bl w:val="nil"/>
                  </w:tcBorders>
                  <w:noWrap w:val="0"/>
                  <w:vAlign w:val="center"/>
                </w:tcPr>
                <w:p>
                  <w:pPr>
                    <w:pStyle w:val="13"/>
                    <w:bidi w:val="0"/>
                    <w:rPr>
                      <w:rFonts w:hint="eastAsia" w:eastAsia="宋体"/>
                      <w:color w:val="auto"/>
                      <w:sz w:val="21"/>
                      <w:szCs w:val="21"/>
                      <w:lang w:val="en-US" w:eastAsia="zh-CN"/>
                    </w:rPr>
                  </w:pPr>
                  <w:r>
                    <w:rPr>
                      <w:rFonts w:hint="eastAsia"/>
                      <w:color w:val="auto"/>
                      <w:sz w:val="21"/>
                      <w:szCs w:val="21"/>
                      <w:lang w:val="en-US" w:eastAsia="zh-CN"/>
                    </w:rPr>
                    <w:t>/</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color w:val="auto"/>
                <w:lang w:val="en-US" w:eastAsia="zh-CN"/>
              </w:rPr>
            </w:pPr>
            <w:r>
              <w:rPr>
                <w:rFonts w:hint="eastAsia"/>
                <w:color w:val="auto"/>
              </w:rPr>
              <w:t>由上表可知，</w:t>
            </w:r>
            <w:r>
              <w:rPr>
                <w:rFonts w:hint="eastAsia"/>
                <w:color w:val="auto"/>
                <w:lang w:eastAsia="zh-CN"/>
              </w:rPr>
              <w:t>厂界噪声的</w:t>
            </w:r>
            <w:r>
              <w:rPr>
                <w:rFonts w:hint="eastAsia"/>
                <w:color w:val="auto"/>
                <w:lang w:val="en-US" w:eastAsia="zh-CN"/>
              </w:rPr>
              <w:t>监测结果满足《声环境质量标准》（GB 3096-2008）中3类标准。</w:t>
            </w:r>
          </w:p>
          <w:p>
            <w:pPr>
              <w:pStyle w:val="18"/>
              <w:keepLines w:val="0"/>
              <w:pageBreakBefore w:val="0"/>
              <w:kinsoku/>
              <w:wordWrap/>
              <w:bidi w:val="0"/>
              <w:adjustRightInd w:val="0"/>
              <w:snapToGrid w:val="0"/>
              <w:textAlignment w:val="auto"/>
              <w:rPr>
                <w:color w:val="auto"/>
              </w:rPr>
            </w:pPr>
            <w:r>
              <w:rPr>
                <w:color w:val="auto"/>
              </w:rPr>
              <w:t>4、生态环境</w:t>
            </w:r>
          </w:p>
          <w:p>
            <w:pPr>
              <w:pStyle w:val="16"/>
              <w:bidi w:val="0"/>
              <w:rPr>
                <w:color w:val="auto"/>
              </w:rPr>
            </w:pPr>
            <w:r>
              <w:rPr>
                <w:color w:val="auto"/>
              </w:rPr>
              <w:t>项目</w:t>
            </w:r>
            <w:r>
              <w:rPr>
                <w:rFonts w:hint="eastAsia"/>
                <w:color w:val="auto"/>
                <w:lang w:eastAsia="zh-CN"/>
              </w:rPr>
              <w:t>位于蚌埠市怀远县经济开发区金河路32号</w:t>
            </w:r>
            <w:r>
              <w:rPr>
                <w:color w:val="auto"/>
              </w:rPr>
              <w:t>，</w:t>
            </w:r>
            <w:r>
              <w:rPr>
                <w:rFonts w:hint="eastAsia"/>
                <w:color w:val="auto"/>
                <w:lang w:eastAsia="zh-CN"/>
              </w:rPr>
              <w:t>依托现有厂房，不新增用地，项目区域范围内无珍稀动植物和文物保护区，无重大生态环境制约因素。</w:t>
            </w:r>
          </w:p>
          <w:p>
            <w:pPr>
              <w:pStyle w:val="18"/>
              <w:bidi w:val="0"/>
              <w:rPr>
                <w:color w:val="auto"/>
              </w:rPr>
            </w:pPr>
            <w:r>
              <w:rPr>
                <w:color w:val="auto"/>
              </w:rPr>
              <w:t>5、电磁辐射</w:t>
            </w:r>
          </w:p>
          <w:p>
            <w:pPr>
              <w:pStyle w:val="16"/>
              <w:keepLines w:val="0"/>
              <w:pageBreakBefore w:val="0"/>
              <w:kinsoku/>
              <w:wordWrap/>
              <w:bidi w:val="0"/>
              <w:adjustRightInd w:val="0"/>
              <w:snapToGrid w:val="0"/>
              <w:textAlignment w:val="auto"/>
              <w:rPr>
                <w:rFonts w:hint="eastAsia"/>
                <w:color w:val="auto"/>
              </w:rPr>
            </w:pPr>
            <w:r>
              <w:rPr>
                <w:rFonts w:hint="eastAsia"/>
                <w:color w:val="auto"/>
                <w:lang w:eastAsia="zh-CN"/>
              </w:rPr>
              <w:t>建设</w:t>
            </w:r>
            <w:r>
              <w:rPr>
                <w:rFonts w:hint="eastAsia"/>
                <w:color w:val="auto"/>
              </w:rPr>
              <w:t>项目</w:t>
            </w:r>
            <w:r>
              <w:rPr>
                <w:rFonts w:hint="eastAsia"/>
                <w:color w:val="auto"/>
                <w:lang w:eastAsia="zh-CN"/>
              </w:rPr>
              <w:t>不属于电磁辐射类项目，</w:t>
            </w:r>
            <w:r>
              <w:rPr>
                <w:rFonts w:hint="eastAsia"/>
                <w:color w:val="auto"/>
              </w:rPr>
              <w:t>不涉及电磁辐射。</w:t>
            </w:r>
          </w:p>
          <w:p>
            <w:pPr>
              <w:pStyle w:val="18"/>
              <w:keepLines w:val="0"/>
              <w:pageBreakBefore w:val="0"/>
              <w:kinsoku/>
              <w:wordWrap/>
              <w:bidi w:val="0"/>
              <w:adjustRightInd w:val="0"/>
              <w:snapToGrid w:val="0"/>
              <w:textAlignment w:val="auto"/>
              <w:rPr>
                <w:color w:val="auto"/>
              </w:rPr>
            </w:pPr>
            <w:r>
              <w:rPr>
                <w:rFonts w:hint="eastAsia"/>
                <w:color w:val="auto"/>
              </w:rPr>
              <w:t>6、</w:t>
            </w:r>
            <w:r>
              <w:rPr>
                <w:color w:val="auto"/>
              </w:rPr>
              <w:t>地下水</w:t>
            </w:r>
            <w:r>
              <w:rPr>
                <w:rFonts w:hint="eastAsia"/>
                <w:color w:val="auto"/>
              </w:rPr>
              <w:t>、土壤</w:t>
            </w:r>
            <w:r>
              <w:rPr>
                <w:color w:val="auto"/>
              </w:rPr>
              <w:t>环境</w:t>
            </w:r>
          </w:p>
          <w:p>
            <w:pPr>
              <w:pStyle w:val="16"/>
              <w:keepLines w:val="0"/>
              <w:pageBreakBefore w:val="0"/>
              <w:kinsoku/>
              <w:wordWrap/>
              <w:bidi w:val="0"/>
              <w:adjustRightInd w:val="0"/>
              <w:snapToGrid w:val="0"/>
              <w:textAlignment w:val="auto"/>
              <w:rPr>
                <w:rFonts w:ascii="宋体" w:hAnsi="宋体" w:cs="宋体"/>
                <w:color w:val="auto"/>
                <w:szCs w:val="21"/>
                <w:highlight w:val="none"/>
              </w:rPr>
            </w:pPr>
            <w:r>
              <w:rPr>
                <w:rFonts w:hint="eastAsia"/>
                <w:color w:val="auto"/>
              </w:rPr>
              <w:t>建设项目</w:t>
            </w:r>
            <w:r>
              <w:rPr>
                <w:rFonts w:hint="eastAsia"/>
                <w:color w:val="auto"/>
                <w:lang w:eastAsia="zh-CN"/>
              </w:rPr>
              <w:t>厂房内地面采取硬化并</w:t>
            </w:r>
            <w:r>
              <w:rPr>
                <w:rFonts w:hint="eastAsia"/>
                <w:color w:val="auto"/>
              </w:rPr>
              <w:t>按照相关防渗要求进行分区防控处理</w:t>
            </w:r>
            <w:r>
              <w:rPr>
                <w:rFonts w:hint="eastAsia"/>
                <w:color w:val="auto"/>
                <w:lang w:eastAsia="zh-CN"/>
              </w:rPr>
              <w:t>，</w:t>
            </w:r>
            <w:r>
              <w:rPr>
                <w:rFonts w:hint="eastAsia"/>
                <w:color w:val="auto"/>
              </w:rPr>
              <w:t>不存在地下水、土壤环境污染途径，根据《建设项目环境影响报告表编制技术指南-污染影响类》（试行）中要求，可不开展环境质量现状调查。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32" w:hRule="atLeast"/>
          <w:jc w:val="center"/>
        </w:trPr>
        <w:tc>
          <w:tcPr>
            <w:tcW w:w="624" w:type="dxa"/>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hint="eastAsia" w:ascii="宋体" w:hAnsi="宋体" w:cs="宋体"/>
                <w:b/>
                <w:bCs/>
                <w:color w:val="auto"/>
                <w:kern w:val="0"/>
                <w:highlight w:val="none"/>
              </w:rPr>
            </w:pPr>
            <w:r>
              <w:rPr>
                <w:rFonts w:hint="eastAsia" w:ascii="宋体" w:hAnsi="宋体" w:cs="宋体"/>
                <w:b/>
                <w:bCs/>
                <w:color w:val="auto"/>
                <w:kern w:val="0"/>
                <w:highlight w:val="none"/>
              </w:rPr>
              <w:t>环境</w:t>
            </w:r>
          </w:p>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hint="eastAsia" w:ascii="宋体" w:hAnsi="宋体" w:cs="宋体"/>
                <w:b/>
                <w:bCs/>
                <w:color w:val="auto"/>
                <w:kern w:val="0"/>
                <w:highlight w:val="none"/>
              </w:rPr>
            </w:pPr>
            <w:r>
              <w:rPr>
                <w:rFonts w:hint="eastAsia" w:ascii="宋体" w:hAnsi="宋体" w:cs="宋体"/>
                <w:b/>
                <w:bCs/>
                <w:color w:val="auto"/>
                <w:kern w:val="0"/>
                <w:highlight w:val="none"/>
              </w:rPr>
              <w:t>保护</w:t>
            </w:r>
          </w:p>
          <w:p>
            <w:pPr>
              <w:keepNext w:val="0"/>
              <w:keepLines w:val="0"/>
              <w:pageBreakBefore w:val="0"/>
              <w:widowControl w:val="0"/>
              <w:shd w:val="clear" w:color="auto" w:fill="auto"/>
              <w:kinsoku/>
              <w:wordWrap/>
              <w:overflowPunct/>
              <w:topLinePunct/>
              <w:autoSpaceDE/>
              <w:autoSpaceDN/>
              <w:bidi w:val="0"/>
              <w:adjustRightInd w:val="0"/>
              <w:snapToGrid w:val="0"/>
              <w:ind w:left="-72" w:leftChars="-30" w:right="-72" w:rightChars="-30"/>
              <w:jc w:val="center"/>
              <w:textAlignment w:val="auto"/>
              <w:rPr>
                <w:rFonts w:hint="eastAsia" w:ascii="宋体" w:hAnsi="宋体" w:cs="宋体"/>
                <w:color w:val="auto"/>
                <w:kern w:val="0"/>
                <w:highlight w:val="none"/>
              </w:rPr>
            </w:pPr>
            <w:r>
              <w:rPr>
                <w:rFonts w:hint="eastAsia" w:ascii="宋体" w:hAnsi="宋体" w:cs="宋体"/>
                <w:b/>
                <w:bCs/>
                <w:color w:val="auto"/>
                <w:kern w:val="0"/>
                <w:highlight w:val="none"/>
              </w:rPr>
              <w:t>目标</w:t>
            </w:r>
          </w:p>
        </w:tc>
        <w:tc>
          <w:tcPr>
            <w:tcW w:w="8731"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before="157" w:beforeLines="50"/>
              <w:jc w:val="both"/>
              <w:textAlignment w:val="auto"/>
              <w:rPr>
                <w:rFonts w:hint="eastAsia"/>
                <w:color w:val="auto"/>
              </w:rPr>
            </w:pPr>
            <w:r>
              <w:rPr>
                <w:rFonts w:hint="eastAsia"/>
                <w:color w:val="auto"/>
              </w:rPr>
              <w:t>1、大气环境</w:t>
            </w:r>
          </w:p>
          <w:p>
            <w:pPr>
              <w:pStyle w:val="16"/>
              <w:keepLines w:val="0"/>
              <w:pageBreakBefore w:val="0"/>
              <w:kinsoku/>
              <w:wordWrap/>
              <w:bidi w:val="0"/>
              <w:adjustRightInd w:val="0"/>
              <w:snapToGrid w:val="0"/>
              <w:jc w:val="both"/>
              <w:textAlignment w:val="auto"/>
              <w:rPr>
                <w:rFonts w:hint="eastAsia"/>
                <w:color w:val="auto"/>
              </w:rPr>
            </w:pPr>
            <w:r>
              <w:rPr>
                <w:rFonts w:hint="default"/>
                <w:color w:val="auto"/>
              </w:rPr>
              <w:t>根据现场勘察，项目厂界外500米范围内</w:t>
            </w:r>
            <w:r>
              <w:rPr>
                <w:rFonts w:hint="eastAsia"/>
                <w:color w:val="auto"/>
                <w:lang w:val="en-US" w:eastAsia="zh-CN"/>
              </w:rPr>
              <w:t>无</w:t>
            </w:r>
            <w:r>
              <w:rPr>
                <w:rFonts w:hint="default"/>
                <w:color w:val="auto"/>
              </w:rPr>
              <w:t>大气环境保护目标。</w:t>
            </w:r>
          </w:p>
          <w:p>
            <w:pPr>
              <w:pStyle w:val="18"/>
              <w:bidi w:val="0"/>
              <w:jc w:val="both"/>
              <w:rPr>
                <w:rFonts w:hint="eastAsia"/>
                <w:color w:val="auto"/>
              </w:rPr>
            </w:pPr>
            <w:r>
              <w:rPr>
                <w:rFonts w:hint="eastAsia"/>
                <w:color w:val="auto"/>
              </w:rPr>
              <w:t>2、声环境</w:t>
            </w:r>
          </w:p>
          <w:p>
            <w:pPr>
              <w:pStyle w:val="16"/>
              <w:keepLines w:val="0"/>
              <w:pageBreakBefore w:val="0"/>
              <w:kinsoku/>
              <w:wordWrap/>
              <w:bidi w:val="0"/>
              <w:adjustRightInd w:val="0"/>
              <w:snapToGrid w:val="0"/>
              <w:jc w:val="both"/>
              <w:textAlignment w:val="auto"/>
              <w:rPr>
                <w:rFonts w:hint="eastAsia"/>
                <w:color w:val="auto"/>
              </w:rPr>
            </w:pPr>
            <w:r>
              <w:rPr>
                <w:rFonts w:hint="eastAsia"/>
                <w:color w:val="auto"/>
              </w:rPr>
              <w:t>根据现场勘察，项目50米范围内无声环境保护目标。</w:t>
            </w:r>
          </w:p>
          <w:p>
            <w:pPr>
              <w:pStyle w:val="18"/>
              <w:keepLines w:val="0"/>
              <w:pageBreakBefore w:val="0"/>
              <w:kinsoku/>
              <w:wordWrap/>
              <w:bidi w:val="0"/>
              <w:adjustRightInd w:val="0"/>
              <w:snapToGrid w:val="0"/>
              <w:jc w:val="both"/>
              <w:textAlignment w:val="auto"/>
              <w:rPr>
                <w:rFonts w:hint="eastAsia"/>
                <w:color w:val="auto"/>
              </w:rPr>
            </w:pPr>
            <w:r>
              <w:rPr>
                <w:rFonts w:hint="eastAsia"/>
                <w:color w:val="auto"/>
              </w:rPr>
              <w:t>3、地下水环境</w:t>
            </w:r>
          </w:p>
          <w:p>
            <w:pPr>
              <w:pStyle w:val="16"/>
              <w:keepLines w:val="0"/>
              <w:pageBreakBefore w:val="0"/>
              <w:kinsoku/>
              <w:wordWrap/>
              <w:bidi w:val="0"/>
              <w:adjustRightInd w:val="0"/>
              <w:snapToGrid w:val="0"/>
              <w:jc w:val="both"/>
              <w:textAlignment w:val="auto"/>
              <w:rPr>
                <w:rFonts w:hint="eastAsia"/>
                <w:color w:val="auto"/>
              </w:rPr>
            </w:pPr>
            <w:r>
              <w:rPr>
                <w:rFonts w:hint="eastAsia"/>
                <w:color w:val="auto"/>
              </w:rPr>
              <w:t>根据现场勘察，项目厂界外500米范围内无地下水集中式饮用水水源和热水、矿泉水、温泉等特殊地下水资源。</w:t>
            </w:r>
          </w:p>
          <w:p>
            <w:pPr>
              <w:pStyle w:val="18"/>
              <w:keepLines w:val="0"/>
              <w:pageBreakBefore w:val="0"/>
              <w:kinsoku/>
              <w:wordWrap/>
              <w:bidi w:val="0"/>
              <w:adjustRightInd w:val="0"/>
              <w:snapToGrid w:val="0"/>
              <w:jc w:val="both"/>
              <w:textAlignment w:val="auto"/>
              <w:rPr>
                <w:color w:val="auto"/>
              </w:rPr>
            </w:pPr>
            <w:r>
              <w:rPr>
                <w:rFonts w:hint="eastAsia"/>
                <w:color w:val="auto"/>
              </w:rPr>
              <w:t>4、生态环境</w:t>
            </w:r>
          </w:p>
          <w:p>
            <w:pPr>
              <w:pStyle w:val="16"/>
              <w:keepLines w:val="0"/>
              <w:pageBreakBefore w:val="0"/>
              <w:kinsoku/>
              <w:wordWrap/>
              <w:bidi w:val="0"/>
              <w:adjustRightInd w:val="0"/>
              <w:snapToGrid w:val="0"/>
              <w:jc w:val="both"/>
              <w:textAlignment w:val="auto"/>
              <w:rPr>
                <w:color w:val="auto"/>
                <w:highlight w:val="none"/>
              </w:rPr>
            </w:pPr>
            <w:r>
              <w:rPr>
                <w:color w:val="auto"/>
              </w:rPr>
              <w:t>项目</w:t>
            </w:r>
            <w:r>
              <w:rPr>
                <w:rFonts w:hint="eastAsia"/>
                <w:color w:val="auto"/>
                <w:lang w:eastAsia="zh-CN"/>
              </w:rPr>
              <w:t>位于蚌埠市怀远县经济开发区金河路32号</w:t>
            </w:r>
            <w:r>
              <w:rPr>
                <w:color w:val="auto"/>
              </w:rPr>
              <w:t>，</w:t>
            </w:r>
            <w:r>
              <w:rPr>
                <w:rFonts w:hint="eastAsia"/>
                <w:color w:val="auto"/>
              </w:rPr>
              <w:t>根据现场勘察，项目依托现有厂房，不新增用地，无新增用地范围内生态环境保护目标。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060" w:hRule="atLeast"/>
          <w:jc w:val="center"/>
        </w:trPr>
        <w:tc>
          <w:tcPr>
            <w:tcW w:w="624" w:type="dxa"/>
            <w:noWrap w:val="0"/>
            <w:tcMar>
              <w:left w:w="28" w:type="dxa"/>
              <w:right w:w="28" w:type="dxa"/>
            </w:tcMar>
            <w:vAlign w:val="center"/>
          </w:tcPr>
          <w:p>
            <w:pPr>
              <w:pStyle w:val="18"/>
              <w:keepNext w:val="0"/>
              <w:keepLines w:val="0"/>
              <w:pageBreakBefore w:val="0"/>
              <w:widowControl w:val="0"/>
              <w:shd w:val="clear" w:color="auto" w:fill="auto"/>
              <w:kinsoku/>
              <w:wordWrap/>
              <w:overflowPunct/>
              <w:topLinePunct/>
              <w:autoSpaceDE/>
              <w:autoSpaceDN/>
              <w:bidi w:val="0"/>
              <w:adjustRightInd w:val="0"/>
              <w:snapToGrid w:val="0"/>
              <w:spacing w:before="157" w:beforeLines="50" w:line="240" w:lineRule="auto"/>
              <w:ind w:firstLine="0" w:firstLineChars="0"/>
              <w:jc w:val="center"/>
              <w:textAlignment w:val="auto"/>
              <w:rPr>
                <w:rFonts w:hint="eastAsia"/>
                <w:color w:val="auto"/>
                <w:highlight w:val="none"/>
              </w:rPr>
            </w:pPr>
            <w:r>
              <w:rPr>
                <w:rFonts w:hint="eastAsia"/>
                <w:color w:val="auto"/>
                <w:highlight w:val="none"/>
              </w:rPr>
              <w:t>污染</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rFonts w:hint="eastAsia"/>
                <w:color w:val="auto"/>
                <w:highlight w:val="none"/>
              </w:rPr>
            </w:pPr>
            <w:r>
              <w:rPr>
                <w:rFonts w:hint="eastAsia"/>
                <w:color w:val="auto"/>
                <w:highlight w:val="none"/>
              </w:rPr>
              <w:t>物排</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rFonts w:hint="eastAsia"/>
                <w:color w:val="auto"/>
                <w:highlight w:val="none"/>
              </w:rPr>
            </w:pPr>
            <w:r>
              <w:rPr>
                <w:rFonts w:hint="eastAsia"/>
                <w:color w:val="auto"/>
                <w:highlight w:val="none"/>
              </w:rPr>
              <w:t>放控</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rFonts w:hint="eastAsia"/>
                <w:color w:val="auto"/>
                <w:highlight w:val="none"/>
              </w:rPr>
            </w:pPr>
            <w:r>
              <w:rPr>
                <w:rFonts w:hint="eastAsia"/>
                <w:color w:val="auto"/>
                <w:highlight w:val="none"/>
              </w:rPr>
              <w:t>制标</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rFonts w:ascii="宋体" w:hAnsi="宋体"/>
                <w:color w:val="auto"/>
                <w:kern w:val="0"/>
                <w:szCs w:val="21"/>
                <w:highlight w:val="none"/>
              </w:rPr>
            </w:pPr>
            <w:r>
              <w:rPr>
                <w:rFonts w:hint="eastAsia"/>
                <w:color w:val="auto"/>
                <w:highlight w:val="none"/>
              </w:rPr>
              <w:t>准</w:t>
            </w:r>
          </w:p>
        </w:tc>
        <w:tc>
          <w:tcPr>
            <w:tcW w:w="8731"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before="95" w:beforeLines="30"/>
              <w:textAlignment w:val="auto"/>
              <w:rPr>
                <w:rFonts w:hint="eastAsia"/>
                <w:color w:val="auto"/>
              </w:rPr>
            </w:pPr>
            <w:r>
              <w:rPr>
                <w:rFonts w:hint="eastAsia"/>
                <w:color w:val="auto"/>
              </w:rPr>
              <w:t>1、废气排放标准</w:t>
            </w:r>
          </w:p>
          <w:p>
            <w:pPr>
              <w:pStyle w:val="16"/>
              <w:keepLines w:val="0"/>
              <w:pageBreakBefore w:val="0"/>
              <w:kinsoku/>
              <w:wordWrap/>
              <w:bidi w:val="0"/>
              <w:adjustRightInd w:val="0"/>
              <w:snapToGrid w:val="0"/>
              <w:textAlignment w:val="auto"/>
              <w:rPr>
                <w:rFonts w:hint="eastAsia" w:eastAsia="宋体"/>
                <w:color w:val="auto"/>
                <w:highlight w:val="none"/>
                <w:lang w:eastAsia="zh-CN"/>
              </w:rPr>
            </w:pPr>
            <w:r>
              <w:rPr>
                <w:color w:val="auto"/>
              </w:rPr>
              <w:t>项目废气中</w:t>
            </w:r>
            <w:r>
              <w:rPr>
                <w:rFonts w:hint="eastAsia"/>
                <w:color w:val="auto"/>
                <w:lang w:val="en-US" w:eastAsia="zh-CN"/>
              </w:rPr>
              <w:t>颗粒物、</w:t>
            </w:r>
            <w:r>
              <w:rPr>
                <w:color w:val="auto"/>
              </w:rPr>
              <w:t>非甲烷总烃排放执行《大气污染物综合排放标准》</w:t>
            </w:r>
            <w:r>
              <w:rPr>
                <w:rFonts w:hint="eastAsia"/>
                <w:color w:val="auto"/>
              </w:rPr>
              <w:t>（</w:t>
            </w:r>
            <w:r>
              <w:rPr>
                <w:color w:val="auto"/>
              </w:rPr>
              <w:t>GB</w:t>
            </w:r>
            <w:r>
              <w:rPr>
                <w:rFonts w:hint="eastAsia"/>
                <w:color w:val="auto"/>
              </w:rPr>
              <w:t xml:space="preserve"> </w:t>
            </w:r>
            <w:r>
              <w:rPr>
                <w:color w:val="auto"/>
              </w:rPr>
              <w:t>16297-1996）表2中排放限值；</w:t>
            </w:r>
            <w:r>
              <w:rPr>
                <w:rFonts w:hint="eastAsia"/>
                <w:color w:val="auto"/>
              </w:rPr>
              <w:t>天然气燃烧废气排放执行</w:t>
            </w:r>
            <w:r>
              <w:rPr>
                <w:rFonts w:hint="eastAsia"/>
                <w:color w:val="auto"/>
                <w:lang w:eastAsia="zh-CN"/>
              </w:rPr>
              <w:t>《工业炉窑大气污染物排放标准》（GB</w:t>
            </w:r>
            <w:r>
              <w:rPr>
                <w:rFonts w:hint="eastAsia"/>
                <w:color w:val="auto"/>
                <w:lang w:val="en-US" w:eastAsia="zh-CN"/>
              </w:rPr>
              <w:t xml:space="preserve"> </w:t>
            </w:r>
            <w:r>
              <w:rPr>
                <w:rFonts w:hint="eastAsia"/>
                <w:color w:val="auto"/>
                <w:lang w:eastAsia="zh-CN"/>
              </w:rPr>
              <w:t>9078-1996）和《安徽省大气办关于印发＜安徽省2020年大气污染防治重点工作任务＞的通知》（皖大气办〔2020〕2号）中排放限值</w:t>
            </w:r>
            <w:r>
              <w:rPr>
                <w:rFonts w:hint="eastAsia"/>
                <w:color w:val="auto"/>
              </w:rPr>
              <w:t>；</w:t>
            </w:r>
            <w:r>
              <w:rPr>
                <w:color w:val="auto"/>
              </w:rPr>
              <w:t>厂区内挥发性有机物排放执行《挥发性有机物无组织排放控制标准》</w:t>
            </w:r>
            <w:r>
              <w:rPr>
                <w:rFonts w:hint="eastAsia"/>
                <w:color w:val="auto"/>
              </w:rPr>
              <w:t>（</w:t>
            </w:r>
            <w:r>
              <w:rPr>
                <w:color w:val="auto"/>
              </w:rPr>
              <w:t>GB</w:t>
            </w:r>
            <w:r>
              <w:rPr>
                <w:rFonts w:hint="eastAsia"/>
                <w:color w:val="auto"/>
              </w:rPr>
              <w:t xml:space="preserve"> </w:t>
            </w:r>
            <w:r>
              <w:rPr>
                <w:color w:val="auto"/>
              </w:rPr>
              <w:t>37822-2019）表A.1厂区内VOCs无组织排放限值</w:t>
            </w:r>
            <w:r>
              <w:rPr>
                <w:rFonts w:hint="eastAsia"/>
                <w:color w:val="auto"/>
                <w:lang w:eastAsia="zh-CN"/>
              </w:rPr>
              <w:t>；食堂油烟排放参照执行《饮食业油烟排放标准》（试行）(GB</w:t>
            </w:r>
            <w:r>
              <w:rPr>
                <w:rFonts w:hint="eastAsia"/>
                <w:color w:val="auto"/>
                <w:lang w:val="en-US" w:eastAsia="zh-CN"/>
              </w:rPr>
              <w:t xml:space="preserve"> </w:t>
            </w:r>
            <w:r>
              <w:rPr>
                <w:rFonts w:hint="eastAsia"/>
                <w:color w:val="auto"/>
                <w:lang w:eastAsia="zh-CN"/>
              </w:rPr>
              <w:t>18483-2001)中有关规定。</w:t>
            </w:r>
          </w:p>
          <w:p>
            <w:pPr>
              <w:pStyle w:val="11"/>
              <w:keepLines w:val="0"/>
              <w:pageBreakBefore w:val="0"/>
              <w:kinsoku/>
              <w:wordWrap/>
              <w:bidi w:val="0"/>
              <w:adjustRightInd w:val="0"/>
              <w:snapToGrid w:val="0"/>
              <w:textAlignment w:val="auto"/>
              <w:rPr>
                <w:color w:val="auto"/>
                <w:highlight w:val="none"/>
              </w:rPr>
            </w:pPr>
            <w:r>
              <w:rPr>
                <w:color w:val="auto"/>
              </w:rPr>
              <w:t>表3-</w:t>
            </w:r>
            <w:r>
              <w:rPr>
                <w:rFonts w:hint="eastAsia"/>
                <w:color w:val="auto"/>
                <w:lang w:val="en-US" w:eastAsia="zh-CN"/>
              </w:rPr>
              <w:t>5</w:t>
            </w:r>
            <w:r>
              <w:rPr>
                <w:rFonts w:hint="eastAsia"/>
                <w:color w:val="auto"/>
              </w:rPr>
              <w:t xml:space="preserve"> </w:t>
            </w:r>
            <w:r>
              <w:rPr>
                <w:color w:val="auto"/>
              </w:rPr>
              <w:t>《大气污染物综合排放标准》</w:t>
            </w:r>
            <w:r>
              <w:rPr>
                <w:rFonts w:hint="eastAsia"/>
                <w:color w:val="auto"/>
              </w:rPr>
              <w:t>（GB 16297-1996</w:t>
            </w:r>
            <w:r>
              <w:rPr>
                <w:color w:val="auto"/>
              </w:rPr>
              <w:t>）</w:t>
            </w:r>
          </w:p>
          <w:tbl>
            <w:tblPr>
              <w:tblStyle w:val="7"/>
              <w:tblW w:w="86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74"/>
              <w:gridCol w:w="1928"/>
              <w:gridCol w:w="1936"/>
              <w:gridCol w:w="982"/>
              <w:gridCol w:w="23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74"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污染物项目</w:t>
                  </w:r>
                </w:p>
              </w:tc>
              <w:tc>
                <w:tcPr>
                  <w:tcW w:w="1928"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最高允许排放浓度</w:t>
                  </w:r>
                  <w:r>
                    <w:rPr>
                      <w:color w:val="auto"/>
                    </w:rPr>
                    <w:t>（</w:t>
                  </w:r>
                  <w:r>
                    <w:rPr>
                      <w:rFonts w:hint="default"/>
                      <w:color w:val="auto"/>
                    </w:rPr>
                    <w:t>mg/m³</w:t>
                  </w:r>
                  <w:r>
                    <w:rPr>
                      <w:color w:val="auto"/>
                    </w:rPr>
                    <w:t>）</w:t>
                  </w:r>
                </w:p>
              </w:tc>
              <w:tc>
                <w:tcPr>
                  <w:tcW w:w="2918" w:type="dxa"/>
                  <w:gridSpan w:val="2"/>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最高允许排放速率</w:t>
                  </w:r>
                  <w:r>
                    <w:rPr>
                      <w:color w:val="auto"/>
                    </w:rPr>
                    <w:t>（</w:t>
                  </w:r>
                  <w:r>
                    <w:rPr>
                      <w:rFonts w:hint="default"/>
                      <w:color w:val="auto"/>
                    </w:rPr>
                    <w:t>kg/h</w:t>
                  </w:r>
                  <w:r>
                    <w:rPr>
                      <w:color w:val="auto"/>
                    </w:rPr>
                    <w:t>）</w:t>
                  </w:r>
                </w:p>
              </w:tc>
              <w:tc>
                <w:tcPr>
                  <w:tcW w:w="2324"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无组织排放监控浓度限值</w:t>
                  </w:r>
                  <w:r>
                    <w:rPr>
                      <w:color w:val="auto"/>
                    </w:rPr>
                    <w:t>（</w:t>
                  </w:r>
                  <w:r>
                    <w:rPr>
                      <w:rFonts w:hint="default"/>
                      <w:color w:val="auto"/>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47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color w:val="auto"/>
                      <w:szCs w:val="21"/>
                      <w:highlight w:val="none"/>
                    </w:rPr>
                  </w:pPr>
                </w:p>
              </w:tc>
              <w:tc>
                <w:tcPr>
                  <w:tcW w:w="1928"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rFonts w:hint="default"/>
                      <w:color w:val="auto"/>
                      <w:szCs w:val="21"/>
                      <w:highlight w:val="none"/>
                    </w:rPr>
                  </w:pPr>
                </w:p>
              </w:tc>
              <w:tc>
                <w:tcPr>
                  <w:tcW w:w="1936" w:type="dxa"/>
                  <w:noWrap w:val="0"/>
                  <w:vAlign w:val="center"/>
                </w:tcPr>
                <w:p>
                  <w:pPr>
                    <w:pStyle w:val="15"/>
                    <w:keepLines w:val="0"/>
                    <w:pageBreakBefore w:val="0"/>
                    <w:kinsoku/>
                    <w:wordWrap/>
                    <w:bidi w:val="0"/>
                    <w:adjustRightInd w:val="0"/>
                    <w:snapToGrid w:val="0"/>
                    <w:textAlignment w:val="auto"/>
                    <w:rPr>
                      <w:color w:val="auto"/>
                    </w:rPr>
                  </w:pPr>
                  <w:r>
                    <w:rPr>
                      <w:rFonts w:hint="default"/>
                      <w:color w:val="auto"/>
                    </w:rPr>
                    <w:t>排气筒高度</w:t>
                  </w:r>
                  <w:r>
                    <w:rPr>
                      <w:color w:val="auto"/>
                    </w:rPr>
                    <w:t>（</w:t>
                  </w:r>
                  <w:r>
                    <w:rPr>
                      <w:rFonts w:hint="default"/>
                      <w:color w:val="auto"/>
                    </w:rPr>
                    <w:t>m）</w:t>
                  </w:r>
                </w:p>
              </w:tc>
              <w:tc>
                <w:tcPr>
                  <w:tcW w:w="982" w:type="dxa"/>
                  <w:noWrap w:val="0"/>
                  <w:vAlign w:val="center"/>
                </w:tcPr>
                <w:p>
                  <w:pPr>
                    <w:pStyle w:val="15"/>
                    <w:keepLines w:val="0"/>
                    <w:pageBreakBefore w:val="0"/>
                    <w:kinsoku/>
                    <w:wordWrap/>
                    <w:bidi w:val="0"/>
                    <w:adjustRightInd w:val="0"/>
                    <w:snapToGrid w:val="0"/>
                    <w:textAlignment w:val="auto"/>
                    <w:rPr>
                      <w:color w:val="auto"/>
                    </w:rPr>
                  </w:pPr>
                  <w:r>
                    <w:rPr>
                      <w:color w:val="auto"/>
                    </w:rPr>
                    <w:t>二级</w:t>
                  </w:r>
                </w:p>
              </w:tc>
              <w:tc>
                <w:tcPr>
                  <w:tcW w:w="232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center"/>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74" w:type="dxa"/>
                  <w:noWrap w:val="0"/>
                  <w:vAlign w:val="center"/>
                </w:tcPr>
                <w:p>
                  <w:pPr>
                    <w:pStyle w:val="13"/>
                    <w:keepLines w:val="0"/>
                    <w:pageBreakBefore w:val="0"/>
                    <w:kinsoku/>
                    <w:wordWrap/>
                    <w:bidi w:val="0"/>
                    <w:adjustRightInd w:val="0"/>
                    <w:snapToGrid w:val="0"/>
                    <w:textAlignment w:val="auto"/>
                    <w:rPr>
                      <w:color w:val="auto"/>
                    </w:rPr>
                  </w:pPr>
                  <w:r>
                    <w:rPr>
                      <w:color w:val="auto"/>
                    </w:rPr>
                    <w:t>非甲烷总烃</w:t>
                  </w:r>
                </w:p>
              </w:tc>
              <w:tc>
                <w:tcPr>
                  <w:tcW w:w="1928" w:type="dxa"/>
                  <w:noWrap w:val="0"/>
                  <w:vAlign w:val="center"/>
                </w:tcPr>
                <w:p>
                  <w:pPr>
                    <w:pStyle w:val="13"/>
                    <w:keepLines w:val="0"/>
                    <w:pageBreakBefore w:val="0"/>
                    <w:kinsoku/>
                    <w:wordWrap/>
                    <w:bidi w:val="0"/>
                    <w:adjustRightInd w:val="0"/>
                    <w:snapToGrid w:val="0"/>
                    <w:textAlignment w:val="auto"/>
                    <w:rPr>
                      <w:color w:val="auto"/>
                    </w:rPr>
                  </w:pPr>
                  <w:r>
                    <w:rPr>
                      <w:color w:val="auto"/>
                    </w:rPr>
                    <w:t>120</w:t>
                  </w:r>
                </w:p>
              </w:tc>
              <w:tc>
                <w:tcPr>
                  <w:tcW w:w="1936" w:type="dxa"/>
                  <w:noWrap w:val="0"/>
                  <w:vAlign w:val="center"/>
                </w:tcPr>
                <w:p>
                  <w:pPr>
                    <w:pStyle w:val="13"/>
                    <w:keepLines w:val="0"/>
                    <w:pageBreakBefore w:val="0"/>
                    <w:kinsoku/>
                    <w:wordWrap/>
                    <w:bidi w:val="0"/>
                    <w:adjustRightInd w:val="0"/>
                    <w:snapToGrid w:val="0"/>
                    <w:textAlignment w:val="auto"/>
                    <w:rPr>
                      <w:color w:val="auto"/>
                    </w:rPr>
                  </w:pPr>
                  <w:r>
                    <w:rPr>
                      <w:color w:val="auto"/>
                    </w:rPr>
                    <w:t>15</w:t>
                  </w:r>
                </w:p>
              </w:tc>
              <w:tc>
                <w:tcPr>
                  <w:tcW w:w="982"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lang w:val="en-US" w:eastAsia="zh-CN"/>
                    </w:rPr>
                    <w:t>5</w:t>
                  </w:r>
                  <w:r>
                    <w:rPr>
                      <w:rFonts w:hint="default"/>
                      <w:color w:val="auto"/>
                      <w:vertAlign w:val="superscript"/>
                      <w:lang w:val="en-US" w:eastAsia="zh-CN"/>
                    </w:rPr>
                    <w:t>①</w:t>
                  </w:r>
                </w:p>
              </w:tc>
              <w:tc>
                <w:tcPr>
                  <w:tcW w:w="2324" w:type="dxa"/>
                  <w:noWrap w:val="0"/>
                  <w:vAlign w:val="center"/>
                </w:tcPr>
                <w:p>
                  <w:pPr>
                    <w:pStyle w:val="13"/>
                    <w:keepLines w:val="0"/>
                    <w:pageBreakBefore w:val="0"/>
                    <w:kinsoku/>
                    <w:wordWrap/>
                    <w:bidi w:val="0"/>
                    <w:adjustRightInd w:val="0"/>
                    <w:snapToGrid w:val="0"/>
                    <w:textAlignment w:val="auto"/>
                    <w:rPr>
                      <w:color w:val="auto"/>
                    </w:rPr>
                  </w:pPr>
                  <w:r>
                    <w:rPr>
                      <w:color w:val="auto"/>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74" w:type="dxa"/>
                  <w:noWrap w:val="0"/>
                  <w:vAlign w:val="center"/>
                </w:tcPr>
                <w:p>
                  <w:pPr>
                    <w:pStyle w:val="13"/>
                    <w:keepLines w:val="0"/>
                    <w:pageBreakBefore w:val="0"/>
                    <w:kinsoku/>
                    <w:wordWrap/>
                    <w:bidi w:val="0"/>
                    <w:adjustRightInd w:val="0"/>
                    <w:snapToGrid w:val="0"/>
                    <w:textAlignment w:val="auto"/>
                    <w:rPr>
                      <w:rFonts w:hint="eastAsia" w:eastAsia="宋体"/>
                      <w:color w:val="auto"/>
                      <w:lang w:val="en-US" w:eastAsia="zh-CN"/>
                    </w:rPr>
                  </w:pPr>
                  <w:r>
                    <w:rPr>
                      <w:rFonts w:hint="eastAsia"/>
                      <w:color w:val="auto"/>
                      <w:lang w:val="en-US" w:eastAsia="zh-CN"/>
                    </w:rPr>
                    <w:t>颗粒物</w:t>
                  </w:r>
                </w:p>
              </w:tc>
              <w:tc>
                <w:tcPr>
                  <w:tcW w:w="1928" w:type="dxa"/>
                  <w:noWrap w:val="0"/>
                  <w:vAlign w:val="center"/>
                </w:tcPr>
                <w:p>
                  <w:pPr>
                    <w:pStyle w:val="13"/>
                    <w:keepLines w:val="0"/>
                    <w:pageBreakBefore w:val="0"/>
                    <w:kinsoku/>
                    <w:wordWrap/>
                    <w:bidi w:val="0"/>
                    <w:adjustRightInd w:val="0"/>
                    <w:snapToGrid w:val="0"/>
                    <w:textAlignment w:val="auto"/>
                    <w:rPr>
                      <w:color w:val="auto"/>
                    </w:rPr>
                  </w:pPr>
                  <w:r>
                    <w:rPr>
                      <w:color w:val="auto"/>
                    </w:rPr>
                    <w:t>120</w:t>
                  </w:r>
                </w:p>
              </w:tc>
              <w:tc>
                <w:tcPr>
                  <w:tcW w:w="1936" w:type="dxa"/>
                  <w:noWrap w:val="0"/>
                  <w:vAlign w:val="center"/>
                </w:tcPr>
                <w:p>
                  <w:pPr>
                    <w:pStyle w:val="13"/>
                    <w:keepLines w:val="0"/>
                    <w:pageBreakBefore w:val="0"/>
                    <w:kinsoku/>
                    <w:wordWrap/>
                    <w:bidi w:val="0"/>
                    <w:adjustRightInd w:val="0"/>
                    <w:snapToGrid w:val="0"/>
                    <w:textAlignment w:val="auto"/>
                    <w:rPr>
                      <w:rFonts w:hint="default" w:eastAsia="宋体"/>
                      <w:color w:val="auto"/>
                      <w:lang w:val="en-US" w:eastAsia="zh-CN"/>
                    </w:rPr>
                  </w:pPr>
                  <w:r>
                    <w:rPr>
                      <w:rFonts w:hint="eastAsia"/>
                      <w:color w:val="auto"/>
                      <w:lang w:val="en-US" w:eastAsia="zh-CN"/>
                    </w:rPr>
                    <w:t>15</w:t>
                  </w:r>
                </w:p>
              </w:tc>
              <w:tc>
                <w:tcPr>
                  <w:tcW w:w="982"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1.75</w:t>
                  </w:r>
                  <w:r>
                    <w:rPr>
                      <w:rFonts w:hint="eastAsia"/>
                      <w:color w:val="auto"/>
                      <w:vertAlign w:val="superscript"/>
                      <w:lang w:val="en-US" w:eastAsia="zh-CN"/>
                    </w:rPr>
                    <w:t>①</w:t>
                  </w:r>
                </w:p>
              </w:tc>
              <w:tc>
                <w:tcPr>
                  <w:tcW w:w="2324" w:type="dxa"/>
                  <w:noWrap w:val="0"/>
                  <w:vAlign w:val="center"/>
                </w:tcPr>
                <w:p>
                  <w:pPr>
                    <w:pStyle w:val="13"/>
                    <w:keepLines w:val="0"/>
                    <w:pageBreakBefore w:val="0"/>
                    <w:kinsoku/>
                    <w:wordWrap/>
                    <w:bidi w:val="0"/>
                    <w:adjustRightInd w:val="0"/>
                    <w:snapToGrid w:val="0"/>
                    <w:textAlignment w:val="auto"/>
                    <w:rPr>
                      <w:rFonts w:hint="default" w:eastAsia="宋体"/>
                      <w:color w:val="auto"/>
                      <w:lang w:val="en-US" w:eastAsia="zh-CN"/>
                    </w:rPr>
                  </w:pPr>
                  <w:r>
                    <w:rPr>
                      <w:rFonts w:hint="eastAsia"/>
                      <w:color w:val="auto"/>
                      <w:lang w:val="en-US" w:eastAsia="zh-CN"/>
                    </w:rPr>
                    <w:t>1.0</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注：①</w:t>
            </w:r>
            <w:r>
              <w:rPr>
                <w:rFonts w:hint="eastAsia"/>
                <w:color w:val="auto"/>
                <w:lang w:eastAsia="zh-CN"/>
              </w:rPr>
              <w:t>排气筒</w:t>
            </w:r>
            <w:r>
              <w:rPr>
                <w:rFonts w:hint="eastAsia"/>
                <w:color w:val="auto"/>
              </w:rPr>
              <w:t>高度除须遵守表列排放速率标准值外，还应高出周围200m半径范围的建筑5m以上，不能达到该要求的</w:t>
            </w:r>
            <w:r>
              <w:rPr>
                <w:rFonts w:hint="eastAsia"/>
                <w:color w:val="auto"/>
                <w:lang w:eastAsia="zh-CN"/>
              </w:rPr>
              <w:t>排气筒</w:t>
            </w:r>
            <w:r>
              <w:rPr>
                <w:rFonts w:hint="eastAsia"/>
                <w:color w:val="auto"/>
              </w:rPr>
              <w:t>，应按其高度对应的表列排放速率标准值严格50%执行，项目排气筒高度未高出周围200m半径范围的建筑5m以上。</w:t>
            </w:r>
          </w:p>
          <w:p>
            <w:pPr>
              <w:pStyle w:val="11"/>
              <w:bidi w:val="0"/>
              <w:rPr>
                <w:rFonts w:hint="default"/>
                <w:color w:val="auto"/>
              </w:rPr>
            </w:pPr>
            <w:r>
              <w:rPr>
                <w:color w:val="auto"/>
              </w:rPr>
              <w:t>表3-</w:t>
            </w:r>
            <w:r>
              <w:rPr>
                <w:rFonts w:hint="eastAsia"/>
                <w:color w:val="auto"/>
                <w:lang w:val="en-US" w:eastAsia="zh-CN"/>
              </w:rPr>
              <w:t>6</w:t>
            </w:r>
            <w:r>
              <w:rPr>
                <w:rFonts w:hint="eastAsia"/>
                <w:color w:val="auto"/>
              </w:rPr>
              <w:t xml:space="preserve"> </w:t>
            </w:r>
            <w:r>
              <w:rPr>
                <w:rFonts w:hint="eastAsia"/>
                <w:color w:val="auto"/>
                <w:lang w:eastAsia="zh-CN"/>
              </w:rPr>
              <w:t>天然气燃烧废气</w:t>
            </w:r>
            <w:r>
              <w:rPr>
                <w:rFonts w:hint="eastAsia"/>
                <w:color w:val="auto"/>
                <w:lang w:val="en-US" w:eastAsia="zh-CN"/>
              </w:rPr>
              <w:t>排放标准</w:t>
            </w:r>
          </w:p>
          <w:tbl>
            <w:tblPr>
              <w:tblStyle w:val="7"/>
              <w:tblW w:w="856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79" w:type="dxa"/>
                <w:bottom w:w="0" w:type="dxa"/>
                <w:right w:w="79" w:type="dxa"/>
              </w:tblCellMar>
            </w:tblPr>
            <w:tblGrid>
              <w:gridCol w:w="3628"/>
              <w:gridCol w:w="1701"/>
              <w:gridCol w:w="1701"/>
              <w:gridCol w:w="1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tblHeader/>
                <w:jc w:val="center"/>
              </w:trPr>
              <w:tc>
                <w:tcPr>
                  <w:tcW w:w="3628"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eastAsia="zh-CN"/>
                    </w:rPr>
                    <w:t>类别</w:t>
                  </w:r>
                </w:p>
              </w:tc>
              <w:tc>
                <w:tcPr>
                  <w:tcW w:w="170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污染物项目</w:t>
                  </w:r>
                </w:p>
              </w:tc>
              <w:tc>
                <w:tcPr>
                  <w:tcW w:w="170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lang w:eastAsia="zh-CN"/>
                    </w:rPr>
                    <w:t>排放</w:t>
                  </w:r>
                  <w:r>
                    <w:rPr>
                      <w:rFonts w:hint="eastAsia"/>
                      <w:color w:val="auto"/>
                      <w:sz w:val="21"/>
                      <w:szCs w:val="21"/>
                      <w:lang w:eastAsia="zh-CN"/>
                    </w:rPr>
                    <w:t>限值</w:t>
                  </w:r>
                </w:p>
              </w:tc>
              <w:tc>
                <w:tcPr>
                  <w:tcW w:w="1531" w:type="dxa"/>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eastAsia="zh-CN"/>
                    </w:rPr>
                  </w:pPr>
                  <w:r>
                    <w:rPr>
                      <w:rFonts w:hint="default"/>
                      <w:color w:val="auto"/>
                      <w:sz w:val="21"/>
                      <w:szCs w:val="21"/>
                      <w:lang w:eastAsia="zh-CN"/>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680" w:hRule="atLeast"/>
                <w:jc w:val="center"/>
              </w:trPr>
              <w:tc>
                <w:tcPr>
                  <w:tcW w:w="3628"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eastAsia="zh-CN"/>
                    </w:rPr>
                  </w:pPr>
                  <w:r>
                    <w:rPr>
                      <w:rFonts w:hint="default"/>
                      <w:color w:val="auto"/>
                      <w:sz w:val="21"/>
                      <w:szCs w:val="21"/>
                      <w:lang w:eastAsia="zh-CN"/>
                    </w:rPr>
                    <w:t>《工业炉窑大气污染物排放标准》</w:t>
                  </w:r>
                </w:p>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eastAsia="zh-CN"/>
                    </w:rPr>
                    <w:t>（GB</w:t>
                  </w:r>
                  <w:r>
                    <w:rPr>
                      <w:rFonts w:hint="eastAsia"/>
                      <w:color w:val="auto"/>
                      <w:sz w:val="21"/>
                      <w:szCs w:val="21"/>
                      <w:lang w:val="en-US" w:eastAsia="zh-CN"/>
                    </w:rPr>
                    <w:t xml:space="preserve"> </w:t>
                  </w:r>
                  <w:r>
                    <w:rPr>
                      <w:rFonts w:hint="default"/>
                      <w:color w:val="auto"/>
                      <w:sz w:val="21"/>
                      <w:szCs w:val="21"/>
                      <w:lang w:eastAsia="zh-CN"/>
                    </w:rPr>
                    <w:t>9078-1996）</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颗粒物</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200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jc w:val="center"/>
              </w:trPr>
              <w:tc>
                <w:tcPr>
                  <w:tcW w:w="3628" w:type="dxa"/>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eastAsia="zh-CN"/>
                    </w:rPr>
                    <w:t>《安徽省大气办关于印发＜安徽省2020年大气污染防治重点工作任务＞的通知》（皖大气办〔2020〕2号）</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颗粒物</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30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jc w:val="center"/>
              </w:trPr>
              <w:tc>
                <w:tcPr>
                  <w:tcW w:w="3628"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二氧化硫</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200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jc w:val="center"/>
              </w:trPr>
              <w:tc>
                <w:tcPr>
                  <w:tcW w:w="3628"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氮氧化物</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300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jc w:val="center"/>
              </w:trPr>
              <w:tc>
                <w:tcPr>
                  <w:tcW w:w="3628" w:type="dxa"/>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eastAsia="zh-CN"/>
                    </w:rPr>
                    <w:t>本项目执行标准限值</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颗粒物</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30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jc w:val="center"/>
              </w:trPr>
              <w:tc>
                <w:tcPr>
                  <w:tcW w:w="3628"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二氧化硫</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200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79" w:type="dxa"/>
                  <w:bottom w:w="0" w:type="dxa"/>
                  <w:right w:w="79" w:type="dxa"/>
                </w:tblCellMar>
              </w:tblPrEx>
              <w:trPr>
                <w:trHeight w:val="454" w:hRule="atLeast"/>
                <w:jc w:val="center"/>
              </w:trPr>
              <w:tc>
                <w:tcPr>
                  <w:tcW w:w="3628"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氮氧化物</w:t>
                  </w:r>
                </w:p>
              </w:tc>
              <w:tc>
                <w:tcPr>
                  <w:tcW w:w="170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300</w:t>
                  </w:r>
                </w:p>
              </w:tc>
              <w:tc>
                <w:tcPr>
                  <w:tcW w:w="153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rPr>
                    <w:t>mg/m³</w:t>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表3-</w:t>
            </w:r>
            <w:r>
              <w:rPr>
                <w:rFonts w:hint="eastAsia"/>
                <w:color w:val="auto"/>
                <w:lang w:val="en-US" w:eastAsia="zh-CN"/>
              </w:rPr>
              <w:t>7</w:t>
            </w:r>
            <w:r>
              <w:rPr>
                <w:rFonts w:hint="eastAsia"/>
                <w:color w:val="auto"/>
              </w:rPr>
              <w:t xml:space="preserve"> </w:t>
            </w:r>
            <w:r>
              <w:rPr>
                <w:color w:val="auto"/>
              </w:rPr>
              <w:t>《挥发性有机物无组织排放控制标准》</w:t>
            </w:r>
            <w:r>
              <w:rPr>
                <w:rFonts w:hint="eastAsia"/>
                <w:color w:val="auto"/>
              </w:rPr>
              <w:t>（GB 37822-2019）</w:t>
            </w:r>
          </w:p>
          <w:tbl>
            <w:tblPr>
              <w:tblStyle w:val="7"/>
              <w:tblW w:w="85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53"/>
              <w:gridCol w:w="2438"/>
              <w:gridCol w:w="2646"/>
              <w:gridCol w:w="2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53" w:type="dxa"/>
                  <w:noWrap w:val="0"/>
                  <w:vAlign w:val="center"/>
                </w:tcPr>
                <w:p>
                  <w:pPr>
                    <w:pStyle w:val="15"/>
                    <w:keepLines w:val="0"/>
                    <w:pageBreakBefore w:val="0"/>
                    <w:kinsoku/>
                    <w:wordWrap/>
                    <w:bidi w:val="0"/>
                    <w:adjustRightInd w:val="0"/>
                    <w:snapToGrid w:val="0"/>
                    <w:textAlignment w:val="auto"/>
                    <w:rPr>
                      <w:color w:val="auto"/>
                    </w:rPr>
                  </w:pPr>
                  <w:r>
                    <w:rPr>
                      <w:color w:val="auto"/>
                    </w:rPr>
                    <w:t>污染物项目</w:t>
                  </w:r>
                </w:p>
              </w:tc>
              <w:tc>
                <w:tcPr>
                  <w:tcW w:w="2438" w:type="dxa"/>
                  <w:noWrap w:val="0"/>
                  <w:vAlign w:val="center"/>
                </w:tcPr>
                <w:p>
                  <w:pPr>
                    <w:pStyle w:val="15"/>
                    <w:keepLines w:val="0"/>
                    <w:pageBreakBefore w:val="0"/>
                    <w:kinsoku/>
                    <w:wordWrap/>
                    <w:bidi w:val="0"/>
                    <w:adjustRightInd w:val="0"/>
                    <w:snapToGrid w:val="0"/>
                    <w:textAlignment w:val="auto"/>
                    <w:rPr>
                      <w:color w:val="auto"/>
                    </w:rPr>
                  </w:pPr>
                  <w:r>
                    <w:rPr>
                      <w:color w:val="auto"/>
                    </w:rPr>
                    <w:t>特别排放限值</w:t>
                  </w:r>
                  <w:r>
                    <w:rPr>
                      <w:rFonts w:hint="eastAsia"/>
                      <w:color w:val="auto"/>
                    </w:rPr>
                    <w:t>（</w:t>
                  </w:r>
                  <w:r>
                    <w:rPr>
                      <w:color w:val="auto"/>
                    </w:rPr>
                    <w:t>mg/m³</w:t>
                  </w:r>
                  <w:r>
                    <w:rPr>
                      <w:rFonts w:hint="eastAsia"/>
                      <w:color w:val="auto"/>
                    </w:rPr>
                    <w:t>）</w:t>
                  </w:r>
                </w:p>
              </w:tc>
              <w:tc>
                <w:tcPr>
                  <w:tcW w:w="2646" w:type="dxa"/>
                  <w:noWrap w:val="0"/>
                  <w:vAlign w:val="center"/>
                </w:tcPr>
                <w:p>
                  <w:pPr>
                    <w:pStyle w:val="15"/>
                    <w:keepLines w:val="0"/>
                    <w:pageBreakBefore w:val="0"/>
                    <w:kinsoku/>
                    <w:wordWrap/>
                    <w:bidi w:val="0"/>
                    <w:adjustRightInd w:val="0"/>
                    <w:snapToGrid w:val="0"/>
                    <w:textAlignment w:val="auto"/>
                    <w:rPr>
                      <w:color w:val="auto"/>
                    </w:rPr>
                  </w:pPr>
                  <w:r>
                    <w:rPr>
                      <w:color w:val="auto"/>
                    </w:rPr>
                    <w:t>限值含义</w:t>
                  </w:r>
                </w:p>
              </w:tc>
              <w:tc>
                <w:tcPr>
                  <w:tcW w:w="2154" w:type="dxa"/>
                  <w:noWrap w:val="0"/>
                  <w:vAlign w:val="center"/>
                </w:tcPr>
                <w:p>
                  <w:pPr>
                    <w:pStyle w:val="15"/>
                    <w:keepLines w:val="0"/>
                    <w:pageBreakBefore w:val="0"/>
                    <w:kinsoku/>
                    <w:wordWrap/>
                    <w:bidi w:val="0"/>
                    <w:adjustRightInd w:val="0"/>
                    <w:snapToGrid w:val="0"/>
                    <w:textAlignment w:val="auto"/>
                    <w:rPr>
                      <w:color w:val="auto"/>
                    </w:rPr>
                  </w:pPr>
                  <w:r>
                    <w:rPr>
                      <w:color w:val="auto"/>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353" w:type="dxa"/>
                  <w:vMerge w:val="restart"/>
                  <w:noWrap w:val="0"/>
                  <w:vAlign w:val="center"/>
                </w:tcPr>
                <w:p>
                  <w:pPr>
                    <w:pStyle w:val="13"/>
                    <w:keepLines w:val="0"/>
                    <w:pageBreakBefore w:val="0"/>
                    <w:kinsoku/>
                    <w:wordWrap/>
                    <w:bidi w:val="0"/>
                    <w:adjustRightInd w:val="0"/>
                    <w:snapToGrid w:val="0"/>
                    <w:textAlignment w:val="auto"/>
                    <w:rPr>
                      <w:color w:val="auto"/>
                    </w:rPr>
                  </w:pPr>
                  <w:r>
                    <w:rPr>
                      <w:color w:val="auto"/>
                    </w:rPr>
                    <w:t>NMHC</w:t>
                  </w:r>
                </w:p>
              </w:tc>
              <w:tc>
                <w:tcPr>
                  <w:tcW w:w="2438" w:type="dxa"/>
                  <w:noWrap w:val="0"/>
                  <w:vAlign w:val="center"/>
                </w:tcPr>
                <w:p>
                  <w:pPr>
                    <w:pStyle w:val="13"/>
                    <w:keepLines w:val="0"/>
                    <w:pageBreakBefore w:val="0"/>
                    <w:kinsoku/>
                    <w:wordWrap/>
                    <w:bidi w:val="0"/>
                    <w:adjustRightInd w:val="0"/>
                    <w:snapToGrid w:val="0"/>
                    <w:textAlignment w:val="auto"/>
                    <w:rPr>
                      <w:color w:val="auto"/>
                    </w:rPr>
                  </w:pPr>
                  <w:r>
                    <w:rPr>
                      <w:color w:val="auto"/>
                    </w:rPr>
                    <w:t>6</w:t>
                  </w:r>
                </w:p>
              </w:tc>
              <w:tc>
                <w:tcPr>
                  <w:tcW w:w="2646" w:type="dxa"/>
                  <w:noWrap w:val="0"/>
                  <w:vAlign w:val="center"/>
                </w:tcPr>
                <w:p>
                  <w:pPr>
                    <w:pStyle w:val="13"/>
                    <w:keepLines w:val="0"/>
                    <w:pageBreakBefore w:val="0"/>
                    <w:kinsoku/>
                    <w:wordWrap/>
                    <w:bidi w:val="0"/>
                    <w:adjustRightInd w:val="0"/>
                    <w:snapToGrid w:val="0"/>
                    <w:textAlignment w:val="auto"/>
                    <w:rPr>
                      <w:color w:val="auto"/>
                    </w:rPr>
                  </w:pPr>
                  <w:r>
                    <w:rPr>
                      <w:color w:val="auto"/>
                    </w:rPr>
                    <w:t>监控点处1h平均浓度值</w:t>
                  </w:r>
                </w:p>
              </w:tc>
              <w:tc>
                <w:tcPr>
                  <w:tcW w:w="2154" w:type="dxa"/>
                  <w:vMerge w:val="restart"/>
                  <w:noWrap w:val="0"/>
                  <w:vAlign w:val="center"/>
                </w:tcPr>
                <w:p>
                  <w:pPr>
                    <w:pStyle w:val="13"/>
                    <w:keepLines w:val="0"/>
                    <w:pageBreakBefore w:val="0"/>
                    <w:kinsoku/>
                    <w:wordWrap/>
                    <w:bidi w:val="0"/>
                    <w:adjustRightInd w:val="0"/>
                    <w:snapToGrid w:val="0"/>
                    <w:textAlignment w:val="auto"/>
                    <w:rPr>
                      <w:color w:val="auto"/>
                    </w:rPr>
                  </w:pPr>
                  <w:r>
                    <w:rPr>
                      <w:color w:val="auto"/>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53"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2438" w:type="dxa"/>
                  <w:noWrap w:val="0"/>
                  <w:vAlign w:val="center"/>
                </w:tcPr>
                <w:p>
                  <w:pPr>
                    <w:pStyle w:val="13"/>
                    <w:keepLines w:val="0"/>
                    <w:pageBreakBefore w:val="0"/>
                    <w:kinsoku/>
                    <w:wordWrap/>
                    <w:bidi w:val="0"/>
                    <w:adjustRightInd w:val="0"/>
                    <w:snapToGrid w:val="0"/>
                    <w:textAlignment w:val="auto"/>
                    <w:rPr>
                      <w:color w:val="auto"/>
                    </w:rPr>
                  </w:pPr>
                  <w:r>
                    <w:rPr>
                      <w:color w:val="auto"/>
                    </w:rPr>
                    <w:t>20</w:t>
                  </w:r>
                </w:p>
              </w:tc>
              <w:tc>
                <w:tcPr>
                  <w:tcW w:w="2646" w:type="dxa"/>
                  <w:noWrap w:val="0"/>
                  <w:vAlign w:val="center"/>
                </w:tcPr>
                <w:p>
                  <w:pPr>
                    <w:pStyle w:val="13"/>
                    <w:keepLines w:val="0"/>
                    <w:pageBreakBefore w:val="0"/>
                    <w:kinsoku/>
                    <w:wordWrap/>
                    <w:bidi w:val="0"/>
                    <w:adjustRightInd w:val="0"/>
                    <w:snapToGrid w:val="0"/>
                    <w:textAlignment w:val="auto"/>
                    <w:rPr>
                      <w:color w:val="auto"/>
                    </w:rPr>
                  </w:pPr>
                  <w:r>
                    <w:rPr>
                      <w:color w:val="auto"/>
                    </w:rPr>
                    <w:t>监控点处任意一次浓度值</w:t>
                  </w:r>
                </w:p>
              </w:tc>
              <w:tc>
                <w:tcPr>
                  <w:tcW w:w="2154" w:type="dxa"/>
                  <w:vMerge w:val="continue"/>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jc w:val="both"/>
                    <w:textAlignment w:val="auto"/>
                    <w:rPr>
                      <w:b/>
                      <w:bCs/>
                      <w:color w:val="auto"/>
                      <w:sz w:val="21"/>
                      <w:szCs w:val="21"/>
                      <w:highlight w:val="none"/>
                    </w:rPr>
                  </w:pP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表3-8 《饮食业油烟排放标准》</w:t>
            </w:r>
            <w:r>
              <w:rPr>
                <w:rFonts w:hint="eastAsia"/>
                <w:color w:val="auto"/>
              </w:rPr>
              <w:t>（试行）</w:t>
            </w:r>
          </w:p>
          <w:tbl>
            <w:tblPr>
              <w:tblStyle w:val="7"/>
              <w:tblW w:w="86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5"/>
              <w:gridCol w:w="1757"/>
              <w:gridCol w:w="1757"/>
              <w:gridCol w:w="1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5" w:type="dxa"/>
                  <w:tcBorders>
                    <w:tl2br w:val="nil"/>
                    <w:tr2bl w:val="nil"/>
                  </w:tcBorders>
                  <w:noWrap w:val="0"/>
                  <w:vAlign w:val="center"/>
                </w:tcPr>
                <w:p>
                  <w:pPr>
                    <w:pStyle w:val="15"/>
                    <w:bidi w:val="0"/>
                    <w:rPr>
                      <w:rFonts w:hint="eastAsia"/>
                      <w:color w:val="auto"/>
                    </w:rPr>
                  </w:pPr>
                  <w:r>
                    <w:rPr>
                      <w:rFonts w:hint="eastAsia"/>
                      <w:color w:val="auto"/>
                      <w:lang w:val="en-US" w:eastAsia="zh-CN"/>
                    </w:rPr>
                    <w:t>分类</w:t>
                  </w:r>
                </w:p>
              </w:tc>
              <w:tc>
                <w:tcPr>
                  <w:tcW w:w="1757" w:type="dxa"/>
                  <w:tcBorders>
                    <w:tl2br w:val="nil"/>
                    <w:tr2bl w:val="nil"/>
                  </w:tcBorders>
                  <w:noWrap w:val="0"/>
                  <w:vAlign w:val="center"/>
                </w:tcPr>
                <w:p>
                  <w:pPr>
                    <w:pStyle w:val="15"/>
                    <w:bidi w:val="0"/>
                    <w:rPr>
                      <w:rFonts w:hint="eastAsia"/>
                      <w:color w:val="auto"/>
                    </w:rPr>
                  </w:pPr>
                  <w:r>
                    <w:rPr>
                      <w:rFonts w:hint="eastAsia"/>
                      <w:color w:val="auto"/>
                      <w:lang w:val="en-US" w:eastAsia="zh-CN"/>
                    </w:rPr>
                    <w:t>小型</w:t>
                  </w:r>
                </w:p>
              </w:tc>
              <w:tc>
                <w:tcPr>
                  <w:tcW w:w="1757" w:type="dxa"/>
                  <w:tcBorders>
                    <w:tl2br w:val="nil"/>
                    <w:tr2bl w:val="nil"/>
                  </w:tcBorders>
                  <w:noWrap w:val="0"/>
                  <w:vAlign w:val="center"/>
                </w:tcPr>
                <w:p>
                  <w:pPr>
                    <w:pStyle w:val="15"/>
                    <w:bidi w:val="0"/>
                    <w:rPr>
                      <w:rFonts w:hint="eastAsia"/>
                      <w:color w:val="auto"/>
                    </w:rPr>
                  </w:pPr>
                  <w:r>
                    <w:rPr>
                      <w:rFonts w:hint="eastAsia"/>
                      <w:color w:val="auto"/>
                      <w:lang w:val="en-US" w:eastAsia="zh-CN"/>
                    </w:rPr>
                    <w:t>中型</w:t>
                  </w:r>
                </w:p>
              </w:tc>
              <w:tc>
                <w:tcPr>
                  <w:tcW w:w="1757" w:type="dxa"/>
                  <w:tcBorders>
                    <w:tl2br w:val="nil"/>
                    <w:tr2bl w:val="nil"/>
                  </w:tcBorders>
                  <w:noWrap w:val="0"/>
                  <w:vAlign w:val="center"/>
                </w:tcPr>
                <w:p>
                  <w:pPr>
                    <w:pStyle w:val="15"/>
                    <w:bidi w:val="0"/>
                    <w:rPr>
                      <w:rFonts w:hint="eastAsia"/>
                      <w:color w:val="auto"/>
                    </w:rPr>
                  </w:pPr>
                  <w:r>
                    <w:rPr>
                      <w:rFonts w:hint="eastAsia"/>
                      <w:color w:val="auto"/>
                      <w:lang w:val="en-US" w:eastAsia="zh-CN"/>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5" w:type="dxa"/>
                  <w:tcBorders>
                    <w:tl2br w:val="nil"/>
                    <w:tr2bl w:val="nil"/>
                  </w:tcBorders>
                  <w:noWrap w:val="0"/>
                  <w:vAlign w:val="center"/>
                </w:tcPr>
                <w:p>
                  <w:pPr>
                    <w:pStyle w:val="13"/>
                    <w:bidi w:val="0"/>
                    <w:rPr>
                      <w:rFonts w:hint="default"/>
                      <w:color w:val="auto"/>
                    </w:rPr>
                  </w:pPr>
                  <w:r>
                    <w:rPr>
                      <w:rFonts w:hint="default"/>
                      <w:color w:val="auto"/>
                      <w:lang w:val="en-US" w:eastAsia="zh-CN"/>
                    </w:rPr>
                    <w:t>基准灶头数</w:t>
                  </w:r>
                </w:p>
              </w:tc>
              <w:tc>
                <w:tcPr>
                  <w:tcW w:w="1757" w:type="dxa"/>
                  <w:tcBorders>
                    <w:tl2br w:val="nil"/>
                    <w:tr2bl w:val="nil"/>
                  </w:tcBorders>
                  <w:noWrap w:val="0"/>
                  <w:vAlign w:val="center"/>
                </w:tcPr>
                <w:p>
                  <w:pPr>
                    <w:pStyle w:val="13"/>
                    <w:bidi w:val="0"/>
                    <w:rPr>
                      <w:rFonts w:hint="default"/>
                      <w:color w:val="auto"/>
                    </w:rPr>
                  </w:pPr>
                  <w:r>
                    <w:rPr>
                      <w:rFonts w:hint="default"/>
                      <w:color w:val="auto"/>
                      <w:lang w:val="en-US" w:eastAsia="zh-CN"/>
                    </w:rPr>
                    <w:t>≥1，&lt;3</w:t>
                  </w:r>
                </w:p>
              </w:tc>
              <w:tc>
                <w:tcPr>
                  <w:tcW w:w="1757" w:type="dxa"/>
                  <w:tcBorders>
                    <w:tl2br w:val="nil"/>
                    <w:tr2bl w:val="nil"/>
                  </w:tcBorders>
                  <w:noWrap w:val="0"/>
                  <w:vAlign w:val="center"/>
                </w:tcPr>
                <w:p>
                  <w:pPr>
                    <w:pStyle w:val="13"/>
                    <w:bidi w:val="0"/>
                    <w:rPr>
                      <w:rFonts w:hint="default"/>
                      <w:color w:val="auto"/>
                    </w:rPr>
                  </w:pPr>
                  <w:r>
                    <w:rPr>
                      <w:rFonts w:hint="default"/>
                      <w:color w:val="auto"/>
                      <w:lang w:val="en-US" w:eastAsia="zh-CN"/>
                    </w:rPr>
                    <w:t>≥3，&lt;6</w:t>
                  </w:r>
                </w:p>
              </w:tc>
              <w:tc>
                <w:tcPr>
                  <w:tcW w:w="1757" w:type="dxa"/>
                  <w:tcBorders>
                    <w:tl2br w:val="nil"/>
                    <w:tr2bl w:val="nil"/>
                  </w:tcBorders>
                  <w:noWrap w:val="0"/>
                  <w:vAlign w:val="center"/>
                </w:tcPr>
                <w:p>
                  <w:pPr>
                    <w:pStyle w:val="13"/>
                    <w:bidi w:val="0"/>
                    <w:rPr>
                      <w:rFonts w:hint="default"/>
                      <w:color w:val="auto"/>
                    </w:rPr>
                  </w:pPr>
                  <w:r>
                    <w:rPr>
                      <w:rFonts w:hint="default"/>
                      <w:color w:val="auto"/>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5" w:type="dxa"/>
                  <w:tcBorders>
                    <w:tl2br w:val="nil"/>
                    <w:tr2bl w:val="nil"/>
                  </w:tcBorders>
                  <w:noWrap w:val="0"/>
                  <w:vAlign w:val="center"/>
                </w:tcPr>
                <w:p>
                  <w:pPr>
                    <w:pStyle w:val="13"/>
                    <w:bidi w:val="0"/>
                    <w:rPr>
                      <w:rFonts w:hint="default"/>
                      <w:color w:val="auto"/>
                    </w:rPr>
                  </w:pPr>
                  <w:r>
                    <w:rPr>
                      <w:rFonts w:hint="default"/>
                      <w:color w:val="auto"/>
                      <w:lang w:val="en-US" w:eastAsia="zh-CN"/>
                    </w:rPr>
                    <w:t>最高允许排放浓度（mg/m³）</w:t>
                  </w:r>
                </w:p>
              </w:tc>
              <w:tc>
                <w:tcPr>
                  <w:tcW w:w="5271" w:type="dxa"/>
                  <w:gridSpan w:val="3"/>
                  <w:tcBorders>
                    <w:tl2br w:val="nil"/>
                    <w:tr2bl w:val="nil"/>
                  </w:tcBorders>
                  <w:noWrap w:val="0"/>
                  <w:vAlign w:val="center"/>
                </w:tcPr>
                <w:p>
                  <w:pPr>
                    <w:pStyle w:val="13"/>
                    <w:bidi w:val="0"/>
                    <w:rPr>
                      <w:rFonts w:hint="default"/>
                      <w:color w:val="auto"/>
                      <w:lang w:val="en-US" w:eastAsia="zh-CN"/>
                    </w:rPr>
                  </w:pPr>
                  <w:r>
                    <w:rPr>
                      <w:rFonts w:hint="default"/>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5" w:type="dxa"/>
                  <w:tcBorders>
                    <w:tl2br w:val="nil"/>
                    <w:tr2bl w:val="nil"/>
                  </w:tcBorders>
                  <w:noWrap w:val="0"/>
                  <w:vAlign w:val="center"/>
                </w:tcPr>
                <w:p>
                  <w:pPr>
                    <w:pStyle w:val="13"/>
                    <w:bidi w:val="0"/>
                    <w:rPr>
                      <w:rFonts w:hint="default"/>
                      <w:color w:val="auto"/>
                    </w:rPr>
                  </w:pPr>
                  <w:r>
                    <w:rPr>
                      <w:rFonts w:hint="default"/>
                      <w:color w:val="auto"/>
                      <w:lang w:val="en-US" w:eastAsia="zh-CN"/>
                    </w:rPr>
                    <w:t>净化设施最低去除效率（%）</w:t>
                  </w:r>
                </w:p>
              </w:tc>
              <w:tc>
                <w:tcPr>
                  <w:tcW w:w="1757" w:type="dxa"/>
                  <w:tcBorders>
                    <w:tl2br w:val="nil"/>
                    <w:tr2bl w:val="nil"/>
                  </w:tcBorders>
                  <w:noWrap w:val="0"/>
                  <w:vAlign w:val="center"/>
                </w:tcPr>
                <w:p>
                  <w:pPr>
                    <w:pStyle w:val="13"/>
                    <w:bidi w:val="0"/>
                    <w:rPr>
                      <w:rFonts w:hint="default"/>
                      <w:color w:val="auto"/>
                    </w:rPr>
                  </w:pPr>
                  <w:r>
                    <w:rPr>
                      <w:rFonts w:hint="default"/>
                      <w:color w:val="auto"/>
                      <w:lang w:val="en-US" w:eastAsia="zh-CN"/>
                    </w:rPr>
                    <w:t>60</w:t>
                  </w:r>
                </w:p>
              </w:tc>
              <w:tc>
                <w:tcPr>
                  <w:tcW w:w="1757" w:type="dxa"/>
                  <w:tcBorders>
                    <w:tl2br w:val="nil"/>
                    <w:tr2bl w:val="nil"/>
                  </w:tcBorders>
                  <w:noWrap w:val="0"/>
                  <w:vAlign w:val="center"/>
                </w:tcPr>
                <w:p>
                  <w:pPr>
                    <w:pStyle w:val="13"/>
                    <w:bidi w:val="0"/>
                    <w:rPr>
                      <w:rFonts w:hint="default"/>
                      <w:color w:val="auto"/>
                    </w:rPr>
                  </w:pPr>
                  <w:r>
                    <w:rPr>
                      <w:rFonts w:hint="default"/>
                      <w:color w:val="auto"/>
                      <w:lang w:val="en-US" w:eastAsia="zh-CN"/>
                    </w:rPr>
                    <w:t>75</w:t>
                  </w:r>
                </w:p>
              </w:tc>
              <w:tc>
                <w:tcPr>
                  <w:tcW w:w="1757" w:type="dxa"/>
                  <w:tcBorders>
                    <w:tl2br w:val="nil"/>
                    <w:tr2bl w:val="nil"/>
                  </w:tcBorders>
                  <w:noWrap w:val="0"/>
                  <w:vAlign w:val="center"/>
                </w:tcPr>
                <w:p>
                  <w:pPr>
                    <w:pStyle w:val="13"/>
                    <w:bidi w:val="0"/>
                    <w:rPr>
                      <w:rFonts w:hint="default"/>
                      <w:color w:val="auto"/>
                    </w:rPr>
                  </w:pPr>
                  <w:r>
                    <w:rPr>
                      <w:rFonts w:hint="default"/>
                      <w:color w:val="auto"/>
                      <w:lang w:val="en-US" w:eastAsia="zh-CN"/>
                    </w:rPr>
                    <w:t>85</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2、废水排放标准</w:t>
            </w:r>
          </w:p>
          <w:p>
            <w:pPr>
              <w:pStyle w:val="16"/>
              <w:bidi w:val="0"/>
              <w:rPr>
                <w:rFonts w:ascii="Times New Roman" w:hAnsi="Times New Roman" w:eastAsia="宋体" w:cs="宋体"/>
                <w:color w:val="auto"/>
              </w:rPr>
            </w:pPr>
            <w:r>
              <w:rPr>
                <w:color w:val="auto"/>
              </w:rPr>
              <w:t>项目废水为生活污水</w:t>
            </w:r>
            <w:r>
              <w:rPr>
                <w:rFonts w:hint="eastAsia"/>
                <w:color w:val="auto"/>
                <w:lang w:eastAsia="zh-CN"/>
              </w:rPr>
              <w:t>和</w:t>
            </w:r>
            <w:r>
              <w:rPr>
                <w:rFonts w:hint="eastAsia"/>
                <w:color w:val="auto"/>
                <w:lang w:val="en-US" w:eastAsia="zh-CN"/>
              </w:rPr>
              <w:t>冷却排水</w:t>
            </w:r>
            <w:r>
              <w:rPr>
                <w:rFonts w:hint="eastAsia"/>
                <w:color w:val="auto"/>
              </w:rPr>
              <w:t>。</w:t>
            </w:r>
            <w:r>
              <w:rPr>
                <w:color w:val="auto"/>
              </w:rPr>
              <w:t>生活污水</w:t>
            </w:r>
            <w:r>
              <w:rPr>
                <w:rFonts w:hint="eastAsia"/>
                <w:color w:val="auto"/>
              </w:rPr>
              <w:t>经</w:t>
            </w:r>
            <w:r>
              <w:rPr>
                <w:rFonts w:hint="eastAsia"/>
                <w:color w:val="auto"/>
                <w:lang w:val="en-US" w:eastAsia="zh-CN"/>
              </w:rPr>
              <w:t>隔油池、</w:t>
            </w:r>
            <w:r>
              <w:rPr>
                <w:rFonts w:hint="eastAsia"/>
                <w:color w:val="auto"/>
              </w:rPr>
              <w:t>化粪池预处理后</w:t>
            </w:r>
            <w:r>
              <w:rPr>
                <w:rFonts w:hint="eastAsia"/>
                <w:color w:val="auto"/>
                <w:lang w:val="en-US" w:eastAsia="zh-CN"/>
              </w:rPr>
              <w:t>与冷却排水一起</w:t>
            </w:r>
            <w:r>
              <w:rPr>
                <w:rFonts w:hint="eastAsia"/>
                <w:color w:val="auto"/>
              </w:rPr>
              <w:t>排入市政管网，进入</w:t>
            </w:r>
            <w:r>
              <w:rPr>
                <w:rFonts w:hint="eastAsia"/>
                <w:color w:val="auto"/>
                <w:lang w:eastAsia="zh-CN"/>
              </w:rPr>
              <w:t>怀远经济开发区污水处理厂</w:t>
            </w:r>
            <w:r>
              <w:rPr>
                <w:rFonts w:hint="eastAsia"/>
                <w:color w:val="auto"/>
                <w:lang w:val="en-US" w:eastAsia="zh-CN"/>
              </w:rPr>
              <w:t>进一步</w:t>
            </w:r>
            <w:r>
              <w:rPr>
                <w:rFonts w:hint="eastAsia"/>
                <w:color w:val="auto"/>
              </w:rPr>
              <w:t>处理。项目废水</w:t>
            </w:r>
            <w:r>
              <w:rPr>
                <w:color w:val="auto"/>
              </w:rPr>
              <w:t>排放执行</w:t>
            </w:r>
            <w:r>
              <w:rPr>
                <w:rFonts w:hint="eastAsia"/>
                <w:color w:val="auto"/>
                <w:lang w:eastAsia="zh-CN"/>
              </w:rPr>
              <w:t>怀远经济开发区污水处理厂</w:t>
            </w:r>
            <w:r>
              <w:rPr>
                <w:rFonts w:hint="eastAsia"/>
                <w:color w:val="auto"/>
              </w:rPr>
              <w:t>接管限值</w:t>
            </w:r>
            <w:r>
              <w:rPr>
                <w:color w:val="auto"/>
              </w:rPr>
              <w:t>和《污水综合排放标准》</w:t>
            </w:r>
            <w:r>
              <w:rPr>
                <w:rFonts w:hint="eastAsia"/>
                <w:color w:val="auto"/>
              </w:rPr>
              <w:t>（</w:t>
            </w:r>
            <w:r>
              <w:rPr>
                <w:color w:val="auto"/>
              </w:rPr>
              <w:t>GB8978-1996）表4中三级标准</w:t>
            </w:r>
            <w:r>
              <w:rPr>
                <w:rFonts w:hint="eastAsia"/>
                <w:color w:val="auto"/>
              </w:rPr>
              <w:t>限值</w:t>
            </w:r>
            <w:r>
              <w:rPr>
                <w:color w:val="auto"/>
              </w:rPr>
              <w:t>；</w:t>
            </w:r>
            <w:r>
              <w:rPr>
                <w:rFonts w:hint="eastAsia"/>
                <w:color w:val="auto"/>
                <w:lang w:eastAsia="zh-CN"/>
              </w:rPr>
              <w:t>怀远经济开发区污水处理厂</w:t>
            </w:r>
            <w:r>
              <w:rPr>
                <w:color w:val="auto"/>
              </w:rPr>
              <w:t>尾水排放执行《城镇污水处理厂污染物排放标准》</w:t>
            </w:r>
            <w:r>
              <w:rPr>
                <w:rFonts w:hint="eastAsia"/>
                <w:color w:val="auto"/>
              </w:rPr>
              <w:t>（</w:t>
            </w:r>
            <w:r>
              <w:rPr>
                <w:color w:val="auto"/>
              </w:rPr>
              <w:t>GB</w:t>
            </w:r>
            <w:r>
              <w:rPr>
                <w:rFonts w:hint="eastAsia"/>
                <w:color w:val="auto"/>
              </w:rPr>
              <w:t xml:space="preserve"> </w:t>
            </w:r>
            <w:r>
              <w:rPr>
                <w:color w:val="auto"/>
              </w:rPr>
              <w:t>18918-2002）</w:t>
            </w:r>
            <w:r>
              <w:rPr>
                <w:rFonts w:hint="eastAsia"/>
                <w:color w:val="auto"/>
              </w:rPr>
              <w:t>中</w:t>
            </w:r>
            <w:r>
              <w:rPr>
                <w:color w:val="auto"/>
              </w:rPr>
              <w:t>一级A标准。</w:t>
            </w:r>
            <w:r>
              <w:rPr>
                <w:rFonts w:hint="eastAsia"/>
                <w:color w:val="auto"/>
                <w:lang w:eastAsia="zh-CN"/>
              </w:rPr>
              <w:t>具体内容见下表。</w:t>
            </w:r>
          </w:p>
          <w:p>
            <w:pPr>
              <w:pStyle w:val="11"/>
              <w:bidi w:val="0"/>
              <w:rPr>
                <w:rFonts w:hint="eastAsia"/>
                <w:color w:val="auto"/>
              </w:rPr>
            </w:pPr>
            <w:r>
              <w:rPr>
                <w:color w:val="auto"/>
              </w:rPr>
              <w:t>表3-</w:t>
            </w:r>
            <w:r>
              <w:rPr>
                <w:rFonts w:hint="eastAsia"/>
                <w:color w:val="auto"/>
                <w:lang w:val="en-US" w:eastAsia="zh-CN"/>
              </w:rPr>
              <w:t>9</w:t>
            </w:r>
            <w:r>
              <w:rPr>
                <w:rFonts w:hint="eastAsia"/>
                <w:color w:val="auto"/>
              </w:rPr>
              <w:t xml:space="preserve"> </w:t>
            </w:r>
            <w:r>
              <w:rPr>
                <w:color w:val="auto"/>
              </w:rPr>
              <w:t>废水排放标准</w:t>
            </w:r>
            <w:r>
              <w:rPr>
                <w:rFonts w:hint="eastAsia"/>
                <w:color w:val="auto"/>
              </w:rPr>
              <w:t>（</w:t>
            </w:r>
            <w:r>
              <w:rPr>
                <w:color w:val="auto"/>
              </w:rPr>
              <w:t>单位：mg/L，pH：无量纲）</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628"/>
              <w:gridCol w:w="794"/>
              <w:gridCol w:w="794"/>
              <w:gridCol w:w="850"/>
              <w:gridCol w:w="907"/>
              <w:gridCol w:w="624"/>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28"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标准来源</w:t>
                  </w:r>
                </w:p>
              </w:tc>
              <w:tc>
                <w:tcPr>
                  <w:tcW w:w="79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pH</w:t>
                  </w:r>
                </w:p>
              </w:tc>
              <w:tc>
                <w:tcPr>
                  <w:tcW w:w="79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COD</w:t>
                  </w:r>
                </w:p>
              </w:tc>
              <w:tc>
                <w:tcPr>
                  <w:tcW w:w="850"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BOD</w:t>
                  </w:r>
                  <w:r>
                    <w:rPr>
                      <w:rFonts w:hint="default"/>
                      <w:color w:val="auto"/>
                      <w:vertAlign w:val="subscript"/>
                    </w:rPr>
                    <w:t>5</w:t>
                  </w:r>
                </w:p>
              </w:tc>
              <w:tc>
                <w:tcPr>
                  <w:tcW w:w="907"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NH</w:t>
                  </w:r>
                  <w:r>
                    <w:rPr>
                      <w:rFonts w:hint="default"/>
                      <w:color w:val="auto"/>
                      <w:vertAlign w:val="subscript"/>
                    </w:rPr>
                    <w:t>3</w:t>
                  </w:r>
                  <w:r>
                    <w:rPr>
                      <w:rFonts w:hint="default"/>
                      <w:color w:val="auto"/>
                    </w:rPr>
                    <w:t>-N</w:t>
                  </w:r>
                </w:p>
              </w:tc>
              <w:tc>
                <w:tcPr>
                  <w:tcW w:w="624" w:type="dxa"/>
                  <w:noWrap w:val="0"/>
                  <w:vAlign w:val="center"/>
                </w:tcPr>
                <w:p>
                  <w:pPr>
                    <w:pStyle w:val="15"/>
                    <w:keepLines w:val="0"/>
                    <w:pageBreakBefore w:val="0"/>
                    <w:kinsoku/>
                    <w:wordWrap/>
                    <w:bidi w:val="0"/>
                    <w:adjustRightInd w:val="0"/>
                    <w:snapToGrid w:val="0"/>
                    <w:textAlignment w:val="auto"/>
                    <w:rPr>
                      <w:rFonts w:hint="default"/>
                      <w:color w:val="auto"/>
                      <w:lang w:val="en-US" w:eastAsia="zh-CN"/>
                    </w:rPr>
                  </w:pPr>
                  <w:r>
                    <w:rPr>
                      <w:rFonts w:hint="default"/>
                      <w:color w:val="auto"/>
                    </w:rPr>
                    <w:t>SS</w:t>
                  </w:r>
                </w:p>
              </w:tc>
              <w:tc>
                <w:tcPr>
                  <w:tcW w:w="1020" w:type="dxa"/>
                  <w:noWrap w:val="0"/>
                  <w:vAlign w:val="center"/>
                </w:tcPr>
                <w:p>
                  <w:pPr>
                    <w:pStyle w:val="15"/>
                    <w:keepLines w:val="0"/>
                    <w:pageBreakBefore w:val="0"/>
                    <w:kinsoku/>
                    <w:wordWrap/>
                    <w:bidi w:val="0"/>
                    <w:adjustRightInd w:val="0"/>
                    <w:snapToGrid w:val="0"/>
                    <w:textAlignment w:val="auto"/>
                    <w:rPr>
                      <w:rFonts w:hint="eastAsia" w:eastAsia="宋体"/>
                      <w:color w:val="auto"/>
                      <w:lang w:val="en-US" w:eastAsia="zh-CN"/>
                    </w:rPr>
                  </w:pPr>
                  <w:r>
                    <w:rPr>
                      <w:rFonts w:hint="eastAsia"/>
                      <w:color w:val="auto"/>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3628"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《污水综合排放标准》（GB 8978-1996）表4</w:t>
                  </w:r>
                  <w:r>
                    <w:rPr>
                      <w:rFonts w:hint="eastAsia"/>
                      <w:color w:val="auto"/>
                      <w:lang w:eastAsia="zh-CN"/>
                    </w:rPr>
                    <w:t>中</w:t>
                  </w:r>
                  <w:r>
                    <w:rPr>
                      <w:color w:val="auto"/>
                    </w:rPr>
                    <w:t>三级标准</w:t>
                  </w:r>
                </w:p>
              </w:tc>
              <w:tc>
                <w:tcPr>
                  <w:tcW w:w="794" w:type="dxa"/>
                  <w:noWrap w:val="0"/>
                  <w:vAlign w:val="center"/>
                </w:tcPr>
                <w:p>
                  <w:pPr>
                    <w:pStyle w:val="13"/>
                    <w:keepLines w:val="0"/>
                    <w:pageBreakBefore w:val="0"/>
                    <w:kinsoku/>
                    <w:wordWrap/>
                    <w:bidi w:val="0"/>
                    <w:adjustRightInd w:val="0"/>
                    <w:snapToGrid w:val="0"/>
                    <w:textAlignment w:val="auto"/>
                    <w:rPr>
                      <w:color w:val="auto"/>
                    </w:rPr>
                  </w:pPr>
                  <w:r>
                    <w:rPr>
                      <w:color w:val="auto"/>
                    </w:rPr>
                    <w:t>6～9</w:t>
                  </w:r>
                </w:p>
              </w:tc>
              <w:tc>
                <w:tcPr>
                  <w:tcW w:w="794" w:type="dxa"/>
                  <w:noWrap w:val="0"/>
                  <w:vAlign w:val="center"/>
                </w:tcPr>
                <w:p>
                  <w:pPr>
                    <w:pStyle w:val="13"/>
                    <w:keepLines w:val="0"/>
                    <w:pageBreakBefore w:val="0"/>
                    <w:kinsoku/>
                    <w:wordWrap/>
                    <w:bidi w:val="0"/>
                    <w:adjustRightInd w:val="0"/>
                    <w:snapToGrid w:val="0"/>
                    <w:textAlignment w:val="auto"/>
                    <w:rPr>
                      <w:color w:val="auto"/>
                    </w:rPr>
                  </w:pPr>
                  <w:r>
                    <w:rPr>
                      <w:color w:val="auto"/>
                    </w:rPr>
                    <w:t>500</w:t>
                  </w:r>
                </w:p>
              </w:tc>
              <w:tc>
                <w:tcPr>
                  <w:tcW w:w="850" w:type="dxa"/>
                  <w:noWrap w:val="0"/>
                  <w:vAlign w:val="center"/>
                </w:tcPr>
                <w:p>
                  <w:pPr>
                    <w:pStyle w:val="13"/>
                    <w:keepLines w:val="0"/>
                    <w:pageBreakBefore w:val="0"/>
                    <w:kinsoku/>
                    <w:wordWrap/>
                    <w:bidi w:val="0"/>
                    <w:adjustRightInd w:val="0"/>
                    <w:snapToGrid w:val="0"/>
                    <w:textAlignment w:val="auto"/>
                    <w:rPr>
                      <w:color w:val="auto"/>
                    </w:rPr>
                  </w:pPr>
                  <w:r>
                    <w:rPr>
                      <w:color w:val="auto"/>
                    </w:rPr>
                    <w:t>300</w:t>
                  </w:r>
                </w:p>
              </w:tc>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w:t>
                  </w:r>
                </w:p>
              </w:tc>
              <w:tc>
                <w:tcPr>
                  <w:tcW w:w="624"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color w:val="auto"/>
                    </w:rPr>
                    <w:t>400</w:t>
                  </w:r>
                </w:p>
              </w:tc>
              <w:tc>
                <w:tcPr>
                  <w:tcW w:w="1020" w:type="dxa"/>
                  <w:noWrap w:val="0"/>
                  <w:vAlign w:val="center"/>
                </w:tcPr>
                <w:p>
                  <w:pPr>
                    <w:pStyle w:val="13"/>
                    <w:keepLines w:val="0"/>
                    <w:pageBreakBefore w:val="0"/>
                    <w:kinsoku/>
                    <w:wordWrap/>
                    <w:bidi w:val="0"/>
                    <w:adjustRightInd w:val="0"/>
                    <w:snapToGrid w:val="0"/>
                    <w:textAlignment w:val="auto"/>
                    <w:rPr>
                      <w:rFonts w:hint="default" w:eastAsia="宋体"/>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28"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lang w:eastAsia="zh-CN"/>
                    </w:rPr>
                    <w:t>怀远经济开发区污水处理厂接管限值</w:t>
                  </w: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color w:val="auto"/>
                    </w:rPr>
                    <w:t>6～9</w:t>
                  </w: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color w:val="auto"/>
                    </w:rPr>
                    <w:t>500</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color w:val="auto"/>
                    </w:rPr>
                    <w:t>300</w:t>
                  </w:r>
                </w:p>
              </w:tc>
              <w:tc>
                <w:tcPr>
                  <w:tcW w:w="90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color w:val="auto"/>
                    </w:rPr>
                    <w:t>30</w:t>
                  </w:r>
                </w:p>
              </w:tc>
              <w:tc>
                <w:tcPr>
                  <w:tcW w:w="62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color w:val="auto"/>
                    </w:rPr>
                    <w:t>400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28" w:type="dxa"/>
                  <w:noWrap w:val="0"/>
                  <w:vAlign w:val="center"/>
                </w:tcPr>
                <w:p>
                  <w:pPr>
                    <w:pStyle w:val="13"/>
                    <w:keepLines w:val="0"/>
                    <w:pageBreakBefore w:val="0"/>
                    <w:kinsoku/>
                    <w:wordWrap/>
                    <w:bidi w:val="0"/>
                    <w:adjustRightInd w:val="0"/>
                    <w:snapToGrid w:val="0"/>
                    <w:textAlignment w:val="auto"/>
                    <w:rPr>
                      <w:color w:val="auto"/>
                    </w:rPr>
                  </w:pPr>
                  <w:r>
                    <w:rPr>
                      <w:color w:val="auto"/>
                    </w:rPr>
                    <w:t>本项目执行标准</w:t>
                  </w:r>
                </w:p>
              </w:tc>
              <w:tc>
                <w:tcPr>
                  <w:tcW w:w="794" w:type="dxa"/>
                  <w:noWrap w:val="0"/>
                  <w:vAlign w:val="center"/>
                </w:tcPr>
                <w:p>
                  <w:pPr>
                    <w:pStyle w:val="13"/>
                    <w:keepLines w:val="0"/>
                    <w:pageBreakBefore w:val="0"/>
                    <w:kinsoku/>
                    <w:wordWrap/>
                    <w:bidi w:val="0"/>
                    <w:adjustRightInd w:val="0"/>
                    <w:snapToGrid w:val="0"/>
                    <w:textAlignment w:val="auto"/>
                    <w:rPr>
                      <w:color w:val="auto"/>
                    </w:rPr>
                  </w:pPr>
                  <w:r>
                    <w:rPr>
                      <w:color w:val="auto"/>
                    </w:rPr>
                    <w:t>6～9</w:t>
                  </w:r>
                </w:p>
              </w:tc>
              <w:tc>
                <w:tcPr>
                  <w:tcW w:w="794" w:type="dxa"/>
                  <w:noWrap w:val="0"/>
                  <w:vAlign w:val="center"/>
                </w:tcPr>
                <w:p>
                  <w:pPr>
                    <w:pStyle w:val="13"/>
                    <w:keepLines w:val="0"/>
                    <w:pageBreakBefore w:val="0"/>
                    <w:kinsoku/>
                    <w:wordWrap/>
                    <w:bidi w:val="0"/>
                    <w:adjustRightInd w:val="0"/>
                    <w:snapToGrid w:val="0"/>
                    <w:textAlignment w:val="auto"/>
                    <w:rPr>
                      <w:color w:val="auto"/>
                      <w:lang w:val="en-US" w:eastAsia="zh-CN"/>
                    </w:rPr>
                  </w:pPr>
                  <w:r>
                    <w:rPr>
                      <w:color w:val="auto"/>
                    </w:rPr>
                    <w:t>500</w:t>
                  </w:r>
                </w:p>
              </w:tc>
              <w:tc>
                <w:tcPr>
                  <w:tcW w:w="850" w:type="dxa"/>
                  <w:noWrap w:val="0"/>
                  <w:vAlign w:val="center"/>
                </w:tcPr>
                <w:p>
                  <w:pPr>
                    <w:pStyle w:val="13"/>
                    <w:keepLines w:val="0"/>
                    <w:pageBreakBefore w:val="0"/>
                    <w:kinsoku/>
                    <w:wordWrap/>
                    <w:bidi w:val="0"/>
                    <w:adjustRightInd w:val="0"/>
                    <w:snapToGrid w:val="0"/>
                    <w:textAlignment w:val="auto"/>
                    <w:rPr>
                      <w:color w:val="auto"/>
                      <w:lang w:val="en-US" w:eastAsia="zh-CN"/>
                    </w:rPr>
                  </w:pPr>
                  <w:r>
                    <w:rPr>
                      <w:color w:val="auto"/>
                    </w:rPr>
                    <w:t>300</w:t>
                  </w:r>
                </w:p>
              </w:tc>
              <w:tc>
                <w:tcPr>
                  <w:tcW w:w="90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color w:val="auto"/>
                    </w:rPr>
                    <w:t>30</w:t>
                  </w:r>
                </w:p>
              </w:tc>
              <w:tc>
                <w:tcPr>
                  <w:tcW w:w="62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color w:val="auto"/>
                    </w:rPr>
                    <w:t>400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28"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lang w:eastAsia="zh-CN"/>
                    </w:rPr>
                    <w:t>怀远经济开发区污水处理厂</w:t>
                  </w:r>
                  <w:r>
                    <w:rPr>
                      <w:rFonts w:hint="eastAsia"/>
                      <w:color w:val="auto"/>
                      <w:lang w:val="en-US" w:eastAsia="zh-CN"/>
                    </w:rPr>
                    <w:t>执行</w:t>
                  </w:r>
                  <w:r>
                    <w:rPr>
                      <w:rFonts w:hint="eastAsia"/>
                      <w:color w:val="auto"/>
                    </w:rPr>
                    <w:t>标准</w:t>
                  </w:r>
                </w:p>
              </w:tc>
              <w:tc>
                <w:tcPr>
                  <w:tcW w:w="794" w:type="dxa"/>
                  <w:noWrap w:val="0"/>
                  <w:vAlign w:val="center"/>
                </w:tcPr>
                <w:p>
                  <w:pPr>
                    <w:pStyle w:val="13"/>
                    <w:keepLines w:val="0"/>
                    <w:pageBreakBefore w:val="0"/>
                    <w:kinsoku/>
                    <w:wordWrap/>
                    <w:bidi w:val="0"/>
                    <w:adjustRightInd w:val="0"/>
                    <w:snapToGrid w:val="0"/>
                    <w:textAlignment w:val="auto"/>
                    <w:rPr>
                      <w:color w:val="auto"/>
                    </w:rPr>
                  </w:pPr>
                  <w:r>
                    <w:rPr>
                      <w:color w:val="auto"/>
                    </w:rPr>
                    <w:t>6～9</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rPr>
                    <w:t>50</w:t>
                  </w:r>
                </w:p>
              </w:tc>
              <w:tc>
                <w:tcPr>
                  <w:tcW w:w="85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rPr>
                    <w:t>10</w:t>
                  </w:r>
                </w:p>
              </w:tc>
              <w:tc>
                <w:tcPr>
                  <w:tcW w:w="907" w:type="dxa"/>
                  <w:noWrap w:val="0"/>
                  <w:vAlign w:val="center"/>
                </w:tcPr>
                <w:p>
                  <w:pPr>
                    <w:pStyle w:val="13"/>
                    <w:keepLines w:val="0"/>
                    <w:pageBreakBefore w:val="0"/>
                    <w:kinsoku/>
                    <w:wordWrap/>
                    <w:bidi w:val="0"/>
                    <w:adjustRightInd w:val="0"/>
                    <w:snapToGrid w:val="0"/>
                    <w:textAlignment w:val="auto"/>
                    <w:rPr>
                      <w:rFonts w:hint="default" w:eastAsia="宋体"/>
                      <w:color w:val="auto"/>
                      <w:lang w:val="en-US" w:eastAsia="zh-CN"/>
                    </w:rPr>
                  </w:pPr>
                  <w:r>
                    <w:rPr>
                      <w:rFonts w:hint="eastAsia"/>
                      <w:color w:val="auto"/>
                    </w:rPr>
                    <w:t>5</w:t>
                  </w:r>
                  <w:r>
                    <w:rPr>
                      <w:rFonts w:hint="eastAsia"/>
                      <w:color w:val="auto"/>
                      <w:lang w:eastAsia="zh-CN"/>
                    </w:rPr>
                    <w:t>（</w:t>
                  </w:r>
                  <w:r>
                    <w:rPr>
                      <w:rFonts w:hint="eastAsia"/>
                      <w:color w:val="auto"/>
                      <w:lang w:val="en-US" w:eastAsia="zh-CN"/>
                    </w:rPr>
                    <w:t>8</w:t>
                  </w:r>
                  <w:r>
                    <w:rPr>
                      <w:rFonts w:hint="eastAsia"/>
                      <w:color w:val="auto"/>
                      <w:lang w:eastAsia="zh-CN"/>
                    </w:rPr>
                    <w:t>）</w:t>
                  </w:r>
                  <w:r>
                    <w:rPr>
                      <w:rFonts w:hint="eastAsia"/>
                      <w:color w:val="auto"/>
                      <w:lang w:val="en-US" w:eastAsia="zh-CN"/>
                    </w:rPr>
                    <w:t>*</w:t>
                  </w:r>
                </w:p>
              </w:tc>
              <w:tc>
                <w:tcPr>
                  <w:tcW w:w="62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rPr>
                    <w:t>10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sz w:val="21"/>
                <w:szCs w:val="21"/>
              </w:rPr>
            </w:pPr>
            <w:r>
              <w:rPr>
                <w:rFonts w:hint="eastAsia"/>
                <w:color w:val="auto"/>
                <w:sz w:val="21"/>
                <w:szCs w:val="21"/>
                <w:lang w:eastAsia="zh-CN"/>
              </w:rPr>
              <w:t>注：</w:t>
            </w:r>
            <w:r>
              <w:rPr>
                <w:rFonts w:hint="eastAsia"/>
                <w:color w:val="auto"/>
                <w:sz w:val="21"/>
                <w:szCs w:val="21"/>
                <w:lang w:val="en-US" w:eastAsia="zh-CN"/>
              </w:rPr>
              <w:t>*</w:t>
            </w:r>
            <w:r>
              <w:rPr>
                <w:rFonts w:hint="eastAsia"/>
                <w:color w:val="auto"/>
                <w:sz w:val="21"/>
                <w:szCs w:val="21"/>
                <w:lang w:eastAsia="zh-CN"/>
              </w:rPr>
              <w:t>当水温≤</w:t>
            </w:r>
            <w:r>
              <w:rPr>
                <w:rFonts w:hint="eastAsia"/>
                <w:color w:val="auto"/>
                <w:sz w:val="21"/>
                <w:szCs w:val="21"/>
                <w:lang w:val="en-US" w:eastAsia="zh-CN"/>
              </w:rPr>
              <w:t>12℃时执行括号内标准限值。</w:t>
            </w:r>
          </w:p>
          <w:p>
            <w:pPr>
              <w:pStyle w:val="18"/>
              <w:keepLines w:val="0"/>
              <w:pageBreakBefore w:val="0"/>
              <w:kinsoku/>
              <w:wordWrap/>
              <w:bidi w:val="0"/>
              <w:adjustRightInd w:val="0"/>
              <w:snapToGrid w:val="0"/>
              <w:textAlignment w:val="auto"/>
              <w:rPr>
                <w:color w:val="auto"/>
              </w:rPr>
            </w:pPr>
            <w:r>
              <w:rPr>
                <w:color w:val="auto"/>
              </w:rPr>
              <w:t>3、噪声排放标准</w:t>
            </w:r>
          </w:p>
          <w:p>
            <w:pPr>
              <w:pStyle w:val="16"/>
              <w:keepLines w:val="0"/>
              <w:pageBreakBefore w:val="0"/>
              <w:kinsoku/>
              <w:wordWrap/>
              <w:bidi w:val="0"/>
              <w:adjustRightInd w:val="0"/>
              <w:snapToGrid w:val="0"/>
              <w:textAlignment w:val="auto"/>
              <w:rPr>
                <w:rFonts w:hint="eastAsia" w:ascii="宋体" w:hAnsi="宋体" w:cs="宋体"/>
                <w:color w:val="auto"/>
                <w:highlight w:val="none"/>
              </w:rPr>
            </w:pPr>
            <w:r>
              <w:rPr>
                <w:color w:val="auto"/>
              </w:rPr>
              <w:t>营运期厂界噪声</w:t>
            </w:r>
            <w:r>
              <w:rPr>
                <w:rFonts w:hint="eastAsia"/>
                <w:color w:val="auto"/>
              </w:rPr>
              <w:t>排放</w:t>
            </w:r>
            <w:r>
              <w:rPr>
                <w:color w:val="auto"/>
              </w:rPr>
              <w:t>执行《工业企业厂界环境噪声排放标准》</w:t>
            </w:r>
            <w:r>
              <w:rPr>
                <w:rFonts w:hint="eastAsia"/>
                <w:color w:val="auto"/>
              </w:rPr>
              <w:t>（</w:t>
            </w:r>
            <w:r>
              <w:rPr>
                <w:color w:val="auto"/>
              </w:rPr>
              <w:t>GB</w:t>
            </w:r>
            <w:r>
              <w:rPr>
                <w:rFonts w:hint="eastAsia"/>
                <w:color w:val="auto"/>
              </w:rPr>
              <w:t xml:space="preserve"> </w:t>
            </w:r>
            <w:r>
              <w:rPr>
                <w:color w:val="auto"/>
              </w:rPr>
              <w:t>12348-2008）中3类标准</w:t>
            </w:r>
            <w:r>
              <w:rPr>
                <w:rFonts w:hint="eastAsia"/>
                <w:color w:val="auto"/>
              </w:rPr>
              <w:t>限值</w:t>
            </w:r>
            <w:r>
              <w:rPr>
                <w:color w:val="auto"/>
              </w:rPr>
              <w:t>。</w:t>
            </w:r>
            <w:r>
              <w:rPr>
                <w:rFonts w:hint="eastAsia"/>
                <w:color w:val="auto"/>
                <w:lang w:eastAsia="zh-CN"/>
              </w:rPr>
              <w:t>具体内容见下表。</w:t>
            </w:r>
          </w:p>
          <w:p>
            <w:pPr>
              <w:pStyle w:val="11"/>
              <w:keepLines w:val="0"/>
              <w:pageBreakBefore w:val="0"/>
              <w:kinsoku/>
              <w:wordWrap/>
              <w:bidi w:val="0"/>
              <w:adjustRightInd w:val="0"/>
              <w:snapToGrid w:val="0"/>
              <w:textAlignment w:val="auto"/>
              <w:rPr>
                <w:rFonts w:hint="eastAsia"/>
                <w:color w:val="auto"/>
              </w:rPr>
            </w:pPr>
            <w:r>
              <w:rPr>
                <w:rFonts w:hint="eastAsia"/>
                <w:color w:val="auto"/>
              </w:rPr>
              <w:t>表3-</w:t>
            </w:r>
            <w:r>
              <w:rPr>
                <w:rFonts w:hint="eastAsia"/>
                <w:color w:val="auto"/>
                <w:lang w:val="en-US" w:eastAsia="zh-CN"/>
              </w:rPr>
              <w:t>10</w:t>
            </w:r>
            <w:r>
              <w:rPr>
                <w:rFonts w:hint="eastAsia"/>
                <w:color w:val="auto"/>
              </w:rPr>
              <w:t xml:space="preserve"> 《工业企业厂界环境噪声排放标准》（GB 12348-2008）</w:t>
            </w:r>
          </w:p>
          <w:tbl>
            <w:tblPr>
              <w:tblStyle w:val="7"/>
              <w:tblW w:w="85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31"/>
              <w:gridCol w:w="1701"/>
              <w:gridCol w:w="1814"/>
              <w:gridCol w:w="1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3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标准来源</w:t>
                  </w:r>
                </w:p>
              </w:tc>
              <w:tc>
                <w:tcPr>
                  <w:tcW w:w="170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单位</w:t>
                  </w:r>
                </w:p>
              </w:tc>
              <w:tc>
                <w:tcPr>
                  <w:tcW w:w="181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昼间</w:t>
                  </w:r>
                </w:p>
              </w:tc>
              <w:tc>
                <w:tcPr>
                  <w:tcW w:w="181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31"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rPr>
                    <w:t>（</w:t>
                  </w:r>
                  <w:r>
                    <w:rPr>
                      <w:color w:val="auto"/>
                    </w:rPr>
                    <w:t>GB12348-2008）</w:t>
                  </w:r>
                  <w:r>
                    <w:rPr>
                      <w:rFonts w:hint="eastAsia"/>
                      <w:color w:val="auto"/>
                      <w:lang w:eastAsia="zh-CN"/>
                    </w:rPr>
                    <w:t>中</w:t>
                  </w:r>
                  <w:r>
                    <w:rPr>
                      <w:color w:val="auto"/>
                    </w:rPr>
                    <w:t>3类</w:t>
                  </w:r>
                  <w:r>
                    <w:rPr>
                      <w:rFonts w:hint="eastAsia"/>
                      <w:color w:val="auto"/>
                    </w:rPr>
                    <w:t>标准</w:t>
                  </w:r>
                </w:p>
              </w:tc>
              <w:tc>
                <w:tcPr>
                  <w:tcW w:w="1701" w:type="dxa"/>
                  <w:noWrap w:val="0"/>
                  <w:vAlign w:val="center"/>
                </w:tcPr>
                <w:p>
                  <w:pPr>
                    <w:pStyle w:val="13"/>
                    <w:keepLines w:val="0"/>
                    <w:pageBreakBefore w:val="0"/>
                    <w:kinsoku/>
                    <w:wordWrap/>
                    <w:bidi w:val="0"/>
                    <w:adjustRightInd w:val="0"/>
                    <w:snapToGrid w:val="0"/>
                    <w:textAlignment w:val="auto"/>
                    <w:rPr>
                      <w:color w:val="auto"/>
                    </w:rPr>
                  </w:pPr>
                  <w:r>
                    <w:rPr>
                      <w:color w:val="auto"/>
                    </w:rPr>
                    <w:t>dB</w:t>
                  </w:r>
                  <w:r>
                    <w:rPr>
                      <w:rFonts w:hint="eastAsia"/>
                      <w:color w:val="auto"/>
                    </w:rPr>
                    <w:t>（</w:t>
                  </w:r>
                  <w:r>
                    <w:rPr>
                      <w:color w:val="auto"/>
                    </w:rPr>
                    <w:t>A）</w:t>
                  </w:r>
                </w:p>
              </w:tc>
              <w:tc>
                <w:tcPr>
                  <w:tcW w:w="1814" w:type="dxa"/>
                  <w:noWrap w:val="0"/>
                  <w:vAlign w:val="center"/>
                </w:tcPr>
                <w:p>
                  <w:pPr>
                    <w:pStyle w:val="13"/>
                    <w:keepLines w:val="0"/>
                    <w:pageBreakBefore w:val="0"/>
                    <w:kinsoku/>
                    <w:wordWrap/>
                    <w:bidi w:val="0"/>
                    <w:adjustRightInd w:val="0"/>
                    <w:snapToGrid w:val="0"/>
                    <w:textAlignment w:val="auto"/>
                    <w:rPr>
                      <w:color w:val="auto"/>
                    </w:rPr>
                  </w:pPr>
                  <w:r>
                    <w:rPr>
                      <w:color w:val="auto"/>
                    </w:rPr>
                    <w:t>65</w:t>
                  </w:r>
                </w:p>
              </w:tc>
              <w:tc>
                <w:tcPr>
                  <w:tcW w:w="1814" w:type="dxa"/>
                  <w:noWrap w:val="0"/>
                  <w:vAlign w:val="center"/>
                </w:tcPr>
                <w:p>
                  <w:pPr>
                    <w:pStyle w:val="13"/>
                    <w:keepLines w:val="0"/>
                    <w:pageBreakBefore w:val="0"/>
                    <w:kinsoku/>
                    <w:wordWrap/>
                    <w:bidi w:val="0"/>
                    <w:adjustRightInd w:val="0"/>
                    <w:snapToGrid w:val="0"/>
                    <w:textAlignment w:val="auto"/>
                    <w:rPr>
                      <w:color w:val="auto"/>
                    </w:rPr>
                  </w:pPr>
                  <w:r>
                    <w:rPr>
                      <w:color w:val="auto"/>
                    </w:rPr>
                    <w:t>55</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4、固体废物</w:t>
            </w:r>
          </w:p>
          <w:p>
            <w:pPr>
              <w:pStyle w:val="16"/>
              <w:bidi w:val="0"/>
              <w:rPr>
                <w:rFonts w:hint="eastAsia" w:ascii="宋体" w:hAnsi="宋体" w:eastAsia="宋体" w:cs="宋体"/>
                <w:color w:val="auto"/>
                <w:highlight w:val="none"/>
                <w:lang w:val="en-US" w:eastAsia="zh-CN"/>
              </w:rPr>
            </w:pPr>
            <w:r>
              <w:rPr>
                <w:color w:val="auto"/>
              </w:rPr>
              <w:t>一般工业固体废物贮存执行</w:t>
            </w:r>
            <w:r>
              <w:rPr>
                <w:rFonts w:hint="eastAsia"/>
                <w:color w:val="auto"/>
              </w:rPr>
              <w:t>《一般工业固体废物贮存和填埋污染控制标准》（GB18599-2020）</w:t>
            </w:r>
            <w:r>
              <w:rPr>
                <w:color w:val="auto"/>
              </w:rPr>
              <w:t>中要求；危险废物贮存执行</w:t>
            </w:r>
            <w:r>
              <w:rPr>
                <w:rFonts w:hint="eastAsia"/>
                <w:color w:val="auto"/>
                <w:lang w:eastAsia="zh-CN"/>
              </w:rPr>
              <w:t>《危险废物贮存污染控制标准》（GB18597-2023）</w:t>
            </w:r>
            <w:r>
              <w:rPr>
                <w:color w:val="auto"/>
              </w:rPr>
              <w:t>中要求。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41" w:hRule="atLeast"/>
          <w:jc w:val="center"/>
        </w:trPr>
        <w:tc>
          <w:tcPr>
            <w:tcW w:w="624" w:type="dxa"/>
            <w:noWrap w:val="0"/>
            <w:vAlign w:val="center"/>
          </w:tcPr>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color w:val="auto"/>
                <w:highlight w:val="none"/>
              </w:rPr>
            </w:pPr>
            <w:r>
              <w:rPr>
                <w:color w:val="auto"/>
                <w:highlight w:val="none"/>
              </w:rPr>
              <w:t>总量</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color w:val="auto"/>
                <w:highlight w:val="none"/>
              </w:rPr>
            </w:pPr>
            <w:r>
              <w:rPr>
                <w:color w:val="auto"/>
                <w:highlight w:val="none"/>
              </w:rPr>
              <w:t>控制</w:t>
            </w:r>
          </w:p>
          <w:p>
            <w:pPr>
              <w:pStyle w:val="18"/>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rFonts w:cs="Times New Roman"/>
                <w:color w:val="auto"/>
                <w:kern w:val="0"/>
                <w:highlight w:val="none"/>
              </w:rPr>
            </w:pPr>
            <w:r>
              <w:rPr>
                <w:color w:val="auto"/>
                <w:highlight w:val="none"/>
              </w:rPr>
              <w:t>指标</w:t>
            </w:r>
          </w:p>
        </w:tc>
        <w:tc>
          <w:tcPr>
            <w:tcW w:w="8731" w:type="dxa"/>
            <w:noWrap w:val="0"/>
            <w:vAlign w:val="top"/>
          </w:tcPr>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color w:val="auto"/>
              </w:rPr>
              <w:t>根据《安徽省生态环境厅关于进一步加强建设项目新增</w:t>
            </w:r>
            <w:r>
              <w:rPr>
                <w:rFonts w:hint="eastAsia"/>
                <w:color w:val="auto"/>
                <w:lang w:eastAsia="zh-CN"/>
              </w:rPr>
              <w:t>大气</w:t>
            </w:r>
            <w:r>
              <w:rPr>
                <w:color w:val="auto"/>
              </w:rPr>
              <w:t>主要污染物总量指标管理工作的通知》，纳入大气污染物总量控制的指标从两项增加为四项，在二氧化硫和氮氧化物的基础上增加烟</w:t>
            </w:r>
            <w:r>
              <w:rPr>
                <w:rFonts w:hint="eastAsia"/>
                <w:color w:val="auto"/>
              </w:rPr>
              <w:t>（</w:t>
            </w:r>
            <w:r>
              <w:rPr>
                <w:color w:val="auto"/>
              </w:rPr>
              <w:t>粉）尘和VOCs，因此</w:t>
            </w:r>
            <w:r>
              <w:rPr>
                <w:rFonts w:hint="eastAsia"/>
                <w:color w:val="auto"/>
                <w:lang w:eastAsia="zh-CN"/>
              </w:rPr>
              <w:t>，</w:t>
            </w:r>
            <w:r>
              <w:rPr>
                <w:color w:val="auto"/>
              </w:rPr>
              <w:t>现阶段纳入总量控制指标的污染物为COD</w:t>
            </w:r>
            <w:r>
              <w:rPr>
                <w:rFonts w:hint="eastAsia"/>
                <w:color w:val="auto"/>
              </w:rPr>
              <w:t>cr</w:t>
            </w:r>
            <w:r>
              <w:rPr>
                <w:color w:val="auto"/>
              </w:rPr>
              <w:t>、NH</w:t>
            </w:r>
            <w:r>
              <w:rPr>
                <w:color w:val="auto"/>
                <w:vertAlign w:val="subscript"/>
              </w:rPr>
              <w:t>3</w:t>
            </w:r>
            <w:r>
              <w:rPr>
                <w:color w:val="auto"/>
              </w:rPr>
              <w:t>-N、SO</w:t>
            </w:r>
            <w:r>
              <w:rPr>
                <w:color w:val="auto"/>
                <w:vertAlign w:val="subscript"/>
              </w:rPr>
              <w:t>2</w:t>
            </w:r>
            <w:r>
              <w:rPr>
                <w:color w:val="auto"/>
              </w:rPr>
              <w:t>、NOx、烟</w:t>
            </w:r>
            <w:r>
              <w:rPr>
                <w:rFonts w:hint="eastAsia"/>
                <w:color w:val="auto"/>
              </w:rPr>
              <w:t>（</w:t>
            </w:r>
            <w:r>
              <w:rPr>
                <w:color w:val="auto"/>
              </w:rPr>
              <w:t>粉）尘和VOCs。</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color w:val="auto"/>
              </w:rPr>
              <w:t>项目废水为生活污水</w:t>
            </w:r>
            <w:r>
              <w:rPr>
                <w:rFonts w:hint="eastAsia"/>
                <w:color w:val="auto"/>
                <w:lang w:eastAsia="zh-CN"/>
              </w:rPr>
              <w:t>和</w:t>
            </w:r>
            <w:r>
              <w:rPr>
                <w:rFonts w:hint="eastAsia"/>
                <w:color w:val="auto"/>
                <w:lang w:val="en-US" w:eastAsia="zh-CN"/>
              </w:rPr>
              <w:t>冷却排水</w:t>
            </w:r>
            <w:r>
              <w:rPr>
                <w:rFonts w:hint="eastAsia"/>
                <w:color w:val="auto"/>
              </w:rPr>
              <w:t>。</w:t>
            </w:r>
            <w:r>
              <w:rPr>
                <w:color w:val="auto"/>
              </w:rPr>
              <w:t>生活污水</w:t>
            </w:r>
            <w:r>
              <w:rPr>
                <w:rFonts w:hint="eastAsia"/>
                <w:color w:val="auto"/>
              </w:rPr>
              <w:t>经</w:t>
            </w:r>
            <w:r>
              <w:rPr>
                <w:rFonts w:hint="eastAsia"/>
                <w:color w:val="auto"/>
                <w:lang w:val="en-US" w:eastAsia="zh-CN"/>
              </w:rPr>
              <w:t>隔油池、</w:t>
            </w:r>
            <w:r>
              <w:rPr>
                <w:rFonts w:hint="eastAsia"/>
                <w:color w:val="auto"/>
              </w:rPr>
              <w:t>化粪池预处理后</w:t>
            </w:r>
            <w:r>
              <w:rPr>
                <w:rFonts w:hint="eastAsia"/>
                <w:color w:val="auto"/>
                <w:lang w:val="en-US" w:eastAsia="zh-CN"/>
              </w:rPr>
              <w:t>与冷却排水一起</w:t>
            </w:r>
            <w:r>
              <w:rPr>
                <w:rFonts w:hint="eastAsia"/>
                <w:color w:val="auto"/>
              </w:rPr>
              <w:t>排入市政</w:t>
            </w:r>
            <w:r>
              <w:rPr>
                <w:rFonts w:hint="eastAsia"/>
                <w:color w:val="auto"/>
                <w:lang w:val="en-US" w:eastAsia="zh-CN"/>
              </w:rPr>
              <w:t>污水</w:t>
            </w:r>
            <w:r>
              <w:rPr>
                <w:rFonts w:hint="eastAsia"/>
                <w:color w:val="auto"/>
              </w:rPr>
              <w:t>管网，进入</w:t>
            </w:r>
            <w:r>
              <w:rPr>
                <w:rFonts w:hint="eastAsia"/>
                <w:color w:val="auto"/>
                <w:lang w:eastAsia="zh-CN"/>
              </w:rPr>
              <w:t>怀远经济开发区污水处理厂</w:t>
            </w:r>
            <w:r>
              <w:rPr>
                <w:rFonts w:hint="eastAsia"/>
                <w:color w:val="auto"/>
                <w:lang w:val="en-US" w:eastAsia="zh-CN"/>
              </w:rPr>
              <w:t>进一步</w:t>
            </w:r>
            <w:r>
              <w:rPr>
                <w:rFonts w:hint="eastAsia"/>
                <w:color w:val="auto"/>
              </w:rPr>
              <w:t>处理。</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项目运营期食堂油烟通过油烟净化器处理后于楼顶高空排放；1#无纺布后处理生产线产生的废气（含天然气燃烧废气）通过集气设施收集经二级活性炭处理后由一根15m高排气筒（DA001）排放；1#活性炭无纺布生产线产生的废气通过集气设施收集经布袋除尘器+二级活性炭处理后由一根15m高排气筒（DA002）排放；2#活性炭无纺布生产线产生的废气与2#无纺布后处理生产线产生的废气（含天然气燃烧废气）通过集气设施收集经布袋除尘器+二级活性炭处理后由一根15m高排气筒（DA003）排放。</w:t>
            </w:r>
          </w:p>
          <w:p>
            <w:pPr>
              <w:pStyle w:val="16"/>
              <w:bidi w:val="0"/>
              <w:rPr>
                <w:rFonts w:hint="eastAsia"/>
                <w:color w:val="auto"/>
                <w:lang w:val="en-US" w:eastAsia="zh-CN"/>
              </w:rPr>
            </w:pPr>
            <w:r>
              <w:rPr>
                <w:rFonts w:hint="eastAsia"/>
                <w:color w:val="auto"/>
                <w:lang w:val="en-US" w:eastAsia="zh-CN"/>
              </w:rPr>
              <w:t>项目总量控制指标分析，详见下表。</w:t>
            </w:r>
          </w:p>
          <w:p>
            <w:pPr>
              <w:pStyle w:val="11"/>
              <w:bidi w:val="0"/>
              <w:rPr>
                <w:rFonts w:hint="eastAsia"/>
                <w:color w:val="auto"/>
                <w:lang w:val="en-US" w:eastAsia="zh-CN"/>
              </w:rPr>
            </w:pPr>
            <w:r>
              <w:rPr>
                <w:rFonts w:hint="eastAsia"/>
                <w:color w:val="auto"/>
                <w:lang w:val="en-US" w:eastAsia="zh-CN"/>
              </w:rPr>
              <w:t>表3-11 项目总量控制指标分析（单位：t/a）</w:t>
            </w:r>
          </w:p>
          <w:tbl>
            <w:tblPr>
              <w:tblStyle w:val="7"/>
              <w:tblW w:w="85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54"/>
              <w:gridCol w:w="1247"/>
              <w:gridCol w:w="1191"/>
              <w:gridCol w:w="964"/>
              <w:gridCol w:w="964"/>
              <w:gridCol w:w="964"/>
              <w:gridCol w:w="964"/>
              <w:gridCol w:w="1020"/>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454" w:type="dxa"/>
                  <w:noWrap w:val="0"/>
                  <w:vAlign w:val="center"/>
                </w:tcPr>
                <w:p>
                  <w:pPr>
                    <w:pStyle w:val="15"/>
                    <w:bidi w:val="0"/>
                    <w:rPr>
                      <w:rFonts w:hint="eastAsia"/>
                      <w:color w:val="auto"/>
                      <w:lang w:val="en-US" w:eastAsia="zh-CN"/>
                    </w:rPr>
                  </w:pPr>
                  <w:r>
                    <w:rPr>
                      <w:rFonts w:hint="eastAsia"/>
                      <w:color w:val="auto"/>
                      <w:lang w:val="en-US" w:eastAsia="zh-CN"/>
                    </w:rPr>
                    <w:t>类别</w:t>
                  </w:r>
                </w:p>
              </w:tc>
              <w:tc>
                <w:tcPr>
                  <w:tcW w:w="1247" w:type="dxa"/>
                  <w:noWrap w:val="0"/>
                  <w:vAlign w:val="center"/>
                </w:tcPr>
                <w:p>
                  <w:pPr>
                    <w:pStyle w:val="15"/>
                    <w:bidi w:val="0"/>
                    <w:rPr>
                      <w:rFonts w:hint="eastAsia"/>
                      <w:color w:val="auto"/>
                      <w:lang w:val="en-US" w:eastAsia="zh-CN"/>
                    </w:rPr>
                  </w:pPr>
                  <w:r>
                    <w:rPr>
                      <w:rFonts w:hint="eastAsia"/>
                      <w:color w:val="auto"/>
                      <w:lang w:val="en-US" w:eastAsia="zh-CN"/>
                    </w:rPr>
                    <w:t>污染物</w:t>
                  </w:r>
                </w:p>
                <w:p>
                  <w:pPr>
                    <w:pStyle w:val="15"/>
                    <w:bidi w:val="0"/>
                    <w:rPr>
                      <w:rFonts w:hint="eastAsia"/>
                      <w:color w:val="auto"/>
                      <w:lang w:val="en-US" w:eastAsia="zh-CN"/>
                    </w:rPr>
                  </w:pPr>
                  <w:r>
                    <w:rPr>
                      <w:rFonts w:hint="eastAsia"/>
                      <w:color w:val="auto"/>
                      <w:lang w:val="en-US" w:eastAsia="zh-CN"/>
                    </w:rPr>
                    <w:t>名称</w:t>
                  </w:r>
                </w:p>
              </w:tc>
              <w:tc>
                <w:tcPr>
                  <w:tcW w:w="1191" w:type="dxa"/>
                  <w:noWrap w:val="0"/>
                  <w:vAlign w:val="center"/>
                </w:tcPr>
                <w:p>
                  <w:pPr>
                    <w:pStyle w:val="15"/>
                    <w:bidi w:val="0"/>
                    <w:rPr>
                      <w:rFonts w:hint="eastAsia"/>
                      <w:color w:val="auto"/>
                      <w:lang w:val="en-US" w:eastAsia="zh-CN"/>
                    </w:rPr>
                  </w:pPr>
                  <w:r>
                    <w:rPr>
                      <w:rFonts w:hint="eastAsia"/>
                      <w:color w:val="auto"/>
                      <w:lang w:val="en-US" w:eastAsia="zh-CN"/>
                    </w:rPr>
                    <w:t>现有项目许可排放量</w:t>
                  </w:r>
                </w:p>
              </w:tc>
              <w:tc>
                <w:tcPr>
                  <w:tcW w:w="964" w:type="dxa"/>
                  <w:noWrap w:val="0"/>
                  <w:vAlign w:val="center"/>
                </w:tcPr>
                <w:p>
                  <w:pPr>
                    <w:pStyle w:val="15"/>
                    <w:bidi w:val="0"/>
                    <w:rPr>
                      <w:rFonts w:hint="eastAsia"/>
                      <w:color w:val="auto"/>
                      <w:lang w:val="en-US" w:eastAsia="zh-CN"/>
                    </w:rPr>
                  </w:pPr>
                  <w:r>
                    <w:rPr>
                      <w:rFonts w:hint="eastAsia"/>
                      <w:color w:val="auto"/>
                      <w:lang w:val="en-US" w:eastAsia="zh-CN"/>
                    </w:rPr>
                    <w:t>现有项目排放量</w:t>
                  </w:r>
                </w:p>
              </w:tc>
              <w:tc>
                <w:tcPr>
                  <w:tcW w:w="964" w:type="dxa"/>
                  <w:noWrap w:val="0"/>
                  <w:vAlign w:val="center"/>
                </w:tcPr>
                <w:p>
                  <w:pPr>
                    <w:pStyle w:val="15"/>
                    <w:bidi w:val="0"/>
                    <w:rPr>
                      <w:rFonts w:hint="eastAsia"/>
                      <w:color w:val="auto"/>
                      <w:lang w:val="en-US" w:eastAsia="zh-CN"/>
                    </w:rPr>
                  </w:pPr>
                  <w:r>
                    <w:rPr>
                      <w:rFonts w:hint="eastAsia"/>
                      <w:color w:val="auto"/>
                      <w:lang w:val="en-US" w:eastAsia="zh-CN"/>
                    </w:rPr>
                    <w:t>以老带新消减量</w:t>
                  </w:r>
                </w:p>
              </w:tc>
              <w:tc>
                <w:tcPr>
                  <w:tcW w:w="964" w:type="dxa"/>
                  <w:noWrap w:val="0"/>
                  <w:vAlign w:val="center"/>
                </w:tcPr>
                <w:p>
                  <w:pPr>
                    <w:pStyle w:val="15"/>
                    <w:bidi w:val="0"/>
                    <w:rPr>
                      <w:rFonts w:hint="eastAsia"/>
                      <w:color w:val="auto"/>
                      <w:lang w:val="en-US" w:eastAsia="zh-CN"/>
                    </w:rPr>
                  </w:pPr>
                  <w:r>
                    <w:rPr>
                      <w:rFonts w:hint="eastAsia"/>
                      <w:color w:val="auto"/>
                      <w:lang w:val="en-US" w:eastAsia="zh-CN"/>
                    </w:rPr>
                    <w:t>改建项目排放量</w:t>
                  </w:r>
                </w:p>
              </w:tc>
              <w:tc>
                <w:tcPr>
                  <w:tcW w:w="964" w:type="dxa"/>
                  <w:noWrap w:val="0"/>
                  <w:vAlign w:val="center"/>
                </w:tcPr>
                <w:p>
                  <w:pPr>
                    <w:pStyle w:val="15"/>
                    <w:bidi w:val="0"/>
                    <w:rPr>
                      <w:rFonts w:hint="eastAsia"/>
                      <w:color w:val="auto"/>
                      <w:lang w:val="en-US" w:eastAsia="zh-CN"/>
                    </w:rPr>
                  </w:pPr>
                  <w:r>
                    <w:rPr>
                      <w:rFonts w:hint="eastAsia"/>
                      <w:color w:val="auto"/>
                      <w:lang w:val="en-US" w:eastAsia="zh-CN"/>
                    </w:rPr>
                    <w:t>全厂排放总量</w:t>
                  </w:r>
                </w:p>
              </w:tc>
              <w:tc>
                <w:tcPr>
                  <w:tcW w:w="1020" w:type="dxa"/>
                  <w:noWrap w:val="0"/>
                  <w:vAlign w:val="center"/>
                </w:tcPr>
                <w:p>
                  <w:pPr>
                    <w:pStyle w:val="15"/>
                    <w:bidi w:val="0"/>
                    <w:rPr>
                      <w:rFonts w:hint="eastAsia"/>
                      <w:color w:val="auto"/>
                      <w:lang w:val="en-US" w:eastAsia="zh-CN"/>
                    </w:rPr>
                  </w:pPr>
                  <w:r>
                    <w:rPr>
                      <w:rFonts w:hint="eastAsia"/>
                      <w:color w:val="auto"/>
                      <w:lang w:val="en-US" w:eastAsia="zh-CN"/>
                    </w:rPr>
                    <w:t>排放增</w:t>
                  </w:r>
                </w:p>
                <w:p>
                  <w:pPr>
                    <w:pStyle w:val="15"/>
                    <w:bidi w:val="0"/>
                    <w:rPr>
                      <w:rFonts w:hint="eastAsia"/>
                      <w:color w:val="auto"/>
                      <w:lang w:val="en-US" w:eastAsia="zh-CN"/>
                    </w:rPr>
                  </w:pPr>
                  <w:r>
                    <w:rPr>
                      <w:rFonts w:hint="eastAsia"/>
                      <w:color w:val="auto"/>
                      <w:lang w:val="en-US" w:eastAsia="zh-CN"/>
                    </w:rPr>
                    <w:t>减量</w:t>
                  </w:r>
                </w:p>
              </w:tc>
              <w:tc>
                <w:tcPr>
                  <w:tcW w:w="794" w:type="dxa"/>
                  <w:noWrap w:val="0"/>
                  <w:vAlign w:val="center"/>
                </w:tcPr>
                <w:p>
                  <w:pPr>
                    <w:pStyle w:val="15"/>
                    <w:bidi w:val="0"/>
                    <w:rPr>
                      <w:rFonts w:hint="eastAsia"/>
                      <w:color w:val="auto"/>
                      <w:lang w:val="en-US" w:eastAsia="zh-CN"/>
                    </w:rPr>
                  </w:pPr>
                  <w:r>
                    <w:rPr>
                      <w:rFonts w:hint="eastAsia"/>
                      <w:color w:val="auto"/>
                      <w:lang w:val="en-US" w:eastAsia="zh-CN"/>
                    </w:rPr>
                    <w:t>建议申请总量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54" w:type="dxa"/>
                  <w:vMerge w:val="restart"/>
                  <w:noWrap w:val="0"/>
                  <w:vAlign w:val="center"/>
                </w:tcPr>
                <w:p>
                  <w:pPr>
                    <w:pStyle w:val="13"/>
                    <w:bidi w:val="0"/>
                    <w:rPr>
                      <w:rFonts w:hint="eastAsia"/>
                      <w:color w:val="auto"/>
                      <w:lang w:val="en-US" w:eastAsia="zh-CN"/>
                    </w:rPr>
                  </w:pPr>
                  <w:r>
                    <w:rPr>
                      <w:rFonts w:hint="eastAsia"/>
                      <w:color w:val="auto"/>
                      <w:lang w:val="en-US" w:eastAsia="zh-CN"/>
                    </w:rPr>
                    <w:t>废气</w:t>
                  </w:r>
                </w:p>
              </w:tc>
              <w:tc>
                <w:tcPr>
                  <w:tcW w:w="1247" w:type="dxa"/>
                  <w:noWrap w:val="0"/>
                  <w:vAlign w:val="center"/>
                </w:tcPr>
                <w:p>
                  <w:pPr>
                    <w:pStyle w:val="13"/>
                    <w:bidi w:val="0"/>
                    <w:rPr>
                      <w:rFonts w:hint="eastAsia"/>
                      <w:color w:val="auto"/>
                      <w:lang w:val="en-US" w:eastAsia="zh-CN"/>
                    </w:rPr>
                  </w:pPr>
                  <w:r>
                    <w:rPr>
                      <w:rFonts w:hint="eastAsia"/>
                      <w:color w:val="auto"/>
                      <w:lang w:val="en-US" w:eastAsia="zh-CN"/>
                    </w:rPr>
                    <w:t>烟（粉）尘</w:t>
                  </w:r>
                </w:p>
              </w:tc>
              <w:tc>
                <w:tcPr>
                  <w:tcW w:w="1191"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default"/>
                      <w:color w:val="auto"/>
                      <w:lang w:val="en-US" w:eastAsia="zh-CN"/>
                    </w:rPr>
                  </w:pPr>
                  <w:r>
                    <w:rPr>
                      <w:rFonts w:hint="eastAsia"/>
                      <w:color w:val="auto"/>
                      <w:lang w:val="en-US" w:eastAsia="zh-CN"/>
                    </w:rPr>
                    <w:t>0.2648</w:t>
                  </w:r>
                </w:p>
              </w:tc>
              <w:tc>
                <w:tcPr>
                  <w:tcW w:w="96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0.2648</w:t>
                  </w:r>
                </w:p>
              </w:tc>
              <w:tc>
                <w:tcPr>
                  <w:tcW w:w="102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+0.2648</w:t>
                  </w:r>
                </w:p>
              </w:tc>
              <w:tc>
                <w:tcPr>
                  <w:tcW w:w="79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0.2648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54" w:type="dxa"/>
                  <w:vMerge w:val="continue"/>
                  <w:noWrap w:val="0"/>
                  <w:vAlign w:val="center"/>
                </w:tcPr>
                <w:p>
                  <w:pPr>
                    <w:pStyle w:val="13"/>
                    <w:bidi w:val="0"/>
                    <w:rPr>
                      <w:rFonts w:hint="eastAsia"/>
                      <w:color w:val="auto"/>
                      <w:lang w:val="en-US" w:eastAsia="zh-CN"/>
                    </w:rPr>
                  </w:pPr>
                </w:p>
              </w:tc>
              <w:tc>
                <w:tcPr>
                  <w:tcW w:w="1247" w:type="dxa"/>
                  <w:noWrap w:val="0"/>
                  <w:vAlign w:val="center"/>
                </w:tcPr>
                <w:p>
                  <w:pPr>
                    <w:pStyle w:val="13"/>
                    <w:bidi w:val="0"/>
                    <w:rPr>
                      <w:rFonts w:hint="eastAsia"/>
                      <w:color w:val="auto"/>
                      <w:lang w:val="en-US" w:eastAsia="zh-CN"/>
                    </w:rPr>
                  </w:pPr>
                  <w:r>
                    <w:rPr>
                      <w:rFonts w:hint="eastAsia"/>
                      <w:color w:val="auto"/>
                      <w:lang w:val="en-US" w:eastAsia="zh-CN"/>
                    </w:rPr>
                    <w:t>SO</w:t>
                  </w:r>
                  <w:r>
                    <w:rPr>
                      <w:rFonts w:hint="eastAsia"/>
                      <w:color w:val="auto"/>
                      <w:vertAlign w:val="subscript"/>
                      <w:lang w:val="en-US" w:eastAsia="zh-CN"/>
                    </w:rPr>
                    <w:t>2</w:t>
                  </w:r>
                </w:p>
              </w:tc>
              <w:tc>
                <w:tcPr>
                  <w:tcW w:w="1191"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0.006</w:t>
                  </w:r>
                </w:p>
              </w:tc>
              <w:tc>
                <w:tcPr>
                  <w:tcW w:w="96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0.006</w:t>
                  </w:r>
                </w:p>
              </w:tc>
              <w:tc>
                <w:tcPr>
                  <w:tcW w:w="102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+0.006</w:t>
                  </w:r>
                </w:p>
              </w:tc>
              <w:tc>
                <w:tcPr>
                  <w:tcW w:w="79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54" w:type="dxa"/>
                  <w:vMerge w:val="continue"/>
                  <w:noWrap w:val="0"/>
                  <w:vAlign w:val="center"/>
                </w:tcPr>
                <w:p>
                  <w:pPr>
                    <w:pStyle w:val="13"/>
                    <w:bidi w:val="0"/>
                    <w:rPr>
                      <w:rFonts w:hint="eastAsia"/>
                      <w:color w:val="auto"/>
                      <w:lang w:val="en-US" w:eastAsia="zh-CN"/>
                    </w:rPr>
                  </w:pPr>
                </w:p>
              </w:tc>
              <w:tc>
                <w:tcPr>
                  <w:tcW w:w="1247" w:type="dxa"/>
                  <w:noWrap w:val="0"/>
                  <w:vAlign w:val="center"/>
                </w:tcPr>
                <w:p>
                  <w:pPr>
                    <w:pStyle w:val="13"/>
                    <w:bidi w:val="0"/>
                    <w:rPr>
                      <w:rFonts w:hint="eastAsia"/>
                      <w:color w:val="auto"/>
                      <w:lang w:val="en-US" w:eastAsia="zh-CN"/>
                    </w:rPr>
                  </w:pPr>
                  <w:r>
                    <w:rPr>
                      <w:rFonts w:hint="eastAsia"/>
                      <w:color w:val="auto"/>
                      <w:lang w:val="en-US" w:eastAsia="zh-CN"/>
                    </w:rPr>
                    <w:t>NOx</w:t>
                  </w:r>
                </w:p>
              </w:tc>
              <w:tc>
                <w:tcPr>
                  <w:tcW w:w="1191"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0.0476</w:t>
                  </w:r>
                </w:p>
              </w:tc>
              <w:tc>
                <w:tcPr>
                  <w:tcW w:w="96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0.0476</w:t>
                  </w:r>
                </w:p>
              </w:tc>
              <w:tc>
                <w:tcPr>
                  <w:tcW w:w="102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+0.0476</w:t>
                  </w:r>
                </w:p>
              </w:tc>
              <w:tc>
                <w:tcPr>
                  <w:tcW w:w="79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0.0476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54" w:type="dxa"/>
                  <w:vMerge w:val="continue"/>
                  <w:noWrap w:val="0"/>
                  <w:vAlign w:val="center"/>
                </w:tcPr>
                <w:p>
                  <w:pPr>
                    <w:pStyle w:val="13"/>
                    <w:bidi w:val="0"/>
                    <w:rPr>
                      <w:rFonts w:hint="eastAsia"/>
                      <w:color w:val="auto"/>
                      <w:lang w:val="en-US" w:eastAsia="zh-CN"/>
                    </w:rPr>
                  </w:pPr>
                </w:p>
              </w:tc>
              <w:tc>
                <w:tcPr>
                  <w:tcW w:w="1247" w:type="dxa"/>
                  <w:noWrap w:val="0"/>
                  <w:vAlign w:val="center"/>
                </w:tcPr>
                <w:p>
                  <w:pPr>
                    <w:pStyle w:val="13"/>
                    <w:bidi w:val="0"/>
                    <w:rPr>
                      <w:rFonts w:hint="default"/>
                      <w:color w:val="auto"/>
                      <w:lang w:val="en-US" w:eastAsia="zh-CN"/>
                    </w:rPr>
                  </w:pPr>
                  <w:r>
                    <w:rPr>
                      <w:rFonts w:hint="eastAsia"/>
                      <w:color w:val="auto"/>
                      <w:lang w:val="en-US" w:eastAsia="zh-CN"/>
                    </w:rPr>
                    <w:t>VOCs</w:t>
                  </w:r>
                </w:p>
              </w:tc>
              <w:tc>
                <w:tcPr>
                  <w:tcW w:w="1191" w:type="dxa"/>
                  <w:noWrap w:val="0"/>
                  <w:vAlign w:val="center"/>
                </w:tcPr>
                <w:p>
                  <w:pPr>
                    <w:pStyle w:val="13"/>
                    <w:bidi w:val="0"/>
                    <w:rPr>
                      <w:rFonts w:hint="default"/>
                      <w:color w:val="auto"/>
                      <w:lang w:val="en-US" w:eastAsia="zh-CN"/>
                    </w:rPr>
                  </w:pPr>
                  <w:r>
                    <w:rPr>
                      <w:rFonts w:hint="eastAsia"/>
                      <w:color w:val="auto"/>
                      <w:lang w:val="en-US" w:eastAsia="zh-CN"/>
                    </w:rPr>
                    <w:t>/</w:t>
                  </w:r>
                </w:p>
              </w:tc>
              <w:tc>
                <w:tcPr>
                  <w:tcW w:w="964" w:type="dxa"/>
                  <w:noWrap w:val="0"/>
                  <w:vAlign w:val="center"/>
                </w:tcPr>
                <w:p>
                  <w:pPr>
                    <w:pStyle w:val="13"/>
                    <w:bidi w:val="0"/>
                    <w:rPr>
                      <w:rFonts w:hint="default"/>
                      <w:color w:val="auto"/>
                      <w:lang w:val="en-US" w:eastAsia="zh-CN"/>
                    </w:rPr>
                  </w:pPr>
                  <w:r>
                    <w:rPr>
                      <w:rFonts w:hint="eastAsia"/>
                      <w:color w:val="auto"/>
                      <w:lang w:val="en-US" w:eastAsia="zh-CN"/>
                    </w:rPr>
                    <w:t>/</w:t>
                  </w:r>
                </w:p>
              </w:tc>
              <w:tc>
                <w:tcPr>
                  <w:tcW w:w="964" w:type="dxa"/>
                  <w:noWrap w:val="0"/>
                  <w:vAlign w:val="center"/>
                </w:tcPr>
                <w:p>
                  <w:pPr>
                    <w:pStyle w:val="13"/>
                    <w:bidi w:val="0"/>
                    <w:rPr>
                      <w:rFonts w:hint="default"/>
                      <w:color w:val="auto"/>
                      <w:lang w:val="en-US" w:eastAsia="zh-CN"/>
                    </w:rPr>
                  </w:pPr>
                  <w:r>
                    <w:rPr>
                      <w:rFonts w:hint="eastAsia"/>
                      <w:color w:val="auto"/>
                      <w:lang w:val="en-US" w:eastAsia="zh-CN"/>
                    </w:rPr>
                    <w:t>/</w:t>
                  </w:r>
                </w:p>
              </w:tc>
              <w:tc>
                <w:tcPr>
                  <w:tcW w:w="964" w:type="dxa"/>
                  <w:noWrap w:val="0"/>
                  <w:vAlign w:val="center"/>
                </w:tcPr>
                <w:p>
                  <w:pPr>
                    <w:pStyle w:val="13"/>
                    <w:bidi w:val="0"/>
                    <w:rPr>
                      <w:rFonts w:hint="default"/>
                      <w:color w:val="auto"/>
                      <w:lang w:val="en-US" w:eastAsia="zh-CN"/>
                    </w:rPr>
                  </w:pPr>
                  <w:r>
                    <w:rPr>
                      <w:rFonts w:hint="eastAsia"/>
                      <w:color w:val="auto"/>
                      <w:lang w:val="en-US" w:eastAsia="zh-CN"/>
                    </w:rPr>
                    <w:t>0.05208</w:t>
                  </w:r>
                </w:p>
              </w:tc>
              <w:tc>
                <w:tcPr>
                  <w:tcW w:w="964"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0.05208</w:t>
                  </w:r>
                </w:p>
              </w:tc>
              <w:tc>
                <w:tcPr>
                  <w:tcW w:w="102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+0.05208</w:t>
                  </w:r>
                </w:p>
              </w:tc>
              <w:tc>
                <w:tcPr>
                  <w:tcW w:w="794"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olor w:val="auto"/>
                      <w:lang w:val="en-US" w:eastAsia="zh-CN"/>
                    </w:rPr>
                    <w:t>0.0521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54" w:type="dxa"/>
                  <w:vMerge w:val="restart"/>
                  <w:noWrap w:val="0"/>
                  <w:vAlign w:val="center"/>
                </w:tcPr>
                <w:p>
                  <w:pPr>
                    <w:pStyle w:val="13"/>
                    <w:bidi w:val="0"/>
                    <w:rPr>
                      <w:rFonts w:hint="eastAsia"/>
                      <w:color w:val="auto"/>
                      <w:lang w:val="en-US" w:eastAsia="zh-CN"/>
                    </w:rPr>
                  </w:pPr>
                  <w:r>
                    <w:rPr>
                      <w:rFonts w:hint="eastAsia"/>
                      <w:color w:val="auto"/>
                      <w:lang w:val="en-US" w:eastAsia="zh-CN"/>
                    </w:rPr>
                    <w:t>废水</w:t>
                  </w:r>
                </w:p>
              </w:tc>
              <w:tc>
                <w:tcPr>
                  <w:tcW w:w="1247" w:type="dxa"/>
                  <w:noWrap w:val="0"/>
                  <w:vAlign w:val="center"/>
                </w:tcPr>
                <w:p>
                  <w:pPr>
                    <w:pStyle w:val="13"/>
                    <w:bidi w:val="0"/>
                    <w:rPr>
                      <w:rFonts w:hint="eastAsia"/>
                      <w:color w:val="auto"/>
                      <w:lang w:val="en-US" w:eastAsia="zh-CN"/>
                    </w:rPr>
                  </w:pPr>
                  <w:r>
                    <w:rPr>
                      <w:rFonts w:hint="eastAsia"/>
                      <w:color w:val="auto"/>
                      <w:lang w:val="en-US" w:eastAsia="zh-CN"/>
                    </w:rPr>
                    <w:t>CODcr</w:t>
                  </w:r>
                </w:p>
              </w:tc>
              <w:tc>
                <w:tcPr>
                  <w:tcW w:w="1191"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default"/>
                      <w:color w:val="auto"/>
                      <w:lang w:val="en-US" w:eastAsia="zh-CN"/>
                    </w:rPr>
                    <w:t>0.1719</w:t>
                  </w:r>
                </w:p>
              </w:tc>
              <w:tc>
                <w:tcPr>
                  <w:tcW w:w="964" w:type="dxa"/>
                  <w:noWrap w:val="0"/>
                  <w:vAlign w:val="center"/>
                </w:tcPr>
                <w:p>
                  <w:pPr>
                    <w:pStyle w:val="13"/>
                    <w:bidi w:val="0"/>
                    <w:rPr>
                      <w:rFonts w:hint="eastAsia"/>
                      <w:color w:val="auto"/>
                      <w:lang w:val="en-US" w:eastAsia="zh-CN"/>
                    </w:rPr>
                  </w:pPr>
                  <w:r>
                    <w:rPr>
                      <w:rFonts w:hint="default"/>
                      <w:color w:val="auto"/>
                      <w:lang w:val="en-US" w:eastAsia="zh-CN"/>
                    </w:rPr>
                    <w:t>0.1719</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w:t>
                  </w:r>
                  <w:r>
                    <w:rPr>
                      <w:rFonts w:hint="default"/>
                      <w:color w:val="auto"/>
                      <w:lang w:val="en-US" w:eastAsia="zh-CN"/>
                    </w:rPr>
                    <w:t>0.1719</w:t>
                  </w:r>
                </w:p>
              </w:tc>
              <w:tc>
                <w:tcPr>
                  <w:tcW w:w="794" w:type="dxa"/>
                  <w:noWrap w:val="0"/>
                  <w:vAlign w:val="center"/>
                </w:tcPr>
                <w:p>
                  <w:pPr>
                    <w:pStyle w:val="13"/>
                    <w:bidi w:val="0"/>
                    <w:rPr>
                      <w:rFonts w:hint="eastAsia"/>
                      <w:color w:val="auto"/>
                      <w:lang w:val="en-US" w:eastAsia="zh-CN"/>
                    </w:rPr>
                  </w:pPr>
                  <w:r>
                    <w:rPr>
                      <w:rFonts w:hint="default"/>
                      <w:color w:val="auto"/>
                      <w:lang w:val="en-US" w:eastAsia="zh-CN"/>
                    </w:rPr>
                    <w:t>0.1719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454" w:type="dxa"/>
                  <w:vMerge w:val="continue"/>
                  <w:noWrap w:val="0"/>
                  <w:vAlign w:val="center"/>
                </w:tcPr>
                <w:p>
                  <w:pPr>
                    <w:pStyle w:val="13"/>
                    <w:bidi w:val="0"/>
                    <w:rPr>
                      <w:rFonts w:hint="eastAsia"/>
                      <w:color w:val="auto"/>
                      <w:lang w:val="en-US" w:eastAsia="zh-CN"/>
                    </w:rPr>
                  </w:pPr>
                </w:p>
              </w:tc>
              <w:tc>
                <w:tcPr>
                  <w:tcW w:w="1247" w:type="dxa"/>
                  <w:noWrap w:val="0"/>
                  <w:vAlign w:val="center"/>
                </w:tcPr>
                <w:p>
                  <w:pPr>
                    <w:pStyle w:val="13"/>
                    <w:bidi w:val="0"/>
                    <w:rPr>
                      <w:rFonts w:hint="eastAsia"/>
                      <w:color w:val="auto"/>
                      <w:lang w:val="en-US" w:eastAsia="zh-CN"/>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1191"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w:t>
                  </w:r>
                </w:p>
              </w:tc>
              <w:tc>
                <w:tcPr>
                  <w:tcW w:w="964" w:type="dxa"/>
                  <w:noWrap w:val="0"/>
                  <w:vAlign w:val="center"/>
                </w:tcPr>
                <w:p>
                  <w:pPr>
                    <w:pStyle w:val="13"/>
                    <w:bidi w:val="0"/>
                    <w:rPr>
                      <w:rFonts w:hint="eastAsia"/>
                      <w:color w:val="auto"/>
                      <w:lang w:val="en-US" w:eastAsia="zh-CN"/>
                    </w:rPr>
                  </w:pPr>
                  <w:r>
                    <w:rPr>
                      <w:rFonts w:hint="default"/>
                      <w:color w:val="auto"/>
                      <w:lang w:val="en-US" w:eastAsia="zh-CN"/>
                    </w:rPr>
                    <w:t>0.0172</w:t>
                  </w:r>
                </w:p>
              </w:tc>
              <w:tc>
                <w:tcPr>
                  <w:tcW w:w="964" w:type="dxa"/>
                  <w:noWrap w:val="0"/>
                  <w:vAlign w:val="center"/>
                </w:tcPr>
                <w:p>
                  <w:pPr>
                    <w:pStyle w:val="13"/>
                    <w:bidi w:val="0"/>
                    <w:rPr>
                      <w:rFonts w:hint="eastAsia"/>
                      <w:color w:val="auto"/>
                      <w:lang w:val="en-US" w:eastAsia="zh-CN"/>
                    </w:rPr>
                  </w:pPr>
                  <w:r>
                    <w:rPr>
                      <w:rFonts w:hint="default"/>
                      <w:color w:val="auto"/>
                      <w:lang w:val="en-US" w:eastAsia="zh-CN"/>
                    </w:rPr>
                    <w:t>0.0172</w:t>
                  </w:r>
                </w:p>
              </w:tc>
              <w:tc>
                <w:tcPr>
                  <w:tcW w:w="1020" w:type="dxa"/>
                  <w:noWrap w:val="0"/>
                  <w:vAlign w:val="center"/>
                </w:tcPr>
                <w:p>
                  <w:pPr>
                    <w:pStyle w:val="13"/>
                    <w:bidi w:val="0"/>
                    <w:rPr>
                      <w:rFonts w:hint="eastAsia"/>
                      <w:color w:val="auto"/>
                      <w:lang w:val="en-US" w:eastAsia="zh-CN"/>
                    </w:rPr>
                  </w:pPr>
                  <w:r>
                    <w:rPr>
                      <w:rFonts w:hint="eastAsia"/>
                      <w:color w:val="auto"/>
                      <w:lang w:val="en-US" w:eastAsia="zh-CN"/>
                    </w:rPr>
                    <w:t>+</w:t>
                  </w:r>
                  <w:r>
                    <w:rPr>
                      <w:rFonts w:hint="default"/>
                      <w:color w:val="auto"/>
                      <w:lang w:val="en-US" w:eastAsia="zh-CN"/>
                    </w:rPr>
                    <w:t>0.0172</w:t>
                  </w:r>
                </w:p>
              </w:tc>
              <w:tc>
                <w:tcPr>
                  <w:tcW w:w="794" w:type="dxa"/>
                  <w:noWrap w:val="0"/>
                  <w:vAlign w:val="center"/>
                </w:tcPr>
                <w:p>
                  <w:pPr>
                    <w:pStyle w:val="13"/>
                    <w:bidi w:val="0"/>
                    <w:rPr>
                      <w:rFonts w:hint="eastAsia"/>
                      <w:color w:val="auto"/>
                      <w:lang w:val="en-US" w:eastAsia="zh-CN"/>
                    </w:rPr>
                  </w:pPr>
                  <w:r>
                    <w:rPr>
                      <w:rFonts w:hint="default"/>
                      <w:color w:val="auto"/>
                      <w:lang w:val="en-US" w:eastAsia="zh-CN"/>
                    </w:rPr>
                    <w:t>0.0172</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综上，项目纳入总量控制指标的污染物为CODcr、NH</w:t>
            </w:r>
            <w:r>
              <w:rPr>
                <w:rFonts w:hint="eastAsia" w:ascii="Times New Roman" w:hAnsi="Times New Roman" w:eastAsia="宋体" w:cs="宋体"/>
                <w:color w:val="auto"/>
                <w:vertAlign w:val="subscript"/>
                <w:lang w:val="en-US" w:eastAsia="zh-CN"/>
              </w:rPr>
              <w:t>3</w:t>
            </w:r>
            <w:r>
              <w:rPr>
                <w:rFonts w:hint="eastAsia" w:ascii="Times New Roman" w:hAnsi="Times New Roman" w:eastAsia="宋体" w:cs="宋体"/>
                <w:color w:val="auto"/>
                <w:lang w:val="en-US" w:eastAsia="zh-CN"/>
              </w:rPr>
              <w:t>-N、SO</w:t>
            </w:r>
            <w:r>
              <w:rPr>
                <w:rFonts w:hint="eastAsia" w:ascii="Times New Roman" w:hAnsi="Times New Roman" w:eastAsia="宋体" w:cs="宋体"/>
                <w:color w:val="auto"/>
                <w:vertAlign w:val="subscript"/>
                <w:lang w:val="en-US" w:eastAsia="zh-CN"/>
              </w:rPr>
              <w:t>2</w:t>
            </w:r>
            <w:r>
              <w:rPr>
                <w:rFonts w:hint="eastAsia" w:ascii="Times New Roman" w:hAnsi="Times New Roman" w:eastAsia="宋体" w:cs="宋体"/>
                <w:color w:val="auto"/>
                <w:lang w:val="en-US" w:eastAsia="zh-CN"/>
              </w:rPr>
              <w:t>、NOx、烟（粉）尘和VOCs。</w:t>
            </w:r>
          </w:p>
          <w:p>
            <w:pPr>
              <w:pStyle w:val="1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val="en-US" w:eastAsia="zh-CN"/>
              </w:rPr>
              <w:t>经计算</w:t>
            </w:r>
            <w:r>
              <w:rPr>
                <w:rFonts w:hint="eastAsia"/>
                <w:color w:val="auto"/>
                <w:lang w:eastAsia="zh-CN"/>
              </w:rPr>
              <w:t>，</w:t>
            </w:r>
            <w:r>
              <w:rPr>
                <w:color w:val="auto"/>
              </w:rPr>
              <w:t>全厂</w:t>
            </w:r>
            <w:r>
              <w:rPr>
                <w:rFonts w:hint="eastAsia"/>
                <w:color w:val="auto"/>
                <w:lang w:eastAsia="zh-CN"/>
              </w:rPr>
              <w:t>需申请</w:t>
            </w:r>
            <w:r>
              <w:rPr>
                <w:color w:val="auto"/>
              </w:rPr>
              <w:t>排放</w:t>
            </w:r>
            <w:r>
              <w:rPr>
                <w:rFonts w:hint="eastAsia"/>
                <w:color w:val="auto"/>
                <w:lang w:eastAsia="zh-CN"/>
              </w:rPr>
              <w:t>总</w:t>
            </w:r>
            <w:r>
              <w:rPr>
                <w:color w:val="auto"/>
              </w:rPr>
              <w:t>量为COD</w:t>
            </w:r>
            <w:r>
              <w:rPr>
                <w:rFonts w:hint="eastAsia"/>
                <w:color w:val="auto"/>
              </w:rPr>
              <w:t>cr</w:t>
            </w:r>
            <w:r>
              <w:rPr>
                <w:rFonts w:hint="eastAsia"/>
                <w:color w:val="auto"/>
                <w:lang w:val="en-US" w:eastAsia="zh-CN"/>
              </w:rPr>
              <w:t>：0.1719t/a</w:t>
            </w:r>
            <w:r>
              <w:rPr>
                <w:rFonts w:hint="eastAsia"/>
                <w:color w:val="auto"/>
                <w:lang w:eastAsia="zh-CN"/>
              </w:rPr>
              <w:t>，</w:t>
            </w:r>
            <w:r>
              <w:rPr>
                <w:color w:val="auto"/>
              </w:rPr>
              <w:t>NH</w:t>
            </w:r>
            <w:r>
              <w:rPr>
                <w:color w:val="auto"/>
                <w:vertAlign w:val="subscript"/>
              </w:rPr>
              <w:t>3</w:t>
            </w:r>
            <w:r>
              <w:rPr>
                <w:color w:val="auto"/>
              </w:rPr>
              <w:t>-N</w:t>
            </w:r>
            <w:r>
              <w:rPr>
                <w:rFonts w:hint="eastAsia"/>
                <w:color w:val="auto"/>
                <w:lang w:val="en-US" w:eastAsia="zh-CN"/>
              </w:rPr>
              <w:t>：0.0172t/a</w:t>
            </w:r>
            <w:r>
              <w:rPr>
                <w:rFonts w:hint="eastAsia"/>
                <w:color w:val="auto"/>
                <w:lang w:eastAsia="zh-CN"/>
              </w:rPr>
              <w:t>，</w:t>
            </w:r>
            <w:r>
              <w:rPr>
                <w:color w:val="auto"/>
              </w:rPr>
              <w:t>SO</w:t>
            </w:r>
            <w:r>
              <w:rPr>
                <w:color w:val="auto"/>
                <w:vertAlign w:val="subscript"/>
              </w:rPr>
              <w:t>2</w:t>
            </w:r>
            <w:r>
              <w:rPr>
                <w:color w:val="auto"/>
              </w:rPr>
              <w:t>：</w:t>
            </w:r>
            <w:r>
              <w:rPr>
                <w:rFonts w:hint="eastAsia"/>
                <w:color w:val="auto"/>
                <w:lang w:val="en-US" w:eastAsia="zh-CN"/>
              </w:rPr>
              <w:t>0.006</w:t>
            </w:r>
            <w:r>
              <w:rPr>
                <w:color w:val="auto"/>
              </w:rPr>
              <w:t>t/a</w:t>
            </w:r>
            <w:r>
              <w:rPr>
                <w:rFonts w:hint="eastAsia"/>
                <w:color w:val="auto"/>
                <w:lang w:eastAsia="zh-CN"/>
              </w:rPr>
              <w:t>，</w:t>
            </w:r>
            <w:r>
              <w:rPr>
                <w:color w:val="auto"/>
              </w:rPr>
              <w:t>NOx：</w:t>
            </w:r>
            <w:r>
              <w:rPr>
                <w:rFonts w:hint="eastAsia"/>
                <w:color w:val="auto"/>
                <w:lang w:val="en-US" w:eastAsia="zh-CN"/>
              </w:rPr>
              <w:t>0.0476</w:t>
            </w:r>
            <w:r>
              <w:rPr>
                <w:color w:val="auto"/>
              </w:rPr>
              <w:t>t/a</w:t>
            </w:r>
            <w:r>
              <w:rPr>
                <w:rFonts w:hint="eastAsia"/>
                <w:color w:val="auto"/>
                <w:lang w:eastAsia="zh-CN"/>
              </w:rPr>
              <w:t>，</w:t>
            </w:r>
            <w:r>
              <w:rPr>
                <w:color w:val="auto"/>
              </w:rPr>
              <w:t>烟</w:t>
            </w:r>
            <w:r>
              <w:rPr>
                <w:rFonts w:hint="eastAsia"/>
                <w:color w:val="auto"/>
              </w:rPr>
              <w:t>（</w:t>
            </w:r>
            <w:r>
              <w:rPr>
                <w:color w:val="auto"/>
              </w:rPr>
              <w:t>粉）尘：</w:t>
            </w:r>
            <w:r>
              <w:rPr>
                <w:rFonts w:hint="eastAsia"/>
                <w:color w:val="auto"/>
                <w:lang w:val="en-US" w:eastAsia="zh-CN"/>
              </w:rPr>
              <w:t>0.2648</w:t>
            </w:r>
            <w:r>
              <w:rPr>
                <w:color w:val="auto"/>
              </w:rPr>
              <w:t>t/a</w:t>
            </w:r>
            <w:r>
              <w:rPr>
                <w:rFonts w:hint="eastAsia"/>
                <w:color w:val="auto"/>
                <w:lang w:eastAsia="zh-CN"/>
              </w:rPr>
              <w:t>，</w:t>
            </w:r>
            <w:r>
              <w:rPr>
                <w:rFonts w:hint="eastAsia"/>
                <w:color w:val="auto"/>
                <w:lang w:val="en-US" w:eastAsia="zh-CN"/>
              </w:rPr>
              <w:t>VOCs：0.0521t/a</w:t>
            </w:r>
            <w:r>
              <w:rPr>
                <w:color w:val="auto"/>
              </w:rPr>
              <w:t>。</w:t>
            </w:r>
          </w:p>
          <w:p>
            <w:pPr>
              <w:pStyle w:val="18"/>
              <w:keepLines w:val="0"/>
              <w:pageBreakBefore w:val="0"/>
              <w:kinsoku/>
              <w:wordWrap/>
              <w:bidi w:val="0"/>
              <w:adjustRightInd w:val="0"/>
              <w:snapToGrid w:val="0"/>
              <w:textAlignment w:val="auto"/>
              <w:rPr>
                <w:b w:val="0"/>
                <w:bCs w:val="0"/>
                <w:color w:val="auto"/>
              </w:rPr>
            </w:pPr>
          </w:p>
          <w:p>
            <w:pPr>
              <w:pStyle w:val="18"/>
              <w:keepLines w:val="0"/>
              <w:pageBreakBefore w:val="0"/>
              <w:kinsoku/>
              <w:wordWrap/>
              <w:bidi w:val="0"/>
              <w:adjustRightInd w:val="0"/>
              <w:snapToGrid w:val="0"/>
              <w:textAlignment w:val="auto"/>
              <w:rPr>
                <w:rFonts w:hint="default" w:eastAsia="宋体"/>
                <w:b w:val="0"/>
                <w:bCs w:val="0"/>
                <w:color w:val="auto"/>
                <w:highlight w:val="none"/>
                <w:lang w:val="en-US" w:eastAsia="zh-CN"/>
              </w:rPr>
            </w:pP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jc w:val="center"/>
        <w:textAlignment w:val="auto"/>
        <w:outlineLvl w:val="0"/>
        <w:rPr>
          <w:rFonts w:ascii="黑体" w:hAnsi="黑体" w:eastAsia="黑体"/>
          <w:snapToGrid w:val="0"/>
          <w:color w:val="auto"/>
          <w:sz w:val="30"/>
          <w:szCs w:val="30"/>
          <w:highlight w:val="none"/>
        </w:rPr>
      </w:pPr>
      <w:r>
        <w:rPr>
          <w:rFonts w:ascii="黑体" w:hAnsi="黑体" w:eastAsia="黑体"/>
          <w:snapToGrid w:val="0"/>
          <w:color w:val="auto"/>
          <w:sz w:val="24"/>
          <w:szCs w:val="24"/>
          <w:highlight w:val="none"/>
        </w:rPr>
        <w:br w:type="page"/>
      </w:r>
      <w:r>
        <w:rPr>
          <w:rStyle w:val="10"/>
          <w:rFonts w:hint="eastAsia"/>
          <w:color w:val="auto"/>
        </w:rPr>
        <w:t>四、主要环境影响和保护措施</w:t>
      </w:r>
    </w:p>
    <w:tbl>
      <w:tblPr>
        <w:tblStyle w:val="7"/>
        <w:tblW w:w="93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24"/>
        <w:gridCol w:w="87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41" w:hRule="atLeast"/>
          <w:jc w:val="center"/>
        </w:trPr>
        <w:tc>
          <w:tcPr>
            <w:tcW w:w="624" w:type="dxa"/>
            <w:noWrap w:val="0"/>
            <w:tcMar>
              <w:left w:w="28" w:type="dxa"/>
              <w:right w:w="28"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cs="宋体"/>
                <w:b/>
                <w:bCs/>
                <w:color w:val="auto"/>
                <w:highlight w:val="none"/>
              </w:rPr>
            </w:pPr>
            <w:r>
              <w:rPr>
                <w:rFonts w:hint="eastAsia" w:cs="宋体"/>
                <w:b/>
                <w:bCs/>
                <w:color w:val="auto"/>
                <w:highlight w:val="none"/>
              </w:rPr>
              <w:t>施工</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cs="宋体"/>
                <w:b/>
                <w:bCs/>
                <w:color w:val="auto"/>
                <w:highlight w:val="none"/>
              </w:rPr>
            </w:pPr>
            <w:r>
              <w:rPr>
                <w:rFonts w:hint="eastAsia" w:cs="宋体"/>
                <w:b/>
                <w:bCs/>
                <w:color w:val="auto"/>
                <w:highlight w:val="none"/>
              </w:rPr>
              <w:t>期环</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cs="宋体"/>
                <w:b/>
                <w:bCs/>
                <w:color w:val="auto"/>
                <w:highlight w:val="none"/>
              </w:rPr>
            </w:pPr>
            <w:r>
              <w:rPr>
                <w:rFonts w:hint="eastAsia" w:cs="宋体"/>
                <w:b/>
                <w:bCs/>
                <w:color w:val="auto"/>
                <w:highlight w:val="none"/>
              </w:rPr>
              <w:t>境保</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cs="宋体"/>
                <w:b/>
                <w:bCs/>
                <w:color w:val="auto"/>
                <w:highlight w:val="none"/>
              </w:rPr>
            </w:pPr>
            <w:r>
              <w:rPr>
                <w:rFonts w:hint="eastAsia" w:cs="宋体"/>
                <w:b/>
                <w:bCs/>
                <w:color w:val="auto"/>
                <w:highlight w:val="none"/>
              </w:rPr>
              <w:t>护措</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cs="宋体"/>
                <w:bCs/>
                <w:color w:val="auto"/>
                <w:highlight w:val="none"/>
              </w:rPr>
            </w:pPr>
            <w:r>
              <w:rPr>
                <w:rFonts w:hint="eastAsia" w:cs="宋体"/>
                <w:b/>
                <w:bCs/>
                <w:color w:val="auto"/>
                <w:highlight w:val="none"/>
              </w:rPr>
              <w:t>施</w:t>
            </w:r>
          </w:p>
        </w:tc>
        <w:tc>
          <w:tcPr>
            <w:tcW w:w="8731" w:type="dxa"/>
            <w:noWrap w:val="0"/>
            <w:vAlign w:val="center"/>
          </w:tcPr>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项目</w:t>
            </w:r>
            <w:r>
              <w:rPr>
                <w:rFonts w:hint="eastAsia"/>
                <w:color w:val="auto"/>
                <w:lang w:eastAsia="zh-CN"/>
              </w:rPr>
              <w:t>依托</w:t>
            </w:r>
            <w:r>
              <w:rPr>
                <w:rFonts w:hint="eastAsia"/>
                <w:color w:val="auto"/>
              </w:rPr>
              <w:t>现有厂房进行生产，无土方开挖、结构、装饰等施工期作业，主要为设备安装时期施工人员产生的少量生活污水和生活垃圾等，本次环评对施工期的环境影响不做分析。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71" w:hRule="atLeast"/>
          <w:jc w:val="center"/>
        </w:trPr>
        <w:tc>
          <w:tcPr>
            <w:tcW w:w="624" w:type="dxa"/>
            <w:noWrap w:val="0"/>
            <w:tcMar>
              <w:left w:w="28" w:type="dxa"/>
              <w:right w:w="28" w:type="dxa"/>
            </w:tcMar>
            <w:vAlign w:val="center"/>
          </w:tcPr>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ascii="宋体" w:hAnsi="宋体" w:cs="宋体"/>
                <w:b/>
                <w:color w:val="auto"/>
                <w:highlight w:val="none"/>
              </w:rPr>
            </w:pPr>
            <w:r>
              <w:rPr>
                <w:rFonts w:hint="eastAsia" w:ascii="宋体" w:hAnsi="宋体" w:cs="宋体"/>
                <w:b/>
                <w:color w:val="auto"/>
                <w:highlight w:val="none"/>
              </w:rPr>
              <w:t>运营</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ascii="宋体" w:hAnsi="宋体" w:cs="宋体"/>
                <w:b/>
                <w:color w:val="auto"/>
                <w:highlight w:val="none"/>
              </w:rPr>
            </w:pPr>
            <w:r>
              <w:rPr>
                <w:rFonts w:hint="eastAsia" w:ascii="宋体" w:hAnsi="宋体" w:cs="宋体"/>
                <w:b/>
                <w:color w:val="auto"/>
                <w:highlight w:val="none"/>
              </w:rPr>
              <w:t>期环</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ascii="宋体" w:hAnsi="宋体" w:cs="宋体"/>
                <w:b/>
                <w:color w:val="auto"/>
                <w:highlight w:val="none"/>
              </w:rPr>
            </w:pPr>
            <w:r>
              <w:rPr>
                <w:rFonts w:hint="eastAsia" w:ascii="宋体" w:hAnsi="宋体" w:cs="宋体"/>
                <w:b/>
                <w:color w:val="auto"/>
                <w:highlight w:val="none"/>
              </w:rPr>
              <w:t>境影</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ascii="宋体" w:hAnsi="宋体" w:cs="宋体"/>
                <w:b/>
                <w:color w:val="auto"/>
                <w:highlight w:val="none"/>
              </w:rPr>
            </w:pPr>
            <w:r>
              <w:rPr>
                <w:rFonts w:hint="eastAsia" w:ascii="宋体" w:hAnsi="宋体" w:cs="宋体"/>
                <w:b/>
                <w:color w:val="auto"/>
                <w:highlight w:val="none"/>
              </w:rPr>
              <w:t>响和</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hint="eastAsia" w:ascii="宋体" w:hAnsi="宋体" w:cs="宋体"/>
                <w:b/>
                <w:color w:val="auto"/>
                <w:highlight w:val="none"/>
              </w:rPr>
            </w:pPr>
            <w:r>
              <w:rPr>
                <w:rFonts w:hint="eastAsia" w:ascii="宋体" w:hAnsi="宋体" w:cs="宋体"/>
                <w:b/>
                <w:color w:val="auto"/>
                <w:highlight w:val="none"/>
              </w:rPr>
              <w:t>保护</w:t>
            </w:r>
          </w:p>
          <w:p>
            <w:pPr>
              <w:keepNext w:val="0"/>
              <w:keepLines w:val="0"/>
              <w:pageBreakBefore w:val="0"/>
              <w:widowControl w:val="0"/>
              <w:shd w:val="clear" w:color="auto" w:fill="auto"/>
              <w:kinsoku/>
              <w:wordWrap/>
              <w:overflowPunct/>
              <w:topLinePunct/>
              <w:autoSpaceDE/>
              <w:autoSpaceDN/>
              <w:bidi w:val="0"/>
              <w:adjustRightInd w:val="0"/>
              <w:snapToGrid w:val="0"/>
              <w:ind w:left="-120" w:leftChars="-50" w:right="-120" w:rightChars="-50"/>
              <w:jc w:val="center"/>
              <w:textAlignment w:val="auto"/>
              <w:rPr>
                <w:rFonts w:ascii="宋体" w:hAnsi="宋体" w:cs="宋体"/>
                <w:bCs/>
                <w:color w:val="auto"/>
                <w:szCs w:val="21"/>
                <w:highlight w:val="none"/>
              </w:rPr>
            </w:pPr>
            <w:r>
              <w:rPr>
                <w:rFonts w:hint="eastAsia" w:ascii="宋体" w:hAnsi="宋体" w:cs="宋体"/>
                <w:b/>
                <w:color w:val="auto"/>
                <w:highlight w:val="none"/>
              </w:rPr>
              <w:t>措施</w:t>
            </w:r>
          </w:p>
        </w:tc>
        <w:tc>
          <w:tcPr>
            <w:tcW w:w="8731" w:type="dxa"/>
            <w:noWrap w:val="0"/>
            <w:vAlign w:val="top"/>
          </w:tcPr>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一、废气</w:t>
            </w:r>
          </w:p>
          <w:p>
            <w:pPr>
              <w:pStyle w:val="18"/>
              <w:keepLines w:val="0"/>
              <w:pageBreakBefore w:val="0"/>
              <w:kinsoku/>
              <w:wordWrap/>
              <w:bidi w:val="0"/>
              <w:adjustRightInd w:val="0"/>
              <w:snapToGrid w:val="0"/>
              <w:textAlignment w:val="auto"/>
              <w:rPr>
                <w:rFonts w:hint="eastAsia"/>
                <w:color w:val="auto"/>
              </w:rPr>
            </w:pPr>
            <w:r>
              <w:rPr>
                <w:rFonts w:hint="eastAsia"/>
                <w:color w:val="auto"/>
              </w:rPr>
              <w:t>1、废气污染源源强分析</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rPr>
              <w:t>项目运营期废气为</w:t>
            </w:r>
            <w:r>
              <w:rPr>
                <w:rFonts w:hint="eastAsia"/>
                <w:color w:val="auto"/>
                <w:lang w:val="en-US" w:eastAsia="zh-CN"/>
              </w:rPr>
              <w:t>食堂油烟</w:t>
            </w:r>
            <w:r>
              <w:rPr>
                <w:rFonts w:hint="eastAsia"/>
                <w:color w:val="auto"/>
                <w:lang w:eastAsia="zh-CN"/>
              </w:rPr>
              <w:t>、发泡废气、浸胶对压废气、热烫废气、烘干废气、</w:t>
            </w:r>
            <w:r>
              <w:rPr>
                <w:rFonts w:hint="eastAsia"/>
                <w:color w:val="auto"/>
                <w:lang w:val="en-US" w:eastAsia="zh-CN"/>
              </w:rPr>
              <w:t>摊铺废气、加热废气、复合废气、涂胶废气、撒粉废气、天然气燃烧废气</w:t>
            </w:r>
            <w:r>
              <w:rPr>
                <w:rFonts w:hint="eastAsia"/>
                <w:color w:val="auto"/>
                <w:lang w:eastAsia="zh-CN"/>
              </w:rPr>
              <w:t>。</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食堂油烟</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食堂在烹饪食物时产生的油烟，主要由不可见微油滴组成。根据类比调查和有关资料显示，每人每天耗食用油量约为30g，就餐人数按</w:t>
            </w:r>
            <w:r>
              <w:rPr>
                <w:rFonts w:hint="eastAsia"/>
                <w:color w:val="auto"/>
                <w:lang w:val="en-US" w:eastAsia="zh-CN"/>
              </w:rPr>
              <w:t>60</w:t>
            </w:r>
            <w:r>
              <w:rPr>
                <w:rFonts w:hint="eastAsia"/>
                <w:color w:val="auto"/>
                <w:lang w:eastAsia="zh-CN"/>
              </w:rPr>
              <w:t>人计，油烟含量约占耗油量的2%，则油烟产生量为</w:t>
            </w:r>
            <w:r>
              <w:rPr>
                <w:rFonts w:hint="eastAsia"/>
                <w:color w:val="auto"/>
                <w:lang w:val="en-US" w:eastAsia="zh-CN"/>
              </w:rPr>
              <w:t>10.8</w:t>
            </w:r>
            <w:r>
              <w:rPr>
                <w:rFonts w:hint="eastAsia"/>
                <w:color w:val="auto"/>
                <w:lang w:eastAsia="zh-CN"/>
              </w:rPr>
              <w:t>kg/a。项目灶头数为</w:t>
            </w:r>
            <w:r>
              <w:rPr>
                <w:rFonts w:hint="eastAsia"/>
                <w:color w:val="auto"/>
                <w:lang w:val="en-US" w:eastAsia="zh-CN"/>
              </w:rPr>
              <w:t>2</w:t>
            </w:r>
            <w:r>
              <w:rPr>
                <w:rFonts w:hint="eastAsia"/>
                <w:color w:val="auto"/>
                <w:lang w:eastAsia="zh-CN"/>
              </w:rPr>
              <w:t>个，根据《饮食业油烟排放标准》（试行）（GB18483-2001），本项目食堂规模为</w:t>
            </w:r>
            <w:r>
              <w:rPr>
                <w:rFonts w:hint="eastAsia"/>
                <w:color w:val="auto"/>
                <w:lang w:val="en-US" w:eastAsia="zh-CN"/>
              </w:rPr>
              <w:t>小</w:t>
            </w:r>
            <w:r>
              <w:rPr>
                <w:rFonts w:hint="eastAsia"/>
                <w:color w:val="auto"/>
                <w:lang w:eastAsia="zh-CN"/>
              </w:rPr>
              <w:t>型，食堂油烟经油烟净化器（收集率为90%，去除效率为</w:t>
            </w:r>
            <w:r>
              <w:rPr>
                <w:rFonts w:hint="eastAsia"/>
                <w:color w:val="auto"/>
                <w:lang w:val="en-US" w:eastAsia="zh-CN"/>
              </w:rPr>
              <w:t>60</w:t>
            </w:r>
            <w:r>
              <w:rPr>
                <w:rFonts w:hint="eastAsia"/>
                <w:color w:val="auto"/>
                <w:lang w:eastAsia="zh-CN"/>
              </w:rPr>
              <w:t>%）处理后于楼顶高空排放，风机</w:t>
            </w:r>
            <w:r>
              <w:rPr>
                <w:rFonts w:hint="eastAsia"/>
                <w:color w:val="auto"/>
                <w:lang w:val="en-US" w:eastAsia="zh-CN"/>
              </w:rPr>
              <w:t>设计</w:t>
            </w:r>
            <w:r>
              <w:rPr>
                <w:rFonts w:hint="eastAsia"/>
                <w:color w:val="auto"/>
                <w:lang w:eastAsia="zh-CN"/>
              </w:rPr>
              <w:t>风量为5000m³/h，炉灶平均每天使用6h，计算得油烟收集量为</w:t>
            </w:r>
            <w:r>
              <w:rPr>
                <w:rFonts w:hint="eastAsia"/>
                <w:color w:val="auto"/>
                <w:lang w:val="en-US" w:eastAsia="zh-CN"/>
              </w:rPr>
              <w:t>9.72</w:t>
            </w:r>
            <w:r>
              <w:rPr>
                <w:rFonts w:hint="eastAsia"/>
                <w:color w:val="auto"/>
                <w:lang w:eastAsia="zh-CN"/>
              </w:rPr>
              <w:t>kg/a，产生浓度为</w:t>
            </w:r>
            <w:r>
              <w:rPr>
                <w:rFonts w:hint="eastAsia"/>
                <w:color w:val="auto"/>
                <w:lang w:val="en-US" w:eastAsia="zh-CN"/>
              </w:rPr>
              <w:t>1.08</w:t>
            </w:r>
            <w:r>
              <w:rPr>
                <w:rFonts w:hint="eastAsia"/>
                <w:color w:val="auto"/>
                <w:lang w:eastAsia="zh-CN"/>
              </w:rPr>
              <w:t>mg/m³，处理后排放量为</w:t>
            </w:r>
            <w:r>
              <w:rPr>
                <w:rFonts w:hint="eastAsia"/>
                <w:color w:val="auto"/>
                <w:lang w:val="en-US" w:eastAsia="zh-CN"/>
              </w:rPr>
              <w:t>3.888</w:t>
            </w:r>
            <w:r>
              <w:rPr>
                <w:rFonts w:hint="eastAsia"/>
                <w:color w:val="auto"/>
                <w:lang w:eastAsia="zh-CN"/>
              </w:rPr>
              <w:t>kg/a，排放浓度为</w:t>
            </w:r>
            <w:r>
              <w:rPr>
                <w:rFonts w:hint="eastAsia"/>
                <w:color w:val="auto"/>
                <w:lang w:val="en-US" w:eastAsia="zh-CN"/>
              </w:rPr>
              <w:t>0.43</w:t>
            </w:r>
            <w:r>
              <w:rPr>
                <w:rFonts w:hint="eastAsia"/>
                <w:color w:val="auto"/>
                <w:lang w:eastAsia="zh-CN"/>
              </w:rPr>
              <w:t>mg/m³。</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）发泡废气、浸胶对压废气、热烫废气、烘干废气、</w:t>
            </w:r>
            <w:r>
              <w:rPr>
                <w:rFonts w:hint="eastAsia"/>
                <w:color w:val="auto"/>
                <w:lang w:val="en-US" w:eastAsia="zh-CN"/>
              </w:rPr>
              <w:t>摊铺废气、加热废气、复合废气、涂胶废气、撒粉废气、天然气燃烧废气</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1#无纺布后处理生产线产生的废气（即发泡废气、浸胶对压废气、热烫废气、烘干废气、天然气燃烧废气）通过集气设施收集经二级活性炭处理后由一根15m高排气筒（DA001）排放（收集效率按90%计，二级活性炭处理效率按90%计，风机风量为15000m³/h，每天运行8小时，年运行300天）。</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1#活性炭无纺布生产线产生的废气（即摊铺废气、加热废气、复合废气）通过集气设施收集经布袋除尘器+二级活性炭处理后由一根15m高排气筒（DA002）排放（收集效率按90%计，布袋除尘器处理效率按95%计，二级活性炭处理效率按90%计，风机风量为15000m³/h，每天运行8小时，年运行300天）。</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2#活性炭无纺布生产线产生的废气（即涂胶废气、撒粉废气、复合废气）与2#无纺布后处理生产线产生的废气（即发泡废气、浸胶对压废气、烘干废气、天然气燃烧废气）通过集气设施收集经布袋除尘器+二级活性炭处理后由一根15m高排气筒（DA003）排放（收集效率按90%计，布袋除尘器处理效率按95%计，二级活性炭处理效率按90%计，风机风量为30000m³/h，每天运行8小时，年运行300天）。</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①</w:t>
            </w:r>
            <w:r>
              <w:rPr>
                <w:rFonts w:hint="eastAsia"/>
                <w:color w:val="auto"/>
                <w:lang w:eastAsia="zh-CN"/>
              </w:rPr>
              <w:t>天然气燃烧废气</w:t>
            </w:r>
          </w:p>
          <w:p>
            <w:pPr>
              <w:pStyle w:val="16"/>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项目设置2条无纺布后处理生产线（产能相同），每条无纺布后处理生产线烘干工序配备2台天然气燃烧机，以天然气为燃料，设有低氮燃烧器，为烘干工序提供热量。项目天然气使用量为3万m³/a，烘干工序每天工作8h，年工作300天。</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颗粒物参照《环境保护实用数据手册》中天然气废气产污系数进行核算，颗粒物产污系数为2.4kg/万m³-原料；SO</w:t>
            </w:r>
            <w:r>
              <w:rPr>
                <w:rFonts w:hint="eastAsia"/>
                <w:color w:val="auto"/>
                <w:vertAlign w:val="subscript"/>
                <w:lang w:val="en-US" w:eastAsia="zh-CN"/>
              </w:rPr>
              <w:t>2</w:t>
            </w:r>
            <w:r>
              <w:rPr>
                <w:rFonts w:hint="eastAsia"/>
                <w:color w:val="auto"/>
                <w:lang w:val="en-US" w:eastAsia="zh-CN"/>
              </w:rPr>
              <w:t>、NOx参照《排放源统计调查产排污核算方法和系数手册》中“4430工业锅炉（热力生产和供应行业）产污系数表-燃气工业锅炉”产污系数计算，具体数值见下表。</w:t>
            </w:r>
          </w:p>
          <w:p>
            <w:pPr>
              <w:pStyle w:val="11"/>
              <w:bidi w:val="0"/>
              <w:rPr>
                <w:rFonts w:hint="eastAsia"/>
                <w:color w:val="auto"/>
                <w:lang w:val="en-US" w:eastAsia="zh-CN"/>
              </w:rPr>
            </w:pPr>
            <w:r>
              <w:rPr>
                <w:rFonts w:hint="eastAsia"/>
                <w:color w:val="auto"/>
                <w:lang w:val="en-US" w:eastAsia="zh-CN"/>
              </w:rPr>
              <w:t>表4-1 燃气工业锅炉废气产排污系数表</w:t>
            </w:r>
          </w:p>
          <w:tbl>
            <w:tblPr>
              <w:tblStyle w:val="8"/>
              <w:tblW w:w="85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37"/>
              <w:gridCol w:w="737"/>
              <w:gridCol w:w="737"/>
              <w:gridCol w:w="696"/>
              <w:gridCol w:w="1309"/>
              <w:gridCol w:w="2547"/>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37" w:type="dxa"/>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原料名称</w:t>
                  </w:r>
                </w:p>
              </w:tc>
              <w:tc>
                <w:tcPr>
                  <w:tcW w:w="737" w:type="dxa"/>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产品名称</w:t>
                  </w:r>
                </w:p>
              </w:tc>
              <w:tc>
                <w:tcPr>
                  <w:tcW w:w="737" w:type="dxa"/>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工艺名称</w:t>
                  </w:r>
                </w:p>
              </w:tc>
              <w:tc>
                <w:tcPr>
                  <w:tcW w:w="737" w:type="dxa"/>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规模等级</w:t>
                  </w:r>
                </w:p>
              </w:tc>
              <w:tc>
                <w:tcPr>
                  <w:tcW w:w="2005" w:type="dxa"/>
                  <w:gridSpan w:val="2"/>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污染物指标</w:t>
                  </w:r>
                </w:p>
              </w:tc>
              <w:tc>
                <w:tcPr>
                  <w:tcW w:w="2547" w:type="dxa"/>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单位</w:t>
                  </w:r>
                </w:p>
              </w:tc>
              <w:tc>
                <w:tcPr>
                  <w:tcW w:w="1077" w:type="dxa"/>
                  <w:tcBorders>
                    <w:tl2br w:val="nil"/>
                    <w:tr2bl w:val="nil"/>
                  </w:tcBorders>
                  <w:noWrap w:val="0"/>
                  <w:vAlign w:val="center"/>
                </w:tcPr>
                <w:p>
                  <w:pPr>
                    <w:pStyle w:val="15"/>
                    <w:bidi w:val="0"/>
                    <w:rPr>
                      <w:rFonts w:hint="eastAsia"/>
                      <w:color w:val="auto"/>
                      <w:lang w:val="en-US" w:eastAsia="zh-CN"/>
                    </w:rPr>
                  </w:pPr>
                  <w:r>
                    <w:rPr>
                      <w:rFonts w:hint="eastAsia"/>
                      <w:color w:val="auto"/>
                      <w:lang w:val="en-US" w:eastAsia="zh-CN"/>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restart"/>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天然气</w:t>
                  </w:r>
                </w:p>
              </w:tc>
              <w:tc>
                <w:tcPr>
                  <w:tcW w:w="737" w:type="dxa"/>
                  <w:vMerge w:val="restart"/>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蒸汽/热水/其它</w:t>
                  </w:r>
                </w:p>
              </w:tc>
              <w:tc>
                <w:tcPr>
                  <w:tcW w:w="737" w:type="dxa"/>
                  <w:vMerge w:val="restart"/>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室燃炉</w:t>
                  </w:r>
                </w:p>
              </w:tc>
              <w:tc>
                <w:tcPr>
                  <w:tcW w:w="737" w:type="dxa"/>
                  <w:vMerge w:val="restart"/>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所有规模</w:t>
                  </w:r>
                </w:p>
              </w:tc>
              <w:tc>
                <w:tcPr>
                  <w:tcW w:w="696" w:type="dxa"/>
                  <w:vMerge w:val="restart"/>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废气</w:t>
                  </w:r>
                </w:p>
              </w:tc>
              <w:tc>
                <w:tcPr>
                  <w:tcW w:w="1309"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工业废气量</w:t>
                  </w:r>
                </w:p>
              </w:tc>
              <w:tc>
                <w:tcPr>
                  <w:tcW w:w="2547"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标立方米/万立方米-原料</w:t>
                  </w:r>
                </w:p>
              </w:tc>
              <w:tc>
                <w:tcPr>
                  <w:tcW w:w="1077"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107753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696" w:type="dxa"/>
                  <w:vMerge w:val="continue"/>
                  <w:tcBorders>
                    <w:tl2br w:val="nil"/>
                    <w:tr2bl w:val="nil"/>
                  </w:tcBorders>
                  <w:noWrap w:val="0"/>
                  <w:vAlign w:val="center"/>
                </w:tcPr>
                <w:p>
                  <w:pPr>
                    <w:pStyle w:val="13"/>
                    <w:bidi w:val="0"/>
                    <w:rPr>
                      <w:rFonts w:hint="eastAsia"/>
                      <w:color w:val="auto"/>
                      <w:lang w:val="en-US" w:eastAsia="zh-CN"/>
                    </w:rPr>
                  </w:pPr>
                </w:p>
              </w:tc>
              <w:tc>
                <w:tcPr>
                  <w:tcW w:w="1309"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二氧化硫</w:t>
                  </w:r>
                </w:p>
              </w:tc>
              <w:tc>
                <w:tcPr>
                  <w:tcW w:w="2547"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千克/万立方米-原料</w:t>
                  </w:r>
                </w:p>
              </w:tc>
              <w:tc>
                <w:tcPr>
                  <w:tcW w:w="1077" w:type="dxa"/>
                  <w:tcBorders>
                    <w:tl2br w:val="nil"/>
                    <w:tr2bl w:val="nil"/>
                  </w:tcBorders>
                  <w:noWrap w:val="0"/>
                  <w:vAlign w:val="center"/>
                </w:tcPr>
                <w:p>
                  <w:pPr>
                    <w:pStyle w:val="13"/>
                    <w:bidi w:val="0"/>
                    <w:rPr>
                      <w:rFonts w:hint="default"/>
                      <w:color w:val="auto"/>
                      <w:lang w:val="en-US" w:eastAsia="zh-CN"/>
                    </w:rPr>
                  </w:pPr>
                  <w:r>
                    <w:rPr>
                      <w:rFonts w:hint="eastAsia"/>
                      <w:color w:val="auto"/>
                      <w:lang w:val="en-US" w:eastAsia="zh-CN"/>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737" w:type="dxa"/>
                  <w:vMerge w:val="continue"/>
                  <w:tcBorders>
                    <w:tl2br w:val="nil"/>
                    <w:tr2bl w:val="nil"/>
                  </w:tcBorders>
                  <w:noWrap w:val="0"/>
                  <w:vAlign w:val="center"/>
                </w:tcPr>
                <w:p>
                  <w:pPr>
                    <w:pStyle w:val="13"/>
                    <w:bidi w:val="0"/>
                    <w:rPr>
                      <w:rFonts w:hint="eastAsia"/>
                      <w:color w:val="auto"/>
                      <w:lang w:val="en-US" w:eastAsia="zh-CN"/>
                    </w:rPr>
                  </w:pPr>
                </w:p>
              </w:tc>
              <w:tc>
                <w:tcPr>
                  <w:tcW w:w="696" w:type="dxa"/>
                  <w:vMerge w:val="continue"/>
                  <w:tcBorders>
                    <w:tl2br w:val="nil"/>
                    <w:tr2bl w:val="nil"/>
                  </w:tcBorders>
                  <w:noWrap w:val="0"/>
                  <w:vAlign w:val="center"/>
                </w:tcPr>
                <w:p>
                  <w:pPr>
                    <w:pStyle w:val="13"/>
                    <w:bidi w:val="0"/>
                    <w:rPr>
                      <w:rFonts w:hint="eastAsia"/>
                      <w:color w:val="auto"/>
                      <w:lang w:val="en-US" w:eastAsia="zh-CN"/>
                    </w:rPr>
                  </w:pPr>
                </w:p>
              </w:tc>
              <w:tc>
                <w:tcPr>
                  <w:tcW w:w="1309" w:type="dxa"/>
                  <w:tcBorders>
                    <w:tl2br w:val="nil"/>
                    <w:tr2bl w:val="nil"/>
                  </w:tcBorders>
                  <w:noWrap w:val="0"/>
                  <w:vAlign w:val="center"/>
                </w:tcPr>
                <w:p>
                  <w:pPr>
                    <w:pStyle w:val="13"/>
                    <w:bidi w:val="0"/>
                    <w:rPr>
                      <w:rFonts w:hint="default"/>
                      <w:color w:val="auto"/>
                      <w:lang w:val="en-US" w:eastAsia="zh-CN"/>
                    </w:rPr>
                  </w:pPr>
                  <w:r>
                    <w:rPr>
                      <w:rFonts w:hint="eastAsia"/>
                      <w:color w:val="auto"/>
                      <w:lang w:val="en-US" w:eastAsia="zh-CN"/>
                    </w:rPr>
                    <w:t>氮氧化物</w:t>
                  </w:r>
                </w:p>
              </w:tc>
              <w:tc>
                <w:tcPr>
                  <w:tcW w:w="2547"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千克/万立方米-原料</w:t>
                  </w:r>
                </w:p>
              </w:tc>
              <w:tc>
                <w:tcPr>
                  <w:tcW w:w="1077" w:type="dxa"/>
                  <w:tcBorders>
                    <w:tl2br w:val="nil"/>
                    <w:tr2bl w:val="nil"/>
                  </w:tcBorders>
                  <w:noWrap w:val="0"/>
                  <w:vAlign w:val="center"/>
                </w:tcPr>
                <w:p>
                  <w:pPr>
                    <w:pStyle w:val="13"/>
                    <w:bidi w:val="0"/>
                    <w:rPr>
                      <w:rFonts w:hint="eastAsia"/>
                      <w:color w:val="auto"/>
                      <w:lang w:val="en-US" w:eastAsia="zh-CN"/>
                    </w:rPr>
                  </w:pPr>
                  <w:r>
                    <w:rPr>
                      <w:rFonts w:hint="eastAsia"/>
                      <w:color w:val="auto"/>
                      <w:lang w:val="en-US" w:eastAsia="zh-CN"/>
                    </w:rPr>
                    <w:t>15.87</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根据强制性国家标准《天然气》（GB 17820-2018），作为工业原料或燃料的天然气须符合二类气技术指标，即总硫≤100mg/m³，项目取100mg/m³，则S=100。</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根据上表中产污系数计算可得，1#无纺布后处理生产线天然气燃烧工业废气量为161630m³/a；颗粒物的排放量为0.0036t/a，排放速率为0.0015kg/h，排放浓度为22mg/m³；SO</w:t>
            </w:r>
            <w:r>
              <w:rPr>
                <w:rFonts w:hint="eastAsia"/>
                <w:color w:val="auto"/>
                <w:vertAlign w:val="subscript"/>
                <w:lang w:val="en-US" w:eastAsia="zh-CN"/>
              </w:rPr>
              <w:t>2</w:t>
            </w:r>
            <w:r>
              <w:rPr>
                <w:rFonts w:hint="eastAsia"/>
                <w:color w:val="auto"/>
                <w:lang w:val="en-US" w:eastAsia="zh-CN"/>
              </w:rPr>
              <w:t>排放量为0.003t/a，排放速率为0.0013kg/h，排放浓度为19mg/m³；NOx排放量为0.0238t/a，排放速率为0.0099kg/h，排放浓度为147mg/m³；2#无纺布后处理生产线天然气燃烧工业废气量为161630m³/a；颗粒物的排放量为0.0036t/a，排放速率为0.0015kg/h，排放浓度为22mg/m³；SO</w:t>
            </w:r>
            <w:r>
              <w:rPr>
                <w:rFonts w:hint="eastAsia"/>
                <w:color w:val="auto"/>
                <w:vertAlign w:val="subscript"/>
                <w:lang w:val="en-US" w:eastAsia="zh-CN"/>
              </w:rPr>
              <w:t>2</w:t>
            </w:r>
            <w:r>
              <w:rPr>
                <w:rFonts w:hint="eastAsia"/>
                <w:color w:val="auto"/>
                <w:lang w:val="en-US" w:eastAsia="zh-CN"/>
              </w:rPr>
              <w:t>排放量为0.003t/a，排放速率为0.0013kg/h，排放浓度为19mg/m³；NOx排放量为0.0238t/a，排放速率为0.0099kg/h，排放浓度为147mg/m³。天然气燃烧废气排放均满足《工业炉窑大气污染物排放标准》（GB9078-1996）和《安徽省大气办关于印发＜安徽省2020年大气污染防治重点工作任务＞的通知》（皖大气办〔2020〕2号）中排放限值（颗粒物：30mg/m³，SO</w:t>
            </w:r>
            <w:r>
              <w:rPr>
                <w:rFonts w:hint="eastAsia"/>
                <w:color w:val="auto"/>
                <w:vertAlign w:val="subscript"/>
                <w:lang w:val="en-US" w:eastAsia="zh-CN"/>
              </w:rPr>
              <w:t>2</w:t>
            </w:r>
            <w:r>
              <w:rPr>
                <w:rFonts w:hint="eastAsia"/>
                <w:color w:val="auto"/>
                <w:lang w:val="en-US" w:eastAsia="zh-CN"/>
              </w:rPr>
              <w:t>：200mg/m³，NOx：300mg/m³）。</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val="en-US" w:eastAsia="zh-CN"/>
              </w:rPr>
              <w:t>②无纺布后处理生产线产生的废气</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项目设置2条无纺布后处理生产线（产能相同），根据企业提供材料，项目软胶805使用量为4.8t/a（检测报告中VOCs含量为3g/L，密度为1.05g/mL），软胶810使用量为5.5t/a（检测报告中VOCs含量为4g/L，密度为1.05g/mL），硬浆4075使用量为1.2t/a（检测报告中VOCs含量为未检出），经计算软胶805挥发出VOCs的量约为0.0137t/a，软胶810挥发出VOCs的量约为0.0210t/a，硬浆4075不挥发有机废气。</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综上，</w:t>
            </w:r>
            <w:r>
              <w:rPr>
                <w:rFonts w:hint="default"/>
                <w:color w:val="auto"/>
                <w:lang w:val="en-US" w:eastAsia="zh-CN"/>
              </w:rPr>
              <w:t>无纺布后处理生产线</w:t>
            </w:r>
            <w:r>
              <w:rPr>
                <w:rFonts w:hint="eastAsia"/>
                <w:color w:val="auto"/>
                <w:lang w:val="en-US" w:eastAsia="zh-CN"/>
              </w:rPr>
              <w:t>产生的VOCs（以非甲烷总烃计）的量为0.0347t/a，收集的非甲烷总烃的量为0.03123t/a，未收集的非甲烷总烃的量为0.00347t/a。</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③活性炭无纺布生产线产生的废气</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1）有机废气</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项目设置2条活性炭无纺布生产线（产能相同），生产过程中使用热熔胶即EVA680C（乙烯-醋酸乙烯共聚物），根据《排放源统计调查产排污核算方法和系数手册》中“1781非织造布制造行业系数手册-非织造布-化学粘合工艺”挥发性有机物的产污系数（266g/t-产品）计算，活性炭无纺布的年生产量为300万㎡，比重约为300g/㎡，经计算活性炭无纺布的年生产量为900t，则VOCs的产生量为0.2394t/a。</w:t>
            </w:r>
          </w:p>
          <w:p>
            <w:pPr>
              <w:pStyle w:val="16"/>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综上，活性炭无纺布生产线产生的VOCs（以非甲烷总烃计）的量为0.2394t/a，收集的非甲烷总烃的量为0.21546t/a，未收集的非甲烷总烃的量为0.02394t/a。</w:t>
            </w:r>
          </w:p>
          <w:p>
            <w:pPr>
              <w:pStyle w:val="16"/>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2）粉尘</w:t>
            </w:r>
          </w:p>
          <w:p>
            <w:pPr>
              <w:pStyle w:val="16"/>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项目设置2条活性炭无纺布生产线（产能相同），生产过程中活性炭的使用量为180t/a，查阅相关资料，活性炭的相对密度为1.8g/cm³，比重较大，粉尘的挥发量按1%计，则粉尘的产生量为1.8t/a。</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综上，活性炭无纺布生产线产生的粉尘的量为1.8t/a，收集的粉尘的量为1.62t/a，未收集的粉尘的量为0.18t/a。</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项目</w:t>
            </w:r>
            <w:r>
              <w:rPr>
                <w:rFonts w:hint="eastAsia"/>
                <w:color w:val="auto"/>
                <w:lang w:val="en-US" w:eastAsia="zh-CN"/>
              </w:rPr>
              <w:t>有机废气和粉尘</w:t>
            </w:r>
            <w:r>
              <w:rPr>
                <w:rFonts w:hint="eastAsia"/>
                <w:color w:val="auto"/>
                <w:lang w:eastAsia="zh-CN"/>
              </w:rPr>
              <w:t>产生和排放情况，见下表。</w:t>
            </w:r>
          </w:p>
          <w:p>
            <w:pPr>
              <w:pStyle w:val="11"/>
              <w:keepLines w:val="0"/>
              <w:pageBreakBefore w:val="0"/>
              <w:kinsoku/>
              <w:wordWrap/>
              <w:bidi w:val="0"/>
              <w:adjustRightInd w:val="0"/>
              <w:snapToGrid w:val="0"/>
              <w:textAlignment w:val="auto"/>
              <w:rPr>
                <w:rFonts w:hint="eastAsia"/>
                <w:color w:val="auto"/>
                <w:lang w:eastAsia="zh-CN"/>
              </w:rPr>
            </w:pPr>
          </w:p>
          <w:p>
            <w:pPr>
              <w:pStyle w:val="11"/>
              <w:keepLines w:val="0"/>
              <w:pageBreakBefore w:val="0"/>
              <w:kinsoku/>
              <w:wordWrap/>
              <w:bidi w:val="0"/>
              <w:adjustRightInd w:val="0"/>
              <w:snapToGrid w:val="0"/>
              <w:textAlignment w:val="auto"/>
              <w:rPr>
                <w:rFonts w:hint="eastAsia"/>
                <w:color w:val="auto"/>
                <w:lang w:eastAsia="zh-CN"/>
              </w:rPr>
            </w:pPr>
          </w:p>
          <w:p>
            <w:pPr>
              <w:pStyle w:val="11"/>
              <w:keepLines w:val="0"/>
              <w:pageBreakBefore w:val="0"/>
              <w:kinsoku/>
              <w:wordWrap/>
              <w:bidi w:val="0"/>
              <w:adjustRightInd w:val="0"/>
              <w:snapToGrid w:val="0"/>
              <w:textAlignment w:val="auto"/>
              <w:rPr>
                <w:rFonts w:hint="eastAsia"/>
                <w:color w:val="auto"/>
                <w:lang w:eastAsia="zh-CN"/>
              </w:rPr>
            </w:pPr>
          </w:p>
          <w:p>
            <w:pPr>
              <w:pStyle w:val="11"/>
              <w:keepLines w:val="0"/>
              <w:pageBreakBefore w:val="0"/>
              <w:kinsoku/>
              <w:wordWrap/>
              <w:bidi w:val="0"/>
              <w:adjustRightInd w:val="0"/>
              <w:snapToGrid w:val="0"/>
              <w:textAlignment w:val="auto"/>
              <w:rPr>
                <w:rFonts w:hint="eastAsia"/>
                <w:color w:val="auto"/>
                <w:lang w:eastAsia="zh-CN"/>
              </w:rPr>
            </w:pP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lang w:eastAsia="zh-CN"/>
              </w:rPr>
              <w:t>表4-</w:t>
            </w:r>
            <w:r>
              <w:rPr>
                <w:rFonts w:hint="eastAsia"/>
                <w:color w:val="auto"/>
                <w:lang w:val="en-US" w:eastAsia="zh-CN"/>
              </w:rPr>
              <w:t>2</w:t>
            </w:r>
            <w:r>
              <w:rPr>
                <w:rFonts w:hint="eastAsia"/>
                <w:color w:val="auto"/>
                <w:lang w:eastAsia="zh-CN"/>
              </w:rPr>
              <w:t xml:space="preserve"> 项目</w:t>
            </w:r>
            <w:r>
              <w:rPr>
                <w:rFonts w:hint="eastAsia"/>
                <w:color w:val="auto"/>
                <w:lang w:val="en-US" w:eastAsia="zh-CN"/>
              </w:rPr>
              <w:t>有机废气和粉尘</w:t>
            </w:r>
            <w:r>
              <w:rPr>
                <w:rFonts w:hint="eastAsia"/>
                <w:color w:val="auto"/>
                <w:lang w:eastAsia="zh-CN"/>
              </w:rPr>
              <w:t>产生和排放情况</w:t>
            </w:r>
          </w:p>
          <w:tbl>
            <w:tblPr>
              <w:tblStyle w:val="7"/>
              <w:tblW w:w="85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4"/>
              <w:gridCol w:w="907"/>
              <w:gridCol w:w="794"/>
              <w:gridCol w:w="680"/>
              <w:gridCol w:w="802"/>
              <w:gridCol w:w="1023"/>
              <w:gridCol w:w="964"/>
              <w:gridCol w:w="850"/>
              <w:gridCol w:w="964"/>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restart"/>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污染源编号</w:t>
                  </w:r>
                </w:p>
              </w:tc>
              <w:tc>
                <w:tcPr>
                  <w:tcW w:w="907" w:type="dxa"/>
                  <w:vMerge w:val="restart"/>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处理设施</w:t>
                  </w:r>
                </w:p>
              </w:tc>
              <w:tc>
                <w:tcPr>
                  <w:tcW w:w="794" w:type="dxa"/>
                  <w:vMerge w:val="restart"/>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680" w:type="dxa"/>
                  <w:vMerge w:val="restart"/>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eastAsia" w:cs="Times New Roman"/>
                      <w:color w:val="auto"/>
                      <w:lang w:val="en-US" w:eastAsia="zh-CN"/>
                    </w:rPr>
                    <w:t>风</w:t>
                  </w:r>
                  <w:r>
                    <w:rPr>
                      <w:rFonts w:hint="default" w:ascii="Times New Roman" w:hAnsi="Times New Roman" w:eastAsia="宋体" w:cs="Times New Roman"/>
                      <w:color w:val="auto"/>
                      <w:lang w:eastAsia="zh-CN"/>
                    </w:rPr>
                    <w:t>量m³/h</w:t>
                  </w:r>
                </w:p>
              </w:tc>
              <w:tc>
                <w:tcPr>
                  <w:tcW w:w="2789" w:type="dxa"/>
                  <w:gridSpan w:val="3"/>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处理前</w:t>
                  </w:r>
                </w:p>
              </w:tc>
              <w:tc>
                <w:tcPr>
                  <w:tcW w:w="2778" w:type="dxa"/>
                  <w:gridSpan w:val="3"/>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24" w:type="dxa"/>
                  <w:vMerge w:val="continue"/>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p>
              </w:tc>
              <w:tc>
                <w:tcPr>
                  <w:tcW w:w="907" w:type="dxa"/>
                  <w:vMerge w:val="continue"/>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p>
              </w:tc>
              <w:tc>
                <w:tcPr>
                  <w:tcW w:w="794" w:type="dxa"/>
                  <w:vMerge w:val="continue"/>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p>
              </w:tc>
              <w:tc>
                <w:tcPr>
                  <w:tcW w:w="680" w:type="dxa"/>
                  <w:vMerge w:val="continue"/>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p>
              </w:tc>
              <w:tc>
                <w:tcPr>
                  <w:tcW w:w="802" w:type="dxa"/>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产生量t/a</w:t>
                  </w:r>
                </w:p>
              </w:tc>
              <w:tc>
                <w:tcPr>
                  <w:tcW w:w="1023" w:type="dxa"/>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产生速率kg/h</w:t>
                  </w:r>
                </w:p>
              </w:tc>
              <w:tc>
                <w:tcPr>
                  <w:tcW w:w="964" w:type="dxa"/>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产生浓度mg/m³</w:t>
                  </w:r>
                </w:p>
              </w:tc>
              <w:tc>
                <w:tcPr>
                  <w:tcW w:w="850" w:type="dxa"/>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排放量t/a</w:t>
                  </w:r>
                </w:p>
              </w:tc>
              <w:tc>
                <w:tcPr>
                  <w:tcW w:w="964" w:type="dxa"/>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排放速率kg/h</w:t>
                  </w:r>
                </w:p>
              </w:tc>
              <w:tc>
                <w:tcPr>
                  <w:tcW w:w="964" w:type="dxa"/>
                  <w:noWrap w:val="0"/>
                  <w:vAlign w:val="center"/>
                </w:tcPr>
                <w:p>
                  <w:pPr>
                    <w:pStyle w:val="15"/>
                    <w:keepLines w:val="0"/>
                    <w:pageBreakBefore w:val="0"/>
                    <w:kinsoku/>
                    <w:wordWrap/>
                    <w:bidi w:val="0"/>
                    <w:adjustRightInd w:val="0"/>
                    <w:snapToGrid w:val="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排放浓度mg/m³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24"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eastAsia="zh-CN"/>
                    </w:rPr>
                    <w:t>DA00</w:t>
                  </w:r>
                  <w:r>
                    <w:rPr>
                      <w:rFonts w:hint="eastAsia"/>
                      <w:color w:val="auto"/>
                      <w:lang w:val="en-US" w:eastAsia="zh-CN"/>
                    </w:rPr>
                    <w:t>1</w:t>
                  </w:r>
                </w:p>
              </w:tc>
              <w:tc>
                <w:tcPr>
                  <w:tcW w:w="907"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eastAsia="zh-CN"/>
                    </w:rPr>
                    <w:t>二级活性炭</w:t>
                  </w:r>
                  <w:r>
                    <w:rPr>
                      <w:rFonts w:hint="eastAsia"/>
                      <w:color w:val="auto"/>
                      <w:lang w:val="en-US" w:eastAsia="zh-CN"/>
                    </w:rPr>
                    <w:t>吸附</w:t>
                  </w: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颗粒物</w:t>
                  </w:r>
                </w:p>
              </w:tc>
              <w:tc>
                <w:tcPr>
                  <w:tcW w:w="680"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15000</w:t>
                  </w:r>
                </w:p>
              </w:tc>
              <w:tc>
                <w:tcPr>
                  <w:tcW w:w="802" w:type="dxa"/>
                  <w:noWrap w:val="0"/>
                  <w:vAlign w:val="center"/>
                </w:tcPr>
                <w:p>
                  <w:pPr>
                    <w:pStyle w:val="13"/>
                    <w:bidi w:val="0"/>
                    <w:rPr>
                      <w:rFonts w:hint="eastAsia"/>
                      <w:color w:val="auto"/>
                      <w:lang w:val="en-US" w:eastAsia="zh-CN"/>
                    </w:rPr>
                  </w:pPr>
                  <w:r>
                    <w:rPr>
                      <w:rFonts w:hint="eastAsia"/>
                      <w:color w:val="auto"/>
                      <w:lang w:val="en-US" w:eastAsia="zh-CN"/>
                    </w:rPr>
                    <w:t>0.0036</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0.0015</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0.10</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0.0036</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0.0015</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SO</w:t>
                  </w:r>
                  <w:r>
                    <w:rPr>
                      <w:rFonts w:hint="eastAsia"/>
                      <w:color w:val="auto"/>
                      <w:vertAlign w:val="subscript"/>
                      <w:lang w:val="en-US" w:eastAsia="zh-CN"/>
                    </w:rPr>
                    <w:t>2</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eastAsia"/>
                      <w:color w:val="auto"/>
                      <w:lang w:val="en-US" w:eastAsia="zh-CN"/>
                    </w:rPr>
                  </w:pPr>
                  <w:r>
                    <w:rPr>
                      <w:rFonts w:hint="eastAsia"/>
                      <w:color w:val="auto"/>
                      <w:lang w:val="en-US" w:eastAsia="zh-CN"/>
                    </w:rPr>
                    <w:t>0.003</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0.0013</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0.08</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0.003</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0.0013</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NOx</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eastAsia"/>
                      <w:color w:val="auto"/>
                      <w:lang w:val="en-US" w:eastAsia="zh-CN"/>
                    </w:rPr>
                  </w:pPr>
                  <w:r>
                    <w:rPr>
                      <w:rFonts w:hint="eastAsia"/>
                      <w:color w:val="auto"/>
                      <w:lang w:val="en-US" w:eastAsia="zh-CN"/>
                    </w:rPr>
                    <w:t>0.0238</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0.0099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0.66</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0.0238</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0.0099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非甲烷总烃</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default"/>
                      <w:color w:val="auto"/>
                      <w:lang w:val="en-US" w:eastAsia="zh-CN"/>
                    </w:rPr>
                  </w:pPr>
                  <w:r>
                    <w:rPr>
                      <w:rFonts w:hint="eastAsia"/>
                      <w:color w:val="auto"/>
                      <w:lang w:val="en-US" w:eastAsia="zh-CN"/>
                    </w:rPr>
                    <w:t>0.01562</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0.0065</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0.43</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0.00156</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0.0007</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DA002</w:t>
                  </w:r>
                </w:p>
              </w:tc>
              <w:tc>
                <w:tcPr>
                  <w:tcW w:w="907" w:type="dxa"/>
                  <w:vMerge w:val="restart"/>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布袋除尘器+二级活性炭</w:t>
                  </w:r>
                  <w:r>
                    <w:rPr>
                      <w:rFonts w:hint="eastAsia"/>
                      <w:color w:val="auto"/>
                      <w:lang w:val="en-US" w:eastAsia="zh-CN"/>
                    </w:rPr>
                    <w:t>吸附</w:t>
                  </w: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颗粒物</w:t>
                  </w:r>
                </w:p>
              </w:tc>
              <w:tc>
                <w:tcPr>
                  <w:tcW w:w="680"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15000</w:t>
                  </w:r>
                </w:p>
              </w:tc>
              <w:tc>
                <w:tcPr>
                  <w:tcW w:w="802" w:type="dxa"/>
                  <w:noWrap w:val="0"/>
                  <w:vAlign w:val="center"/>
                </w:tcPr>
                <w:p>
                  <w:pPr>
                    <w:pStyle w:val="13"/>
                    <w:bidi w:val="0"/>
                    <w:rPr>
                      <w:rFonts w:hint="eastAsia"/>
                      <w:color w:val="auto"/>
                      <w:lang w:val="en-US" w:eastAsia="zh-CN"/>
                    </w:rPr>
                  </w:pPr>
                  <w:r>
                    <w:rPr>
                      <w:rFonts w:hint="eastAsia"/>
                      <w:color w:val="auto"/>
                      <w:lang w:val="en-US" w:eastAsia="zh-CN"/>
                    </w:rPr>
                    <w:t>0.81</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0.3375</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22.5</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0.0405</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0.0169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非甲烷总烃</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default"/>
                      <w:color w:val="auto"/>
                      <w:lang w:val="en-US" w:eastAsia="zh-CN"/>
                    </w:rPr>
                  </w:pPr>
                  <w:r>
                    <w:rPr>
                      <w:rFonts w:hint="eastAsia"/>
                      <w:color w:val="auto"/>
                      <w:lang w:val="en-US" w:eastAsia="zh-CN"/>
                    </w:rPr>
                    <w:t>0.10773</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0.0449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2.99</w:t>
                  </w:r>
                </w:p>
              </w:tc>
              <w:tc>
                <w:tcPr>
                  <w:tcW w:w="850" w:type="dxa"/>
                  <w:noWrap w:val="0"/>
                  <w:vAlign w:val="center"/>
                </w:tcPr>
                <w:p>
                  <w:pPr>
                    <w:pStyle w:val="13"/>
                    <w:bidi w:val="0"/>
                    <w:rPr>
                      <w:rFonts w:hint="default"/>
                      <w:color w:val="auto"/>
                      <w:lang w:val="en-US" w:eastAsia="zh-CN"/>
                    </w:rPr>
                  </w:pPr>
                  <w:r>
                    <w:rPr>
                      <w:rFonts w:hint="eastAsia"/>
                      <w:color w:val="auto"/>
                      <w:lang w:val="en-US" w:eastAsia="zh-CN"/>
                    </w:rPr>
                    <w:t>0.01077</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0.0045</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DA003</w:t>
                  </w:r>
                </w:p>
              </w:tc>
              <w:tc>
                <w:tcPr>
                  <w:tcW w:w="907" w:type="dxa"/>
                  <w:vMerge w:val="restart"/>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布袋除尘器+二级活性炭</w:t>
                  </w:r>
                  <w:r>
                    <w:rPr>
                      <w:rFonts w:hint="eastAsia"/>
                      <w:color w:val="auto"/>
                      <w:lang w:val="en-US" w:eastAsia="zh-CN"/>
                    </w:rPr>
                    <w:t>吸附</w:t>
                  </w:r>
                </w:p>
              </w:tc>
              <w:tc>
                <w:tcPr>
                  <w:tcW w:w="794"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lang w:val="en-US" w:eastAsia="zh-CN" w:bidi="ar-SA"/>
                    </w:rPr>
                  </w:pPr>
                  <w:r>
                    <w:rPr>
                      <w:rFonts w:hint="eastAsia"/>
                      <w:color w:val="auto"/>
                      <w:lang w:eastAsia="zh-CN"/>
                    </w:rPr>
                    <w:t>颗粒物</w:t>
                  </w:r>
                </w:p>
              </w:tc>
              <w:tc>
                <w:tcPr>
                  <w:tcW w:w="680"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30000</w:t>
                  </w:r>
                </w:p>
              </w:tc>
              <w:tc>
                <w:tcPr>
                  <w:tcW w:w="802" w:type="dxa"/>
                  <w:noWrap w:val="0"/>
                  <w:vAlign w:val="center"/>
                </w:tcPr>
                <w:p>
                  <w:pPr>
                    <w:pStyle w:val="13"/>
                    <w:bidi w:val="0"/>
                    <w:rPr>
                      <w:rFonts w:hint="eastAsia"/>
                      <w:color w:val="auto"/>
                      <w:lang w:val="en-US" w:eastAsia="zh-CN"/>
                    </w:rPr>
                  </w:pPr>
                  <w:r>
                    <w:rPr>
                      <w:rFonts w:hint="eastAsia"/>
                      <w:color w:val="auto"/>
                      <w:lang w:val="en-US" w:eastAsia="zh-CN"/>
                    </w:rPr>
                    <w:t>0.8136</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0.339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11.3</w:t>
                  </w:r>
                </w:p>
              </w:tc>
              <w:tc>
                <w:tcPr>
                  <w:tcW w:w="850" w:type="dxa"/>
                  <w:noWrap w:val="0"/>
                  <w:vAlign w:val="center"/>
                </w:tcPr>
                <w:p>
                  <w:pPr>
                    <w:pStyle w:val="13"/>
                    <w:bidi w:val="0"/>
                    <w:rPr>
                      <w:rFonts w:hint="default"/>
                      <w:color w:val="auto"/>
                      <w:lang w:val="en-US" w:eastAsia="zh-CN"/>
                    </w:rPr>
                  </w:pPr>
                  <w:r>
                    <w:rPr>
                      <w:rFonts w:hint="eastAsia"/>
                      <w:color w:val="auto"/>
                      <w:lang w:val="en-US" w:eastAsia="zh-CN"/>
                    </w:rPr>
                    <w:t>0.0407</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0.0170</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lang w:val="en-US" w:eastAsia="zh-CN" w:bidi="ar-SA"/>
                    </w:rPr>
                  </w:pPr>
                  <w:r>
                    <w:rPr>
                      <w:rFonts w:hint="eastAsia"/>
                      <w:color w:val="auto"/>
                      <w:lang w:val="en-US" w:eastAsia="zh-CN"/>
                    </w:rPr>
                    <w:t>SO</w:t>
                  </w:r>
                  <w:r>
                    <w:rPr>
                      <w:rFonts w:hint="eastAsia"/>
                      <w:color w:val="auto"/>
                      <w:vertAlign w:val="subscript"/>
                      <w:lang w:val="en-US" w:eastAsia="zh-CN"/>
                    </w:rPr>
                    <w:t>2</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eastAsia"/>
                      <w:color w:val="auto"/>
                      <w:lang w:val="en-US" w:eastAsia="zh-CN"/>
                    </w:rPr>
                  </w:pPr>
                  <w:r>
                    <w:rPr>
                      <w:rFonts w:hint="eastAsia"/>
                      <w:color w:val="auto"/>
                      <w:lang w:val="en-US" w:eastAsia="zh-CN"/>
                    </w:rPr>
                    <w:t>0.003</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0.0013</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0.04</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0.003</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0.0013</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lang w:val="en-US" w:eastAsia="zh-CN" w:bidi="ar-SA"/>
                    </w:rPr>
                  </w:pPr>
                  <w:r>
                    <w:rPr>
                      <w:rFonts w:hint="eastAsia"/>
                      <w:color w:val="auto"/>
                      <w:lang w:val="en-US" w:eastAsia="zh-CN"/>
                    </w:rPr>
                    <w:t>NOx</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eastAsia"/>
                      <w:color w:val="auto"/>
                      <w:lang w:val="en-US" w:eastAsia="zh-CN"/>
                    </w:rPr>
                  </w:pPr>
                  <w:r>
                    <w:rPr>
                      <w:rFonts w:hint="eastAsia"/>
                      <w:color w:val="auto"/>
                      <w:lang w:val="en-US" w:eastAsia="zh-CN"/>
                    </w:rPr>
                    <w:t>0.0238</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0.0099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0.33</w:t>
                  </w:r>
                </w:p>
              </w:tc>
              <w:tc>
                <w:tcPr>
                  <w:tcW w:w="850" w:type="dxa"/>
                  <w:noWrap w:val="0"/>
                  <w:vAlign w:val="center"/>
                </w:tcPr>
                <w:p>
                  <w:pPr>
                    <w:pStyle w:val="13"/>
                    <w:bidi w:val="0"/>
                    <w:rPr>
                      <w:rFonts w:hint="eastAsia"/>
                      <w:color w:val="auto"/>
                      <w:lang w:val="en-US" w:eastAsia="zh-CN"/>
                    </w:rPr>
                  </w:pPr>
                  <w:r>
                    <w:rPr>
                      <w:rFonts w:hint="eastAsia"/>
                      <w:color w:val="auto"/>
                      <w:lang w:val="en-US" w:eastAsia="zh-CN"/>
                    </w:rPr>
                    <w:t>0.0238</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0.0099</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624"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907" w:type="dxa"/>
                  <w:vMerge w:val="continue"/>
                  <w:noWrap w:val="0"/>
                  <w:vAlign w:val="center"/>
                </w:tcPr>
                <w:p>
                  <w:pPr>
                    <w:pStyle w:val="13"/>
                    <w:keepLines w:val="0"/>
                    <w:pageBreakBefore w:val="0"/>
                    <w:kinsoku/>
                    <w:wordWrap/>
                    <w:bidi w:val="0"/>
                    <w:adjustRightInd w:val="0"/>
                    <w:snapToGrid w:val="0"/>
                    <w:textAlignment w:val="auto"/>
                    <w:rPr>
                      <w:rFonts w:hint="eastAsia"/>
                      <w:color w:val="auto"/>
                      <w:lang w:eastAsia="zh-CN"/>
                    </w:rPr>
                  </w:pPr>
                </w:p>
              </w:tc>
              <w:tc>
                <w:tcPr>
                  <w:tcW w:w="794"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lang w:val="en-US" w:eastAsia="zh-CN" w:bidi="ar-SA"/>
                    </w:rPr>
                  </w:pPr>
                  <w:r>
                    <w:rPr>
                      <w:rFonts w:hint="eastAsia"/>
                      <w:color w:val="auto"/>
                      <w:lang w:val="en-US" w:eastAsia="zh-CN"/>
                    </w:rPr>
                    <w:t>非甲烷总烃</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p>
              </w:tc>
              <w:tc>
                <w:tcPr>
                  <w:tcW w:w="802" w:type="dxa"/>
                  <w:noWrap w:val="0"/>
                  <w:vAlign w:val="center"/>
                </w:tcPr>
                <w:p>
                  <w:pPr>
                    <w:pStyle w:val="13"/>
                    <w:bidi w:val="0"/>
                    <w:rPr>
                      <w:rFonts w:hint="default"/>
                      <w:color w:val="auto"/>
                      <w:lang w:val="en-US" w:eastAsia="zh-CN"/>
                    </w:rPr>
                  </w:pPr>
                  <w:r>
                    <w:rPr>
                      <w:rFonts w:hint="eastAsia"/>
                      <w:color w:val="auto"/>
                      <w:lang w:val="en-US" w:eastAsia="zh-CN"/>
                    </w:rPr>
                    <w:t>0.12335</w:t>
                  </w:r>
                </w:p>
              </w:tc>
              <w:tc>
                <w:tcPr>
                  <w:tcW w:w="1023" w:type="dxa"/>
                  <w:noWrap w:val="0"/>
                  <w:vAlign w:val="center"/>
                </w:tcPr>
                <w:p>
                  <w:pPr>
                    <w:pStyle w:val="13"/>
                    <w:bidi w:val="0"/>
                    <w:rPr>
                      <w:rFonts w:hint="eastAsia"/>
                      <w:color w:val="auto"/>
                      <w:lang w:val="en-US" w:eastAsia="zh-CN"/>
                    </w:rPr>
                  </w:pPr>
                  <w:r>
                    <w:rPr>
                      <w:rFonts w:hint="eastAsia"/>
                      <w:color w:val="auto"/>
                      <w:lang w:val="en-US" w:eastAsia="zh-CN"/>
                    </w:rPr>
                    <w:t>0.0514</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1.71</w:t>
                  </w:r>
                </w:p>
              </w:tc>
              <w:tc>
                <w:tcPr>
                  <w:tcW w:w="850" w:type="dxa"/>
                  <w:noWrap w:val="0"/>
                  <w:vAlign w:val="center"/>
                </w:tcPr>
                <w:p>
                  <w:pPr>
                    <w:pStyle w:val="13"/>
                    <w:bidi w:val="0"/>
                    <w:rPr>
                      <w:rFonts w:hint="default"/>
                      <w:color w:val="auto"/>
                      <w:lang w:val="en-US" w:eastAsia="zh-CN"/>
                    </w:rPr>
                  </w:pPr>
                  <w:r>
                    <w:rPr>
                      <w:rFonts w:hint="eastAsia"/>
                      <w:color w:val="auto"/>
                      <w:lang w:val="en-US" w:eastAsia="zh-CN"/>
                    </w:rPr>
                    <w:t>0.01234</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0.0051</w:t>
                  </w:r>
                </w:p>
              </w:tc>
              <w:tc>
                <w:tcPr>
                  <w:tcW w:w="964" w:type="dxa"/>
                  <w:noWrap w:val="0"/>
                  <w:vAlign w:val="center"/>
                </w:tcPr>
                <w:p>
                  <w:pPr>
                    <w:pStyle w:val="13"/>
                    <w:bidi w:val="0"/>
                    <w:rPr>
                      <w:rFonts w:hint="eastAsia"/>
                      <w:color w:val="auto"/>
                      <w:lang w:val="en-US" w:eastAsia="zh-CN"/>
                    </w:rPr>
                  </w:pPr>
                  <w:r>
                    <w:rPr>
                      <w:rFonts w:hint="eastAsia"/>
                      <w:color w:val="auto"/>
                      <w:lang w:val="en-US" w:eastAsia="zh-CN"/>
                    </w:rPr>
                    <w:t>0.17</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lang w:eastAsia="zh-CN"/>
              </w:rPr>
              <w:t>项目</w:t>
            </w:r>
            <w:r>
              <w:rPr>
                <w:rFonts w:hint="eastAsia"/>
                <w:color w:val="auto"/>
                <w:lang w:val="en-US" w:eastAsia="zh-CN"/>
              </w:rPr>
              <w:t>有机废气和粉尘</w:t>
            </w:r>
            <w:r>
              <w:rPr>
                <w:rFonts w:hint="eastAsia"/>
                <w:color w:val="auto"/>
                <w:lang w:eastAsia="zh-CN"/>
              </w:rPr>
              <w:t>废气排放口基本情况，见下表。</w:t>
            </w:r>
          </w:p>
          <w:p>
            <w:pPr>
              <w:pStyle w:val="11"/>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表4-</w:t>
            </w:r>
            <w:r>
              <w:rPr>
                <w:rFonts w:hint="eastAsia"/>
                <w:color w:val="auto"/>
                <w:lang w:val="en-US" w:eastAsia="zh-CN"/>
              </w:rPr>
              <w:t>3</w:t>
            </w:r>
            <w:r>
              <w:rPr>
                <w:rFonts w:hint="eastAsia"/>
                <w:color w:val="auto"/>
                <w:lang w:eastAsia="zh-CN"/>
              </w:rPr>
              <w:t xml:space="preserve"> 项目</w:t>
            </w:r>
            <w:r>
              <w:rPr>
                <w:rFonts w:hint="eastAsia"/>
                <w:color w:val="auto"/>
                <w:lang w:val="en-US" w:eastAsia="zh-CN"/>
              </w:rPr>
              <w:t>有机废气和粉尘</w:t>
            </w:r>
            <w:r>
              <w:rPr>
                <w:rFonts w:hint="eastAsia"/>
                <w:color w:val="auto"/>
                <w:lang w:eastAsia="zh-CN"/>
              </w:rPr>
              <w:t>排放口基本情况</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64"/>
              <w:gridCol w:w="1020"/>
              <w:gridCol w:w="1077"/>
              <w:gridCol w:w="964"/>
              <w:gridCol w:w="1020"/>
              <w:gridCol w:w="964"/>
              <w:gridCol w:w="964"/>
              <w:gridCol w:w="794"/>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64" w:type="dxa"/>
                  <w:vMerge w:val="restart"/>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污染源</w:t>
                  </w:r>
                </w:p>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编号</w:t>
                  </w:r>
                </w:p>
              </w:tc>
              <w:tc>
                <w:tcPr>
                  <w:tcW w:w="1020" w:type="dxa"/>
                  <w:vMerge w:val="restart"/>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污染源</w:t>
                  </w:r>
                </w:p>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名称</w:t>
                  </w:r>
                </w:p>
              </w:tc>
              <w:tc>
                <w:tcPr>
                  <w:tcW w:w="2041" w:type="dxa"/>
                  <w:gridSpan w:val="2"/>
                  <w:noWrap w:val="0"/>
                  <w:vAlign w:val="center"/>
                </w:tcPr>
                <w:p>
                  <w:pPr>
                    <w:pStyle w:val="15"/>
                    <w:keepLines w:val="0"/>
                    <w:pageBreakBefore w:val="0"/>
                    <w:kinsoku/>
                    <w:wordWrap/>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地理坐标</w:t>
                  </w:r>
                </w:p>
              </w:tc>
              <w:tc>
                <w:tcPr>
                  <w:tcW w:w="1020" w:type="dxa"/>
                  <w:vMerge w:val="restart"/>
                  <w:noWrap w:val="0"/>
                  <w:vAlign w:val="center"/>
                </w:tcPr>
                <w:p>
                  <w:pPr>
                    <w:pStyle w:val="15"/>
                    <w:keepLines w:val="0"/>
                    <w:pageBreakBefore w:val="0"/>
                    <w:kinsoku/>
                    <w:wordWrap/>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废气量</w:t>
                  </w:r>
                  <w:r>
                    <w:rPr>
                      <w:rFonts w:hint="eastAsia" w:cs="Times New Roman"/>
                      <w:color w:val="auto"/>
                      <w:sz w:val="21"/>
                      <w:szCs w:val="21"/>
                      <w:lang w:val="en-US" w:eastAsia="zh-CN"/>
                    </w:rPr>
                    <w:t>（</w:t>
                  </w:r>
                  <w:r>
                    <w:rPr>
                      <w:rFonts w:hint="default" w:ascii="Times New Roman" w:hAnsi="Times New Roman" w:cs="Times New Roman"/>
                      <w:color w:val="auto"/>
                      <w:sz w:val="21"/>
                      <w:szCs w:val="21"/>
                      <w:lang w:eastAsia="zh-CN"/>
                    </w:rPr>
                    <w:t>m³/h</w:t>
                  </w:r>
                  <w:r>
                    <w:rPr>
                      <w:rFonts w:hint="eastAsia" w:cs="Times New Roman"/>
                      <w:color w:val="auto"/>
                      <w:sz w:val="21"/>
                      <w:szCs w:val="21"/>
                      <w:lang w:val="en-US" w:eastAsia="zh-CN"/>
                    </w:rPr>
                    <w:t>）</w:t>
                  </w:r>
                </w:p>
              </w:tc>
              <w:tc>
                <w:tcPr>
                  <w:tcW w:w="964" w:type="dxa"/>
                  <w:vMerge w:val="restart"/>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排放高度</w:t>
                  </w:r>
                  <w:r>
                    <w:rPr>
                      <w:rFonts w:hint="eastAsia"/>
                      <w:color w:val="auto"/>
                      <w:sz w:val="21"/>
                      <w:szCs w:val="21"/>
                      <w:lang w:val="en-US" w:eastAsia="zh-CN"/>
                    </w:rPr>
                    <w:t>（</w:t>
                  </w:r>
                  <w:r>
                    <w:rPr>
                      <w:rFonts w:hint="eastAsia"/>
                      <w:color w:val="auto"/>
                      <w:sz w:val="21"/>
                      <w:szCs w:val="21"/>
                      <w:lang w:eastAsia="zh-CN"/>
                    </w:rPr>
                    <w:t>m</w:t>
                  </w:r>
                  <w:r>
                    <w:rPr>
                      <w:rFonts w:hint="eastAsia"/>
                      <w:color w:val="auto"/>
                      <w:sz w:val="21"/>
                      <w:szCs w:val="21"/>
                      <w:lang w:val="en-US" w:eastAsia="zh-CN"/>
                    </w:rPr>
                    <w:t>）</w:t>
                  </w:r>
                </w:p>
              </w:tc>
              <w:tc>
                <w:tcPr>
                  <w:tcW w:w="964" w:type="dxa"/>
                  <w:vMerge w:val="restart"/>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管道内径</w:t>
                  </w:r>
                  <w:r>
                    <w:rPr>
                      <w:rFonts w:hint="eastAsia"/>
                      <w:color w:val="auto"/>
                      <w:sz w:val="21"/>
                      <w:szCs w:val="21"/>
                      <w:lang w:val="en-US" w:eastAsia="zh-CN"/>
                    </w:rPr>
                    <w:t>（m）</w:t>
                  </w:r>
                </w:p>
              </w:tc>
              <w:tc>
                <w:tcPr>
                  <w:tcW w:w="794" w:type="dxa"/>
                  <w:vMerge w:val="restart"/>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温度</w:t>
                  </w:r>
                </w:p>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w:t>
                  </w:r>
                </w:p>
              </w:tc>
              <w:tc>
                <w:tcPr>
                  <w:tcW w:w="850" w:type="dxa"/>
                  <w:vMerge w:val="restart"/>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64"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102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1077" w:type="dxa"/>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经度</w:t>
                  </w:r>
                </w:p>
              </w:tc>
              <w:tc>
                <w:tcPr>
                  <w:tcW w:w="964" w:type="dxa"/>
                  <w:noWrap w:val="0"/>
                  <w:vAlign w:val="center"/>
                </w:tcPr>
                <w:p>
                  <w:pPr>
                    <w:pStyle w:val="15"/>
                    <w:keepLines w:val="0"/>
                    <w:pageBreakBefore w:val="0"/>
                    <w:kinsoku/>
                    <w:wordWrap/>
                    <w:bidi w:val="0"/>
                    <w:adjustRightInd w:val="0"/>
                    <w:snapToGrid w:val="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纬度</w:t>
                  </w:r>
                </w:p>
              </w:tc>
              <w:tc>
                <w:tcPr>
                  <w:tcW w:w="1020" w:type="dxa"/>
                  <w:vMerge w:val="continue"/>
                  <w:noWrap w:val="0"/>
                  <w:vAlign w:val="center"/>
                </w:tcPr>
                <w:p>
                  <w:pPr>
                    <w:pStyle w:val="13"/>
                    <w:keepLines w:val="0"/>
                    <w:pageBreakBefore w:val="0"/>
                    <w:kinsoku/>
                    <w:wordWrap/>
                    <w:bidi w:val="0"/>
                    <w:adjustRightInd w:val="0"/>
                    <w:snapToGrid w:val="0"/>
                    <w:textAlignment w:val="auto"/>
                    <w:rPr>
                      <w:rFonts w:hint="default" w:ascii="Times New Roman" w:hAnsi="Times New Roman" w:cs="Times New Roman"/>
                      <w:color w:val="auto"/>
                      <w:sz w:val="21"/>
                      <w:szCs w:val="21"/>
                      <w:lang w:eastAsia="zh-CN"/>
                    </w:rPr>
                  </w:pPr>
                </w:p>
              </w:tc>
              <w:tc>
                <w:tcPr>
                  <w:tcW w:w="964"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964"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794"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85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eastAsia="zh-CN"/>
                    </w:rPr>
                    <w:t>DA00</w:t>
                  </w:r>
                  <w:r>
                    <w:rPr>
                      <w:rFonts w:hint="eastAsia"/>
                      <w:color w:val="auto"/>
                      <w:sz w:val="21"/>
                      <w:szCs w:val="21"/>
                      <w:lang w:val="en-US" w:eastAsia="zh-CN"/>
                    </w:rPr>
                    <w:t>1</w:t>
                  </w:r>
                </w:p>
              </w:tc>
              <w:tc>
                <w:tcPr>
                  <w:tcW w:w="102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1#废气排放口</w:t>
                  </w:r>
                </w:p>
              </w:tc>
              <w:tc>
                <w:tcPr>
                  <w:tcW w:w="107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117.250341436</w:t>
                  </w:r>
                </w:p>
              </w:tc>
              <w:tc>
                <w:tcPr>
                  <w:tcW w:w="964"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32.983804694</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15000</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eastAsia="zh-CN"/>
                    </w:rPr>
                    <w:t>0.</w:t>
                  </w:r>
                  <w:r>
                    <w:rPr>
                      <w:rFonts w:hint="eastAsia"/>
                      <w:color w:val="auto"/>
                      <w:sz w:val="21"/>
                      <w:szCs w:val="21"/>
                      <w:lang w:val="en-US" w:eastAsia="zh-CN"/>
                    </w:rPr>
                    <w:t>3</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64"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eastAsia="zh-CN"/>
                    </w:rPr>
                    <w:t>DA00</w:t>
                  </w:r>
                  <w:r>
                    <w:rPr>
                      <w:rFonts w:hint="eastAsia"/>
                      <w:color w:val="auto"/>
                      <w:sz w:val="21"/>
                      <w:szCs w:val="21"/>
                      <w:lang w:val="en-US" w:eastAsia="zh-CN"/>
                    </w:rPr>
                    <w:t>2</w:t>
                  </w:r>
                </w:p>
              </w:tc>
              <w:tc>
                <w:tcPr>
                  <w:tcW w:w="102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2#废气排放口</w:t>
                  </w:r>
                </w:p>
              </w:tc>
              <w:tc>
                <w:tcPr>
                  <w:tcW w:w="107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117.249582371</w:t>
                  </w:r>
                </w:p>
              </w:tc>
              <w:tc>
                <w:tcPr>
                  <w:tcW w:w="964"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32.983949533</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15000</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0.3</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964"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eastAsia="zh-CN"/>
                    </w:rPr>
                    <w:t>DA00</w:t>
                  </w:r>
                  <w:r>
                    <w:rPr>
                      <w:rFonts w:hint="eastAsia"/>
                      <w:color w:val="auto"/>
                      <w:sz w:val="21"/>
                      <w:szCs w:val="21"/>
                      <w:lang w:val="en-US" w:eastAsia="zh-CN"/>
                    </w:rPr>
                    <w:t>3</w:t>
                  </w:r>
                </w:p>
              </w:tc>
              <w:tc>
                <w:tcPr>
                  <w:tcW w:w="102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3#废气排放口</w:t>
                  </w:r>
                </w:p>
              </w:tc>
              <w:tc>
                <w:tcPr>
                  <w:tcW w:w="107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117.249306103</w:t>
                  </w:r>
                </w:p>
              </w:tc>
              <w:tc>
                <w:tcPr>
                  <w:tcW w:w="964"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32.984266034</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30000</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0.4</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一般排放口</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项目大气污染物有组织排放量核算结果见下表。</w:t>
            </w:r>
          </w:p>
          <w:p>
            <w:pPr>
              <w:pStyle w:val="11"/>
              <w:keepLines w:val="0"/>
              <w:pageBreakBefore w:val="0"/>
              <w:kinsoku/>
              <w:wordWrap/>
              <w:bidi w:val="0"/>
              <w:adjustRightInd w:val="0"/>
              <w:snapToGrid w:val="0"/>
              <w:textAlignment w:val="auto"/>
              <w:rPr>
                <w:rFonts w:hint="eastAsia"/>
                <w:color w:val="auto"/>
              </w:rPr>
            </w:pPr>
            <w:r>
              <w:rPr>
                <w:rFonts w:hint="eastAsia"/>
                <w:color w:val="auto"/>
              </w:rPr>
              <w:t>表4-</w:t>
            </w:r>
            <w:r>
              <w:rPr>
                <w:rFonts w:hint="eastAsia"/>
                <w:color w:val="auto"/>
                <w:lang w:val="en-US" w:eastAsia="zh-CN"/>
              </w:rPr>
              <w:t>4</w:t>
            </w:r>
            <w:r>
              <w:rPr>
                <w:rFonts w:hint="eastAsia"/>
                <w:color w:val="auto"/>
              </w:rPr>
              <w:t xml:space="preserve"> 大气污染物有组织排放量核算表</w:t>
            </w:r>
          </w:p>
          <w:tbl>
            <w:tblPr>
              <w:tblStyle w:val="7"/>
              <w:tblW w:w="864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908"/>
              <w:gridCol w:w="1395"/>
              <w:gridCol w:w="1365"/>
              <w:gridCol w:w="1680"/>
              <w:gridCol w:w="1620"/>
              <w:gridCol w:w="16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80" w:hRule="atLeast"/>
                <w:jc w:val="center"/>
              </w:trPr>
              <w:tc>
                <w:tcPr>
                  <w:tcW w:w="908"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序号</w:t>
                  </w:r>
                </w:p>
              </w:tc>
              <w:tc>
                <w:tcPr>
                  <w:tcW w:w="1395"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w:t>
                  </w:r>
                  <w:r>
                    <w:rPr>
                      <w:color w:val="auto"/>
                      <w:sz w:val="21"/>
                      <w:szCs w:val="21"/>
                    </w:rPr>
                    <w:t>口</w:t>
                  </w:r>
                  <w:r>
                    <w:rPr>
                      <w:rFonts w:hint="default"/>
                      <w:color w:val="auto"/>
                      <w:sz w:val="21"/>
                      <w:szCs w:val="21"/>
                    </w:rPr>
                    <w:t>编号</w:t>
                  </w:r>
                </w:p>
              </w:tc>
              <w:tc>
                <w:tcPr>
                  <w:tcW w:w="1365"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污染物</w:t>
                  </w:r>
                </w:p>
              </w:tc>
              <w:tc>
                <w:tcPr>
                  <w:tcW w:w="1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核算排放浓度</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（mg/m³）</w:t>
                  </w:r>
                </w:p>
              </w:tc>
              <w:tc>
                <w:tcPr>
                  <w:tcW w:w="162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核算排放速率</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（kg/h）</w:t>
                  </w:r>
                </w:p>
              </w:tc>
              <w:tc>
                <w:tcPr>
                  <w:tcW w:w="1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核算年排放量</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648" w:type="dxa"/>
                  <w:gridSpan w:val="6"/>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1</w:t>
                  </w:r>
                </w:p>
              </w:tc>
              <w:tc>
                <w:tcPr>
                  <w:tcW w:w="1395"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DA001</w:t>
                  </w:r>
                </w:p>
              </w:tc>
              <w:tc>
                <w:tcPr>
                  <w:tcW w:w="1365"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eastAsia="zh-CN"/>
                    </w:rPr>
                    <w:t>颗粒物</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0.10</w:t>
                  </w:r>
                </w:p>
              </w:tc>
              <w:tc>
                <w:tcPr>
                  <w:tcW w:w="162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0.0015</w:t>
                  </w:r>
                </w:p>
              </w:tc>
              <w:tc>
                <w:tcPr>
                  <w:tcW w:w="1680"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olor w:val="auto"/>
                      <w:lang w:val="en-US" w:eastAsia="zh-CN"/>
                    </w:rPr>
                    <w:t>0.0036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395"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365"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0.08</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0.0013</w:t>
                  </w:r>
                </w:p>
              </w:tc>
              <w:tc>
                <w:tcPr>
                  <w:tcW w:w="168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395"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365"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NOx</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0.66</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0.0099</w:t>
                  </w:r>
                </w:p>
              </w:tc>
              <w:tc>
                <w:tcPr>
                  <w:tcW w:w="168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0.0238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395"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365"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非甲烷总烃</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0.04</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0.0007</w:t>
                  </w:r>
                </w:p>
              </w:tc>
              <w:tc>
                <w:tcPr>
                  <w:tcW w:w="1680"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olor w:val="auto"/>
                      <w:lang w:val="en-US" w:eastAsia="zh-CN"/>
                    </w:rPr>
                    <w:t>0.00156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p>
              </w:tc>
              <w:tc>
                <w:tcPr>
                  <w:tcW w:w="1395"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DA002</w:t>
                  </w:r>
                </w:p>
              </w:tc>
              <w:tc>
                <w:tcPr>
                  <w:tcW w:w="1365"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颗粒物</w:t>
                  </w:r>
                </w:p>
              </w:tc>
              <w:tc>
                <w:tcPr>
                  <w:tcW w:w="168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1.13</w:t>
                  </w:r>
                </w:p>
              </w:tc>
              <w:tc>
                <w:tcPr>
                  <w:tcW w:w="162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0.0169</w:t>
                  </w:r>
                </w:p>
              </w:tc>
              <w:tc>
                <w:tcPr>
                  <w:tcW w:w="1680"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olor w:val="auto"/>
                      <w:lang w:val="en-US" w:eastAsia="zh-CN"/>
                    </w:rPr>
                    <w:t>0.0405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95"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65"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非甲烷总烃</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0.30</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0.0045</w:t>
                  </w:r>
                </w:p>
              </w:tc>
              <w:tc>
                <w:tcPr>
                  <w:tcW w:w="1680"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olor w:val="auto"/>
                      <w:lang w:val="en-US" w:eastAsia="zh-CN"/>
                    </w:rPr>
                    <w:t>0.01077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w:t>
                  </w:r>
                </w:p>
              </w:tc>
              <w:tc>
                <w:tcPr>
                  <w:tcW w:w="1395"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DA003</w:t>
                  </w:r>
                </w:p>
              </w:tc>
              <w:tc>
                <w:tcPr>
                  <w:tcW w:w="1365"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eastAsia="zh-CN"/>
                    </w:rPr>
                    <w:t>颗粒物</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0.57</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0.0170</w:t>
                  </w:r>
                </w:p>
              </w:tc>
              <w:tc>
                <w:tcPr>
                  <w:tcW w:w="1680" w:type="dxa"/>
                  <w:noWrap w:val="0"/>
                  <w:vAlign w:val="center"/>
                </w:tcPr>
                <w:p>
                  <w:pPr>
                    <w:pStyle w:val="13"/>
                    <w:bidi w:val="0"/>
                    <w:rPr>
                      <w:rFonts w:hint="default" w:ascii="Times New Roman" w:hAnsi="Times New Roman" w:eastAsia="宋体" w:cs="Times New Roman"/>
                      <w:color w:val="auto"/>
                      <w:sz w:val="21"/>
                      <w:lang w:val="en-US" w:eastAsia="zh-CN" w:bidi="ar-SA"/>
                    </w:rPr>
                  </w:pPr>
                  <w:r>
                    <w:rPr>
                      <w:rFonts w:hint="eastAsia"/>
                      <w:color w:val="auto"/>
                      <w:lang w:val="en-US" w:eastAsia="zh-CN"/>
                    </w:rPr>
                    <w:t>0.0407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95"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65"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0.04</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0.0013</w:t>
                  </w:r>
                </w:p>
              </w:tc>
              <w:tc>
                <w:tcPr>
                  <w:tcW w:w="168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95"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65"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NOx</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0.33</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0.0099</w:t>
                  </w:r>
                </w:p>
              </w:tc>
              <w:tc>
                <w:tcPr>
                  <w:tcW w:w="168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0.0238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8"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95"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65"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16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0.17</w:t>
                  </w:r>
                </w:p>
              </w:tc>
              <w:tc>
                <w:tcPr>
                  <w:tcW w:w="162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0.0051</w:t>
                  </w:r>
                </w:p>
              </w:tc>
              <w:tc>
                <w:tcPr>
                  <w:tcW w:w="1680" w:type="dxa"/>
                  <w:noWrap w:val="0"/>
                  <w:vAlign w:val="center"/>
                </w:tcPr>
                <w:p>
                  <w:pPr>
                    <w:pStyle w:val="13"/>
                    <w:bidi w:val="0"/>
                    <w:rPr>
                      <w:rFonts w:hint="eastAsia" w:ascii="Times New Roman" w:hAnsi="Times New Roman" w:eastAsia="宋体" w:cs="Times New Roman"/>
                      <w:color w:val="auto"/>
                      <w:sz w:val="21"/>
                      <w:lang w:val="en-US" w:eastAsia="zh-CN" w:bidi="ar-SA"/>
                    </w:rPr>
                  </w:pPr>
                  <w:r>
                    <w:rPr>
                      <w:rFonts w:hint="eastAsia"/>
                      <w:color w:val="auto"/>
                      <w:lang w:val="en-US" w:eastAsia="zh-CN"/>
                    </w:rPr>
                    <w:t>0.01234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648" w:type="dxa"/>
                  <w:gridSpan w:val="6"/>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303" w:type="dxa"/>
                  <w:gridSpan w:val="2"/>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有组织排放总计</w:t>
                  </w:r>
                </w:p>
              </w:tc>
              <w:tc>
                <w:tcPr>
                  <w:tcW w:w="4665" w:type="dxa"/>
                  <w:gridSpan w:val="3"/>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eastAsia="zh-CN"/>
                    </w:rPr>
                    <w:t>颗粒物</w:t>
                  </w:r>
                </w:p>
              </w:tc>
              <w:tc>
                <w:tcPr>
                  <w:tcW w:w="168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0.0848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303" w:type="dxa"/>
                  <w:gridSpan w:val="2"/>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4665" w:type="dxa"/>
                  <w:gridSpan w:val="3"/>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168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303" w:type="dxa"/>
                  <w:gridSpan w:val="2"/>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4665" w:type="dxa"/>
                  <w:gridSpan w:val="3"/>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NOx</w:t>
                  </w:r>
                </w:p>
              </w:tc>
              <w:tc>
                <w:tcPr>
                  <w:tcW w:w="168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0.0476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303" w:type="dxa"/>
                  <w:gridSpan w:val="2"/>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4665" w:type="dxa"/>
                  <w:gridSpan w:val="3"/>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非甲烷总烃</w:t>
                  </w:r>
                </w:p>
              </w:tc>
              <w:tc>
                <w:tcPr>
                  <w:tcW w:w="1680"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0.02467</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highlight w:val="none"/>
              </w:rPr>
            </w:pPr>
            <w:r>
              <w:rPr>
                <w:rFonts w:hint="eastAsia"/>
                <w:color w:val="auto"/>
              </w:rPr>
              <w:t>项目大气污染物无组织排放量核算结果见下表。</w:t>
            </w:r>
          </w:p>
          <w:p>
            <w:pPr>
              <w:pStyle w:val="11"/>
              <w:keepLines w:val="0"/>
              <w:pageBreakBefore w:val="0"/>
              <w:kinsoku/>
              <w:wordWrap/>
              <w:bidi w:val="0"/>
              <w:adjustRightInd w:val="0"/>
              <w:snapToGrid w:val="0"/>
              <w:textAlignment w:val="auto"/>
              <w:rPr>
                <w:rFonts w:hint="eastAsia"/>
                <w:color w:val="auto"/>
              </w:rPr>
            </w:pPr>
            <w:r>
              <w:rPr>
                <w:rFonts w:hint="eastAsia"/>
                <w:color w:val="auto"/>
              </w:rPr>
              <w:t>表4-</w:t>
            </w:r>
            <w:r>
              <w:rPr>
                <w:rFonts w:hint="eastAsia"/>
                <w:color w:val="auto"/>
                <w:lang w:val="en-US" w:eastAsia="zh-CN"/>
              </w:rPr>
              <w:t>5</w:t>
            </w:r>
            <w:r>
              <w:rPr>
                <w:rFonts w:hint="eastAsia"/>
                <w:color w:val="auto"/>
              </w:rPr>
              <w:t xml:space="preserve"> 大气污染物无组织排放量核算表</w:t>
            </w:r>
          </w:p>
          <w:tbl>
            <w:tblPr>
              <w:tblStyle w:val="7"/>
              <w:tblW w:w="861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85" w:type="dxa"/>
                <w:bottom w:w="0" w:type="dxa"/>
                <w:right w:w="85" w:type="dxa"/>
              </w:tblCellMar>
            </w:tblPr>
            <w:tblGrid>
              <w:gridCol w:w="822"/>
              <w:gridCol w:w="1500"/>
              <w:gridCol w:w="1500"/>
              <w:gridCol w:w="2498"/>
              <w:gridCol w:w="22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822"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序号</w:t>
                  </w:r>
                </w:p>
              </w:tc>
              <w:tc>
                <w:tcPr>
                  <w:tcW w:w="1500" w:type="dxa"/>
                  <w:noWrap w:val="0"/>
                  <w:vAlign w:val="center"/>
                </w:tcPr>
                <w:p>
                  <w:pPr>
                    <w:pStyle w:val="15"/>
                    <w:keepLines w:val="0"/>
                    <w:pageBreakBefore w:val="0"/>
                    <w:kinsoku/>
                    <w:wordWrap/>
                    <w:bidi w:val="0"/>
                    <w:adjustRightInd w:val="0"/>
                    <w:snapToGrid w:val="0"/>
                    <w:textAlignment w:val="auto"/>
                    <w:rPr>
                      <w:color w:val="auto"/>
                      <w:sz w:val="21"/>
                      <w:szCs w:val="21"/>
                    </w:rPr>
                  </w:pPr>
                  <w:r>
                    <w:rPr>
                      <w:color w:val="auto"/>
                      <w:sz w:val="21"/>
                      <w:szCs w:val="21"/>
                    </w:rPr>
                    <w:t>产污环节</w:t>
                  </w:r>
                </w:p>
              </w:tc>
              <w:tc>
                <w:tcPr>
                  <w:tcW w:w="150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污染物</w:t>
                  </w:r>
                </w:p>
              </w:tc>
              <w:tc>
                <w:tcPr>
                  <w:tcW w:w="2498"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核算排放速率（kg/h）</w:t>
                  </w:r>
                </w:p>
              </w:tc>
              <w:tc>
                <w:tcPr>
                  <w:tcW w:w="2295"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核算年排放量（t/a）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737" w:hRule="atLeast"/>
                <w:jc w:val="center"/>
              </w:trPr>
              <w:tc>
                <w:tcPr>
                  <w:tcW w:w="822"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1</w:t>
                  </w:r>
                </w:p>
              </w:tc>
              <w:tc>
                <w:tcPr>
                  <w:tcW w:w="1500"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eastAsia="zh-CN"/>
                    </w:rPr>
                  </w:pPr>
                  <w:r>
                    <w:rPr>
                      <w:rFonts w:hint="eastAsia"/>
                      <w:color w:val="auto"/>
                      <w:sz w:val="21"/>
                      <w:szCs w:val="21"/>
                      <w:lang w:val="en-US" w:eastAsia="zh-CN"/>
                    </w:rPr>
                    <w:t>无纺布后处理生产线</w:t>
                  </w:r>
                </w:p>
              </w:tc>
              <w:tc>
                <w:tcPr>
                  <w:tcW w:w="150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非甲烷总烃</w:t>
                  </w:r>
                </w:p>
              </w:tc>
              <w:tc>
                <w:tcPr>
                  <w:tcW w:w="2498"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0.0014</w:t>
                  </w:r>
                </w:p>
              </w:tc>
              <w:tc>
                <w:tcPr>
                  <w:tcW w:w="2295"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0.00347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822"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2</w:t>
                  </w:r>
                </w:p>
              </w:tc>
              <w:tc>
                <w:tcPr>
                  <w:tcW w:w="1500"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活性炭无纺布生产线</w:t>
                  </w:r>
                </w:p>
              </w:tc>
              <w:tc>
                <w:tcPr>
                  <w:tcW w:w="150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非甲烷总烃</w:t>
                  </w:r>
                </w:p>
              </w:tc>
              <w:tc>
                <w:tcPr>
                  <w:tcW w:w="2498"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0.01</w:t>
                  </w:r>
                </w:p>
              </w:tc>
              <w:tc>
                <w:tcPr>
                  <w:tcW w:w="2295"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0.02394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822"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150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50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颗粒物</w:t>
                  </w:r>
                </w:p>
              </w:tc>
              <w:tc>
                <w:tcPr>
                  <w:tcW w:w="2498"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0.075</w:t>
                  </w:r>
                </w:p>
              </w:tc>
              <w:tc>
                <w:tcPr>
                  <w:tcW w:w="2295"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8615" w:type="dxa"/>
                  <w:gridSpan w:val="5"/>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2322" w:type="dxa"/>
                  <w:gridSpan w:val="2"/>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无组织排放总计</w:t>
                  </w:r>
                </w:p>
              </w:tc>
              <w:tc>
                <w:tcPr>
                  <w:tcW w:w="3998" w:type="dxa"/>
                  <w:gridSpan w:val="2"/>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非甲烷总烃</w:t>
                  </w:r>
                </w:p>
              </w:tc>
              <w:tc>
                <w:tcPr>
                  <w:tcW w:w="2295"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0.02741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85" w:type="dxa"/>
                  <w:bottom w:w="0" w:type="dxa"/>
                  <w:right w:w="85" w:type="dxa"/>
                </w:tblCellMar>
              </w:tblPrEx>
              <w:trPr>
                <w:trHeight w:val="454" w:hRule="atLeast"/>
                <w:jc w:val="center"/>
              </w:trPr>
              <w:tc>
                <w:tcPr>
                  <w:tcW w:w="2322" w:type="dxa"/>
                  <w:gridSpan w:val="2"/>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3998" w:type="dxa"/>
                  <w:gridSpan w:val="2"/>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颗粒物</w:t>
                  </w:r>
                </w:p>
              </w:tc>
              <w:tc>
                <w:tcPr>
                  <w:tcW w:w="2295"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0.18</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宋体" w:hAnsi="宋体" w:cs="宋体"/>
                <w:color w:val="auto"/>
                <w:highlight w:val="none"/>
              </w:rPr>
            </w:pPr>
            <w:r>
              <w:rPr>
                <w:rFonts w:hint="eastAsia"/>
                <w:color w:val="auto"/>
              </w:rPr>
              <w:t>项目大气污染物年排放量核算结果如下表。</w:t>
            </w:r>
          </w:p>
          <w:p>
            <w:pPr>
              <w:pStyle w:val="11"/>
              <w:keepLines w:val="0"/>
              <w:pageBreakBefore w:val="0"/>
              <w:kinsoku/>
              <w:wordWrap/>
              <w:bidi w:val="0"/>
              <w:adjustRightInd w:val="0"/>
              <w:snapToGrid w:val="0"/>
              <w:textAlignment w:val="auto"/>
              <w:rPr>
                <w:rFonts w:hint="eastAsia"/>
                <w:color w:val="auto"/>
              </w:rPr>
            </w:pPr>
            <w:r>
              <w:rPr>
                <w:rFonts w:hint="eastAsia"/>
                <w:color w:val="auto"/>
              </w:rPr>
              <w:t>表4-</w:t>
            </w:r>
            <w:r>
              <w:rPr>
                <w:rFonts w:hint="eastAsia"/>
                <w:color w:val="auto"/>
                <w:lang w:val="en-US" w:eastAsia="zh-CN"/>
              </w:rPr>
              <w:t>6</w:t>
            </w:r>
            <w:r>
              <w:rPr>
                <w:rFonts w:hint="eastAsia"/>
                <w:color w:val="auto"/>
              </w:rPr>
              <w:t xml:space="preserve"> 大气污染物年排放量核算表</w:t>
            </w:r>
          </w:p>
          <w:tbl>
            <w:tblPr>
              <w:tblStyle w:val="7"/>
              <w:tblW w:w="867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2041"/>
              <w:gridCol w:w="3345"/>
              <w:gridCol w:w="32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04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序号</w:t>
                  </w:r>
                </w:p>
              </w:tc>
              <w:tc>
                <w:tcPr>
                  <w:tcW w:w="3345"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污染物</w:t>
                  </w:r>
                </w:p>
              </w:tc>
              <w:tc>
                <w:tcPr>
                  <w:tcW w:w="3288"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年排放量</w:t>
                  </w:r>
                  <w:r>
                    <w:rPr>
                      <w:color w:val="auto"/>
                    </w:rPr>
                    <w:t>（</w:t>
                  </w:r>
                  <w:r>
                    <w:rPr>
                      <w:rFonts w:hint="default"/>
                      <w:color w:val="auto"/>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041" w:type="dxa"/>
                  <w:noWrap w:val="0"/>
                  <w:vAlign w:val="center"/>
                </w:tcPr>
                <w:p>
                  <w:pPr>
                    <w:pStyle w:val="13"/>
                    <w:keepLines w:val="0"/>
                    <w:pageBreakBefore w:val="0"/>
                    <w:kinsoku/>
                    <w:wordWrap/>
                    <w:bidi w:val="0"/>
                    <w:adjustRightInd w:val="0"/>
                    <w:snapToGrid w:val="0"/>
                    <w:textAlignment w:val="auto"/>
                    <w:rPr>
                      <w:color w:val="auto"/>
                    </w:rPr>
                  </w:pPr>
                  <w:r>
                    <w:rPr>
                      <w:color w:val="auto"/>
                    </w:rPr>
                    <w:t>1</w:t>
                  </w:r>
                </w:p>
              </w:tc>
              <w:tc>
                <w:tcPr>
                  <w:tcW w:w="3345"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颗粒物</w:t>
                  </w:r>
                </w:p>
              </w:tc>
              <w:tc>
                <w:tcPr>
                  <w:tcW w:w="3288" w:type="dxa"/>
                  <w:noWrap w:val="0"/>
                  <w:vAlign w:val="center"/>
                </w:tcPr>
                <w:p>
                  <w:pPr>
                    <w:pStyle w:val="13"/>
                    <w:bidi w:val="0"/>
                    <w:rPr>
                      <w:rFonts w:hint="default"/>
                      <w:color w:val="auto"/>
                      <w:lang w:val="en-US" w:eastAsia="zh-CN"/>
                    </w:rPr>
                  </w:pPr>
                  <w:r>
                    <w:rPr>
                      <w:rFonts w:hint="eastAsia"/>
                      <w:color w:val="auto"/>
                      <w:lang w:val="en-US" w:eastAsia="zh-CN"/>
                    </w:rPr>
                    <w:t>0.2648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041"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2</w:t>
                  </w:r>
                </w:p>
              </w:tc>
              <w:tc>
                <w:tcPr>
                  <w:tcW w:w="3345"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3288" w:type="dxa"/>
                  <w:noWrap w:val="0"/>
                  <w:vAlign w:val="center"/>
                </w:tcPr>
                <w:p>
                  <w:pPr>
                    <w:pStyle w:val="13"/>
                    <w:bidi w:val="0"/>
                    <w:rPr>
                      <w:rFonts w:hint="eastAsia"/>
                      <w:color w:val="auto"/>
                      <w:lang w:val="en-US" w:eastAsia="zh-CN"/>
                    </w:rPr>
                  </w:pPr>
                  <w:r>
                    <w:rPr>
                      <w:rFonts w:hint="eastAsia"/>
                      <w:color w:val="auto"/>
                      <w:lang w:val="en-US" w:eastAsia="zh-CN"/>
                    </w:rPr>
                    <w:t>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04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w:t>
                  </w:r>
                </w:p>
              </w:tc>
              <w:tc>
                <w:tcPr>
                  <w:tcW w:w="3345"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NOx</w:t>
                  </w:r>
                </w:p>
              </w:tc>
              <w:tc>
                <w:tcPr>
                  <w:tcW w:w="3288" w:type="dxa"/>
                  <w:noWrap w:val="0"/>
                  <w:vAlign w:val="center"/>
                </w:tcPr>
                <w:p>
                  <w:pPr>
                    <w:pStyle w:val="13"/>
                    <w:bidi w:val="0"/>
                    <w:rPr>
                      <w:rFonts w:hint="eastAsia"/>
                      <w:color w:val="auto"/>
                      <w:lang w:val="en-US" w:eastAsia="zh-CN"/>
                    </w:rPr>
                  </w:pPr>
                  <w:r>
                    <w:rPr>
                      <w:rFonts w:hint="eastAsia"/>
                      <w:color w:val="auto"/>
                      <w:lang w:val="en-US" w:eastAsia="zh-CN"/>
                    </w:rPr>
                    <w:t>0.0476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204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4</w:t>
                  </w:r>
                </w:p>
              </w:tc>
              <w:tc>
                <w:tcPr>
                  <w:tcW w:w="3345" w:type="dxa"/>
                  <w:noWrap w:val="0"/>
                  <w:vAlign w:val="center"/>
                </w:tcPr>
                <w:p>
                  <w:pPr>
                    <w:pStyle w:val="13"/>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非甲烷总烃</w:t>
                  </w:r>
                </w:p>
              </w:tc>
              <w:tc>
                <w:tcPr>
                  <w:tcW w:w="3288" w:type="dxa"/>
                  <w:noWrap w:val="0"/>
                  <w:vAlign w:val="center"/>
                </w:tcPr>
                <w:p>
                  <w:pPr>
                    <w:pStyle w:val="13"/>
                    <w:bidi w:val="0"/>
                    <w:rPr>
                      <w:rFonts w:hint="default"/>
                      <w:color w:val="auto"/>
                      <w:lang w:val="en-US" w:eastAsia="zh-CN"/>
                    </w:rPr>
                  </w:pPr>
                  <w:r>
                    <w:rPr>
                      <w:rFonts w:hint="eastAsia"/>
                      <w:color w:val="auto"/>
                      <w:lang w:val="en-US" w:eastAsia="zh-CN"/>
                    </w:rPr>
                    <w:t>0.05208</w:t>
                  </w:r>
                </w:p>
              </w:tc>
            </w:tr>
          </w:tbl>
          <w:p>
            <w:pPr>
              <w:pStyle w:val="18"/>
              <w:keepNext w:val="0"/>
              <w:keepLines w:val="0"/>
              <w:pageBreakBefore w:val="0"/>
              <w:widowControl w:val="0"/>
              <w:kinsoku/>
              <w:wordWrap/>
              <w:overflowPunct/>
              <w:topLinePunct w:val="0"/>
              <w:autoSpaceDE/>
              <w:autoSpaceDN/>
              <w:bidi w:val="0"/>
              <w:adjustRightInd w:val="0"/>
              <w:snapToGrid w:val="0"/>
              <w:spacing w:before="95" w:beforeLines="30"/>
              <w:textAlignment w:val="auto"/>
              <w:rPr>
                <w:color w:val="auto"/>
              </w:rPr>
            </w:pPr>
            <w:r>
              <w:rPr>
                <w:color w:val="auto"/>
              </w:rPr>
              <w:t>2、废气达标排放及污染防治措施可行性分析</w:t>
            </w:r>
          </w:p>
          <w:p>
            <w:pPr>
              <w:pStyle w:val="16"/>
              <w:keepLines w:val="0"/>
              <w:pageBreakBefore w:val="0"/>
              <w:kinsoku/>
              <w:wordWrap/>
              <w:bidi w:val="0"/>
              <w:adjustRightInd w:val="0"/>
              <w:snapToGrid w:val="0"/>
              <w:textAlignment w:val="auto"/>
              <w:rPr>
                <w:color w:val="auto"/>
              </w:rPr>
            </w:pPr>
            <w:r>
              <w:rPr>
                <w:rFonts w:hint="eastAsia"/>
                <w:color w:val="auto"/>
              </w:rPr>
              <w:t>（</w:t>
            </w:r>
            <w:r>
              <w:rPr>
                <w:color w:val="auto"/>
              </w:rPr>
              <w:t>1）废气达标排放分析</w:t>
            </w:r>
          </w:p>
          <w:p>
            <w:pPr>
              <w:pStyle w:val="16"/>
              <w:keepLines w:val="0"/>
              <w:pageBreakBefore w:val="0"/>
              <w:kinsoku/>
              <w:wordWrap/>
              <w:bidi w:val="0"/>
              <w:adjustRightInd w:val="0"/>
              <w:snapToGrid w:val="0"/>
              <w:textAlignment w:val="auto"/>
              <w:rPr>
                <w:color w:val="auto"/>
              </w:rPr>
            </w:pPr>
            <w:r>
              <w:rPr>
                <w:rFonts w:hint="eastAsia"/>
                <w:color w:val="auto"/>
              </w:rPr>
              <w:t>项目运营期废气为</w:t>
            </w:r>
            <w:r>
              <w:rPr>
                <w:rFonts w:hint="eastAsia"/>
                <w:color w:val="auto"/>
                <w:lang w:val="en-US" w:eastAsia="zh-CN"/>
              </w:rPr>
              <w:t>食堂油烟</w:t>
            </w:r>
            <w:r>
              <w:rPr>
                <w:rFonts w:hint="eastAsia"/>
                <w:color w:val="auto"/>
                <w:lang w:eastAsia="zh-CN"/>
              </w:rPr>
              <w:t>、发泡废气、浸胶对压废气、热烫废气、烘干废气、</w:t>
            </w:r>
            <w:r>
              <w:rPr>
                <w:rFonts w:hint="eastAsia"/>
                <w:color w:val="auto"/>
                <w:lang w:val="en-US" w:eastAsia="zh-CN"/>
              </w:rPr>
              <w:t>摊铺废气、加热废气、复合废气、涂胶废气、撒粉废气、天然气燃烧废气</w:t>
            </w:r>
            <w:r>
              <w:rPr>
                <w:rFonts w:hint="eastAsia"/>
                <w:color w:val="auto"/>
                <w:lang w:eastAsia="zh-CN"/>
              </w:rPr>
              <w:t>。</w:t>
            </w:r>
          </w:p>
          <w:p>
            <w:pPr>
              <w:pStyle w:val="16"/>
              <w:keepLines w:val="0"/>
              <w:pageBreakBefore w:val="0"/>
              <w:kinsoku/>
              <w:wordWrap/>
              <w:bidi w:val="0"/>
              <w:adjustRightInd w:val="0"/>
              <w:snapToGrid w:val="0"/>
              <w:textAlignment w:val="auto"/>
              <w:rPr>
                <w:rFonts w:hint="default" w:ascii="Times New Roman" w:hAnsi="Times New Roman" w:cs="Times New Roman"/>
                <w:color w:val="auto"/>
              </w:rPr>
            </w:pPr>
            <w:r>
              <w:rPr>
                <w:rFonts w:hint="default" w:ascii="Times New Roman" w:hAnsi="Times New Roman" w:cs="Times New Roman"/>
                <w:color w:val="auto"/>
                <w:highlight w:val="none"/>
              </w:rPr>
              <w:t>根据前文分析</w:t>
            </w:r>
            <w:r>
              <w:rPr>
                <w:rFonts w:hint="default" w:ascii="Times New Roman" w:hAnsi="Times New Roman" w:cs="Times New Roman"/>
                <w:color w:val="auto"/>
                <w:highlight w:val="none"/>
                <w:lang w:eastAsia="zh-CN"/>
              </w:rPr>
              <w:t>，食堂油烟经油烟净化器处理后于楼顶高空排放</w:t>
            </w:r>
            <w:r>
              <w:rPr>
                <w:rFonts w:hint="eastAsia" w:cs="Times New Roman"/>
                <w:color w:val="auto"/>
                <w:highlight w:val="none"/>
                <w:lang w:eastAsia="zh-CN"/>
              </w:rPr>
              <w:t>，处理后</w:t>
            </w:r>
            <w:r>
              <w:rPr>
                <w:rFonts w:hint="eastAsia" w:cs="Times New Roman"/>
                <w:color w:val="auto"/>
                <w:highlight w:val="none"/>
                <w:lang w:val="en-US" w:eastAsia="zh-CN"/>
              </w:rPr>
              <w:t>的</w:t>
            </w:r>
            <w:r>
              <w:rPr>
                <w:rFonts w:hint="eastAsia" w:cs="Times New Roman"/>
                <w:color w:val="auto"/>
                <w:highlight w:val="none"/>
                <w:lang w:eastAsia="zh-CN"/>
              </w:rPr>
              <w:t>排放浓度为</w:t>
            </w:r>
            <w:r>
              <w:rPr>
                <w:rFonts w:hint="eastAsia" w:cs="Times New Roman"/>
                <w:color w:val="auto"/>
                <w:highlight w:val="none"/>
                <w:lang w:val="en-US" w:eastAsia="zh-CN"/>
              </w:rPr>
              <w:t>0.43</w:t>
            </w:r>
            <w:r>
              <w:rPr>
                <w:rFonts w:hint="eastAsia" w:cs="Times New Roman"/>
                <w:color w:val="auto"/>
                <w:highlight w:val="none"/>
                <w:lang w:eastAsia="zh-CN"/>
              </w:rPr>
              <w:t>mg/m³，</w:t>
            </w:r>
            <w:r>
              <w:rPr>
                <w:rFonts w:hint="eastAsia" w:cs="Times New Roman"/>
                <w:color w:val="auto"/>
                <w:highlight w:val="none"/>
                <w:lang w:val="en-US" w:eastAsia="zh-CN"/>
              </w:rPr>
              <w:t>满足</w:t>
            </w:r>
            <w:r>
              <w:rPr>
                <w:rFonts w:hint="eastAsia" w:cs="Times New Roman"/>
                <w:color w:val="auto"/>
                <w:highlight w:val="none"/>
                <w:lang w:eastAsia="zh-CN"/>
              </w:rPr>
              <w:t>《饮食业油烟排放标准》（试行）（GB</w:t>
            </w:r>
            <w:r>
              <w:rPr>
                <w:rFonts w:hint="eastAsia" w:cs="Times New Roman"/>
                <w:color w:val="auto"/>
                <w:highlight w:val="none"/>
                <w:lang w:val="en-US" w:eastAsia="zh-CN"/>
              </w:rPr>
              <w:t xml:space="preserve"> </w:t>
            </w:r>
            <w:r>
              <w:rPr>
                <w:rFonts w:hint="eastAsia" w:cs="Times New Roman"/>
                <w:color w:val="auto"/>
                <w:highlight w:val="none"/>
                <w:lang w:eastAsia="zh-CN"/>
              </w:rPr>
              <w:t>18483-2001）中有关规定（</w:t>
            </w:r>
            <w:r>
              <w:rPr>
                <w:rFonts w:hint="eastAsia" w:cs="Times New Roman"/>
                <w:color w:val="auto"/>
                <w:highlight w:val="none"/>
                <w:lang w:val="en-US" w:eastAsia="zh-CN"/>
              </w:rPr>
              <w:t>油烟：2.0mg/m³</w:t>
            </w:r>
            <w:r>
              <w:rPr>
                <w:rFonts w:hint="eastAsia" w:cs="Times New Roman"/>
                <w:color w:val="auto"/>
                <w:highlight w:val="none"/>
                <w:lang w:eastAsia="zh-CN"/>
              </w:rPr>
              <w:t>）；</w:t>
            </w:r>
            <w:r>
              <w:rPr>
                <w:rFonts w:hint="eastAsia" w:cs="Times New Roman"/>
                <w:color w:val="auto"/>
                <w:lang w:val="en-US" w:eastAsia="zh-CN"/>
              </w:rPr>
              <w:t>1#无纺布后处理生产线产生的废气（即发泡废气、浸胶对压废气、热烫废气、烘干废气、天然气燃烧废气）通过集气设施收集经二级活性炭处理后由一根15m高排气筒（DA001）排放</w:t>
            </w:r>
            <w:r>
              <w:rPr>
                <w:rFonts w:hint="default" w:ascii="Times New Roman" w:hAnsi="Times New Roman" w:cs="Times New Roman"/>
                <w:color w:val="auto"/>
                <w:highlight w:val="none"/>
              </w:rPr>
              <w:t>，处理后</w:t>
            </w:r>
            <w:r>
              <w:rPr>
                <w:rFonts w:hint="default" w:ascii="Times New Roman" w:hAnsi="Times New Roman" w:cs="Times New Roman"/>
                <w:color w:val="auto"/>
                <w:highlight w:val="none"/>
                <w:lang w:eastAsia="zh-CN"/>
              </w:rPr>
              <w:t>颗粒物</w:t>
            </w:r>
            <w:r>
              <w:rPr>
                <w:rFonts w:hint="default" w:ascii="Times New Roman" w:hAnsi="Times New Roman" w:cs="Times New Roman"/>
                <w:color w:val="auto"/>
                <w:highlight w:val="none"/>
              </w:rPr>
              <w:t>排放浓度为</w:t>
            </w:r>
            <w:r>
              <w:rPr>
                <w:rFonts w:hint="eastAsia" w:cs="Times New Roman"/>
                <w:color w:val="auto"/>
                <w:highlight w:val="none"/>
                <w:lang w:val="en-US" w:eastAsia="zh-CN"/>
              </w:rPr>
              <w:t>0.1</w:t>
            </w:r>
            <w:r>
              <w:rPr>
                <w:rFonts w:hint="default" w:ascii="Times New Roman" w:hAnsi="Times New Roman" w:cs="Times New Roman"/>
                <w:color w:val="auto"/>
                <w:highlight w:val="none"/>
              </w:rPr>
              <w:t>mg/m³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rPr>
              <w:t>排放浓度为</w:t>
            </w:r>
            <w:r>
              <w:rPr>
                <w:rFonts w:hint="eastAsia" w:cs="Times New Roman"/>
                <w:color w:val="auto"/>
                <w:highlight w:val="none"/>
                <w:lang w:val="en-US" w:eastAsia="zh-CN"/>
              </w:rPr>
              <w:t>0.08</w:t>
            </w:r>
            <w:r>
              <w:rPr>
                <w:rFonts w:hint="default" w:ascii="Times New Roman" w:hAnsi="Times New Roman" w:cs="Times New Roman"/>
                <w:color w:val="auto"/>
                <w:highlight w:val="none"/>
              </w:rPr>
              <w:t>mg/m³</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NOx</w:t>
            </w:r>
            <w:r>
              <w:rPr>
                <w:rFonts w:hint="default" w:ascii="Times New Roman" w:hAnsi="Times New Roman" w:cs="Times New Roman"/>
                <w:color w:val="auto"/>
                <w:highlight w:val="none"/>
              </w:rPr>
              <w:t>排放浓度为</w:t>
            </w:r>
            <w:r>
              <w:rPr>
                <w:rFonts w:hint="eastAsia" w:cs="Times New Roman"/>
                <w:color w:val="auto"/>
                <w:highlight w:val="none"/>
                <w:lang w:val="en-US" w:eastAsia="zh-CN"/>
              </w:rPr>
              <w:t>0.66</w:t>
            </w:r>
            <w:r>
              <w:rPr>
                <w:rFonts w:hint="default" w:ascii="Times New Roman" w:hAnsi="Times New Roman" w:cs="Times New Roman"/>
                <w:color w:val="auto"/>
                <w:highlight w:val="none"/>
              </w:rPr>
              <w:t>mg/m³</w:t>
            </w:r>
            <w:r>
              <w:rPr>
                <w:rFonts w:hint="eastAsia" w:cs="Times New Roman"/>
                <w:color w:val="auto"/>
                <w:highlight w:val="none"/>
                <w:lang w:eastAsia="zh-CN"/>
              </w:rPr>
              <w:t>，</w:t>
            </w:r>
            <w:r>
              <w:rPr>
                <w:rFonts w:hint="eastAsia" w:cs="Times New Roman"/>
                <w:color w:val="auto"/>
                <w:highlight w:val="none"/>
                <w:lang w:val="en-US" w:eastAsia="zh-CN"/>
              </w:rPr>
              <w:t>非甲烷总烃排放浓度为0.04mg/m³、排放速率为0.0007kg/h，颗粒物、SO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、NOx均</w:t>
            </w:r>
            <w:r>
              <w:rPr>
                <w:rFonts w:hint="default" w:ascii="Times New Roman" w:hAnsi="Times New Roman" w:eastAsia="宋体" w:cs="Times New Roman"/>
                <w:color w:val="auto"/>
                <w:highlight w:val="none"/>
                <w:lang w:eastAsia="zh-CN"/>
              </w:rPr>
              <w:t>满足《工业炉窑大气污染物排放标准》（GB</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9078-1996）和《安徽省大气办关于印发＜安徽省2020年大气污染防治重点工作任务＞的通知》（皖大气办〔2020〕2号）中排放限值</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颗粒物：</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0mg/m³，</w:t>
            </w:r>
            <w:r>
              <w:rPr>
                <w:rFonts w:hint="default" w:ascii="Times New Roman" w:hAnsi="Times New Roman" w:cs="Times New Roman"/>
                <w:color w:val="auto"/>
                <w:highlight w:val="none"/>
                <w:lang w:val="en-US" w:eastAsia="zh-CN"/>
              </w:rPr>
              <w:t>SO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200</w:t>
            </w:r>
            <w:r>
              <w:rPr>
                <w:rFonts w:hint="default" w:ascii="Times New Roman" w:hAnsi="Times New Roman" w:cs="Times New Roman"/>
                <w:color w:val="auto"/>
                <w:highlight w:val="none"/>
                <w:lang w:eastAsia="zh-CN"/>
              </w:rPr>
              <w:t>mg/m³，</w:t>
            </w:r>
            <w:r>
              <w:rPr>
                <w:rFonts w:hint="default" w:ascii="Times New Roman" w:hAnsi="Times New Roman" w:cs="Times New Roman"/>
                <w:color w:val="auto"/>
                <w:highlight w:val="none"/>
                <w:lang w:val="en-US" w:eastAsia="zh-CN"/>
              </w:rPr>
              <w:t>NOx</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lang w:eastAsia="zh-CN"/>
              </w:rPr>
              <w:t>mg/m³</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eastAsia" w:cs="Times New Roman"/>
                <w:color w:val="auto"/>
                <w:highlight w:val="none"/>
                <w:lang w:val="en-US" w:eastAsia="zh-CN"/>
              </w:rPr>
              <w:t>非甲烷总烃满足《大气污染物综合排放标准》（GB16297-1996）表2中排放限值（非甲烷总烃排放浓度：120mg/m³、排放速率：5kg/h）</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1#活性炭无纺布生产线产生的废气（即摊铺废气、加热废气、复合废气）通过集气设施收集经布袋除尘器+二级活性炭处理后由一根15m高排气筒（DA002）排放</w:t>
            </w:r>
            <w:r>
              <w:rPr>
                <w:rFonts w:hint="default" w:ascii="Times New Roman" w:hAnsi="Times New Roman" w:cs="Times New Roman"/>
                <w:color w:val="auto"/>
                <w:highlight w:val="none"/>
              </w:rPr>
              <w:t>，处理后</w:t>
            </w:r>
            <w:r>
              <w:rPr>
                <w:rFonts w:hint="default" w:ascii="Times New Roman" w:hAnsi="Times New Roman" w:cs="Times New Roman"/>
                <w:color w:val="auto"/>
                <w:highlight w:val="none"/>
                <w:lang w:val="en-US" w:eastAsia="zh-CN"/>
              </w:rPr>
              <w:t>非甲烷总烃</w:t>
            </w:r>
            <w:r>
              <w:rPr>
                <w:rFonts w:hint="default" w:ascii="Times New Roman" w:hAnsi="Times New Roman" w:cs="Times New Roman"/>
                <w:color w:val="auto"/>
                <w:highlight w:val="none"/>
              </w:rPr>
              <w:t>排放浓度为</w:t>
            </w:r>
            <w:r>
              <w:rPr>
                <w:rFonts w:hint="eastAsia" w:cs="Times New Roman"/>
                <w:color w:val="auto"/>
                <w:highlight w:val="none"/>
                <w:lang w:val="en-US" w:eastAsia="zh-CN"/>
              </w:rPr>
              <w:t>0.3</w:t>
            </w:r>
            <w:r>
              <w:rPr>
                <w:rFonts w:hint="default" w:ascii="Times New Roman" w:hAnsi="Times New Roman" w:cs="Times New Roman"/>
                <w:color w:val="auto"/>
                <w:highlight w:val="none"/>
              </w:rPr>
              <w:t>mg/m³</w:t>
            </w:r>
            <w:r>
              <w:rPr>
                <w:rFonts w:hint="default" w:ascii="Times New Roman" w:hAnsi="Times New Roman" w:cs="Times New Roman"/>
                <w:color w:val="auto"/>
                <w:highlight w:val="none"/>
                <w:lang w:eastAsia="zh-CN"/>
              </w:rPr>
              <w:t>、排放速率为</w:t>
            </w:r>
            <w:r>
              <w:rPr>
                <w:rFonts w:hint="eastAsia" w:cs="Times New Roman"/>
                <w:color w:val="auto"/>
                <w:highlight w:val="none"/>
                <w:lang w:val="en-US" w:eastAsia="zh-CN"/>
              </w:rPr>
              <w:t>0.0045</w:t>
            </w:r>
            <w:r>
              <w:rPr>
                <w:rFonts w:hint="default" w:ascii="Times New Roman" w:hAnsi="Times New Roman" w:cs="Times New Roman"/>
                <w:color w:val="auto"/>
                <w:highlight w:val="none"/>
                <w:lang w:val="en-US" w:eastAsia="zh-CN"/>
              </w:rPr>
              <w:t>kg/h</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颗粒物</w:t>
            </w:r>
            <w:r>
              <w:rPr>
                <w:rFonts w:hint="default" w:ascii="Times New Roman" w:hAnsi="Times New Roman" w:cs="Times New Roman"/>
                <w:color w:val="auto"/>
                <w:highlight w:val="none"/>
              </w:rPr>
              <w:t>排放浓度为</w:t>
            </w:r>
            <w:r>
              <w:rPr>
                <w:rFonts w:hint="eastAsia" w:cs="Times New Roman"/>
                <w:color w:val="auto"/>
                <w:highlight w:val="none"/>
                <w:lang w:val="en-US" w:eastAsia="zh-CN"/>
              </w:rPr>
              <w:t>1.13</w:t>
            </w:r>
            <w:r>
              <w:rPr>
                <w:rFonts w:hint="default" w:ascii="Times New Roman" w:hAnsi="Times New Roman" w:cs="Times New Roman"/>
                <w:color w:val="auto"/>
                <w:highlight w:val="none"/>
              </w:rPr>
              <w:t>mg/m³</w:t>
            </w:r>
            <w:r>
              <w:rPr>
                <w:rFonts w:hint="default" w:ascii="Times New Roman" w:hAnsi="Times New Roman" w:cs="Times New Roman"/>
                <w:color w:val="auto"/>
                <w:highlight w:val="none"/>
                <w:lang w:eastAsia="zh-CN"/>
              </w:rPr>
              <w:t>、排放速率为</w:t>
            </w:r>
            <w:r>
              <w:rPr>
                <w:rFonts w:hint="eastAsia" w:cs="Times New Roman"/>
                <w:color w:val="auto"/>
                <w:highlight w:val="none"/>
                <w:lang w:val="en-US" w:eastAsia="zh-CN"/>
              </w:rPr>
              <w:t>0.0169</w:t>
            </w:r>
            <w:r>
              <w:rPr>
                <w:rFonts w:hint="default" w:ascii="Times New Roman" w:hAnsi="Times New Roman" w:cs="Times New Roman"/>
                <w:color w:val="auto"/>
                <w:highlight w:val="none"/>
                <w:lang w:val="en-US" w:eastAsia="zh-CN"/>
              </w:rPr>
              <w:t>kg/h</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颗粒物</w:t>
            </w:r>
            <w:r>
              <w:rPr>
                <w:rFonts w:hint="eastAsia" w:cs="Times New Roman"/>
                <w:color w:val="auto"/>
                <w:highlight w:val="none"/>
                <w:lang w:eastAsia="zh-CN"/>
              </w:rPr>
              <w:t>、</w:t>
            </w:r>
            <w:r>
              <w:rPr>
                <w:rFonts w:hint="eastAsia" w:cs="Times New Roman"/>
                <w:color w:val="auto"/>
                <w:highlight w:val="none"/>
                <w:lang w:val="en-US" w:eastAsia="zh-CN"/>
              </w:rPr>
              <w:t>非甲烷总烃均</w:t>
            </w:r>
            <w:r>
              <w:rPr>
                <w:rFonts w:hint="default" w:ascii="Times New Roman" w:hAnsi="Times New Roman" w:cs="Times New Roman"/>
                <w:color w:val="auto"/>
                <w:highlight w:val="none"/>
              </w:rPr>
              <w:t>满足</w:t>
            </w:r>
            <w:r>
              <w:rPr>
                <w:rFonts w:hint="default" w:ascii="Times New Roman" w:hAnsi="Times New Roman" w:eastAsia="宋体" w:cs="Times New Roman"/>
                <w:color w:val="auto"/>
                <w:highlight w:val="none"/>
                <w:lang w:eastAsia="zh-CN"/>
              </w:rPr>
              <w:t>《大气污染物综合排放标准》（GB16297-1996）表2中排放限值</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颗粒物排放浓度</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20mg/m³</w:t>
            </w:r>
            <w:r>
              <w:rPr>
                <w:rFonts w:hint="default" w:ascii="Times New Roman" w:hAnsi="Times New Roman" w:cs="Times New Roman"/>
                <w:color w:val="auto"/>
                <w:highlight w:val="none"/>
                <w:lang w:eastAsia="zh-CN"/>
              </w:rPr>
              <w:t>、排放速率：</w:t>
            </w:r>
            <w:r>
              <w:rPr>
                <w:rFonts w:hint="eastAsia" w:cs="Times New Roman"/>
                <w:color w:val="auto"/>
                <w:highlight w:val="none"/>
                <w:lang w:val="en-US" w:eastAsia="zh-CN"/>
              </w:rPr>
              <w:t>1.75</w:t>
            </w:r>
            <w:r>
              <w:rPr>
                <w:rFonts w:hint="default" w:ascii="Times New Roman" w:hAnsi="Times New Roman" w:cs="Times New Roman"/>
                <w:color w:val="auto"/>
                <w:highlight w:val="none"/>
                <w:lang w:val="en-US" w:eastAsia="zh-CN"/>
              </w:rPr>
              <w:t>kg/h</w:t>
            </w:r>
            <w:r>
              <w:rPr>
                <w:rFonts w:hint="eastAsia" w:cs="Times New Roman"/>
                <w:color w:val="auto"/>
                <w:highlight w:val="none"/>
                <w:lang w:val="en-US" w:eastAsia="zh-CN"/>
              </w:rPr>
              <w:t>，非甲烷总烃排放浓度：120mg/m³、排放速率：5kg/h</w:t>
            </w:r>
            <w:r>
              <w:rPr>
                <w:rFonts w:hint="default" w:ascii="Times New Roman" w:hAnsi="Times New Roman" w:cs="Times New Roman"/>
                <w:color w:val="auto"/>
                <w:highlight w:val="none"/>
              </w:rPr>
              <w:t>）</w:t>
            </w:r>
            <w:r>
              <w:rPr>
                <w:rFonts w:hint="eastAsia" w:cs="Times New Roman"/>
                <w:color w:val="auto"/>
                <w:highlight w:val="none"/>
                <w:lang w:eastAsia="zh-CN"/>
              </w:rPr>
              <w:t>；</w:t>
            </w:r>
            <w:r>
              <w:rPr>
                <w:rFonts w:hint="eastAsia" w:cs="Times New Roman"/>
                <w:color w:val="auto"/>
                <w:highlight w:val="none"/>
                <w:lang w:val="en-US" w:eastAsia="zh-CN"/>
              </w:rPr>
              <w:t>2#活性炭无纺布生产线产生的废气（即涂胶废气、撒粉废气、复合废气）与2#无纺布后处理生产线产生的废气（即发泡废气、浸胶对压废气、烘干废气、天然气燃烧废气）通过集气设施收集经布袋除尘器+二级活性炭处理后由一根15m高排气筒（DA003）排放，处理后颗粒物的排放浓度为0.57mg/m³、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排放浓度为0.04mg/m³、NOx排放浓度为0.33mg/m³，非甲烷总烃排放浓度为0.17mg/m³、排放速率为0.0051kg/h，颗粒物、SO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、NOx均满足《工业炉窑大气污染物排放标准》（GB 9078-1996）和《安徽省大气办关于印发＜安徽省2020年大气污染防治重点工作任务＞的通知》（皖大气办〔2020〕2号）中排放限值（颗粒物：30mg/m³，SO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：200mg/m³，NOx：300mg/m³），颗粒物、非甲烷总烃满足《大气污染物综合排放标准》（GB16297-1996）表2中排放限值（颗粒物排放浓度：120mg/m³、排放速率：1.75kg/h，非甲烷总烃排放浓度：120mg/m³、排放速率：5kg/h）</w:t>
            </w:r>
            <w:r>
              <w:rPr>
                <w:rFonts w:hint="default" w:ascii="Times New Roman" w:hAnsi="Times New Roman" w:cs="Times New Roman"/>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因此，项目废气在采取相应环保措施处理后均能达标排放。</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w:t>
            </w:r>
            <w:r>
              <w:rPr>
                <w:color w:val="auto"/>
              </w:rPr>
              <w:t>2）污染防治措施可行性分析</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①</w:t>
            </w:r>
            <w:r>
              <w:rPr>
                <w:rFonts w:hint="eastAsia"/>
                <w:color w:val="auto"/>
                <w:lang w:val="en-US" w:eastAsia="zh-CN"/>
              </w:rPr>
              <w:t>颗粒物</w:t>
            </w:r>
            <w:r>
              <w:rPr>
                <w:rFonts w:hint="eastAsia"/>
                <w:color w:val="auto"/>
                <w:lang w:eastAsia="zh-CN"/>
              </w:rPr>
              <w:t>污染防治措施可行性分析</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项目</w:t>
            </w:r>
            <w:r>
              <w:rPr>
                <w:rFonts w:hint="eastAsia"/>
                <w:color w:val="auto"/>
                <w:lang w:val="en-US" w:eastAsia="zh-CN"/>
              </w:rPr>
              <w:t>颗粒物</w:t>
            </w:r>
            <w:r>
              <w:rPr>
                <w:rFonts w:hint="eastAsia"/>
                <w:color w:val="auto"/>
                <w:lang w:eastAsia="zh-CN"/>
              </w:rPr>
              <w:t>采取的处理设施为“布袋除尘器”。</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参照《排污许可证申请与核发技术规范</w:t>
            </w:r>
            <w:r>
              <w:rPr>
                <w:rFonts w:hint="eastAsia"/>
                <w:color w:val="auto"/>
                <w:lang w:val="en-US" w:eastAsia="zh-CN"/>
              </w:rPr>
              <w:t>-</w:t>
            </w:r>
            <w:r>
              <w:rPr>
                <w:rFonts w:hint="eastAsia"/>
                <w:color w:val="auto"/>
                <w:lang w:eastAsia="zh-CN"/>
              </w:rPr>
              <w:t>橡胶和塑料制品工业》（HJ 1122-2020）表A.2塑料制品工业排污单位废气污染防治可行技术参考表中“颗粒物的可行技术为袋式除尘；</w:t>
            </w:r>
            <w:r>
              <w:rPr>
                <w:rFonts w:hint="eastAsia"/>
                <w:color w:val="auto"/>
                <w:lang w:val="en-US" w:eastAsia="zh-CN"/>
              </w:rPr>
              <w:t>滤筒/滤芯除尘</w:t>
            </w:r>
            <w:r>
              <w:rPr>
                <w:rFonts w:hint="eastAsia"/>
                <w:color w:val="auto"/>
                <w:lang w:eastAsia="zh-CN"/>
              </w:rPr>
              <w:t>”。因此，项目采用的</w:t>
            </w:r>
            <w:r>
              <w:rPr>
                <w:rFonts w:hint="eastAsia"/>
                <w:color w:val="auto"/>
                <w:lang w:val="en-US" w:eastAsia="zh-CN"/>
              </w:rPr>
              <w:t>颗粒物的</w:t>
            </w:r>
            <w:r>
              <w:rPr>
                <w:rFonts w:hint="eastAsia"/>
                <w:color w:val="auto"/>
                <w:lang w:eastAsia="zh-CN"/>
              </w:rPr>
              <w:t>污染防治措施是可行的。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②有机废气污染防治措施可行性分析</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项目有机废气（以非甲烷总烃计）的处理设施为</w:t>
            </w:r>
            <w:r>
              <w:rPr>
                <w:rFonts w:hint="eastAsia"/>
                <w:color w:val="auto"/>
                <w:lang w:val="en-US" w:eastAsia="zh-CN"/>
              </w:rPr>
              <w:t>二级活性炭吸附设备</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参照《排污许可证申请与核发技术规范</w:t>
            </w:r>
            <w:r>
              <w:rPr>
                <w:rFonts w:hint="eastAsia"/>
                <w:color w:val="auto"/>
                <w:lang w:val="en-US" w:eastAsia="zh-CN"/>
              </w:rPr>
              <w:t>-</w:t>
            </w:r>
            <w:r>
              <w:rPr>
                <w:rFonts w:hint="eastAsia"/>
                <w:color w:val="auto"/>
                <w:lang w:eastAsia="zh-CN"/>
              </w:rPr>
              <w:t>橡胶和塑料制品工业》（HJ 1122-2020）表A.2塑料制品工业排污单位废气污染防治可行技术参考表中“非甲烷总烃的可行技术为</w:t>
            </w:r>
            <w:r>
              <w:rPr>
                <w:rFonts w:hint="eastAsia"/>
                <w:color w:val="auto"/>
                <w:lang w:val="en-US" w:eastAsia="zh-CN"/>
              </w:rPr>
              <w:t>喷淋；吸附；吸附浓缩+热力燃烧/催化燃烧</w:t>
            </w:r>
            <w:r>
              <w:rPr>
                <w:rFonts w:hint="eastAsia"/>
                <w:color w:val="auto"/>
                <w:lang w:eastAsia="zh-CN"/>
              </w:rPr>
              <w:t>”。因此，项目采用的</w:t>
            </w:r>
            <w:r>
              <w:rPr>
                <w:rFonts w:hint="eastAsia"/>
                <w:color w:val="auto"/>
                <w:lang w:val="en-US" w:eastAsia="zh-CN"/>
              </w:rPr>
              <w:t>非甲烷总烃的</w:t>
            </w:r>
            <w:r>
              <w:rPr>
                <w:rFonts w:hint="eastAsia"/>
                <w:color w:val="auto"/>
                <w:lang w:eastAsia="zh-CN"/>
              </w:rPr>
              <w:t>污染防治措施是可行的。</w:t>
            </w:r>
          </w:p>
          <w:p>
            <w:pPr>
              <w:pStyle w:val="18"/>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3、</w:t>
            </w:r>
            <w:r>
              <w:rPr>
                <w:color w:val="auto"/>
              </w:rPr>
              <w:t>非正常情况</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非正常排放</w:t>
            </w:r>
            <w:r>
              <w:rPr>
                <w:rFonts w:hint="eastAsia"/>
                <w:color w:val="auto"/>
                <w:lang w:eastAsia="zh-CN"/>
              </w:rPr>
              <w:t>是</w:t>
            </w:r>
            <w:r>
              <w:rPr>
                <w:rFonts w:hint="eastAsia"/>
                <w:color w:val="auto"/>
              </w:rPr>
              <w:t>指生产过程中开停车（工、炉）、设备检修、工艺设备运转异常等非正常工况下污染物排放，以及污染物排放控制措施达不到应有效率等情况下的排放。</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cs="宋体"/>
                <w:color w:val="auto"/>
                <w:highlight w:val="none"/>
                <w:lang w:bidi="ar"/>
              </w:rPr>
            </w:pPr>
            <w:r>
              <w:rPr>
                <w:rFonts w:hint="eastAsia"/>
                <w:color w:val="auto"/>
              </w:rPr>
              <w:t>本次主要考虑项目废气处理</w:t>
            </w:r>
            <w:r>
              <w:rPr>
                <w:rFonts w:hint="eastAsia"/>
                <w:color w:val="auto"/>
                <w:lang w:eastAsia="zh-CN"/>
              </w:rPr>
              <w:t>设施</w:t>
            </w:r>
            <w:r>
              <w:rPr>
                <w:rFonts w:hint="eastAsia"/>
                <w:color w:val="auto"/>
              </w:rPr>
              <w:t>失效时，废气处理</w:t>
            </w:r>
            <w:r>
              <w:rPr>
                <w:rFonts w:hint="eastAsia"/>
                <w:color w:val="auto"/>
                <w:lang w:eastAsia="zh-CN"/>
              </w:rPr>
              <w:t>设施</w:t>
            </w:r>
            <w:r>
              <w:rPr>
                <w:rFonts w:hint="eastAsia"/>
                <w:color w:val="auto"/>
              </w:rPr>
              <w:t>处理效率降低（按照0%来核算），排放的废气对环境可能造成影响。非正常排放</w:t>
            </w:r>
            <w:r>
              <w:rPr>
                <w:rFonts w:hint="eastAsia"/>
                <w:color w:val="auto"/>
                <w:lang w:eastAsia="zh-CN"/>
              </w:rPr>
              <w:t>情况具体内容</w:t>
            </w:r>
            <w:r>
              <w:rPr>
                <w:rFonts w:hint="eastAsia"/>
                <w:color w:val="auto"/>
              </w:rPr>
              <w:t>见下表。</w:t>
            </w:r>
          </w:p>
          <w:p>
            <w:pPr>
              <w:pStyle w:val="11"/>
              <w:keepLines w:val="0"/>
              <w:pageBreakBefore w:val="0"/>
              <w:kinsoku/>
              <w:wordWrap/>
              <w:bidi w:val="0"/>
              <w:adjustRightInd w:val="0"/>
              <w:snapToGrid w:val="0"/>
              <w:textAlignment w:val="auto"/>
              <w:rPr>
                <w:rFonts w:hint="eastAsia" w:eastAsia="宋体"/>
                <w:color w:val="auto"/>
                <w:lang w:eastAsia="zh-CN"/>
              </w:rPr>
            </w:pPr>
            <w:r>
              <w:rPr>
                <w:rFonts w:hint="eastAsia"/>
                <w:color w:val="auto"/>
              </w:rPr>
              <w:t>表4-</w:t>
            </w:r>
            <w:r>
              <w:rPr>
                <w:rFonts w:hint="eastAsia"/>
                <w:color w:val="auto"/>
                <w:lang w:val="en-US" w:eastAsia="zh-CN"/>
              </w:rPr>
              <w:t>7</w:t>
            </w:r>
            <w:r>
              <w:rPr>
                <w:rFonts w:hint="eastAsia"/>
                <w:color w:val="auto"/>
              </w:rPr>
              <w:t xml:space="preserve"> 非正常</w:t>
            </w:r>
            <w:r>
              <w:rPr>
                <w:rFonts w:hint="eastAsia"/>
                <w:color w:val="auto"/>
                <w:lang w:eastAsia="zh-CN"/>
              </w:rPr>
              <w:t>排放情况</w:t>
            </w:r>
          </w:p>
          <w:tbl>
            <w:tblPr>
              <w:tblStyle w:val="7"/>
              <w:tblW w:w="86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50"/>
              <w:gridCol w:w="1077"/>
              <w:gridCol w:w="907"/>
              <w:gridCol w:w="1417"/>
              <w:gridCol w:w="1417"/>
              <w:gridCol w:w="850"/>
              <w:gridCol w:w="907"/>
              <w:gridCol w:w="11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850" w:type="dxa"/>
                  <w:noWrap w:val="0"/>
                  <w:vAlign w:val="center"/>
                </w:tcPr>
                <w:p>
                  <w:pPr>
                    <w:pStyle w:val="15"/>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eastAsia="zh-CN"/>
                    </w:rPr>
                    <w:t>非正常排放源</w:t>
                  </w:r>
                </w:p>
              </w:tc>
              <w:tc>
                <w:tcPr>
                  <w:tcW w:w="1077" w:type="dxa"/>
                  <w:noWrap w:val="0"/>
                  <w:vAlign w:val="center"/>
                </w:tcPr>
                <w:p>
                  <w:pPr>
                    <w:pStyle w:val="15"/>
                    <w:keepLines w:val="0"/>
                    <w:pageBreakBefore w:val="0"/>
                    <w:kinsoku/>
                    <w:wordWrap/>
                    <w:bidi w:val="0"/>
                    <w:adjustRightInd w:val="0"/>
                    <w:snapToGrid w:val="0"/>
                    <w:textAlignment w:val="auto"/>
                    <w:rPr>
                      <w:rFonts w:hint="default"/>
                      <w:color w:val="auto"/>
                      <w:sz w:val="21"/>
                      <w:szCs w:val="21"/>
                      <w:lang w:val="en-US" w:eastAsia="zh-CN"/>
                    </w:rPr>
                  </w:pPr>
                  <w:r>
                    <w:rPr>
                      <w:rFonts w:hint="default"/>
                      <w:color w:val="auto"/>
                      <w:sz w:val="21"/>
                      <w:szCs w:val="21"/>
                      <w:lang w:eastAsia="zh-CN"/>
                    </w:rPr>
                    <w:t>非正常排放</w:t>
                  </w:r>
                  <w:r>
                    <w:rPr>
                      <w:rFonts w:hint="eastAsia"/>
                      <w:color w:val="auto"/>
                      <w:sz w:val="21"/>
                      <w:szCs w:val="21"/>
                      <w:lang w:eastAsia="zh-CN"/>
                    </w:rPr>
                    <w:t>原因</w:t>
                  </w:r>
                </w:p>
              </w:tc>
              <w:tc>
                <w:tcPr>
                  <w:tcW w:w="907" w:type="dxa"/>
                  <w:noWrap w:val="0"/>
                  <w:vAlign w:val="center"/>
                </w:tcPr>
                <w:p>
                  <w:pPr>
                    <w:pStyle w:val="15"/>
                    <w:keepLines w:val="0"/>
                    <w:pageBreakBefore w:val="0"/>
                    <w:kinsoku/>
                    <w:wordWrap/>
                    <w:bidi w:val="0"/>
                    <w:adjustRightInd w:val="0"/>
                    <w:snapToGrid w:val="0"/>
                    <w:textAlignment w:val="auto"/>
                    <w:rPr>
                      <w:rFonts w:hint="default"/>
                      <w:color w:val="auto"/>
                      <w:sz w:val="21"/>
                      <w:szCs w:val="21"/>
                      <w:lang w:val="en-US" w:eastAsia="zh-CN"/>
                    </w:rPr>
                  </w:pPr>
                  <w:r>
                    <w:rPr>
                      <w:rFonts w:hint="default"/>
                      <w:color w:val="auto"/>
                      <w:sz w:val="21"/>
                      <w:szCs w:val="21"/>
                    </w:rPr>
                    <w:t>污染物</w:t>
                  </w:r>
                </w:p>
              </w:tc>
              <w:tc>
                <w:tcPr>
                  <w:tcW w:w="1417"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非正常排放浓度</w:t>
                  </w:r>
                  <w:r>
                    <w:rPr>
                      <w:color w:val="auto"/>
                      <w:sz w:val="21"/>
                      <w:szCs w:val="21"/>
                    </w:rPr>
                    <w:t>（</w:t>
                  </w:r>
                  <w:r>
                    <w:rPr>
                      <w:rFonts w:hint="default"/>
                      <w:color w:val="auto"/>
                      <w:sz w:val="21"/>
                      <w:szCs w:val="21"/>
                    </w:rPr>
                    <w:t>mg/m³）</w:t>
                  </w:r>
                </w:p>
              </w:tc>
              <w:tc>
                <w:tcPr>
                  <w:tcW w:w="1417"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非正常排放速率</w:t>
                  </w:r>
                  <w:r>
                    <w:rPr>
                      <w:color w:val="auto"/>
                      <w:sz w:val="21"/>
                      <w:szCs w:val="21"/>
                    </w:rPr>
                    <w:t>（</w:t>
                  </w:r>
                  <w:r>
                    <w:rPr>
                      <w:rFonts w:hint="default"/>
                      <w:color w:val="auto"/>
                      <w:sz w:val="21"/>
                      <w:szCs w:val="21"/>
                    </w:rPr>
                    <w:t>kg/h）</w:t>
                  </w:r>
                </w:p>
              </w:tc>
              <w:tc>
                <w:tcPr>
                  <w:tcW w:w="850" w:type="dxa"/>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年发生</w:t>
                  </w:r>
                  <w:r>
                    <w:rPr>
                      <w:rFonts w:hint="default"/>
                      <w:color w:val="auto"/>
                      <w:sz w:val="21"/>
                      <w:szCs w:val="21"/>
                    </w:rPr>
                    <w:t>频次</w:t>
                  </w:r>
                </w:p>
              </w:tc>
              <w:tc>
                <w:tcPr>
                  <w:tcW w:w="907"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eastAsia"/>
                      <w:color w:val="auto"/>
                      <w:sz w:val="21"/>
                      <w:szCs w:val="21"/>
                      <w:lang w:eastAsia="zh-CN"/>
                    </w:rPr>
                    <w:t>单次</w:t>
                  </w:r>
                  <w:r>
                    <w:rPr>
                      <w:rFonts w:hint="default"/>
                      <w:color w:val="auto"/>
                      <w:sz w:val="21"/>
                      <w:szCs w:val="21"/>
                    </w:rPr>
                    <w:t>持续时间</w:t>
                  </w:r>
                </w:p>
              </w:tc>
              <w:tc>
                <w:tcPr>
                  <w:tcW w:w="1191"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非正常排放量</w:t>
                  </w:r>
                  <w:r>
                    <w:rPr>
                      <w:color w:val="auto"/>
                      <w:sz w:val="21"/>
                      <w:szCs w:val="21"/>
                    </w:rPr>
                    <w:t>（</w:t>
                  </w:r>
                  <w:r>
                    <w:rPr>
                      <w:rFonts w:hint="default"/>
                      <w:color w:val="auto"/>
                      <w:sz w:val="21"/>
                      <w:szCs w:val="21"/>
                    </w:rPr>
                    <w:t>kg/a）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850"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eastAsia="zh-CN"/>
                    </w:rPr>
                    <w:t>DA00</w:t>
                  </w:r>
                  <w:r>
                    <w:rPr>
                      <w:rFonts w:hint="eastAsia"/>
                      <w:color w:val="auto"/>
                      <w:sz w:val="21"/>
                      <w:szCs w:val="21"/>
                      <w:lang w:val="en-US" w:eastAsia="zh-CN"/>
                    </w:rPr>
                    <w:t>1</w:t>
                  </w:r>
                </w:p>
              </w:tc>
              <w:tc>
                <w:tcPr>
                  <w:tcW w:w="1077"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eastAsia="zh-CN"/>
                    </w:rPr>
                    <w:t>二级活性炭吸附设备</w:t>
                  </w:r>
                  <w:r>
                    <w:rPr>
                      <w:rFonts w:hint="eastAsia"/>
                      <w:color w:val="auto"/>
                      <w:sz w:val="21"/>
                      <w:szCs w:val="21"/>
                      <w:lang w:val="en-US" w:eastAsia="zh-CN"/>
                    </w:rPr>
                    <w:t>失效</w:t>
                  </w: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eastAsia="zh-CN"/>
                    </w:rPr>
                    <w:t>颗粒物</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0.10</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0.0015</w:t>
                  </w:r>
                </w:p>
              </w:tc>
              <w:tc>
                <w:tcPr>
                  <w:tcW w:w="85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0.006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1077"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0.08</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0.0013</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1077"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NOx</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0.66</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0.0099</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0.0396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1077"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0.43</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0.0065</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10" w:hRule="atLeast"/>
                <w:jc w:val="center"/>
              </w:trPr>
              <w:tc>
                <w:tcPr>
                  <w:tcW w:w="850"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DA002</w:t>
                  </w:r>
                </w:p>
              </w:tc>
              <w:tc>
                <w:tcPr>
                  <w:tcW w:w="1077"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eastAsia="zh-CN"/>
                    </w:rPr>
                    <w:t>布袋除尘器+二级活性炭吸附设备</w:t>
                  </w:r>
                  <w:r>
                    <w:rPr>
                      <w:rFonts w:hint="eastAsia"/>
                      <w:color w:val="auto"/>
                      <w:sz w:val="21"/>
                      <w:szCs w:val="21"/>
                      <w:lang w:val="en-US" w:eastAsia="zh-CN"/>
                    </w:rPr>
                    <w:t>失效</w:t>
                  </w: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颗粒物</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22.5</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0.3375</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1.35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94"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07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2.99</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0.0449</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0.1796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850"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DA003</w:t>
                  </w:r>
                </w:p>
              </w:tc>
              <w:tc>
                <w:tcPr>
                  <w:tcW w:w="1077"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eastAsia="zh-CN"/>
                    </w:rPr>
                    <w:t>布袋除尘器+二级活性炭吸附设备</w:t>
                  </w:r>
                  <w:r>
                    <w:rPr>
                      <w:rFonts w:hint="eastAsia"/>
                      <w:color w:val="auto"/>
                      <w:sz w:val="21"/>
                      <w:szCs w:val="21"/>
                      <w:lang w:val="en-US" w:eastAsia="zh-CN"/>
                    </w:rPr>
                    <w:t>失效</w:t>
                  </w: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eastAsia="zh-CN"/>
                    </w:rPr>
                    <w:t>颗粒物</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11.3</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0.339</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1.356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07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0.04</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0.0013</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0.0052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077"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NOx</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0.33</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0.0099</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0.0396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7" w:hRule="atLeast"/>
                <w:jc w:val="center"/>
              </w:trPr>
              <w:tc>
                <w:tcPr>
                  <w:tcW w:w="85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077"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907"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1.71</w:t>
                  </w:r>
                </w:p>
              </w:tc>
              <w:tc>
                <w:tcPr>
                  <w:tcW w:w="1417"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0.0514</w:t>
                  </w:r>
                </w:p>
              </w:tc>
              <w:tc>
                <w:tcPr>
                  <w:tcW w:w="85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color w:val="auto"/>
                      <w:sz w:val="21"/>
                      <w:szCs w:val="21"/>
                    </w:rPr>
                    <w:t>次/a</w:t>
                  </w:r>
                </w:p>
              </w:tc>
              <w:tc>
                <w:tcPr>
                  <w:tcW w:w="907"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h</w:t>
                  </w:r>
                  <w:r>
                    <w:rPr>
                      <w:rFonts w:hint="eastAsia"/>
                      <w:color w:val="auto"/>
                      <w:sz w:val="21"/>
                      <w:szCs w:val="21"/>
                      <w:lang w:val="en-US" w:eastAsia="zh-CN"/>
                    </w:rPr>
                    <w:t>/次</w:t>
                  </w:r>
                </w:p>
              </w:tc>
              <w:tc>
                <w:tcPr>
                  <w:tcW w:w="1191"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0.2056</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color w:val="auto"/>
              </w:rPr>
            </w:pPr>
            <w:r>
              <w:rPr>
                <w:rFonts w:hint="eastAsia"/>
                <w:color w:val="auto"/>
              </w:rPr>
              <w:t>为防止生产废气非正常排放，企业必须加强废气处理设施的管理，定期检修，确保废气处理设施正常运行，在废气处理设备出现停止运行或</w:t>
            </w:r>
            <w:r>
              <w:rPr>
                <w:rFonts w:hint="eastAsia"/>
                <w:color w:val="auto"/>
                <w:lang w:eastAsia="zh-CN"/>
              </w:rPr>
              <w:t>失效</w:t>
            </w:r>
            <w:r>
              <w:rPr>
                <w:rFonts w:hint="eastAsia"/>
                <w:color w:val="auto"/>
              </w:rPr>
              <w:t>时，产生废气的各工序也必须停止生产。为杜绝</w:t>
            </w:r>
            <w:r>
              <w:rPr>
                <w:rFonts w:hint="eastAsia"/>
                <w:color w:val="auto"/>
                <w:lang w:eastAsia="zh-CN"/>
              </w:rPr>
              <w:t>生产</w:t>
            </w:r>
            <w:r>
              <w:rPr>
                <w:rFonts w:hint="eastAsia"/>
                <w:color w:val="auto"/>
              </w:rPr>
              <w:t>废气非正常排放，应采取以下措施：</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①安排专人负责环保设备的日常维护和管理，每个固定时间检查、汇报情况，及时发现废气处理设备的隐患，确保废气处理系统正常运行；</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②定期更换</w:t>
            </w:r>
            <w:r>
              <w:rPr>
                <w:rFonts w:hint="eastAsia"/>
                <w:color w:val="auto"/>
                <w:lang w:eastAsia="zh-CN"/>
              </w:rPr>
              <w:t>布袋除尘器</w:t>
            </w:r>
            <w:r>
              <w:rPr>
                <w:rFonts w:hint="eastAsia"/>
                <w:color w:val="auto"/>
              </w:rPr>
              <w:t>中的布袋；定期更换</w:t>
            </w:r>
            <w:r>
              <w:rPr>
                <w:rFonts w:hint="eastAsia"/>
                <w:color w:val="auto"/>
                <w:lang w:eastAsia="zh-CN"/>
              </w:rPr>
              <w:t>二级活性炭</w:t>
            </w:r>
            <w:r>
              <w:rPr>
                <w:rFonts w:hint="eastAsia"/>
                <w:color w:val="auto"/>
                <w:lang w:val="en-US" w:eastAsia="zh-CN"/>
              </w:rPr>
              <w:t>吸附</w:t>
            </w:r>
            <w:r>
              <w:rPr>
                <w:rFonts w:hint="eastAsia"/>
                <w:color w:val="auto"/>
                <w:lang w:eastAsia="zh-CN"/>
              </w:rPr>
              <w:t>设备</w:t>
            </w:r>
            <w:r>
              <w:rPr>
                <w:rFonts w:hint="eastAsia"/>
                <w:color w:val="auto"/>
              </w:rPr>
              <w:t>中的活性炭</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③建立健全环保管理机构，对环保管理人员和技术人员进行岗位培训，委托具有专业资质的环境检测单位对项目排放的各类污染物进行定期检测；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④定期维护、检修废气处理装置，以保持废气处理装置的净化能力和净化容量。</w:t>
            </w:r>
          </w:p>
          <w:p>
            <w:pPr>
              <w:pStyle w:val="1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4、废气监测计划</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highlight w:val="none"/>
                <w:lang w:eastAsia="zh-CN"/>
              </w:rPr>
            </w:pPr>
            <w:r>
              <w:rPr>
                <w:rFonts w:hint="eastAsia"/>
                <w:color w:val="auto"/>
                <w:lang w:eastAsia="zh-CN"/>
              </w:rPr>
              <w:t>项目排污许可管理类别为“</w:t>
            </w:r>
            <w:r>
              <w:rPr>
                <w:rFonts w:hint="eastAsia"/>
                <w:color w:val="auto"/>
                <w:lang w:val="en-US" w:eastAsia="zh-CN"/>
              </w:rPr>
              <w:t>登记</w:t>
            </w:r>
            <w:r>
              <w:rPr>
                <w:rFonts w:hint="eastAsia"/>
                <w:color w:val="auto"/>
                <w:lang w:eastAsia="zh-CN"/>
              </w:rPr>
              <w:t>管理”。根据《排污单位自行监测技术指南-总则》（HJ 819-2017）中监测频次要求及其他相关要求，废气监测计划见下表。</w:t>
            </w:r>
          </w:p>
          <w:p>
            <w:pPr>
              <w:pStyle w:val="11"/>
              <w:keepLines w:val="0"/>
              <w:pageBreakBefore w:val="0"/>
              <w:kinsoku/>
              <w:wordWrap/>
              <w:bidi w:val="0"/>
              <w:adjustRightInd w:val="0"/>
              <w:snapToGrid w:val="0"/>
              <w:textAlignment w:val="auto"/>
              <w:rPr>
                <w:rFonts w:hint="eastAsia"/>
                <w:color w:val="auto"/>
              </w:rPr>
            </w:pPr>
            <w:r>
              <w:rPr>
                <w:color w:val="auto"/>
              </w:rPr>
              <w:t>表4-</w:t>
            </w:r>
            <w:r>
              <w:rPr>
                <w:rFonts w:hint="eastAsia"/>
                <w:color w:val="auto"/>
                <w:lang w:val="en-US" w:eastAsia="zh-CN"/>
              </w:rPr>
              <w:t>8</w:t>
            </w:r>
            <w:r>
              <w:rPr>
                <w:rFonts w:hint="eastAsia"/>
                <w:color w:val="auto"/>
              </w:rPr>
              <w:t xml:space="preserve"> </w:t>
            </w:r>
            <w:r>
              <w:rPr>
                <w:color w:val="auto"/>
              </w:rPr>
              <w:t>废气监测计划</w:t>
            </w:r>
          </w:p>
          <w:tbl>
            <w:tblPr>
              <w:tblStyle w:val="7"/>
              <w:tblW w:w="86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247"/>
              <w:gridCol w:w="2040"/>
              <w:gridCol w:w="2154"/>
              <w:gridCol w:w="2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noWrap w:val="0"/>
                  <w:vAlign w:val="center"/>
                </w:tcPr>
                <w:p>
                  <w:pPr>
                    <w:pStyle w:val="15"/>
                    <w:bidi w:val="0"/>
                    <w:rPr>
                      <w:rFonts w:hint="default"/>
                      <w:color w:val="auto"/>
                      <w:sz w:val="21"/>
                      <w:szCs w:val="21"/>
                    </w:rPr>
                  </w:pPr>
                  <w:r>
                    <w:rPr>
                      <w:rFonts w:hint="default"/>
                      <w:color w:val="auto"/>
                      <w:sz w:val="21"/>
                      <w:szCs w:val="21"/>
                    </w:rPr>
                    <w:t>类别</w:t>
                  </w:r>
                </w:p>
              </w:tc>
              <w:tc>
                <w:tcPr>
                  <w:tcW w:w="3287" w:type="dxa"/>
                  <w:gridSpan w:val="2"/>
                  <w:noWrap w:val="0"/>
                  <w:vAlign w:val="center"/>
                </w:tcPr>
                <w:p>
                  <w:pPr>
                    <w:pStyle w:val="15"/>
                    <w:bidi w:val="0"/>
                    <w:rPr>
                      <w:rFonts w:hint="default"/>
                      <w:color w:val="auto"/>
                      <w:sz w:val="21"/>
                      <w:szCs w:val="21"/>
                    </w:rPr>
                  </w:pPr>
                  <w:r>
                    <w:rPr>
                      <w:rFonts w:hint="default"/>
                      <w:color w:val="auto"/>
                      <w:sz w:val="21"/>
                      <w:szCs w:val="21"/>
                    </w:rPr>
                    <w:t>监测地点</w:t>
                  </w:r>
                </w:p>
              </w:tc>
              <w:tc>
                <w:tcPr>
                  <w:tcW w:w="2154" w:type="dxa"/>
                  <w:noWrap w:val="0"/>
                  <w:vAlign w:val="center"/>
                </w:tcPr>
                <w:p>
                  <w:pPr>
                    <w:pStyle w:val="15"/>
                    <w:bidi w:val="0"/>
                    <w:rPr>
                      <w:rFonts w:hint="default"/>
                      <w:color w:val="auto"/>
                      <w:sz w:val="21"/>
                      <w:szCs w:val="21"/>
                    </w:rPr>
                  </w:pPr>
                  <w:r>
                    <w:rPr>
                      <w:rFonts w:hint="default"/>
                      <w:color w:val="auto"/>
                      <w:sz w:val="21"/>
                      <w:szCs w:val="21"/>
                    </w:rPr>
                    <w:t>监测项目</w:t>
                  </w:r>
                </w:p>
              </w:tc>
              <w:tc>
                <w:tcPr>
                  <w:tcW w:w="2154" w:type="dxa"/>
                  <w:noWrap w:val="0"/>
                  <w:vAlign w:val="center"/>
                </w:tcPr>
                <w:p>
                  <w:pPr>
                    <w:pStyle w:val="15"/>
                    <w:bidi w:val="0"/>
                    <w:rPr>
                      <w:rFonts w:hint="default"/>
                      <w:color w:val="auto"/>
                      <w:sz w:val="21"/>
                      <w:szCs w:val="21"/>
                    </w:rPr>
                  </w:pPr>
                  <w:r>
                    <w:rPr>
                      <w:rFonts w:hint="default"/>
                      <w:color w:val="auto"/>
                      <w:sz w:val="21"/>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restart"/>
                  <w:noWrap w:val="0"/>
                  <w:vAlign w:val="center"/>
                </w:tcPr>
                <w:p>
                  <w:pPr>
                    <w:pStyle w:val="13"/>
                    <w:bidi w:val="0"/>
                    <w:rPr>
                      <w:color w:val="auto"/>
                      <w:sz w:val="21"/>
                      <w:szCs w:val="21"/>
                    </w:rPr>
                  </w:pPr>
                  <w:r>
                    <w:rPr>
                      <w:color w:val="auto"/>
                      <w:sz w:val="21"/>
                      <w:szCs w:val="21"/>
                    </w:rPr>
                    <w:t>废气</w:t>
                  </w:r>
                </w:p>
              </w:tc>
              <w:tc>
                <w:tcPr>
                  <w:tcW w:w="1247" w:type="dxa"/>
                  <w:vMerge w:val="restart"/>
                  <w:noWrap w:val="0"/>
                  <w:vAlign w:val="center"/>
                </w:tcPr>
                <w:p>
                  <w:pPr>
                    <w:pStyle w:val="13"/>
                    <w:bidi w:val="0"/>
                    <w:rPr>
                      <w:color w:val="auto"/>
                      <w:sz w:val="21"/>
                      <w:szCs w:val="21"/>
                    </w:rPr>
                  </w:pPr>
                  <w:r>
                    <w:rPr>
                      <w:color w:val="auto"/>
                      <w:sz w:val="21"/>
                      <w:szCs w:val="21"/>
                    </w:rPr>
                    <w:t>有组织</w:t>
                  </w:r>
                </w:p>
              </w:tc>
              <w:tc>
                <w:tcPr>
                  <w:tcW w:w="2040" w:type="dxa"/>
                  <w:vMerge w:val="restart"/>
                  <w:noWrap w:val="0"/>
                  <w:vAlign w:val="center"/>
                </w:tcPr>
                <w:p>
                  <w:pPr>
                    <w:pStyle w:val="13"/>
                    <w:bidi w:val="0"/>
                    <w:rPr>
                      <w:color w:val="auto"/>
                      <w:sz w:val="21"/>
                      <w:szCs w:val="21"/>
                    </w:rPr>
                  </w:pPr>
                  <w:r>
                    <w:rPr>
                      <w:color w:val="auto"/>
                      <w:sz w:val="21"/>
                      <w:szCs w:val="21"/>
                    </w:rPr>
                    <w:t>DA001</w:t>
                  </w: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eastAsia="zh-CN"/>
                    </w:rPr>
                    <w:t>颗粒物</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color w:val="auto"/>
                      <w:sz w:val="21"/>
                      <w:szCs w:val="21"/>
                    </w:rPr>
                  </w:pP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color w:val="auto"/>
                      <w:sz w:val="21"/>
                      <w:szCs w:val="21"/>
                    </w:rPr>
                  </w:pP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NOx</w:t>
                  </w:r>
                </w:p>
              </w:tc>
              <w:tc>
                <w:tcPr>
                  <w:tcW w:w="2154" w:type="dxa"/>
                  <w:noWrap w:val="0"/>
                  <w:vAlign w:val="center"/>
                </w:tcPr>
                <w:p>
                  <w:pPr>
                    <w:pStyle w:val="13"/>
                    <w:bidi w:val="0"/>
                    <w:rPr>
                      <w:color w:val="auto"/>
                      <w:sz w:val="21"/>
                      <w:szCs w:val="21"/>
                      <w:lang w:val="en-US" w:eastAsia="zh-CN"/>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color w:val="auto"/>
                      <w:sz w:val="21"/>
                      <w:szCs w:val="21"/>
                    </w:rPr>
                  </w:pPr>
                </w:p>
              </w:tc>
              <w:tc>
                <w:tcPr>
                  <w:tcW w:w="2154" w:type="dxa"/>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非甲烷总烃</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restart"/>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DA002</w:t>
                  </w: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颗粒物</w:t>
                  </w:r>
                </w:p>
              </w:tc>
              <w:tc>
                <w:tcPr>
                  <w:tcW w:w="2154" w:type="dxa"/>
                  <w:noWrap w:val="0"/>
                  <w:vAlign w:val="center"/>
                </w:tcPr>
                <w:p>
                  <w:pPr>
                    <w:pStyle w:val="13"/>
                    <w:bidi w:val="0"/>
                    <w:rPr>
                      <w:color w:val="auto"/>
                      <w:sz w:val="21"/>
                      <w:szCs w:val="21"/>
                      <w:lang w:val="en-US" w:eastAsia="zh-CN"/>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rFonts w:hint="eastAsia"/>
                      <w:color w:val="auto"/>
                      <w:sz w:val="21"/>
                      <w:szCs w:val="21"/>
                      <w:lang w:val="en-US" w:eastAsia="zh-CN"/>
                    </w:rPr>
                  </w:pP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非甲烷总烃</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restart"/>
                  <w:noWrap w:val="0"/>
                  <w:vAlign w:val="center"/>
                </w:tcPr>
                <w:p>
                  <w:pPr>
                    <w:pStyle w:val="13"/>
                    <w:bidi w:val="0"/>
                    <w:rPr>
                      <w:rFonts w:hint="default"/>
                      <w:color w:val="auto"/>
                      <w:sz w:val="21"/>
                      <w:szCs w:val="21"/>
                      <w:lang w:val="en-US" w:eastAsia="zh-CN"/>
                    </w:rPr>
                  </w:pPr>
                  <w:r>
                    <w:rPr>
                      <w:rFonts w:hint="eastAsia"/>
                      <w:color w:val="auto"/>
                      <w:sz w:val="21"/>
                      <w:szCs w:val="21"/>
                      <w:lang w:val="en-US" w:eastAsia="zh-CN"/>
                    </w:rPr>
                    <w:t>DA003</w:t>
                  </w: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eastAsia="zh-CN"/>
                    </w:rPr>
                    <w:t>颗粒物</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rFonts w:hint="eastAsia"/>
                      <w:color w:val="auto"/>
                      <w:sz w:val="21"/>
                      <w:szCs w:val="21"/>
                      <w:lang w:val="en-US" w:eastAsia="zh-CN"/>
                    </w:rPr>
                  </w:pP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rFonts w:hint="eastAsia"/>
                      <w:color w:val="auto"/>
                      <w:sz w:val="21"/>
                      <w:szCs w:val="21"/>
                      <w:lang w:val="en-US" w:eastAsia="zh-CN"/>
                    </w:rPr>
                  </w:pP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NOx</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vMerge w:val="continue"/>
                  <w:noWrap w:val="0"/>
                  <w:vAlign w:val="center"/>
                </w:tcPr>
                <w:p>
                  <w:pPr>
                    <w:pStyle w:val="13"/>
                    <w:bidi w:val="0"/>
                    <w:rPr>
                      <w:rFonts w:hint="eastAsia"/>
                      <w:color w:val="auto"/>
                      <w:sz w:val="21"/>
                      <w:szCs w:val="21"/>
                      <w:lang w:val="en-US" w:eastAsia="zh-CN"/>
                    </w:rPr>
                  </w:pPr>
                </w:p>
              </w:tc>
              <w:tc>
                <w:tcPr>
                  <w:tcW w:w="2154"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非甲烷总烃</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restart"/>
                  <w:noWrap w:val="0"/>
                  <w:vAlign w:val="center"/>
                </w:tcPr>
                <w:p>
                  <w:pPr>
                    <w:pStyle w:val="13"/>
                    <w:bidi w:val="0"/>
                    <w:rPr>
                      <w:color w:val="auto"/>
                      <w:sz w:val="21"/>
                      <w:szCs w:val="21"/>
                    </w:rPr>
                  </w:pPr>
                  <w:r>
                    <w:rPr>
                      <w:color w:val="auto"/>
                      <w:sz w:val="21"/>
                      <w:szCs w:val="21"/>
                    </w:rPr>
                    <w:t>无组织</w:t>
                  </w:r>
                </w:p>
              </w:tc>
              <w:tc>
                <w:tcPr>
                  <w:tcW w:w="2040" w:type="dxa"/>
                  <w:noWrap w:val="0"/>
                  <w:vAlign w:val="center"/>
                </w:tcPr>
                <w:p>
                  <w:pPr>
                    <w:pStyle w:val="13"/>
                    <w:bidi w:val="0"/>
                    <w:rPr>
                      <w:color w:val="auto"/>
                      <w:sz w:val="21"/>
                      <w:szCs w:val="21"/>
                    </w:rPr>
                  </w:pPr>
                  <w:r>
                    <w:rPr>
                      <w:color w:val="auto"/>
                      <w:sz w:val="21"/>
                      <w:szCs w:val="21"/>
                    </w:rPr>
                    <w:t>上、下风向</w:t>
                  </w:r>
                </w:p>
              </w:tc>
              <w:tc>
                <w:tcPr>
                  <w:tcW w:w="2154" w:type="dxa"/>
                  <w:noWrap w:val="0"/>
                  <w:vAlign w:val="center"/>
                </w:tcPr>
                <w:p>
                  <w:pPr>
                    <w:pStyle w:val="13"/>
                    <w:bidi w:val="0"/>
                    <w:rPr>
                      <w:color w:val="auto"/>
                      <w:sz w:val="21"/>
                      <w:szCs w:val="21"/>
                    </w:rPr>
                  </w:pPr>
                  <w:r>
                    <w:rPr>
                      <w:rFonts w:hint="eastAsia"/>
                      <w:color w:val="auto"/>
                      <w:sz w:val="21"/>
                      <w:szCs w:val="21"/>
                      <w:lang w:eastAsia="zh-CN"/>
                    </w:rPr>
                    <w:t>粉尘</w:t>
                  </w:r>
                </w:p>
              </w:tc>
              <w:tc>
                <w:tcPr>
                  <w:tcW w:w="2154" w:type="dxa"/>
                  <w:noWrap w:val="0"/>
                  <w:vAlign w:val="center"/>
                </w:tcPr>
                <w:p>
                  <w:pPr>
                    <w:pStyle w:val="13"/>
                    <w:bidi w:val="0"/>
                    <w:rPr>
                      <w:color w:val="auto"/>
                      <w:sz w:val="21"/>
                      <w:szCs w:val="21"/>
                    </w:rPr>
                  </w:pPr>
                  <w:r>
                    <w:rPr>
                      <w:color w:val="auto"/>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vMerge w:val="continue"/>
                  <w:noWrap w:val="0"/>
                  <w:vAlign w:val="center"/>
                </w:tcPr>
                <w:p>
                  <w:pPr>
                    <w:pStyle w:val="13"/>
                    <w:bidi w:val="0"/>
                    <w:rPr>
                      <w:color w:val="auto"/>
                      <w:sz w:val="21"/>
                      <w:szCs w:val="21"/>
                    </w:rPr>
                  </w:pPr>
                </w:p>
              </w:tc>
              <w:tc>
                <w:tcPr>
                  <w:tcW w:w="1247" w:type="dxa"/>
                  <w:vMerge w:val="continue"/>
                  <w:noWrap w:val="0"/>
                  <w:vAlign w:val="center"/>
                </w:tcPr>
                <w:p>
                  <w:pPr>
                    <w:pStyle w:val="13"/>
                    <w:bidi w:val="0"/>
                    <w:rPr>
                      <w:color w:val="auto"/>
                      <w:sz w:val="21"/>
                      <w:szCs w:val="21"/>
                    </w:rPr>
                  </w:pPr>
                </w:p>
              </w:tc>
              <w:tc>
                <w:tcPr>
                  <w:tcW w:w="2040" w:type="dxa"/>
                  <w:noWrap w:val="0"/>
                  <w:vAlign w:val="center"/>
                </w:tcPr>
                <w:p>
                  <w:pPr>
                    <w:pStyle w:val="13"/>
                    <w:bidi w:val="0"/>
                    <w:rPr>
                      <w:color w:val="auto"/>
                      <w:sz w:val="21"/>
                      <w:szCs w:val="21"/>
                      <w:lang w:val="en-US" w:eastAsia="zh-CN"/>
                    </w:rPr>
                  </w:pPr>
                  <w:r>
                    <w:rPr>
                      <w:rFonts w:hint="eastAsia"/>
                      <w:color w:val="auto"/>
                      <w:sz w:val="21"/>
                      <w:szCs w:val="21"/>
                    </w:rPr>
                    <w:t>厂区内</w:t>
                  </w:r>
                </w:p>
              </w:tc>
              <w:tc>
                <w:tcPr>
                  <w:tcW w:w="2154" w:type="dxa"/>
                  <w:noWrap w:val="0"/>
                  <w:vAlign w:val="center"/>
                </w:tcPr>
                <w:p>
                  <w:pPr>
                    <w:pStyle w:val="13"/>
                    <w:bidi w:val="0"/>
                    <w:rPr>
                      <w:rFonts w:hint="eastAsia"/>
                      <w:color w:val="auto"/>
                      <w:sz w:val="21"/>
                      <w:szCs w:val="21"/>
                      <w:lang w:val="en-US" w:eastAsia="zh-CN"/>
                    </w:rPr>
                  </w:pPr>
                  <w:r>
                    <w:rPr>
                      <w:color w:val="auto"/>
                      <w:sz w:val="21"/>
                      <w:szCs w:val="21"/>
                    </w:rPr>
                    <w:t>非甲烷总烃</w:t>
                  </w:r>
                </w:p>
              </w:tc>
              <w:tc>
                <w:tcPr>
                  <w:tcW w:w="2154" w:type="dxa"/>
                  <w:noWrap w:val="0"/>
                  <w:vAlign w:val="center"/>
                </w:tcPr>
                <w:p>
                  <w:pPr>
                    <w:pStyle w:val="13"/>
                    <w:bidi w:val="0"/>
                    <w:rPr>
                      <w:color w:val="auto"/>
                      <w:sz w:val="21"/>
                      <w:szCs w:val="21"/>
                      <w:lang w:val="en-US" w:eastAsia="zh-CN"/>
                    </w:rPr>
                  </w:pPr>
                  <w:r>
                    <w:rPr>
                      <w:color w:val="auto"/>
                      <w:sz w:val="21"/>
                      <w:szCs w:val="21"/>
                    </w:rPr>
                    <w:t>1次/年</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color w:val="auto"/>
              </w:rPr>
              <w:t>5、</w:t>
            </w:r>
            <w:r>
              <w:rPr>
                <w:rFonts w:hint="eastAsia"/>
                <w:color w:val="auto"/>
              </w:rPr>
              <w:t>废气排放的环境影响分析</w:t>
            </w:r>
          </w:p>
          <w:p>
            <w:pPr>
              <w:pStyle w:val="16"/>
              <w:keepLines w:val="0"/>
              <w:pageBreakBefore w:val="0"/>
              <w:kinsoku/>
              <w:wordWrap/>
              <w:bidi w:val="0"/>
              <w:adjustRightInd w:val="0"/>
              <w:snapToGrid w:val="0"/>
              <w:textAlignment w:val="auto"/>
              <w:rPr>
                <w:color w:val="auto"/>
                <w:highlight w:val="none"/>
              </w:rPr>
            </w:pPr>
            <w:r>
              <w:rPr>
                <w:rFonts w:hint="eastAsia"/>
                <w:color w:val="auto"/>
                <w:highlight w:val="none"/>
              </w:rPr>
              <w:t>根据蚌埠市生态环境局公布的《蚌埠市2021年生态环境质量概况》，项目区域PM2.5不满足《环境空气质量标准》（GB 3095-2012）中二级标准要求，为不达标区。蚌埠市人民政府以蚌政秘〔2021〕10号文下发了“蚌埠市人民政府关于印发《蚌埠市环境空气质量达标规划（2019-2030年）》的通知”，通过积极落实相关大气污染防治工作，预计区域环境空气质量将会进一步好转。</w:t>
            </w:r>
          </w:p>
          <w:p>
            <w:pPr>
              <w:pStyle w:val="16"/>
              <w:keepLines w:val="0"/>
              <w:pageBreakBefore w:val="0"/>
              <w:kinsoku/>
              <w:wordWrap/>
              <w:bidi w:val="0"/>
              <w:adjustRightInd w:val="0"/>
              <w:snapToGrid w:val="0"/>
              <w:textAlignment w:val="auto"/>
              <w:rPr>
                <w:color w:val="auto"/>
                <w:highlight w:val="none"/>
              </w:rPr>
            </w:pPr>
            <w:r>
              <w:rPr>
                <w:color w:val="auto"/>
              </w:rPr>
              <w:t>项目周边500米范围内</w:t>
            </w:r>
            <w:r>
              <w:rPr>
                <w:rFonts w:hint="eastAsia"/>
                <w:color w:val="auto"/>
              </w:rPr>
              <w:t>无环境保护目标</w:t>
            </w:r>
            <w:r>
              <w:rPr>
                <w:color w:val="auto"/>
              </w:rPr>
              <w:t>，</w:t>
            </w:r>
            <w:r>
              <w:rPr>
                <w:rFonts w:hint="eastAsia"/>
                <w:color w:val="auto"/>
              </w:rPr>
              <w:t>且废气已采取相应的处理</w:t>
            </w:r>
            <w:r>
              <w:rPr>
                <w:rFonts w:hint="eastAsia"/>
                <w:color w:val="auto"/>
                <w:lang w:eastAsia="zh-CN"/>
              </w:rPr>
              <w:t>措施</w:t>
            </w:r>
            <w:r>
              <w:rPr>
                <w:color w:val="auto"/>
              </w:rPr>
              <w:t>，项目排放的废气对环境保护目标影响较小。</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default"/>
                <w:color w:val="auto"/>
                <w:highlight w:val="none"/>
              </w:rPr>
              <w:t>根据前文分析</w:t>
            </w:r>
            <w:r>
              <w:rPr>
                <w:rFonts w:hint="default"/>
                <w:color w:val="auto"/>
                <w:highlight w:val="none"/>
                <w:lang w:eastAsia="zh-CN"/>
              </w:rPr>
              <w:t>，食堂油烟经油烟净化器处理后于楼顶高空排放</w:t>
            </w:r>
            <w:r>
              <w:rPr>
                <w:rFonts w:hint="eastAsia"/>
                <w:color w:val="auto"/>
                <w:highlight w:val="none"/>
                <w:lang w:eastAsia="zh-CN"/>
              </w:rPr>
              <w:t>，处理后</w:t>
            </w:r>
            <w:r>
              <w:rPr>
                <w:rFonts w:hint="eastAsia"/>
                <w:color w:val="auto"/>
                <w:highlight w:val="none"/>
                <w:lang w:val="en-US" w:eastAsia="zh-CN"/>
              </w:rPr>
              <w:t>的</w:t>
            </w:r>
            <w:r>
              <w:rPr>
                <w:rFonts w:hint="eastAsia"/>
                <w:color w:val="auto"/>
                <w:highlight w:val="none"/>
                <w:lang w:eastAsia="zh-CN"/>
              </w:rPr>
              <w:t>排放浓度为</w:t>
            </w:r>
            <w:r>
              <w:rPr>
                <w:rFonts w:hint="eastAsia"/>
                <w:color w:val="auto"/>
                <w:highlight w:val="none"/>
                <w:lang w:val="en-US" w:eastAsia="zh-CN"/>
              </w:rPr>
              <w:t>0.43</w:t>
            </w:r>
            <w:r>
              <w:rPr>
                <w:rFonts w:hint="eastAsia"/>
                <w:color w:val="auto"/>
                <w:highlight w:val="none"/>
                <w:lang w:eastAsia="zh-CN"/>
              </w:rPr>
              <w:t>mg/m³，</w:t>
            </w:r>
            <w:r>
              <w:rPr>
                <w:rFonts w:hint="eastAsia"/>
                <w:color w:val="auto"/>
                <w:highlight w:val="none"/>
                <w:lang w:val="en-US" w:eastAsia="zh-CN"/>
              </w:rPr>
              <w:t>满足</w:t>
            </w:r>
            <w:r>
              <w:rPr>
                <w:rFonts w:hint="eastAsia"/>
                <w:color w:val="auto"/>
                <w:highlight w:val="none"/>
                <w:lang w:eastAsia="zh-CN"/>
              </w:rPr>
              <w:t>《饮食业油烟排放标准》（试行）（GB</w:t>
            </w:r>
            <w:r>
              <w:rPr>
                <w:rFonts w:hint="eastAsia"/>
                <w:color w:val="auto"/>
                <w:highlight w:val="none"/>
                <w:lang w:val="en-US" w:eastAsia="zh-CN"/>
              </w:rPr>
              <w:t xml:space="preserve"> </w:t>
            </w:r>
            <w:r>
              <w:rPr>
                <w:rFonts w:hint="eastAsia"/>
                <w:color w:val="auto"/>
                <w:highlight w:val="none"/>
                <w:lang w:eastAsia="zh-CN"/>
              </w:rPr>
              <w:t>18483-2001）中有关规定（</w:t>
            </w:r>
            <w:r>
              <w:rPr>
                <w:rFonts w:hint="eastAsia"/>
                <w:color w:val="auto"/>
                <w:highlight w:val="none"/>
                <w:lang w:val="en-US" w:eastAsia="zh-CN"/>
              </w:rPr>
              <w:t>油烟：2.0mg/m³</w:t>
            </w:r>
            <w:r>
              <w:rPr>
                <w:rFonts w:hint="eastAsia"/>
                <w:color w:val="auto"/>
                <w:highlight w:val="none"/>
                <w:lang w:eastAsia="zh-CN"/>
              </w:rPr>
              <w:t>）；</w:t>
            </w:r>
            <w:r>
              <w:rPr>
                <w:rFonts w:hint="eastAsia"/>
                <w:color w:val="auto"/>
                <w:highlight w:val="none"/>
                <w:lang w:val="en-US" w:eastAsia="zh-CN"/>
              </w:rPr>
              <w:t>1#无纺布后处理生产线产生的废气（即发泡废气、浸胶对压废气、热烫废气、烘干废气、天然气燃烧废气）通过集气设施收集经二级活性炭处理后由一根15m高排气筒（DA001）排放</w:t>
            </w:r>
            <w:r>
              <w:rPr>
                <w:rFonts w:hint="default"/>
                <w:color w:val="auto"/>
                <w:highlight w:val="none"/>
              </w:rPr>
              <w:t>，处理后</w:t>
            </w:r>
            <w:r>
              <w:rPr>
                <w:rFonts w:hint="default"/>
                <w:color w:val="auto"/>
                <w:highlight w:val="none"/>
                <w:lang w:eastAsia="zh-CN"/>
              </w:rPr>
              <w:t>颗粒物</w:t>
            </w:r>
            <w:r>
              <w:rPr>
                <w:rFonts w:hint="default"/>
                <w:color w:val="auto"/>
                <w:highlight w:val="none"/>
              </w:rPr>
              <w:t>排放浓度为</w:t>
            </w:r>
            <w:r>
              <w:rPr>
                <w:rFonts w:hint="eastAsia"/>
                <w:color w:val="auto"/>
                <w:highlight w:val="none"/>
                <w:lang w:val="en-US" w:eastAsia="zh-CN"/>
              </w:rPr>
              <w:t>0.1</w:t>
            </w:r>
            <w:r>
              <w:rPr>
                <w:rFonts w:hint="default"/>
                <w:color w:val="auto"/>
                <w:highlight w:val="none"/>
              </w:rPr>
              <w:t>mg/m³</w:t>
            </w:r>
            <w:r>
              <w:rPr>
                <w:rFonts w:hint="default"/>
                <w:color w:val="auto"/>
                <w:highlight w:val="none"/>
                <w:lang w:eastAsia="zh-CN"/>
              </w:rPr>
              <w:t>、</w:t>
            </w:r>
            <w:r>
              <w:rPr>
                <w:rFonts w:hint="default"/>
                <w:color w:val="auto"/>
                <w:highlight w:val="none"/>
                <w:lang w:val="en-US" w:eastAsia="zh-CN"/>
              </w:rPr>
              <w:t>SO</w:t>
            </w:r>
            <w:r>
              <w:rPr>
                <w:rFonts w:hint="default"/>
                <w:color w:val="auto"/>
                <w:highlight w:val="none"/>
                <w:vertAlign w:val="subscript"/>
                <w:lang w:val="en-US" w:eastAsia="zh-CN"/>
              </w:rPr>
              <w:t>2</w:t>
            </w:r>
            <w:r>
              <w:rPr>
                <w:rFonts w:hint="default"/>
                <w:color w:val="auto"/>
                <w:highlight w:val="none"/>
              </w:rPr>
              <w:t>排放浓度为</w:t>
            </w:r>
            <w:r>
              <w:rPr>
                <w:rFonts w:hint="eastAsia"/>
                <w:color w:val="auto"/>
                <w:highlight w:val="none"/>
                <w:lang w:val="en-US" w:eastAsia="zh-CN"/>
              </w:rPr>
              <w:t>0.08</w:t>
            </w:r>
            <w:r>
              <w:rPr>
                <w:rFonts w:hint="default"/>
                <w:color w:val="auto"/>
                <w:highlight w:val="none"/>
              </w:rPr>
              <w:t>mg/m³</w:t>
            </w:r>
            <w:r>
              <w:rPr>
                <w:rFonts w:hint="default"/>
                <w:color w:val="auto"/>
                <w:highlight w:val="none"/>
                <w:lang w:eastAsia="zh-CN"/>
              </w:rPr>
              <w:t>、</w:t>
            </w:r>
            <w:r>
              <w:rPr>
                <w:rFonts w:hint="default"/>
                <w:color w:val="auto"/>
                <w:highlight w:val="none"/>
                <w:lang w:val="en-US" w:eastAsia="zh-CN"/>
              </w:rPr>
              <w:t>NOx</w:t>
            </w:r>
            <w:r>
              <w:rPr>
                <w:rFonts w:hint="default"/>
                <w:color w:val="auto"/>
                <w:highlight w:val="none"/>
              </w:rPr>
              <w:t>排放浓度为</w:t>
            </w:r>
            <w:r>
              <w:rPr>
                <w:rFonts w:hint="eastAsia"/>
                <w:color w:val="auto"/>
                <w:highlight w:val="none"/>
                <w:lang w:val="en-US" w:eastAsia="zh-CN"/>
              </w:rPr>
              <w:t>0.66</w:t>
            </w:r>
            <w:r>
              <w:rPr>
                <w:rFonts w:hint="default"/>
                <w:color w:val="auto"/>
                <w:highlight w:val="none"/>
              </w:rPr>
              <w:t>mg/m³</w:t>
            </w:r>
            <w:r>
              <w:rPr>
                <w:rFonts w:hint="eastAsia"/>
                <w:color w:val="auto"/>
                <w:highlight w:val="none"/>
                <w:lang w:eastAsia="zh-CN"/>
              </w:rPr>
              <w:t>，</w:t>
            </w:r>
            <w:r>
              <w:rPr>
                <w:rFonts w:hint="eastAsia"/>
                <w:color w:val="auto"/>
                <w:highlight w:val="none"/>
                <w:lang w:val="en-US" w:eastAsia="zh-CN"/>
              </w:rPr>
              <w:t>非甲烷总烃排放浓度为0.04mg/m³、排放速率为0.0007kg/h，颗粒物、SO</w:t>
            </w:r>
            <w:r>
              <w:rPr>
                <w:rFonts w:hint="eastAsia"/>
                <w:color w:val="auto"/>
                <w:highlight w:val="none"/>
                <w:vertAlign w:val="subscript"/>
                <w:lang w:val="en-US" w:eastAsia="zh-CN"/>
              </w:rPr>
              <w:t>2</w:t>
            </w:r>
            <w:r>
              <w:rPr>
                <w:rFonts w:hint="eastAsia"/>
                <w:color w:val="auto"/>
                <w:highlight w:val="none"/>
                <w:lang w:val="en-US" w:eastAsia="zh-CN"/>
              </w:rPr>
              <w:t>、NOx均</w:t>
            </w:r>
            <w:r>
              <w:rPr>
                <w:rFonts w:hint="default"/>
                <w:color w:val="auto"/>
                <w:highlight w:val="none"/>
                <w:lang w:eastAsia="zh-CN"/>
              </w:rPr>
              <w:t>满足《工业炉窑大气污染物排放标准》（GB</w:t>
            </w:r>
            <w:r>
              <w:rPr>
                <w:rFonts w:hint="default"/>
                <w:color w:val="auto"/>
                <w:highlight w:val="none"/>
                <w:lang w:val="en-US" w:eastAsia="zh-CN"/>
              </w:rPr>
              <w:t xml:space="preserve"> </w:t>
            </w:r>
            <w:r>
              <w:rPr>
                <w:rFonts w:hint="default"/>
                <w:color w:val="auto"/>
                <w:highlight w:val="none"/>
                <w:lang w:eastAsia="zh-CN"/>
              </w:rPr>
              <w:t>9078-1996）和《安徽省大气办关于印发＜安徽省2020年大气污染防治重点工作任务＞的通知》（皖大气办〔2020〕2号）中排放限值</w:t>
            </w:r>
            <w:r>
              <w:rPr>
                <w:rFonts w:hint="default"/>
                <w:color w:val="auto"/>
                <w:highlight w:val="none"/>
              </w:rPr>
              <w:t>（</w:t>
            </w:r>
            <w:r>
              <w:rPr>
                <w:rFonts w:hint="default"/>
                <w:color w:val="auto"/>
                <w:highlight w:val="none"/>
                <w:lang w:eastAsia="zh-CN"/>
              </w:rPr>
              <w:t>颗粒物：</w:t>
            </w:r>
            <w:r>
              <w:rPr>
                <w:rFonts w:hint="default"/>
                <w:color w:val="auto"/>
                <w:highlight w:val="none"/>
                <w:lang w:val="en-US" w:eastAsia="zh-CN"/>
              </w:rPr>
              <w:t>3</w:t>
            </w:r>
            <w:r>
              <w:rPr>
                <w:rFonts w:hint="default"/>
                <w:color w:val="auto"/>
                <w:highlight w:val="none"/>
                <w:lang w:eastAsia="zh-CN"/>
              </w:rPr>
              <w:t>0mg/m³，</w:t>
            </w:r>
            <w:r>
              <w:rPr>
                <w:rFonts w:hint="default"/>
                <w:color w:val="auto"/>
                <w:highlight w:val="none"/>
                <w:lang w:val="en-US" w:eastAsia="zh-CN"/>
              </w:rPr>
              <w:t>SO</w:t>
            </w:r>
            <w:r>
              <w:rPr>
                <w:rFonts w:hint="default"/>
                <w:color w:val="auto"/>
                <w:highlight w:val="none"/>
                <w:vertAlign w:val="subscript"/>
                <w:lang w:val="en-US" w:eastAsia="zh-CN"/>
              </w:rPr>
              <w:t>2</w:t>
            </w:r>
            <w:r>
              <w:rPr>
                <w:rFonts w:hint="default"/>
                <w:color w:val="auto"/>
                <w:highlight w:val="none"/>
                <w:lang w:eastAsia="zh-CN"/>
              </w:rPr>
              <w:t>：</w:t>
            </w:r>
            <w:r>
              <w:rPr>
                <w:rFonts w:hint="default"/>
                <w:color w:val="auto"/>
                <w:highlight w:val="none"/>
                <w:lang w:val="en-US" w:eastAsia="zh-CN"/>
              </w:rPr>
              <w:t>200</w:t>
            </w:r>
            <w:r>
              <w:rPr>
                <w:rFonts w:hint="default"/>
                <w:color w:val="auto"/>
                <w:highlight w:val="none"/>
                <w:lang w:eastAsia="zh-CN"/>
              </w:rPr>
              <w:t>mg/m³，</w:t>
            </w:r>
            <w:r>
              <w:rPr>
                <w:rFonts w:hint="default"/>
                <w:color w:val="auto"/>
                <w:highlight w:val="none"/>
                <w:lang w:val="en-US" w:eastAsia="zh-CN"/>
              </w:rPr>
              <w:t>NOx</w:t>
            </w:r>
            <w:r>
              <w:rPr>
                <w:rFonts w:hint="default"/>
                <w:color w:val="auto"/>
                <w:highlight w:val="none"/>
                <w:lang w:eastAsia="zh-CN"/>
              </w:rPr>
              <w:t>：</w:t>
            </w:r>
            <w:r>
              <w:rPr>
                <w:rFonts w:hint="default"/>
                <w:color w:val="auto"/>
                <w:highlight w:val="none"/>
                <w:lang w:val="en-US" w:eastAsia="zh-CN"/>
              </w:rPr>
              <w:t>300</w:t>
            </w:r>
            <w:r>
              <w:rPr>
                <w:rFonts w:hint="default"/>
                <w:color w:val="auto"/>
                <w:highlight w:val="none"/>
                <w:lang w:eastAsia="zh-CN"/>
              </w:rPr>
              <w:t>mg/m³</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非甲烷总烃满足《大气污染物综合排放标准》（GB16297-1996）表2中排放限值（非甲烷总烃排放浓度：120mg/m³、排放速率：5kg/h）</w:t>
            </w:r>
            <w:r>
              <w:rPr>
                <w:rFonts w:hint="default"/>
                <w:color w:val="auto"/>
                <w:highlight w:val="none"/>
                <w:lang w:eastAsia="zh-CN"/>
              </w:rPr>
              <w:t>；</w:t>
            </w:r>
            <w:r>
              <w:rPr>
                <w:rFonts w:hint="default"/>
                <w:color w:val="auto"/>
                <w:highlight w:val="none"/>
                <w:lang w:val="en-US" w:eastAsia="zh-CN"/>
              </w:rPr>
              <w:t>1#活性炭无纺布生产线产生的废气（即摊铺废气、加热废气、复合废气）通过集气设施收集经布袋除尘器+二级活性炭处理后由一根15m高排气筒（DA002）排放</w:t>
            </w:r>
            <w:r>
              <w:rPr>
                <w:rFonts w:hint="default"/>
                <w:color w:val="auto"/>
                <w:highlight w:val="none"/>
              </w:rPr>
              <w:t>，处理后</w:t>
            </w:r>
            <w:r>
              <w:rPr>
                <w:rFonts w:hint="default"/>
                <w:color w:val="auto"/>
                <w:highlight w:val="none"/>
                <w:lang w:val="en-US" w:eastAsia="zh-CN"/>
              </w:rPr>
              <w:t>非甲烷总烃</w:t>
            </w:r>
            <w:r>
              <w:rPr>
                <w:rFonts w:hint="default"/>
                <w:color w:val="auto"/>
                <w:highlight w:val="none"/>
              </w:rPr>
              <w:t>排放浓度为</w:t>
            </w:r>
            <w:r>
              <w:rPr>
                <w:rFonts w:hint="eastAsia"/>
                <w:color w:val="auto"/>
                <w:highlight w:val="none"/>
                <w:lang w:val="en-US" w:eastAsia="zh-CN"/>
              </w:rPr>
              <w:t>0.3</w:t>
            </w:r>
            <w:r>
              <w:rPr>
                <w:rFonts w:hint="default"/>
                <w:color w:val="auto"/>
                <w:highlight w:val="none"/>
              </w:rPr>
              <w:t>mg/m³</w:t>
            </w:r>
            <w:r>
              <w:rPr>
                <w:rFonts w:hint="default"/>
                <w:color w:val="auto"/>
                <w:highlight w:val="none"/>
                <w:lang w:eastAsia="zh-CN"/>
              </w:rPr>
              <w:t>、排放速率为</w:t>
            </w:r>
            <w:r>
              <w:rPr>
                <w:rFonts w:hint="eastAsia"/>
                <w:color w:val="auto"/>
                <w:highlight w:val="none"/>
                <w:lang w:val="en-US" w:eastAsia="zh-CN"/>
              </w:rPr>
              <w:t>0.0045</w:t>
            </w:r>
            <w:r>
              <w:rPr>
                <w:rFonts w:hint="default"/>
                <w:color w:val="auto"/>
                <w:highlight w:val="none"/>
                <w:lang w:val="en-US" w:eastAsia="zh-CN"/>
              </w:rPr>
              <w:t>kg/h</w:t>
            </w:r>
            <w:r>
              <w:rPr>
                <w:rFonts w:hint="default"/>
                <w:color w:val="auto"/>
                <w:highlight w:val="none"/>
              </w:rPr>
              <w:t>，</w:t>
            </w:r>
            <w:r>
              <w:rPr>
                <w:rFonts w:hint="default"/>
                <w:color w:val="auto"/>
                <w:highlight w:val="none"/>
                <w:lang w:eastAsia="zh-CN"/>
              </w:rPr>
              <w:t>颗粒物</w:t>
            </w:r>
            <w:r>
              <w:rPr>
                <w:rFonts w:hint="default"/>
                <w:color w:val="auto"/>
                <w:highlight w:val="none"/>
              </w:rPr>
              <w:t>排放浓度为</w:t>
            </w:r>
            <w:r>
              <w:rPr>
                <w:rFonts w:hint="eastAsia"/>
                <w:color w:val="auto"/>
                <w:highlight w:val="none"/>
                <w:lang w:val="en-US" w:eastAsia="zh-CN"/>
              </w:rPr>
              <w:t>1.13</w:t>
            </w:r>
            <w:r>
              <w:rPr>
                <w:rFonts w:hint="default"/>
                <w:color w:val="auto"/>
                <w:highlight w:val="none"/>
              </w:rPr>
              <w:t>mg/m³</w:t>
            </w:r>
            <w:r>
              <w:rPr>
                <w:rFonts w:hint="default"/>
                <w:color w:val="auto"/>
                <w:highlight w:val="none"/>
                <w:lang w:eastAsia="zh-CN"/>
              </w:rPr>
              <w:t>、排放速率为</w:t>
            </w:r>
            <w:r>
              <w:rPr>
                <w:rFonts w:hint="eastAsia"/>
                <w:color w:val="auto"/>
                <w:highlight w:val="none"/>
                <w:lang w:val="en-US" w:eastAsia="zh-CN"/>
              </w:rPr>
              <w:t>0.0169</w:t>
            </w:r>
            <w:r>
              <w:rPr>
                <w:rFonts w:hint="default"/>
                <w:color w:val="auto"/>
                <w:highlight w:val="none"/>
                <w:lang w:val="en-US" w:eastAsia="zh-CN"/>
              </w:rPr>
              <w:t>kg/h</w:t>
            </w:r>
            <w:r>
              <w:rPr>
                <w:rFonts w:hint="default"/>
                <w:color w:val="auto"/>
                <w:highlight w:val="none"/>
              </w:rPr>
              <w:t>，</w:t>
            </w:r>
            <w:r>
              <w:rPr>
                <w:rFonts w:hint="default"/>
                <w:color w:val="auto"/>
                <w:highlight w:val="none"/>
                <w:lang w:eastAsia="zh-CN"/>
              </w:rPr>
              <w:t>颗粒物</w:t>
            </w:r>
            <w:r>
              <w:rPr>
                <w:rFonts w:hint="eastAsia"/>
                <w:color w:val="auto"/>
                <w:highlight w:val="none"/>
                <w:lang w:eastAsia="zh-CN"/>
              </w:rPr>
              <w:t>、</w:t>
            </w:r>
            <w:r>
              <w:rPr>
                <w:rFonts w:hint="eastAsia"/>
                <w:color w:val="auto"/>
                <w:highlight w:val="none"/>
                <w:lang w:val="en-US" w:eastAsia="zh-CN"/>
              </w:rPr>
              <w:t>非甲烷总烃均</w:t>
            </w:r>
            <w:r>
              <w:rPr>
                <w:rFonts w:hint="default"/>
                <w:color w:val="auto"/>
                <w:highlight w:val="none"/>
              </w:rPr>
              <w:t>满足</w:t>
            </w:r>
            <w:r>
              <w:rPr>
                <w:rFonts w:hint="default"/>
                <w:color w:val="auto"/>
                <w:highlight w:val="none"/>
                <w:lang w:eastAsia="zh-CN"/>
              </w:rPr>
              <w:t>《大气污染物综合排放标准》（GB16297-1996）表2中排放限值</w:t>
            </w:r>
            <w:r>
              <w:rPr>
                <w:rFonts w:hint="default"/>
                <w:color w:val="auto"/>
                <w:highlight w:val="none"/>
              </w:rPr>
              <w:t>（</w:t>
            </w:r>
            <w:r>
              <w:rPr>
                <w:rFonts w:hint="default"/>
                <w:color w:val="auto"/>
                <w:highlight w:val="none"/>
                <w:lang w:eastAsia="zh-CN"/>
              </w:rPr>
              <w:t>颗粒物排放浓度</w:t>
            </w:r>
            <w:r>
              <w:rPr>
                <w:rFonts w:hint="default"/>
                <w:color w:val="auto"/>
                <w:highlight w:val="none"/>
              </w:rPr>
              <w:t>：</w:t>
            </w:r>
            <w:r>
              <w:rPr>
                <w:rFonts w:hint="default"/>
                <w:color w:val="auto"/>
                <w:highlight w:val="none"/>
                <w:lang w:val="en-US" w:eastAsia="zh-CN"/>
              </w:rPr>
              <w:t>1</w:t>
            </w:r>
            <w:r>
              <w:rPr>
                <w:rFonts w:hint="default"/>
                <w:color w:val="auto"/>
                <w:highlight w:val="none"/>
              </w:rPr>
              <w:t>20mg/m³</w:t>
            </w:r>
            <w:r>
              <w:rPr>
                <w:rFonts w:hint="default"/>
                <w:color w:val="auto"/>
                <w:highlight w:val="none"/>
                <w:lang w:eastAsia="zh-CN"/>
              </w:rPr>
              <w:t>、排放速率：</w:t>
            </w:r>
            <w:r>
              <w:rPr>
                <w:rFonts w:hint="eastAsia"/>
                <w:color w:val="auto"/>
                <w:highlight w:val="none"/>
                <w:lang w:val="en-US" w:eastAsia="zh-CN"/>
              </w:rPr>
              <w:t>1.75</w:t>
            </w:r>
            <w:r>
              <w:rPr>
                <w:rFonts w:hint="default"/>
                <w:color w:val="auto"/>
                <w:highlight w:val="none"/>
                <w:lang w:val="en-US" w:eastAsia="zh-CN"/>
              </w:rPr>
              <w:t>kg/h</w:t>
            </w:r>
            <w:r>
              <w:rPr>
                <w:rFonts w:hint="eastAsia"/>
                <w:color w:val="auto"/>
                <w:highlight w:val="none"/>
                <w:lang w:val="en-US" w:eastAsia="zh-CN"/>
              </w:rPr>
              <w:t>，非甲烷总烃排放浓度：120mg/m³、排放速率：5kg/h</w:t>
            </w:r>
            <w:r>
              <w:rPr>
                <w:rFonts w:hint="default"/>
                <w:color w:val="auto"/>
                <w:highlight w:val="none"/>
              </w:rPr>
              <w:t>）</w:t>
            </w:r>
            <w:r>
              <w:rPr>
                <w:rFonts w:hint="eastAsia"/>
                <w:color w:val="auto"/>
                <w:highlight w:val="none"/>
                <w:lang w:eastAsia="zh-CN"/>
              </w:rPr>
              <w:t>；</w:t>
            </w:r>
            <w:r>
              <w:rPr>
                <w:rFonts w:hint="eastAsia"/>
                <w:color w:val="auto"/>
                <w:highlight w:val="none"/>
                <w:lang w:val="en-US" w:eastAsia="zh-CN"/>
              </w:rPr>
              <w:t>2#活性炭无纺布生产线产生的废气（即涂胶废气、撒粉废气、复合废气）与2#无纺布后处理生产线产生的废气（即发泡废气、浸胶对压废气、烘干废气、天然气燃烧废气）通过集气设施收集经布袋除尘器+二级活性炭处理后由一根15m高排气筒（DA003）排放，处理后颗粒物的排放浓度为0.57mg/m³、SO</w:t>
            </w:r>
            <w:r>
              <w:rPr>
                <w:rFonts w:hint="eastAsia"/>
                <w:color w:val="auto"/>
                <w:highlight w:val="none"/>
                <w:vertAlign w:val="subscript"/>
                <w:lang w:val="en-US" w:eastAsia="zh-CN"/>
              </w:rPr>
              <w:t>2</w:t>
            </w:r>
            <w:r>
              <w:rPr>
                <w:rFonts w:hint="eastAsia"/>
                <w:color w:val="auto"/>
                <w:highlight w:val="none"/>
                <w:lang w:val="en-US" w:eastAsia="zh-CN"/>
              </w:rPr>
              <w:t>排放浓度为0.04mg/m³、NOx排放浓度为0.33mg/m³，非甲烷总烃排放浓度为0.17mg/m³、排放速率为0.0051kg/h，颗粒物、SO</w:t>
            </w:r>
            <w:r>
              <w:rPr>
                <w:rFonts w:hint="eastAsia"/>
                <w:color w:val="auto"/>
                <w:highlight w:val="none"/>
                <w:vertAlign w:val="subscript"/>
                <w:lang w:val="en-US" w:eastAsia="zh-CN"/>
              </w:rPr>
              <w:t>2</w:t>
            </w:r>
            <w:r>
              <w:rPr>
                <w:rFonts w:hint="eastAsia"/>
                <w:color w:val="auto"/>
                <w:highlight w:val="none"/>
                <w:lang w:val="en-US" w:eastAsia="zh-CN"/>
              </w:rPr>
              <w:t>、NOx均满足《工业炉窑大气污染物排放标准》（GB 9078-1996）和《安徽省大气办关于印发＜安徽省2020年大气污染防治重点工作任务＞的通知》（皖大气办〔2020〕2号）中排放限值（颗粒物：30mg/m³，SO</w:t>
            </w:r>
            <w:r>
              <w:rPr>
                <w:rFonts w:hint="eastAsia"/>
                <w:color w:val="auto"/>
                <w:highlight w:val="none"/>
                <w:vertAlign w:val="subscript"/>
                <w:lang w:val="en-US" w:eastAsia="zh-CN"/>
              </w:rPr>
              <w:t>2</w:t>
            </w:r>
            <w:r>
              <w:rPr>
                <w:rFonts w:hint="eastAsia"/>
                <w:color w:val="auto"/>
                <w:highlight w:val="none"/>
                <w:lang w:val="en-US" w:eastAsia="zh-CN"/>
              </w:rPr>
              <w:t>：200mg/m³，NOx：300mg/m³），颗粒物、非甲烷总烃满足《大气污染物综合排放标准》（GB16297-1996）表2中排放限值（颗粒物排放浓度：120mg/m³、排放速率：1.75kg/h，非甲烷总烃排放浓度：120mg/m³、排放速率：5kg/h）</w:t>
            </w:r>
            <w:r>
              <w:rPr>
                <w:rFonts w:hint="default"/>
                <w:color w:val="auto"/>
                <w:highlight w:val="none"/>
                <w:lang w:eastAsia="zh-CN"/>
              </w:rPr>
              <w:t>。</w:t>
            </w:r>
            <w:r>
              <w:rPr>
                <w:color w:val="auto"/>
              </w:rPr>
              <w:t>项目废气在采取相应环保措施处理后均能达标排放，污染物排放量较小，对周边大气环境影响较小。</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综上所述，项目</w:t>
            </w:r>
            <w:r>
              <w:rPr>
                <w:rFonts w:hint="eastAsia"/>
                <w:color w:val="auto"/>
              </w:rPr>
              <w:t>采取的</w:t>
            </w:r>
            <w:r>
              <w:rPr>
                <w:color w:val="auto"/>
              </w:rPr>
              <w:t>污染治理措施是可行的，各污染物均能达标排放，并满足相应的废气排放标准限值，不会降低周围环境空气质量现状。</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二、废水</w:t>
            </w:r>
          </w:p>
          <w:p>
            <w:pPr>
              <w:pStyle w:val="1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1、废水污染源源强分析</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lang w:eastAsia="zh-CN"/>
              </w:rPr>
            </w:pPr>
            <w:r>
              <w:rPr>
                <w:rFonts w:hint="eastAsia"/>
                <w:color w:val="auto"/>
                <w:lang w:eastAsia="zh-CN"/>
              </w:rPr>
              <w:t>（一）给水</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项目用水由当地自来水管网供给。</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）生活用水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生活用水是指员工办公生活用水，项目劳动定员</w:t>
            </w:r>
            <w:r>
              <w:rPr>
                <w:rFonts w:hint="eastAsia"/>
                <w:color w:val="auto"/>
                <w:lang w:val="en-US" w:eastAsia="zh-CN"/>
              </w:rPr>
              <w:t>60</w:t>
            </w:r>
            <w:r>
              <w:rPr>
                <w:rFonts w:hint="eastAsia"/>
                <w:color w:val="auto"/>
                <w:lang w:eastAsia="zh-CN"/>
              </w:rPr>
              <w:t>人，</w:t>
            </w:r>
            <w:r>
              <w:rPr>
                <w:rFonts w:hint="eastAsia"/>
                <w:color w:val="auto"/>
                <w:lang w:val="en-US" w:eastAsia="zh-CN"/>
              </w:rPr>
              <w:t>厂区设置食堂，</w:t>
            </w:r>
            <w:r>
              <w:rPr>
                <w:rFonts w:hint="eastAsia"/>
                <w:color w:val="auto"/>
                <w:lang w:eastAsia="zh-CN"/>
              </w:rPr>
              <w:t>不提供</w:t>
            </w:r>
            <w:r>
              <w:rPr>
                <w:rFonts w:hint="eastAsia"/>
                <w:color w:val="auto"/>
                <w:lang w:val="en-US" w:eastAsia="zh-CN"/>
              </w:rPr>
              <w:t>住</w:t>
            </w:r>
            <w:r>
              <w:rPr>
                <w:rFonts w:hint="eastAsia"/>
                <w:color w:val="auto"/>
                <w:lang w:eastAsia="zh-CN"/>
              </w:rPr>
              <w:t>宿，根据《建筑给水排水设计标准》（GB 50015-2019），生活用水按</w:t>
            </w:r>
            <w:r>
              <w:rPr>
                <w:rFonts w:hint="eastAsia"/>
                <w:color w:val="auto"/>
                <w:lang w:val="en-US" w:eastAsia="zh-CN"/>
              </w:rPr>
              <w:t>120</w:t>
            </w:r>
            <w:r>
              <w:rPr>
                <w:rFonts w:hint="eastAsia"/>
                <w:color w:val="auto"/>
                <w:lang w:eastAsia="zh-CN"/>
              </w:rPr>
              <w:t>L/人·d计，年用水量为</w:t>
            </w:r>
            <w:r>
              <w:rPr>
                <w:rFonts w:hint="eastAsia"/>
                <w:color w:val="auto"/>
                <w:lang w:val="en-US" w:eastAsia="zh-CN"/>
              </w:rPr>
              <w:t>2160</w:t>
            </w:r>
            <w:r>
              <w:rPr>
                <w:rFonts w:hint="eastAsia"/>
                <w:color w:val="auto"/>
                <w:lang w:eastAsia="zh-CN"/>
              </w:rPr>
              <w:t>t/a（</w:t>
            </w:r>
            <w:r>
              <w:rPr>
                <w:rFonts w:hint="eastAsia"/>
                <w:color w:val="auto"/>
                <w:lang w:val="en-US" w:eastAsia="zh-CN"/>
              </w:rPr>
              <w:t>7.2</w:t>
            </w:r>
            <w:r>
              <w:rPr>
                <w:rFonts w:hint="eastAsia"/>
                <w:color w:val="auto"/>
                <w:lang w:eastAsia="zh-CN"/>
              </w:rPr>
              <w:t>t/d）。</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）生产用水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项目生产用水主要为</w:t>
            </w:r>
            <w:r>
              <w:rPr>
                <w:rFonts w:hint="eastAsia"/>
                <w:color w:val="auto"/>
                <w:lang w:val="en-US" w:eastAsia="zh-CN"/>
              </w:rPr>
              <w:t>设备</w:t>
            </w:r>
            <w:r>
              <w:rPr>
                <w:rFonts w:hint="eastAsia"/>
                <w:color w:val="auto"/>
                <w:lang w:eastAsia="zh-CN"/>
              </w:rPr>
              <w:t>清洗用水、</w:t>
            </w:r>
            <w:r>
              <w:rPr>
                <w:rFonts w:hint="eastAsia"/>
                <w:color w:val="auto"/>
                <w:lang w:val="en-US" w:eastAsia="zh-CN"/>
              </w:rPr>
              <w:t>冷却</w:t>
            </w:r>
            <w:r>
              <w:rPr>
                <w:rFonts w:hint="eastAsia"/>
                <w:color w:val="auto"/>
                <w:lang w:eastAsia="zh-CN"/>
              </w:rPr>
              <w:t>用水</w:t>
            </w:r>
            <w:r>
              <w:rPr>
                <w:rFonts w:hint="eastAsia"/>
                <w:color w:val="auto"/>
                <w:lang w:val="en-US" w:eastAsia="zh-CN"/>
              </w:rPr>
              <w:t>和发泡配置用水</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①</w:t>
            </w:r>
            <w:r>
              <w:rPr>
                <w:rFonts w:hint="eastAsia"/>
                <w:color w:val="auto"/>
                <w:lang w:val="en-US" w:eastAsia="zh-CN"/>
              </w:rPr>
              <w:t>设备</w:t>
            </w:r>
            <w:r>
              <w:rPr>
                <w:rFonts w:hint="eastAsia"/>
                <w:color w:val="auto"/>
                <w:lang w:eastAsia="zh-CN"/>
              </w:rPr>
              <w:t>清洗用水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根据企业提供资料，无纺布后处理工序中所用的发泡机需要定期清洗（一天清洗一次），每次清洗用水约为0.25吨，则设备清洗用水量为75t/a。清洗过程中的损耗量按10%计，设备冷却排水产生量约为67.5t/a（0.225t/d），收集后作为发泡配置用水，不外排。</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②</w:t>
            </w:r>
            <w:r>
              <w:rPr>
                <w:rFonts w:hint="eastAsia"/>
                <w:lang w:val="en-US" w:eastAsia="zh-CN"/>
              </w:rPr>
              <w:t>冷却</w:t>
            </w:r>
            <w:r>
              <w:rPr>
                <w:rFonts w:hint="eastAsia"/>
                <w:lang w:eastAsia="zh-CN"/>
              </w:rPr>
              <w:t>用水</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r>
              <w:rPr>
                <w:rFonts w:hint="eastAsia"/>
                <w:color w:val="auto"/>
                <w:lang w:eastAsia="zh-CN"/>
              </w:rPr>
              <w:t>根据企业提供材料，项目冷却用水量约为6.0</w:t>
            </w:r>
            <w:r>
              <w:rPr>
                <w:rFonts w:hint="eastAsia"/>
                <w:color w:val="auto"/>
                <w:lang w:val="en-US" w:eastAsia="zh-CN"/>
              </w:rPr>
              <w:t>t</w:t>
            </w:r>
            <w:r>
              <w:rPr>
                <w:rFonts w:hint="eastAsia"/>
                <w:color w:val="auto"/>
                <w:lang w:eastAsia="zh-CN"/>
              </w:rPr>
              <w:t>/d（</w:t>
            </w:r>
            <w:r>
              <w:rPr>
                <w:rFonts w:hint="eastAsia"/>
                <w:color w:val="auto"/>
                <w:lang w:val="en-US" w:eastAsia="zh-CN"/>
              </w:rPr>
              <w:t>1800t/a</w:t>
            </w:r>
            <w:r>
              <w:rPr>
                <w:rFonts w:hint="eastAsia"/>
                <w:color w:val="auto"/>
                <w:lang w:eastAsia="zh-CN"/>
              </w:rPr>
              <w:t>），冷却</w:t>
            </w:r>
            <w:r>
              <w:rPr>
                <w:rFonts w:hint="eastAsia"/>
                <w:color w:val="auto"/>
                <w:lang w:val="en-US" w:eastAsia="zh-CN"/>
              </w:rPr>
              <w:t>过程中的损耗量按5%计</w:t>
            </w:r>
            <w:r>
              <w:rPr>
                <w:rFonts w:hint="eastAsia"/>
                <w:color w:val="auto"/>
                <w:lang w:eastAsia="zh-CN"/>
              </w:rPr>
              <w:t>，冷却排水量约为5.7</w:t>
            </w:r>
            <w:r>
              <w:rPr>
                <w:rFonts w:hint="eastAsia"/>
                <w:color w:val="auto"/>
                <w:lang w:val="en-US" w:eastAsia="zh-CN"/>
              </w:rPr>
              <w:t>t</w:t>
            </w:r>
            <w:r>
              <w:rPr>
                <w:rFonts w:hint="eastAsia"/>
                <w:color w:val="auto"/>
                <w:lang w:eastAsia="zh-CN"/>
              </w:rPr>
              <w:t>/d（</w:t>
            </w:r>
            <w:r>
              <w:rPr>
                <w:rFonts w:hint="eastAsia"/>
                <w:color w:val="auto"/>
                <w:lang w:val="en-US" w:eastAsia="zh-CN"/>
              </w:rPr>
              <w:t>1710t/a</w:t>
            </w:r>
            <w:r>
              <w:rPr>
                <w:rFonts w:hint="eastAsia"/>
                <w:color w:val="auto"/>
                <w:lang w:eastAsia="zh-CN"/>
              </w:rPr>
              <w:t>），该排水为清净下水。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③发泡配置用水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val="en-US" w:eastAsia="zh-CN"/>
              </w:rPr>
              <w:t>根据企业提供材料，发泡配置用水量约为0.3t/d，则发泡配置用水量为90t/a。设备冷却排水产生量约为67.5t/a（0.225t/d），收集后作为发泡配置用水，则发泡配置补充用水量为0.075t/d（22.5t/a）。</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val="en-US" w:eastAsia="zh-CN"/>
              </w:rPr>
              <w:t>（二）</w:t>
            </w:r>
            <w:r>
              <w:rPr>
                <w:rFonts w:hint="eastAsia"/>
                <w:lang w:eastAsia="zh-CN"/>
              </w:rPr>
              <w:t>排水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项目排水采用雨污分流制。项目废水为生活污水和</w:t>
            </w:r>
            <w:r>
              <w:rPr>
                <w:rFonts w:hint="eastAsia"/>
                <w:lang w:val="en-US" w:eastAsia="zh-CN"/>
              </w:rPr>
              <w:t>冷却排水</w:t>
            </w:r>
            <w:r>
              <w:rPr>
                <w:rFonts w:hint="eastAsia"/>
                <w:lang w:eastAsia="zh-CN"/>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w:t>
            </w:r>
            <w:r>
              <w:rPr>
                <w:rFonts w:hint="eastAsia"/>
                <w:lang w:val="en-US" w:eastAsia="zh-CN"/>
              </w:rPr>
              <w:t>1</w:t>
            </w:r>
            <w:r>
              <w:rPr>
                <w:rFonts w:hint="eastAsia"/>
                <w:lang w:eastAsia="zh-CN"/>
              </w:rPr>
              <w:t>）生活污水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项目生活用水量为</w:t>
            </w:r>
            <w:r>
              <w:rPr>
                <w:rFonts w:hint="eastAsia"/>
                <w:lang w:val="en-US" w:eastAsia="zh-CN"/>
              </w:rPr>
              <w:t>2160t/a（7.2t/d）</w:t>
            </w:r>
            <w:r>
              <w:rPr>
                <w:rFonts w:hint="eastAsia"/>
                <w:lang w:eastAsia="zh-CN"/>
              </w:rPr>
              <w:t>，产污系数按0.8计，则生活污水的产生量为</w:t>
            </w:r>
            <w:r>
              <w:rPr>
                <w:rFonts w:hint="eastAsia"/>
                <w:lang w:val="en-US" w:eastAsia="zh-CN"/>
              </w:rPr>
              <w:t>1728</w:t>
            </w:r>
            <w:r>
              <w:rPr>
                <w:rFonts w:hint="eastAsia"/>
                <w:lang w:eastAsia="zh-CN"/>
              </w:rPr>
              <w:t>t/a（</w:t>
            </w:r>
            <w:r>
              <w:rPr>
                <w:rFonts w:hint="eastAsia"/>
                <w:lang w:val="en-US" w:eastAsia="zh-CN"/>
              </w:rPr>
              <w:t>5.76</w:t>
            </w:r>
            <w:r>
              <w:rPr>
                <w:rFonts w:hint="eastAsia"/>
                <w:lang w:eastAsia="zh-CN"/>
              </w:rPr>
              <w:t>t/d），经隔油池、化粪池预处理后排入市政管网，进入怀远经济开发区污水处理厂处理，处理达标后外排。</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冷却排水</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r>
              <w:rPr>
                <w:rFonts w:hint="eastAsia"/>
                <w:lang w:eastAsia="zh-CN"/>
              </w:rPr>
              <w:t>根据前文分析，冷却排水量约为5.7</w:t>
            </w:r>
            <w:r>
              <w:rPr>
                <w:rFonts w:hint="eastAsia"/>
                <w:lang w:val="en-US" w:eastAsia="zh-CN"/>
              </w:rPr>
              <w:t>t</w:t>
            </w:r>
            <w:r>
              <w:rPr>
                <w:rFonts w:hint="eastAsia"/>
                <w:lang w:eastAsia="zh-CN"/>
              </w:rPr>
              <w:t>/d（</w:t>
            </w:r>
            <w:r>
              <w:rPr>
                <w:rFonts w:hint="eastAsia"/>
                <w:lang w:val="en-US" w:eastAsia="zh-CN"/>
              </w:rPr>
              <w:t>1710t/a</w:t>
            </w:r>
            <w:r>
              <w:rPr>
                <w:rFonts w:hint="eastAsia"/>
                <w:lang w:eastAsia="zh-CN"/>
              </w:rPr>
              <w:t>），该排水为清净下水，进入怀远经济开发区污水处理厂处理，处理达标后外排</w:t>
            </w:r>
            <w:r>
              <w:rPr>
                <w:rFonts w:hint="eastAsia"/>
                <w:lang w:val="en-US" w:eastAsia="zh-CN"/>
              </w:rPr>
              <w:t>。</w:t>
            </w:r>
          </w:p>
          <w:p>
            <w:pPr>
              <w:pStyle w:val="11"/>
              <w:bidi w:val="0"/>
              <w:rPr>
                <w:rFonts w:hint="eastAsia"/>
                <w:color w:val="auto"/>
              </w:rPr>
            </w:pPr>
            <w:r>
              <w:rPr>
                <w:rFonts w:hint="eastAsia"/>
                <w:color w:val="auto"/>
              </w:rPr>
              <w:t>表4-</w:t>
            </w:r>
            <w:r>
              <w:rPr>
                <w:rFonts w:hint="eastAsia"/>
                <w:color w:val="auto"/>
                <w:lang w:val="en-US" w:eastAsia="zh-CN"/>
              </w:rPr>
              <w:t>9</w:t>
            </w:r>
            <w:r>
              <w:rPr>
                <w:rFonts w:hint="eastAsia"/>
                <w:color w:val="auto"/>
              </w:rPr>
              <w:t xml:space="preserve"> 建设项目废水污染物排放信息表</w:t>
            </w:r>
          </w:p>
          <w:tbl>
            <w:tblPr>
              <w:tblStyle w:val="7"/>
              <w:tblW w:w="8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134"/>
              <w:gridCol w:w="680"/>
              <w:gridCol w:w="794"/>
              <w:gridCol w:w="781"/>
              <w:gridCol w:w="800"/>
              <w:gridCol w:w="794"/>
              <w:gridCol w:w="567"/>
              <w:gridCol w:w="794"/>
              <w:gridCol w:w="1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废水类别</w:t>
                  </w:r>
                </w:p>
              </w:tc>
              <w:tc>
                <w:tcPr>
                  <w:tcW w:w="1134"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污染物</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种类</w:t>
                  </w:r>
                </w:p>
              </w:tc>
              <w:tc>
                <w:tcPr>
                  <w:tcW w:w="680"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排放去向</w:t>
                  </w:r>
                </w:p>
              </w:tc>
              <w:tc>
                <w:tcPr>
                  <w:tcW w:w="794"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规律</w:t>
                  </w:r>
                </w:p>
              </w:tc>
              <w:tc>
                <w:tcPr>
                  <w:tcW w:w="2375" w:type="dxa"/>
                  <w:gridSpan w:val="3"/>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污染治理设施</w:t>
                  </w:r>
                </w:p>
              </w:tc>
              <w:tc>
                <w:tcPr>
                  <w:tcW w:w="567"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排放口编号</w:t>
                  </w:r>
                </w:p>
              </w:tc>
              <w:tc>
                <w:tcPr>
                  <w:tcW w:w="794"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排放口设置是否符合要求</w:t>
                  </w:r>
                </w:p>
              </w:tc>
              <w:tc>
                <w:tcPr>
                  <w:tcW w:w="1587"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81"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污染治理设施编号</w:t>
                  </w:r>
                </w:p>
              </w:tc>
              <w:tc>
                <w:tcPr>
                  <w:tcW w:w="80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污染治理设施名称</w:t>
                  </w:r>
                </w:p>
              </w:tc>
              <w:tc>
                <w:tcPr>
                  <w:tcW w:w="794"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污染治理设施工艺</w:t>
                  </w: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生活污水</w:t>
                  </w:r>
                </w:p>
              </w:tc>
              <w:tc>
                <w:tcPr>
                  <w:tcW w:w="113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COD</w:t>
                  </w:r>
                </w:p>
              </w:tc>
              <w:tc>
                <w:tcPr>
                  <w:tcW w:w="680"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eastAsia="zh-CN"/>
                    </w:rPr>
                    <w:t>怀远经济开发区污水处理厂</w:t>
                  </w:r>
                </w:p>
              </w:tc>
              <w:tc>
                <w:tcPr>
                  <w:tcW w:w="794"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连续排放，流量不稳定且无规律，但不属于冲击型排放</w:t>
                  </w:r>
                </w:p>
              </w:tc>
              <w:tc>
                <w:tcPr>
                  <w:tcW w:w="781"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TW001</w:t>
                  </w:r>
                </w:p>
              </w:tc>
              <w:tc>
                <w:tcPr>
                  <w:tcW w:w="800"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隔油池、化粪池</w:t>
                  </w:r>
                </w:p>
              </w:tc>
              <w:tc>
                <w:tcPr>
                  <w:tcW w:w="794"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隔油、</w:t>
                  </w:r>
                  <w:r>
                    <w:rPr>
                      <w:rFonts w:hint="eastAsia"/>
                      <w:color w:val="auto"/>
                      <w:sz w:val="21"/>
                      <w:szCs w:val="21"/>
                    </w:rPr>
                    <w:t>厌氧发酵</w:t>
                  </w:r>
                </w:p>
              </w:tc>
              <w:tc>
                <w:tcPr>
                  <w:tcW w:w="567"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DW001</w:t>
                  </w:r>
                </w:p>
              </w:tc>
              <w:tc>
                <w:tcPr>
                  <w:tcW w:w="794"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eastAsia="zh-CN"/>
                    </w:rPr>
                    <w:sym w:font="Wingdings 2" w:char="0052"/>
                  </w:r>
                  <w:r>
                    <w:rPr>
                      <w:color w:val="auto"/>
                      <w:sz w:val="21"/>
                      <w:szCs w:val="21"/>
                    </w:rPr>
                    <w:t>是</w:t>
                  </w:r>
                </w:p>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w:t>
                  </w:r>
                  <w:r>
                    <w:rPr>
                      <w:color w:val="auto"/>
                      <w:sz w:val="21"/>
                      <w:szCs w:val="21"/>
                    </w:rPr>
                    <w:t>否</w:t>
                  </w:r>
                </w:p>
              </w:tc>
              <w:tc>
                <w:tcPr>
                  <w:tcW w:w="1587" w:type="dxa"/>
                  <w:vMerge w:val="restart"/>
                  <w:noWrap w:val="0"/>
                  <w:vAlign w:val="center"/>
                </w:tcPr>
                <w:p>
                  <w:pPr>
                    <w:pStyle w:val="13"/>
                    <w:keepLines w:val="0"/>
                    <w:pageBreakBefore w:val="0"/>
                    <w:kinsoku/>
                    <w:wordWrap/>
                    <w:bidi w:val="0"/>
                    <w:adjustRightInd w:val="0"/>
                    <w:snapToGrid w:val="0"/>
                    <w:jc w:val="both"/>
                    <w:textAlignment w:val="auto"/>
                    <w:rPr>
                      <w:color w:val="auto"/>
                      <w:sz w:val="21"/>
                      <w:szCs w:val="21"/>
                    </w:rPr>
                  </w:pPr>
                  <w:r>
                    <w:rPr>
                      <w:rFonts w:hint="eastAsia"/>
                      <w:color w:val="auto"/>
                      <w:sz w:val="21"/>
                      <w:szCs w:val="21"/>
                      <w:lang w:eastAsia="zh-CN"/>
                    </w:rPr>
                    <w:sym w:font="Wingdings 2" w:char="0052"/>
                  </w:r>
                  <w:r>
                    <w:rPr>
                      <w:color w:val="auto"/>
                      <w:sz w:val="21"/>
                      <w:szCs w:val="21"/>
                    </w:rPr>
                    <w:t>企业总排</w:t>
                  </w:r>
                </w:p>
                <w:p>
                  <w:pPr>
                    <w:pStyle w:val="13"/>
                    <w:keepLines w:val="0"/>
                    <w:pageBreakBefore w:val="0"/>
                    <w:kinsoku/>
                    <w:wordWrap/>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雨水排放</w:t>
                  </w:r>
                </w:p>
                <w:p>
                  <w:pPr>
                    <w:pStyle w:val="13"/>
                    <w:keepLines w:val="0"/>
                    <w:pageBreakBefore w:val="0"/>
                    <w:kinsoku/>
                    <w:wordWrap/>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清净下水排放</w:t>
                  </w:r>
                </w:p>
                <w:p>
                  <w:pPr>
                    <w:pStyle w:val="13"/>
                    <w:keepLines w:val="0"/>
                    <w:pageBreakBefore w:val="0"/>
                    <w:kinsoku/>
                    <w:wordWrap/>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温排水排放</w:t>
                  </w:r>
                </w:p>
                <w:p>
                  <w:pPr>
                    <w:pStyle w:val="13"/>
                    <w:keepLines w:val="0"/>
                    <w:pageBreakBefore w:val="0"/>
                    <w:kinsoku/>
                    <w:wordWrap/>
                    <w:bidi w:val="0"/>
                    <w:adjustRightInd w:val="0"/>
                    <w:snapToGrid w:val="0"/>
                    <w:jc w:val="both"/>
                    <w:textAlignment w:val="auto"/>
                    <w:rPr>
                      <w:color w:val="auto"/>
                      <w:sz w:val="21"/>
                      <w:szCs w:val="21"/>
                    </w:rPr>
                  </w:pPr>
                  <w:r>
                    <w:rPr>
                      <w:rFonts w:hint="eastAsia"/>
                      <w:color w:val="auto"/>
                      <w:sz w:val="21"/>
                      <w:szCs w:val="21"/>
                    </w:rPr>
                    <w:t>□</w:t>
                  </w:r>
                  <w:r>
                    <w:rPr>
                      <w:color w:val="auto"/>
                      <w:sz w:val="21"/>
                      <w:szCs w:val="21"/>
                    </w:rPr>
                    <w:t>车间或车间处理设施排放量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13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BOD</w:t>
                  </w:r>
                  <w:r>
                    <w:rPr>
                      <w:color w:val="auto"/>
                      <w:sz w:val="21"/>
                      <w:szCs w:val="21"/>
                      <w:vertAlign w:val="subscript"/>
                    </w:rPr>
                    <w:t>5</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81"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800"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794"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13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SS</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81"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80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13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81"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80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134"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动植物油</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81"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80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冷却排水</w:t>
                  </w:r>
                </w:p>
              </w:tc>
              <w:tc>
                <w:tcPr>
                  <w:tcW w:w="113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COD</w:t>
                  </w:r>
                </w:p>
              </w:tc>
              <w:tc>
                <w:tcPr>
                  <w:tcW w:w="680" w:type="dxa"/>
                  <w:vMerge w:val="continue"/>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eastAsia="zh-CN"/>
                    </w:rPr>
                  </w:pPr>
                </w:p>
              </w:tc>
              <w:tc>
                <w:tcPr>
                  <w:tcW w:w="794" w:type="dxa"/>
                  <w:vMerge w:val="continue"/>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p>
              </w:tc>
              <w:tc>
                <w:tcPr>
                  <w:tcW w:w="781"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800" w:type="dxa"/>
                  <w:vMerge w:val="restart"/>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w:t>
                  </w:r>
                </w:p>
              </w:tc>
              <w:tc>
                <w:tcPr>
                  <w:tcW w:w="794"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13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SS</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81"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800"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56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158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表4-1</w:t>
            </w:r>
            <w:r>
              <w:rPr>
                <w:rFonts w:hint="eastAsia"/>
                <w:color w:val="auto"/>
                <w:lang w:val="en-US" w:eastAsia="zh-CN"/>
              </w:rPr>
              <w:t>0</w:t>
            </w:r>
            <w:r>
              <w:rPr>
                <w:rFonts w:hint="eastAsia"/>
                <w:color w:val="auto"/>
              </w:rPr>
              <w:t xml:space="preserve"> 废水排放口（间接）基本情况表</w:t>
            </w:r>
          </w:p>
          <w:tbl>
            <w:tblPr>
              <w:tblStyle w:val="7"/>
              <w:tblW w:w="86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0"/>
              <w:gridCol w:w="704"/>
              <w:gridCol w:w="690"/>
              <w:gridCol w:w="907"/>
              <w:gridCol w:w="624"/>
              <w:gridCol w:w="794"/>
              <w:gridCol w:w="566"/>
              <w:gridCol w:w="638"/>
              <w:gridCol w:w="1041"/>
              <w:gridCol w:w="1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restart"/>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排放口</w:t>
                  </w:r>
                </w:p>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编号</w:t>
                  </w:r>
                </w:p>
              </w:tc>
              <w:tc>
                <w:tcPr>
                  <w:tcW w:w="1394" w:type="dxa"/>
                  <w:gridSpan w:val="2"/>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排放口坐标</w:t>
                  </w:r>
                </w:p>
              </w:tc>
              <w:tc>
                <w:tcPr>
                  <w:tcW w:w="907" w:type="dxa"/>
                  <w:vMerge w:val="restart"/>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废水排放量</w:t>
                  </w:r>
                  <w:r>
                    <w:rPr>
                      <w:rFonts w:hint="eastAsia"/>
                      <w:color w:val="auto"/>
                      <w:sz w:val="21"/>
                      <w:szCs w:val="21"/>
                      <w:lang w:eastAsia="zh-CN"/>
                    </w:rPr>
                    <w:t>（</w:t>
                  </w:r>
                  <w:r>
                    <w:rPr>
                      <w:rFonts w:hint="default"/>
                      <w:color w:val="auto"/>
                      <w:sz w:val="21"/>
                      <w:szCs w:val="21"/>
                    </w:rPr>
                    <w:t>万t/a</w:t>
                  </w:r>
                  <w:r>
                    <w:rPr>
                      <w:rFonts w:hint="eastAsia"/>
                      <w:color w:val="auto"/>
                      <w:sz w:val="21"/>
                      <w:szCs w:val="21"/>
                      <w:lang w:eastAsia="zh-CN"/>
                    </w:rPr>
                    <w:t>）</w:t>
                  </w:r>
                </w:p>
              </w:tc>
              <w:tc>
                <w:tcPr>
                  <w:tcW w:w="624" w:type="dxa"/>
                  <w:vMerge w:val="restart"/>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排放</w:t>
                  </w:r>
                </w:p>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去向</w:t>
                  </w:r>
                </w:p>
              </w:tc>
              <w:tc>
                <w:tcPr>
                  <w:tcW w:w="794" w:type="dxa"/>
                  <w:vMerge w:val="restart"/>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排放</w:t>
                  </w:r>
                </w:p>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规律</w:t>
                  </w:r>
                </w:p>
              </w:tc>
              <w:tc>
                <w:tcPr>
                  <w:tcW w:w="566" w:type="dxa"/>
                  <w:vMerge w:val="restart"/>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间歇排放时段</w:t>
                  </w:r>
                </w:p>
              </w:tc>
              <w:tc>
                <w:tcPr>
                  <w:tcW w:w="3479" w:type="dxa"/>
                  <w:gridSpan w:val="3"/>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p>
              </w:tc>
              <w:tc>
                <w:tcPr>
                  <w:tcW w:w="704" w:type="dxa"/>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经度</w:t>
                  </w:r>
                </w:p>
              </w:tc>
              <w:tc>
                <w:tcPr>
                  <w:tcW w:w="690" w:type="dxa"/>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纬度</w:t>
                  </w:r>
                </w:p>
              </w:tc>
              <w:tc>
                <w:tcPr>
                  <w:tcW w:w="907" w:type="dxa"/>
                  <w:vMerge w:val="continue"/>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p>
              </w:tc>
              <w:tc>
                <w:tcPr>
                  <w:tcW w:w="624" w:type="dxa"/>
                  <w:vMerge w:val="continue"/>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p>
              </w:tc>
              <w:tc>
                <w:tcPr>
                  <w:tcW w:w="794" w:type="dxa"/>
                  <w:vMerge w:val="continue"/>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p>
              </w:tc>
              <w:tc>
                <w:tcPr>
                  <w:tcW w:w="566" w:type="dxa"/>
                  <w:vMerge w:val="continue"/>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p>
              </w:tc>
              <w:tc>
                <w:tcPr>
                  <w:tcW w:w="638" w:type="dxa"/>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名称</w:t>
                  </w:r>
                </w:p>
              </w:tc>
              <w:tc>
                <w:tcPr>
                  <w:tcW w:w="1041" w:type="dxa"/>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污染物</w:t>
                  </w:r>
                </w:p>
              </w:tc>
              <w:tc>
                <w:tcPr>
                  <w:tcW w:w="1800" w:type="dxa"/>
                  <w:noWrap w:val="0"/>
                  <w:vAlign w:val="center"/>
                </w:tcPr>
                <w:p>
                  <w:pPr>
                    <w:pStyle w:val="15"/>
                    <w:keepNext w:val="0"/>
                    <w:keepLines w:val="0"/>
                    <w:pageBreakBefore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default"/>
                      <w:color w:val="auto"/>
                      <w:sz w:val="21"/>
                      <w:szCs w:val="21"/>
                    </w:rPr>
                    <w:t>标准</w:t>
                  </w:r>
                  <w:r>
                    <w:rPr>
                      <w:rFonts w:hint="eastAsia"/>
                      <w:color w:val="auto"/>
                      <w:sz w:val="21"/>
                      <w:szCs w:val="21"/>
                      <w:lang w:val="en-US" w:eastAsia="zh-CN"/>
                    </w:rPr>
                    <w:t>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color w:val="auto"/>
                      <w:sz w:val="21"/>
                      <w:szCs w:val="21"/>
                    </w:rPr>
                    <w:t>DW001</w:t>
                  </w:r>
                </w:p>
              </w:tc>
              <w:tc>
                <w:tcPr>
                  <w:tcW w:w="704"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117.251192289</w:t>
                  </w:r>
                </w:p>
              </w:tc>
              <w:tc>
                <w:tcPr>
                  <w:tcW w:w="690"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32.983670988</w:t>
                  </w:r>
                </w:p>
              </w:tc>
              <w:tc>
                <w:tcPr>
                  <w:tcW w:w="907"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0.3438</w:t>
                  </w:r>
                </w:p>
              </w:tc>
              <w:tc>
                <w:tcPr>
                  <w:tcW w:w="624"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eastAsia="zh-CN"/>
                    </w:rPr>
                    <w:t>怀远经济开发区污水处理厂</w:t>
                  </w:r>
                </w:p>
              </w:tc>
              <w:tc>
                <w:tcPr>
                  <w:tcW w:w="794"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rFonts w:hint="default"/>
                      <w:color w:val="auto"/>
                      <w:sz w:val="21"/>
                      <w:szCs w:val="21"/>
                      <w:lang w:val="en-US" w:eastAsia="zh-CN"/>
                    </w:rPr>
                    <w:t>连续排放，流量不稳定且无规律，但不属于冲击型排放</w:t>
                  </w:r>
                </w:p>
              </w:tc>
              <w:tc>
                <w:tcPr>
                  <w:tcW w:w="566"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color w:val="auto"/>
                      <w:sz w:val="21"/>
                      <w:szCs w:val="21"/>
                    </w:rPr>
                    <w:t>/</w:t>
                  </w:r>
                </w:p>
              </w:tc>
              <w:tc>
                <w:tcPr>
                  <w:tcW w:w="638" w:type="dxa"/>
                  <w:vMerge w:val="restart"/>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eastAsia="zh-CN"/>
                    </w:rPr>
                    <w:t>怀远经济开发区污水处理厂</w:t>
                  </w:r>
                </w:p>
              </w:tc>
              <w:tc>
                <w:tcPr>
                  <w:tcW w:w="1041"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COD</w:t>
                  </w:r>
                </w:p>
              </w:tc>
              <w:tc>
                <w:tcPr>
                  <w:tcW w:w="180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5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0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9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907"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2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9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566"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38"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1041"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BOD</w:t>
                  </w:r>
                  <w:r>
                    <w:rPr>
                      <w:color w:val="auto"/>
                      <w:sz w:val="21"/>
                      <w:szCs w:val="21"/>
                      <w:vertAlign w:val="subscript"/>
                    </w:rPr>
                    <w:t>5</w:t>
                  </w:r>
                </w:p>
              </w:tc>
              <w:tc>
                <w:tcPr>
                  <w:tcW w:w="180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0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9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907"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2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9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566"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38"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1041" w:type="dxa"/>
                  <w:noWrap w:val="0"/>
                  <w:vAlign w:val="center"/>
                </w:tcPr>
                <w:p>
                  <w:pPr>
                    <w:pStyle w:val="13"/>
                    <w:keepLines w:val="0"/>
                    <w:pageBreakBefore w:val="0"/>
                    <w:kinsoku/>
                    <w:wordWrap/>
                    <w:bidi w:val="0"/>
                    <w:adjustRightInd w:val="0"/>
                    <w:snapToGrid w:val="0"/>
                    <w:textAlignment w:val="auto"/>
                    <w:rPr>
                      <w:rFonts w:ascii="Times New Roman" w:hAnsi="Times New Roman" w:eastAsia="宋体" w:cs="Times New Roman"/>
                      <w:color w:val="auto"/>
                      <w:sz w:val="21"/>
                      <w:szCs w:val="21"/>
                      <w:lang w:val="en-US" w:eastAsia="zh-CN" w:bidi="ar-SA"/>
                    </w:rPr>
                  </w:pPr>
                  <w:r>
                    <w:rPr>
                      <w:color w:val="auto"/>
                      <w:sz w:val="21"/>
                      <w:szCs w:val="21"/>
                    </w:rPr>
                    <w:t>SS</w:t>
                  </w:r>
                </w:p>
              </w:tc>
              <w:tc>
                <w:tcPr>
                  <w:tcW w:w="180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5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0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9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907"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2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9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566"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38"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1041"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color w:val="auto"/>
                      <w:sz w:val="21"/>
                      <w:szCs w:val="21"/>
                    </w:rPr>
                    <w:t>NH</w:t>
                  </w:r>
                  <w:r>
                    <w:rPr>
                      <w:color w:val="auto"/>
                      <w:sz w:val="21"/>
                      <w:szCs w:val="21"/>
                      <w:vertAlign w:val="subscript"/>
                    </w:rPr>
                    <w:t>3</w:t>
                  </w:r>
                  <w:r>
                    <w:rPr>
                      <w:color w:val="auto"/>
                      <w:sz w:val="21"/>
                      <w:szCs w:val="21"/>
                    </w:rPr>
                    <w:t>-N</w:t>
                  </w:r>
                </w:p>
              </w:tc>
              <w:tc>
                <w:tcPr>
                  <w:tcW w:w="180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85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0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90"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907"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2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794"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566"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638" w:type="dxa"/>
                  <w:vMerge w:val="continue"/>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color w:val="auto"/>
                      <w:sz w:val="21"/>
                      <w:szCs w:val="21"/>
                    </w:rPr>
                  </w:pPr>
                </w:p>
              </w:tc>
              <w:tc>
                <w:tcPr>
                  <w:tcW w:w="1041" w:type="dxa"/>
                  <w:noWrap w:val="0"/>
                  <w:vAlign w:val="center"/>
                </w:tcPr>
                <w:p>
                  <w:pPr>
                    <w:pStyle w:val="13"/>
                    <w:keepNext w:val="0"/>
                    <w:keepLines w:val="0"/>
                    <w:pageBreakBefore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动植物油</w:t>
                  </w:r>
                </w:p>
              </w:tc>
              <w:tc>
                <w:tcPr>
                  <w:tcW w:w="180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1</w:t>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表4-1</w:t>
            </w:r>
            <w:r>
              <w:rPr>
                <w:rFonts w:hint="eastAsia"/>
                <w:color w:val="auto"/>
                <w:lang w:val="en-US" w:eastAsia="zh-CN"/>
              </w:rPr>
              <w:t>1</w:t>
            </w:r>
            <w:r>
              <w:rPr>
                <w:rFonts w:hint="eastAsia"/>
                <w:color w:val="auto"/>
              </w:rPr>
              <w:t xml:space="preserve"> 废水污染物排放信息表</w:t>
            </w:r>
          </w:p>
          <w:tbl>
            <w:tblPr>
              <w:tblStyle w:val="7"/>
              <w:tblW w:w="85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57" w:type="dxa"/>
                <w:bottom w:w="0" w:type="dxa"/>
                <w:right w:w="57" w:type="dxa"/>
              </w:tblCellMar>
            </w:tblPr>
            <w:tblGrid>
              <w:gridCol w:w="567"/>
              <w:gridCol w:w="680"/>
              <w:gridCol w:w="1020"/>
              <w:gridCol w:w="669"/>
              <w:gridCol w:w="886"/>
              <w:gridCol w:w="510"/>
              <w:gridCol w:w="690"/>
              <w:gridCol w:w="770"/>
              <w:gridCol w:w="624"/>
              <w:gridCol w:w="624"/>
              <w:gridCol w:w="756"/>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restar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种类</w:t>
                  </w:r>
                </w:p>
              </w:tc>
              <w:tc>
                <w:tcPr>
                  <w:tcW w:w="395" w:type="pct"/>
                  <w:vMerge w:val="restar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废水</w:t>
                  </w:r>
                  <w:r>
                    <w:rPr>
                      <w:rFonts w:hint="eastAsia"/>
                      <w:color w:val="auto"/>
                      <w:sz w:val="21"/>
                      <w:szCs w:val="21"/>
                      <w:lang w:eastAsia="zh-CN"/>
                    </w:rPr>
                    <w:t>排放</w:t>
                  </w:r>
                  <w:r>
                    <w:rPr>
                      <w:rFonts w:hint="default"/>
                      <w:color w:val="auto"/>
                      <w:sz w:val="21"/>
                      <w:szCs w:val="21"/>
                    </w:rPr>
                    <w:t>量</w:t>
                  </w:r>
                  <w:r>
                    <w:rPr>
                      <w:rFonts w:hint="eastAsia"/>
                      <w:color w:val="auto"/>
                      <w:sz w:val="21"/>
                      <w:szCs w:val="21"/>
                      <w:lang w:eastAsia="zh-CN"/>
                    </w:rPr>
                    <w:t>（</w:t>
                  </w:r>
                  <w:r>
                    <w:rPr>
                      <w:rFonts w:hint="default"/>
                      <w:color w:val="auto"/>
                      <w:sz w:val="21"/>
                      <w:szCs w:val="21"/>
                    </w:rPr>
                    <w:t>t/a</w:t>
                  </w:r>
                  <w:r>
                    <w:rPr>
                      <w:rFonts w:hint="eastAsia"/>
                      <w:color w:val="auto"/>
                      <w:sz w:val="21"/>
                      <w:szCs w:val="21"/>
                      <w:lang w:eastAsia="zh-CN"/>
                    </w:rPr>
                    <w:t>）</w:t>
                  </w:r>
                </w:p>
              </w:tc>
              <w:tc>
                <w:tcPr>
                  <w:tcW w:w="593" w:type="pct"/>
                  <w:vMerge w:val="restar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污染物</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名称</w:t>
                  </w:r>
                </w:p>
              </w:tc>
              <w:tc>
                <w:tcPr>
                  <w:tcW w:w="904" w:type="pct"/>
                  <w:gridSpan w:val="2"/>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产生情况</w:t>
                  </w:r>
                </w:p>
              </w:tc>
              <w:tc>
                <w:tcPr>
                  <w:tcW w:w="296" w:type="pct"/>
                  <w:vMerge w:val="restar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治理</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措施</w:t>
                  </w:r>
                </w:p>
              </w:tc>
              <w:tc>
                <w:tcPr>
                  <w:tcW w:w="849" w:type="pct"/>
                  <w:gridSpan w:val="2"/>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处理后情况</w:t>
                  </w:r>
                </w:p>
              </w:tc>
              <w:tc>
                <w:tcPr>
                  <w:tcW w:w="362" w:type="pct"/>
                  <w:vMerge w:val="restar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排放浓度限值</w:t>
                  </w:r>
                </w:p>
              </w:tc>
              <w:tc>
                <w:tcPr>
                  <w:tcW w:w="362" w:type="pct"/>
                  <w:vMerge w:val="restar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去向</w:t>
                  </w:r>
                </w:p>
              </w:tc>
              <w:tc>
                <w:tcPr>
                  <w:tcW w:w="905" w:type="pct"/>
                  <w:gridSpan w:val="2"/>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最终排放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395"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593"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389"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浓度</w:t>
                  </w:r>
                </w:p>
              </w:tc>
              <w:tc>
                <w:tcPr>
                  <w:tcW w:w="515"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产生量</w:t>
                  </w:r>
                </w:p>
              </w:tc>
              <w:tc>
                <w:tcPr>
                  <w:tcW w:w="296"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401"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浓度</w:t>
                  </w:r>
                </w:p>
              </w:tc>
              <w:tc>
                <w:tcPr>
                  <w:tcW w:w="447"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排放量</w:t>
                  </w:r>
                </w:p>
              </w:tc>
              <w:tc>
                <w:tcPr>
                  <w:tcW w:w="362"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362"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439"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浓度</w:t>
                  </w:r>
                </w:p>
              </w:tc>
              <w:tc>
                <w:tcPr>
                  <w:tcW w:w="465"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395"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593"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389" w:type="pc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mg/L</w:t>
                  </w:r>
                </w:p>
              </w:tc>
              <w:tc>
                <w:tcPr>
                  <w:tcW w:w="515" w:type="pc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t/a</w:t>
                  </w:r>
                </w:p>
              </w:tc>
              <w:tc>
                <w:tcPr>
                  <w:tcW w:w="296"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401" w:type="pc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mg/L</w:t>
                  </w:r>
                </w:p>
              </w:tc>
              <w:tc>
                <w:tcPr>
                  <w:tcW w:w="447" w:type="pc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t/a</w:t>
                  </w:r>
                </w:p>
              </w:tc>
              <w:tc>
                <w:tcPr>
                  <w:tcW w:w="362" w:type="pct"/>
                  <w:noWrap/>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mg/L</w:t>
                  </w:r>
                </w:p>
              </w:tc>
              <w:tc>
                <w:tcPr>
                  <w:tcW w:w="362" w:type="pct"/>
                  <w:vMerge w:val="continue"/>
                  <w:noWrap/>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439" w:type="pc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mg/L</w:t>
                  </w:r>
                </w:p>
              </w:tc>
              <w:tc>
                <w:tcPr>
                  <w:tcW w:w="465" w:type="pct"/>
                  <w:noWrap/>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restart"/>
                  <w:noWrap/>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生活污水</w:t>
                  </w:r>
                </w:p>
              </w:tc>
              <w:tc>
                <w:tcPr>
                  <w:tcW w:w="395" w:type="pct"/>
                  <w:vMerge w:val="restart"/>
                  <w:noWrap/>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1728</w:t>
                  </w:r>
                </w:p>
              </w:tc>
              <w:tc>
                <w:tcPr>
                  <w:tcW w:w="593" w:type="pct"/>
                  <w:noWrap/>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color w:val="auto"/>
                      <w:sz w:val="21"/>
                      <w:szCs w:val="21"/>
                    </w:rPr>
                    <w:t>COD</w:t>
                  </w:r>
                </w:p>
              </w:tc>
              <w:tc>
                <w:tcPr>
                  <w:tcW w:w="669" w:type="dxa"/>
                  <w:noWrap/>
                  <w:vAlign w:val="center"/>
                </w:tcPr>
                <w:p>
                  <w:pPr>
                    <w:pStyle w:val="13"/>
                    <w:bidi w:val="0"/>
                    <w:rPr>
                      <w:color w:val="auto"/>
                    </w:rPr>
                  </w:pPr>
                  <w:r>
                    <w:rPr>
                      <w:rFonts w:hint="default"/>
                      <w:color w:val="auto"/>
                      <w:lang w:val="en-US" w:eastAsia="zh-CN"/>
                    </w:rPr>
                    <w:t>350</w:t>
                  </w:r>
                </w:p>
              </w:tc>
              <w:tc>
                <w:tcPr>
                  <w:tcW w:w="886" w:type="dxa"/>
                  <w:noWrap/>
                  <w:vAlign w:val="center"/>
                </w:tcPr>
                <w:p>
                  <w:pPr>
                    <w:pStyle w:val="13"/>
                    <w:bidi w:val="0"/>
                    <w:rPr>
                      <w:color w:val="auto"/>
                    </w:rPr>
                  </w:pPr>
                  <w:r>
                    <w:rPr>
                      <w:rFonts w:hint="default"/>
                      <w:color w:val="auto"/>
                      <w:lang w:val="en-US" w:eastAsia="zh-CN"/>
                    </w:rPr>
                    <w:t>0.6048</w:t>
                  </w:r>
                </w:p>
              </w:tc>
              <w:tc>
                <w:tcPr>
                  <w:tcW w:w="296" w:type="pct"/>
                  <w:vMerge w:val="restart"/>
                  <w:noWrap/>
                  <w:vAlign w:val="center"/>
                </w:tcPr>
                <w:p>
                  <w:pPr>
                    <w:pStyle w:val="13"/>
                    <w:bidi w:val="0"/>
                    <w:rPr>
                      <w:rFonts w:hint="eastAsia"/>
                      <w:color w:val="auto"/>
                      <w:lang w:eastAsia="zh-CN"/>
                    </w:rPr>
                  </w:pPr>
                  <w:r>
                    <w:rPr>
                      <w:rFonts w:hint="eastAsia"/>
                      <w:color w:val="auto"/>
                      <w:lang w:eastAsia="zh-CN"/>
                    </w:rPr>
                    <w:t>隔油池、化粪池</w:t>
                  </w:r>
                </w:p>
              </w:tc>
              <w:tc>
                <w:tcPr>
                  <w:tcW w:w="690" w:type="dxa"/>
                  <w:noWrap/>
                  <w:vAlign w:val="center"/>
                </w:tcPr>
                <w:p>
                  <w:pPr>
                    <w:pStyle w:val="13"/>
                    <w:bidi w:val="0"/>
                    <w:rPr>
                      <w:color w:val="auto"/>
                    </w:rPr>
                  </w:pPr>
                  <w:r>
                    <w:rPr>
                      <w:rFonts w:hint="default"/>
                      <w:color w:val="auto"/>
                      <w:lang w:val="en-US" w:eastAsia="zh-CN"/>
                    </w:rPr>
                    <w:t>250</w:t>
                  </w:r>
                </w:p>
              </w:tc>
              <w:tc>
                <w:tcPr>
                  <w:tcW w:w="770" w:type="dxa"/>
                  <w:noWrap/>
                  <w:vAlign w:val="center"/>
                </w:tcPr>
                <w:p>
                  <w:pPr>
                    <w:pStyle w:val="13"/>
                    <w:bidi w:val="0"/>
                    <w:rPr>
                      <w:color w:val="auto"/>
                    </w:rPr>
                  </w:pPr>
                  <w:r>
                    <w:rPr>
                      <w:rFonts w:hint="default"/>
                      <w:color w:val="auto"/>
                      <w:lang w:val="en-US" w:eastAsia="zh-CN"/>
                    </w:rPr>
                    <w:t>0.4320</w:t>
                  </w:r>
                </w:p>
              </w:tc>
              <w:tc>
                <w:tcPr>
                  <w:tcW w:w="362" w:type="pct"/>
                  <w:noWrap/>
                  <w:vAlign w:val="center"/>
                </w:tcPr>
                <w:p>
                  <w:pPr>
                    <w:pStyle w:val="13"/>
                    <w:bidi w:val="0"/>
                    <w:rPr>
                      <w:color w:val="auto"/>
                    </w:rPr>
                  </w:pPr>
                  <w:r>
                    <w:rPr>
                      <w:rFonts w:hint="eastAsia"/>
                      <w:color w:val="auto"/>
                      <w:lang w:val="en-US" w:eastAsia="zh-CN"/>
                    </w:rPr>
                    <w:t>5</w:t>
                  </w:r>
                  <w:r>
                    <w:rPr>
                      <w:rFonts w:hint="eastAsia"/>
                      <w:color w:val="auto"/>
                    </w:rPr>
                    <w:t>00</w:t>
                  </w:r>
                </w:p>
              </w:tc>
              <w:tc>
                <w:tcPr>
                  <w:tcW w:w="362" w:type="pct"/>
                  <w:vMerge w:val="restart"/>
                  <w:noWrap/>
                  <w:vAlign w:val="center"/>
                </w:tcPr>
                <w:p>
                  <w:pPr>
                    <w:pStyle w:val="13"/>
                    <w:bidi w:val="0"/>
                    <w:rPr>
                      <w:rFonts w:hint="eastAsia"/>
                      <w:color w:val="auto"/>
                      <w:lang w:eastAsia="zh-CN"/>
                    </w:rPr>
                  </w:pPr>
                  <w:r>
                    <w:rPr>
                      <w:rFonts w:hint="eastAsia"/>
                      <w:color w:val="auto"/>
                      <w:lang w:eastAsia="zh-CN"/>
                    </w:rPr>
                    <w:t>怀远经济开发区污水处理厂</w:t>
                  </w:r>
                </w:p>
              </w:tc>
              <w:tc>
                <w:tcPr>
                  <w:tcW w:w="439" w:type="pct"/>
                  <w:noWrap/>
                  <w:vAlign w:val="center"/>
                </w:tcPr>
                <w:p>
                  <w:pPr>
                    <w:pStyle w:val="13"/>
                    <w:bidi w:val="0"/>
                    <w:rPr>
                      <w:rFonts w:hint="default"/>
                      <w:color w:val="auto"/>
                      <w:lang w:val="en-US" w:eastAsia="zh-CN"/>
                    </w:rPr>
                  </w:pPr>
                  <w:r>
                    <w:rPr>
                      <w:rFonts w:hint="eastAsia"/>
                      <w:color w:val="auto"/>
                      <w:lang w:val="en-US" w:eastAsia="zh-CN"/>
                    </w:rPr>
                    <w:t>50</w:t>
                  </w:r>
                </w:p>
              </w:tc>
              <w:tc>
                <w:tcPr>
                  <w:tcW w:w="800" w:type="dxa"/>
                  <w:noWrap/>
                  <w:vAlign w:val="center"/>
                </w:tcPr>
                <w:p>
                  <w:pPr>
                    <w:pStyle w:val="13"/>
                    <w:bidi w:val="0"/>
                    <w:rPr>
                      <w:rFonts w:hint="default"/>
                      <w:color w:val="auto"/>
                      <w:lang w:val="en-US"/>
                    </w:rPr>
                  </w:pPr>
                  <w:r>
                    <w:rPr>
                      <w:rFonts w:hint="default"/>
                      <w:color w:val="auto"/>
                      <w:lang w:val="en-US" w:eastAsia="zh-CN"/>
                    </w:rPr>
                    <w:t>0.0864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color w:val="auto"/>
                      <w:sz w:val="21"/>
                      <w:szCs w:val="21"/>
                    </w:rPr>
                    <w:t>BOD</w:t>
                  </w:r>
                  <w:r>
                    <w:rPr>
                      <w:color w:val="auto"/>
                      <w:sz w:val="21"/>
                      <w:szCs w:val="21"/>
                      <w:vertAlign w:val="subscript"/>
                    </w:rPr>
                    <w:t>5</w:t>
                  </w:r>
                </w:p>
              </w:tc>
              <w:tc>
                <w:tcPr>
                  <w:tcW w:w="669" w:type="dxa"/>
                  <w:noWrap/>
                  <w:vAlign w:val="center"/>
                </w:tcPr>
                <w:p>
                  <w:pPr>
                    <w:pStyle w:val="13"/>
                    <w:bidi w:val="0"/>
                    <w:rPr>
                      <w:color w:val="auto"/>
                    </w:rPr>
                  </w:pPr>
                  <w:r>
                    <w:rPr>
                      <w:rFonts w:hint="default"/>
                      <w:color w:val="auto"/>
                      <w:lang w:val="en-US" w:eastAsia="zh-CN"/>
                    </w:rPr>
                    <w:t>120</w:t>
                  </w:r>
                </w:p>
              </w:tc>
              <w:tc>
                <w:tcPr>
                  <w:tcW w:w="886" w:type="dxa"/>
                  <w:noWrap/>
                  <w:vAlign w:val="center"/>
                </w:tcPr>
                <w:p>
                  <w:pPr>
                    <w:pStyle w:val="13"/>
                    <w:bidi w:val="0"/>
                    <w:rPr>
                      <w:color w:val="auto"/>
                    </w:rPr>
                  </w:pPr>
                  <w:r>
                    <w:rPr>
                      <w:rFonts w:hint="default"/>
                      <w:color w:val="auto"/>
                      <w:lang w:val="en-US" w:eastAsia="zh-CN"/>
                    </w:rPr>
                    <w:t>0.2074</w:t>
                  </w:r>
                </w:p>
              </w:tc>
              <w:tc>
                <w:tcPr>
                  <w:tcW w:w="296" w:type="pct"/>
                  <w:vMerge w:val="continue"/>
                  <w:noWrap/>
                  <w:vAlign w:val="center"/>
                </w:tcPr>
                <w:p>
                  <w:pPr>
                    <w:pStyle w:val="13"/>
                    <w:bidi w:val="0"/>
                    <w:rPr>
                      <w:color w:val="auto"/>
                    </w:rPr>
                  </w:pPr>
                </w:p>
              </w:tc>
              <w:tc>
                <w:tcPr>
                  <w:tcW w:w="690" w:type="dxa"/>
                  <w:noWrap/>
                  <w:vAlign w:val="center"/>
                </w:tcPr>
                <w:p>
                  <w:pPr>
                    <w:pStyle w:val="13"/>
                    <w:bidi w:val="0"/>
                    <w:rPr>
                      <w:color w:val="auto"/>
                    </w:rPr>
                  </w:pPr>
                  <w:r>
                    <w:rPr>
                      <w:rFonts w:hint="default"/>
                      <w:color w:val="auto"/>
                      <w:lang w:val="en-US" w:eastAsia="zh-CN"/>
                    </w:rPr>
                    <w:t>80</w:t>
                  </w:r>
                </w:p>
              </w:tc>
              <w:tc>
                <w:tcPr>
                  <w:tcW w:w="770" w:type="dxa"/>
                  <w:noWrap/>
                  <w:vAlign w:val="center"/>
                </w:tcPr>
                <w:p>
                  <w:pPr>
                    <w:pStyle w:val="13"/>
                    <w:bidi w:val="0"/>
                    <w:rPr>
                      <w:color w:val="auto"/>
                    </w:rPr>
                  </w:pPr>
                  <w:r>
                    <w:rPr>
                      <w:rFonts w:hint="default"/>
                      <w:color w:val="auto"/>
                      <w:lang w:val="en-US" w:eastAsia="zh-CN"/>
                    </w:rPr>
                    <w:t>0.1382</w:t>
                  </w:r>
                </w:p>
              </w:tc>
              <w:tc>
                <w:tcPr>
                  <w:tcW w:w="362" w:type="pct"/>
                  <w:noWrap/>
                  <w:vAlign w:val="center"/>
                </w:tcPr>
                <w:p>
                  <w:pPr>
                    <w:pStyle w:val="13"/>
                    <w:bidi w:val="0"/>
                    <w:rPr>
                      <w:color w:val="auto"/>
                    </w:rPr>
                  </w:pPr>
                  <w:r>
                    <w:rPr>
                      <w:rFonts w:hint="eastAsia"/>
                      <w:color w:val="auto"/>
                      <w:lang w:val="en-US" w:eastAsia="zh-CN"/>
                    </w:rPr>
                    <w:t>30</w:t>
                  </w:r>
                  <w:r>
                    <w:rPr>
                      <w:rFonts w:hint="eastAsia"/>
                      <w:color w:val="auto"/>
                    </w:rPr>
                    <w:t>0</w:t>
                  </w:r>
                </w:p>
              </w:tc>
              <w:tc>
                <w:tcPr>
                  <w:tcW w:w="362" w:type="pct"/>
                  <w:vMerge w:val="continue"/>
                  <w:noWrap/>
                  <w:vAlign w:val="center"/>
                </w:tcPr>
                <w:p>
                  <w:pPr>
                    <w:pStyle w:val="13"/>
                    <w:bidi w:val="0"/>
                    <w:rPr>
                      <w:color w:val="auto"/>
                    </w:rPr>
                  </w:pPr>
                </w:p>
              </w:tc>
              <w:tc>
                <w:tcPr>
                  <w:tcW w:w="439" w:type="pct"/>
                  <w:noWrap/>
                  <w:vAlign w:val="center"/>
                </w:tcPr>
                <w:p>
                  <w:pPr>
                    <w:pStyle w:val="13"/>
                    <w:bidi w:val="0"/>
                    <w:rPr>
                      <w:rFonts w:hint="default"/>
                      <w:color w:val="auto"/>
                      <w:lang w:val="en-US" w:eastAsia="zh-CN"/>
                    </w:rPr>
                  </w:pPr>
                  <w:r>
                    <w:rPr>
                      <w:rFonts w:hint="eastAsia"/>
                      <w:color w:val="auto"/>
                      <w:lang w:val="en-US" w:eastAsia="zh-CN"/>
                    </w:rPr>
                    <w:t>10</w:t>
                  </w:r>
                </w:p>
              </w:tc>
              <w:tc>
                <w:tcPr>
                  <w:tcW w:w="800" w:type="dxa"/>
                  <w:noWrap/>
                  <w:vAlign w:val="center"/>
                </w:tcPr>
                <w:p>
                  <w:pPr>
                    <w:pStyle w:val="13"/>
                    <w:bidi w:val="0"/>
                    <w:rPr>
                      <w:color w:val="auto"/>
                    </w:rPr>
                  </w:pPr>
                  <w:r>
                    <w:rPr>
                      <w:rFonts w:hint="default"/>
                      <w:color w:val="auto"/>
                      <w:lang w:val="en-US" w:eastAsia="zh-CN"/>
                    </w:rPr>
                    <w:t>0.0173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ascii="Times New Roman" w:hAnsi="Times New Roman" w:eastAsia="宋体" w:cs="Times New Roman"/>
                      <w:color w:val="auto"/>
                      <w:sz w:val="21"/>
                      <w:szCs w:val="21"/>
                      <w:lang w:val="en-US" w:eastAsia="zh-CN" w:bidi="ar-SA"/>
                    </w:rPr>
                  </w:pPr>
                  <w:r>
                    <w:rPr>
                      <w:color w:val="auto"/>
                      <w:sz w:val="21"/>
                      <w:szCs w:val="21"/>
                    </w:rPr>
                    <w:t>SS</w:t>
                  </w:r>
                </w:p>
              </w:tc>
              <w:tc>
                <w:tcPr>
                  <w:tcW w:w="669" w:type="dxa"/>
                  <w:noWrap/>
                  <w:vAlign w:val="center"/>
                </w:tcPr>
                <w:p>
                  <w:pPr>
                    <w:pStyle w:val="13"/>
                    <w:bidi w:val="0"/>
                    <w:rPr>
                      <w:rFonts w:hint="default"/>
                      <w:color w:val="auto"/>
                      <w:lang w:val="en-US" w:eastAsia="zh-CN"/>
                    </w:rPr>
                  </w:pPr>
                  <w:r>
                    <w:rPr>
                      <w:rFonts w:hint="default"/>
                      <w:color w:val="auto"/>
                      <w:lang w:val="en-US" w:eastAsia="zh-CN"/>
                    </w:rPr>
                    <w:t>200</w:t>
                  </w:r>
                </w:p>
              </w:tc>
              <w:tc>
                <w:tcPr>
                  <w:tcW w:w="886" w:type="dxa"/>
                  <w:noWrap/>
                  <w:vAlign w:val="center"/>
                </w:tcPr>
                <w:p>
                  <w:pPr>
                    <w:pStyle w:val="13"/>
                    <w:bidi w:val="0"/>
                    <w:rPr>
                      <w:rFonts w:hint="default"/>
                      <w:color w:val="auto"/>
                      <w:lang w:val="en-US" w:eastAsia="zh-CN"/>
                    </w:rPr>
                  </w:pPr>
                  <w:r>
                    <w:rPr>
                      <w:rFonts w:hint="default"/>
                      <w:color w:val="auto"/>
                      <w:lang w:val="en-US" w:eastAsia="zh-CN"/>
                    </w:rPr>
                    <w:t>0.3456</w:t>
                  </w:r>
                </w:p>
              </w:tc>
              <w:tc>
                <w:tcPr>
                  <w:tcW w:w="296" w:type="pct"/>
                  <w:vMerge w:val="continue"/>
                  <w:noWrap/>
                  <w:vAlign w:val="center"/>
                </w:tcPr>
                <w:p>
                  <w:pPr>
                    <w:pStyle w:val="13"/>
                    <w:bidi w:val="0"/>
                    <w:rPr>
                      <w:color w:val="auto"/>
                    </w:rPr>
                  </w:pPr>
                </w:p>
              </w:tc>
              <w:tc>
                <w:tcPr>
                  <w:tcW w:w="690" w:type="dxa"/>
                  <w:noWrap/>
                  <w:vAlign w:val="center"/>
                </w:tcPr>
                <w:p>
                  <w:pPr>
                    <w:pStyle w:val="13"/>
                    <w:bidi w:val="0"/>
                    <w:rPr>
                      <w:rFonts w:hint="default"/>
                      <w:color w:val="auto"/>
                      <w:lang w:val="en-US" w:eastAsia="zh-CN"/>
                    </w:rPr>
                  </w:pPr>
                  <w:r>
                    <w:rPr>
                      <w:rFonts w:hint="default"/>
                      <w:color w:val="auto"/>
                      <w:lang w:val="en-US" w:eastAsia="zh-CN"/>
                    </w:rPr>
                    <w:t>120</w:t>
                  </w:r>
                </w:p>
              </w:tc>
              <w:tc>
                <w:tcPr>
                  <w:tcW w:w="770" w:type="dxa"/>
                  <w:noWrap/>
                  <w:vAlign w:val="center"/>
                </w:tcPr>
                <w:p>
                  <w:pPr>
                    <w:pStyle w:val="13"/>
                    <w:bidi w:val="0"/>
                    <w:rPr>
                      <w:rFonts w:hint="default"/>
                      <w:color w:val="auto"/>
                      <w:lang w:val="en-US" w:eastAsia="zh-CN"/>
                    </w:rPr>
                  </w:pPr>
                  <w:r>
                    <w:rPr>
                      <w:rFonts w:hint="default"/>
                      <w:color w:val="auto"/>
                      <w:lang w:val="en-US" w:eastAsia="zh-CN"/>
                    </w:rPr>
                    <w:t>0.2074</w:t>
                  </w:r>
                </w:p>
              </w:tc>
              <w:tc>
                <w:tcPr>
                  <w:tcW w:w="362" w:type="pct"/>
                  <w:noWrap/>
                  <w:vAlign w:val="center"/>
                </w:tcPr>
                <w:p>
                  <w:pPr>
                    <w:pStyle w:val="13"/>
                    <w:bidi w:val="0"/>
                    <w:rPr>
                      <w:rFonts w:hint="eastAsia"/>
                      <w:color w:val="auto"/>
                      <w:lang w:val="en-US" w:eastAsia="zh-CN"/>
                    </w:rPr>
                  </w:pPr>
                  <w:r>
                    <w:rPr>
                      <w:rFonts w:hint="eastAsia"/>
                      <w:color w:val="auto"/>
                      <w:lang w:val="en-US" w:eastAsia="zh-CN"/>
                    </w:rPr>
                    <w:t>40</w:t>
                  </w:r>
                  <w:r>
                    <w:rPr>
                      <w:color w:val="auto"/>
                    </w:rPr>
                    <w:t>0</w:t>
                  </w:r>
                </w:p>
              </w:tc>
              <w:tc>
                <w:tcPr>
                  <w:tcW w:w="362" w:type="pct"/>
                  <w:vMerge w:val="continue"/>
                  <w:noWrap/>
                  <w:vAlign w:val="center"/>
                </w:tcPr>
                <w:p>
                  <w:pPr>
                    <w:pStyle w:val="13"/>
                    <w:bidi w:val="0"/>
                    <w:rPr>
                      <w:color w:val="auto"/>
                    </w:rPr>
                  </w:pPr>
                </w:p>
              </w:tc>
              <w:tc>
                <w:tcPr>
                  <w:tcW w:w="439" w:type="pct"/>
                  <w:noWrap/>
                  <w:vAlign w:val="center"/>
                </w:tcPr>
                <w:p>
                  <w:pPr>
                    <w:pStyle w:val="13"/>
                    <w:bidi w:val="0"/>
                    <w:rPr>
                      <w:rFonts w:hint="eastAsia"/>
                      <w:color w:val="auto"/>
                      <w:lang w:val="en-US" w:eastAsia="zh-CN"/>
                    </w:rPr>
                  </w:pPr>
                  <w:r>
                    <w:rPr>
                      <w:rFonts w:hint="eastAsia"/>
                      <w:color w:val="auto"/>
                      <w:lang w:val="en-US" w:eastAsia="zh-CN"/>
                    </w:rPr>
                    <w:t>10</w:t>
                  </w:r>
                </w:p>
              </w:tc>
              <w:tc>
                <w:tcPr>
                  <w:tcW w:w="800" w:type="dxa"/>
                  <w:noWrap/>
                  <w:vAlign w:val="center"/>
                </w:tcPr>
                <w:p>
                  <w:pPr>
                    <w:pStyle w:val="13"/>
                    <w:bidi w:val="0"/>
                    <w:rPr>
                      <w:rFonts w:hint="default"/>
                      <w:color w:val="auto"/>
                      <w:lang w:val="en-US" w:eastAsia="zh-CN"/>
                    </w:rPr>
                  </w:pPr>
                  <w:r>
                    <w:rPr>
                      <w:rFonts w:hint="default"/>
                      <w:color w:val="auto"/>
                      <w:lang w:val="en-US" w:eastAsia="zh-CN"/>
                    </w:rPr>
                    <w:t>0.0173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color w:val="auto"/>
                      <w:sz w:val="21"/>
                      <w:szCs w:val="21"/>
                    </w:rPr>
                    <w:t>NH</w:t>
                  </w:r>
                  <w:r>
                    <w:rPr>
                      <w:color w:val="auto"/>
                      <w:sz w:val="21"/>
                      <w:szCs w:val="21"/>
                      <w:vertAlign w:val="subscript"/>
                    </w:rPr>
                    <w:t>3</w:t>
                  </w:r>
                  <w:r>
                    <w:rPr>
                      <w:color w:val="auto"/>
                      <w:sz w:val="21"/>
                      <w:szCs w:val="21"/>
                    </w:rPr>
                    <w:t>-N</w:t>
                  </w:r>
                </w:p>
              </w:tc>
              <w:tc>
                <w:tcPr>
                  <w:tcW w:w="669" w:type="dxa"/>
                  <w:noWrap/>
                  <w:vAlign w:val="center"/>
                </w:tcPr>
                <w:p>
                  <w:pPr>
                    <w:pStyle w:val="13"/>
                    <w:bidi w:val="0"/>
                    <w:rPr>
                      <w:color w:val="auto"/>
                      <w:lang w:val="en-US" w:eastAsia="zh-CN"/>
                    </w:rPr>
                  </w:pPr>
                  <w:r>
                    <w:rPr>
                      <w:rFonts w:hint="default"/>
                      <w:color w:val="auto"/>
                      <w:lang w:val="en-US" w:eastAsia="zh-CN"/>
                    </w:rPr>
                    <w:t>25</w:t>
                  </w:r>
                </w:p>
              </w:tc>
              <w:tc>
                <w:tcPr>
                  <w:tcW w:w="886" w:type="dxa"/>
                  <w:noWrap/>
                  <w:vAlign w:val="center"/>
                </w:tcPr>
                <w:p>
                  <w:pPr>
                    <w:pStyle w:val="13"/>
                    <w:bidi w:val="0"/>
                    <w:rPr>
                      <w:color w:val="auto"/>
                      <w:lang w:val="en-US" w:eastAsia="zh-CN"/>
                    </w:rPr>
                  </w:pPr>
                  <w:r>
                    <w:rPr>
                      <w:rFonts w:hint="default"/>
                      <w:color w:val="auto"/>
                      <w:lang w:val="en-US" w:eastAsia="zh-CN"/>
                    </w:rPr>
                    <w:t>0.0432</w:t>
                  </w:r>
                </w:p>
              </w:tc>
              <w:tc>
                <w:tcPr>
                  <w:tcW w:w="296" w:type="pct"/>
                  <w:vMerge w:val="continue"/>
                  <w:noWrap/>
                  <w:vAlign w:val="center"/>
                </w:tcPr>
                <w:p>
                  <w:pPr>
                    <w:pStyle w:val="13"/>
                    <w:keepLines w:val="0"/>
                    <w:pageBreakBefore w:val="0"/>
                    <w:kinsoku/>
                    <w:wordWrap/>
                    <w:bidi w:val="0"/>
                    <w:adjustRightInd w:val="0"/>
                    <w:snapToGrid w:val="0"/>
                    <w:textAlignment w:val="auto"/>
                    <w:rPr>
                      <w:color w:val="auto"/>
                      <w:sz w:val="21"/>
                      <w:szCs w:val="21"/>
                      <w:lang w:val="en-US" w:eastAsia="zh-CN"/>
                    </w:rPr>
                  </w:pPr>
                </w:p>
              </w:tc>
              <w:tc>
                <w:tcPr>
                  <w:tcW w:w="690" w:type="dxa"/>
                  <w:noWrap/>
                  <w:vAlign w:val="center"/>
                </w:tcPr>
                <w:p>
                  <w:pPr>
                    <w:pStyle w:val="13"/>
                    <w:bidi w:val="0"/>
                    <w:rPr>
                      <w:rFonts w:hint="eastAsia"/>
                      <w:color w:val="auto"/>
                      <w:lang w:val="en-US" w:eastAsia="zh-CN"/>
                    </w:rPr>
                  </w:pPr>
                  <w:r>
                    <w:rPr>
                      <w:rFonts w:hint="default"/>
                      <w:color w:val="auto"/>
                      <w:lang w:val="en-US" w:eastAsia="zh-CN"/>
                    </w:rPr>
                    <w:t>20</w:t>
                  </w:r>
                </w:p>
              </w:tc>
              <w:tc>
                <w:tcPr>
                  <w:tcW w:w="770" w:type="dxa"/>
                  <w:noWrap/>
                  <w:vAlign w:val="center"/>
                </w:tcPr>
                <w:p>
                  <w:pPr>
                    <w:pStyle w:val="13"/>
                    <w:bidi w:val="0"/>
                    <w:rPr>
                      <w:color w:val="auto"/>
                      <w:lang w:val="en-US" w:eastAsia="zh-CN"/>
                    </w:rPr>
                  </w:pPr>
                  <w:r>
                    <w:rPr>
                      <w:rFonts w:hint="default"/>
                      <w:color w:val="auto"/>
                      <w:lang w:val="en-US" w:eastAsia="zh-CN"/>
                    </w:rPr>
                    <w:t>0.0346</w:t>
                  </w:r>
                </w:p>
              </w:tc>
              <w:tc>
                <w:tcPr>
                  <w:tcW w:w="362" w:type="pct"/>
                  <w:noWrap/>
                  <w:vAlign w:val="center"/>
                </w:tcPr>
                <w:p>
                  <w:pPr>
                    <w:pStyle w:val="13"/>
                    <w:bidi w:val="0"/>
                    <w:rPr>
                      <w:rFonts w:hint="default"/>
                      <w:color w:val="auto"/>
                      <w:lang w:val="en-US" w:eastAsia="zh-CN"/>
                    </w:rPr>
                  </w:pPr>
                  <w:r>
                    <w:rPr>
                      <w:rFonts w:hint="eastAsia"/>
                      <w:color w:val="auto"/>
                      <w:lang w:val="en-US" w:eastAsia="zh-CN"/>
                    </w:rPr>
                    <w:t>30</w:t>
                  </w:r>
                </w:p>
              </w:tc>
              <w:tc>
                <w:tcPr>
                  <w:tcW w:w="362" w:type="pct"/>
                  <w:vMerge w:val="continue"/>
                  <w:noWrap/>
                  <w:vAlign w:val="center"/>
                </w:tcPr>
                <w:p>
                  <w:pPr>
                    <w:pStyle w:val="13"/>
                    <w:bidi w:val="0"/>
                    <w:rPr>
                      <w:color w:val="auto"/>
                      <w:lang w:val="en-US" w:eastAsia="zh-CN"/>
                    </w:rPr>
                  </w:pPr>
                </w:p>
              </w:tc>
              <w:tc>
                <w:tcPr>
                  <w:tcW w:w="439" w:type="pct"/>
                  <w:noWrap/>
                  <w:vAlign w:val="center"/>
                </w:tcPr>
                <w:p>
                  <w:pPr>
                    <w:pStyle w:val="13"/>
                    <w:bidi w:val="0"/>
                    <w:rPr>
                      <w:rFonts w:hint="default"/>
                      <w:color w:val="auto"/>
                      <w:lang w:val="en-US" w:eastAsia="zh-CN"/>
                    </w:rPr>
                  </w:pPr>
                  <w:r>
                    <w:rPr>
                      <w:rFonts w:hint="eastAsia"/>
                      <w:color w:val="auto"/>
                      <w:lang w:val="en-US" w:eastAsia="zh-CN"/>
                    </w:rPr>
                    <w:t>5</w:t>
                  </w:r>
                </w:p>
              </w:tc>
              <w:tc>
                <w:tcPr>
                  <w:tcW w:w="800" w:type="dxa"/>
                  <w:noWrap/>
                  <w:vAlign w:val="center"/>
                </w:tcPr>
                <w:p>
                  <w:pPr>
                    <w:pStyle w:val="13"/>
                    <w:bidi w:val="0"/>
                    <w:rPr>
                      <w:rFonts w:hint="default"/>
                      <w:color w:val="auto"/>
                      <w:lang w:val="en-US" w:eastAsia="zh-CN"/>
                    </w:rPr>
                  </w:pPr>
                  <w:r>
                    <w:rPr>
                      <w:rFonts w:hint="default"/>
                      <w:color w:val="auto"/>
                      <w:lang w:val="en-US" w:eastAsia="zh-CN"/>
                    </w:rPr>
                    <w:t>0.0086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rFonts w:hint="eastAsia" w:ascii="Times New Roman" w:hAnsi="Times New Roman" w:eastAsia="宋体"/>
                      <w:color w:val="auto"/>
                      <w:sz w:val="21"/>
                      <w:szCs w:val="21"/>
                      <w:lang w:val="en-US" w:eastAsia="zh-CN" w:bidi="ar-SA"/>
                    </w:rPr>
                    <w:t>动植物油</w:t>
                  </w:r>
                </w:p>
              </w:tc>
              <w:tc>
                <w:tcPr>
                  <w:tcW w:w="669" w:type="dxa"/>
                  <w:noWrap/>
                  <w:vAlign w:val="center"/>
                </w:tcPr>
                <w:p>
                  <w:pPr>
                    <w:pStyle w:val="13"/>
                    <w:bidi w:val="0"/>
                    <w:rPr>
                      <w:color w:val="auto"/>
                    </w:rPr>
                  </w:pPr>
                  <w:r>
                    <w:rPr>
                      <w:rFonts w:hint="default"/>
                      <w:color w:val="auto"/>
                      <w:lang w:val="en-US" w:eastAsia="zh-CN"/>
                    </w:rPr>
                    <w:t>100</w:t>
                  </w:r>
                </w:p>
              </w:tc>
              <w:tc>
                <w:tcPr>
                  <w:tcW w:w="886" w:type="dxa"/>
                  <w:noWrap/>
                  <w:vAlign w:val="center"/>
                </w:tcPr>
                <w:p>
                  <w:pPr>
                    <w:pStyle w:val="13"/>
                    <w:bidi w:val="0"/>
                    <w:rPr>
                      <w:color w:val="auto"/>
                    </w:rPr>
                  </w:pPr>
                  <w:r>
                    <w:rPr>
                      <w:rFonts w:hint="default"/>
                      <w:color w:val="auto"/>
                      <w:lang w:val="en-US" w:eastAsia="zh-CN"/>
                    </w:rPr>
                    <w:t>0.1728</w:t>
                  </w:r>
                </w:p>
              </w:tc>
              <w:tc>
                <w:tcPr>
                  <w:tcW w:w="296"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690" w:type="dxa"/>
                  <w:noWrap/>
                  <w:vAlign w:val="center"/>
                </w:tcPr>
                <w:p>
                  <w:pPr>
                    <w:pStyle w:val="13"/>
                    <w:bidi w:val="0"/>
                    <w:rPr>
                      <w:color w:val="auto"/>
                    </w:rPr>
                  </w:pPr>
                  <w:r>
                    <w:rPr>
                      <w:rFonts w:hint="default"/>
                      <w:color w:val="auto"/>
                      <w:lang w:val="en-US" w:eastAsia="zh-CN"/>
                    </w:rPr>
                    <w:t>70</w:t>
                  </w:r>
                </w:p>
              </w:tc>
              <w:tc>
                <w:tcPr>
                  <w:tcW w:w="770" w:type="dxa"/>
                  <w:noWrap/>
                  <w:vAlign w:val="center"/>
                </w:tcPr>
                <w:p>
                  <w:pPr>
                    <w:pStyle w:val="13"/>
                    <w:bidi w:val="0"/>
                    <w:rPr>
                      <w:color w:val="auto"/>
                    </w:rPr>
                  </w:pPr>
                  <w:r>
                    <w:rPr>
                      <w:rFonts w:hint="default"/>
                      <w:color w:val="auto"/>
                      <w:lang w:val="en-US" w:eastAsia="zh-CN"/>
                    </w:rPr>
                    <w:t>0.1210</w:t>
                  </w:r>
                </w:p>
              </w:tc>
              <w:tc>
                <w:tcPr>
                  <w:tcW w:w="362" w:type="pct"/>
                  <w:noWrap/>
                  <w:vAlign w:val="center"/>
                </w:tcPr>
                <w:p>
                  <w:pPr>
                    <w:pStyle w:val="13"/>
                    <w:bidi w:val="0"/>
                    <w:rPr>
                      <w:rFonts w:hint="default"/>
                      <w:color w:val="auto"/>
                      <w:lang w:val="en-US" w:eastAsia="zh-CN"/>
                    </w:rPr>
                  </w:pPr>
                  <w:r>
                    <w:rPr>
                      <w:rFonts w:hint="eastAsia"/>
                      <w:color w:val="auto"/>
                      <w:lang w:val="en-US" w:eastAsia="zh-CN"/>
                    </w:rPr>
                    <w:t>100</w:t>
                  </w:r>
                </w:p>
              </w:tc>
              <w:tc>
                <w:tcPr>
                  <w:tcW w:w="362" w:type="pct"/>
                  <w:vMerge w:val="continue"/>
                  <w:noWrap/>
                  <w:vAlign w:val="center"/>
                </w:tcPr>
                <w:p>
                  <w:pPr>
                    <w:pStyle w:val="13"/>
                    <w:bidi w:val="0"/>
                    <w:rPr>
                      <w:color w:val="auto"/>
                    </w:rPr>
                  </w:pPr>
                </w:p>
              </w:tc>
              <w:tc>
                <w:tcPr>
                  <w:tcW w:w="439" w:type="pct"/>
                  <w:noWrap/>
                  <w:vAlign w:val="center"/>
                </w:tcPr>
                <w:p>
                  <w:pPr>
                    <w:pStyle w:val="13"/>
                    <w:bidi w:val="0"/>
                    <w:rPr>
                      <w:rFonts w:hint="default"/>
                      <w:color w:val="auto"/>
                      <w:lang w:val="en-US" w:eastAsia="zh-CN"/>
                    </w:rPr>
                  </w:pPr>
                  <w:r>
                    <w:rPr>
                      <w:rFonts w:hint="eastAsia"/>
                      <w:color w:val="auto"/>
                      <w:lang w:val="en-US" w:eastAsia="zh-CN"/>
                    </w:rPr>
                    <w:t>1</w:t>
                  </w:r>
                </w:p>
              </w:tc>
              <w:tc>
                <w:tcPr>
                  <w:tcW w:w="800" w:type="dxa"/>
                  <w:noWrap/>
                  <w:vAlign w:val="center"/>
                </w:tcPr>
                <w:p>
                  <w:pPr>
                    <w:pStyle w:val="13"/>
                    <w:bidi w:val="0"/>
                    <w:rPr>
                      <w:color w:val="auto"/>
                    </w:rPr>
                  </w:pPr>
                  <w:r>
                    <w:rPr>
                      <w:rFonts w:hint="default"/>
                      <w:color w:val="auto"/>
                      <w:lang w:val="en-US" w:eastAsia="zh-CN"/>
                    </w:rPr>
                    <w:t>0.0017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restart"/>
                  <w:noWrap/>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冷却排水</w:t>
                  </w:r>
                </w:p>
              </w:tc>
              <w:tc>
                <w:tcPr>
                  <w:tcW w:w="395" w:type="pct"/>
                  <w:vMerge w:val="restart"/>
                  <w:noWrap/>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1710</w:t>
                  </w:r>
                </w:p>
              </w:tc>
              <w:tc>
                <w:tcPr>
                  <w:tcW w:w="593" w:type="pct"/>
                  <w:noWrap/>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val="en-US" w:eastAsia="zh-CN"/>
                    </w:rPr>
                    <w:t>COD</w:t>
                  </w:r>
                </w:p>
              </w:tc>
              <w:tc>
                <w:tcPr>
                  <w:tcW w:w="669" w:type="dxa"/>
                  <w:noWrap/>
                  <w:vAlign w:val="center"/>
                </w:tcPr>
                <w:p>
                  <w:pPr>
                    <w:pStyle w:val="13"/>
                    <w:bidi w:val="0"/>
                    <w:rPr>
                      <w:rFonts w:hint="default"/>
                      <w:color w:val="auto"/>
                      <w:lang w:val="en-US" w:eastAsia="zh-CN"/>
                    </w:rPr>
                  </w:pPr>
                  <w:r>
                    <w:rPr>
                      <w:rFonts w:hint="eastAsia"/>
                      <w:color w:val="auto"/>
                      <w:lang w:val="en-US" w:eastAsia="zh-CN"/>
                    </w:rPr>
                    <w:t>60</w:t>
                  </w:r>
                </w:p>
              </w:tc>
              <w:tc>
                <w:tcPr>
                  <w:tcW w:w="886" w:type="dxa"/>
                  <w:noWrap/>
                  <w:vAlign w:val="center"/>
                </w:tcPr>
                <w:p>
                  <w:pPr>
                    <w:pStyle w:val="13"/>
                    <w:bidi w:val="0"/>
                    <w:rPr>
                      <w:rFonts w:hint="eastAsia"/>
                      <w:color w:val="auto"/>
                    </w:rPr>
                  </w:pPr>
                  <w:r>
                    <w:rPr>
                      <w:rFonts w:hint="default"/>
                      <w:color w:val="auto"/>
                      <w:lang w:val="en-US" w:eastAsia="zh-CN"/>
                    </w:rPr>
                    <w:t>0.1026</w:t>
                  </w:r>
                </w:p>
              </w:tc>
              <w:tc>
                <w:tcPr>
                  <w:tcW w:w="296" w:type="pct"/>
                  <w:vMerge w:val="restart"/>
                  <w:noWrap/>
                  <w:vAlign w:val="center"/>
                </w:tcPr>
                <w:p>
                  <w:pPr>
                    <w:pStyle w:val="13"/>
                    <w:bidi w:val="0"/>
                    <w:rPr>
                      <w:rFonts w:hint="eastAsia"/>
                      <w:color w:val="auto"/>
                      <w:lang w:val="en-US" w:eastAsia="zh-CN"/>
                    </w:rPr>
                  </w:pPr>
                  <w:r>
                    <w:rPr>
                      <w:rFonts w:hint="eastAsia"/>
                      <w:color w:val="auto"/>
                      <w:lang w:val="en-US" w:eastAsia="zh-CN"/>
                    </w:rPr>
                    <w:t>/</w:t>
                  </w:r>
                </w:p>
              </w:tc>
              <w:tc>
                <w:tcPr>
                  <w:tcW w:w="690" w:type="dxa"/>
                  <w:noWrap/>
                  <w:vAlign w:val="center"/>
                </w:tcPr>
                <w:p>
                  <w:pPr>
                    <w:pStyle w:val="13"/>
                    <w:bidi w:val="0"/>
                    <w:rPr>
                      <w:rFonts w:hint="default"/>
                      <w:color w:val="auto"/>
                      <w:lang w:val="en-US" w:eastAsia="zh-CN"/>
                    </w:rPr>
                  </w:pPr>
                  <w:r>
                    <w:rPr>
                      <w:rFonts w:hint="eastAsia"/>
                      <w:color w:val="auto"/>
                      <w:lang w:val="en-US" w:eastAsia="zh-CN"/>
                    </w:rPr>
                    <w:t>60</w:t>
                  </w:r>
                </w:p>
              </w:tc>
              <w:tc>
                <w:tcPr>
                  <w:tcW w:w="770" w:type="dxa"/>
                  <w:noWrap/>
                  <w:vAlign w:val="center"/>
                </w:tcPr>
                <w:p>
                  <w:pPr>
                    <w:pStyle w:val="13"/>
                    <w:bidi w:val="0"/>
                    <w:rPr>
                      <w:rFonts w:hint="eastAsia"/>
                      <w:color w:val="auto"/>
                    </w:rPr>
                  </w:pPr>
                  <w:r>
                    <w:rPr>
                      <w:rFonts w:hint="default"/>
                      <w:color w:val="auto"/>
                      <w:lang w:val="en-US" w:eastAsia="zh-CN"/>
                    </w:rPr>
                    <w:t>0.1026</w:t>
                  </w:r>
                </w:p>
              </w:tc>
              <w:tc>
                <w:tcPr>
                  <w:tcW w:w="362" w:type="pct"/>
                  <w:noWrap/>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5</w:t>
                  </w:r>
                  <w:r>
                    <w:rPr>
                      <w:rFonts w:hint="eastAsia"/>
                      <w:color w:val="auto"/>
                      <w:sz w:val="21"/>
                      <w:szCs w:val="21"/>
                    </w:rPr>
                    <w:t>00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439" w:type="pct"/>
                  <w:noWrap/>
                  <w:vAlign w:val="center"/>
                </w:tcPr>
                <w:p>
                  <w:pPr>
                    <w:pStyle w:val="13"/>
                    <w:bidi w:val="0"/>
                    <w:rPr>
                      <w:rFonts w:hint="default"/>
                      <w:color w:val="auto"/>
                      <w:lang w:val="en-US" w:eastAsia="zh-CN"/>
                    </w:rPr>
                  </w:pPr>
                  <w:r>
                    <w:rPr>
                      <w:rFonts w:hint="eastAsia"/>
                      <w:color w:val="auto"/>
                      <w:lang w:val="en-US" w:eastAsia="zh-CN"/>
                    </w:rPr>
                    <w:t>50</w:t>
                  </w:r>
                </w:p>
              </w:tc>
              <w:tc>
                <w:tcPr>
                  <w:tcW w:w="800" w:type="dxa"/>
                  <w:noWrap/>
                  <w:vAlign w:val="center"/>
                </w:tcPr>
                <w:p>
                  <w:pPr>
                    <w:pStyle w:val="13"/>
                    <w:bidi w:val="0"/>
                    <w:rPr>
                      <w:rFonts w:hint="default"/>
                      <w:color w:val="auto"/>
                      <w:lang w:val="en-US"/>
                    </w:rPr>
                  </w:pPr>
                  <w:r>
                    <w:rPr>
                      <w:rFonts w:hint="default"/>
                      <w:color w:val="auto"/>
                      <w:lang w:val="en-US" w:eastAsia="zh-CN"/>
                    </w:rPr>
                    <w:t>0.0855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p>
              </w:tc>
              <w:tc>
                <w:tcPr>
                  <w:tcW w:w="395" w:type="pct"/>
                  <w:vMerge w:val="continue"/>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593" w:type="pct"/>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color w:val="auto"/>
                      <w:sz w:val="21"/>
                      <w:szCs w:val="21"/>
                    </w:rPr>
                    <w:t>SS</w:t>
                  </w:r>
                </w:p>
              </w:tc>
              <w:tc>
                <w:tcPr>
                  <w:tcW w:w="669" w:type="dxa"/>
                  <w:noWrap/>
                  <w:vAlign w:val="center"/>
                </w:tcPr>
                <w:p>
                  <w:pPr>
                    <w:pStyle w:val="13"/>
                    <w:bidi w:val="0"/>
                    <w:rPr>
                      <w:rFonts w:hint="default"/>
                      <w:color w:val="auto"/>
                      <w:lang w:val="en-US" w:eastAsia="zh-CN"/>
                    </w:rPr>
                  </w:pPr>
                  <w:r>
                    <w:rPr>
                      <w:rFonts w:hint="eastAsia"/>
                      <w:color w:val="auto"/>
                      <w:lang w:val="en-US" w:eastAsia="zh-CN"/>
                    </w:rPr>
                    <w:t>40</w:t>
                  </w:r>
                </w:p>
              </w:tc>
              <w:tc>
                <w:tcPr>
                  <w:tcW w:w="886" w:type="dxa"/>
                  <w:noWrap/>
                  <w:vAlign w:val="center"/>
                </w:tcPr>
                <w:p>
                  <w:pPr>
                    <w:pStyle w:val="13"/>
                    <w:bidi w:val="0"/>
                    <w:rPr>
                      <w:rFonts w:hint="default"/>
                      <w:color w:val="auto"/>
                      <w:lang w:val="en-US" w:eastAsia="zh-CN"/>
                    </w:rPr>
                  </w:pPr>
                  <w:r>
                    <w:rPr>
                      <w:rFonts w:hint="default"/>
                      <w:color w:val="auto"/>
                      <w:lang w:val="en-US" w:eastAsia="zh-CN"/>
                    </w:rPr>
                    <w:t>0.0684</w:t>
                  </w:r>
                </w:p>
              </w:tc>
              <w:tc>
                <w:tcPr>
                  <w:tcW w:w="296" w:type="pct"/>
                  <w:vMerge w:val="continue"/>
                  <w:noWrap/>
                  <w:vAlign w:val="center"/>
                </w:tcPr>
                <w:p>
                  <w:pPr>
                    <w:pStyle w:val="13"/>
                    <w:bidi w:val="0"/>
                    <w:rPr>
                      <w:rFonts w:hint="eastAsia"/>
                      <w:color w:val="auto"/>
                      <w:lang w:val="en-US" w:eastAsia="zh-CN"/>
                    </w:rPr>
                  </w:pPr>
                </w:p>
              </w:tc>
              <w:tc>
                <w:tcPr>
                  <w:tcW w:w="690" w:type="dxa"/>
                  <w:noWrap/>
                  <w:vAlign w:val="center"/>
                </w:tcPr>
                <w:p>
                  <w:pPr>
                    <w:pStyle w:val="13"/>
                    <w:bidi w:val="0"/>
                    <w:rPr>
                      <w:rFonts w:hint="eastAsia"/>
                      <w:color w:val="auto"/>
                      <w:lang w:val="en-US" w:eastAsia="zh-CN"/>
                    </w:rPr>
                  </w:pPr>
                  <w:r>
                    <w:rPr>
                      <w:rFonts w:hint="eastAsia"/>
                      <w:color w:val="auto"/>
                      <w:lang w:val="en-US" w:eastAsia="zh-CN"/>
                    </w:rPr>
                    <w:t>40</w:t>
                  </w:r>
                </w:p>
              </w:tc>
              <w:tc>
                <w:tcPr>
                  <w:tcW w:w="770" w:type="dxa"/>
                  <w:noWrap/>
                  <w:vAlign w:val="center"/>
                </w:tcPr>
                <w:p>
                  <w:pPr>
                    <w:pStyle w:val="13"/>
                    <w:bidi w:val="0"/>
                    <w:rPr>
                      <w:rFonts w:hint="default"/>
                      <w:color w:val="auto"/>
                      <w:lang w:val="en-US" w:eastAsia="zh-CN"/>
                    </w:rPr>
                  </w:pPr>
                  <w:r>
                    <w:rPr>
                      <w:rFonts w:hint="default"/>
                      <w:color w:val="auto"/>
                      <w:lang w:val="en-US" w:eastAsia="zh-CN"/>
                    </w:rPr>
                    <w:t>0.0684</w:t>
                  </w:r>
                </w:p>
              </w:tc>
              <w:tc>
                <w:tcPr>
                  <w:tcW w:w="362" w:type="pct"/>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40</w:t>
                  </w:r>
                  <w:r>
                    <w:rPr>
                      <w:color w:val="auto"/>
                      <w:sz w:val="21"/>
                      <w:szCs w:val="21"/>
                    </w:rPr>
                    <w:t>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lang w:val="en-US" w:eastAsia="zh-CN"/>
                    </w:rPr>
                  </w:pPr>
                </w:p>
              </w:tc>
              <w:tc>
                <w:tcPr>
                  <w:tcW w:w="439" w:type="pct"/>
                  <w:noWrap/>
                  <w:vAlign w:val="center"/>
                </w:tcPr>
                <w:p>
                  <w:pPr>
                    <w:pStyle w:val="13"/>
                    <w:bidi w:val="0"/>
                    <w:rPr>
                      <w:rFonts w:hint="eastAsia"/>
                      <w:color w:val="auto"/>
                      <w:lang w:val="en-US" w:eastAsia="zh-CN"/>
                    </w:rPr>
                  </w:pPr>
                  <w:r>
                    <w:rPr>
                      <w:rFonts w:hint="eastAsia"/>
                      <w:color w:val="auto"/>
                      <w:lang w:val="en-US" w:eastAsia="zh-CN"/>
                    </w:rPr>
                    <w:t>10</w:t>
                  </w:r>
                </w:p>
              </w:tc>
              <w:tc>
                <w:tcPr>
                  <w:tcW w:w="800" w:type="dxa"/>
                  <w:noWrap/>
                  <w:vAlign w:val="center"/>
                </w:tcPr>
                <w:p>
                  <w:pPr>
                    <w:pStyle w:val="13"/>
                    <w:bidi w:val="0"/>
                    <w:rPr>
                      <w:rFonts w:hint="default"/>
                      <w:color w:val="auto"/>
                      <w:lang w:val="en-US" w:eastAsia="zh-CN"/>
                    </w:rPr>
                  </w:pPr>
                  <w:r>
                    <w:rPr>
                      <w:rFonts w:hint="default"/>
                      <w:color w:val="auto"/>
                      <w:lang w:val="en-US" w:eastAsia="zh-CN"/>
                    </w:rPr>
                    <w:t>0.0171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restart"/>
                  <w:noWrap/>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综合废水</w:t>
                  </w:r>
                </w:p>
              </w:tc>
              <w:tc>
                <w:tcPr>
                  <w:tcW w:w="395" w:type="pct"/>
                  <w:vMerge w:val="restart"/>
                  <w:noWrap/>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3438</w:t>
                  </w:r>
                </w:p>
              </w:tc>
              <w:tc>
                <w:tcPr>
                  <w:tcW w:w="593" w:type="pct"/>
                  <w:noWrap/>
                  <w:vAlign w:val="center"/>
                </w:tcPr>
                <w:p>
                  <w:pPr>
                    <w:pStyle w:val="13"/>
                    <w:keepLines w:val="0"/>
                    <w:pageBreakBefore w:val="0"/>
                    <w:kinsoku/>
                    <w:wordWrap/>
                    <w:bidi w:val="0"/>
                    <w:adjustRightInd w:val="0"/>
                    <w:snapToGrid w:val="0"/>
                    <w:textAlignment w:val="auto"/>
                    <w:rPr>
                      <w:rFonts w:hint="eastAsia" w:ascii="Times New Roman" w:hAnsi="Times New Roman" w:eastAsia="宋体"/>
                      <w:color w:val="auto"/>
                      <w:sz w:val="21"/>
                      <w:szCs w:val="21"/>
                      <w:lang w:val="en-US" w:eastAsia="zh-CN" w:bidi="ar-SA"/>
                    </w:rPr>
                  </w:pPr>
                  <w:r>
                    <w:rPr>
                      <w:color w:val="auto"/>
                      <w:sz w:val="21"/>
                      <w:szCs w:val="21"/>
                    </w:rPr>
                    <w:t>COD</w:t>
                  </w:r>
                </w:p>
              </w:tc>
              <w:tc>
                <w:tcPr>
                  <w:tcW w:w="389" w:type="pct"/>
                  <w:noWrap/>
                  <w:vAlign w:val="center"/>
                </w:tcPr>
                <w:p>
                  <w:pPr>
                    <w:pStyle w:val="13"/>
                    <w:bidi w:val="0"/>
                    <w:rPr>
                      <w:rFonts w:hint="default"/>
                      <w:color w:val="auto"/>
                      <w:lang w:val="en-US" w:eastAsia="zh-CN"/>
                    </w:rPr>
                  </w:pPr>
                  <w:r>
                    <w:rPr>
                      <w:rFonts w:hint="default"/>
                      <w:color w:val="auto"/>
                      <w:lang w:val="en-US" w:eastAsia="zh-CN"/>
                    </w:rPr>
                    <w:t>/</w:t>
                  </w:r>
                </w:p>
              </w:tc>
              <w:tc>
                <w:tcPr>
                  <w:tcW w:w="515" w:type="pct"/>
                  <w:noWrap/>
                  <w:vAlign w:val="center"/>
                </w:tcPr>
                <w:p>
                  <w:pPr>
                    <w:pStyle w:val="13"/>
                    <w:bidi w:val="0"/>
                    <w:rPr>
                      <w:rFonts w:hint="eastAsia"/>
                      <w:color w:val="auto"/>
                    </w:rPr>
                  </w:pPr>
                  <w:r>
                    <w:rPr>
                      <w:rFonts w:hint="default"/>
                      <w:color w:val="auto"/>
                      <w:lang w:val="en-US" w:eastAsia="zh-CN"/>
                    </w:rPr>
                    <w:t>/</w:t>
                  </w:r>
                </w:p>
              </w:tc>
              <w:tc>
                <w:tcPr>
                  <w:tcW w:w="296" w:type="pct"/>
                  <w:vMerge w:val="restart"/>
                  <w:noWrap/>
                  <w:vAlign w:val="center"/>
                </w:tcPr>
                <w:p>
                  <w:pPr>
                    <w:pStyle w:val="13"/>
                    <w:bidi w:val="0"/>
                    <w:rPr>
                      <w:rFonts w:hint="eastAsia"/>
                      <w:color w:val="auto"/>
                      <w:lang w:val="en-US" w:eastAsia="zh-CN"/>
                    </w:rPr>
                  </w:pPr>
                  <w:r>
                    <w:rPr>
                      <w:rFonts w:hint="eastAsia"/>
                      <w:color w:val="auto"/>
                      <w:lang w:val="en-US" w:eastAsia="zh-CN"/>
                    </w:rPr>
                    <w:t>/</w:t>
                  </w:r>
                </w:p>
              </w:tc>
              <w:tc>
                <w:tcPr>
                  <w:tcW w:w="690" w:type="dxa"/>
                  <w:noWrap/>
                  <w:vAlign w:val="center"/>
                </w:tcPr>
                <w:p>
                  <w:pPr>
                    <w:pStyle w:val="13"/>
                    <w:bidi w:val="0"/>
                    <w:rPr>
                      <w:rFonts w:hint="default"/>
                      <w:color w:val="auto"/>
                      <w:lang w:val="en-US" w:eastAsia="zh-CN"/>
                    </w:rPr>
                  </w:pPr>
                  <w:r>
                    <w:rPr>
                      <w:rFonts w:hint="default"/>
                      <w:color w:val="auto"/>
                      <w:lang w:val="en-US" w:eastAsia="zh-CN"/>
                    </w:rPr>
                    <w:t>155</w:t>
                  </w:r>
                </w:p>
              </w:tc>
              <w:tc>
                <w:tcPr>
                  <w:tcW w:w="770" w:type="dxa"/>
                  <w:noWrap/>
                  <w:vAlign w:val="center"/>
                </w:tcPr>
                <w:p>
                  <w:pPr>
                    <w:pStyle w:val="13"/>
                    <w:bidi w:val="0"/>
                    <w:rPr>
                      <w:rFonts w:hint="eastAsia"/>
                      <w:color w:val="auto"/>
                    </w:rPr>
                  </w:pPr>
                  <w:r>
                    <w:rPr>
                      <w:rFonts w:hint="default"/>
                      <w:color w:val="auto"/>
                      <w:lang w:val="en-US" w:eastAsia="zh-CN"/>
                    </w:rPr>
                    <w:t>0.5346</w:t>
                  </w:r>
                </w:p>
              </w:tc>
              <w:tc>
                <w:tcPr>
                  <w:tcW w:w="624" w:type="dxa"/>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5</w:t>
                  </w:r>
                  <w:r>
                    <w:rPr>
                      <w:rFonts w:hint="eastAsia"/>
                      <w:color w:val="auto"/>
                      <w:sz w:val="21"/>
                      <w:szCs w:val="21"/>
                    </w:rPr>
                    <w:t>00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439" w:type="pct"/>
                  <w:noWrap/>
                  <w:vAlign w:val="center"/>
                </w:tcPr>
                <w:p>
                  <w:pPr>
                    <w:pStyle w:val="13"/>
                    <w:bidi w:val="0"/>
                    <w:rPr>
                      <w:rFonts w:hint="default"/>
                      <w:color w:val="auto"/>
                      <w:lang w:val="en-US" w:eastAsia="zh-CN"/>
                    </w:rPr>
                  </w:pPr>
                  <w:r>
                    <w:rPr>
                      <w:rFonts w:hint="eastAsia"/>
                      <w:color w:val="auto"/>
                      <w:lang w:val="en-US" w:eastAsia="zh-CN"/>
                    </w:rPr>
                    <w:t>50</w:t>
                  </w:r>
                </w:p>
              </w:tc>
              <w:tc>
                <w:tcPr>
                  <w:tcW w:w="800" w:type="dxa"/>
                  <w:noWrap/>
                  <w:vAlign w:val="center"/>
                </w:tcPr>
                <w:p>
                  <w:pPr>
                    <w:pStyle w:val="13"/>
                    <w:bidi w:val="0"/>
                    <w:rPr>
                      <w:color w:val="auto"/>
                    </w:rPr>
                  </w:pPr>
                  <w:r>
                    <w:rPr>
                      <w:rFonts w:hint="default"/>
                      <w:color w:val="auto"/>
                      <w:lang w:val="en-US" w:eastAsia="zh-CN"/>
                    </w:rPr>
                    <w:t>0.1719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hint="eastAsia" w:ascii="Times New Roman" w:hAnsi="Times New Roman" w:eastAsia="宋体"/>
                      <w:color w:val="auto"/>
                      <w:sz w:val="21"/>
                      <w:szCs w:val="21"/>
                      <w:lang w:val="en-US" w:eastAsia="zh-CN" w:bidi="ar-SA"/>
                    </w:rPr>
                  </w:pPr>
                  <w:r>
                    <w:rPr>
                      <w:color w:val="auto"/>
                      <w:sz w:val="21"/>
                      <w:szCs w:val="21"/>
                    </w:rPr>
                    <w:t>BOD</w:t>
                  </w:r>
                  <w:r>
                    <w:rPr>
                      <w:color w:val="auto"/>
                      <w:sz w:val="21"/>
                      <w:szCs w:val="21"/>
                      <w:vertAlign w:val="subscript"/>
                    </w:rPr>
                    <w:t>5</w:t>
                  </w:r>
                </w:p>
              </w:tc>
              <w:tc>
                <w:tcPr>
                  <w:tcW w:w="389" w:type="pct"/>
                  <w:noWrap/>
                  <w:vAlign w:val="center"/>
                </w:tcPr>
                <w:p>
                  <w:pPr>
                    <w:pStyle w:val="13"/>
                    <w:bidi w:val="0"/>
                    <w:rPr>
                      <w:rFonts w:hint="default"/>
                      <w:color w:val="auto"/>
                      <w:lang w:val="en-US" w:eastAsia="zh-CN"/>
                    </w:rPr>
                  </w:pPr>
                  <w:r>
                    <w:rPr>
                      <w:rFonts w:hint="default"/>
                      <w:color w:val="auto"/>
                      <w:lang w:val="en-US" w:eastAsia="zh-CN"/>
                    </w:rPr>
                    <w:t>/</w:t>
                  </w:r>
                </w:p>
              </w:tc>
              <w:tc>
                <w:tcPr>
                  <w:tcW w:w="515" w:type="pct"/>
                  <w:noWrap/>
                  <w:vAlign w:val="center"/>
                </w:tcPr>
                <w:p>
                  <w:pPr>
                    <w:pStyle w:val="13"/>
                    <w:bidi w:val="0"/>
                    <w:rPr>
                      <w:rFonts w:hint="eastAsia"/>
                      <w:color w:val="auto"/>
                    </w:rPr>
                  </w:pPr>
                  <w:r>
                    <w:rPr>
                      <w:rFonts w:hint="default"/>
                      <w:color w:val="auto"/>
                      <w:lang w:val="en-US" w:eastAsia="zh-CN"/>
                    </w:rPr>
                    <w:t>/</w:t>
                  </w:r>
                </w:p>
              </w:tc>
              <w:tc>
                <w:tcPr>
                  <w:tcW w:w="296" w:type="pct"/>
                  <w:vMerge w:val="continue"/>
                  <w:noWrap/>
                  <w:vAlign w:val="center"/>
                </w:tcPr>
                <w:p>
                  <w:pPr>
                    <w:pStyle w:val="13"/>
                    <w:bidi w:val="0"/>
                    <w:rPr>
                      <w:color w:val="auto"/>
                    </w:rPr>
                  </w:pPr>
                </w:p>
              </w:tc>
              <w:tc>
                <w:tcPr>
                  <w:tcW w:w="690" w:type="dxa"/>
                  <w:noWrap/>
                  <w:vAlign w:val="center"/>
                </w:tcPr>
                <w:p>
                  <w:pPr>
                    <w:pStyle w:val="13"/>
                    <w:bidi w:val="0"/>
                    <w:rPr>
                      <w:rFonts w:hint="default"/>
                      <w:color w:val="auto"/>
                      <w:lang w:val="en-US" w:eastAsia="zh-CN"/>
                    </w:rPr>
                  </w:pPr>
                  <w:r>
                    <w:rPr>
                      <w:rFonts w:hint="default"/>
                      <w:color w:val="auto"/>
                      <w:lang w:val="en-US" w:eastAsia="zh-CN"/>
                    </w:rPr>
                    <w:t>40</w:t>
                  </w:r>
                </w:p>
              </w:tc>
              <w:tc>
                <w:tcPr>
                  <w:tcW w:w="770" w:type="dxa"/>
                  <w:noWrap/>
                  <w:vAlign w:val="center"/>
                </w:tcPr>
                <w:p>
                  <w:pPr>
                    <w:pStyle w:val="13"/>
                    <w:bidi w:val="0"/>
                    <w:rPr>
                      <w:rFonts w:hint="eastAsia"/>
                      <w:color w:val="auto"/>
                    </w:rPr>
                  </w:pPr>
                  <w:r>
                    <w:rPr>
                      <w:rFonts w:hint="default"/>
                      <w:color w:val="auto"/>
                      <w:lang w:val="en-US" w:eastAsia="zh-CN"/>
                    </w:rPr>
                    <w:t>0.1382</w:t>
                  </w:r>
                </w:p>
              </w:tc>
              <w:tc>
                <w:tcPr>
                  <w:tcW w:w="624" w:type="dxa"/>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30</w:t>
                  </w:r>
                  <w:r>
                    <w:rPr>
                      <w:rFonts w:hint="eastAsia"/>
                      <w:color w:val="auto"/>
                      <w:sz w:val="21"/>
                      <w:szCs w:val="21"/>
                    </w:rPr>
                    <w:t>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439" w:type="pct"/>
                  <w:noWrap/>
                  <w:vAlign w:val="center"/>
                </w:tcPr>
                <w:p>
                  <w:pPr>
                    <w:pStyle w:val="13"/>
                    <w:bidi w:val="0"/>
                    <w:rPr>
                      <w:rFonts w:hint="default"/>
                      <w:color w:val="auto"/>
                      <w:lang w:val="en-US" w:eastAsia="zh-CN"/>
                    </w:rPr>
                  </w:pPr>
                  <w:r>
                    <w:rPr>
                      <w:rFonts w:hint="eastAsia"/>
                      <w:color w:val="auto"/>
                      <w:lang w:val="en-US" w:eastAsia="zh-CN"/>
                    </w:rPr>
                    <w:t>10</w:t>
                  </w:r>
                </w:p>
              </w:tc>
              <w:tc>
                <w:tcPr>
                  <w:tcW w:w="800" w:type="dxa"/>
                  <w:noWrap/>
                  <w:vAlign w:val="center"/>
                </w:tcPr>
                <w:p>
                  <w:pPr>
                    <w:pStyle w:val="13"/>
                    <w:bidi w:val="0"/>
                    <w:rPr>
                      <w:color w:val="auto"/>
                    </w:rPr>
                  </w:pPr>
                  <w:r>
                    <w:rPr>
                      <w:rFonts w:hint="default"/>
                      <w:color w:val="auto"/>
                      <w:lang w:val="en-US" w:eastAsia="zh-CN"/>
                    </w:rPr>
                    <w:t>0.0344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hint="eastAsia" w:ascii="Times New Roman" w:hAnsi="Times New Roman" w:eastAsia="宋体"/>
                      <w:color w:val="auto"/>
                      <w:sz w:val="21"/>
                      <w:szCs w:val="21"/>
                      <w:lang w:val="en-US" w:eastAsia="zh-CN" w:bidi="ar-SA"/>
                    </w:rPr>
                  </w:pPr>
                  <w:r>
                    <w:rPr>
                      <w:color w:val="auto"/>
                      <w:sz w:val="21"/>
                      <w:szCs w:val="21"/>
                    </w:rPr>
                    <w:t>SS</w:t>
                  </w:r>
                </w:p>
              </w:tc>
              <w:tc>
                <w:tcPr>
                  <w:tcW w:w="389" w:type="pct"/>
                  <w:noWrap/>
                  <w:vAlign w:val="center"/>
                </w:tcPr>
                <w:p>
                  <w:pPr>
                    <w:pStyle w:val="13"/>
                    <w:bidi w:val="0"/>
                    <w:rPr>
                      <w:rFonts w:hint="default"/>
                      <w:color w:val="auto"/>
                      <w:lang w:val="en-US" w:eastAsia="zh-CN"/>
                    </w:rPr>
                  </w:pPr>
                  <w:r>
                    <w:rPr>
                      <w:rFonts w:hint="default"/>
                      <w:color w:val="auto"/>
                      <w:lang w:val="en-US" w:eastAsia="zh-CN"/>
                    </w:rPr>
                    <w:t>/</w:t>
                  </w:r>
                </w:p>
              </w:tc>
              <w:tc>
                <w:tcPr>
                  <w:tcW w:w="515" w:type="pct"/>
                  <w:noWrap/>
                  <w:vAlign w:val="center"/>
                </w:tcPr>
                <w:p>
                  <w:pPr>
                    <w:pStyle w:val="13"/>
                    <w:bidi w:val="0"/>
                    <w:rPr>
                      <w:rFonts w:hint="eastAsia"/>
                      <w:color w:val="auto"/>
                    </w:rPr>
                  </w:pPr>
                  <w:r>
                    <w:rPr>
                      <w:rFonts w:hint="default"/>
                      <w:color w:val="auto"/>
                      <w:lang w:val="en-US" w:eastAsia="zh-CN"/>
                    </w:rPr>
                    <w:t>/</w:t>
                  </w:r>
                </w:p>
              </w:tc>
              <w:tc>
                <w:tcPr>
                  <w:tcW w:w="296" w:type="pct"/>
                  <w:vMerge w:val="continue"/>
                  <w:noWrap/>
                  <w:vAlign w:val="center"/>
                </w:tcPr>
                <w:p>
                  <w:pPr>
                    <w:pStyle w:val="13"/>
                    <w:bidi w:val="0"/>
                    <w:rPr>
                      <w:color w:val="auto"/>
                    </w:rPr>
                  </w:pPr>
                </w:p>
              </w:tc>
              <w:tc>
                <w:tcPr>
                  <w:tcW w:w="690" w:type="dxa"/>
                  <w:noWrap/>
                  <w:vAlign w:val="center"/>
                </w:tcPr>
                <w:p>
                  <w:pPr>
                    <w:pStyle w:val="13"/>
                    <w:bidi w:val="0"/>
                    <w:rPr>
                      <w:rFonts w:hint="default"/>
                      <w:color w:val="auto"/>
                      <w:lang w:val="en-US" w:eastAsia="zh-CN"/>
                    </w:rPr>
                  </w:pPr>
                  <w:r>
                    <w:rPr>
                      <w:rFonts w:hint="default"/>
                      <w:color w:val="auto"/>
                      <w:lang w:val="en-US" w:eastAsia="zh-CN"/>
                    </w:rPr>
                    <w:t>80</w:t>
                  </w:r>
                </w:p>
              </w:tc>
              <w:tc>
                <w:tcPr>
                  <w:tcW w:w="770" w:type="dxa"/>
                  <w:noWrap/>
                  <w:vAlign w:val="center"/>
                </w:tcPr>
                <w:p>
                  <w:pPr>
                    <w:pStyle w:val="13"/>
                    <w:bidi w:val="0"/>
                    <w:rPr>
                      <w:rFonts w:hint="eastAsia"/>
                      <w:color w:val="auto"/>
                    </w:rPr>
                  </w:pPr>
                  <w:r>
                    <w:rPr>
                      <w:rFonts w:hint="default"/>
                      <w:color w:val="auto"/>
                      <w:lang w:val="en-US" w:eastAsia="zh-CN"/>
                    </w:rPr>
                    <w:t>0.2758</w:t>
                  </w:r>
                </w:p>
              </w:tc>
              <w:tc>
                <w:tcPr>
                  <w:tcW w:w="624" w:type="dxa"/>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40</w:t>
                  </w:r>
                  <w:r>
                    <w:rPr>
                      <w:color w:val="auto"/>
                      <w:sz w:val="21"/>
                      <w:szCs w:val="21"/>
                    </w:rPr>
                    <w:t>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439" w:type="pct"/>
                  <w:noWrap/>
                  <w:vAlign w:val="center"/>
                </w:tcPr>
                <w:p>
                  <w:pPr>
                    <w:pStyle w:val="13"/>
                    <w:bidi w:val="0"/>
                    <w:rPr>
                      <w:rFonts w:hint="default"/>
                      <w:color w:val="auto"/>
                      <w:lang w:val="en-US" w:eastAsia="zh-CN"/>
                    </w:rPr>
                  </w:pPr>
                  <w:r>
                    <w:rPr>
                      <w:rFonts w:hint="eastAsia"/>
                      <w:color w:val="auto"/>
                      <w:lang w:val="en-US" w:eastAsia="zh-CN"/>
                    </w:rPr>
                    <w:t>10</w:t>
                  </w:r>
                </w:p>
              </w:tc>
              <w:tc>
                <w:tcPr>
                  <w:tcW w:w="800" w:type="dxa"/>
                  <w:noWrap/>
                  <w:vAlign w:val="center"/>
                </w:tcPr>
                <w:p>
                  <w:pPr>
                    <w:pStyle w:val="13"/>
                    <w:bidi w:val="0"/>
                    <w:rPr>
                      <w:color w:val="auto"/>
                    </w:rPr>
                  </w:pPr>
                  <w:r>
                    <w:rPr>
                      <w:rFonts w:hint="default"/>
                      <w:color w:val="auto"/>
                      <w:lang w:val="en-US" w:eastAsia="zh-CN"/>
                    </w:rPr>
                    <w:t>0.0344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hint="eastAsia" w:ascii="Times New Roman" w:hAnsi="Times New Roman" w:eastAsia="宋体"/>
                      <w:color w:val="auto"/>
                      <w:sz w:val="21"/>
                      <w:szCs w:val="21"/>
                      <w:lang w:val="en-US" w:eastAsia="zh-CN" w:bidi="ar-SA"/>
                    </w:rPr>
                  </w:pPr>
                  <w:r>
                    <w:rPr>
                      <w:color w:val="auto"/>
                      <w:sz w:val="21"/>
                      <w:szCs w:val="21"/>
                    </w:rPr>
                    <w:t>NH</w:t>
                  </w:r>
                  <w:r>
                    <w:rPr>
                      <w:color w:val="auto"/>
                      <w:sz w:val="21"/>
                      <w:szCs w:val="21"/>
                      <w:vertAlign w:val="subscript"/>
                    </w:rPr>
                    <w:t>3</w:t>
                  </w:r>
                  <w:r>
                    <w:rPr>
                      <w:color w:val="auto"/>
                      <w:sz w:val="21"/>
                      <w:szCs w:val="21"/>
                    </w:rPr>
                    <w:t>-N</w:t>
                  </w:r>
                </w:p>
              </w:tc>
              <w:tc>
                <w:tcPr>
                  <w:tcW w:w="389" w:type="pct"/>
                  <w:noWrap/>
                  <w:vAlign w:val="center"/>
                </w:tcPr>
                <w:p>
                  <w:pPr>
                    <w:pStyle w:val="13"/>
                    <w:bidi w:val="0"/>
                    <w:rPr>
                      <w:rFonts w:hint="default"/>
                      <w:color w:val="auto"/>
                      <w:lang w:val="en-US" w:eastAsia="zh-CN"/>
                    </w:rPr>
                  </w:pPr>
                  <w:r>
                    <w:rPr>
                      <w:rFonts w:hint="default"/>
                      <w:color w:val="auto"/>
                      <w:lang w:val="en-US" w:eastAsia="zh-CN"/>
                    </w:rPr>
                    <w:t>/</w:t>
                  </w:r>
                </w:p>
              </w:tc>
              <w:tc>
                <w:tcPr>
                  <w:tcW w:w="515" w:type="pct"/>
                  <w:noWrap/>
                  <w:vAlign w:val="center"/>
                </w:tcPr>
                <w:p>
                  <w:pPr>
                    <w:pStyle w:val="13"/>
                    <w:bidi w:val="0"/>
                    <w:rPr>
                      <w:rFonts w:hint="eastAsia"/>
                      <w:color w:val="auto"/>
                    </w:rPr>
                  </w:pPr>
                  <w:r>
                    <w:rPr>
                      <w:rFonts w:hint="default"/>
                      <w:color w:val="auto"/>
                      <w:lang w:val="en-US" w:eastAsia="zh-CN"/>
                    </w:rPr>
                    <w:t>/</w:t>
                  </w:r>
                </w:p>
              </w:tc>
              <w:tc>
                <w:tcPr>
                  <w:tcW w:w="296" w:type="pct"/>
                  <w:vMerge w:val="continue"/>
                  <w:noWrap/>
                  <w:vAlign w:val="center"/>
                </w:tcPr>
                <w:p>
                  <w:pPr>
                    <w:pStyle w:val="13"/>
                    <w:bidi w:val="0"/>
                    <w:rPr>
                      <w:color w:val="auto"/>
                    </w:rPr>
                  </w:pPr>
                </w:p>
              </w:tc>
              <w:tc>
                <w:tcPr>
                  <w:tcW w:w="690" w:type="dxa"/>
                  <w:noWrap/>
                  <w:vAlign w:val="center"/>
                </w:tcPr>
                <w:p>
                  <w:pPr>
                    <w:pStyle w:val="13"/>
                    <w:bidi w:val="0"/>
                    <w:rPr>
                      <w:rFonts w:hint="default"/>
                      <w:color w:val="auto"/>
                      <w:lang w:val="en-US" w:eastAsia="zh-CN"/>
                    </w:rPr>
                  </w:pPr>
                  <w:r>
                    <w:rPr>
                      <w:rFonts w:hint="default"/>
                      <w:color w:val="auto"/>
                      <w:lang w:val="en-US" w:eastAsia="zh-CN"/>
                    </w:rPr>
                    <w:t>10</w:t>
                  </w:r>
                </w:p>
              </w:tc>
              <w:tc>
                <w:tcPr>
                  <w:tcW w:w="770" w:type="dxa"/>
                  <w:noWrap/>
                  <w:vAlign w:val="center"/>
                </w:tcPr>
                <w:p>
                  <w:pPr>
                    <w:pStyle w:val="13"/>
                    <w:bidi w:val="0"/>
                    <w:rPr>
                      <w:rFonts w:hint="eastAsia"/>
                      <w:color w:val="auto"/>
                    </w:rPr>
                  </w:pPr>
                  <w:r>
                    <w:rPr>
                      <w:rFonts w:hint="default"/>
                      <w:color w:val="auto"/>
                      <w:lang w:val="en-US" w:eastAsia="zh-CN"/>
                    </w:rPr>
                    <w:t>0.0346</w:t>
                  </w:r>
                </w:p>
              </w:tc>
              <w:tc>
                <w:tcPr>
                  <w:tcW w:w="624" w:type="dxa"/>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30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439" w:type="pct"/>
                  <w:noWrap/>
                  <w:vAlign w:val="center"/>
                </w:tcPr>
                <w:p>
                  <w:pPr>
                    <w:pStyle w:val="13"/>
                    <w:bidi w:val="0"/>
                    <w:rPr>
                      <w:rFonts w:hint="default"/>
                      <w:color w:val="auto"/>
                      <w:lang w:val="en-US" w:eastAsia="zh-CN"/>
                    </w:rPr>
                  </w:pPr>
                  <w:r>
                    <w:rPr>
                      <w:rFonts w:hint="eastAsia"/>
                      <w:color w:val="auto"/>
                      <w:lang w:val="en-US" w:eastAsia="zh-CN"/>
                    </w:rPr>
                    <w:t>5</w:t>
                  </w:r>
                </w:p>
              </w:tc>
              <w:tc>
                <w:tcPr>
                  <w:tcW w:w="800" w:type="dxa"/>
                  <w:noWrap/>
                  <w:vAlign w:val="center"/>
                </w:tcPr>
                <w:p>
                  <w:pPr>
                    <w:pStyle w:val="13"/>
                    <w:bidi w:val="0"/>
                    <w:rPr>
                      <w:color w:val="auto"/>
                    </w:rPr>
                  </w:pPr>
                  <w:r>
                    <w:rPr>
                      <w:rFonts w:hint="default"/>
                      <w:color w:val="auto"/>
                      <w:lang w:val="en-US" w:eastAsia="zh-CN"/>
                    </w:rPr>
                    <w:t>0.0172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57" w:type="dxa"/>
                  <w:bottom w:w="0" w:type="dxa"/>
                  <w:right w:w="57" w:type="dxa"/>
                </w:tblCellMar>
              </w:tblPrEx>
              <w:trPr>
                <w:trHeight w:val="454" w:hRule="atLeast"/>
                <w:jc w:val="center"/>
              </w:trPr>
              <w:tc>
                <w:tcPr>
                  <w:tcW w:w="329"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395"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593" w:type="pct"/>
                  <w:noWrap/>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动植物油</w:t>
                  </w:r>
                </w:p>
              </w:tc>
              <w:tc>
                <w:tcPr>
                  <w:tcW w:w="389" w:type="pct"/>
                  <w:noWrap/>
                  <w:vAlign w:val="center"/>
                </w:tcPr>
                <w:p>
                  <w:pPr>
                    <w:pStyle w:val="13"/>
                    <w:bidi w:val="0"/>
                    <w:rPr>
                      <w:rFonts w:hint="default"/>
                      <w:color w:val="auto"/>
                      <w:lang w:val="en-US" w:eastAsia="zh-CN"/>
                    </w:rPr>
                  </w:pPr>
                  <w:r>
                    <w:rPr>
                      <w:rFonts w:hint="default"/>
                      <w:color w:val="auto"/>
                      <w:lang w:val="en-US" w:eastAsia="zh-CN"/>
                    </w:rPr>
                    <w:t>/</w:t>
                  </w:r>
                </w:p>
              </w:tc>
              <w:tc>
                <w:tcPr>
                  <w:tcW w:w="515" w:type="pct"/>
                  <w:noWrap/>
                  <w:vAlign w:val="center"/>
                </w:tcPr>
                <w:p>
                  <w:pPr>
                    <w:pStyle w:val="13"/>
                    <w:bidi w:val="0"/>
                    <w:rPr>
                      <w:rFonts w:hint="eastAsia"/>
                      <w:color w:val="auto"/>
                    </w:rPr>
                  </w:pPr>
                  <w:r>
                    <w:rPr>
                      <w:rFonts w:hint="default"/>
                      <w:color w:val="auto"/>
                      <w:lang w:val="en-US" w:eastAsia="zh-CN"/>
                    </w:rPr>
                    <w:t>/</w:t>
                  </w:r>
                </w:p>
              </w:tc>
              <w:tc>
                <w:tcPr>
                  <w:tcW w:w="296" w:type="pct"/>
                  <w:vMerge w:val="continue"/>
                  <w:noWrap/>
                  <w:vAlign w:val="center"/>
                </w:tcPr>
                <w:p>
                  <w:pPr>
                    <w:pStyle w:val="13"/>
                    <w:bidi w:val="0"/>
                    <w:rPr>
                      <w:color w:val="auto"/>
                    </w:rPr>
                  </w:pPr>
                </w:p>
              </w:tc>
              <w:tc>
                <w:tcPr>
                  <w:tcW w:w="690" w:type="dxa"/>
                  <w:noWrap/>
                  <w:vAlign w:val="center"/>
                </w:tcPr>
                <w:p>
                  <w:pPr>
                    <w:pStyle w:val="13"/>
                    <w:bidi w:val="0"/>
                    <w:rPr>
                      <w:rFonts w:hint="default"/>
                      <w:color w:val="auto"/>
                      <w:lang w:val="en-US" w:eastAsia="zh-CN"/>
                    </w:rPr>
                  </w:pPr>
                  <w:r>
                    <w:rPr>
                      <w:rFonts w:hint="default"/>
                      <w:color w:val="auto"/>
                      <w:lang w:val="en-US" w:eastAsia="zh-CN"/>
                    </w:rPr>
                    <w:t>35</w:t>
                  </w:r>
                </w:p>
              </w:tc>
              <w:tc>
                <w:tcPr>
                  <w:tcW w:w="770" w:type="dxa"/>
                  <w:noWrap/>
                  <w:vAlign w:val="center"/>
                </w:tcPr>
                <w:p>
                  <w:pPr>
                    <w:pStyle w:val="13"/>
                    <w:bidi w:val="0"/>
                    <w:rPr>
                      <w:rFonts w:hint="eastAsia"/>
                      <w:color w:val="auto"/>
                    </w:rPr>
                  </w:pPr>
                  <w:r>
                    <w:rPr>
                      <w:rFonts w:hint="default"/>
                      <w:color w:val="auto"/>
                      <w:lang w:val="en-US" w:eastAsia="zh-CN"/>
                    </w:rPr>
                    <w:t>0.1210</w:t>
                  </w:r>
                </w:p>
              </w:tc>
              <w:tc>
                <w:tcPr>
                  <w:tcW w:w="624" w:type="dxa"/>
                  <w:noWrap/>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100</w:t>
                  </w:r>
                </w:p>
              </w:tc>
              <w:tc>
                <w:tcPr>
                  <w:tcW w:w="362" w:type="pct"/>
                  <w:vMerge w:val="continue"/>
                  <w:noWrap/>
                  <w:vAlign w:val="center"/>
                </w:tcPr>
                <w:p>
                  <w:pPr>
                    <w:pStyle w:val="13"/>
                    <w:keepLines w:val="0"/>
                    <w:pageBreakBefore w:val="0"/>
                    <w:kinsoku/>
                    <w:wordWrap/>
                    <w:bidi w:val="0"/>
                    <w:adjustRightInd w:val="0"/>
                    <w:snapToGrid w:val="0"/>
                    <w:textAlignment w:val="auto"/>
                    <w:rPr>
                      <w:color w:val="auto"/>
                      <w:sz w:val="21"/>
                      <w:szCs w:val="21"/>
                    </w:rPr>
                  </w:pPr>
                </w:p>
              </w:tc>
              <w:tc>
                <w:tcPr>
                  <w:tcW w:w="439" w:type="pct"/>
                  <w:noWrap/>
                  <w:vAlign w:val="center"/>
                </w:tcPr>
                <w:p>
                  <w:pPr>
                    <w:pStyle w:val="13"/>
                    <w:bidi w:val="0"/>
                    <w:rPr>
                      <w:rFonts w:hint="default"/>
                      <w:color w:val="auto"/>
                      <w:lang w:val="en-US" w:eastAsia="zh-CN"/>
                    </w:rPr>
                  </w:pPr>
                  <w:r>
                    <w:rPr>
                      <w:rFonts w:hint="eastAsia"/>
                      <w:color w:val="auto"/>
                      <w:lang w:val="en-US" w:eastAsia="zh-CN"/>
                    </w:rPr>
                    <w:t>1</w:t>
                  </w:r>
                </w:p>
              </w:tc>
              <w:tc>
                <w:tcPr>
                  <w:tcW w:w="800" w:type="dxa"/>
                  <w:noWrap/>
                  <w:vAlign w:val="center"/>
                </w:tcPr>
                <w:p>
                  <w:pPr>
                    <w:pStyle w:val="13"/>
                    <w:bidi w:val="0"/>
                    <w:rPr>
                      <w:color w:val="auto"/>
                    </w:rPr>
                  </w:pPr>
                  <w:r>
                    <w:rPr>
                      <w:rFonts w:hint="default"/>
                      <w:color w:val="auto"/>
                      <w:lang w:val="en-US" w:eastAsia="zh-CN"/>
                    </w:rPr>
                    <w:t>0.0034</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从上表可以看出，项目</w:t>
            </w:r>
            <w:r>
              <w:rPr>
                <w:rFonts w:hint="eastAsia"/>
                <w:color w:val="auto"/>
              </w:rPr>
              <w:t>生活污水经隔油池、化粪池预处理后与</w:t>
            </w:r>
            <w:r>
              <w:rPr>
                <w:rFonts w:hint="eastAsia"/>
                <w:color w:val="auto"/>
                <w:lang w:val="en-US" w:eastAsia="zh-CN"/>
              </w:rPr>
              <w:t>冷却排水</w:t>
            </w:r>
            <w:r>
              <w:rPr>
                <w:rFonts w:hint="eastAsia"/>
                <w:color w:val="auto"/>
                <w:lang w:eastAsia="zh-CN"/>
              </w:rPr>
              <w:t>汇合后的综合废水中</w:t>
            </w:r>
            <w:r>
              <w:rPr>
                <w:color w:val="auto"/>
              </w:rPr>
              <w:t>各项污染因子均能满足</w:t>
            </w:r>
            <w:r>
              <w:rPr>
                <w:rFonts w:hint="eastAsia"/>
                <w:color w:val="auto"/>
                <w:lang w:eastAsia="zh-CN"/>
              </w:rPr>
              <w:t>怀远经济开发区污水处理厂接管限值和《污水综合排放标准》（GB8978-1996）表4中三级标准限值</w:t>
            </w:r>
            <w:r>
              <w:rPr>
                <w:color w:val="auto"/>
              </w:rPr>
              <w:t>。</w:t>
            </w:r>
            <w:r>
              <w:rPr>
                <w:rFonts w:hint="eastAsia"/>
                <w:color w:val="auto"/>
                <w:lang w:eastAsia="zh-CN"/>
              </w:rPr>
              <w:t>怀远经济开发区污水处理厂</w:t>
            </w:r>
            <w:r>
              <w:rPr>
                <w:color w:val="auto"/>
              </w:rPr>
              <w:t>尾水</w:t>
            </w:r>
            <w:r>
              <w:rPr>
                <w:rFonts w:hint="eastAsia"/>
                <w:color w:val="auto"/>
                <w:lang w:eastAsia="zh-CN"/>
              </w:rPr>
              <w:t>排放</w:t>
            </w:r>
            <w:r>
              <w:rPr>
                <w:rFonts w:hint="eastAsia"/>
                <w:color w:val="auto"/>
              </w:rPr>
              <w:t>执行《城镇污水处理厂污染物排放标准》（GB 18918-2002）</w:t>
            </w:r>
            <w:r>
              <w:rPr>
                <w:rFonts w:hint="eastAsia"/>
                <w:color w:val="auto"/>
                <w:lang w:eastAsia="zh-CN"/>
              </w:rPr>
              <w:t>中</w:t>
            </w:r>
            <w:r>
              <w:rPr>
                <w:rFonts w:hint="eastAsia"/>
                <w:color w:val="auto"/>
              </w:rPr>
              <w:t>一级A标准</w:t>
            </w:r>
            <w:r>
              <w:rPr>
                <w:color w:val="auto"/>
              </w:rPr>
              <w:t>，废水排放总量为</w:t>
            </w:r>
            <w:r>
              <w:rPr>
                <w:rFonts w:hint="eastAsia"/>
                <w:color w:val="auto"/>
                <w:lang w:val="en-US" w:eastAsia="zh-CN"/>
              </w:rPr>
              <w:t>3438</w:t>
            </w:r>
            <w:r>
              <w:rPr>
                <w:color w:val="auto"/>
              </w:rPr>
              <w:t>t/a，其中COD</w:t>
            </w:r>
            <w:r>
              <w:rPr>
                <w:rFonts w:hint="eastAsia"/>
                <w:color w:val="auto"/>
              </w:rPr>
              <w:t>（</w:t>
            </w:r>
            <w:r>
              <w:rPr>
                <w:color w:val="auto"/>
              </w:rPr>
              <w:t>按</w:t>
            </w:r>
            <w:r>
              <w:rPr>
                <w:rFonts w:hint="eastAsia"/>
                <w:color w:val="auto"/>
                <w:lang w:val="en-US" w:eastAsia="zh-CN"/>
              </w:rPr>
              <w:t>5</w:t>
            </w:r>
            <w:r>
              <w:rPr>
                <w:color w:val="auto"/>
              </w:rPr>
              <w:t>0mg/L计算）的排放量为</w:t>
            </w:r>
            <w:r>
              <w:rPr>
                <w:rFonts w:hint="eastAsia"/>
                <w:color w:val="auto"/>
                <w:lang w:val="en-US" w:eastAsia="zh-CN"/>
              </w:rPr>
              <w:t>0.1719</w:t>
            </w:r>
            <w:r>
              <w:rPr>
                <w:color w:val="auto"/>
              </w:rPr>
              <w:t>t/a，NH</w:t>
            </w:r>
            <w:r>
              <w:rPr>
                <w:color w:val="auto"/>
                <w:vertAlign w:val="subscript"/>
              </w:rPr>
              <w:t>3</w:t>
            </w:r>
            <w:r>
              <w:rPr>
                <w:color w:val="auto"/>
              </w:rPr>
              <w:t>-N</w:t>
            </w:r>
            <w:r>
              <w:rPr>
                <w:rFonts w:hint="eastAsia"/>
                <w:color w:val="auto"/>
              </w:rPr>
              <w:t>（</w:t>
            </w:r>
            <w:r>
              <w:rPr>
                <w:color w:val="auto"/>
              </w:rPr>
              <w:t>按</w:t>
            </w:r>
            <w:r>
              <w:rPr>
                <w:rFonts w:hint="eastAsia"/>
                <w:color w:val="auto"/>
                <w:lang w:val="en-US" w:eastAsia="zh-CN"/>
              </w:rPr>
              <w:t>5</w:t>
            </w:r>
            <w:r>
              <w:rPr>
                <w:color w:val="auto"/>
              </w:rPr>
              <w:t>mg/L计算）的排放量为</w:t>
            </w:r>
            <w:r>
              <w:rPr>
                <w:rFonts w:hint="eastAsia"/>
                <w:color w:val="auto"/>
                <w:lang w:val="en-US" w:eastAsia="zh-CN"/>
              </w:rPr>
              <w:t>0.0172</w:t>
            </w:r>
            <w:r>
              <w:rPr>
                <w:color w:val="auto"/>
              </w:rPr>
              <w:t>t/a</w:t>
            </w:r>
            <w:r>
              <w:rPr>
                <w:rFonts w:hint="eastAsia"/>
                <w:color w:val="auto"/>
              </w:rPr>
              <w:t>，</w:t>
            </w:r>
            <w:r>
              <w:rPr>
                <w:color w:val="auto"/>
              </w:rPr>
              <w:t>对环境影响较小，</w:t>
            </w:r>
            <w:r>
              <w:rPr>
                <w:color w:val="auto"/>
                <w:lang w:val="en-GB"/>
              </w:rPr>
              <w:t>不会降低项目区域现有水环境功能。</w:t>
            </w:r>
          </w:p>
          <w:p>
            <w:pPr>
              <w:pStyle w:val="18"/>
              <w:keepLines w:val="0"/>
              <w:pageBreakBefore w:val="0"/>
              <w:kinsoku/>
              <w:wordWrap/>
              <w:bidi w:val="0"/>
              <w:adjustRightInd w:val="0"/>
              <w:snapToGrid w:val="0"/>
              <w:textAlignment w:val="auto"/>
              <w:rPr>
                <w:color w:val="auto"/>
              </w:rPr>
            </w:pPr>
            <w:r>
              <w:rPr>
                <w:color w:val="auto"/>
              </w:rPr>
              <w:t>2、废水达标排放分析</w:t>
            </w:r>
          </w:p>
          <w:p>
            <w:pPr>
              <w:pStyle w:val="16"/>
              <w:keepLines w:val="0"/>
              <w:pageBreakBefore w:val="0"/>
              <w:kinsoku/>
              <w:wordWrap/>
              <w:bidi w:val="0"/>
              <w:adjustRightInd w:val="0"/>
              <w:snapToGrid w:val="0"/>
              <w:textAlignment w:val="auto"/>
              <w:rPr>
                <w:rFonts w:hint="eastAsia"/>
                <w:color w:val="auto"/>
              </w:rPr>
            </w:pPr>
            <w:r>
              <w:rPr>
                <w:rFonts w:hint="eastAsia"/>
                <w:color w:val="auto"/>
              </w:rPr>
              <w:t>根据前文分析，</w:t>
            </w:r>
            <w:r>
              <w:rPr>
                <w:color w:val="auto"/>
              </w:rPr>
              <w:t>项目</w:t>
            </w:r>
            <w:r>
              <w:rPr>
                <w:rFonts w:hint="eastAsia"/>
                <w:color w:val="auto"/>
              </w:rPr>
              <w:t>外排</w:t>
            </w:r>
            <w:r>
              <w:rPr>
                <w:color w:val="auto"/>
              </w:rPr>
              <w:t>废水为生活污水</w:t>
            </w:r>
            <w:r>
              <w:rPr>
                <w:rFonts w:hint="eastAsia"/>
                <w:color w:val="auto"/>
                <w:lang w:eastAsia="zh-CN"/>
              </w:rPr>
              <w:t>和冷却排水。</w:t>
            </w:r>
            <w:r>
              <w:rPr>
                <w:rFonts w:hint="eastAsia"/>
                <w:color w:val="auto"/>
              </w:rPr>
              <w:t>生活污水经隔油池、化粪池预处理后与</w:t>
            </w:r>
            <w:r>
              <w:rPr>
                <w:rFonts w:hint="eastAsia"/>
                <w:color w:val="auto"/>
                <w:lang w:eastAsia="zh-CN"/>
              </w:rPr>
              <w:t>冷却排水汇合后的综合废水中</w:t>
            </w:r>
            <w:r>
              <w:rPr>
                <w:color w:val="auto"/>
              </w:rPr>
              <w:t>各项污染因子均能满足</w:t>
            </w:r>
            <w:r>
              <w:rPr>
                <w:rFonts w:hint="eastAsia"/>
                <w:color w:val="auto"/>
                <w:lang w:eastAsia="zh-CN"/>
              </w:rPr>
              <w:t>怀远经济开发区污水处理厂接管限值和《污水综合排放标准》（GB8978-1996）表4中三级标准限值</w:t>
            </w:r>
            <w:r>
              <w:rPr>
                <w:color w:val="auto"/>
              </w:rPr>
              <w:t>。</w:t>
            </w:r>
            <w:r>
              <w:rPr>
                <w:rFonts w:hint="eastAsia"/>
                <w:color w:val="auto"/>
              </w:rPr>
              <w:t>因此，</w:t>
            </w:r>
            <w:r>
              <w:rPr>
                <w:rFonts w:hint="eastAsia"/>
                <w:color w:val="auto"/>
                <w:lang w:val="en-US" w:eastAsia="zh-CN"/>
              </w:rPr>
              <w:t>项目废水</w:t>
            </w:r>
            <w:r>
              <w:rPr>
                <w:rFonts w:hint="eastAsia"/>
                <w:color w:val="auto"/>
              </w:rPr>
              <w:t>可以满足达标排放。</w:t>
            </w:r>
          </w:p>
          <w:p>
            <w:pPr>
              <w:pStyle w:val="18"/>
              <w:keepLines w:val="0"/>
              <w:pageBreakBefore w:val="0"/>
              <w:kinsoku/>
              <w:wordWrap/>
              <w:bidi w:val="0"/>
              <w:adjustRightInd w:val="0"/>
              <w:snapToGrid w:val="0"/>
              <w:textAlignment w:val="auto"/>
              <w:rPr>
                <w:color w:val="auto"/>
              </w:rPr>
            </w:pPr>
            <w:r>
              <w:rPr>
                <w:rFonts w:hint="eastAsia"/>
                <w:color w:val="auto"/>
              </w:rPr>
              <w:t>3、</w:t>
            </w:r>
            <w:r>
              <w:rPr>
                <w:rFonts w:hint="eastAsia"/>
                <w:color w:val="auto"/>
                <w:lang w:eastAsia="zh-CN"/>
              </w:rPr>
              <w:t>怀远经济开发区污水处理厂</w:t>
            </w:r>
            <w:r>
              <w:rPr>
                <w:rFonts w:hint="eastAsia"/>
                <w:color w:val="auto"/>
              </w:rPr>
              <w:t>依托</w:t>
            </w:r>
            <w:r>
              <w:rPr>
                <w:color w:val="auto"/>
              </w:rPr>
              <w:t>可行性分析</w:t>
            </w:r>
          </w:p>
          <w:p>
            <w:pPr>
              <w:pStyle w:val="16"/>
              <w:keepLines w:val="0"/>
              <w:pageBreakBefore w:val="0"/>
              <w:kinsoku/>
              <w:wordWrap/>
              <w:bidi w:val="0"/>
              <w:adjustRightInd w:val="0"/>
              <w:snapToGrid w:val="0"/>
              <w:textAlignment w:val="auto"/>
              <w:rPr>
                <w:color w:val="auto"/>
              </w:rPr>
            </w:pPr>
            <w:r>
              <w:rPr>
                <w:color w:val="auto"/>
              </w:rPr>
              <w:t>（1）</w:t>
            </w:r>
            <w:r>
              <w:rPr>
                <w:rFonts w:hint="eastAsia"/>
                <w:color w:val="auto"/>
                <w:lang w:eastAsia="zh-CN"/>
              </w:rPr>
              <w:t>怀远经济开发区污水处理厂</w:t>
            </w:r>
            <w:r>
              <w:rPr>
                <w:rFonts w:hint="eastAsia"/>
                <w:color w:val="auto"/>
              </w:rPr>
              <w:t>简介</w:t>
            </w:r>
          </w:p>
          <w:p>
            <w:pPr>
              <w:pStyle w:val="16"/>
              <w:keepLines w:val="0"/>
              <w:pageBreakBefore w:val="0"/>
              <w:kinsoku/>
              <w:wordWrap/>
              <w:bidi w:val="0"/>
              <w:adjustRightInd w:val="0"/>
              <w:snapToGrid w:val="0"/>
              <w:textAlignment w:val="auto"/>
              <w:rPr>
                <w:rFonts w:hint="default" w:ascii="Times New Roman" w:hAnsi="Times New Roman" w:cs="Times New Roman"/>
                <w:color w:val="auto"/>
                <w:lang w:eastAsia="zh-CN"/>
              </w:rPr>
            </w:pPr>
            <w:r>
              <w:rPr>
                <w:rFonts w:hint="eastAsia" w:cs="Times New Roman"/>
                <w:color w:val="auto"/>
                <w:lang w:eastAsia="zh-CN"/>
              </w:rPr>
              <w:t>怀远经济开发区污水处理厂</w:t>
            </w:r>
            <w:r>
              <w:rPr>
                <w:rFonts w:hint="default" w:ascii="Times New Roman" w:hAnsi="Times New Roman" w:cs="Times New Roman"/>
                <w:color w:val="auto"/>
                <w:lang w:eastAsia="zh-CN"/>
              </w:rPr>
              <w:t>位于</w:t>
            </w:r>
            <w:r>
              <w:rPr>
                <w:rFonts w:hint="eastAsia" w:cs="Times New Roman"/>
                <w:color w:val="auto"/>
                <w:lang w:eastAsia="zh-CN"/>
              </w:rPr>
              <w:t>位于怀远经济开发区内配天大道最南端东侧，南临淮河大堤</w:t>
            </w:r>
            <w:r>
              <w:rPr>
                <w:rFonts w:hint="default" w:ascii="Times New Roman" w:hAnsi="Times New Roman" w:cs="Times New Roman"/>
                <w:color w:val="auto"/>
                <w:lang w:eastAsia="zh-CN"/>
              </w:rPr>
              <w:t>，设计规模为</w:t>
            </w:r>
            <w:r>
              <w:rPr>
                <w:rFonts w:hint="eastAsia" w:cs="Times New Roman"/>
                <w:color w:val="auto"/>
                <w:lang w:val="en-US" w:eastAsia="zh-CN"/>
              </w:rPr>
              <w:t>1.5</w:t>
            </w:r>
            <w:r>
              <w:rPr>
                <w:rFonts w:hint="default" w:ascii="Times New Roman" w:hAnsi="Times New Roman" w:cs="Times New Roman"/>
                <w:color w:val="auto"/>
                <w:lang w:eastAsia="zh-CN"/>
              </w:rPr>
              <w:t>万m³/d。</w:t>
            </w:r>
            <w:r>
              <w:rPr>
                <w:rFonts w:hint="eastAsia" w:cs="Times New Roman"/>
                <w:color w:val="auto"/>
                <w:lang w:val="en-US" w:eastAsia="zh-CN"/>
              </w:rPr>
              <w:t>目前已建设完成并</w:t>
            </w:r>
            <w:r>
              <w:rPr>
                <w:rFonts w:hint="default" w:ascii="Times New Roman" w:hAnsi="Times New Roman" w:cs="Times New Roman"/>
                <w:color w:val="auto"/>
                <w:lang w:eastAsia="zh-CN"/>
              </w:rPr>
              <w:t>投入运行，</w:t>
            </w:r>
            <w:r>
              <w:rPr>
                <w:rFonts w:hint="eastAsia" w:cs="Times New Roman"/>
                <w:color w:val="auto"/>
                <w:lang w:val="en-US" w:eastAsia="zh-CN"/>
              </w:rPr>
              <w:t>污水</w:t>
            </w:r>
            <w:r>
              <w:rPr>
                <w:rFonts w:hint="default" w:ascii="Times New Roman" w:hAnsi="Times New Roman" w:cs="Times New Roman"/>
                <w:color w:val="auto"/>
                <w:lang w:eastAsia="zh-CN"/>
              </w:rPr>
              <w:t>处理工艺</w:t>
            </w:r>
            <w:r>
              <w:rPr>
                <w:rFonts w:hint="eastAsia" w:cs="Times New Roman"/>
                <w:color w:val="auto"/>
                <w:lang w:val="en-US" w:eastAsia="zh-CN"/>
              </w:rPr>
              <w:t>为</w:t>
            </w:r>
            <w:r>
              <w:rPr>
                <w:rFonts w:hint="eastAsia" w:cs="Times New Roman"/>
                <w:color w:val="auto"/>
                <w:lang w:eastAsia="zh-CN"/>
              </w:rPr>
              <w:t>进水→粗细格栅→提升泵站→集水池→物化反应→初沉池→水解酸化池→生物接触氧化池→二沉池→微曝气生物滤池→接触消毒池→尾水</w:t>
            </w:r>
            <w:r>
              <w:rPr>
                <w:rFonts w:hint="default" w:ascii="Times New Roman" w:hAnsi="Times New Roman" w:cs="Times New Roman"/>
                <w:color w:val="auto"/>
                <w:lang w:eastAsia="zh-CN"/>
              </w:rPr>
              <w:t>，尾水排放达到《城镇污水处理厂污染物排放标准》（GB18918-2002）一级A排放标准</w:t>
            </w:r>
            <w:r>
              <w:rPr>
                <w:rFonts w:hint="eastAsia" w:cs="Times New Roman"/>
                <w:color w:val="auto"/>
                <w:lang w:val="en-US" w:eastAsia="zh-CN"/>
              </w:rPr>
              <w:t>后</w:t>
            </w:r>
            <w:r>
              <w:rPr>
                <w:rFonts w:hint="default" w:ascii="Times New Roman" w:hAnsi="Times New Roman" w:cs="Times New Roman"/>
                <w:color w:val="auto"/>
                <w:lang w:eastAsia="zh-CN"/>
              </w:rPr>
              <w:t>经管道排入龚刘路大沟，再入一号大沟，最后排至北淝河。目前，</w:t>
            </w:r>
            <w:r>
              <w:rPr>
                <w:rFonts w:hint="eastAsia" w:cs="Times New Roman"/>
                <w:color w:val="auto"/>
                <w:lang w:eastAsia="zh-CN"/>
              </w:rPr>
              <w:t>怀远经济开发区污水处理厂</w:t>
            </w:r>
            <w:r>
              <w:rPr>
                <w:rFonts w:hint="default" w:ascii="Times New Roman" w:hAnsi="Times New Roman" w:cs="Times New Roman"/>
                <w:color w:val="auto"/>
                <w:lang w:eastAsia="zh-CN"/>
              </w:rPr>
              <w:t>现状处理能力为</w:t>
            </w:r>
            <w:r>
              <w:rPr>
                <w:rFonts w:hint="eastAsia" w:cs="Times New Roman"/>
                <w:color w:val="auto"/>
                <w:lang w:val="en-US" w:eastAsia="zh-CN"/>
              </w:rPr>
              <w:t>14306</w:t>
            </w:r>
            <w:r>
              <w:rPr>
                <w:rFonts w:hint="default" w:ascii="Times New Roman" w:hAnsi="Times New Roman" w:cs="Times New Roman"/>
                <w:color w:val="auto"/>
                <w:lang w:eastAsia="zh-CN"/>
              </w:rPr>
              <w:t>m³/d。</w:t>
            </w:r>
          </w:p>
          <w:p>
            <w:pPr>
              <w:pStyle w:val="16"/>
              <w:keepLines w:val="0"/>
              <w:pageBreakBefore w:val="0"/>
              <w:kinsoku/>
              <w:wordWrap/>
              <w:bidi w:val="0"/>
              <w:adjustRightInd w:val="0"/>
              <w:snapToGrid w:val="0"/>
              <w:textAlignment w:val="auto"/>
              <w:rPr>
                <w:rFonts w:hint="default" w:ascii="Times New Roman" w:hAnsi="Times New Roman" w:cs="Times New Roman"/>
                <w:color w:val="auto"/>
                <w:lang w:eastAsia="zh-CN"/>
              </w:rPr>
            </w:pPr>
            <w:r>
              <w:rPr>
                <w:rFonts w:hint="eastAsia" w:cs="Times New Roman"/>
                <w:color w:val="auto"/>
                <w:lang w:eastAsia="zh-CN"/>
              </w:rPr>
              <w:t>怀远经济开发区污水处理厂</w:t>
            </w:r>
            <w:r>
              <w:rPr>
                <w:rFonts w:hint="default" w:ascii="Times New Roman" w:hAnsi="Times New Roman" w:cs="Times New Roman"/>
                <w:color w:val="auto"/>
                <w:lang w:eastAsia="zh-CN"/>
              </w:rPr>
              <w:t>收集</w:t>
            </w:r>
            <w:r>
              <w:rPr>
                <w:rFonts w:hint="eastAsia" w:cs="Times New Roman"/>
                <w:color w:val="auto"/>
                <w:lang w:val="en-US" w:eastAsia="zh-CN"/>
              </w:rPr>
              <w:t>及服务范围为</w:t>
            </w:r>
            <w:r>
              <w:rPr>
                <w:rFonts w:hint="default" w:ascii="Times New Roman" w:hAnsi="Times New Roman" w:cs="Times New Roman"/>
                <w:color w:val="auto"/>
                <w:lang w:val="en-US" w:eastAsia="zh-CN"/>
              </w:rPr>
              <w:t>北至世纪大道（含大道北侧的企业污水）；东至淮上区与怀远县分界线；西至迎宾大道（含北段龚刘路及西侧的企业污水）；南至淮河大堤；总服务面积约</w:t>
            </w:r>
            <w:r>
              <w:rPr>
                <w:rFonts w:hint="default" w:ascii="Times New Roman" w:hAnsi="Times New Roman" w:eastAsia="宋体" w:cs="Times New Roman"/>
                <w:color w:val="auto"/>
                <w:lang w:val="en-US" w:eastAsia="zh-CN"/>
              </w:rPr>
              <w:t>9.5km</w:t>
            </w:r>
            <w:r>
              <w:rPr>
                <w:rFonts w:hint="default" w:ascii="Times New Roman" w:hAnsi="Times New Roman" w:eastAsia="宋体" w:cs="Times New Roman"/>
                <w:color w:val="auto"/>
                <w:vertAlign w:val="baseline"/>
                <w:lang w:val="en-US" w:eastAsia="zh-CN"/>
              </w:rPr>
              <w:t>²</w:t>
            </w:r>
            <w:r>
              <w:rPr>
                <w:rFonts w:hint="default" w:ascii="Times New Roman" w:hAnsi="Times New Roman" w:eastAsia="宋体" w:cs="Times New Roman"/>
                <w:color w:val="auto"/>
                <w:lang w:eastAsia="zh-CN"/>
              </w:rPr>
              <w:t>。</w:t>
            </w:r>
          </w:p>
          <w:p>
            <w:pPr>
              <w:pStyle w:val="16"/>
              <w:keepLines w:val="0"/>
              <w:pageBreakBefore w:val="0"/>
              <w:kinsoku/>
              <w:wordWrap/>
              <w:bidi w:val="0"/>
              <w:adjustRightInd w:val="0"/>
              <w:snapToGrid w:val="0"/>
              <w:textAlignment w:val="auto"/>
              <w:rPr>
                <w:color w:val="auto"/>
              </w:rPr>
            </w:pPr>
            <w:r>
              <w:rPr>
                <w:color w:val="auto"/>
              </w:rPr>
              <w:t>（2）</w:t>
            </w:r>
            <w:r>
              <w:rPr>
                <w:rFonts w:hint="eastAsia"/>
                <w:color w:val="auto"/>
                <w:lang w:val="en-US" w:eastAsia="zh-CN"/>
              </w:rPr>
              <w:t>依托</w:t>
            </w:r>
            <w:r>
              <w:rPr>
                <w:color w:val="auto"/>
              </w:rPr>
              <w:t>可行性分析</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项目位于</w:t>
            </w:r>
            <w:r>
              <w:rPr>
                <w:rFonts w:hint="eastAsia"/>
                <w:color w:val="auto"/>
                <w:lang w:eastAsia="zh-CN"/>
              </w:rPr>
              <w:t>蚌埠市怀远县经济开发区金河路32号</w:t>
            </w:r>
            <w:r>
              <w:rPr>
                <w:rFonts w:hint="eastAsia"/>
                <w:color w:val="auto"/>
              </w:rPr>
              <w:t>，属于</w:t>
            </w:r>
            <w:r>
              <w:rPr>
                <w:rFonts w:hint="eastAsia"/>
                <w:color w:val="auto"/>
                <w:lang w:eastAsia="zh-CN"/>
              </w:rPr>
              <w:t>怀远经济开发区污水处理厂收集</w:t>
            </w:r>
            <w:r>
              <w:rPr>
                <w:rFonts w:hint="eastAsia"/>
                <w:color w:val="auto"/>
                <w:lang w:val="en-US" w:eastAsia="zh-CN"/>
              </w:rPr>
              <w:t>及服务范围</w:t>
            </w:r>
            <w:r>
              <w:rPr>
                <w:rFonts w:hint="eastAsia"/>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根据前文分析，</w:t>
            </w:r>
            <w:r>
              <w:rPr>
                <w:color w:val="auto"/>
              </w:rPr>
              <w:t>项目</w:t>
            </w:r>
            <w:r>
              <w:rPr>
                <w:rFonts w:hint="eastAsia"/>
                <w:color w:val="auto"/>
              </w:rPr>
              <w:t>生活污水经隔油池、化粪池预处理后与</w:t>
            </w:r>
            <w:r>
              <w:rPr>
                <w:rFonts w:hint="eastAsia"/>
                <w:color w:val="auto"/>
                <w:lang w:eastAsia="zh-CN"/>
              </w:rPr>
              <w:t>冷却排水汇合后的综合废水中</w:t>
            </w:r>
            <w:r>
              <w:rPr>
                <w:color w:val="auto"/>
              </w:rPr>
              <w:t>各项污染因子均能满足</w:t>
            </w:r>
            <w:r>
              <w:rPr>
                <w:rFonts w:hint="eastAsia"/>
                <w:color w:val="auto"/>
                <w:lang w:eastAsia="zh-CN"/>
              </w:rPr>
              <w:t>怀远经济开发区污水处理厂接管限值和《污水综合排放标准》（GB8978-1996）表4中三级标准限值</w:t>
            </w:r>
            <w:r>
              <w:rPr>
                <w:color w:val="auto"/>
              </w:rPr>
              <w:t>。</w:t>
            </w:r>
          </w:p>
          <w:p>
            <w:pPr>
              <w:pStyle w:val="16"/>
              <w:keepLines w:val="0"/>
              <w:pageBreakBefore w:val="0"/>
              <w:kinsoku/>
              <w:wordWrap/>
              <w:bidi w:val="0"/>
              <w:adjustRightInd w:val="0"/>
              <w:snapToGrid w:val="0"/>
              <w:textAlignment w:val="auto"/>
              <w:rPr>
                <w:color w:val="auto"/>
              </w:rPr>
            </w:pPr>
            <w:r>
              <w:rPr>
                <w:rFonts w:hint="eastAsia"/>
                <w:color w:val="auto"/>
                <w:lang w:eastAsia="zh-CN"/>
              </w:rPr>
              <w:t>怀远经济开发区污水处理厂</w:t>
            </w:r>
            <w:r>
              <w:rPr>
                <w:color w:val="auto"/>
              </w:rPr>
              <w:t>正式投入运行以来，污水处理设备运转良好。</w:t>
            </w:r>
            <w:r>
              <w:rPr>
                <w:rFonts w:hint="eastAsia"/>
                <w:color w:val="auto"/>
                <w:lang w:eastAsia="zh-CN"/>
              </w:rPr>
              <w:t>项目外排废水为生活污水和冷却排水</w:t>
            </w:r>
            <w:r>
              <w:rPr>
                <w:color w:val="auto"/>
              </w:rPr>
              <w:t>，</w:t>
            </w:r>
            <w:r>
              <w:rPr>
                <w:rFonts w:hint="eastAsia"/>
                <w:color w:val="auto"/>
                <w:lang w:val="en-US" w:eastAsia="zh-CN"/>
              </w:rPr>
              <w:t>项目改建后废水</w:t>
            </w:r>
            <w:r>
              <w:rPr>
                <w:color w:val="auto"/>
              </w:rPr>
              <w:t>排放量为</w:t>
            </w:r>
            <w:r>
              <w:rPr>
                <w:rFonts w:hint="eastAsia"/>
                <w:color w:val="auto"/>
                <w:lang w:val="en-US" w:eastAsia="zh-CN"/>
              </w:rPr>
              <w:t>11.46</w:t>
            </w:r>
            <w:r>
              <w:rPr>
                <w:color w:val="auto"/>
              </w:rPr>
              <w:t>t/d，排放废水量占污水处理厂工程容量</w:t>
            </w:r>
            <w:r>
              <w:rPr>
                <w:rFonts w:hint="eastAsia"/>
                <w:color w:val="auto"/>
              </w:rPr>
              <w:t>极小</w:t>
            </w:r>
            <w:r>
              <w:rPr>
                <w:color w:val="auto"/>
              </w:rPr>
              <w:t>，不会对污水处理厂运行造成冲击，且</w:t>
            </w:r>
            <w:r>
              <w:rPr>
                <w:rFonts w:hint="eastAsia"/>
                <w:color w:val="auto"/>
                <w:lang w:eastAsia="zh-CN"/>
              </w:rPr>
              <w:t>怀远经济开发区污水处理厂</w:t>
            </w:r>
            <w:r>
              <w:rPr>
                <w:color w:val="auto"/>
              </w:rPr>
              <w:t>仍有容量接纳本项目污水，</w:t>
            </w:r>
            <w:r>
              <w:rPr>
                <w:rFonts w:hint="eastAsia"/>
                <w:color w:val="auto"/>
                <w:lang w:val="en-US" w:eastAsia="zh-CN"/>
              </w:rPr>
              <w:t>项目废水</w:t>
            </w:r>
            <w:r>
              <w:rPr>
                <w:color w:val="auto"/>
              </w:rPr>
              <w:t>的主要污染物为COD、BOD</w:t>
            </w:r>
            <w:r>
              <w:rPr>
                <w:color w:val="auto"/>
                <w:vertAlign w:val="subscript"/>
              </w:rPr>
              <w:t>5</w:t>
            </w:r>
            <w:r>
              <w:rPr>
                <w:color w:val="auto"/>
              </w:rPr>
              <w:t>、NH</w:t>
            </w:r>
            <w:r>
              <w:rPr>
                <w:color w:val="auto"/>
                <w:vertAlign w:val="subscript"/>
              </w:rPr>
              <w:t>3</w:t>
            </w:r>
            <w:r>
              <w:rPr>
                <w:color w:val="auto"/>
              </w:rPr>
              <w:t>-N、SS</w:t>
            </w:r>
            <w:r>
              <w:rPr>
                <w:rFonts w:hint="eastAsia"/>
                <w:color w:val="auto"/>
                <w:lang w:val="en-US" w:eastAsia="zh-CN"/>
              </w:rPr>
              <w:t>和动植物油</w:t>
            </w:r>
            <w:r>
              <w:rPr>
                <w:color w:val="auto"/>
              </w:rPr>
              <w:t>，无有毒有害物质，</w:t>
            </w:r>
            <w:r>
              <w:rPr>
                <w:rFonts w:hint="eastAsia"/>
                <w:color w:val="auto"/>
              </w:rPr>
              <w:t>经</w:t>
            </w:r>
            <w:r>
              <w:rPr>
                <w:rFonts w:hint="eastAsia"/>
                <w:color w:val="auto"/>
                <w:lang w:eastAsia="zh-CN"/>
              </w:rPr>
              <w:t>怀远经济开发区污水处理厂</w:t>
            </w:r>
            <w:r>
              <w:rPr>
                <w:rFonts w:hint="eastAsia"/>
                <w:color w:val="auto"/>
              </w:rPr>
              <w:t>处理后的</w:t>
            </w:r>
            <w:r>
              <w:rPr>
                <w:color w:val="auto"/>
              </w:rPr>
              <w:t>废水不会对地表水产生直接影响。</w:t>
            </w:r>
          </w:p>
          <w:p>
            <w:pPr>
              <w:pStyle w:val="16"/>
              <w:keepLines w:val="0"/>
              <w:pageBreakBefore w:val="0"/>
              <w:kinsoku/>
              <w:wordWrap/>
              <w:bidi w:val="0"/>
              <w:adjustRightInd w:val="0"/>
              <w:snapToGrid w:val="0"/>
              <w:textAlignment w:val="auto"/>
              <w:rPr>
                <w:color w:val="auto"/>
              </w:rPr>
            </w:pPr>
            <w:r>
              <w:rPr>
                <w:rFonts w:hint="eastAsia"/>
                <w:color w:val="auto"/>
              </w:rPr>
              <w:t>综上所述，生活污水经隔油池、化粪池预处理后与</w:t>
            </w:r>
            <w:r>
              <w:rPr>
                <w:rFonts w:hint="eastAsia"/>
                <w:color w:val="auto"/>
                <w:lang w:eastAsia="zh-CN"/>
              </w:rPr>
              <w:t>冷却排水汇合后的综合废水</w:t>
            </w:r>
            <w:r>
              <w:rPr>
                <w:color w:val="auto"/>
              </w:rPr>
              <w:t>依托</w:t>
            </w:r>
            <w:r>
              <w:rPr>
                <w:rFonts w:hint="eastAsia"/>
                <w:color w:val="auto"/>
                <w:lang w:eastAsia="zh-CN"/>
              </w:rPr>
              <w:t>怀远经济开发区污水处理厂</w:t>
            </w:r>
            <w:r>
              <w:rPr>
                <w:rFonts w:hint="eastAsia"/>
                <w:color w:val="auto"/>
                <w:lang w:val="en-US" w:eastAsia="zh-CN"/>
              </w:rPr>
              <w:t>进一步</w:t>
            </w:r>
            <w:r>
              <w:rPr>
                <w:color w:val="auto"/>
              </w:rPr>
              <w:t>处理是可行的。</w:t>
            </w:r>
          </w:p>
          <w:p>
            <w:pPr>
              <w:pStyle w:val="18"/>
              <w:keepLines w:val="0"/>
              <w:pageBreakBefore w:val="0"/>
              <w:kinsoku/>
              <w:wordWrap/>
              <w:bidi w:val="0"/>
              <w:adjustRightInd w:val="0"/>
              <w:snapToGrid w:val="0"/>
              <w:textAlignment w:val="auto"/>
              <w:rPr>
                <w:color w:val="auto"/>
              </w:rPr>
            </w:pPr>
            <w:r>
              <w:rPr>
                <w:color w:val="auto"/>
              </w:rPr>
              <w:t>4、废水监测计划</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项目排污许可管理类别为“登记管理”。根据《排污单位自行监测技术指南-总则》（HJ 819-2017）及其他相关要求，废</w:t>
            </w:r>
            <w:r>
              <w:rPr>
                <w:rFonts w:hint="eastAsia"/>
                <w:color w:val="auto"/>
                <w:lang w:val="en-US" w:eastAsia="zh-CN"/>
              </w:rPr>
              <w:t>水</w:t>
            </w:r>
            <w:r>
              <w:rPr>
                <w:rFonts w:hint="eastAsia"/>
                <w:color w:val="auto"/>
                <w:lang w:eastAsia="zh-CN"/>
              </w:rPr>
              <w:t>监测计划见下表。</w:t>
            </w:r>
          </w:p>
          <w:p>
            <w:pPr>
              <w:pStyle w:val="11"/>
              <w:keepLines w:val="0"/>
              <w:pageBreakBefore w:val="0"/>
              <w:kinsoku/>
              <w:wordWrap/>
              <w:bidi w:val="0"/>
              <w:adjustRightInd w:val="0"/>
              <w:snapToGrid w:val="0"/>
              <w:textAlignment w:val="auto"/>
              <w:rPr>
                <w:rFonts w:hint="default"/>
                <w:color w:val="auto"/>
              </w:rPr>
            </w:pPr>
            <w:r>
              <w:rPr>
                <w:rFonts w:hint="default"/>
                <w:color w:val="auto"/>
              </w:rPr>
              <w:t>表4-</w:t>
            </w:r>
            <w:r>
              <w:rPr>
                <w:rFonts w:hint="default"/>
                <w:color w:val="auto"/>
                <w:lang w:val="en-US" w:eastAsia="zh-CN"/>
              </w:rPr>
              <w:t>1</w:t>
            </w:r>
            <w:r>
              <w:rPr>
                <w:rFonts w:hint="eastAsia"/>
                <w:color w:val="auto"/>
                <w:lang w:val="en-US" w:eastAsia="zh-CN"/>
              </w:rPr>
              <w:t>2</w:t>
            </w:r>
            <w:r>
              <w:rPr>
                <w:rFonts w:hint="default"/>
                <w:color w:val="auto"/>
              </w:rPr>
              <w:t xml:space="preserve"> 废</w:t>
            </w:r>
            <w:r>
              <w:rPr>
                <w:rFonts w:hint="default"/>
                <w:color w:val="auto"/>
                <w:lang w:eastAsia="zh-CN"/>
              </w:rPr>
              <w:t>水</w:t>
            </w:r>
            <w:r>
              <w:rPr>
                <w:rFonts w:hint="default"/>
                <w:color w:val="auto"/>
              </w:rPr>
              <w:t>监测计划</w:t>
            </w:r>
          </w:p>
          <w:tbl>
            <w:tblPr>
              <w:tblStyle w:val="8"/>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17"/>
              <w:gridCol w:w="4422"/>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tcBorders>
                    <w:tl2br w:val="nil"/>
                    <w:tr2bl w:val="nil"/>
                  </w:tcBorders>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类别</w:t>
                  </w:r>
                </w:p>
              </w:tc>
              <w:tc>
                <w:tcPr>
                  <w:tcW w:w="1417" w:type="dxa"/>
                  <w:tcBorders>
                    <w:tl2br w:val="nil"/>
                    <w:tr2bl w:val="nil"/>
                  </w:tcBorders>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监测地点</w:t>
                  </w:r>
                </w:p>
              </w:tc>
              <w:tc>
                <w:tcPr>
                  <w:tcW w:w="4422" w:type="dxa"/>
                  <w:tcBorders>
                    <w:tl2br w:val="nil"/>
                    <w:tr2bl w:val="nil"/>
                  </w:tcBorders>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监测项目</w:t>
                  </w:r>
                </w:p>
              </w:tc>
              <w:tc>
                <w:tcPr>
                  <w:tcW w:w="1701" w:type="dxa"/>
                  <w:tcBorders>
                    <w:tl2br w:val="nil"/>
                    <w:tr2bl w:val="nil"/>
                  </w:tcBorders>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tcBorders>
                    <w:tl2br w:val="nil"/>
                    <w:tr2bl w:val="nil"/>
                  </w:tcBorders>
                  <w:noWrap w:val="0"/>
                  <w:vAlign w:val="center"/>
                </w:tcPr>
                <w:p>
                  <w:pPr>
                    <w:pStyle w:val="13"/>
                    <w:keepLines w:val="0"/>
                    <w:pageBreakBefore w:val="0"/>
                    <w:kinsoku/>
                    <w:wordWrap/>
                    <w:bidi w:val="0"/>
                    <w:adjustRightInd w:val="0"/>
                    <w:snapToGrid w:val="0"/>
                    <w:textAlignment w:val="auto"/>
                    <w:rPr>
                      <w:rFonts w:hint="default"/>
                      <w:color w:val="auto"/>
                      <w:lang w:eastAsia="zh-CN"/>
                    </w:rPr>
                  </w:pPr>
                  <w:r>
                    <w:rPr>
                      <w:rFonts w:hint="default"/>
                      <w:color w:val="auto"/>
                      <w:lang w:eastAsia="zh-CN"/>
                    </w:rPr>
                    <w:t>废水</w:t>
                  </w:r>
                </w:p>
              </w:tc>
              <w:tc>
                <w:tcPr>
                  <w:tcW w:w="1417" w:type="dxa"/>
                  <w:tcBorders>
                    <w:tl2br w:val="nil"/>
                    <w:tr2bl w:val="nil"/>
                  </w:tcBorders>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default"/>
                      <w:color w:val="auto"/>
                    </w:rPr>
                    <w:t>DW00</w:t>
                  </w:r>
                  <w:r>
                    <w:rPr>
                      <w:rFonts w:hint="default"/>
                      <w:color w:val="auto"/>
                      <w:lang w:val="en-US" w:eastAsia="zh-CN"/>
                    </w:rPr>
                    <w:t>1</w:t>
                  </w:r>
                </w:p>
              </w:tc>
              <w:tc>
                <w:tcPr>
                  <w:tcW w:w="4422" w:type="dxa"/>
                  <w:tcBorders>
                    <w:tl2br w:val="nil"/>
                    <w:tr2bl w:val="nil"/>
                  </w:tcBorders>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default"/>
                      <w:color w:val="auto"/>
                      <w:lang w:val="en-US" w:eastAsia="zh-CN"/>
                    </w:rPr>
                    <w:t>PH、</w:t>
                  </w:r>
                  <w:r>
                    <w:rPr>
                      <w:rFonts w:hint="default"/>
                      <w:color w:val="auto"/>
                    </w:rPr>
                    <w:t>COD</w:t>
                  </w:r>
                  <w:r>
                    <w:rPr>
                      <w:rFonts w:hint="default"/>
                      <w:color w:val="auto"/>
                      <w:lang w:eastAsia="zh-CN"/>
                    </w:rPr>
                    <w:t>、</w:t>
                  </w:r>
                  <w:r>
                    <w:rPr>
                      <w:rFonts w:hint="default"/>
                      <w:color w:val="auto"/>
                    </w:rPr>
                    <w:t>BOD</w:t>
                  </w:r>
                  <w:r>
                    <w:rPr>
                      <w:rFonts w:hint="default"/>
                      <w:color w:val="auto"/>
                      <w:vertAlign w:val="subscript"/>
                    </w:rPr>
                    <w:t>5</w:t>
                  </w:r>
                  <w:r>
                    <w:rPr>
                      <w:rFonts w:hint="default"/>
                      <w:color w:val="auto"/>
                      <w:lang w:eastAsia="zh-CN"/>
                    </w:rPr>
                    <w:t>、</w:t>
                  </w:r>
                  <w:r>
                    <w:rPr>
                      <w:rFonts w:hint="default"/>
                      <w:color w:val="auto"/>
                    </w:rPr>
                    <w:t>NH</w:t>
                  </w:r>
                  <w:r>
                    <w:rPr>
                      <w:rFonts w:hint="default"/>
                      <w:color w:val="auto"/>
                      <w:vertAlign w:val="subscript"/>
                    </w:rPr>
                    <w:t>3</w:t>
                  </w:r>
                  <w:r>
                    <w:rPr>
                      <w:rFonts w:hint="default"/>
                      <w:color w:val="auto"/>
                    </w:rPr>
                    <w:t>-N</w:t>
                  </w:r>
                  <w:r>
                    <w:rPr>
                      <w:rFonts w:hint="default"/>
                      <w:color w:val="auto"/>
                      <w:lang w:eastAsia="zh-CN"/>
                    </w:rPr>
                    <w:t>、</w:t>
                  </w:r>
                  <w:r>
                    <w:rPr>
                      <w:rFonts w:hint="default"/>
                      <w:color w:val="auto"/>
                    </w:rPr>
                    <w:t>SS</w:t>
                  </w:r>
                  <w:r>
                    <w:rPr>
                      <w:rFonts w:hint="eastAsia"/>
                      <w:color w:val="auto"/>
                      <w:lang w:eastAsia="zh-CN"/>
                    </w:rPr>
                    <w:t>、</w:t>
                  </w:r>
                  <w:r>
                    <w:rPr>
                      <w:rFonts w:hint="eastAsia"/>
                      <w:color w:val="auto"/>
                      <w:lang w:val="en-US" w:eastAsia="zh-CN"/>
                    </w:rPr>
                    <w:t>动植物油</w:t>
                  </w:r>
                </w:p>
              </w:tc>
              <w:tc>
                <w:tcPr>
                  <w:tcW w:w="1701" w:type="dxa"/>
                  <w:tcBorders>
                    <w:tl2br w:val="nil"/>
                    <w:tr2bl w:val="nil"/>
                  </w:tcBorders>
                  <w:noWrap w:val="0"/>
                  <w:vAlign w:val="center"/>
                </w:tcPr>
                <w:p>
                  <w:pPr>
                    <w:pStyle w:val="13"/>
                    <w:keepLines w:val="0"/>
                    <w:pageBreakBefore w:val="0"/>
                    <w:kinsoku/>
                    <w:wordWrap/>
                    <w:bidi w:val="0"/>
                    <w:adjustRightInd w:val="0"/>
                    <w:snapToGrid w:val="0"/>
                    <w:textAlignment w:val="auto"/>
                    <w:rPr>
                      <w:rFonts w:hint="default"/>
                      <w:color w:val="auto"/>
                    </w:rPr>
                  </w:pPr>
                  <w:r>
                    <w:rPr>
                      <w:rFonts w:hint="default"/>
                      <w:color w:val="auto"/>
                    </w:rPr>
                    <w:t>1次/</w:t>
                  </w:r>
                  <w:r>
                    <w:rPr>
                      <w:rFonts w:hint="default"/>
                      <w:color w:val="auto"/>
                      <w:lang w:eastAsia="zh-CN"/>
                    </w:rPr>
                    <w:t>年</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三、噪声</w:t>
            </w:r>
          </w:p>
          <w:p>
            <w:pPr>
              <w:pStyle w:val="18"/>
              <w:keepLines w:val="0"/>
              <w:pageBreakBefore w:val="0"/>
              <w:kinsoku/>
              <w:wordWrap/>
              <w:bidi w:val="0"/>
              <w:adjustRightInd w:val="0"/>
              <w:snapToGrid w:val="0"/>
              <w:textAlignment w:val="auto"/>
              <w:rPr>
                <w:color w:val="auto"/>
              </w:rPr>
            </w:pPr>
            <w:r>
              <w:rPr>
                <w:color w:val="auto"/>
              </w:rPr>
              <w:t>1、噪声源强分析</w:t>
            </w:r>
          </w:p>
          <w:p>
            <w:pPr>
              <w:pStyle w:val="16"/>
              <w:keepLines w:val="0"/>
              <w:pageBreakBefore w:val="0"/>
              <w:kinsoku/>
              <w:wordWrap/>
              <w:bidi w:val="0"/>
              <w:adjustRightInd w:val="0"/>
              <w:snapToGrid w:val="0"/>
              <w:textAlignment w:val="auto"/>
              <w:rPr>
                <w:rFonts w:hint="eastAsia"/>
                <w:color w:val="auto"/>
              </w:rPr>
            </w:pPr>
            <w:r>
              <w:rPr>
                <w:rFonts w:hint="eastAsia"/>
                <w:color w:val="auto"/>
              </w:rPr>
              <w:t>（1）噪声源强</w:t>
            </w:r>
          </w:p>
          <w:p>
            <w:pPr>
              <w:pStyle w:val="16"/>
              <w:keepLines w:val="0"/>
              <w:pageBreakBefore w:val="0"/>
              <w:kinsoku/>
              <w:wordWrap/>
              <w:bidi w:val="0"/>
              <w:adjustRightInd w:val="0"/>
              <w:snapToGrid w:val="0"/>
              <w:textAlignment w:val="auto"/>
              <w:rPr>
                <w:rFonts w:hint="eastAsia"/>
                <w:color w:val="auto"/>
                <w:highlight w:val="none"/>
              </w:rPr>
            </w:pPr>
            <w:r>
              <w:rPr>
                <w:rFonts w:hint="eastAsia"/>
                <w:color w:val="auto"/>
                <w:lang w:val="en-US" w:eastAsia="zh-CN"/>
              </w:rPr>
              <w:t>扩建项目</w:t>
            </w:r>
            <w:r>
              <w:rPr>
                <w:color w:val="auto"/>
              </w:rPr>
              <w:t>运营期噪声主要来自</w:t>
            </w:r>
            <w:r>
              <w:rPr>
                <w:rFonts w:hint="eastAsia"/>
                <w:color w:val="auto"/>
                <w:lang w:val="en-US" w:eastAsia="zh-CN"/>
              </w:rPr>
              <w:t>混棉箱、粗开松机、精开松机、</w:t>
            </w:r>
            <w:r>
              <w:rPr>
                <w:rFonts w:hint="eastAsia"/>
                <w:color w:val="auto"/>
                <w:lang w:eastAsia="zh-CN"/>
              </w:rPr>
              <w:t>梳理机、铺网机、</w:t>
            </w:r>
            <w:r>
              <w:rPr>
                <w:rFonts w:hint="eastAsia"/>
                <w:color w:val="auto"/>
                <w:lang w:val="en-US" w:eastAsia="zh-CN"/>
              </w:rPr>
              <w:t>预刺机、主刺机、烘箱（电）、切边装置、热烫压合机、收卷机、边角料开松机、电子秤混棉机、和毛中仓一体机、主开松机、给棉机、超声波滤纸复合分条一体机、</w:t>
            </w:r>
            <w:r>
              <w:rPr>
                <w:rFonts w:hint="eastAsia"/>
                <w:color w:val="auto"/>
                <w:lang w:eastAsia="zh-CN"/>
              </w:rPr>
              <w:t>风机</w:t>
            </w:r>
            <w:r>
              <w:rPr>
                <w:color w:val="auto"/>
              </w:rPr>
              <w:t>等设备，上述</w:t>
            </w:r>
            <w:r>
              <w:rPr>
                <w:rFonts w:hint="eastAsia"/>
                <w:color w:val="auto"/>
                <w:lang w:val="en-US" w:eastAsia="zh-CN"/>
              </w:rPr>
              <w:t>生产</w:t>
            </w:r>
            <w:r>
              <w:rPr>
                <w:color w:val="auto"/>
              </w:rPr>
              <w:t>设备均</w:t>
            </w:r>
            <w:r>
              <w:rPr>
                <w:rFonts w:hint="eastAsia"/>
                <w:color w:val="auto"/>
                <w:lang w:val="en-US" w:eastAsia="zh-CN"/>
              </w:rPr>
              <w:t>设置</w:t>
            </w:r>
            <w:r>
              <w:rPr>
                <w:color w:val="auto"/>
              </w:rPr>
              <w:t>在车间内，通过</w:t>
            </w:r>
            <w:r>
              <w:rPr>
                <w:rFonts w:hint="eastAsia"/>
                <w:color w:val="auto"/>
                <w:lang w:eastAsia="zh-CN"/>
              </w:rPr>
              <w:t>采取选用低噪声设备、厂房隔声、基础减振等降噪措施</w:t>
            </w:r>
            <w:r>
              <w:rPr>
                <w:color w:val="auto"/>
              </w:rPr>
              <w:t>，可起到一定降噪效果。通过以上措施可以降低噪声约15～25dB（A）。根据类比资料分析，</w:t>
            </w:r>
            <w:r>
              <w:rPr>
                <w:rFonts w:hint="eastAsia"/>
                <w:color w:val="auto"/>
              </w:rPr>
              <w:t>项目运营期主要噪声源，</w:t>
            </w:r>
            <w:r>
              <w:rPr>
                <w:color w:val="auto"/>
              </w:rPr>
              <w:t>详见下表。</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表4-1</w:t>
            </w:r>
            <w:r>
              <w:rPr>
                <w:rFonts w:hint="eastAsia"/>
                <w:color w:val="auto"/>
                <w:lang w:val="en-US" w:eastAsia="zh-CN"/>
              </w:rPr>
              <w:t>3</w:t>
            </w:r>
            <w:r>
              <w:rPr>
                <w:rFonts w:hint="eastAsia"/>
                <w:color w:val="auto"/>
              </w:rPr>
              <w:t xml:space="preserve"> </w:t>
            </w:r>
            <w:r>
              <w:rPr>
                <w:rFonts w:hint="eastAsia"/>
                <w:color w:val="auto"/>
                <w:lang w:val="en-US" w:eastAsia="zh-CN"/>
              </w:rPr>
              <w:t>扩建</w:t>
            </w:r>
            <w:r>
              <w:rPr>
                <w:rFonts w:hint="eastAsia"/>
                <w:color w:val="auto"/>
              </w:rPr>
              <w:t>项目运营期主要噪声源</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701"/>
              <w:gridCol w:w="1020"/>
              <w:gridCol w:w="737"/>
              <w:gridCol w:w="964"/>
              <w:gridCol w:w="794"/>
              <w:gridCol w:w="680"/>
              <w:gridCol w:w="680"/>
              <w:gridCol w:w="680"/>
              <w:gridCol w:w="680"/>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5"/>
                    <w:keepLines w:val="0"/>
                    <w:pageBreakBefore w:val="0"/>
                    <w:kinsoku/>
                    <w:wordWrap/>
                    <w:bidi w:val="0"/>
                    <w:adjustRightInd w:val="0"/>
                    <w:snapToGrid w:val="0"/>
                    <w:textAlignment w:val="auto"/>
                    <w:rPr>
                      <w:color w:val="auto"/>
                      <w:sz w:val="21"/>
                      <w:szCs w:val="21"/>
                    </w:rPr>
                  </w:pPr>
                  <w:r>
                    <w:rPr>
                      <w:color w:val="auto"/>
                      <w:sz w:val="21"/>
                      <w:szCs w:val="21"/>
                    </w:rPr>
                    <w:t>序号</w:t>
                  </w:r>
                </w:p>
              </w:tc>
              <w:tc>
                <w:tcPr>
                  <w:tcW w:w="1701"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噪声源</w:t>
                  </w:r>
                </w:p>
              </w:tc>
              <w:tc>
                <w:tcPr>
                  <w:tcW w:w="1020"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eastAsia="zh-CN"/>
                    </w:rPr>
                    <w:t>源强最大值</w:t>
                  </w:r>
                  <w:r>
                    <w:rPr>
                      <w:rFonts w:hint="eastAsia"/>
                      <w:color w:val="auto"/>
                      <w:sz w:val="21"/>
                      <w:szCs w:val="21"/>
                      <w:lang w:val="en-US" w:eastAsia="zh-CN"/>
                    </w:rPr>
                    <w:t>/dB（A）</w:t>
                  </w:r>
                </w:p>
              </w:tc>
              <w:tc>
                <w:tcPr>
                  <w:tcW w:w="737"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降噪</w:t>
                  </w:r>
                </w:p>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措施</w:t>
                  </w:r>
                </w:p>
              </w:tc>
              <w:tc>
                <w:tcPr>
                  <w:tcW w:w="964"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降噪</w:t>
                  </w:r>
                  <w:r>
                    <w:rPr>
                      <w:color w:val="auto"/>
                      <w:sz w:val="21"/>
                      <w:szCs w:val="21"/>
                    </w:rPr>
                    <w:t>效果</w:t>
                  </w:r>
                  <w:r>
                    <w:rPr>
                      <w:rFonts w:hint="eastAsia"/>
                      <w:color w:val="auto"/>
                      <w:sz w:val="21"/>
                      <w:szCs w:val="21"/>
                      <w:lang w:val="en-US" w:eastAsia="zh-CN"/>
                    </w:rPr>
                    <w:t>/dB（A）</w:t>
                  </w:r>
                </w:p>
              </w:tc>
              <w:tc>
                <w:tcPr>
                  <w:tcW w:w="794" w:type="dxa"/>
                  <w:vMerge w:val="restart"/>
                  <w:noWrap w:val="0"/>
                  <w:vAlign w:val="center"/>
                </w:tcPr>
                <w:p>
                  <w:pPr>
                    <w:pStyle w:val="15"/>
                    <w:keepLines w:val="0"/>
                    <w:pageBreakBefore w:val="0"/>
                    <w:kinsoku/>
                    <w:wordWrap/>
                    <w:bidi w:val="0"/>
                    <w:adjustRightInd w:val="0"/>
                    <w:snapToGrid w:val="0"/>
                    <w:textAlignment w:val="auto"/>
                    <w:rPr>
                      <w:rFonts w:hint="default"/>
                      <w:color w:val="auto"/>
                      <w:sz w:val="21"/>
                      <w:szCs w:val="21"/>
                      <w:lang w:val="en-US"/>
                    </w:rPr>
                  </w:pPr>
                  <w:r>
                    <w:rPr>
                      <w:rFonts w:hint="eastAsia"/>
                      <w:color w:val="auto"/>
                      <w:sz w:val="21"/>
                      <w:szCs w:val="21"/>
                      <w:lang w:eastAsia="zh-CN"/>
                    </w:rPr>
                    <w:t>持续时间</w:t>
                  </w:r>
                  <w:r>
                    <w:rPr>
                      <w:rFonts w:hint="eastAsia"/>
                      <w:color w:val="auto"/>
                      <w:sz w:val="21"/>
                      <w:szCs w:val="21"/>
                      <w:lang w:val="en-US" w:eastAsia="zh-CN"/>
                    </w:rPr>
                    <w:t>/h</w:t>
                  </w:r>
                </w:p>
              </w:tc>
              <w:tc>
                <w:tcPr>
                  <w:tcW w:w="2721" w:type="dxa"/>
                  <w:gridSpan w:val="5"/>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color w:val="auto"/>
                      <w:sz w:val="21"/>
                      <w:szCs w:val="21"/>
                    </w:rPr>
                    <w:t>距离厂界最近距离（m）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vMerge w:val="continue"/>
                  <w:noWrap w:val="0"/>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1701" w:type="dxa"/>
                  <w:vMerge w:val="continue"/>
                  <w:noWrap w:val="0"/>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1020" w:type="dxa"/>
                  <w:vMerge w:val="continue"/>
                  <w:noWrap w:val="0"/>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737" w:type="dxa"/>
                  <w:vMerge w:val="continue"/>
                  <w:noWrap w:val="0"/>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964" w:type="dxa"/>
                  <w:vMerge w:val="continue"/>
                  <w:noWrap w:val="0"/>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794" w:type="dxa"/>
                  <w:vMerge w:val="continue"/>
                  <w:noWrap w:val="0"/>
                  <w:vAlign w:val="center"/>
                </w:tcPr>
                <w:p>
                  <w:pPr>
                    <w:pStyle w:val="15"/>
                    <w:keepLines w:val="0"/>
                    <w:pageBreakBefore w:val="0"/>
                    <w:kinsoku/>
                    <w:wordWrap/>
                    <w:bidi w:val="0"/>
                    <w:adjustRightInd w:val="0"/>
                    <w:snapToGrid w:val="0"/>
                    <w:textAlignment w:val="auto"/>
                    <w:rPr>
                      <w:rFonts w:hint="default"/>
                      <w:color w:val="auto"/>
                      <w:sz w:val="21"/>
                      <w:szCs w:val="21"/>
                    </w:rPr>
                  </w:pPr>
                </w:p>
              </w:tc>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color w:val="auto"/>
                      <w:sz w:val="21"/>
                      <w:szCs w:val="21"/>
                    </w:rPr>
                    <w:t>东</w:t>
                  </w:r>
                </w:p>
              </w:tc>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color w:val="auto"/>
                      <w:sz w:val="21"/>
                      <w:szCs w:val="21"/>
                    </w:rPr>
                    <w:t>南</w:t>
                  </w:r>
                </w:p>
              </w:tc>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color w:val="auto"/>
                      <w:sz w:val="21"/>
                      <w:szCs w:val="21"/>
                    </w:rPr>
                    <w:t>西</w:t>
                  </w:r>
                </w:p>
              </w:tc>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color w:val="auto"/>
                      <w:sz w:val="21"/>
                      <w:szCs w:val="21"/>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1</w:t>
                  </w:r>
                </w:p>
              </w:tc>
              <w:tc>
                <w:tcPr>
                  <w:tcW w:w="1701"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混棉箱</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70</w:t>
                  </w:r>
                </w:p>
              </w:tc>
              <w:tc>
                <w:tcPr>
                  <w:tcW w:w="737" w:type="dxa"/>
                  <w:vMerge w:val="restart"/>
                  <w:noWrap w:val="0"/>
                  <w:vAlign w:val="center"/>
                </w:tcPr>
                <w:p>
                  <w:pPr>
                    <w:pStyle w:val="13"/>
                    <w:keepNext w:val="0"/>
                    <w:keepLines w:val="0"/>
                    <w:pageBreakBefore w:val="0"/>
                    <w:widowControl/>
                    <w:kinsoku/>
                    <w:wordWrap/>
                    <w:overflowPunct/>
                    <w:topLinePunct w:val="0"/>
                    <w:autoSpaceDE/>
                    <w:autoSpaceDN/>
                    <w:bidi w:val="0"/>
                    <w:adjustRightInd w:val="0"/>
                    <w:snapToGrid w:val="0"/>
                    <w:spacing w:before="95" w:beforeLines="30"/>
                    <w:textAlignment w:val="auto"/>
                    <w:rPr>
                      <w:rFonts w:hint="eastAsia"/>
                      <w:color w:val="auto"/>
                      <w:sz w:val="21"/>
                      <w:szCs w:val="21"/>
                      <w:lang w:eastAsia="zh-CN"/>
                    </w:rPr>
                  </w:pPr>
                  <w:r>
                    <w:rPr>
                      <w:rFonts w:hint="eastAsia"/>
                      <w:color w:val="auto"/>
                      <w:sz w:val="21"/>
                      <w:szCs w:val="21"/>
                      <w:lang w:eastAsia="zh-CN"/>
                    </w:rPr>
                    <w:t>采取选用低噪声设备、厂房隔声、基础减振等降噪措施</w:t>
                  </w: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2</w:t>
                  </w:r>
                </w:p>
              </w:tc>
              <w:tc>
                <w:tcPr>
                  <w:tcW w:w="1701"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eastAsia="zh-CN"/>
                    </w:rPr>
                  </w:pPr>
                  <w:r>
                    <w:rPr>
                      <w:rFonts w:hint="eastAsia"/>
                      <w:color w:val="auto"/>
                      <w:sz w:val="21"/>
                      <w:szCs w:val="21"/>
                      <w:lang w:val="en-US" w:eastAsia="zh-CN"/>
                    </w:rPr>
                    <w:t>粗开松机</w:t>
                  </w:r>
                </w:p>
              </w:tc>
              <w:tc>
                <w:tcPr>
                  <w:tcW w:w="102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8</w:t>
                  </w:r>
                  <w:r>
                    <w:rPr>
                      <w:rFonts w:hint="eastAsia"/>
                      <w:color w:val="auto"/>
                      <w:sz w:val="21"/>
                      <w:szCs w:val="21"/>
                    </w:rPr>
                    <w:t>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195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olor w:val="auto"/>
                      <w:sz w:val="21"/>
                      <w:szCs w:val="21"/>
                      <w:lang w:val="en-US" w:eastAsia="zh-CN" w:bidi="ar-SA"/>
                    </w:rPr>
                  </w:pPr>
                  <w:r>
                    <w:rPr>
                      <w:rFonts w:hint="eastAsia"/>
                      <w:color w:val="auto"/>
                      <w:sz w:val="21"/>
                      <w:szCs w:val="21"/>
                    </w:rPr>
                    <w:t>3</w:t>
                  </w:r>
                </w:p>
              </w:tc>
              <w:tc>
                <w:tcPr>
                  <w:tcW w:w="1701"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精开松机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195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olor w:val="auto"/>
                      <w:sz w:val="21"/>
                      <w:szCs w:val="21"/>
                      <w:lang w:val="en-US" w:eastAsia="zh-CN" w:bidi="ar-SA"/>
                    </w:rPr>
                  </w:pPr>
                  <w:r>
                    <w:rPr>
                      <w:rFonts w:hint="eastAsia"/>
                      <w:color w:val="auto"/>
                      <w:sz w:val="21"/>
                      <w:szCs w:val="21"/>
                    </w:rPr>
                    <w:t>4</w:t>
                  </w:r>
                </w:p>
              </w:tc>
              <w:tc>
                <w:tcPr>
                  <w:tcW w:w="1701"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eastAsia="zh-CN"/>
                    </w:rPr>
                    <w:t>梳理机</w:t>
                  </w:r>
                </w:p>
              </w:tc>
              <w:tc>
                <w:tcPr>
                  <w:tcW w:w="1020"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rPr>
                    <w:t>8</w:t>
                  </w:r>
                  <w:r>
                    <w:rPr>
                      <w:rFonts w:hint="eastAsia"/>
                      <w:color w:val="auto"/>
                      <w:sz w:val="21"/>
                      <w:szCs w:val="21"/>
                      <w:lang w:val="en-US" w:eastAsia="zh-CN"/>
                    </w:rPr>
                    <w:t>0</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100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rFonts w:hint="eastAsia"/>
                      <w:color w:val="auto"/>
                      <w:sz w:val="21"/>
                      <w:szCs w:val="21"/>
                    </w:rPr>
                    <w:t>5</w:t>
                  </w:r>
                </w:p>
              </w:tc>
              <w:tc>
                <w:tcPr>
                  <w:tcW w:w="1701"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eastAsia="zh-CN"/>
                    </w:rPr>
                    <w:t>铺网机</w:t>
                  </w:r>
                </w:p>
              </w:tc>
              <w:tc>
                <w:tcPr>
                  <w:tcW w:w="102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rPr>
                    <w:t>8</w:t>
                  </w:r>
                  <w:r>
                    <w:rPr>
                      <w:rFonts w:hint="eastAsia"/>
                      <w:color w:val="auto"/>
                      <w:sz w:val="21"/>
                      <w:szCs w:val="21"/>
                      <w:lang w:val="en-US" w:eastAsia="zh-CN"/>
                    </w:rPr>
                    <w:t>0</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100</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rFonts w:hint="eastAsia"/>
                      <w:color w:val="auto"/>
                      <w:sz w:val="21"/>
                      <w:szCs w:val="21"/>
                    </w:rPr>
                    <w:t>6</w:t>
                  </w:r>
                </w:p>
              </w:tc>
              <w:tc>
                <w:tcPr>
                  <w:tcW w:w="1701"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val="en-US" w:eastAsia="zh-CN"/>
                    </w:rPr>
                    <w:t>预刺机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98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ascii="Times New Roman" w:hAnsi="Times New Roman" w:eastAsia="宋体"/>
                      <w:color w:val="auto"/>
                      <w:sz w:val="21"/>
                      <w:szCs w:val="21"/>
                      <w:lang w:val="en-US" w:eastAsia="zh-CN" w:bidi="ar-SA"/>
                    </w:rPr>
                  </w:pPr>
                  <w:r>
                    <w:rPr>
                      <w:rFonts w:hint="eastAsia"/>
                      <w:color w:val="auto"/>
                      <w:sz w:val="21"/>
                      <w:szCs w:val="21"/>
                    </w:rPr>
                    <w:t>7</w:t>
                  </w:r>
                </w:p>
              </w:tc>
              <w:tc>
                <w:tcPr>
                  <w:tcW w:w="1701"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val="en-US" w:eastAsia="zh-CN"/>
                    </w:rPr>
                    <w:t>主刺机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90</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40</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烘箱（电）</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70</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85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9</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切边装置</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65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85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40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10</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热烫压合机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80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11</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收卷机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75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12</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边角料开松机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90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45</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13</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电子秤混棉机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70</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185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24</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45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14</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和毛中仓一体机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75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90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140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15</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主开松机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95</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30</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141</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16</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给棉机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80</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100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130</w:t>
                  </w:r>
                </w:p>
              </w:tc>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17</w:t>
                  </w:r>
                </w:p>
              </w:tc>
              <w:tc>
                <w:tcPr>
                  <w:tcW w:w="170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超声波滤纸复合分条一体机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80</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gridAfter w:val="1"/>
                <w:wAfter w:w="1" w:type="dxa"/>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18</w:t>
                  </w:r>
                </w:p>
              </w:tc>
              <w:tc>
                <w:tcPr>
                  <w:tcW w:w="1701"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lang w:eastAsia="zh-CN"/>
                    </w:rPr>
                    <w:t>风机</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85</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96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w:t>
                  </w:r>
                </w:p>
              </w:tc>
              <w:tc>
                <w:tcPr>
                  <w:tcW w:w="7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80</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45</w:t>
                  </w:r>
                </w:p>
              </w:tc>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5</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eastAsia"/>
                <w:color w:val="auto"/>
              </w:rPr>
              <w:t>（2）预测模式</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本次评价采用《环境影响评价技术导则-声环境》（</w:t>
            </w:r>
            <w:r>
              <w:rPr>
                <w:rFonts w:hint="eastAsia"/>
                <w:color w:val="auto"/>
                <w:lang w:eastAsia="zh-CN"/>
              </w:rPr>
              <w:t>HJ2.4-2021</w:t>
            </w:r>
            <w:r>
              <w:rPr>
                <w:rFonts w:hint="eastAsia"/>
                <w:color w:val="auto"/>
              </w:rPr>
              <w:t>）</w:t>
            </w:r>
            <w:r>
              <w:rPr>
                <w:rFonts w:hint="eastAsia"/>
                <w:color w:val="auto"/>
                <w:lang w:eastAsia="zh-CN"/>
              </w:rPr>
              <w:t>附录</w:t>
            </w:r>
            <w:r>
              <w:rPr>
                <w:rFonts w:hint="eastAsia"/>
                <w:color w:val="auto"/>
              </w:rPr>
              <w:t>中的预测模</w:t>
            </w:r>
            <w:r>
              <w:rPr>
                <w:rFonts w:hint="eastAsia"/>
                <w:color w:val="auto"/>
                <w:lang w:eastAsia="zh-CN"/>
              </w:rPr>
              <w:t>型，其计算公式</w:t>
            </w:r>
            <w:r>
              <w:rPr>
                <w:rFonts w:hint="eastAsia"/>
                <w:color w:val="auto"/>
              </w:rPr>
              <w:t>如下：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①室内声源等效室外声源声功率级计算方法</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室内声源可采用等效室外声源声功率级法进行计算</w:t>
            </w:r>
            <w:r>
              <w:rPr>
                <w:rFonts w:hint="eastAsia"/>
                <w:color w:val="auto"/>
                <w:lang w:eastAsia="zh-CN"/>
              </w:rPr>
              <w:t>，也可按下式计算</w:t>
            </w:r>
            <w:r>
              <w:rPr>
                <w:rFonts w:hint="eastAsia"/>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rPr>
            </w:pPr>
            <w:r>
              <w:rPr>
                <w:rFonts w:hint="eastAsia"/>
                <w:color w:val="auto"/>
              </w:rPr>
              <w:t>A</w:t>
            </w:r>
            <w:r>
              <w:rPr>
                <w:rFonts w:hint="eastAsia"/>
                <w:color w:val="auto"/>
                <w:lang w:val="en-US" w:eastAsia="zh-CN"/>
              </w:rPr>
              <w:t>.</w:t>
            </w:r>
            <w:r>
              <w:rPr>
                <w:rFonts w:hint="eastAsia"/>
                <w:color w:val="auto"/>
              </w:rPr>
              <w:t>计算某一室内声源靠近围护结构处产生的倍频带声压级。公式如下：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bCs/>
                <w:color w:val="auto"/>
                <w:highlight w:val="none"/>
              </w:rPr>
            </w:pPr>
            <w:r>
              <w:rPr>
                <w:rFonts w:hint="eastAsia"/>
                <w:bCs/>
                <w:color w:val="auto"/>
                <w:position w:val="-28"/>
                <w:highlight w:val="none"/>
              </w:rPr>
              <w:object>
                <v:shape id="_x0000_i1039" o:spt="75" type="#_x0000_t75" style="height:36.85pt;width:194.55pt;" o:ole="t" filled="f" o:preferrelative="t" stroked="f" coordsize="21600,21600">
                  <v:path/>
                  <v:fill on="f" focussize="0,0"/>
                  <v:stroke on="f"/>
                  <v:imagedata r:id="rId41" o:title=""/>
                  <o:lock v:ext="edit" aspectratio="t"/>
                  <w10:wrap type="none"/>
                  <w10:anchorlock/>
                </v:shape>
                <o:OLEObject Type="Embed" ProgID="Equation.KSEE3" ShapeID="_x0000_i1039" DrawAspect="Content" ObjectID="_1468075739" r:id="rId40">
                  <o:LockedField>false</o:LockedField>
                </o:OLEObject>
              </w:objec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式中：L</w:t>
            </w:r>
            <w:r>
              <w:rPr>
                <w:rFonts w:hint="eastAsia"/>
                <w:color w:val="auto"/>
                <w:vertAlign w:val="subscript"/>
                <w:lang w:eastAsia="zh-CN"/>
              </w:rPr>
              <w:t>p1</w:t>
            </w:r>
            <w:r>
              <w:rPr>
                <w:rFonts w:hint="eastAsia"/>
                <w:color w:val="auto"/>
                <w:lang w:val="en-US" w:eastAsia="zh-CN"/>
              </w:rPr>
              <w:t>--</w:t>
            </w:r>
            <w:r>
              <w:rPr>
                <w:rFonts w:hint="eastAsia"/>
                <w:color w:val="auto"/>
                <w:lang w:eastAsia="zh-CN"/>
              </w:rPr>
              <w:t>靠近开口处（或窗户）室内某倍频带的声压级或A声级，dB；</w:t>
            </w:r>
          </w:p>
          <w:p>
            <w:pPr>
              <w:pStyle w:val="16"/>
              <w:keepNext w:val="0"/>
              <w:keepLines w:val="0"/>
              <w:pageBreakBefore w:val="0"/>
              <w:widowControl w:val="0"/>
              <w:kinsoku/>
              <w:wordWrap/>
              <w:overflowPunct/>
              <w:topLinePunct w:val="0"/>
              <w:autoSpaceDE/>
              <w:autoSpaceDN/>
              <w:bidi w:val="0"/>
              <w:adjustRightInd w:val="0"/>
              <w:snapToGrid w:val="0"/>
              <w:ind w:firstLine="840" w:firstLineChars="350"/>
              <w:textAlignment w:val="auto"/>
              <w:rPr>
                <w:rFonts w:hint="eastAsia"/>
                <w:color w:val="auto"/>
                <w:lang w:eastAsia="zh-CN"/>
              </w:rPr>
            </w:pPr>
            <w:r>
              <w:rPr>
                <w:rFonts w:hint="eastAsia"/>
                <w:color w:val="auto"/>
                <w:lang w:eastAsia="zh-CN"/>
              </w:rPr>
              <w:t>Lw</w:t>
            </w:r>
            <w:r>
              <w:rPr>
                <w:rFonts w:hint="eastAsia"/>
                <w:color w:val="auto"/>
                <w:lang w:val="en-US" w:eastAsia="zh-CN"/>
              </w:rPr>
              <w:t>--</w:t>
            </w:r>
            <w:r>
              <w:rPr>
                <w:rFonts w:hint="eastAsia"/>
                <w:color w:val="auto"/>
                <w:lang w:eastAsia="zh-CN"/>
              </w:rPr>
              <w:t>点声源声功率级（A计权或倍频带），dB；</w:t>
            </w:r>
          </w:p>
          <w:p>
            <w:pPr>
              <w:pStyle w:val="16"/>
              <w:keepNext w:val="0"/>
              <w:keepLines w:val="0"/>
              <w:pageBreakBefore w:val="0"/>
              <w:widowControl w:val="0"/>
              <w:kinsoku/>
              <w:wordWrap/>
              <w:overflowPunct/>
              <w:topLinePunct w:val="0"/>
              <w:autoSpaceDE/>
              <w:autoSpaceDN/>
              <w:bidi w:val="0"/>
              <w:adjustRightInd w:val="0"/>
              <w:snapToGrid w:val="0"/>
              <w:ind w:firstLine="840" w:firstLineChars="350"/>
              <w:textAlignment w:val="auto"/>
              <w:rPr>
                <w:rFonts w:hint="eastAsia"/>
                <w:color w:val="auto"/>
                <w:lang w:eastAsia="zh-CN"/>
              </w:rPr>
            </w:pPr>
            <w:r>
              <w:rPr>
                <w:rFonts w:hint="eastAsia"/>
                <w:color w:val="auto"/>
                <w:lang w:eastAsia="zh-CN"/>
              </w:rPr>
              <w:t>Q</w:t>
            </w:r>
            <w:r>
              <w:rPr>
                <w:rFonts w:hint="eastAsia"/>
                <w:color w:val="auto"/>
                <w:lang w:val="en-US" w:eastAsia="zh-CN"/>
              </w:rPr>
              <w:t>--</w:t>
            </w:r>
            <w:r>
              <w:rPr>
                <w:rFonts w:hint="eastAsia"/>
                <w:color w:val="auto"/>
                <w:lang w:eastAsia="zh-CN"/>
              </w:rPr>
              <w:t>指向性因数；通常对无指向性声源，当声源放在房间中心时，Q=1；当放在一面墙的中心时，Q=2；当放在两面墙夹角处时，Q=4；当放在三面墙夹角处时，Q=8；</w:t>
            </w:r>
          </w:p>
          <w:p>
            <w:pPr>
              <w:pStyle w:val="16"/>
              <w:keepNext w:val="0"/>
              <w:keepLines w:val="0"/>
              <w:pageBreakBefore w:val="0"/>
              <w:widowControl w:val="0"/>
              <w:kinsoku/>
              <w:wordWrap/>
              <w:overflowPunct/>
              <w:topLinePunct w:val="0"/>
              <w:autoSpaceDE/>
              <w:autoSpaceDN/>
              <w:bidi w:val="0"/>
              <w:adjustRightInd w:val="0"/>
              <w:snapToGrid w:val="0"/>
              <w:ind w:firstLine="840" w:firstLineChars="350"/>
              <w:textAlignment w:val="auto"/>
              <w:rPr>
                <w:rFonts w:hint="eastAsia"/>
                <w:color w:val="auto"/>
                <w:lang w:eastAsia="zh-CN"/>
              </w:rPr>
            </w:pPr>
            <w:r>
              <w:rPr>
                <w:rFonts w:hint="eastAsia"/>
                <w:color w:val="auto"/>
                <w:lang w:eastAsia="zh-CN"/>
              </w:rPr>
              <w:t>R</w:t>
            </w:r>
            <w:r>
              <w:rPr>
                <w:rFonts w:hint="eastAsia"/>
                <w:color w:val="auto"/>
                <w:lang w:val="en-US" w:eastAsia="zh-CN"/>
              </w:rPr>
              <w:t>--</w:t>
            </w:r>
            <w:r>
              <w:rPr>
                <w:rFonts w:hint="eastAsia"/>
                <w:color w:val="auto"/>
                <w:lang w:eastAsia="zh-CN"/>
              </w:rPr>
              <w:t>房间常数，</w:t>
            </w:r>
            <w:r>
              <w:rPr>
                <w:rFonts w:hint="default" w:ascii="Times New Roman" w:hAnsi="Times New Roman" w:eastAsia="宋体" w:cs="Times New Roman"/>
                <w:color w:val="auto"/>
                <w:lang w:val="en-US" w:eastAsia="zh-CN"/>
              </w:rPr>
              <w:t>R=Sα/</w:t>
            </w:r>
            <w:r>
              <w:rPr>
                <w:rFonts w:hint="eastAsia" w:cs="Times New Roman"/>
                <w:color w:val="auto"/>
                <w:lang w:val="en-US" w:eastAsia="zh-CN"/>
              </w:rPr>
              <w:t>（</w:t>
            </w:r>
            <w:r>
              <w:rPr>
                <w:rFonts w:hint="default" w:ascii="Times New Roman" w:hAnsi="Times New Roman" w:eastAsia="宋体" w:cs="Times New Roman"/>
                <w:color w:val="auto"/>
                <w:lang w:val="en-US" w:eastAsia="zh-CN"/>
              </w:rPr>
              <w:t>1-α</w:t>
            </w:r>
            <w:r>
              <w:rPr>
                <w:rFonts w:hint="eastAsia" w:cs="Times New Roman"/>
                <w:color w:val="auto"/>
                <w:lang w:val="en-US" w:eastAsia="zh-CN"/>
              </w:rPr>
              <w:t>），</w:t>
            </w:r>
            <w:r>
              <w:rPr>
                <w:rFonts w:hint="eastAsia"/>
                <w:color w:val="auto"/>
                <w:lang w:val="en-US" w:eastAsia="zh-CN"/>
              </w:rPr>
              <w:t>S</w:t>
            </w:r>
            <w:r>
              <w:rPr>
                <w:rFonts w:hint="eastAsia"/>
                <w:color w:val="auto"/>
                <w:lang w:eastAsia="zh-CN"/>
              </w:rPr>
              <w:t>为房间内表</w:t>
            </w:r>
            <w:r>
              <w:rPr>
                <w:rFonts w:hint="default" w:ascii="Times New Roman" w:hAnsi="Times New Roman" w:cs="Times New Roman"/>
                <w:color w:val="auto"/>
                <w:lang w:eastAsia="zh-CN"/>
              </w:rPr>
              <w:t>面面积，</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w:t>
            </w:r>
            <w:r>
              <w:rPr>
                <w:rFonts w:hint="default"/>
                <w:color w:val="auto"/>
                <w:lang w:val="en-US" w:eastAsia="zh-CN"/>
              </w:rPr>
              <w:t>α</w:t>
            </w:r>
            <w:r>
              <w:rPr>
                <w:rFonts w:hint="eastAsia"/>
                <w:color w:val="auto"/>
                <w:lang w:eastAsia="zh-CN"/>
              </w:rPr>
              <w:t>为平均吸声系数；</w:t>
            </w:r>
          </w:p>
          <w:p>
            <w:pPr>
              <w:pStyle w:val="16"/>
              <w:keepNext w:val="0"/>
              <w:keepLines w:val="0"/>
              <w:pageBreakBefore w:val="0"/>
              <w:widowControl w:val="0"/>
              <w:kinsoku/>
              <w:wordWrap/>
              <w:overflowPunct/>
              <w:topLinePunct w:val="0"/>
              <w:autoSpaceDE/>
              <w:autoSpaceDN/>
              <w:bidi w:val="0"/>
              <w:adjustRightInd w:val="0"/>
              <w:snapToGrid w:val="0"/>
              <w:ind w:firstLine="840" w:firstLineChars="350"/>
              <w:textAlignment w:val="auto"/>
              <w:rPr>
                <w:rFonts w:hint="eastAsia"/>
                <w:color w:val="auto"/>
                <w:lang w:eastAsia="zh-CN"/>
              </w:rPr>
            </w:pPr>
            <w:r>
              <w:rPr>
                <w:rFonts w:hint="eastAsia"/>
                <w:color w:val="auto"/>
                <w:lang w:eastAsia="zh-CN"/>
              </w:rPr>
              <w:t>r</w:t>
            </w:r>
            <w:r>
              <w:rPr>
                <w:rFonts w:hint="eastAsia"/>
                <w:color w:val="auto"/>
                <w:lang w:val="en-US" w:eastAsia="zh-CN"/>
              </w:rPr>
              <w:t>--</w:t>
            </w:r>
            <w:r>
              <w:rPr>
                <w:rFonts w:hint="eastAsia"/>
                <w:color w:val="auto"/>
                <w:lang w:eastAsia="zh-CN"/>
              </w:rPr>
              <w:t>声源到靠近围护结构某点处的距离，m。</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highlight w:val="none"/>
                <w:lang w:eastAsia="zh-CN"/>
              </w:rPr>
            </w:pPr>
            <w:r>
              <w:rPr>
                <w:rFonts w:hint="eastAsia"/>
                <w:color w:val="auto"/>
                <w:lang w:val="en-US" w:eastAsia="zh-CN"/>
              </w:rPr>
              <w:t>B.</w:t>
            </w:r>
            <w:r>
              <w:rPr>
                <w:rFonts w:hint="eastAsia"/>
                <w:color w:val="auto"/>
                <w:lang w:eastAsia="zh-CN"/>
              </w:rPr>
              <w:t>计算出所有室内声源在围护结构处产生的i倍频带叠加声压级。</w:t>
            </w:r>
            <w:r>
              <w:rPr>
                <w:rFonts w:hint="eastAsia"/>
                <w:color w:val="auto"/>
              </w:rPr>
              <w:t>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bCs/>
                <w:color w:val="auto"/>
                <w:highlight w:val="none"/>
              </w:rPr>
            </w:pPr>
            <w:r>
              <w:rPr>
                <w:rFonts w:hint="eastAsia"/>
                <w:bCs/>
                <w:color w:val="auto"/>
                <w:position w:val="-32"/>
                <w:highlight w:val="none"/>
              </w:rPr>
              <w:object>
                <v:shape id="_x0000_i1040" o:spt="75" alt="" type="#_x0000_t75" style="height:51pt;width:240.5pt;" o:ole="t" filled="f" o:preferrelative="t" stroked="f" coordsize="21600,21600">
                  <v:path/>
                  <v:fill on="f" focussize="0,0"/>
                  <v:stroke on="f"/>
                  <v:imagedata r:id="rId43" o:title=""/>
                  <o:lock v:ext="edit" aspectratio="t"/>
                  <w10:wrap type="none"/>
                  <w10:anchorlock/>
                </v:shape>
                <o:OLEObject Type="Embed" ProgID="Equation.KSEE3" ShapeID="_x0000_i1040" DrawAspect="Content" ObjectID="_1468075740" r:id="rId42">
                  <o:LockedField>false</o:LockedField>
                </o:OLEObject>
              </w:objec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式中：</w:t>
            </w:r>
            <w:r>
              <w:rPr>
                <w:rFonts w:hint="eastAsia"/>
                <w:color w:val="auto"/>
                <w:lang w:val="en-US" w:eastAsia="zh-CN"/>
              </w:rPr>
              <w:t>L</w:t>
            </w:r>
            <w:r>
              <w:rPr>
                <w:rFonts w:hint="eastAsia"/>
                <w:color w:val="auto"/>
                <w:vertAlign w:val="subscript"/>
                <w:lang w:val="en-US" w:eastAsia="zh-CN"/>
              </w:rPr>
              <w:t>p1i</w:t>
            </w:r>
            <w:r>
              <w:rPr>
                <w:rFonts w:hint="eastAsia"/>
                <w:color w:val="auto"/>
                <w:lang w:val="en-US" w:eastAsia="zh-CN"/>
              </w:rPr>
              <w:t>（T）--</w:t>
            </w:r>
            <w:r>
              <w:rPr>
                <w:rFonts w:hint="eastAsia"/>
                <w:color w:val="auto"/>
                <w:lang w:eastAsia="zh-CN"/>
              </w:rPr>
              <w:t>靠近围护结构处室内</w:t>
            </w:r>
            <w:r>
              <w:rPr>
                <w:rFonts w:hint="eastAsia"/>
                <w:color w:val="auto"/>
                <w:lang w:val="en-US" w:eastAsia="zh-CN"/>
              </w:rPr>
              <w:t>n</w:t>
            </w:r>
            <w:r>
              <w:rPr>
                <w:rFonts w:hint="eastAsia"/>
                <w:color w:val="auto"/>
                <w:lang w:eastAsia="zh-CN"/>
              </w:rPr>
              <w:t>个声源i倍频带的叠加声压级，dB；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val="en-US" w:eastAsia="zh-CN"/>
              </w:rPr>
              <w:t>L</w:t>
            </w:r>
            <w:r>
              <w:rPr>
                <w:rFonts w:hint="eastAsia"/>
                <w:color w:val="auto"/>
                <w:vertAlign w:val="subscript"/>
                <w:lang w:val="en-US" w:eastAsia="zh-CN"/>
              </w:rPr>
              <w:t>p1ij</w:t>
            </w:r>
            <w:r>
              <w:rPr>
                <w:rFonts w:hint="eastAsia"/>
                <w:color w:val="auto"/>
                <w:lang w:val="en-US" w:eastAsia="zh-CN"/>
              </w:rPr>
              <w:t>--</w:t>
            </w:r>
            <w:r>
              <w:rPr>
                <w:rFonts w:hint="eastAsia"/>
                <w:color w:val="auto"/>
                <w:lang w:eastAsia="zh-CN"/>
              </w:rPr>
              <w:t>室内j声源i倍频带的声压级，dB；</w:t>
            </w:r>
          </w:p>
          <w:p>
            <w:pPr>
              <w:pStyle w:val="16"/>
              <w:keepNext w:val="0"/>
              <w:keepLines w:val="0"/>
              <w:pageBreakBefore w:val="0"/>
              <w:widowControl w:val="0"/>
              <w:kinsoku/>
              <w:wordWrap/>
              <w:overflowPunct/>
              <w:topLinePunct w:val="0"/>
              <w:autoSpaceDE/>
              <w:autoSpaceDN/>
              <w:bidi w:val="0"/>
              <w:adjustRightInd w:val="0"/>
              <w:snapToGrid w:val="0"/>
              <w:spacing w:before="157" w:beforeLines="50"/>
              <w:ind w:firstLine="1200" w:firstLineChars="500"/>
              <w:textAlignment w:val="auto"/>
              <w:rPr>
                <w:rFonts w:hint="eastAsia"/>
                <w:color w:val="auto"/>
                <w:lang w:eastAsia="zh-CN"/>
              </w:rPr>
            </w:pPr>
            <w:r>
              <w:rPr>
                <w:rFonts w:hint="eastAsia"/>
                <w:color w:val="auto"/>
                <w:lang w:val="en-US" w:eastAsia="zh-CN"/>
              </w:rPr>
              <w:t>n--</w:t>
            </w:r>
            <w:r>
              <w:rPr>
                <w:rFonts w:hint="eastAsia"/>
                <w:color w:val="auto"/>
                <w:lang w:eastAsia="zh-CN"/>
              </w:rPr>
              <w:t>室内声源总数。</w:t>
            </w:r>
          </w:p>
          <w:p>
            <w:pPr>
              <w:pStyle w:val="16"/>
              <w:keepNext w:val="0"/>
              <w:keepLines w:val="0"/>
              <w:pageBreakBefore w:val="0"/>
              <w:widowControl w:val="0"/>
              <w:kinsoku/>
              <w:wordWrap/>
              <w:overflowPunct/>
              <w:autoSpaceDE/>
              <w:autoSpaceDN/>
              <w:bidi w:val="0"/>
              <w:adjustRightInd w:val="0"/>
              <w:snapToGrid w:val="0"/>
              <w:textAlignment w:val="auto"/>
              <w:rPr>
                <w:rFonts w:hint="default"/>
                <w:color w:val="auto"/>
                <w:lang w:val="en-US" w:eastAsia="zh-CN"/>
              </w:rPr>
            </w:pPr>
            <w:r>
              <w:rPr>
                <w:rFonts w:hint="eastAsia"/>
                <w:color w:val="auto"/>
                <w:lang w:val="en-US" w:eastAsia="zh-CN"/>
              </w:rPr>
              <w:t>C.在室内近似为扩散声场时，计算出靠近室外围护结构处的声压级。</w:t>
            </w:r>
            <w:r>
              <w:rPr>
                <w:rFonts w:hint="eastAsia"/>
                <w:color w:val="auto"/>
              </w:rPr>
              <w:t>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color w:val="auto"/>
                <w:highlight w:val="none"/>
                <w:lang w:eastAsia="zh-CN"/>
              </w:rPr>
            </w:pPr>
            <w:r>
              <w:rPr>
                <w:rFonts w:hint="eastAsia"/>
                <w:bCs/>
                <w:color w:val="auto"/>
                <w:position w:val="-14"/>
                <w:highlight w:val="none"/>
              </w:rPr>
              <w:object>
                <v:shape id="_x0000_i1041" o:spt="75" type="#_x0000_t75" style="height:19.85pt;width:158.05pt;" o:ole="t" filled="f" o:preferrelative="t" stroked="f" coordsize="21600,21600">
                  <v:path/>
                  <v:fill on="f" focussize="0,0"/>
                  <v:stroke on="f"/>
                  <v:imagedata r:id="rId45" o:title=""/>
                  <o:lock v:ext="edit" aspectratio="t"/>
                  <w10:wrap type="none"/>
                  <w10:anchorlock/>
                </v:shape>
                <o:OLEObject Type="Embed" ProgID="Equation.KSEE3" ShapeID="_x0000_i1041" DrawAspect="Content" ObjectID="_1468075741" r:id="rId44">
                  <o:LockedField>false</o:LockedField>
                </o:OLEObject>
              </w:objec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eastAsia="zh-CN"/>
              </w:rPr>
            </w:pPr>
            <w:r>
              <w:rPr>
                <w:rFonts w:hint="eastAsia"/>
                <w:color w:val="auto"/>
                <w:lang w:eastAsia="zh-CN"/>
              </w:rPr>
              <w:t>式中：</w:t>
            </w:r>
            <w:r>
              <w:rPr>
                <w:rFonts w:hint="eastAsia"/>
                <w:color w:val="auto"/>
                <w:lang w:val="en-US" w:eastAsia="zh-CN"/>
              </w:rPr>
              <w:t>L</w:t>
            </w:r>
            <w:r>
              <w:rPr>
                <w:rFonts w:hint="eastAsia"/>
                <w:color w:val="auto"/>
                <w:vertAlign w:val="subscript"/>
                <w:lang w:val="en-US" w:eastAsia="zh-CN"/>
              </w:rPr>
              <w:t>p2i</w:t>
            </w:r>
            <w:r>
              <w:rPr>
                <w:rFonts w:hint="eastAsia"/>
                <w:color w:val="auto"/>
                <w:lang w:val="en-US" w:eastAsia="zh-CN"/>
              </w:rPr>
              <w:t>（T）--</w:t>
            </w:r>
            <w:r>
              <w:rPr>
                <w:rFonts w:hint="eastAsia"/>
                <w:color w:val="auto"/>
                <w:lang w:eastAsia="zh-CN"/>
              </w:rPr>
              <w:t>靠近围护结构处室外N个声源i倍频带的叠加声压级，dB；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val="en-US" w:eastAsia="zh-CN"/>
              </w:rPr>
              <w:t>L</w:t>
            </w:r>
            <w:r>
              <w:rPr>
                <w:rFonts w:hint="eastAsia"/>
                <w:color w:val="auto"/>
                <w:vertAlign w:val="subscript"/>
                <w:lang w:val="en-US" w:eastAsia="zh-CN"/>
              </w:rPr>
              <w:t>p1i</w:t>
            </w:r>
            <w:r>
              <w:rPr>
                <w:rFonts w:hint="eastAsia"/>
                <w:color w:val="auto"/>
                <w:lang w:val="en-US" w:eastAsia="zh-CN"/>
              </w:rPr>
              <w:t>（T）--</w:t>
            </w:r>
            <w:r>
              <w:rPr>
                <w:rFonts w:hint="eastAsia"/>
                <w:color w:val="auto"/>
                <w:lang w:eastAsia="zh-CN"/>
              </w:rPr>
              <w:t>靠近围护结构处室内N个声源i倍频带的叠加声压级，dB；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T</w:t>
            </w:r>
            <w:r>
              <w:rPr>
                <w:rFonts w:hint="eastAsia"/>
                <w:color w:val="auto"/>
                <w:vertAlign w:val="subscript"/>
                <w:lang w:eastAsia="zh-CN"/>
              </w:rPr>
              <w:t>Li</w:t>
            </w:r>
            <w:r>
              <w:rPr>
                <w:rFonts w:hint="eastAsia"/>
                <w:color w:val="auto"/>
                <w:lang w:val="en-US" w:eastAsia="zh-CN"/>
              </w:rPr>
              <w:t>--</w:t>
            </w:r>
            <w:r>
              <w:rPr>
                <w:rFonts w:hint="eastAsia"/>
                <w:color w:val="auto"/>
                <w:lang w:eastAsia="zh-CN"/>
              </w:rPr>
              <w:t>围护结构i倍频带的隔声量，dB。</w:t>
            </w:r>
          </w:p>
          <w:p>
            <w:pPr>
              <w:pStyle w:val="16"/>
              <w:keepNext w:val="0"/>
              <w:keepLines w:val="0"/>
              <w:pageBreakBefore w:val="0"/>
              <w:widowControl w:val="0"/>
              <w:kinsoku/>
              <w:wordWrap/>
              <w:overflowPunct/>
              <w:autoSpaceDE/>
              <w:autoSpaceDN/>
              <w:bidi w:val="0"/>
              <w:adjustRightInd w:val="0"/>
              <w:snapToGrid w:val="0"/>
              <w:textAlignment w:val="auto"/>
              <w:rPr>
                <w:rFonts w:hint="default"/>
                <w:color w:val="auto"/>
                <w:highlight w:val="none"/>
                <w:lang w:val="en-US" w:eastAsia="zh-CN"/>
              </w:rPr>
            </w:pPr>
            <w:r>
              <w:rPr>
                <w:rFonts w:hint="eastAsia"/>
                <w:color w:val="auto"/>
                <w:lang w:val="en-US" w:eastAsia="zh-CN"/>
              </w:rPr>
              <w:t>D.将室外声源的声压级和透过面积换算成等效的室外声源，计算出中心位置位于透声面积（S）处的等效声源的倍频带声功率级。</w:t>
            </w:r>
            <w:r>
              <w:rPr>
                <w:rFonts w:hint="eastAsia"/>
                <w:color w:val="auto"/>
              </w:rPr>
              <w:t>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color w:val="auto"/>
                <w:highlight w:val="none"/>
                <w:lang w:eastAsia="zh-CN"/>
              </w:rPr>
            </w:pPr>
            <w:r>
              <w:rPr>
                <w:rFonts w:hint="eastAsia"/>
                <w:bCs/>
                <w:color w:val="auto"/>
                <w:position w:val="-14"/>
                <w:highlight w:val="none"/>
              </w:rPr>
              <w:object>
                <v:shape id="_x0000_i1042" o:spt="75" type="#_x0000_t75" style="height:19.85pt;width:109.15pt;" o:ole="t" filled="f" o:preferrelative="t" stroked="f" coordsize="21600,21600">
                  <v:path/>
                  <v:fill on="f" focussize="0,0"/>
                  <v:stroke on="f"/>
                  <v:imagedata r:id="rId47" o:title=""/>
                  <o:lock v:ext="edit" aspectratio="t"/>
                  <w10:wrap type="none"/>
                  <w10:anchorlock/>
                </v:shape>
                <o:OLEObject Type="Embed" ProgID="Equation.KSEE3" ShapeID="_x0000_i1042" DrawAspect="Content" ObjectID="_1468075742" r:id="rId46">
                  <o:LockedField>false</o:LockedField>
                </o:OLEObject>
              </w:objec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eastAsia="zh-CN"/>
              </w:rPr>
            </w:pPr>
            <w:r>
              <w:rPr>
                <w:rFonts w:hint="eastAsia"/>
                <w:color w:val="auto"/>
                <w:lang w:eastAsia="zh-CN"/>
              </w:rPr>
              <w:t>式中：Lw</w:t>
            </w:r>
            <w:r>
              <w:rPr>
                <w:rFonts w:hint="eastAsia"/>
                <w:color w:val="auto"/>
                <w:lang w:val="en-US" w:eastAsia="zh-CN"/>
              </w:rPr>
              <w:t>--</w:t>
            </w:r>
            <w:r>
              <w:rPr>
                <w:rFonts w:hint="eastAsia"/>
                <w:color w:val="auto"/>
                <w:lang w:eastAsia="zh-CN"/>
              </w:rPr>
              <w:t>中心位置位于透声面积（S）处的等效声源的倍频带声功率级，dB；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L</w:t>
            </w:r>
            <w:r>
              <w:rPr>
                <w:rFonts w:hint="eastAsia"/>
                <w:color w:val="auto"/>
                <w:vertAlign w:val="subscript"/>
                <w:lang w:eastAsia="zh-CN"/>
              </w:rPr>
              <w:t>p2</w:t>
            </w:r>
            <w:r>
              <w:rPr>
                <w:rFonts w:hint="eastAsia"/>
                <w:color w:val="auto"/>
                <w:lang w:eastAsia="zh-CN"/>
              </w:rPr>
              <w:t>（</w:t>
            </w:r>
            <w:r>
              <w:rPr>
                <w:rFonts w:hint="eastAsia"/>
                <w:color w:val="auto"/>
                <w:lang w:val="en-US" w:eastAsia="zh-CN"/>
              </w:rPr>
              <w:t>T</w:t>
            </w:r>
            <w:r>
              <w:rPr>
                <w:rFonts w:hint="eastAsia"/>
                <w:color w:val="auto"/>
                <w:lang w:eastAsia="zh-CN"/>
              </w:rPr>
              <w:t>）</w:t>
            </w:r>
            <w:r>
              <w:rPr>
                <w:rFonts w:hint="eastAsia"/>
                <w:color w:val="auto"/>
                <w:lang w:val="en-US" w:eastAsia="zh-CN"/>
              </w:rPr>
              <w:t>--</w:t>
            </w:r>
            <w:r>
              <w:rPr>
                <w:rFonts w:hint="eastAsia"/>
                <w:color w:val="auto"/>
                <w:lang w:eastAsia="zh-CN"/>
              </w:rPr>
              <w:t>靠近围护结构处室外声源的声压级，dB；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S</w:t>
            </w:r>
            <w:r>
              <w:rPr>
                <w:rFonts w:hint="eastAsia"/>
                <w:color w:val="auto"/>
                <w:lang w:val="en-US" w:eastAsia="zh-CN"/>
              </w:rPr>
              <w:t>--</w:t>
            </w:r>
            <w:r>
              <w:rPr>
                <w:rFonts w:hint="eastAsia"/>
                <w:color w:val="auto"/>
                <w:lang w:eastAsia="zh-CN"/>
              </w:rPr>
              <w:t>透声面积，</w:t>
            </w:r>
            <w:r>
              <w:rPr>
                <w:rFonts w:hint="default" w:ascii="Times New Roman" w:hAnsi="Times New Roman" w:cs="Times New Roman"/>
                <w:color w:val="auto"/>
                <w:lang w:val="en-US" w:eastAsia="zh-CN"/>
              </w:rPr>
              <w:t>㎡</w:t>
            </w:r>
            <w:r>
              <w:rPr>
                <w:rFonts w:hint="eastAsia"/>
                <w:color w:val="auto"/>
                <w:lang w:eastAsia="zh-CN"/>
              </w:rPr>
              <w:t>。</w: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eastAsia="zh-CN"/>
              </w:rPr>
            </w:pPr>
            <w:r>
              <w:rPr>
                <w:rFonts w:hint="eastAsia"/>
                <w:color w:val="auto"/>
                <w:lang w:eastAsia="zh-CN"/>
              </w:rPr>
              <w:t>然后按室外声源预测方法计算预测点处的A声级。</w: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eastAsia="zh-CN"/>
              </w:rPr>
            </w:pPr>
            <w:r>
              <w:rPr>
                <w:rFonts w:hint="eastAsia"/>
                <w:color w:val="auto"/>
                <w:lang w:eastAsia="zh-CN"/>
              </w:rPr>
              <w:t>②室外声源在预测点产生的声级计算模型</w: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eastAsia="zh-CN"/>
              </w:rPr>
            </w:pPr>
            <w:r>
              <w:rPr>
                <w:rFonts w:hint="eastAsia"/>
                <w:color w:val="auto"/>
                <w:lang w:val="en-US" w:eastAsia="zh-CN"/>
              </w:rPr>
              <w:t>A.</w:t>
            </w:r>
            <w:r>
              <w:rPr>
                <w:rFonts w:hint="eastAsia"/>
                <w:color w:val="auto"/>
                <w:lang w:eastAsia="zh-CN"/>
              </w:rPr>
              <w:t>根据声源参考位置处的声压级、户外声传播衰减，计算预测点的声级，其</w:t>
            </w:r>
            <w:r>
              <w:rPr>
                <w:rFonts w:hint="eastAsia"/>
                <w:color w:val="auto"/>
              </w:rPr>
              <w:t>计算公式如下：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color w:val="auto"/>
                <w:highlight w:val="none"/>
                <w:lang w:eastAsia="zh-CN"/>
              </w:rPr>
            </w:pPr>
            <w:r>
              <w:rPr>
                <w:rFonts w:hint="eastAsia"/>
                <w:bCs/>
                <w:color w:val="auto"/>
                <w:position w:val="-14"/>
                <w:highlight w:val="none"/>
              </w:rPr>
              <w:object>
                <v:shape id="_x0000_i1043" o:spt="75" type="#_x0000_t75" style="height:19.85pt;width:280.45pt;" o:ole="t" filled="f" o:preferrelative="t" stroked="f" coordsize="21600,21600">
                  <v:path/>
                  <v:fill on="f" focussize="0,0"/>
                  <v:stroke on="f"/>
                  <v:imagedata r:id="rId49" o:title=""/>
                  <o:lock v:ext="edit" aspectratio="t"/>
                  <w10:wrap type="none"/>
                  <w10:anchorlock/>
                </v:shape>
                <o:OLEObject Type="Embed" ProgID="Equation.KSEE3" ShapeID="_x0000_i1043" DrawAspect="Content" ObjectID="_1468075743" r:id="rId48">
                  <o:LockedField>false</o:LockedField>
                </o:OLEObject>
              </w:objec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eastAsia="zh-CN"/>
              </w:rPr>
            </w:pPr>
            <w:r>
              <w:rPr>
                <w:rFonts w:hint="eastAsia"/>
                <w:color w:val="auto"/>
                <w:lang w:eastAsia="zh-CN"/>
              </w:rPr>
              <w:t>式中：Lp（r）</w:t>
            </w:r>
            <w:r>
              <w:rPr>
                <w:rFonts w:hint="eastAsia"/>
                <w:color w:val="auto"/>
                <w:lang w:val="en-US" w:eastAsia="zh-CN"/>
              </w:rPr>
              <w:t>--</w:t>
            </w:r>
            <w:r>
              <w:rPr>
                <w:rFonts w:hint="eastAsia"/>
                <w:color w:val="auto"/>
                <w:lang w:eastAsia="zh-CN"/>
              </w:rPr>
              <w:t>预测点处声压级，dB；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Lp（r</w:t>
            </w:r>
            <w:r>
              <w:rPr>
                <w:rFonts w:hint="eastAsia"/>
                <w:color w:val="auto"/>
                <w:vertAlign w:val="subscript"/>
                <w:lang w:eastAsia="zh-CN"/>
              </w:rPr>
              <w:t>0</w:t>
            </w:r>
            <w:r>
              <w:rPr>
                <w:rFonts w:hint="eastAsia"/>
                <w:color w:val="auto"/>
                <w:lang w:eastAsia="zh-CN"/>
              </w:rPr>
              <w:t>）</w:t>
            </w:r>
            <w:r>
              <w:rPr>
                <w:rFonts w:hint="eastAsia"/>
                <w:color w:val="auto"/>
                <w:lang w:val="en-US" w:eastAsia="zh-CN"/>
              </w:rPr>
              <w:t>--</w:t>
            </w:r>
            <w:r>
              <w:rPr>
                <w:rFonts w:hint="eastAsia"/>
                <w:color w:val="auto"/>
                <w:lang w:eastAsia="zh-CN"/>
              </w:rPr>
              <w:t>参考位置r</w:t>
            </w:r>
            <w:r>
              <w:rPr>
                <w:rFonts w:hint="eastAsia"/>
                <w:color w:val="auto"/>
                <w:vertAlign w:val="subscript"/>
                <w:lang w:eastAsia="zh-CN"/>
              </w:rPr>
              <w:t>0</w:t>
            </w:r>
            <w:r>
              <w:rPr>
                <w:rFonts w:hint="eastAsia"/>
                <w:color w:val="auto"/>
                <w:lang w:eastAsia="zh-CN"/>
              </w:rPr>
              <w:t>处的声压级，dB；</w:t>
            </w:r>
          </w:p>
          <w:p>
            <w:pPr>
              <w:pStyle w:val="16"/>
              <w:keepNext w:val="0"/>
              <w:keepLines w:val="0"/>
              <w:pageBreakBefore w:val="0"/>
              <w:widowControl w:val="0"/>
              <w:kinsoku/>
              <w:wordWrap/>
              <w:overflowPunct/>
              <w:topLinePunct w:val="0"/>
              <w:autoSpaceDE/>
              <w:autoSpaceDN/>
              <w:bidi w:val="0"/>
              <w:adjustRightInd w:val="0"/>
              <w:snapToGrid w:val="0"/>
              <w:ind w:left="720" w:leftChars="300" w:firstLine="480" w:firstLineChars="200"/>
              <w:textAlignment w:val="auto"/>
              <w:rPr>
                <w:rFonts w:hint="eastAsia"/>
                <w:color w:val="auto"/>
                <w:lang w:eastAsia="zh-CN"/>
              </w:rPr>
            </w:pPr>
            <w:r>
              <w:rPr>
                <w:rFonts w:hint="eastAsia"/>
                <w:color w:val="auto"/>
                <w:lang w:eastAsia="zh-CN"/>
              </w:rPr>
              <w:t>D</w:t>
            </w:r>
            <w:r>
              <w:rPr>
                <w:rFonts w:hint="eastAsia"/>
                <w:color w:val="auto"/>
                <w:lang w:val="en-US" w:eastAsia="zh-CN"/>
              </w:rPr>
              <w:t>c--</w:t>
            </w:r>
            <w:r>
              <w:rPr>
                <w:rFonts w:hint="eastAsia"/>
                <w:color w:val="auto"/>
                <w:lang w:eastAsia="zh-CN"/>
              </w:rPr>
              <w:t>指向性校正，它描述点声源的等效连续声压级与产生声功率级Lw的全向点声源在规定方向的声级的偏差程度，dB；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A</w:t>
            </w:r>
            <w:r>
              <w:rPr>
                <w:rFonts w:hint="eastAsia"/>
                <w:color w:val="auto"/>
                <w:vertAlign w:val="subscript"/>
                <w:lang w:eastAsia="zh-CN"/>
              </w:rPr>
              <w:t>div</w:t>
            </w:r>
            <w:r>
              <w:rPr>
                <w:rFonts w:hint="eastAsia"/>
                <w:color w:val="auto"/>
                <w:lang w:val="en-US" w:eastAsia="zh-CN"/>
              </w:rPr>
              <w:t>--</w:t>
            </w:r>
            <w:r>
              <w:rPr>
                <w:rFonts w:hint="eastAsia"/>
                <w:color w:val="auto"/>
                <w:lang w:eastAsia="zh-CN"/>
              </w:rPr>
              <w:t>几何发散引起的衰减，dB；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A</w:t>
            </w:r>
            <w:r>
              <w:rPr>
                <w:rFonts w:hint="eastAsia"/>
                <w:color w:val="auto"/>
                <w:vertAlign w:val="subscript"/>
                <w:lang w:eastAsia="zh-CN"/>
              </w:rPr>
              <w:t>atm</w:t>
            </w:r>
            <w:r>
              <w:rPr>
                <w:rFonts w:hint="eastAsia"/>
                <w:color w:val="auto"/>
                <w:lang w:val="en-US" w:eastAsia="zh-CN"/>
              </w:rPr>
              <w:t>--</w:t>
            </w:r>
            <w:r>
              <w:rPr>
                <w:rFonts w:hint="eastAsia"/>
                <w:color w:val="auto"/>
                <w:lang w:eastAsia="zh-CN"/>
              </w:rPr>
              <w:t>大气吸收引起的衰减，dB；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A</w:t>
            </w:r>
            <w:r>
              <w:rPr>
                <w:rFonts w:hint="eastAsia"/>
                <w:color w:val="auto"/>
                <w:vertAlign w:val="subscript"/>
                <w:lang w:eastAsia="zh-CN"/>
              </w:rPr>
              <w:t>gr</w:t>
            </w:r>
            <w:r>
              <w:rPr>
                <w:rFonts w:hint="eastAsia"/>
                <w:color w:val="auto"/>
                <w:lang w:val="en-US" w:eastAsia="zh-CN"/>
              </w:rPr>
              <w:t>--</w:t>
            </w:r>
            <w:r>
              <w:rPr>
                <w:rFonts w:hint="eastAsia"/>
                <w:color w:val="auto"/>
                <w:lang w:eastAsia="zh-CN"/>
              </w:rPr>
              <w:t>地面效应引起的衰减，dB；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A</w:t>
            </w:r>
            <w:r>
              <w:rPr>
                <w:rFonts w:hint="eastAsia"/>
                <w:color w:val="auto"/>
                <w:vertAlign w:val="subscript"/>
                <w:lang w:eastAsia="zh-CN"/>
              </w:rPr>
              <w:t>bar</w:t>
            </w:r>
            <w:r>
              <w:rPr>
                <w:rFonts w:hint="eastAsia"/>
                <w:color w:val="auto"/>
                <w:lang w:val="en-US" w:eastAsia="zh-CN"/>
              </w:rPr>
              <w:t>--</w:t>
            </w:r>
            <w:r>
              <w:rPr>
                <w:rFonts w:hint="eastAsia"/>
                <w:color w:val="auto"/>
                <w:lang w:eastAsia="zh-CN"/>
              </w:rPr>
              <w:t>障碍物屏蔽引起的衰减，dB；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A</w:t>
            </w:r>
            <w:r>
              <w:rPr>
                <w:rFonts w:hint="eastAsia"/>
                <w:color w:val="auto"/>
                <w:vertAlign w:val="subscript"/>
                <w:lang w:eastAsia="zh-CN"/>
              </w:rPr>
              <w:t>misc</w:t>
            </w:r>
            <w:r>
              <w:rPr>
                <w:rFonts w:hint="eastAsia"/>
                <w:color w:val="auto"/>
                <w:lang w:val="en-US" w:eastAsia="zh-CN"/>
              </w:rPr>
              <w:t>--</w:t>
            </w:r>
            <w:r>
              <w:rPr>
                <w:rFonts w:hint="eastAsia"/>
                <w:color w:val="auto"/>
                <w:lang w:eastAsia="zh-CN"/>
              </w:rPr>
              <w:t>其他多方面效应引起的衰减，dB。</w:t>
            </w:r>
          </w:p>
          <w:p>
            <w:pPr>
              <w:pStyle w:val="16"/>
              <w:keepNext w:val="0"/>
              <w:keepLines w:val="0"/>
              <w:pageBreakBefore w:val="0"/>
              <w:widowControl w:val="0"/>
              <w:kinsoku/>
              <w:wordWrap/>
              <w:overflowPunct/>
              <w:autoSpaceDE/>
              <w:autoSpaceDN/>
              <w:bidi w:val="0"/>
              <w:adjustRightInd w:val="0"/>
              <w:snapToGrid w:val="0"/>
              <w:textAlignment w:val="auto"/>
              <w:rPr>
                <w:rFonts w:hint="default"/>
                <w:color w:val="auto"/>
                <w:lang w:val="en-US" w:eastAsia="zh-CN"/>
              </w:rPr>
            </w:pPr>
            <w:r>
              <w:rPr>
                <w:rFonts w:hint="eastAsia"/>
                <w:color w:val="auto"/>
                <w:lang w:val="en-US" w:eastAsia="zh-CN"/>
              </w:rPr>
              <w:t>B.无指向性点声源几何发散衰减的基本公式是：</w:t>
            </w:r>
          </w:p>
          <w:p>
            <w:pPr>
              <w:pStyle w:val="16"/>
              <w:keepNext w:val="0"/>
              <w:keepLines w:val="0"/>
              <w:pageBreakBefore w:val="0"/>
              <w:widowControl w:val="0"/>
              <w:shd w:val="clear" w:color="auto" w:fill="auto"/>
              <w:kinsoku/>
              <w:wordWrap/>
              <w:overflowPunct/>
              <w:topLinePunct/>
              <w:autoSpaceDE/>
              <w:autoSpaceDN/>
              <w:bidi w:val="0"/>
              <w:adjustRightInd w:val="0"/>
              <w:snapToGrid w:val="0"/>
              <w:spacing w:line="240" w:lineRule="auto"/>
              <w:ind w:firstLine="0" w:firstLineChars="0"/>
              <w:jc w:val="center"/>
              <w:textAlignment w:val="auto"/>
              <w:rPr>
                <w:rFonts w:hint="eastAsia"/>
                <w:color w:val="auto"/>
                <w:highlight w:val="none"/>
                <w:lang w:eastAsia="zh-CN"/>
              </w:rPr>
            </w:pPr>
            <w:r>
              <w:rPr>
                <w:rFonts w:hint="eastAsia"/>
                <w:bCs/>
                <w:color w:val="auto"/>
                <w:position w:val="-32"/>
                <w:highlight w:val="none"/>
              </w:rPr>
              <w:object>
                <v:shape id="_x0000_i1044" o:spt="75" type="#_x0000_t75" style="height:36.85pt;width:140.6pt;" o:ole="t" filled="f" o:preferrelative="t" stroked="f" coordsize="21600,21600">
                  <v:path/>
                  <v:fill on="f" focussize="0,0"/>
                  <v:stroke on="f"/>
                  <v:imagedata r:id="rId51" o:title=""/>
                  <o:lock v:ext="edit" aspectratio="t"/>
                  <w10:wrap type="none"/>
                  <w10:anchorlock/>
                </v:shape>
                <o:OLEObject Type="Embed" ProgID="Equation.KSEE3" ShapeID="_x0000_i1044" DrawAspect="Content" ObjectID="_1468075744" r:id="rId50">
                  <o:LockedField>false</o:LockedField>
                </o:OLEObject>
              </w:objec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式中：L</w:t>
            </w:r>
            <w:r>
              <w:rPr>
                <w:rFonts w:hint="eastAsia"/>
                <w:color w:val="auto"/>
                <w:vertAlign w:val="subscript"/>
                <w:lang w:eastAsia="zh-CN"/>
              </w:rPr>
              <w:t>p</w:t>
            </w:r>
            <w:r>
              <w:rPr>
                <w:rFonts w:hint="eastAsia"/>
                <w:color w:val="auto"/>
                <w:lang w:eastAsia="zh-CN"/>
              </w:rPr>
              <w:t>（r）</w:t>
            </w:r>
            <w:r>
              <w:rPr>
                <w:rFonts w:hint="eastAsia"/>
                <w:color w:val="auto"/>
                <w:lang w:val="en-US" w:eastAsia="zh-CN"/>
              </w:rPr>
              <w:t>--</w:t>
            </w:r>
            <w:r>
              <w:rPr>
                <w:rFonts w:hint="eastAsia"/>
                <w:color w:val="auto"/>
                <w:lang w:eastAsia="zh-CN"/>
              </w:rPr>
              <w:t>预测点处声压级，dB；</w:t>
            </w:r>
          </w:p>
          <w:p>
            <w:pPr>
              <w:pStyle w:val="16"/>
              <w:keepNext w:val="0"/>
              <w:keepLines w:val="0"/>
              <w:pageBreakBefore w:val="0"/>
              <w:widowControl w:val="0"/>
              <w:kinsoku/>
              <w:wordWrap/>
              <w:overflowPunct/>
              <w:topLinePunct w:val="0"/>
              <w:autoSpaceDE/>
              <w:autoSpaceDN/>
              <w:bidi w:val="0"/>
              <w:adjustRightInd w:val="0"/>
              <w:snapToGrid w:val="0"/>
              <w:spacing w:before="157" w:beforeLines="50"/>
              <w:ind w:firstLine="1200" w:firstLineChars="500"/>
              <w:textAlignment w:val="auto"/>
              <w:rPr>
                <w:rFonts w:hint="eastAsia"/>
                <w:color w:val="auto"/>
                <w:lang w:eastAsia="zh-CN"/>
              </w:rPr>
            </w:pPr>
            <w:r>
              <w:rPr>
                <w:rFonts w:hint="eastAsia"/>
                <w:color w:val="auto"/>
                <w:lang w:eastAsia="zh-CN"/>
              </w:rPr>
              <w:t>L</w:t>
            </w:r>
            <w:r>
              <w:rPr>
                <w:rFonts w:hint="eastAsia"/>
                <w:color w:val="auto"/>
                <w:vertAlign w:val="subscript"/>
                <w:lang w:eastAsia="zh-CN"/>
              </w:rPr>
              <w:t>p</w:t>
            </w:r>
            <w:r>
              <w:rPr>
                <w:rFonts w:hint="eastAsia"/>
                <w:color w:val="auto"/>
                <w:lang w:eastAsia="zh-CN"/>
              </w:rPr>
              <w:t>（r</w:t>
            </w:r>
            <w:r>
              <w:rPr>
                <w:rFonts w:hint="eastAsia"/>
                <w:color w:val="auto"/>
                <w:vertAlign w:val="subscript"/>
                <w:lang w:eastAsia="zh-CN"/>
              </w:rPr>
              <w:t>0</w:t>
            </w:r>
            <w:r>
              <w:rPr>
                <w:rFonts w:hint="eastAsia"/>
                <w:color w:val="auto"/>
                <w:lang w:eastAsia="zh-CN"/>
              </w:rPr>
              <w:t>）</w:t>
            </w:r>
            <w:r>
              <w:rPr>
                <w:rFonts w:hint="eastAsia"/>
                <w:color w:val="auto"/>
                <w:lang w:val="en-US" w:eastAsia="zh-CN"/>
              </w:rPr>
              <w:t>--</w:t>
            </w:r>
            <w:r>
              <w:rPr>
                <w:rFonts w:hint="eastAsia"/>
                <w:color w:val="auto"/>
                <w:lang w:eastAsia="zh-CN"/>
              </w:rPr>
              <w:t>参考位置r</w:t>
            </w:r>
            <w:r>
              <w:rPr>
                <w:rFonts w:hint="eastAsia"/>
                <w:color w:val="auto"/>
                <w:vertAlign w:val="subscript"/>
                <w:lang w:eastAsia="zh-CN"/>
              </w:rPr>
              <w:t>0</w:t>
            </w:r>
            <w:r>
              <w:rPr>
                <w:rFonts w:hint="eastAsia"/>
                <w:color w:val="auto"/>
                <w:lang w:eastAsia="zh-CN"/>
              </w:rPr>
              <w:t>处的声压级，dB；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r</w:t>
            </w:r>
            <w:r>
              <w:rPr>
                <w:rFonts w:hint="eastAsia"/>
                <w:color w:val="auto"/>
                <w:lang w:val="en-US" w:eastAsia="zh-CN"/>
              </w:rPr>
              <w:t>--</w:t>
            </w:r>
            <w:r>
              <w:rPr>
                <w:rFonts w:hint="eastAsia"/>
                <w:color w:val="auto"/>
                <w:lang w:eastAsia="zh-CN"/>
              </w:rPr>
              <w:t>预测点距声源的距离；</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r</w:t>
            </w:r>
            <w:r>
              <w:rPr>
                <w:rFonts w:hint="eastAsia"/>
                <w:color w:val="auto"/>
                <w:vertAlign w:val="subscript"/>
                <w:lang w:eastAsia="zh-CN"/>
              </w:rPr>
              <w:t>0</w:t>
            </w:r>
            <w:r>
              <w:rPr>
                <w:rFonts w:hint="eastAsia"/>
                <w:color w:val="auto"/>
                <w:lang w:val="en-US" w:eastAsia="zh-CN"/>
              </w:rPr>
              <w:t>--</w:t>
            </w:r>
            <w:r>
              <w:rPr>
                <w:rFonts w:hint="eastAsia"/>
                <w:color w:val="auto"/>
                <w:lang w:eastAsia="zh-CN"/>
              </w:rPr>
              <w:t>参考位置距声源的距离。</w:t>
            </w:r>
          </w:p>
          <w:p>
            <w:pPr>
              <w:pStyle w:val="16"/>
              <w:keepLines w:val="0"/>
              <w:pageBreakBefore w:val="0"/>
              <w:kinsoku/>
              <w:wordWrap/>
              <w:bidi w:val="0"/>
              <w:adjustRightInd w:val="0"/>
              <w:snapToGrid w:val="0"/>
              <w:textAlignment w:val="auto"/>
              <w:rPr>
                <w:rFonts w:hint="default"/>
                <w:color w:val="auto"/>
                <w:highlight w:val="none"/>
                <w:lang w:val="en-US" w:eastAsia="zh-CN"/>
              </w:rPr>
            </w:pPr>
            <w:r>
              <w:rPr>
                <w:rFonts w:hint="eastAsia"/>
                <w:color w:val="auto"/>
                <w:lang w:val="en-US" w:eastAsia="zh-CN"/>
              </w:rPr>
              <w:t>C.点声源的几何发散衰减</w:t>
            </w:r>
            <w:r>
              <w:rPr>
                <w:rFonts w:hint="eastAsia"/>
                <w:color w:val="auto"/>
                <w:lang w:eastAsia="zh-CN"/>
              </w:rPr>
              <w:t>Adiv</w:t>
            </w:r>
            <w:r>
              <w:rPr>
                <w:rFonts w:hint="eastAsia"/>
                <w:color w:val="auto"/>
                <w:lang w:val="en-US" w:eastAsia="zh-CN"/>
              </w:rPr>
              <w:t>，</w:t>
            </w:r>
            <w:r>
              <w:rPr>
                <w:rFonts w:hint="eastAsia"/>
                <w:color w:val="auto"/>
              </w:rPr>
              <w:t>计算公式如下：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color w:val="auto"/>
                <w:highlight w:val="none"/>
                <w:lang w:eastAsia="zh-CN"/>
              </w:rPr>
            </w:pPr>
            <w:r>
              <w:rPr>
                <w:rFonts w:hint="eastAsia"/>
                <w:bCs/>
                <w:color w:val="auto"/>
                <w:position w:val="-32"/>
                <w:highlight w:val="none"/>
              </w:rPr>
              <w:object>
                <v:shape id="_x0000_i1045" o:spt="75" type="#_x0000_t75" style="height:39.7pt;width:104.2pt;" o:ole="t" filled="f" o:preferrelative="t" stroked="f" coordsize="21600,21600">
                  <v:path/>
                  <v:fill on="f" focussize="0,0"/>
                  <v:stroke on="f"/>
                  <v:imagedata r:id="rId53" o:title=""/>
                  <o:lock v:ext="edit" aspectratio="t"/>
                  <w10:wrap type="none"/>
                  <w10:anchorlock/>
                </v:shape>
                <o:OLEObject Type="Embed" ProgID="Equation.KSEE3" ShapeID="_x0000_i1045" DrawAspect="Content" ObjectID="_1468075745" r:id="rId52">
                  <o:LockedField>false</o:LockedField>
                </o:OLEObject>
              </w:objec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式中：A</w:t>
            </w:r>
            <w:r>
              <w:rPr>
                <w:rFonts w:hint="eastAsia"/>
                <w:color w:val="auto"/>
                <w:vertAlign w:val="subscript"/>
                <w:lang w:eastAsia="zh-CN"/>
              </w:rPr>
              <w:t>div</w:t>
            </w:r>
            <w:r>
              <w:rPr>
                <w:rFonts w:hint="eastAsia"/>
                <w:color w:val="auto"/>
                <w:lang w:val="en-US" w:eastAsia="zh-CN"/>
              </w:rPr>
              <w:t>--</w:t>
            </w:r>
            <w:r>
              <w:rPr>
                <w:rFonts w:hint="eastAsia"/>
                <w:color w:val="auto"/>
                <w:lang w:eastAsia="zh-CN"/>
              </w:rPr>
              <w:t>几何发散引起的衰减，dB；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r</w:t>
            </w:r>
            <w:r>
              <w:rPr>
                <w:rFonts w:hint="eastAsia"/>
                <w:color w:val="auto"/>
                <w:lang w:val="en-US" w:eastAsia="zh-CN"/>
              </w:rPr>
              <w:t>--</w:t>
            </w:r>
            <w:r>
              <w:rPr>
                <w:rFonts w:hint="eastAsia"/>
                <w:color w:val="auto"/>
                <w:lang w:eastAsia="zh-CN"/>
              </w:rPr>
              <w:t>预测点距声源的距离；</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eastAsia="zh-CN"/>
              </w:rPr>
              <w:t>r</w:t>
            </w:r>
            <w:r>
              <w:rPr>
                <w:rFonts w:hint="eastAsia"/>
                <w:color w:val="auto"/>
                <w:vertAlign w:val="subscript"/>
                <w:lang w:eastAsia="zh-CN"/>
              </w:rPr>
              <w:t>0</w:t>
            </w:r>
            <w:r>
              <w:rPr>
                <w:rFonts w:hint="eastAsia"/>
                <w:color w:val="auto"/>
                <w:lang w:val="en-US" w:eastAsia="zh-CN"/>
              </w:rPr>
              <w:t>--</w:t>
            </w:r>
            <w:r>
              <w:rPr>
                <w:rFonts w:hint="eastAsia"/>
                <w:color w:val="auto"/>
                <w:lang w:eastAsia="zh-CN"/>
              </w:rPr>
              <w:t>参考位置距声源的距离。</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D.</w:t>
            </w:r>
            <w:r>
              <w:rPr>
                <w:rFonts w:hint="eastAsia"/>
                <w:color w:val="auto"/>
                <w:lang w:eastAsia="zh-CN"/>
              </w:rPr>
              <w:t>障碍物屏蔽引起的衰减Abar</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位于声源和预测点之间的实体障碍物，如围墙、建筑物、土坡或地堑等起声屏障作用，从而引起声能量的较大衰减。在环境影响评价中，可将各种形式的屏障简化为具有一定高度的薄屏障。</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屏障衰减Abar在单绕射（即薄屏障）情况，衰减最大取20dB；在双绕射（即厚屏障）情况，衰减最大取25dB。</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eastAsia="zh-CN"/>
              </w:rPr>
              <w:t>③噪声</w:t>
            </w:r>
            <w:r>
              <w:rPr>
                <w:rFonts w:hint="eastAsia"/>
                <w:color w:val="auto"/>
              </w:rPr>
              <w:t>贡献值计算公式如下：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bCs/>
                <w:color w:val="auto"/>
                <w:highlight w:val="none"/>
              </w:rPr>
            </w:pPr>
            <w:r>
              <w:rPr>
                <w:rFonts w:hint="eastAsia"/>
                <w:bCs/>
                <w:color w:val="auto"/>
                <w:position w:val="-34"/>
                <w:highlight w:val="none"/>
              </w:rPr>
              <w:object>
                <v:shape id="_x0000_i1046" o:spt="75" type="#_x0000_t75" style="height:51pt;width:269.35pt;" o:ole="t" filled="f" o:preferrelative="t" stroked="f" coordsize="21600,21600">
                  <v:path/>
                  <v:fill on="f" focussize="0,0"/>
                  <v:stroke on="f"/>
                  <v:imagedata r:id="rId55" o:title=""/>
                  <o:lock v:ext="edit" aspectratio="t"/>
                  <w10:wrap type="none"/>
                  <w10:anchorlock/>
                </v:shape>
                <o:OLEObject Type="Embed" ProgID="Equation.KSEE3" ShapeID="_x0000_i1046" DrawAspect="Content" ObjectID="_1468075746" r:id="rId54">
                  <o:LockedField>false</o:LockedField>
                </o:OLEObject>
              </w:object>
            </w:r>
          </w:p>
          <w:p>
            <w:pPr>
              <w:pStyle w:val="16"/>
              <w:keepNext w:val="0"/>
              <w:keepLines w:val="0"/>
              <w:pageBreakBefore w:val="0"/>
              <w:widowControl w:val="0"/>
              <w:kinsoku/>
              <w:wordWrap/>
              <w:overflowPunct/>
              <w:autoSpaceDE/>
              <w:autoSpaceDN/>
              <w:bidi w:val="0"/>
              <w:adjustRightInd w:val="0"/>
              <w:snapToGrid w:val="0"/>
              <w:textAlignment w:val="auto"/>
              <w:rPr>
                <w:color w:val="auto"/>
              </w:rPr>
            </w:pPr>
            <w:r>
              <w:rPr>
                <w:rFonts w:hint="eastAsia"/>
                <w:color w:val="auto"/>
              </w:rPr>
              <w:t>式中：L</w:t>
            </w:r>
            <w:r>
              <w:rPr>
                <w:rFonts w:hint="eastAsia"/>
                <w:color w:val="auto"/>
                <w:vertAlign w:val="subscript"/>
                <w:lang w:val="en-US" w:eastAsia="zh-CN"/>
              </w:rPr>
              <w:t>eqg</w:t>
            </w:r>
            <w:r>
              <w:rPr>
                <w:rFonts w:hint="eastAsia"/>
                <w:color w:val="auto"/>
              </w:rPr>
              <w:t>—</w:t>
            </w:r>
            <w:r>
              <w:rPr>
                <w:rFonts w:hint="eastAsia"/>
                <w:color w:val="auto"/>
                <w:lang w:eastAsia="zh-CN"/>
              </w:rPr>
              <w:t>建设项目声源在预测点产生的</w:t>
            </w:r>
            <w:r>
              <w:rPr>
                <w:rFonts w:hint="eastAsia"/>
                <w:color w:val="auto"/>
              </w:rPr>
              <w:t>噪声</w:t>
            </w:r>
            <w:r>
              <w:rPr>
                <w:rFonts w:hint="eastAsia"/>
                <w:color w:val="auto"/>
                <w:lang w:eastAsia="zh-CN"/>
              </w:rPr>
              <w:t>贡献</w:t>
            </w:r>
            <w:r>
              <w:rPr>
                <w:rFonts w:hint="eastAsia"/>
                <w:color w:val="auto"/>
              </w:rPr>
              <w:t>值，dB；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color w:val="auto"/>
              </w:rPr>
            </w:pPr>
            <w:r>
              <w:rPr>
                <w:rFonts w:hint="eastAsia"/>
                <w:color w:val="auto"/>
                <w:lang w:val="en-US" w:eastAsia="zh-CN"/>
              </w:rPr>
              <w:t>T</w:t>
            </w:r>
            <w:r>
              <w:rPr>
                <w:rFonts w:hint="eastAsia"/>
                <w:color w:val="auto"/>
              </w:rPr>
              <w:t>—</w:t>
            </w:r>
            <w:r>
              <w:rPr>
                <w:rFonts w:hint="eastAsia"/>
                <w:color w:val="auto"/>
                <w:lang w:eastAsia="zh-CN"/>
              </w:rPr>
              <w:t>用于计算等效声级的时间</w:t>
            </w:r>
            <w:r>
              <w:rPr>
                <w:rFonts w:hint="eastAsia"/>
                <w:color w:val="auto"/>
              </w:rPr>
              <w:t>，</w:t>
            </w:r>
            <w:r>
              <w:rPr>
                <w:rFonts w:hint="eastAsia"/>
                <w:color w:val="auto"/>
                <w:lang w:val="en-US" w:eastAsia="zh-CN"/>
              </w:rPr>
              <w:t>s</w:t>
            </w:r>
            <w:r>
              <w:rPr>
                <w:rFonts w:hint="eastAsia"/>
                <w:color w:val="auto"/>
              </w:rPr>
              <w:t>；</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val="en-US" w:eastAsia="zh-CN"/>
              </w:rPr>
              <w:t>ti</w:t>
            </w:r>
            <w:r>
              <w:rPr>
                <w:rFonts w:hint="eastAsia"/>
                <w:color w:val="auto"/>
              </w:rPr>
              <w:t>—在</w:t>
            </w:r>
            <w:r>
              <w:rPr>
                <w:rFonts w:hint="eastAsia"/>
                <w:color w:val="auto"/>
                <w:lang w:val="en-US" w:eastAsia="zh-CN"/>
              </w:rPr>
              <w:t>T时段内</w:t>
            </w:r>
            <w:r>
              <w:rPr>
                <w:rFonts w:hint="eastAsia"/>
                <w:color w:val="auto"/>
              </w:rPr>
              <w:t>i声源</w:t>
            </w:r>
            <w:r>
              <w:rPr>
                <w:rFonts w:hint="eastAsia"/>
                <w:color w:val="auto"/>
                <w:lang w:val="en-US" w:eastAsia="zh-CN"/>
              </w:rPr>
              <w:t>工作时间，s</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rPr>
              <w:t>L</w:t>
            </w:r>
            <w:r>
              <w:rPr>
                <w:rFonts w:hint="eastAsia"/>
                <w:color w:val="auto"/>
                <w:vertAlign w:val="subscript"/>
                <w:lang w:val="en-US" w:eastAsia="zh-CN"/>
              </w:rPr>
              <w:t>A</w:t>
            </w:r>
            <w:r>
              <w:rPr>
                <w:rFonts w:hint="eastAsia"/>
                <w:color w:val="auto"/>
                <w:vertAlign w:val="subscript"/>
              </w:rPr>
              <w:t>i</w:t>
            </w:r>
            <w:r>
              <w:rPr>
                <w:rFonts w:hint="eastAsia"/>
                <w:color w:val="auto"/>
              </w:rPr>
              <w:t>—第i个室外声源在预测点产生的</w:t>
            </w:r>
            <w:r>
              <w:rPr>
                <w:rFonts w:hint="eastAsia"/>
                <w:color w:val="auto"/>
                <w:lang w:eastAsia="zh-CN"/>
              </w:rPr>
              <w:t>等效连续</w:t>
            </w:r>
            <w:r>
              <w:rPr>
                <w:rFonts w:hint="eastAsia"/>
                <w:color w:val="auto"/>
                <w:lang w:val="en-US" w:eastAsia="zh-CN"/>
              </w:rPr>
              <w:t>A声级</w:t>
            </w:r>
            <w:r>
              <w:rPr>
                <w:rFonts w:hint="eastAsia"/>
                <w:color w:val="auto"/>
              </w:rPr>
              <w:t>，dB</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lang w:eastAsia="zh-CN"/>
              </w:rPr>
            </w:pPr>
            <w:r>
              <w:rPr>
                <w:rFonts w:hint="eastAsia"/>
                <w:color w:val="auto"/>
                <w:lang w:val="en-US" w:eastAsia="zh-CN"/>
              </w:rPr>
              <w:t>t</w:t>
            </w:r>
            <w:r>
              <w:rPr>
                <w:rFonts w:hint="eastAsia"/>
                <w:color w:val="auto"/>
                <w:vertAlign w:val="subscript"/>
                <w:lang w:val="en-US" w:eastAsia="zh-CN"/>
              </w:rPr>
              <w:t>j</w:t>
            </w:r>
            <w:r>
              <w:rPr>
                <w:rFonts w:hint="eastAsia"/>
                <w:color w:val="auto"/>
              </w:rPr>
              <w:t>—在</w:t>
            </w:r>
            <w:r>
              <w:rPr>
                <w:rFonts w:hint="eastAsia"/>
                <w:color w:val="auto"/>
                <w:lang w:val="en-US" w:eastAsia="zh-CN"/>
              </w:rPr>
              <w:t>T时段内j</w:t>
            </w:r>
            <w:r>
              <w:rPr>
                <w:rFonts w:hint="eastAsia"/>
                <w:color w:val="auto"/>
              </w:rPr>
              <w:t>声源</w:t>
            </w:r>
            <w:r>
              <w:rPr>
                <w:rFonts w:hint="eastAsia"/>
                <w:color w:val="auto"/>
                <w:lang w:val="en-US" w:eastAsia="zh-CN"/>
              </w:rPr>
              <w:t>工作时间，s</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color w:val="auto"/>
              </w:rPr>
            </w:pPr>
            <w:r>
              <w:rPr>
                <w:rFonts w:hint="eastAsia"/>
                <w:color w:val="auto"/>
              </w:rPr>
              <w:t>L</w:t>
            </w:r>
            <w:r>
              <w:rPr>
                <w:rFonts w:hint="eastAsia"/>
                <w:color w:val="auto"/>
                <w:vertAlign w:val="subscript"/>
                <w:lang w:val="en-US" w:eastAsia="zh-CN"/>
              </w:rPr>
              <w:t>Aj</w:t>
            </w:r>
            <w:r>
              <w:rPr>
                <w:rFonts w:hint="eastAsia"/>
                <w:color w:val="auto"/>
              </w:rPr>
              <w:t>—第</w:t>
            </w:r>
            <w:r>
              <w:rPr>
                <w:rFonts w:hint="eastAsia"/>
                <w:color w:val="auto"/>
                <w:lang w:val="en-US" w:eastAsia="zh-CN"/>
              </w:rPr>
              <w:t>j</w:t>
            </w:r>
            <w:r>
              <w:rPr>
                <w:rFonts w:hint="eastAsia"/>
                <w:color w:val="auto"/>
              </w:rPr>
              <w:t>个</w:t>
            </w:r>
            <w:r>
              <w:rPr>
                <w:rFonts w:hint="eastAsia"/>
                <w:color w:val="auto"/>
                <w:lang w:eastAsia="zh-CN"/>
              </w:rPr>
              <w:t>等效</w:t>
            </w:r>
            <w:r>
              <w:rPr>
                <w:rFonts w:hint="eastAsia"/>
                <w:color w:val="auto"/>
              </w:rPr>
              <w:t>室外声源在预测点产生的</w:t>
            </w:r>
            <w:r>
              <w:rPr>
                <w:rFonts w:hint="eastAsia"/>
                <w:color w:val="auto"/>
                <w:lang w:eastAsia="zh-CN"/>
              </w:rPr>
              <w:t>等效连续</w:t>
            </w:r>
            <w:r>
              <w:rPr>
                <w:rFonts w:hint="eastAsia"/>
                <w:color w:val="auto"/>
                <w:lang w:val="en-US" w:eastAsia="zh-CN"/>
              </w:rPr>
              <w:t>A声级</w:t>
            </w:r>
            <w:r>
              <w:rPr>
                <w:rFonts w:hint="eastAsia"/>
                <w:color w:val="auto"/>
              </w:rPr>
              <w:t>，dB。</w:t>
            </w:r>
          </w:p>
          <w:p>
            <w:pPr>
              <w:pStyle w:val="16"/>
              <w:keepNext w:val="0"/>
              <w:keepLines w:val="0"/>
              <w:pageBreakBefore w:val="0"/>
              <w:widowControl w:val="0"/>
              <w:kinsoku/>
              <w:wordWrap/>
              <w:overflowPunct/>
              <w:autoSpaceDE/>
              <w:autoSpaceDN/>
              <w:bidi w:val="0"/>
              <w:adjustRightInd w:val="0"/>
              <w:snapToGrid w:val="0"/>
              <w:textAlignment w:val="auto"/>
              <w:rPr>
                <w:rFonts w:hint="eastAsia" w:eastAsia="宋体"/>
                <w:color w:val="auto"/>
                <w:highlight w:val="none"/>
                <w:lang w:eastAsia="zh-CN"/>
              </w:rPr>
            </w:pPr>
            <w:r>
              <w:rPr>
                <w:rFonts w:hint="eastAsia"/>
                <w:color w:val="auto"/>
                <w:lang w:eastAsia="zh-CN"/>
              </w:rPr>
              <w:t>④噪声预测值</w:t>
            </w:r>
            <w:r>
              <w:rPr>
                <w:rFonts w:hint="eastAsia"/>
                <w:color w:val="auto"/>
              </w:rPr>
              <w:t>计算公式如下：</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hint="eastAsia"/>
                <w:bCs/>
                <w:color w:val="auto"/>
                <w:highlight w:val="none"/>
              </w:rPr>
            </w:pPr>
            <w:r>
              <w:rPr>
                <w:rFonts w:hint="eastAsia"/>
                <w:bCs/>
                <w:color w:val="auto"/>
                <w:position w:val="-10"/>
                <w:highlight w:val="none"/>
              </w:rPr>
              <w:object>
                <v:shape id="_x0000_i1047" o:spt="75" type="#_x0000_t75" style="height:25.5pt;width:200.25pt;" o:ole="t" filled="f" o:preferrelative="t" stroked="f" coordsize="21600,21600">
                  <v:path/>
                  <v:fill on="f" focussize="0,0"/>
                  <v:stroke on="f"/>
                  <v:imagedata r:id="rId57" o:title=""/>
                  <o:lock v:ext="edit" aspectratio="t"/>
                  <w10:wrap type="none"/>
                  <w10:anchorlock/>
                </v:shape>
                <o:OLEObject Type="Embed" ProgID="Equation.KSEE3" ShapeID="_x0000_i1047" DrawAspect="Content" ObjectID="_1468075747" r:id="rId56">
                  <o:LockedField>false</o:LockedField>
                </o:OLEObject>
              </w:object>
            </w:r>
          </w:p>
          <w:p>
            <w:pPr>
              <w:pStyle w:val="16"/>
              <w:keepNext w:val="0"/>
              <w:keepLines w:val="0"/>
              <w:pageBreakBefore w:val="0"/>
              <w:widowControl w:val="0"/>
              <w:kinsoku/>
              <w:wordWrap/>
              <w:overflowPunct/>
              <w:autoSpaceDE/>
              <w:autoSpaceDN/>
              <w:bidi w:val="0"/>
              <w:adjustRightInd w:val="0"/>
              <w:snapToGrid w:val="0"/>
              <w:textAlignment w:val="auto"/>
              <w:rPr>
                <w:rFonts w:hint="eastAsia"/>
                <w:color w:val="auto"/>
                <w:lang w:val="en-US" w:eastAsia="zh-CN"/>
              </w:rPr>
            </w:pPr>
            <w:r>
              <w:rPr>
                <w:rFonts w:hint="eastAsia"/>
                <w:color w:val="auto"/>
              </w:rPr>
              <w:t>式中：</w:t>
            </w:r>
            <w:r>
              <w:rPr>
                <w:rFonts w:hint="eastAsia"/>
                <w:color w:val="auto"/>
                <w:lang w:val="en-US" w:eastAsia="zh-CN"/>
              </w:rPr>
              <w:t>L</w:t>
            </w:r>
            <w:r>
              <w:rPr>
                <w:rFonts w:hint="eastAsia"/>
                <w:color w:val="auto"/>
                <w:vertAlign w:val="subscript"/>
                <w:lang w:val="en-US" w:eastAsia="zh-CN"/>
              </w:rPr>
              <w:t>eq</w:t>
            </w:r>
            <w:r>
              <w:rPr>
                <w:rFonts w:hint="eastAsia"/>
                <w:color w:val="auto"/>
              </w:rPr>
              <w:t>—</w:t>
            </w:r>
            <w:r>
              <w:rPr>
                <w:rFonts w:hint="eastAsia"/>
                <w:color w:val="auto"/>
                <w:lang w:eastAsia="zh-CN"/>
              </w:rPr>
              <w:t>预测点的噪声预测值，</w:t>
            </w:r>
            <w:r>
              <w:rPr>
                <w:rFonts w:hint="eastAsia"/>
                <w:color w:val="auto"/>
              </w:rPr>
              <w:t>dB</w:t>
            </w:r>
            <w:r>
              <w:rPr>
                <w:rFonts w:hint="eastAsia"/>
                <w:color w:val="auto"/>
                <w:lang w:eastAsia="zh-CN"/>
              </w:rPr>
              <w:t>；</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color w:val="auto"/>
              </w:rPr>
            </w:pPr>
            <w:r>
              <w:rPr>
                <w:rFonts w:hint="eastAsia"/>
                <w:color w:val="auto"/>
              </w:rPr>
              <w:t>L</w:t>
            </w:r>
            <w:r>
              <w:rPr>
                <w:rFonts w:hint="eastAsia"/>
                <w:color w:val="auto"/>
                <w:vertAlign w:val="subscript"/>
                <w:lang w:val="en-US" w:eastAsia="zh-CN"/>
              </w:rPr>
              <w:t>eqg</w:t>
            </w:r>
            <w:r>
              <w:rPr>
                <w:rFonts w:hint="eastAsia"/>
                <w:color w:val="auto"/>
              </w:rPr>
              <w:t>—建设项目声源在预测点</w:t>
            </w:r>
            <w:r>
              <w:rPr>
                <w:rFonts w:hint="eastAsia"/>
                <w:color w:val="auto"/>
                <w:lang w:eastAsia="zh-CN"/>
              </w:rPr>
              <w:t>产生的噪声</w:t>
            </w:r>
            <w:r>
              <w:rPr>
                <w:rFonts w:hint="eastAsia"/>
                <w:color w:val="auto"/>
              </w:rPr>
              <w:t>贡献值，dB；</w:t>
            </w:r>
          </w:p>
          <w:p>
            <w:pPr>
              <w:pStyle w:val="16"/>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color w:val="auto"/>
              </w:rPr>
            </w:pPr>
            <w:r>
              <w:rPr>
                <w:rFonts w:hint="eastAsia"/>
                <w:color w:val="auto"/>
              </w:rPr>
              <w:t>L</w:t>
            </w:r>
            <w:r>
              <w:rPr>
                <w:rFonts w:hint="eastAsia"/>
                <w:color w:val="auto"/>
                <w:vertAlign w:val="subscript"/>
                <w:lang w:val="en-US" w:eastAsia="zh-CN"/>
              </w:rPr>
              <w:t>eqb</w:t>
            </w:r>
            <w:r>
              <w:rPr>
                <w:rFonts w:hint="eastAsia"/>
                <w:color w:val="auto"/>
              </w:rPr>
              <w:t>—预测点的背景</w:t>
            </w:r>
            <w:r>
              <w:rPr>
                <w:rFonts w:hint="eastAsia"/>
                <w:color w:val="auto"/>
                <w:lang w:eastAsia="zh-CN"/>
              </w:rPr>
              <w:t>噪声</w:t>
            </w:r>
            <w:r>
              <w:rPr>
                <w:rFonts w:hint="eastAsia"/>
                <w:color w:val="auto"/>
              </w:rPr>
              <w:t>值，dB。</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rPr>
              <w:t>（3）</w:t>
            </w:r>
            <w:r>
              <w:rPr>
                <w:rFonts w:hint="eastAsia"/>
                <w:color w:val="auto"/>
                <w:lang w:eastAsia="zh-CN"/>
              </w:rPr>
              <w:t>厂界贡献值预测结果</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rPr>
              <w:t>厂界外50m范围内无声环境保护目标。</w:t>
            </w:r>
            <w:r>
              <w:rPr>
                <w:rFonts w:hint="eastAsia"/>
                <w:color w:val="auto"/>
                <w:lang w:eastAsia="zh-CN"/>
              </w:rPr>
              <w:t>项目按点声源处理，仅考虑</w:t>
            </w:r>
            <w:r>
              <w:rPr>
                <w:rFonts w:hint="eastAsia"/>
                <w:color w:val="auto"/>
                <w:lang w:val="en-US" w:eastAsia="zh-CN"/>
              </w:rPr>
              <w:t>几何发散衰减和</w:t>
            </w:r>
            <w:r>
              <w:rPr>
                <w:rFonts w:hint="eastAsia"/>
                <w:color w:val="auto"/>
                <w:lang w:eastAsia="zh-CN"/>
              </w:rPr>
              <w:t>障碍物屏蔽引起的衰减。</w:t>
            </w:r>
            <w:r>
              <w:rPr>
                <w:color w:val="auto"/>
              </w:rPr>
              <w:t>项目</w:t>
            </w:r>
            <w:r>
              <w:rPr>
                <w:rFonts w:hint="eastAsia"/>
                <w:color w:val="auto"/>
                <w:lang w:eastAsia="zh-CN"/>
              </w:rPr>
              <w:t>声源对</w:t>
            </w:r>
            <w:r>
              <w:rPr>
                <w:rFonts w:hint="eastAsia"/>
                <w:color w:val="auto"/>
              </w:rPr>
              <w:t>厂界</w:t>
            </w:r>
            <w:r>
              <w:rPr>
                <w:rFonts w:hint="eastAsia"/>
                <w:color w:val="auto"/>
                <w:lang w:eastAsia="zh-CN"/>
              </w:rPr>
              <w:t>声环境影响预测结果，见下表</w:t>
            </w:r>
            <w:r>
              <w:rPr>
                <w:color w:val="auto"/>
              </w:rPr>
              <w:t>。</w:t>
            </w:r>
          </w:p>
          <w:p>
            <w:pPr>
              <w:pStyle w:val="11"/>
              <w:keepLines w:val="0"/>
              <w:pageBreakBefore w:val="0"/>
              <w:kinsoku/>
              <w:wordWrap/>
              <w:bidi w:val="0"/>
              <w:adjustRightInd w:val="0"/>
              <w:snapToGrid w:val="0"/>
              <w:textAlignment w:val="auto"/>
              <w:rPr>
                <w:color w:val="auto"/>
              </w:rPr>
            </w:pPr>
            <w:r>
              <w:rPr>
                <w:color w:val="auto"/>
              </w:rPr>
              <w:t>表4-</w:t>
            </w:r>
            <w:r>
              <w:rPr>
                <w:rFonts w:hint="eastAsia"/>
                <w:color w:val="auto"/>
                <w:lang w:val="en-US" w:eastAsia="zh-CN"/>
              </w:rPr>
              <w:t>14</w:t>
            </w:r>
            <w:r>
              <w:rPr>
                <w:rFonts w:hint="eastAsia"/>
                <w:color w:val="auto"/>
              </w:rPr>
              <w:t xml:space="preserve"> </w:t>
            </w:r>
            <w:r>
              <w:rPr>
                <w:rFonts w:hint="eastAsia"/>
                <w:color w:val="auto"/>
                <w:lang w:eastAsia="zh-CN"/>
              </w:rPr>
              <w:t>厂界</w:t>
            </w:r>
            <w:r>
              <w:rPr>
                <w:rFonts w:hint="eastAsia"/>
                <w:color w:val="auto"/>
              </w:rPr>
              <w:t>各预测点声环境影响预测结果</w:t>
            </w:r>
          </w:p>
          <w:tbl>
            <w:tblPr>
              <w:tblStyle w:val="7"/>
              <w:tblW w:w="85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7"/>
              <w:gridCol w:w="1417"/>
              <w:gridCol w:w="1417"/>
              <w:gridCol w:w="1417"/>
              <w:gridCol w:w="1701"/>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7"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序号</w:t>
                  </w:r>
                </w:p>
              </w:tc>
              <w:tc>
                <w:tcPr>
                  <w:tcW w:w="1417"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预测点</w:t>
                  </w:r>
                </w:p>
              </w:tc>
              <w:tc>
                <w:tcPr>
                  <w:tcW w:w="1417"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单位</w:t>
                  </w:r>
                </w:p>
              </w:tc>
              <w:tc>
                <w:tcPr>
                  <w:tcW w:w="1417"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贡献值</w:t>
                  </w:r>
                </w:p>
              </w:tc>
              <w:tc>
                <w:tcPr>
                  <w:tcW w:w="170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eastAsia"/>
                      <w:color w:val="auto"/>
                      <w:lang w:val="en-US" w:eastAsia="zh-CN"/>
                    </w:rPr>
                    <w:t>背景值</w:t>
                  </w:r>
                </w:p>
              </w:tc>
              <w:tc>
                <w:tcPr>
                  <w:tcW w:w="170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eastAsia"/>
                      <w:color w:val="auto"/>
                      <w:lang w:val="en-US" w:eastAsia="zh-CN"/>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7" w:type="dxa"/>
                  <w:vMerge w:val="continue"/>
                  <w:noWrap w:val="0"/>
                  <w:vAlign w:val="center"/>
                </w:tcPr>
                <w:p>
                  <w:pPr>
                    <w:pStyle w:val="15"/>
                    <w:keepLines w:val="0"/>
                    <w:pageBreakBefore w:val="0"/>
                    <w:kinsoku/>
                    <w:wordWrap/>
                    <w:bidi w:val="0"/>
                    <w:adjustRightInd w:val="0"/>
                    <w:snapToGrid w:val="0"/>
                    <w:textAlignment w:val="auto"/>
                    <w:rPr>
                      <w:rFonts w:hint="default"/>
                      <w:color w:val="auto"/>
                    </w:rPr>
                  </w:pPr>
                </w:p>
              </w:tc>
              <w:tc>
                <w:tcPr>
                  <w:tcW w:w="1417" w:type="dxa"/>
                  <w:vMerge w:val="continue"/>
                  <w:noWrap w:val="0"/>
                  <w:vAlign w:val="center"/>
                </w:tcPr>
                <w:p>
                  <w:pPr>
                    <w:pStyle w:val="15"/>
                    <w:keepLines w:val="0"/>
                    <w:pageBreakBefore w:val="0"/>
                    <w:kinsoku/>
                    <w:wordWrap/>
                    <w:bidi w:val="0"/>
                    <w:adjustRightInd w:val="0"/>
                    <w:snapToGrid w:val="0"/>
                    <w:textAlignment w:val="auto"/>
                    <w:rPr>
                      <w:rFonts w:hint="default"/>
                      <w:color w:val="auto"/>
                    </w:rPr>
                  </w:pPr>
                </w:p>
              </w:tc>
              <w:tc>
                <w:tcPr>
                  <w:tcW w:w="1417" w:type="dxa"/>
                  <w:vMerge w:val="continue"/>
                  <w:noWrap w:val="0"/>
                  <w:vAlign w:val="center"/>
                </w:tcPr>
                <w:p>
                  <w:pPr>
                    <w:pStyle w:val="15"/>
                    <w:keepLines w:val="0"/>
                    <w:pageBreakBefore w:val="0"/>
                    <w:kinsoku/>
                    <w:wordWrap/>
                    <w:bidi w:val="0"/>
                    <w:adjustRightInd w:val="0"/>
                    <w:snapToGrid w:val="0"/>
                    <w:textAlignment w:val="auto"/>
                    <w:rPr>
                      <w:rFonts w:hint="default"/>
                      <w:color w:val="auto"/>
                    </w:rPr>
                  </w:pPr>
                </w:p>
              </w:tc>
              <w:tc>
                <w:tcPr>
                  <w:tcW w:w="1417" w:type="dxa"/>
                  <w:vMerge w:val="continue"/>
                  <w:noWrap w:val="0"/>
                  <w:vAlign w:val="center"/>
                </w:tcPr>
                <w:p>
                  <w:pPr>
                    <w:pStyle w:val="15"/>
                    <w:keepLines w:val="0"/>
                    <w:pageBreakBefore w:val="0"/>
                    <w:kinsoku/>
                    <w:wordWrap/>
                    <w:bidi w:val="0"/>
                    <w:adjustRightInd w:val="0"/>
                    <w:snapToGrid w:val="0"/>
                    <w:textAlignment w:val="auto"/>
                    <w:rPr>
                      <w:rFonts w:hint="default"/>
                      <w:color w:val="auto"/>
                    </w:rPr>
                  </w:pPr>
                </w:p>
              </w:tc>
              <w:tc>
                <w:tcPr>
                  <w:tcW w:w="1701" w:type="dxa"/>
                  <w:noWrap w:val="0"/>
                  <w:vAlign w:val="center"/>
                </w:tcPr>
                <w:p>
                  <w:pPr>
                    <w:pStyle w:val="15"/>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昼间</w:t>
                  </w:r>
                </w:p>
              </w:tc>
              <w:tc>
                <w:tcPr>
                  <w:tcW w:w="1701" w:type="dxa"/>
                  <w:noWrap w:val="0"/>
                  <w:vAlign w:val="center"/>
                </w:tcPr>
                <w:p>
                  <w:pPr>
                    <w:pStyle w:val="15"/>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1</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厂界东</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dB</w:t>
                  </w:r>
                  <w:r>
                    <w:rPr>
                      <w:rFonts w:hint="eastAsia"/>
                      <w:color w:val="auto"/>
                    </w:rPr>
                    <w:t>（</w:t>
                  </w:r>
                  <w:r>
                    <w:rPr>
                      <w:color w:val="auto"/>
                    </w:rPr>
                    <w:t>A）</w:t>
                  </w:r>
                </w:p>
              </w:tc>
              <w:tc>
                <w:tcPr>
                  <w:tcW w:w="141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33.8</w:t>
                  </w:r>
                </w:p>
              </w:tc>
              <w:tc>
                <w:tcPr>
                  <w:tcW w:w="170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56.4</w:t>
                  </w:r>
                </w:p>
              </w:tc>
              <w:tc>
                <w:tcPr>
                  <w:tcW w:w="170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2</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厂界南</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dB</w:t>
                  </w:r>
                  <w:r>
                    <w:rPr>
                      <w:rFonts w:hint="eastAsia"/>
                      <w:color w:val="auto"/>
                    </w:rPr>
                    <w:t>（</w:t>
                  </w:r>
                  <w:r>
                    <w:rPr>
                      <w:color w:val="auto"/>
                    </w:rPr>
                    <w:t>A）</w:t>
                  </w:r>
                </w:p>
              </w:tc>
              <w:tc>
                <w:tcPr>
                  <w:tcW w:w="141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47.1</w:t>
                  </w:r>
                </w:p>
              </w:tc>
              <w:tc>
                <w:tcPr>
                  <w:tcW w:w="170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56.9</w:t>
                  </w:r>
                </w:p>
              </w:tc>
              <w:tc>
                <w:tcPr>
                  <w:tcW w:w="170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3</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厂界西</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dB</w:t>
                  </w:r>
                  <w:r>
                    <w:rPr>
                      <w:rFonts w:hint="eastAsia"/>
                      <w:color w:val="auto"/>
                    </w:rPr>
                    <w:t>（</w:t>
                  </w:r>
                  <w:r>
                    <w:rPr>
                      <w:color w:val="auto"/>
                    </w:rPr>
                    <w:t>A）</w:t>
                  </w:r>
                </w:p>
              </w:tc>
              <w:tc>
                <w:tcPr>
                  <w:tcW w:w="141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39.1</w:t>
                  </w:r>
                </w:p>
              </w:tc>
              <w:tc>
                <w:tcPr>
                  <w:tcW w:w="170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57.6</w:t>
                  </w:r>
                </w:p>
              </w:tc>
              <w:tc>
                <w:tcPr>
                  <w:tcW w:w="170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07" w:type="dxa"/>
                  <w:noWrap w:val="0"/>
                  <w:vAlign w:val="center"/>
                </w:tcPr>
                <w:p>
                  <w:pPr>
                    <w:pStyle w:val="13"/>
                    <w:keepLines w:val="0"/>
                    <w:pageBreakBefore w:val="0"/>
                    <w:kinsoku/>
                    <w:wordWrap/>
                    <w:bidi w:val="0"/>
                    <w:adjustRightInd w:val="0"/>
                    <w:snapToGrid w:val="0"/>
                    <w:textAlignment w:val="auto"/>
                    <w:rPr>
                      <w:color w:val="auto"/>
                    </w:rPr>
                  </w:pPr>
                  <w:r>
                    <w:rPr>
                      <w:color w:val="auto"/>
                    </w:rPr>
                    <w:t>4</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厂界北</w:t>
                  </w:r>
                </w:p>
              </w:tc>
              <w:tc>
                <w:tcPr>
                  <w:tcW w:w="1417" w:type="dxa"/>
                  <w:noWrap w:val="0"/>
                  <w:vAlign w:val="center"/>
                </w:tcPr>
                <w:p>
                  <w:pPr>
                    <w:pStyle w:val="13"/>
                    <w:keepLines w:val="0"/>
                    <w:pageBreakBefore w:val="0"/>
                    <w:kinsoku/>
                    <w:wordWrap/>
                    <w:bidi w:val="0"/>
                    <w:adjustRightInd w:val="0"/>
                    <w:snapToGrid w:val="0"/>
                    <w:textAlignment w:val="auto"/>
                    <w:rPr>
                      <w:color w:val="auto"/>
                    </w:rPr>
                  </w:pPr>
                  <w:r>
                    <w:rPr>
                      <w:color w:val="auto"/>
                    </w:rPr>
                    <w:t>dB</w:t>
                  </w:r>
                  <w:r>
                    <w:rPr>
                      <w:rFonts w:hint="eastAsia"/>
                      <w:color w:val="auto"/>
                    </w:rPr>
                    <w:t>（</w:t>
                  </w:r>
                  <w:r>
                    <w:rPr>
                      <w:color w:val="auto"/>
                    </w:rPr>
                    <w:t>A）</w:t>
                  </w:r>
                </w:p>
              </w:tc>
              <w:tc>
                <w:tcPr>
                  <w:tcW w:w="1417"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56.2</w:t>
                  </w:r>
                </w:p>
              </w:tc>
              <w:tc>
                <w:tcPr>
                  <w:tcW w:w="170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55.0</w:t>
                  </w:r>
                </w:p>
              </w:tc>
              <w:tc>
                <w:tcPr>
                  <w:tcW w:w="1701" w:type="dxa"/>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58.6</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bCs/>
                <w:color w:val="auto"/>
                <w:highlight w:val="none"/>
              </w:rPr>
            </w:pPr>
            <w:r>
              <w:rPr>
                <w:color w:val="auto"/>
              </w:rPr>
              <w:t>由上表</w:t>
            </w:r>
            <w:r>
              <w:rPr>
                <w:rFonts w:hint="eastAsia"/>
                <w:color w:val="auto"/>
              </w:rPr>
              <w:t>可知</w:t>
            </w:r>
            <w:r>
              <w:rPr>
                <w:color w:val="auto"/>
              </w:rPr>
              <w:t>，项目</w:t>
            </w:r>
            <w:r>
              <w:rPr>
                <w:rFonts w:hint="eastAsia"/>
                <w:color w:val="auto"/>
              </w:rPr>
              <w:t>改建后</w:t>
            </w:r>
            <w:r>
              <w:rPr>
                <w:color w:val="auto"/>
              </w:rPr>
              <w:t>通过采取</w:t>
            </w:r>
            <w:r>
              <w:rPr>
                <w:rFonts w:hint="eastAsia"/>
                <w:color w:val="auto"/>
                <w:lang w:eastAsia="zh-CN"/>
              </w:rPr>
              <w:t>选用低噪声设备、厂房隔声、基础减振</w:t>
            </w:r>
            <w:r>
              <w:rPr>
                <w:color w:val="auto"/>
              </w:rPr>
              <w:t>等降噪措施，厂界</w:t>
            </w:r>
            <w:r>
              <w:rPr>
                <w:rFonts w:hint="eastAsia"/>
                <w:color w:val="auto"/>
                <w:lang w:val="en-US" w:eastAsia="zh-CN"/>
              </w:rPr>
              <w:t>各预测点预测结果</w:t>
            </w:r>
            <w:r>
              <w:rPr>
                <w:color w:val="auto"/>
              </w:rPr>
              <w:t>均满足《工业企业厂界环境噪声排放标准》（GB</w:t>
            </w:r>
            <w:r>
              <w:rPr>
                <w:rFonts w:hint="eastAsia"/>
                <w:color w:val="auto"/>
              </w:rPr>
              <w:t xml:space="preserve"> </w:t>
            </w:r>
            <w:r>
              <w:rPr>
                <w:color w:val="auto"/>
              </w:rPr>
              <w:t>12348-2008）中3类标准，即昼间65dB（A），对周围环境影响较小。</w:t>
            </w:r>
          </w:p>
          <w:p>
            <w:pPr>
              <w:pStyle w:val="18"/>
              <w:keepLines w:val="0"/>
              <w:pageBreakBefore w:val="0"/>
              <w:kinsoku/>
              <w:wordWrap/>
              <w:bidi w:val="0"/>
              <w:adjustRightInd w:val="0"/>
              <w:snapToGrid w:val="0"/>
              <w:textAlignment w:val="auto"/>
              <w:rPr>
                <w:color w:val="auto"/>
              </w:rPr>
            </w:pPr>
            <w:r>
              <w:rPr>
                <w:color w:val="auto"/>
              </w:rPr>
              <w:t>2、噪声监测计划</w:t>
            </w:r>
          </w:p>
          <w:p>
            <w:pPr>
              <w:pStyle w:val="16"/>
              <w:keepLines w:val="0"/>
              <w:pageBreakBefore w:val="0"/>
              <w:kinsoku/>
              <w:wordWrap/>
              <w:bidi w:val="0"/>
              <w:adjustRightInd w:val="0"/>
              <w:snapToGrid w:val="0"/>
              <w:textAlignment w:val="auto"/>
              <w:rPr>
                <w:color w:val="auto"/>
                <w:highlight w:val="none"/>
              </w:rPr>
            </w:pPr>
            <w:r>
              <w:rPr>
                <w:color w:val="auto"/>
              </w:rPr>
              <w:t>根据《排污单位自行监测技术指南-总则》</w:t>
            </w:r>
            <w:r>
              <w:rPr>
                <w:rFonts w:hint="eastAsia"/>
                <w:color w:val="auto"/>
              </w:rPr>
              <w:t>（</w:t>
            </w:r>
            <w:r>
              <w:rPr>
                <w:color w:val="auto"/>
              </w:rPr>
              <w:t>HJ</w:t>
            </w:r>
            <w:r>
              <w:rPr>
                <w:rFonts w:hint="eastAsia"/>
                <w:color w:val="auto"/>
              </w:rPr>
              <w:t xml:space="preserve"> </w:t>
            </w:r>
            <w:r>
              <w:rPr>
                <w:color w:val="auto"/>
              </w:rPr>
              <w:t>819-2017）</w:t>
            </w:r>
            <w:r>
              <w:rPr>
                <w:rFonts w:hint="eastAsia"/>
                <w:color w:val="auto"/>
              </w:rPr>
              <w:t>中</w:t>
            </w:r>
            <w:r>
              <w:rPr>
                <w:color w:val="auto"/>
              </w:rPr>
              <w:t>要求，排污单位应开展</w:t>
            </w:r>
            <w:r>
              <w:rPr>
                <w:rFonts w:hint="eastAsia"/>
                <w:color w:val="auto"/>
                <w:lang w:val="en-US" w:eastAsia="zh-CN"/>
              </w:rPr>
              <w:t>噪声</w:t>
            </w:r>
            <w:r>
              <w:rPr>
                <w:color w:val="auto"/>
              </w:rPr>
              <w:t>监测活动。</w:t>
            </w:r>
            <w:r>
              <w:rPr>
                <w:rFonts w:hint="eastAsia"/>
                <w:color w:val="auto"/>
                <w:lang w:eastAsia="zh-CN"/>
              </w:rPr>
              <w:t>项目</w:t>
            </w:r>
            <w:r>
              <w:rPr>
                <w:color w:val="auto"/>
              </w:rPr>
              <w:t>噪声监测计划</w:t>
            </w:r>
            <w:r>
              <w:rPr>
                <w:rFonts w:hint="eastAsia"/>
                <w:color w:val="auto"/>
              </w:rPr>
              <w:t>，</w:t>
            </w:r>
            <w:r>
              <w:rPr>
                <w:color w:val="auto"/>
              </w:rPr>
              <w:t>见下表。</w:t>
            </w:r>
          </w:p>
          <w:p>
            <w:pPr>
              <w:pStyle w:val="11"/>
              <w:keepLines w:val="0"/>
              <w:pageBreakBefore w:val="0"/>
              <w:kinsoku/>
              <w:wordWrap/>
              <w:bidi w:val="0"/>
              <w:adjustRightInd w:val="0"/>
              <w:snapToGrid w:val="0"/>
              <w:textAlignment w:val="auto"/>
              <w:rPr>
                <w:color w:val="auto"/>
              </w:rPr>
            </w:pPr>
            <w:r>
              <w:rPr>
                <w:color w:val="auto"/>
              </w:rPr>
              <w:t>表4-</w:t>
            </w:r>
            <w:r>
              <w:rPr>
                <w:rFonts w:hint="eastAsia"/>
                <w:color w:val="auto"/>
                <w:lang w:val="en-US" w:eastAsia="zh-CN"/>
              </w:rPr>
              <w:t>15</w:t>
            </w:r>
            <w:r>
              <w:rPr>
                <w:rFonts w:hint="eastAsia"/>
                <w:color w:val="auto"/>
              </w:rPr>
              <w:t xml:space="preserve"> </w:t>
            </w:r>
            <w:r>
              <w:rPr>
                <w:rFonts w:hint="eastAsia"/>
                <w:color w:val="auto"/>
                <w:lang w:eastAsia="zh-CN"/>
              </w:rPr>
              <w:t>项目</w:t>
            </w:r>
            <w:r>
              <w:rPr>
                <w:color w:val="auto"/>
              </w:rPr>
              <w:t>噪声监测计划</w:t>
            </w:r>
          </w:p>
          <w:tbl>
            <w:tblPr>
              <w:tblStyle w:val="7"/>
              <w:tblW w:w="86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74"/>
              <w:gridCol w:w="2041"/>
              <w:gridCol w:w="2041"/>
              <w:gridCol w:w="1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序号</w:t>
                  </w:r>
                </w:p>
              </w:tc>
              <w:tc>
                <w:tcPr>
                  <w:tcW w:w="1474"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类别</w:t>
                  </w:r>
                </w:p>
              </w:tc>
              <w:tc>
                <w:tcPr>
                  <w:tcW w:w="204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监测点位</w:t>
                  </w:r>
                </w:p>
              </w:tc>
              <w:tc>
                <w:tcPr>
                  <w:tcW w:w="2041"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监测项目</w:t>
                  </w:r>
                </w:p>
              </w:tc>
              <w:tc>
                <w:tcPr>
                  <w:tcW w:w="1928" w:type="dxa"/>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监测</w:t>
                  </w:r>
                  <w:bookmarkStart w:id="4" w:name="_GoBack"/>
                  <w:bookmarkEnd w:id="4"/>
                  <w:r>
                    <w:rPr>
                      <w:rFonts w:hint="default"/>
                      <w:color w:val="auto"/>
                    </w:rPr>
                    <w:t>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4" w:type="dxa"/>
                  <w:noWrap w:val="0"/>
                  <w:vAlign w:val="center"/>
                </w:tcPr>
                <w:p>
                  <w:pPr>
                    <w:pStyle w:val="13"/>
                    <w:keepLines w:val="0"/>
                    <w:pageBreakBefore w:val="0"/>
                    <w:kinsoku/>
                    <w:wordWrap/>
                    <w:bidi w:val="0"/>
                    <w:adjustRightInd w:val="0"/>
                    <w:snapToGrid w:val="0"/>
                    <w:textAlignment w:val="auto"/>
                    <w:rPr>
                      <w:color w:val="auto"/>
                    </w:rPr>
                  </w:pPr>
                  <w:r>
                    <w:rPr>
                      <w:color w:val="auto"/>
                    </w:rPr>
                    <w:t>1</w:t>
                  </w:r>
                </w:p>
              </w:tc>
              <w:tc>
                <w:tcPr>
                  <w:tcW w:w="1474" w:type="dxa"/>
                  <w:noWrap w:val="0"/>
                  <w:vAlign w:val="center"/>
                </w:tcPr>
                <w:p>
                  <w:pPr>
                    <w:pStyle w:val="13"/>
                    <w:keepLines w:val="0"/>
                    <w:pageBreakBefore w:val="0"/>
                    <w:kinsoku/>
                    <w:wordWrap/>
                    <w:bidi w:val="0"/>
                    <w:adjustRightInd w:val="0"/>
                    <w:snapToGrid w:val="0"/>
                    <w:textAlignment w:val="auto"/>
                    <w:rPr>
                      <w:color w:val="auto"/>
                    </w:rPr>
                  </w:pPr>
                  <w:r>
                    <w:rPr>
                      <w:color w:val="auto"/>
                    </w:rPr>
                    <w:t>噪声</w:t>
                  </w:r>
                </w:p>
              </w:tc>
              <w:tc>
                <w:tcPr>
                  <w:tcW w:w="2041" w:type="dxa"/>
                  <w:noWrap w:val="0"/>
                  <w:vAlign w:val="center"/>
                </w:tcPr>
                <w:p>
                  <w:pPr>
                    <w:pStyle w:val="13"/>
                    <w:keepLines w:val="0"/>
                    <w:pageBreakBefore w:val="0"/>
                    <w:kinsoku/>
                    <w:wordWrap/>
                    <w:bidi w:val="0"/>
                    <w:adjustRightInd w:val="0"/>
                    <w:snapToGrid w:val="0"/>
                    <w:textAlignment w:val="auto"/>
                    <w:rPr>
                      <w:color w:val="auto"/>
                    </w:rPr>
                  </w:pPr>
                  <w:r>
                    <w:rPr>
                      <w:color w:val="auto"/>
                    </w:rPr>
                    <w:t>厂界外1m</w:t>
                  </w:r>
                </w:p>
              </w:tc>
              <w:tc>
                <w:tcPr>
                  <w:tcW w:w="2041" w:type="dxa"/>
                  <w:noWrap w:val="0"/>
                  <w:vAlign w:val="center"/>
                </w:tcPr>
                <w:p>
                  <w:pPr>
                    <w:pStyle w:val="13"/>
                    <w:keepLines w:val="0"/>
                    <w:pageBreakBefore w:val="0"/>
                    <w:kinsoku/>
                    <w:wordWrap/>
                    <w:bidi w:val="0"/>
                    <w:adjustRightInd w:val="0"/>
                    <w:snapToGrid w:val="0"/>
                    <w:textAlignment w:val="auto"/>
                    <w:rPr>
                      <w:color w:val="auto"/>
                    </w:rPr>
                  </w:pPr>
                  <w:r>
                    <w:rPr>
                      <w:color w:val="auto"/>
                    </w:rPr>
                    <w:t>等效A声级</w:t>
                  </w:r>
                </w:p>
              </w:tc>
              <w:tc>
                <w:tcPr>
                  <w:tcW w:w="1928" w:type="dxa"/>
                  <w:noWrap w:val="0"/>
                  <w:vAlign w:val="center"/>
                </w:tcPr>
                <w:p>
                  <w:pPr>
                    <w:pStyle w:val="13"/>
                    <w:keepLines w:val="0"/>
                    <w:pageBreakBefore w:val="0"/>
                    <w:kinsoku/>
                    <w:wordWrap/>
                    <w:bidi w:val="0"/>
                    <w:adjustRightInd w:val="0"/>
                    <w:snapToGrid w:val="0"/>
                    <w:textAlignment w:val="auto"/>
                    <w:rPr>
                      <w:color w:val="auto"/>
                    </w:rPr>
                  </w:pPr>
                  <w:r>
                    <w:rPr>
                      <w:color w:val="auto"/>
                    </w:rPr>
                    <w:t>1次/季</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四、固体废物</w:t>
            </w:r>
          </w:p>
          <w:p>
            <w:pPr>
              <w:pStyle w:val="16"/>
              <w:keepLines w:val="0"/>
              <w:pageBreakBefore w:val="0"/>
              <w:kinsoku/>
              <w:wordWrap/>
              <w:bidi w:val="0"/>
              <w:adjustRightInd w:val="0"/>
              <w:snapToGrid w:val="0"/>
              <w:textAlignment w:val="auto"/>
              <w:rPr>
                <w:rFonts w:hint="eastAsia"/>
                <w:color w:val="auto"/>
              </w:rPr>
            </w:pPr>
            <w:r>
              <w:rPr>
                <w:rFonts w:hint="eastAsia"/>
                <w:color w:val="auto"/>
              </w:rPr>
              <w:t>项目建成后产生的固体废物为一般固废、生活垃圾和危险废物。</w:t>
            </w:r>
          </w:p>
          <w:p>
            <w:pPr>
              <w:pStyle w:val="16"/>
              <w:keepLines w:val="0"/>
              <w:pageBreakBefore w:val="0"/>
              <w:kinsoku/>
              <w:wordWrap/>
              <w:bidi w:val="0"/>
              <w:adjustRightInd w:val="0"/>
              <w:snapToGrid w:val="0"/>
              <w:textAlignment w:val="auto"/>
              <w:rPr>
                <w:rFonts w:hint="eastAsia"/>
                <w:color w:val="auto"/>
              </w:rPr>
            </w:pPr>
            <w:r>
              <w:rPr>
                <w:rFonts w:hint="eastAsia"/>
                <w:color w:val="auto"/>
              </w:rPr>
              <w:t>（1）一般固废</w:t>
            </w:r>
          </w:p>
          <w:p>
            <w:pPr>
              <w:pStyle w:val="16"/>
              <w:keepLines w:val="0"/>
              <w:pageBreakBefore w:val="0"/>
              <w:kinsoku/>
              <w:wordWrap/>
              <w:bidi w:val="0"/>
              <w:adjustRightInd w:val="0"/>
              <w:snapToGrid w:val="0"/>
              <w:textAlignment w:val="auto"/>
              <w:rPr>
                <w:rFonts w:hint="eastAsia"/>
                <w:color w:val="auto"/>
              </w:rPr>
            </w:pPr>
            <w:r>
              <w:rPr>
                <w:rFonts w:hint="eastAsia"/>
                <w:color w:val="auto"/>
              </w:rPr>
              <w:t>一般固废为废包装材料</w:t>
            </w:r>
            <w:r>
              <w:rPr>
                <w:rFonts w:hint="eastAsia"/>
                <w:color w:val="auto"/>
                <w:lang w:eastAsia="zh-CN"/>
              </w:rPr>
              <w:t>、</w:t>
            </w:r>
            <w:r>
              <w:rPr>
                <w:rFonts w:hint="eastAsia"/>
                <w:color w:val="auto"/>
                <w:lang w:val="en-US" w:eastAsia="zh-CN"/>
              </w:rPr>
              <w:t>纤维碎屑、</w:t>
            </w:r>
            <w:r>
              <w:rPr>
                <w:color w:val="auto"/>
              </w:rPr>
              <w:t>边角料</w:t>
            </w:r>
            <w:r>
              <w:rPr>
                <w:rFonts w:hint="eastAsia"/>
                <w:color w:val="auto"/>
              </w:rPr>
              <w:t>、</w:t>
            </w:r>
            <w:r>
              <w:rPr>
                <w:rFonts w:hint="eastAsia"/>
                <w:color w:val="auto"/>
                <w:lang w:val="en-US" w:eastAsia="zh-CN"/>
              </w:rPr>
              <w:t>超声波复合无纺布和无纺布边角料</w:t>
            </w:r>
            <w:r>
              <w:rPr>
                <w:rFonts w:hint="eastAsia"/>
                <w:color w:val="auto"/>
                <w:lang w:eastAsia="zh-CN"/>
              </w:rPr>
              <w:t>、</w:t>
            </w:r>
            <w:r>
              <w:rPr>
                <w:rFonts w:hint="eastAsia"/>
                <w:color w:val="auto"/>
                <w:lang w:val="en-US" w:eastAsia="zh-CN"/>
              </w:rPr>
              <w:t>活性炭无纺布和浸渍无纺布边角料</w:t>
            </w:r>
            <w:r>
              <w:rPr>
                <w:rFonts w:hint="eastAsia"/>
                <w:color w:val="auto"/>
              </w:rPr>
              <w:t>、布袋收尘</w:t>
            </w:r>
            <w:r>
              <w:rPr>
                <w:rFonts w:hint="eastAsia"/>
                <w:color w:val="auto"/>
                <w:lang w:eastAsia="zh-CN"/>
              </w:rPr>
              <w:t>、</w:t>
            </w:r>
            <w:r>
              <w:rPr>
                <w:rFonts w:hint="eastAsia"/>
                <w:color w:val="auto"/>
                <w:lang w:val="en-US" w:eastAsia="zh-CN"/>
              </w:rPr>
              <w:t>废硬浆4075桶、废颜料桶</w:t>
            </w:r>
            <w:r>
              <w:rPr>
                <w:rFonts w:hint="eastAsia"/>
                <w:color w:val="auto"/>
              </w:rPr>
              <w:t>。</w:t>
            </w:r>
          </w:p>
          <w:p>
            <w:pPr>
              <w:pStyle w:val="16"/>
              <w:keepLines w:val="0"/>
              <w:pageBreakBefore w:val="0"/>
              <w:kinsoku/>
              <w:wordWrap/>
              <w:bidi w:val="0"/>
              <w:adjustRightInd w:val="0"/>
              <w:snapToGrid w:val="0"/>
              <w:textAlignment w:val="auto"/>
              <w:rPr>
                <w:rFonts w:hint="eastAsia"/>
                <w:color w:val="auto"/>
              </w:rPr>
            </w:pPr>
            <w:r>
              <w:rPr>
                <w:rFonts w:hint="eastAsia"/>
                <w:color w:val="auto"/>
              </w:rPr>
              <w:t>①废包装材料</w:t>
            </w:r>
          </w:p>
          <w:p>
            <w:pPr>
              <w:pStyle w:val="16"/>
              <w:keepLines w:val="0"/>
              <w:pageBreakBefore w:val="0"/>
              <w:kinsoku/>
              <w:wordWrap/>
              <w:bidi w:val="0"/>
              <w:adjustRightInd w:val="0"/>
              <w:snapToGrid w:val="0"/>
              <w:textAlignment w:val="auto"/>
              <w:rPr>
                <w:rFonts w:hint="eastAsia"/>
                <w:color w:val="auto"/>
              </w:rPr>
            </w:pPr>
            <w:r>
              <w:rPr>
                <w:rFonts w:hint="eastAsia"/>
                <w:color w:val="auto"/>
              </w:rPr>
              <w:t>项目在生产过程中会产生</w:t>
            </w:r>
            <w:r>
              <w:rPr>
                <w:rFonts w:hint="eastAsia"/>
                <w:color w:val="auto"/>
                <w:lang w:eastAsia="zh-CN"/>
              </w:rPr>
              <w:t>一定量的塑料袋、</w:t>
            </w:r>
            <w:r>
              <w:rPr>
                <w:rFonts w:hint="eastAsia"/>
                <w:color w:val="auto"/>
                <w:lang w:val="en-US" w:eastAsia="zh-CN"/>
              </w:rPr>
              <w:t>纸箱</w:t>
            </w:r>
            <w:r>
              <w:rPr>
                <w:rFonts w:hint="eastAsia"/>
                <w:color w:val="auto"/>
              </w:rPr>
              <w:t>等废包装材料。根据企业提供材料，废包装材料的产生量</w:t>
            </w:r>
            <w:r>
              <w:rPr>
                <w:rFonts w:hint="eastAsia"/>
                <w:color w:val="auto"/>
                <w:lang w:val="en-US" w:eastAsia="zh-CN"/>
              </w:rPr>
              <w:t>约</w:t>
            </w:r>
            <w:r>
              <w:rPr>
                <w:rFonts w:hint="eastAsia"/>
                <w:color w:val="auto"/>
              </w:rPr>
              <w:t>为</w:t>
            </w:r>
            <w:r>
              <w:rPr>
                <w:rFonts w:hint="eastAsia"/>
                <w:color w:val="auto"/>
                <w:lang w:val="en-US" w:eastAsia="zh-CN"/>
              </w:rPr>
              <w:t>2</w:t>
            </w:r>
            <w:r>
              <w:rPr>
                <w:rFonts w:hint="eastAsia"/>
                <w:color w:val="auto"/>
              </w:rPr>
              <w:t>t/a，收集后定期外售。</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lang w:eastAsia="zh-CN"/>
              </w:rPr>
              <w:t>②</w:t>
            </w:r>
            <w:r>
              <w:rPr>
                <w:rFonts w:hint="eastAsia"/>
                <w:color w:val="auto"/>
                <w:lang w:val="en-US" w:eastAsia="zh-CN"/>
              </w:rPr>
              <w:t>纤维碎屑</w:t>
            </w:r>
          </w:p>
          <w:p>
            <w:pPr>
              <w:pStyle w:val="16"/>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项目在预刺、主刺过程中会产生一定量的纤维碎屑。根据企业提供材料，纤维碎屑的产生量约为1t/a，收集后回用于生产。</w:t>
            </w:r>
          </w:p>
          <w:p>
            <w:pPr>
              <w:pStyle w:val="16"/>
              <w:keepLines w:val="0"/>
              <w:pageBreakBefore w:val="0"/>
              <w:kinsoku/>
              <w:wordWrap/>
              <w:bidi w:val="0"/>
              <w:adjustRightInd w:val="0"/>
              <w:snapToGrid w:val="0"/>
              <w:textAlignment w:val="auto"/>
              <w:rPr>
                <w:color w:val="auto"/>
              </w:rPr>
            </w:pPr>
            <w:r>
              <w:rPr>
                <w:rFonts w:hint="eastAsia"/>
                <w:color w:val="auto"/>
                <w:lang w:val="en-US" w:eastAsia="zh-CN"/>
              </w:rPr>
              <w:t>③</w:t>
            </w:r>
            <w:r>
              <w:rPr>
                <w:color w:val="auto"/>
              </w:rPr>
              <w:t>边角料</w:t>
            </w:r>
          </w:p>
          <w:p>
            <w:pPr>
              <w:pStyle w:val="16"/>
              <w:keepLines w:val="0"/>
              <w:pageBreakBefore w:val="0"/>
              <w:kinsoku/>
              <w:wordWrap/>
              <w:bidi w:val="0"/>
              <w:adjustRightInd w:val="0"/>
              <w:snapToGrid w:val="0"/>
              <w:textAlignment w:val="auto"/>
              <w:rPr>
                <w:rFonts w:hint="default"/>
                <w:color w:val="auto"/>
                <w:lang w:val="en-US"/>
              </w:rPr>
            </w:pPr>
            <w:r>
              <w:rPr>
                <w:rFonts w:hint="eastAsia"/>
                <w:color w:val="auto"/>
                <w:lang w:val="en-US" w:eastAsia="zh-CN"/>
              </w:rPr>
              <w:t>项目在切边过程中会产生一定量的边角料。根据企业提供材料，边角料的产生量约为20t/a，经开松后回用于生产。</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rPr>
              <w:t>④</w:t>
            </w:r>
            <w:r>
              <w:rPr>
                <w:rFonts w:hint="eastAsia"/>
                <w:color w:val="auto"/>
                <w:lang w:val="en-US" w:eastAsia="zh-CN"/>
              </w:rPr>
              <w:t>超声波复合无纺布和无纺布边角料</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项目生产的超声波复合无纺布和无纺布在分切过程中会产生一定量的超声波复合无纺布和无纺布边角料。根据企业提供材料，超声波复合无纺布和无纺布边角料的产生量约为12t/a，经开松后回用于生产。</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⑤活性炭无纺布和浸渍无纺布边角料</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项目生产的活性炭无纺布和浸渍无纺布在分切过程中会产生一定量的活性炭无纺布和浸渍无纺布边角料。根据企业提供材料，活性炭无纺布和浸渍无纺布边角料的产生量约为8t/a，收集后定期外售。</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eastAsia="zh-CN"/>
              </w:rPr>
              <w:t>⑥</w:t>
            </w:r>
            <w:r>
              <w:rPr>
                <w:rFonts w:hint="eastAsia"/>
                <w:color w:val="auto"/>
              </w:rPr>
              <w:t>布袋收尘</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lang w:eastAsia="zh-CN"/>
              </w:rPr>
              <w:t>布袋除尘器在废气处理过程中会收集的一定量的</w:t>
            </w:r>
            <w:r>
              <w:rPr>
                <w:rFonts w:hint="eastAsia"/>
                <w:color w:val="auto"/>
                <w:lang w:val="en-US" w:eastAsia="zh-CN"/>
              </w:rPr>
              <w:t>活性炭</w:t>
            </w:r>
            <w:r>
              <w:rPr>
                <w:rFonts w:hint="eastAsia"/>
                <w:color w:val="auto"/>
                <w:lang w:eastAsia="zh-CN"/>
              </w:rPr>
              <w:t>粉尘，根据前文分析，布袋收尘量为</w:t>
            </w:r>
            <w:r>
              <w:rPr>
                <w:rFonts w:hint="eastAsia"/>
                <w:color w:val="auto"/>
                <w:lang w:val="en-US" w:eastAsia="zh-CN"/>
              </w:rPr>
              <w:t>1.458t/a，收集后回用于生产</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⑦废硬浆4075桶</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项目硬浆4075使用量为1.2t/a，为塑料桶装，120kg/桶，10桶，单个空桶重约为5kg，则废硬浆4075桶产生量为0.05t/a，收集后由厂家回收。</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val="en-US" w:eastAsia="zh-CN"/>
              </w:rPr>
              <w:t>⑧废颜料桶</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val="en-US" w:eastAsia="zh-CN"/>
              </w:rPr>
              <w:t>项目颜料使用量为0.03t/a，为塑料桶装，15kg/桶，2桶，单个空桶重约为1kg，则废颜料桶产生量为0.002t/a，收集后由厂家回收。</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w:t>
            </w:r>
            <w:r>
              <w:rPr>
                <w:color w:val="auto"/>
              </w:rPr>
              <w:t>2）生活垃圾</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生活垃圾来自员工办公</w:t>
            </w:r>
            <w:r>
              <w:rPr>
                <w:rFonts w:hint="eastAsia"/>
                <w:color w:val="auto"/>
                <w:lang w:eastAsia="zh-CN"/>
              </w:rPr>
              <w:t>生活</w:t>
            </w:r>
            <w:r>
              <w:rPr>
                <w:color w:val="auto"/>
              </w:rPr>
              <w:t>。项目</w:t>
            </w:r>
            <w:r>
              <w:rPr>
                <w:rFonts w:hint="eastAsia"/>
                <w:color w:val="auto"/>
                <w:lang w:eastAsia="zh-CN"/>
              </w:rPr>
              <w:t>总</w:t>
            </w:r>
            <w:r>
              <w:rPr>
                <w:color w:val="auto"/>
              </w:rPr>
              <w:t>定员</w:t>
            </w:r>
            <w:r>
              <w:rPr>
                <w:rFonts w:hint="eastAsia"/>
                <w:color w:val="auto"/>
                <w:lang w:val="en-US" w:eastAsia="zh-CN"/>
              </w:rPr>
              <w:t>60</w:t>
            </w:r>
            <w:r>
              <w:rPr>
                <w:color w:val="auto"/>
              </w:rPr>
              <w:t>人，垃圾产生量为0.5kg/人·d，则产生量为</w:t>
            </w:r>
            <w:r>
              <w:rPr>
                <w:rFonts w:hint="eastAsia"/>
                <w:color w:val="auto"/>
                <w:lang w:val="en-US" w:eastAsia="zh-CN"/>
              </w:rPr>
              <w:t>9</w:t>
            </w:r>
            <w:r>
              <w:rPr>
                <w:color w:val="auto"/>
              </w:rPr>
              <w:t>t/a，</w:t>
            </w:r>
            <w:r>
              <w:rPr>
                <w:rFonts w:hint="eastAsia"/>
                <w:color w:val="auto"/>
                <w:lang w:eastAsia="zh-CN"/>
              </w:rPr>
              <w:t>由当地环卫部门统一清运</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（3）危险废物</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危险废物为</w:t>
            </w:r>
            <w:r>
              <w:rPr>
                <w:rFonts w:hint="eastAsia"/>
                <w:color w:val="auto"/>
                <w:lang w:val="en-US" w:eastAsia="zh-CN"/>
              </w:rPr>
              <w:t>废热熔胶袋</w:t>
            </w:r>
            <w:r>
              <w:rPr>
                <w:rFonts w:hint="eastAsia"/>
                <w:color w:val="auto"/>
                <w:lang w:eastAsia="zh-CN"/>
              </w:rPr>
              <w:t>、</w:t>
            </w:r>
            <w:r>
              <w:rPr>
                <w:rFonts w:hint="eastAsia"/>
                <w:color w:val="auto"/>
                <w:lang w:val="en-US" w:eastAsia="zh-CN"/>
              </w:rPr>
              <w:t>废软胶805桶</w:t>
            </w:r>
            <w:r>
              <w:rPr>
                <w:rFonts w:hint="eastAsia"/>
                <w:color w:val="auto"/>
                <w:lang w:eastAsia="zh-CN"/>
              </w:rPr>
              <w:t>、</w:t>
            </w:r>
            <w:r>
              <w:rPr>
                <w:rFonts w:hint="eastAsia"/>
                <w:color w:val="auto"/>
                <w:lang w:val="en-US" w:eastAsia="zh-CN"/>
              </w:rPr>
              <w:t>废软胶810桶</w:t>
            </w:r>
            <w:r>
              <w:rPr>
                <w:rFonts w:hint="eastAsia"/>
                <w:color w:val="auto"/>
              </w:rPr>
              <w:t>、</w:t>
            </w:r>
            <w:r>
              <w:rPr>
                <w:rFonts w:hint="eastAsia"/>
                <w:color w:val="auto"/>
                <w:lang w:val="en-US" w:eastAsia="zh-CN"/>
              </w:rPr>
              <w:t>废活性炭</w:t>
            </w:r>
            <w:r>
              <w:rPr>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val="en-US" w:eastAsia="zh-CN"/>
              </w:rPr>
              <w:t>①废热熔胶袋</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项目热熔胶使用量为60t/a，为塑料袋装，根据企业提供材料，废热熔胶袋产生量约为0.2t/a。根据《国家危险废物名录》（2021年版）可知：废热熔胶袋属于危险废物，废物类别为HW49，废物代码为900-041-49。废热熔胶袋经收集后暂存于危废暂存间内，定期委托有资质单位处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eastAsia="zh-CN"/>
              </w:rPr>
              <w:t>②</w:t>
            </w:r>
            <w:r>
              <w:rPr>
                <w:rFonts w:hint="eastAsia"/>
                <w:color w:val="auto"/>
                <w:lang w:val="en-US" w:eastAsia="zh-CN"/>
              </w:rPr>
              <w:t>废软胶805桶</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项目软胶805使用量为4.8t/a，为塑料桶装，125kg/桶，约39桶，单个空桶重约为6kg，则废软胶805桶产生量为0.234t/a。根据《国家危险废物名录》（2021年版）可知：废软胶805桶属于危险废物，废物类别为HW49，废物代码为900-041-49。废软胶805桶经收集后暂存于危废暂存间内，定期委托有资质单位处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lang w:eastAsia="zh-CN"/>
              </w:rPr>
              <w:t>③</w:t>
            </w:r>
            <w:r>
              <w:rPr>
                <w:rFonts w:hint="eastAsia"/>
                <w:color w:val="auto"/>
                <w:lang w:val="en-US" w:eastAsia="zh-CN"/>
              </w:rPr>
              <w:t>废软胶810桶</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val="en-US" w:eastAsia="zh-CN"/>
              </w:rPr>
              <w:t>项目软胶810使用量为5.5t/a，为塑料桶装，125kg/桶，44桶，单个空桶重约为6kg，则废软胶810桶产生量为0.264t/a。根据《国家危险废物名录》（2021年版）可知：废软胶810桶属于危险废物，废物类别为HW49，废物代码为900-041-49。废软胶810桶经收集后暂存于危废暂存间内，定期委托有资质单位处理。</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rPr>
              <w:t>④</w:t>
            </w:r>
            <w:r>
              <w:rPr>
                <w:rFonts w:hint="eastAsia"/>
                <w:color w:val="auto"/>
                <w:lang w:val="en-US" w:eastAsia="zh-CN"/>
              </w:rPr>
              <w:t>废活性炭</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eastAsia="zh-CN"/>
              </w:rPr>
              <w:t>根据《工业通风》（孙一坚主编第四版）中活性炭更换周期经验数据，新建项目去除有机废气量按每千克活性炭吸附0.2千克有机废气计算，项目活性炭吸附的废气量为</w:t>
            </w:r>
            <w:r>
              <w:rPr>
                <w:rFonts w:hint="eastAsia"/>
                <w:color w:val="auto"/>
                <w:lang w:val="en-US" w:eastAsia="zh-CN"/>
              </w:rPr>
              <w:t>0.22202</w:t>
            </w:r>
            <w:r>
              <w:rPr>
                <w:rFonts w:hint="eastAsia"/>
                <w:color w:val="auto"/>
                <w:lang w:eastAsia="zh-CN"/>
              </w:rPr>
              <w:t>t/a，则使用活性炭量为</w:t>
            </w:r>
            <w:r>
              <w:rPr>
                <w:rFonts w:hint="eastAsia"/>
                <w:color w:val="auto"/>
                <w:lang w:val="en-US" w:eastAsia="zh-CN"/>
              </w:rPr>
              <w:t>1.1101</w:t>
            </w:r>
            <w:r>
              <w:rPr>
                <w:rFonts w:hint="eastAsia"/>
                <w:color w:val="auto"/>
                <w:lang w:eastAsia="zh-CN"/>
              </w:rPr>
              <w:t>t/a。每个活性炭箱的设置相同，单个活性炭箱的填充量为</w:t>
            </w:r>
            <w:r>
              <w:rPr>
                <w:rFonts w:hint="eastAsia"/>
                <w:color w:val="auto"/>
                <w:lang w:val="en-US" w:eastAsia="zh-CN"/>
              </w:rPr>
              <w:t>0.6t，则二级活性炭吸附设备活性炭的填充量为1.2t，活性炭每年更换一次，则活性炭的总用量为1.2t。</w:t>
            </w:r>
            <w:r>
              <w:rPr>
                <w:rFonts w:hint="eastAsia"/>
                <w:color w:val="auto"/>
                <w:lang w:eastAsia="zh-CN"/>
              </w:rPr>
              <w:t>综上，项目废活性炭（含吸附废气）的产生量约为</w:t>
            </w:r>
            <w:r>
              <w:rPr>
                <w:rFonts w:hint="eastAsia"/>
                <w:color w:val="auto"/>
                <w:lang w:val="en-US" w:eastAsia="zh-CN"/>
              </w:rPr>
              <w:t>1.43</w:t>
            </w:r>
            <w:r>
              <w:rPr>
                <w:rFonts w:hint="eastAsia"/>
                <w:color w:val="auto"/>
                <w:lang w:eastAsia="zh-CN"/>
              </w:rPr>
              <w:t>t/a</w:t>
            </w:r>
            <w:r>
              <w:rPr>
                <w:rFonts w:hint="eastAsia"/>
                <w:color w:val="auto"/>
                <w:lang w:val="en-US" w:eastAsia="zh-CN"/>
              </w:rPr>
              <w:t>。</w:t>
            </w:r>
            <w:r>
              <w:rPr>
                <w:rFonts w:hint="eastAsia"/>
                <w:color w:val="auto"/>
                <w:lang w:eastAsia="zh-CN"/>
              </w:rPr>
              <w:t>根据《国家危险废物名录》（2021年版）可知：废活性炭属于危险废物，废物类别为HW49，废物代码为900-039-49。废活性炭经收集后暂存于危废暂存间内，定期委托有资质单位处理。</w:t>
            </w:r>
          </w:p>
          <w:p>
            <w:pPr>
              <w:pStyle w:val="16"/>
              <w:keepLines w:val="0"/>
              <w:pageBreakBefore w:val="0"/>
              <w:kinsoku/>
              <w:wordWrap/>
              <w:bidi w:val="0"/>
              <w:adjustRightInd w:val="0"/>
              <w:snapToGrid w:val="0"/>
              <w:textAlignment w:val="auto"/>
              <w:rPr>
                <w:color w:val="auto"/>
              </w:rPr>
            </w:pPr>
            <w:r>
              <w:rPr>
                <w:color w:val="auto"/>
              </w:rPr>
              <w:t>项目固废产生情况及处理措施</w:t>
            </w:r>
            <w:r>
              <w:rPr>
                <w:rFonts w:hint="eastAsia"/>
                <w:color w:val="auto"/>
              </w:rPr>
              <w:t>，</w:t>
            </w:r>
            <w:r>
              <w:rPr>
                <w:color w:val="auto"/>
              </w:rPr>
              <w:t>详见下表。</w:t>
            </w:r>
          </w:p>
          <w:p>
            <w:pPr>
              <w:pStyle w:val="11"/>
              <w:keepLines w:val="0"/>
              <w:pageBreakBefore w:val="0"/>
              <w:kinsoku/>
              <w:wordWrap/>
              <w:bidi w:val="0"/>
              <w:adjustRightInd w:val="0"/>
              <w:snapToGrid w:val="0"/>
              <w:textAlignment w:val="auto"/>
              <w:rPr>
                <w:rFonts w:hint="eastAsia"/>
                <w:color w:val="auto"/>
              </w:rPr>
            </w:pPr>
            <w:r>
              <w:rPr>
                <w:rFonts w:hint="eastAsia"/>
                <w:color w:val="auto"/>
              </w:rPr>
              <w:t>表4-</w:t>
            </w:r>
            <w:r>
              <w:rPr>
                <w:rFonts w:hint="eastAsia"/>
                <w:color w:val="auto"/>
                <w:lang w:val="en-US" w:eastAsia="zh-CN"/>
              </w:rPr>
              <w:t>16</w:t>
            </w:r>
            <w:r>
              <w:rPr>
                <w:rFonts w:hint="eastAsia"/>
                <w:color w:val="auto"/>
              </w:rPr>
              <w:t xml:space="preserve"> 项目固废产生情况及处理措施</w:t>
            </w:r>
          </w:p>
          <w:tbl>
            <w:tblPr>
              <w:tblStyle w:val="7"/>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814"/>
              <w:gridCol w:w="1361"/>
              <w:gridCol w:w="1474"/>
              <w:gridCol w:w="1134"/>
              <w:gridCol w:w="2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序号</w:t>
                  </w:r>
                </w:p>
              </w:tc>
              <w:tc>
                <w:tcPr>
                  <w:tcW w:w="1814"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废物名称</w:t>
                  </w:r>
                </w:p>
              </w:tc>
              <w:tc>
                <w:tcPr>
                  <w:tcW w:w="1361"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产生环节</w:t>
                  </w:r>
                </w:p>
              </w:tc>
              <w:tc>
                <w:tcPr>
                  <w:tcW w:w="1474"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产生量</w:t>
                  </w:r>
                  <w:r>
                    <w:rPr>
                      <w:color w:val="auto"/>
                      <w:sz w:val="21"/>
                      <w:szCs w:val="21"/>
                    </w:rPr>
                    <w:t>（</w:t>
                  </w:r>
                  <w:r>
                    <w:rPr>
                      <w:rFonts w:hint="default"/>
                      <w:color w:val="auto"/>
                      <w:sz w:val="21"/>
                      <w:szCs w:val="21"/>
                    </w:rPr>
                    <w:t>t/a）</w:t>
                  </w:r>
                </w:p>
              </w:tc>
              <w:tc>
                <w:tcPr>
                  <w:tcW w:w="1134"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固废类别</w:t>
                  </w:r>
                </w:p>
              </w:tc>
              <w:tc>
                <w:tcPr>
                  <w:tcW w:w="2154"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处置</w:t>
                  </w:r>
                  <w:r>
                    <w:rPr>
                      <w:color w:val="auto"/>
                      <w:sz w:val="21"/>
                      <w:szCs w:val="21"/>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1</w:t>
                  </w:r>
                </w:p>
              </w:tc>
              <w:tc>
                <w:tcPr>
                  <w:tcW w:w="181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生活垃圾</w:t>
                  </w:r>
                </w:p>
              </w:tc>
              <w:tc>
                <w:tcPr>
                  <w:tcW w:w="1361"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员工办公</w:t>
                  </w:r>
                </w:p>
              </w:tc>
              <w:tc>
                <w:tcPr>
                  <w:tcW w:w="1474"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9</w:t>
                  </w:r>
                </w:p>
              </w:tc>
              <w:tc>
                <w:tcPr>
                  <w:tcW w:w="113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生活垃圾</w:t>
                  </w:r>
                </w:p>
              </w:tc>
              <w:tc>
                <w:tcPr>
                  <w:tcW w:w="2154"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由</w:t>
                  </w:r>
                  <w:r>
                    <w:rPr>
                      <w:rFonts w:hint="eastAsia"/>
                      <w:color w:val="auto"/>
                      <w:sz w:val="21"/>
                      <w:szCs w:val="21"/>
                      <w:lang w:eastAsia="zh-CN"/>
                    </w:rPr>
                    <w:t>当地</w:t>
                  </w:r>
                  <w:r>
                    <w:rPr>
                      <w:color w:val="auto"/>
                      <w:sz w:val="21"/>
                      <w:szCs w:val="21"/>
                    </w:rPr>
                    <w:t>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2</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rPr>
                    <w:t>废包装材料</w:t>
                  </w:r>
                </w:p>
              </w:tc>
              <w:tc>
                <w:tcPr>
                  <w:tcW w:w="1361"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生产</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w:t>
                  </w:r>
                </w:p>
              </w:tc>
              <w:tc>
                <w:tcPr>
                  <w:tcW w:w="1134"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一般固废</w:t>
                  </w:r>
                </w:p>
              </w:tc>
              <w:tc>
                <w:tcPr>
                  <w:tcW w:w="2154"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eastAsia="zh-CN"/>
                    </w:rPr>
                  </w:pPr>
                  <w:r>
                    <w:rPr>
                      <w:rFonts w:hint="eastAsia"/>
                      <w:color w:val="auto"/>
                      <w:sz w:val="21"/>
                      <w:szCs w:val="21"/>
                      <w:lang w:eastAsia="zh-CN"/>
                    </w:rPr>
                    <w:t>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color w:val="auto"/>
                      <w:sz w:val="21"/>
                      <w:szCs w:val="21"/>
                    </w:rPr>
                    <w:t>3</w:t>
                  </w:r>
                </w:p>
              </w:tc>
              <w:tc>
                <w:tcPr>
                  <w:tcW w:w="181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color w:val="auto"/>
                      <w:sz w:val="21"/>
                      <w:szCs w:val="21"/>
                      <w:lang w:val="en-US" w:eastAsia="zh-CN"/>
                    </w:rPr>
                    <w:t>纤维碎屑</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预刺、主刺</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color w:val="auto"/>
                      <w:sz w:val="21"/>
                      <w:szCs w:val="21"/>
                    </w:rPr>
                    <w:t>4</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边角料</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切边</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经开松后回用于生产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color w:val="auto"/>
                      <w:sz w:val="21"/>
                      <w:szCs w:val="21"/>
                    </w:rPr>
                    <w:t>5</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超声波复合无纺布和无纺布边角料</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分切</w:t>
                  </w:r>
                </w:p>
              </w:tc>
              <w:tc>
                <w:tcPr>
                  <w:tcW w:w="147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经开松后回用于生产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6</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活性炭无纺布和浸渍无纺布边角料</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分切</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8</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rPr>
                    <w:t>7</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布袋收尘</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废气处理</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1.458</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rPr>
                    <w:t>8</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废硬浆4075桶</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发泡</w:t>
                  </w:r>
                </w:p>
              </w:tc>
              <w:tc>
                <w:tcPr>
                  <w:tcW w:w="147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0.05</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收集后由厂家回收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lang w:val="en-US" w:eastAsia="zh-CN"/>
                    </w:rPr>
                  </w:pPr>
                  <w:r>
                    <w:rPr>
                      <w:rFonts w:hint="eastAsia"/>
                      <w:color w:val="auto"/>
                      <w:sz w:val="21"/>
                      <w:szCs w:val="21"/>
                    </w:rPr>
                    <w:t>9</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废颜料桶</w:t>
                  </w:r>
                </w:p>
              </w:tc>
              <w:tc>
                <w:tcPr>
                  <w:tcW w:w="1361"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发泡</w:t>
                  </w:r>
                </w:p>
              </w:tc>
              <w:tc>
                <w:tcPr>
                  <w:tcW w:w="147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0.002</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noWrap w:val="0"/>
                  <w:vAlign w:val="center"/>
                </w:tcPr>
                <w:p>
                  <w:pPr>
                    <w:pStyle w:val="13"/>
                    <w:keepLines w:val="0"/>
                    <w:pageBreakBefore w:val="0"/>
                    <w:kinsoku/>
                    <w:wordWrap/>
                    <w:bidi w:val="0"/>
                    <w:adjustRightInd w:val="0"/>
                    <w:snapToGrid w:val="0"/>
                    <w:textAlignment w:val="auto"/>
                    <w:rPr>
                      <w:rFonts w:hint="eastAsia"/>
                      <w:color w:val="auto"/>
                      <w:sz w:val="21"/>
                      <w:szCs w:val="21"/>
                    </w:rPr>
                  </w:pPr>
                  <w:r>
                    <w:rPr>
                      <w:rFonts w:hint="eastAsia"/>
                      <w:color w:val="auto"/>
                      <w:sz w:val="21"/>
                      <w:szCs w:val="21"/>
                      <w:lang w:val="en-US" w:eastAsia="zh-CN"/>
                    </w:rPr>
                    <w:t>收集后由厂家回收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rPr>
                    <w:t>10</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废热熔胶袋</w:t>
                  </w:r>
                </w:p>
              </w:tc>
              <w:tc>
                <w:tcPr>
                  <w:tcW w:w="1361" w:type="dxa"/>
                  <w:noWrap w:val="0"/>
                  <w:vAlign w:val="center"/>
                </w:tcPr>
                <w:p>
                  <w:pPr>
                    <w:pStyle w:val="13"/>
                    <w:bidi w:val="0"/>
                    <w:rPr>
                      <w:color w:val="auto"/>
                      <w:sz w:val="21"/>
                      <w:szCs w:val="21"/>
                    </w:rPr>
                  </w:pPr>
                  <w:r>
                    <w:rPr>
                      <w:rFonts w:hint="eastAsia"/>
                      <w:color w:val="auto"/>
                      <w:sz w:val="21"/>
                      <w:szCs w:val="21"/>
                      <w:lang w:val="en-US" w:eastAsia="zh-CN"/>
                    </w:rPr>
                    <w:t>摊铺、涂胶</w:t>
                  </w:r>
                </w:p>
              </w:tc>
              <w:tc>
                <w:tcPr>
                  <w:tcW w:w="147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0.2</w:t>
                  </w:r>
                </w:p>
              </w:tc>
              <w:tc>
                <w:tcPr>
                  <w:tcW w:w="1134"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危险废物</w:t>
                  </w:r>
                </w:p>
              </w:tc>
              <w:tc>
                <w:tcPr>
                  <w:tcW w:w="2154"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暂存于</w:t>
                  </w:r>
                  <w:r>
                    <w:rPr>
                      <w:color w:val="auto"/>
                      <w:sz w:val="21"/>
                      <w:szCs w:val="21"/>
                    </w:rPr>
                    <w:t>危废暂存间内，</w:t>
                  </w:r>
                  <w:r>
                    <w:rPr>
                      <w:rFonts w:hint="eastAsia"/>
                      <w:color w:val="auto"/>
                      <w:sz w:val="21"/>
                      <w:szCs w:val="21"/>
                    </w:rPr>
                    <w:t>定期委托有资质单位处理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11</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废软胶805桶</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发泡</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0.234</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12</w:t>
                  </w:r>
                </w:p>
              </w:tc>
              <w:tc>
                <w:tcPr>
                  <w:tcW w:w="1814"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废软胶810桶</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发泡</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0.264</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13</w:t>
                  </w:r>
                </w:p>
              </w:tc>
              <w:tc>
                <w:tcPr>
                  <w:tcW w:w="181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废活性炭</w:t>
                  </w:r>
                </w:p>
              </w:tc>
              <w:tc>
                <w:tcPr>
                  <w:tcW w:w="136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废气处理</w:t>
                  </w:r>
                </w:p>
              </w:tc>
              <w:tc>
                <w:tcPr>
                  <w:tcW w:w="1474" w:type="dxa"/>
                  <w:noWrap w:val="0"/>
                  <w:vAlign w:val="center"/>
                </w:tcPr>
                <w:p>
                  <w:pPr>
                    <w:pStyle w:val="13"/>
                    <w:bidi w:val="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1.43</w:t>
                  </w:r>
                </w:p>
              </w:tc>
              <w:tc>
                <w:tcPr>
                  <w:tcW w:w="113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154"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表4-</w:t>
            </w:r>
            <w:r>
              <w:rPr>
                <w:rFonts w:hint="eastAsia"/>
                <w:color w:val="auto"/>
                <w:lang w:val="en-US" w:eastAsia="zh-CN"/>
              </w:rPr>
              <w:t>17</w:t>
            </w:r>
            <w:r>
              <w:rPr>
                <w:rFonts w:hint="eastAsia"/>
                <w:color w:val="auto"/>
              </w:rPr>
              <w:t xml:space="preserve"> 项目危险废物成分及特性情况</w:t>
            </w:r>
          </w:p>
          <w:tbl>
            <w:tblPr>
              <w:tblStyle w:val="7"/>
              <w:tblW w:w="86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67"/>
              <w:gridCol w:w="1361"/>
              <w:gridCol w:w="964"/>
              <w:gridCol w:w="1134"/>
              <w:gridCol w:w="624"/>
              <w:gridCol w:w="1134"/>
              <w:gridCol w:w="964"/>
              <w:gridCol w:w="964"/>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67"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序号</w:t>
                  </w:r>
                </w:p>
              </w:tc>
              <w:tc>
                <w:tcPr>
                  <w:tcW w:w="1361"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废物名称</w:t>
                  </w:r>
                </w:p>
              </w:tc>
              <w:tc>
                <w:tcPr>
                  <w:tcW w:w="96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废物类别</w:t>
                  </w:r>
                </w:p>
              </w:tc>
              <w:tc>
                <w:tcPr>
                  <w:tcW w:w="113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rFonts w:hint="default"/>
                      <w:color w:val="auto"/>
                      <w:sz w:val="21"/>
                      <w:szCs w:val="21"/>
                    </w:rPr>
                    <w:t>废物代码</w:t>
                  </w:r>
                </w:p>
              </w:tc>
              <w:tc>
                <w:tcPr>
                  <w:tcW w:w="62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rPr>
                  </w:pPr>
                  <w:r>
                    <w:rPr>
                      <w:color w:val="auto"/>
                      <w:sz w:val="21"/>
                      <w:szCs w:val="21"/>
                    </w:rPr>
                    <w:t>形态</w:t>
                  </w:r>
                </w:p>
              </w:tc>
              <w:tc>
                <w:tcPr>
                  <w:tcW w:w="113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主要成分</w:t>
                  </w:r>
                </w:p>
              </w:tc>
              <w:tc>
                <w:tcPr>
                  <w:tcW w:w="96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有害成分</w:t>
                  </w:r>
                </w:p>
              </w:tc>
              <w:tc>
                <w:tcPr>
                  <w:tcW w:w="96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产废周期</w:t>
                  </w:r>
                </w:p>
              </w:tc>
              <w:tc>
                <w:tcPr>
                  <w:tcW w:w="964" w:type="dxa"/>
                  <w:noWrap w:val="0"/>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6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1</w:t>
                  </w:r>
                </w:p>
              </w:tc>
              <w:tc>
                <w:tcPr>
                  <w:tcW w:w="136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eastAsia="zh-CN"/>
                    </w:rPr>
                  </w:pPr>
                  <w:r>
                    <w:rPr>
                      <w:rFonts w:hint="eastAsia"/>
                      <w:color w:val="auto"/>
                      <w:sz w:val="21"/>
                      <w:szCs w:val="21"/>
                      <w:lang w:val="en-US" w:eastAsia="zh-CN"/>
                    </w:rPr>
                    <w:t>废热熔胶袋</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color w:val="auto"/>
                      <w:sz w:val="21"/>
                      <w:szCs w:val="21"/>
                    </w:rPr>
                    <w:t>HW</w:t>
                  </w:r>
                  <w:r>
                    <w:rPr>
                      <w:rFonts w:hint="eastAsia"/>
                      <w:color w:val="auto"/>
                      <w:sz w:val="21"/>
                      <w:szCs w:val="21"/>
                      <w:lang w:val="en-US" w:eastAsia="zh-CN"/>
                    </w:rPr>
                    <w:t>49</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eastAsia="zh-CN"/>
                    </w:rPr>
                    <w:t>900-041-49</w:t>
                  </w:r>
                </w:p>
              </w:tc>
              <w:tc>
                <w:tcPr>
                  <w:tcW w:w="62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rPr>
                    <w:t>固态</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热熔胶袋</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热熔胶</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rPr>
                    <w:t>年</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rPr>
                    <w:t>T/In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6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color w:val="auto"/>
                      <w:sz w:val="21"/>
                      <w:szCs w:val="21"/>
                    </w:rPr>
                    <w:t>2</w:t>
                  </w:r>
                </w:p>
              </w:tc>
              <w:tc>
                <w:tcPr>
                  <w:tcW w:w="136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废软胶805桶</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HW</w:t>
                  </w:r>
                  <w:r>
                    <w:rPr>
                      <w:rFonts w:hint="eastAsia"/>
                      <w:color w:val="auto"/>
                      <w:sz w:val="21"/>
                      <w:szCs w:val="21"/>
                      <w:lang w:val="en-US" w:eastAsia="zh-CN"/>
                    </w:rPr>
                    <w:t>49</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eastAsia="zh-CN"/>
                    </w:rPr>
                    <w:t>900-041-49</w:t>
                  </w:r>
                </w:p>
              </w:tc>
              <w:tc>
                <w:tcPr>
                  <w:tcW w:w="62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固态</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软胶805桶</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软胶805</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年</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T/In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6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color w:val="auto"/>
                      <w:sz w:val="21"/>
                      <w:szCs w:val="21"/>
                    </w:rPr>
                    <w:t>3</w:t>
                  </w:r>
                </w:p>
              </w:tc>
              <w:tc>
                <w:tcPr>
                  <w:tcW w:w="136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废软胶810桶</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color w:val="auto"/>
                      <w:sz w:val="21"/>
                      <w:szCs w:val="21"/>
                    </w:rPr>
                    <w:t>HW</w:t>
                  </w:r>
                  <w:r>
                    <w:rPr>
                      <w:rFonts w:hint="eastAsia"/>
                      <w:color w:val="auto"/>
                      <w:sz w:val="21"/>
                      <w:szCs w:val="21"/>
                      <w:lang w:val="en-US" w:eastAsia="zh-CN"/>
                    </w:rPr>
                    <w:t>49</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eastAsia="zh-CN"/>
                    </w:rPr>
                    <w:t>900-041-49</w:t>
                  </w:r>
                </w:p>
              </w:tc>
              <w:tc>
                <w:tcPr>
                  <w:tcW w:w="62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固态</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软胶810桶</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软胶810</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年</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T/In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67"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color w:val="auto"/>
                      <w:sz w:val="21"/>
                      <w:szCs w:val="21"/>
                    </w:rPr>
                    <w:t>4</w:t>
                  </w:r>
                </w:p>
              </w:tc>
              <w:tc>
                <w:tcPr>
                  <w:tcW w:w="1361"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废活性炭</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color w:val="auto"/>
                      <w:sz w:val="21"/>
                      <w:szCs w:val="21"/>
                    </w:rPr>
                    <w:t>HW</w:t>
                  </w:r>
                  <w:r>
                    <w:rPr>
                      <w:rFonts w:hint="eastAsia"/>
                      <w:color w:val="auto"/>
                      <w:sz w:val="21"/>
                      <w:szCs w:val="21"/>
                      <w:lang w:val="en-US" w:eastAsia="zh-CN"/>
                    </w:rPr>
                    <w:t>49</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color w:val="auto"/>
                      <w:sz w:val="21"/>
                      <w:szCs w:val="21"/>
                    </w:rPr>
                    <w:t>900-</w:t>
                  </w:r>
                  <w:r>
                    <w:rPr>
                      <w:rFonts w:hint="eastAsia"/>
                      <w:color w:val="auto"/>
                      <w:sz w:val="21"/>
                      <w:szCs w:val="21"/>
                      <w:lang w:val="en-US" w:eastAsia="zh-CN"/>
                    </w:rPr>
                    <w:t>039-49</w:t>
                  </w:r>
                </w:p>
              </w:tc>
              <w:tc>
                <w:tcPr>
                  <w:tcW w:w="62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rPr>
                    <w:t>固态</w:t>
                  </w:r>
                </w:p>
              </w:tc>
              <w:tc>
                <w:tcPr>
                  <w:tcW w:w="113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lang w:val="en-US" w:eastAsia="zh-CN"/>
                    </w:rPr>
                    <w:t>活性炭</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有机废气</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rPr>
                    <w:t>年</w:t>
                  </w:r>
                </w:p>
              </w:tc>
              <w:tc>
                <w:tcPr>
                  <w:tcW w:w="96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sz w:val="21"/>
                      <w:szCs w:val="21"/>
                      <w:lang w:val="en-US" w:eastAsia="zh-CN"/>
                    </w:rPr>
                  </w:pPr>
                  <w:r>
                    <w:rPr>
                      <w:rFonts w:hint="eastAsia"/>
                      <w:color w:val="auto"/>
                      <w:sz w:val="21"/>
                      <w:szCs w:val="21"/>
                    </w:rPr>
                    <w:t>T</w:t>
                  </w:r>
                </w:p>
              </w:tc>
            </w:tr>
          </w:tbl>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表4-</w:t>
            </w:r>
            <w:r>
              <w:rPr>
                <w:rFonts w:hint="eastAsia"/>
                <w:color w:val="auto"/>
                <w:lang w:val="en-US" w:eastAsia="zh-CN"/>
              </w:rPr>
              <w:t>18</w:t>
            </w:r>
            <w:r>
              <w:rPr>
                <w:rFonts w:hint="eastAsia"/>
                <w:color w:val="auto"/>
              </w:rPr>
              <w:t xml:space="preserve"> 项目危险废物暂存场所基本情况</w:t>
            </w:r>
          </w:p>
          <w:tbl>
            <w:tblPr>
              <w:tblStyle w:val="7"/>
              <w:tblW w:w="86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737"/>
              <w:gridCol w:w="1644"/>
              <w:gridCol w:w="680"/>
              <w:gridCol w:w="737"/>
              <w:gridCol w:w="680"/>
              <w:gridCol w:w="964"/>
              <w:gridCol w:w="794"/>
              <w:gridCol w:w="1020"/>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rFonts w:hint="default"/>
                      <w:color w:val="auto"/>
                    </w:rPr>
                    <w:t>序号</w:t>
                  </w:r>
                </w:p>
              </w:tc>
              <w:tc>
                <w:tcPr>
                  <w:tcW w:w="737"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color w:val="auto"/>
                    </w:rPr>
                    <w:t>场所名称</w:t>
                  </w:r>
                </w:p>
              </w:tc>
              <w:tc>
                <w:tcPr>
                  <w:tcW w:w="1644" w:type="dxa"/>
                  <w:vMerge w:val="restart"/>
                  <w:noWrap w:val="0"/>
                  <w:vAlign w:val="center"/>
                </w:tcPr>
                <w:p>
                  <w:pPr>
                    <w:pStyle w:val="15"/>
                    <w:keepLines w:val="0"/>
                    <w:pageBreakBefore w:val="0"/>
                    <w:kinsoku/>
                    <w:wordWrap/>
                    <w:bidi w:val="0"/>
                    <w:adjustRightInd w:val="0"/>
                    <w:snapToGrid w:val="0"/>
                    <w:textAlignment w:val="auto"/>
                    <w:rPr>
                      <w:color w:val="auto"/>
                    </w:rPr>
                  </w:pPr>
                  <w:r>
                    <w:rPr>
                      <w:color w:val="auto"/>
                    </w:rPr>
                    <w:t>废物名称</w:t>
                  </w:r>
                </w:p>
              </w:tc>
              <w:tc>
                <w:tcPr>
                  <w:tcW w:w="680" w:type="dxa"/>
                  <w:vMerge w:val="restart"/>
                  <w:noWrap w:val="0"/>
                  <w:vAlign w:val="center"/>
                </w:tcPr>
                <w:p>
                  <w:pPr>
                    <w:pStyle w:val="15"/>
                    <w:keepLines w:val="0"/>
                    <w:pageBreakBefore w:val="0"/>
                    <w:kinsoku/>
                    <w:wordWrap/>
                    <w:bidi w:val="0"/>
                    <w:adjustRightInd w:val="0"/>
                    <w:snapToGrid w:val="0"/>
                    <w:textAlignment w:val="auto"/>
                    <w:rPr>
                      <w:rFonts w:hint="default"/>
                      <w:color w:val="auto"/>
                    </w:rPr>
                  </w:pPr>
                  <w:r>
                    <w:rPr>
                      <w:color w:val="auto"/>
                    </w:rPr>
                    <w:t>场所位置</w:t>
                  </w:r>
                </w:p>
              </w:tc>
              <w:tc>
                <w:tcPr>
                  <w:tcW w:w="1417" w:type="dxa"/>
                  <w:gridSpan w:val="2"/>
                  <w:noWrap w:val="0"/>
                  <w:vAlign w:val="center"/>
                </w:tcPr>
                <w:p>
                  <w:pPr>
                    <w:pStyle w:val="15"/>
                    <w:keepLines w:val="0"/>
                    <w:pageBreakBefore w:val="0"/>
                    <w:kinsoku/>
                    <w:wordWrap/>
                    <w:bidi w:val="0"/>
                    <w:adjustRightInd w:val="0"/>
                    <w:snapToGrid w:val="0"/>
                    <w:textAlignment w:val="auto"/>
                    <w:rPr>
                      <w:color w:val="auto"/>
                    </w:rPr>
                  </w:pPr>
                  <w:r>
                    <w:rPr>
                      <w:color w:val="auto"/>
                    </w:rPr>
                    <w:t>坐标</w:t>
                  </w:r>
                </w:p>
              </w:tc>
              <w:tc>
                <w:tcPr>
                  <w:tcW w:w="964" w:type="dxa"/>
                  <w:vMerge w:val="restart"/>
                  <w:noWrap w:val="0"/>
                  <w:vAlign w:val="center"/>
                </w:tcPr>
                <w:p>
                  <w:pPr>
                    <w:pStyle w:val="15"/>
                    <w:keepLines w:val="0"/>
                    <w:pageBreakBefore w:val="0"/>
                    <w:kinsoku/>
                    <w:wordWrap/>
                    <w:bidi w:val="0"/>
                    <w:adjustRightInd w:val="0"/>
                    <w:snapToGrid w:val="0"/>
                    <w:textAlignment w:val="auto"/>
                    <w:rPr>
                      <w:color w:val="auto"/>
                    </w:rPr>
                  </w:pPr>
                  <w:r>
                    <w:rPr>
                      <w:color w:val="auto"/>
                    </w:rPr>
                    <w:t>占地面积（㎡）</w:t>
                  </w:r>
                </w:p>
              </w:tc>
              <w:tc>
                <w:tcPr>
                  <w:tcW w:w="794" w:type="dxa"/>
                  <w:vMerge w:val="restart"/>
                  <w:noWrap w:val="0"/>
                  <w:vAlign w:val="center"/>
                </w:tcPr>
                <w:p>
                  <w:pPr>
                    <w:pStyle w:val="15"/>
                    <w:keepLines w:val="0"/>
                    <w:pageBreakBefore w:val="0"/>
                    <w:kinsoku/>
                    <w:wordWrap/>
                    <w:bidi w:val="0"/>
                    <w:adjustRightInd w:val="0"/>
                    <w:snapToGrid w:val="0"/>
                    <w:textAlignment w:val="auto"/>
                    <w:rPr>
                      <w:color w:val="auto"/>
                    </w:rPr>
                  </w:pPr>
                  <w:r>
                    <w:rPr>
                      <w:color w:val="auto"/>
                    </w:rPr>
                    <w:t>贮存</w:t>
                  </w:r>
                </w:p>
                <w:p>
                  <w:pPr>
                    <w:pStyle w:val="15"/>
                    <w:keepLines w:val="0"/>
                    <w:pageBreakBefore w:val="0"/>
                    <w:kinsoku/>
                    <w:wordWrap/>
                    <w:bidi w:val="0"/>
                    <w:adjustRightInd w:val="0"/>
                    <w:snapToGrid w:val="0"/>
                    <w:textAlignment w:val="auto"/>
                    <w:rPr>
                      <w:color w:val="auto"/>
                    </w:rPr>
                  </w:pPr>
                  <w:r>
                    <w:rPr>
                      <w:color w:val="auto"/>
                    </w:rPr>
                    <w:t>方式</w:t>
                  </w:r>
                </w:p>
              </w:tc>
              <w:tc>
                <w:tcPr>
                  <w:tcW w:w="1020" w:type="dxa"/>
                  <w:vMerge w:val="restart"/>
                  <w:noWrap w:val="0"/>
                  <w:vAlign w:val="center"/>
                </w:tcPr>
                <w:p>
                  <w:pPr>
                    <w:pStyle w:val="15"/>
                    <w:keepLines w:val="0"/>
                    <w:pageBreakBefore w:val="0"/>
                    <w:kinsoku/>
                    <w:wordWrap/>
                    <w:bidi w:val="0"/>
                    <w:adjustRightInd w:val="0"/>
                    <w:snapToGrid w:val="0"/>
                    <w:textAlignment w:val="auto"/>
                    <w:rPr>
                      <w:color w:val="auto"/>
                    </w:rPr>
                  </w:pPr>
                  <w:r>
                    <w:rPr>
                      <w:color w:val="auto"/>
                    </w:rPr>
                    <w:t>贮存能力（t/a）</w:t>
                  </w:r>
                </w:p>
              </w:tc>
              <w:tc>
                <w:tcPr>
                  <w:tcW w:w="680" w:type="dxa"/>
                  <w:vMerge w:val="restart"/>
                  <w:noWrap w:val="0"/>
                  <w:vAlign w:val="center"/>
                </w:tcPr>
                <w:p>
                  <w:pPr>
                    <w:pStyle w:val="15"/>
                    <w:keepLines w:val="0"/>
                    <w:pageBreakBefore w:val="0"/>
                    <w:kinsoku/>
                    <w:wordWrap/>
                    <w:bidi w:val="0"/>
                    <w:adjustRightInd w:val="0"/>
                    <w:snapToGrid w:val="0"/>
                    <w:textAlignment w:val="auto"/>
                    <w:rPr>
                      <w:color w:val="auto"/>
                    </w:rPr>
                  </w:pPr>
                  <w:r>
                    <w:rPr>
                      <w:color w:val="auto"/>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vMerge w:val="continue"/>
                  <w:noWrap w:val="0"/>
                  <w:vAlign w:val="center"/>
                </w:tcPr>
                <w:p>
                  <w:pPr>
                    <w:pStyle w:val="13"/>
                    <w:keepLines w:val="0"/>
                    <w:pageBreakBefore w:val="0"/>
                    <w:kinsoku/>
                    <w:wordWrap/>
                    <w:bidi w:val="0"/>
                    <w:adjustRightInd w:val="0"/>
                    <w:snapToGrid w:val="0"/>
                    <w:textAlignment w:val="auto"/>
                    <w:rPr>
                      <w:rFonts w:hint="default"/>
                      <w:color w:val="auto"/>
                    </w:rPr>
                  </w:pP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1644"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37" w:type="dxa"/>
                  <w:noWrap w:val="0"/>
                  <w:vAlign w:val="center"/>
                </w:tcPr>
                <w:p>
                  <w:pPr>
                    <w:pStyle w:val="15"/>
                    <w:keepLines w:val="0"/>
                    <w:pageBreakBefore w:val="0"/>
                    <w:kinsoku/>
                    <w:wordWrap/>
                    <w:bidi w:val="0"/>
                    <w:adjustRightInd w:val="0"/>
                    <w:snapToGrid w:val="0"/>
                    <w:textAlignment w:val="auto"/>
                    <w:rPr>
                      <w:color w:val="auto"/>
                    </w:rPr>
                  </w:pPr>
                  <w:r>
                    <w:rPr>
                      <w:color w:val="auto"/>
                    </w:rPr>
                    <w:t>经度</w:t>
                  </w:r>
                </w:p>
              </w:tc>
              <w:tc>
                <w:tcPr>
                  <w:tcW w:w="680" w:type="dxa"/>
                  <w:noWrap w:val="0"/>
                  <w:vAlign w:val="center"/>
                </w:tcPr>
                <w:p>
                  <w:pPr>
                    <w:pStyle w:val="15"/>
                    <w:keepLines w:val="0"/>
                    <w:pageBreakBefore w:val="0"/>
                    <w:kinsoku/>
                    <w:wordWrap/>
                    <w:bidi w:val="0"/>
                    <w:adjustRightInd w:val="0"/>
                    <w:snapToGrid w:val="0"/>
                    <w:textAlignment w:val="auto"/>
                    <w:rPr>
                      <w:color w:val="auto"/>
                    </w:rPr>
                  </w:pPr>
                  <w:r>
                    <w:rPr>
                      <w:color w:val="auto"/>
                    </w:rPr>
                    <w:t>纬度</w:t>
                  </w:r>
                </w:p>
              </w:tc>
              <w:tc>
                <w:tcPr>
                  <w:tcW w:w="964"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94"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102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1</w:t>
                  </w:r>
                </w:p>
              </w:tc>
              <w:tc>
                <w:tcPr>
                  <w:tcW w:w="737" w:type="dxa"/>
                  <w:vMerge w:val="restart"/>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危废暂存间</w:t>
                  </w:r>
                </w:p>
              </w:tc>
              <w:tc>
                <w:tcPr>
                  <w:tcW w:w="164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sz w:val="21"/>
                      <w:szCs w:val="21"/>
                      <w:lang w:val="en-US" w:eastAsia="zh-CN"/>
                    </w:rPr>
                    <w:t>废热熔胶袋</w:t>
                  </w:r>
                </w:p>
              </w:tc>
              <w:tc>
                <w:tcPr>
                  <w:tcW w:w="680" w:type="dxa"/>
                  <w:vMerge w:val="restart"/>
                  <w:noWrap w:val="0"/>
                  <w:vAlign w:val="center"/>
                </w:tcPr>
                <w:p>
                  <w:pPr>
                    <w:pStyle w:val="13"/>
                    <w:keepLines w:val="0"/>
                    <w:pageBreakBefore w:val="0"/>
                    <w:kinsoku/>
                    <w:wordWrap/>
                    <w:bidi w:val="0"/>
                    <w:adjustRightInd w:val="0"/>
                    <w:snapToGrid w:val="0"/>
                    <w:textAlignment w:val="auto"/>
                    <w:rPr>
                      <w:rFonts w:hint="eastAsia" w:eastAsia="宋体"/>
                      <w:color w:val="auto"/>
                      <w:lang w:val="en-US" w:eastAsia="zh-CN"/>
                    </w:rPr>
                  </w:pPr>
                  <w:r>
                    <w:rPr>
                      <w:color w:val="auto"/>
                    </w:rPr>
                    <w:t>车间</w:t>
                  </w:r>
                  <w:r>
                    <w:rPr>
                      <w:rFonts w:hint="eastAsia"/>
                      <w:color w:val="auto"/>
                      <w:lang w:val="en-US" w:eastAsia="zh-CN"/>
                    </w:rPr>
                    <w:t>内</w:t>
                  </w:r>
                </w:p>
              </w:tc>
              <w:tc>
                <w:tcPr>
                  <w:tcW w:w="737" w:type="dxa"/>
                  <w:vMerge w:val="restart"/>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117.249180632</w:t>
                  </w:r>
                </w:p>
              </w:tc>
              <w:tc>
                <w:tcPr>
                  <w:tcW w:w="680" w:type="dxa"/>
                  <w:vMerge w:val="restart"/>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32.984037780</w:t>
                  </w:r>
                </w:p>
              </w:tc>
              <w:tc>
                <w:tcPr>
                  <w:tcW w:w="964" w:type="dxa"/>
                  <w:vMerge w:val="restart"/>
                  <w:noWrap w:val="0"/>
                  <w:vAlign w:val="center"/>
                </w:tcPr>
                <w:p>
                  <w:pPr>
                    <w:pStyle w:val="13"/>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10</w:t>
                  </w:r>
                </w:p>
              </w:tc>
              <w:tc>
                <w:tcPr>
                  <w:tcW w:w="794"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桶装</w:t>
                  </w:r>
                </w:p>
              </w:tc>
              <w:tc>
                <w:tcPr>
                  <w:tcW w:w="1020" w:type="dxa"/>
                  <w:noWrap w:val="0"/>
                  <w:vAlign w:val="center"/>
                </w:tcPr>
                <w:p>
                  <w:pPr>
                    <w:pStyle w:val="13"/>
                    <w:bidi w:val="0"/>
                    <w:rPr>
                      <w:rFonts w:hint="default"/>
                      <w:color w:val="auto"/>
                      <w:lang w:val="en-US" w:eastAsia="zh-CN"/>
                    </w:rPr>
                  </w:pPr>
                  <w:r>
                    <w:rPr>
                      <w:rFonts w:hint="eastAsia" w:ascii="Times New Roman" w:hAnsi="Times New Roman" w:eastAsia="宋体" w:cs="Times New Roman"/>
                      <w:color w:val="auto"/>
                      <w:sz w:val="21"/>
                      <w:szCs w:val="21"/>
                      <w:lang w:val="en-US" w:eastAsia="zh-CN" w:bidi="ar-SA"/>
                    </w:rPr>
                    <w:t>0.2</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2</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164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sz w:val="21"/>
                      <w:szCs w:val="21"/>
                      <w:lang w:val="en-US" w:eastAsia="zh-CN"/>
                    </w:rPr>
                    <w:t>废软胶805桶</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964"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94"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桶装</w:t>
                  </w:r>
                </w:p>
              </w:tc>
              <w:tc>
                <w:tcPr>
                  <w:tcW w:w="1020" w:type="dxa"/>
                  <w:noWrap w:val="0"/>
                  <w:vAlign w:val="center"/>
                </w:tcPr>
                <w:p>
                  <w:pPr>
                    <w:pStyle w:val="13"/>
                    <w:bidi w:val="0"/>
                    <w:rPr>
                      <w:rFonts w:hint="eastAsia"/>
                      <w:color w:val="auto"/>
                      <w:lang w:val="en-US" w:eastAsia="zh-CN"/>
                    </w:rPr>
                  </w:pPr>
                  <w:r>
                    <w:rPr>
                      <w:rFonts w:hint="default" w:ascii="Times New Roman" w:hAnsi="Times New Roman" w:eastAsia="宋体" w:cs="Times New Roman"/>
                      <w:color w:val="auto"/>
                      <w:sz w:val="21"/>
                      <w:szCs w:val="21"/>
                      <w:lang w:val="en-US" w:eastAsia="zh-CN" w:bidi="ar-SA"/>
                    </w:rPr>
                    <w:t>0.234</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3</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164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val="en-US" w:eastAsia="zh-CN"/>
                    </w:rPr>
                  </w:pPr>
                  <w:r>
                    <w:rPr>
                      <w:rFonts w:hint="eastAsia"/>
                      <w:color w:val="auto"/>
                      <w:sz w:val="21"/>
                      <w:szCs w:val="21"/>
                      <w:lang w:val="en-US" w:eastAsia="zh-CN"/>
                    </w:rPr>
                    <w:t>废软胶810桶</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964"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94"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桶装</w:t>
                  </w:r>
                </w:p>
              </w:tc>
              <w:tc>
                <w:tcPr>
                  <w:tcW w:w="1020" w:type="dxa"/>
                  <w:noWrap w:val="0"/>
                  <w:vAlign w:val="center"/>
                </w:tcPr>
                <w:p>
                  <w:pPr>
                    <w:pStyle w:val="13"/>
                    <w:bidi w:val="0"/>
                    <w:rPr>
                      <w:rFonts w:hint="eastAsia"/>
                      <w:color w:val="auto"/>
                      <w:lang w:val="en-US" w:eastAsia="zh-CN"/>
                    </w:rPr>
                  </w:pPr>
                  <w:r>
                    <w:rPr>
                      <w:rFonts w:hint="default" w:ascii="Times New Roman" w:hAnsi="Times New Roman" w:eastAsia="宋体" w:cs="Times New Roman"/>
                      <w:color w:val="auto"/>
                      <w:sz w:val="21"/>
                      <w:szCs w:val="21"/>
                      <w:lang w:val="en-US" w:eastAsia="zh-CN" w:bidi="ar-SA"/>
                    </w:rPr>
                    <w:t>0.264</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color w:val="auto"/>
                    </w:rPr>
                    <w:t>4</w:t>
                  </w: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1644" w:type="dxa"/>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color w:val="auto"/>
                      <w:lang w:val="en-US" w:eastAsia="zh-CN"/>
                    </w:rPr>
                  </w:pPr>
                  <w:r>
                    <w:rPr>
                      <w:rFonts w:hint="eastAsia"/>
                      <w:color w:val="auto"/>
                      <w:sz w:val="21"/>
                      <w:szCs w:val="21"/>
                      <w:lang w:val="en-US" w:eastAsia="zh-CN"/>
                    </w:rPr>
                    <w:t>废活性炭</w:t>
                  </w: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37"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680"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964" w:type="dxa"/>
                  <w:vMerge w:val="continue"/>
                  <w:noWrap w:val="0"/>
                  <w:vAlign w:val="center"/>
                </w:tcPr>
                <w:p>
                  <w:pPr>
                    <w:pStyle w:val="13"/>
                    <w:keepLines w:val="0"/>
                    <w:pageBreakBefore w:val="0"/>
                    <w:kinsoku/>
                    <w:wordWrap/>
                    <w:bidi w:val="0"/>
                    <w:adjustRightInd w:val="0"/>
                    <w:snapToGrid w:val="0"/>
                    <w:textAlignment w:val="auto"/>
                    <w:rPr>
                      <w:color w:val="auto"/>
                    </w:rPr>
                  </w:pPr>
                </w:p>
              </w:tc>
              <w:tc>
                <w:tcPr>
                  <w:tcW w:w="794"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桶装</w:t>
                  </w:r>
                </w:p>
              </w:tc>
              <w:tc>
                <w:tcPr>
                  <w:tcW w:w="1020" w:type="dxa"/>
                  <w:noWrap w:val="0"/>
                  <w:vAlign w:val="center"/>
                </w:tcPr>
                <w:p>
                  <w:pPr>
                    <w:pStyle w:val="13"/>
                    <w:bidi w:val="0"/>
                    <w:rPr>
                      <w:rFonts w:hint="eastAsia"/>
                      <w:color w:val="auto"/>
                      <w:lang w:val="en-US" w:eastAsia="zh-CN"/>
                    </w:rPr>
                  </w:pPr>
                  <w:r>
                    <w:rPr>
                      <w:rFonts w:hint="default" w:ascii="Times New Roman" w:hAnsi="Times New Roman" w:eastAsia="宋体" w:cs="Times New Roman"/>
                      <w:color w:val="auto"/>
                      <w:sz w:val="21"/>
                      <w:szCs w:val="21"/>
                      <w:lang w:val="en-US" w:eastAsia="zh-CN" w:bidi="ar-SA"/>
                    </w:rPr>
                    <w:t>1.43</w:t>
                  </w:r>
                </w:p>
              </w:tc>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年</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一般固体废物暂存要求：</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（1）</w:t>
            </w:r>
            <w:r>
              <w:rPr>
                <w:color w:val="auto"/>
              </w:rPr>
              <w:t>一般固废暂存</w:t>
            </w:r>
            <w:r>
              <w:rPr>
                <w:rFonts w:hint="eastAsia"/>
                <w:color w:val="auto"/>
              </w:rPr>
              <w:t>场所</w:t>
            </w:r>
            <w:r>
              <w:rPr>
                <w:color w:val="auto"/>
              </w:rPr>
              <w:t>应设置明显的符合相关规定的图形或文字标志。</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（2）</w:t>
            </w:r>
            <w:r>
              <w:rPr>
                <w:color w:val="auto"/>
              </w:rPr>
              <w:t>各种固体废物应按照要求分类放置于相应区域，禁止混放。</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（3）</w:t>
            </w:r>
            <w:r>
              <w:rPr>
                <w:color w:val="auto"/>
              </w:rPr>
              <w:t>一般固废暂存</w:t>
            </w:r>
            <w:r>
              <w:rPr>
                <w:rFonts w:hint="eastAsia"/>
                <w:color w:val="auto"/>
              </w:rPr>
              <w:t>场所</w:t>
            </w:r>
            <w:r>
              <w:rPr>
                <w:color w:val="auto"/>
              </w:rPr>
              <w:t>应根据所收集、存放的固体废物的产生量及时进行清理，不得出现溢满现象，并在每次清运固体废物后，负责打扫</w:t>
            </w:r>
            <w:r>
              <w:rPr>
                <w:rFonts w:hint="eastAsia"/>
                <w:color w:val="auto"/>
              </w:rPr>
              <w:t>一般固废暂存场所</w:t>
            </w:r>
            <w:r>
              <w:rPr>
                <w:color w:val="auto"/>
              </w:rPr>
              <w:t>的卫生，保持整洁。</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rFonts w:hint="eastAsia"/>
                <w:color w:val="auto"/>
              </w:rPr>
              <w:t>（4）</w:t>
            </w:r>
            <w:r>
              <w:rPr>
                <w:color w:val="auto"/>
              </w:rPr>
              <w:t>相关管理人员对一般固废暂存</w:t>
            </w:r>
            <w:r>
              <w:rPr>
                <w:rFonts w:hint="eastAsia"/>
                <w:color w:val="auto"/>
              </w:rPr>
              <w:t>场所</w:t>
            </w:r>
            <w:r>
              <w:rPr>
                <w:color w:val="auto"/>
              </w:rPr>
              <w:t>进行日常检查，发现问题，及时处理。</w:t>
            </w:r>
          </w:p>
          <w:p>
            <w:pPr>
              <w:pStyle w:val="18"/>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危险废物暂存要求：</w:t>
            </w:r>
          </w:p>
          <w:p>
            <w:pPr>
              <w:pStyle w:val="16"/>
              <w:keepNext w:val="0"/>
              <w:keepLines w:val="0"/>
              <w:pageBreakBefore w:val="0"/>
              <w:widowControl w:val="0"/>
              <w:kinsoku/>
              <w:wordWrap/>
              <w:overflowPunct/>
              <w:topLinePunct w:val="0"/>
              <w:autoSpaceDE/>
              <w:autoSpaceDN/>
              <w:bidi w:val="0"/>
              <w:adjustRightInd w:val="0"/>
              <w:snapToGrid w:val="0"/>
              <w:textAlignment w:val="auto"/>
              <w:rPr>
                <w:color w:val="auto"/>
              </w:rPr>
            </w:pPr>
            <w:r>
              <w:rPr>
                <w:color w:val="auto"/>
              </w:rPr>
              <w:t>（1）</w:t>
            </w:r>
            <w:r>
              <w:rPr>
                <w:rFonts w:hint="eastAsia"/>
                <w:color w:val="auto"/>
              </w:rPr>
              <w:t>危废暂存间</w:t>
            </w:r>
            <w:r>
              <w:rPr>
                <w:color w:val="auto"/>
              </w:rPr>
              <w:t>应设置明显的符合相关规定的警示标志、标示。</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color w:val="auto"/>
              </w:rPr>
              <w:t>（2）危险废物须使用符合标准的收集装置，分类分区放置，禁止混入一般固废中，禁止将不相容（互反应）的危险废物在同一容器内混装，盛装危险废物的容器上必须粘贴符合标准的标签。</w:t>
            </w:r>
          </w:p>
          <w:p>
            <w:pPr>
              <w:pStyle w:val="16"/>
              <w:keepLines w:val="0"/>
              <w:pageBreakBefore w:val="0"/>
              <w:kinsoku/>
              <w:wordWrap/>
              <w:bidi w:val="0"/>
              <w:adjustRightInd w:val="0"/>
              <w:snapToGrid w:val="0"/>
              <w:textAlignment w:val="auto"/>
              <w:rPr>
                <w:color w:val="auto"/>
              </w:rPr>
            </w:pPr>
            <w:r>
              <w:rPr>
                <w:color w:val="auto"/>
              </w:rPr>
              <w:t>（3）</w:t>
            </w:r>
            <w:r>
              <w:rPr>
                <w:rFonts w:hint="eastAsia"/>
                <w:color w:val="auto"/>
              </w:rPr>
              <w:t>危废暂存间</w:t>
            </w:r>
            <w:r>
              <w:rPr>
                <w:color w:val="auto"/>
              </w:rPr>
              <w:t>必须有泄漏液体收集装置。</w:t>
            </w:r>
          </w:p>
          <w:p>
            <w:pPr>
              <w:pStyle w:val="16"/>
              <w:keepLines w:val="0"/>
              <w:pageBreakBefore w:val="0"/>
              <w:kinsoku/>
              <w:wordWrap/>
              <w:bidi w:val="0"/>
              <w:adjustRightInd w:val="0"/>
              <w:snapToGrid w:val="0"/>
              <w:textAlignment w:val="auto"/>
              <w:rPr>
                <w:color w:val="auto"/>
              </w:rPr>
            </w:pPr>
            <w:r>
              <w:rPr>
                <w:color w:val="auto"/>
              </w:rPr>
              <w:t>（4）</w:t>
            </w:r>
            <w:r>
              <w:rPr>
                <w:rFonts w:hint="eastAsia"/>
                <w:color w:val="auto"/>
              </w:rPr>
              <w:t>危废暂存间</w:t>
            </w:r>
            <w:r>
              <w:rPr>
                <w:rFonts w:hint="eastAsia"/>
                <w:color w:val="auto"/>
                <w:lang w:val="en-US" w:eastAsia="zh-CN"/>
              </w:rPr>
              <w:t>的</w:t>
            </w:r>
            <w:r>
              <w:rPr>
                <w:color w:val="auto"/>
              </w:rPr>
              <w:t>地面</w:t>
            </w:r>
            <w:r>
              <w:rPr>
                <w:rFonts w:hint="eastAsia"/>
                <w:color w:val="auto"/>
                <w:lang w:val="en-US" w:eastAsia="zh-CN"/>
              </w:rPr>
              <w:t>及其</w:t>
            </w:r>
            <w:r>
              <w:rPr>
                <w:color w:val="auto"/>
              </w:rPr>
              <w:t>防腐防渗措施符合</w:t>
            </w:r>
            <w:r>
              <w:rPr>
                <w:rFonts w:hint="eastAsia"/>
                <w:color w:val="auto"/>
                <w:lang w:eastAsia="zh-CN"/>
              </w:rPr>
              <w:t>《危险废物贮存污染控制标准》（GB 18597-2023）</w:t>
            </w:r>
            <w:r>
              <w:rPr>
                <w:rFonts w:hint="eastAsia"/>
                <w:color w:val="auto"/>
                <w:lang w:val="en-US" w:eastAsia="zh-CN"/>
              </w:rPr>
              <w:t>中要求</w:t>
            </w:r>
            <w:r>
              <w:rPr>
                <w:color w:val="auto"/>
              </w:rPr>
              <w:t>（防渗层</w:t>
            </w:r>
            <w:r>
              <w:rPr>
                <w:rFonts w:hint="eastAsia"/>
                <w:color w:val="auto"/>
                <w:lang w:val="en-US" w:eastAsia="zh-CN"/>
              </w:rPr>
              <w:t>渗透</w:t>
            </w:r>
            <w:r>
              <w:rPr>
                <w:color w:val="auto"/>
              </w:rPr>
              <w:t>系数≤10</w:t>
            </w:r>
            <w:r>
              <w:rPr>
                <w:color w:val="auto"/>
                <w:vertAlign w:val="superscript"/>
              </w:rPr>
              <w:t>-7</w:t>
            </w:r>
            <w:r>
              <w:rPr>
                <w:color w:val="auto"/>
              </w:rPr>
              <w:t>cm/s且表面无裂缝</w:t>
            </w:r>
            <w:r>
              <w:rPr>
                <w:rFonts w:hint="eastAsia"/>
                <w:color w:val="auto"/>
                <w:lang w:val="en-US" w:eastAsia="zh-CN"/>
              </w:rPr>
              <w:t>等</w:t>
            </w:r>
            <w:r>
              <w:rPr>
                <w:color w:val="auto"/>
              </w:rPr>
              <w:t>）。</w:t>
            </w:r>
          </w:p>
          <w:p>
            <w:pPr>
              <w:pStyle w:val="16"/>
              <w:keepLines w:val="0"/>
              <w:pageBreakBefore w:val="0"/>
              <w:kinsoku/>
              <w:wordWrap/>
              <w:bidi w:val="0"/>
              <w:adjustRightInd w:val="0"/>
              <w:snapToGrid w:val="0"/>
              <w:textAlignment w:val="auto"/>
              <w:rPr>
                <w:color w:val="auto"/>
              </w:rPr>
            </w:pPr>
            <w:r>
              <w:rPr>
                <w:color w:val="auto"/>
              </w:rPr>
              <w:t>（5）配备通讯设备、照明设施、安全防护服装及工具，并有应急设备</w:t>
            </w:r>
          </w:p>
          <w:p>
            <w:pPr>
              <w:pStyle w:val="16"/>
              <w:keepLines w:val="0"/>
              <w:pageBreakBefore w:val="0"/>
              <w:kinsoku/>
              <w:wordWrap/>
              <w:bidi w:val="0"/>
              <w:adjustRightInd w:val="0"/>
              <w:snapToGrid w:val="0"/>
              <w:textAlignment w:val="auto"/>
              <w:rPr>
                <w:color w:val="auto"/>
              </w:rPr>
            </w:pPr>
            <w:r>
              <w:rPr>
                <w:color w:val="auto"/>
              </w:rPr>
              <w:t>（6）按照要求对危险废物进行全过程严格管理和安全处置。相关管理人员对</w:t>
            </w:r>
            <w:r>
              <w:rPr>
                <w:rFonts w:hint="eastAsia"/>
                <w:color w:val="auto"/>
              </w:rPr>
              <w:t>危废暂存间</w:t>
            </w:r>
            <w:r>
              <w:rPr>
                <w:color w:val="auto"/>
              </w:rPr>
              <w:t>进行日常检查，发现问题，及时处理，必要时联系相关部门人员。</w:t>
            </w:r>
          </w:p>
          <w:p>
            <w:pPr>
              <w:pStyle w:val="16"/>
              <w:keepLines w:val="0"/>
              <w:pageBreakBefore w:val="0"/>
              <w:kinsoku/>
              <w:wordWrap/>
              <w:bidi w:val="0"/>
              <w:adjustRightInd w:val="0"/>
              <w:snapToGrid w:val="0"/>
              <w:textAlignment w:val="auto"/>
              <w:rPr>
                <w:color w:val="auto"/>
              </w:rPr>
            </w:pPr>
            <w:r>
              <w:rPr>
                <w:color w:val="auto"/>
              </w:rPr>
              <w:t>因此，项目的固体废物均能得到妥善处理，对</w:t>
            </w:r>
            <w:r>
              <w:rPr>
                <w:rFonts w:hint="eastAsia"/>
                <w:color w:val="auto"/>
              </w:rPr>
              <w:t>项目</w:t>
            </w:r>
            <w:r>
              <w:rPr>
                <w:color w:val="auto"/>
              </w:rPr>
              <w:t>周围环境及卫生状况不会产生直接影响。</w:t>
            </w:r>
          </w:p>
          <w:p>
            <w:pPr>
              <w:pStyle w:val="18"/>
              <w:keepLines w:val="0"/>
              <w:pageBreakBefore w:val="0"/>
              <w:kinsoku/>
              <w:wordWrap/>
              <w:bidi w:val="0"/>
              <w:adjustRightInd w:val="0"/>
              <w:snapToGrid w:val="0"/>
              <w:textAlignment w:val="auto"/>
              <w:rPr>
                <w:rFonts w:hint="eastAsia"/>
                <w:color w:val="auto"/>
              </w:rPr>
            </w:pPr>
            <w:r>
              <w:rPr>
                <w:rFonts w:hint="eastAsia"/>
                <w:color w:val="auto"/>
              </w:rPr>
              <w:t>五、土壤、地下水</w:t>
            </w:r>
          </w:p>
          <w:p>
            <w:pPr>
              <w:pStyle w:val="18"/>
              <w:keepLines w:val="0"/>
              <w:pageBreakBefore w:val="0"/>
              <w:kinsoku/>
              <w:wordWrap/>
              <w:bidi w:val="0"/>
              <w:adjustRightInd w:val="0"/>
              <w:snapToGrid w:val="0"/>
              <w:textAlignment w:val="auto"/>
              <w:rPr>
                <w:rFonts w:hint="eastAsia"/>
                <w:color w:val="auto"/>
              </w:rPr>
            </w:pPr>
            <w:r>
              <w:rPr>
                <w:rFonts w:hint="eastAsia"/>
                <w:color w:val="auto"/>
              </w:rPr>
              <w:t>1、土壤、地下水污染因子识别</w:t>
            </w:r>
          </w:p>
          <w:p>
            <w:pPr>
              <w:pStyle w:val="16"/>
              <w:keepLines w:val="0"/>
              <w:pageBreakBefore w:val="0"/>
              <w:kinsoku/>
              <w:wordWrap/>
              <w:bidi w:val="0"/>
              <w:adjustRightInd w:val="0"/>
              <w:snapToGrid w:val="0"/>
              <w:textAlignment w:val="auto"/>
              <w:rPr>
                <w:rFonts w:hint="eastAsia"/>
                <w:color w:val="auto"/>
              </w:rPr>
            </w:pPr>
            <w:r>
              <w:rPr>
                <w:color w:val="auto"/>
              </w:rPr>
              <w:t>项目在生产过程中使用</w:t>
            </w:r>
            <w:r>
              <w:rPr>
                <w:rFonts w:hint="eastAsia"/>
                <w:color w:val="auto"/>
                <w:lang w:val="en-US" w:eastAsia="zh-CN"/>
              </w:rPr>
              <w:t>软胶805、软胶810、颜料</w:t>
            </w:r>
            <w:r>
              <w:rPr>
                <w:color w:val="auto"/>
              </w:rPr>
              <w:t>等</w:t>
            </w:r>
            <w:r>
              <w:rPr>
                <w:rFonts w:hint="eastAsia"/>
                <w:color w:val="auto"/>
                <w:lang w:val="en-US" w:eastAsia="zh-CN"/>
              </w:rPr>
              <w:t>液体原料，</w:t>
            </w:r>
            <w:r>
              <w:rPr>
                <w:color w:val="auto"/>
              </w:rPr>
              <w:t>产生</w:t>
            </w:r>
            <w:r>
              <w:rPr>
                <w:rFonts w:hint="eastAsia"/>
                <w:color w:val="auto"/>
              </w:rPr>
              <w:t>危险废物，发生泄漏可能会造成土壤和地下水污染</w:t>
            </w:r>
            <w:r>
              <w:rPr>
                <w:rFonts w:hint="eastAsia"/>
                <w:color w:val="auto"/>
                <w:lang w:eastAsia="zh-CN"/>
              </w:rPr>
              <w:t>；废气污染物排放沉降，可能造成环境污染</w:t>
            </w:r>
            <w:r>
              <w:rPr>
                <w:rFonts w:hint="eastAsia"/>
                <w:color w:val="auto"/>
              </w:rPr>
              <w:t>。</w:t>
            </w:r>
          </w:p>
          <w:p>
            <w:pPr>
              <w:pStyle w:val="18"/>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rPr>
              <w:t>2、</w:t>
            </w:r>
            <w:r>
              <w:rPr>
                <w:rFonts w:hint="eastAsia"/>
                <w:color w:val="auto"/>
                <w:lang w:eastAsia="zh-CN"/>
              </w:rPr>
              <w:t>污染途径</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lang w:eastAsia="zh-CN"/>
              </w:rPr>
            </w:pPr>
            <w:r>
              <w:rPr>
                <w:rFonts w:hint="eastAsia"/>
                <w:color w:val="auto"/>
                <w:lang w:val="en-US" w:eastAsia="zh-CN"/>
              </w:rPr>
              <w:t>软胶805、软胶810、颜料</w:t>
            </w:r>
            <w:r>
              <w:rPr>
                <w:rFonts w:hint="eastAsia"/>
                <w:color w:val="auto"/>
                <w:lang w:eastAsia="zh-CN"/>
              </w:rPr>
              <w:t>储存在仓库，危险废物暂存于危废暂存间，若因员工操作不当、储存容器破损、防腐防渗措施损坏等原因导致</w:t>
            </w:r>
            <w:r>
              <w:rPr>
                <w:rFonts w:hint="eastAsia"/>
                <w:color w:val="auto"/>
                <w:lang w:val="en-US" w:eastAsia="zh-CN"/>
              </w:rPr>
              <w:t>软胶805、软胶810、颜料</w:t>
            </w:r>
            <w:r>
              <w:rPr>
                <w:rFonts w:hint="eastAsia"/>
                <w:color w:val="auto"/>
                <w:lang w:eastAsia="zh-CN"/>
              </w:rPr>
              <w:t>、危险废物泄露，可能会危害到地下水和土壤。废气污染物排放沉降，可能造成环境污染。</w:t>
            </w:r>
          </w:p>
          <w:p>
            <w:pPr>
              <w:pStyle w:val="18"/>
              <w:keepLines w:val="0"/>
              <w:pageBreakBefore w:val="0"/>
              <w:kinsoku/>
              <w:wordWrap/>
              <w:bidi w:val="0"/>
              <w:adjustRightInd w:val="0"/>
              <w:snapToGrid w:val="0"/>
              <w:textAlignment w:val="auto"/>
              <w:rPr>
                <w:rFonts w:hint="eastAsia"/>
                <w:color w:val="auto"/>
              </w:rPr>
            </w:pPr>
            <w:r>
              <w:rPr>
                <w:rFonts w:hint="eastAsia"/>
                <w:color w:val="auto"/>
                <w:lang w:val="en-US" w:eastAsia="zh-CN"/>
              </w:rPr>
              <w:t>3、</w:t>
            </w:r>
            <w:r>
              <w:rPr>
                <w:rFonts w:hint="eastAsia"/>
                <w:color w:val="auto"/>
              </w:rPr>
              <w:t>土壤、地下水防控区域划分和污染防控措施</w:t>
            </w:r>
          </w:p>
          <w:p>
            <w:pPr>
              <w:pStyle w:val="16"/>
              <w:keepLines w:val="0"/>
              <w:pageBreakBefore w:val="0"/>
              <w:kinsoku/>
              <w:wordWrap/>
              <w:bidi w:val="0"/>
              <w:adjustRightInd w:val="0"/>
              <w:snapToGrid w:val="0"/>
              <w:textAlignment w:val="auto"/>
              <w:rPr>
                <w:rFonts w:hint="eastAsia"/>
                <w:color w:val="auto"/>
              </w:rPr>
            </w:pPr>
            <w:r>
              <w:rPr>
                <w:rFonts w:hint="eastAsia"/>
                <w:color w:val="auto"/>
              </w:rPr>
              <w:t>（1）项目防控区域划分</w:t>
            </w:r>
          </w:p>
          <w:p>
            <w:pPr>
              <w:pStyle w:val="16"/>
              <w:keepLines w:val="0"/>
              <w:pageBreakBefore w:val="0"/>
              <w:kinsoku/>
              <w:wordWrap/>
              <w:bidi w:val="0"/>
              <w:adjustRightInd w:val="0"/>
              <w:snapToGrid w:val="0"/>
              <w:textAlignment w:val="auto"/>
              <w:rPr>
                <w:rFonts w:hint="eastAsia"/>
                <w:color w:val="auto"/>
              </w:rPr>
            </w:pPr>
            <w:r>
              <w:rPr>
                <w:rFonts w:hint="eastAsia"/>
                <w:color w:val="auto"/>
              </w:rPr>
              <w:t>地下水、土壤污染防治措施坚持“源头控制、末端防治、污染监控、应急响应相结合”的原则。</w:t>
            </w:r>
          </w:p>
          <w:p>
            <w:pPr>
              <w:pStyle w:val="16"/>
              <w:keepLines w:val="0"/>
              <w:pageBreakBefore w:val="0"/>
              <w:kinsoku/>
              <w:wordWrap/>
              <w:bidi w:val="0"/>
              <w:adjustRightInd w:val="0"/>
              <w:snapToGrid w:val="0"/>
              <w:textAlignment w:val="auto"/>
              <w:rPr>
                <w:rFonts w:hint="eastAsia"/>
                <w:color w:val="auto"/>
                <w:highlight w:val="none"/>
              </w:rPr>
            </w:pPr>
            <w:r>
              <w:rPr>
                <w:rFonts w:hint="eastAsia"/>
                <w:color w:val="auto"/>
              </w:rPr>
              <w:t>项目区需要按照相关防渗要求进行分区防控处理。项目防控区域分为重点防渗区、一般防渗区以及简单防渗区，具体划分区域如下：</w:t>
            </w:r>
          </w:p>
          <w:p>
            <w:pPr>
              <w:pStyle w:val="16"/>
              <w:keepLines w:val="0"/>
              <w:pageBreakBefore w:val="0"/>
              <w:kinsoku/>
              <w:wordWrap/>
              <w:bidi w:val="0"/>
              <w:adjustRightInd w:val="0"/>
              <w:snapToGrid w:val="0"/>
              <w:textAlignment w:val="auto"/>
              <w:rPr>
                <w:rFonts w:hint="eastAsia"/>
                <w:color w:val="auto"/>
              </w:rPr>
            </w:pPr>
            <w:r>
              <w:rPr>
                <w:rFonts w:hint="eastAsia"/>
                <w:color w:val="auto"/>
              </w:rPr>
              <w:t>①重点防渗区：</w:t>
            </w:r>
            <w:r>
              <w:rPr>
                <w:rFonts w:hint="eastAsia"/>
                <w:color w:val="auto"/>
                <w:lang w:eastAsia="zh-CN"/>
              </w:rPr>
              <w:t>危废暂存间、仓库、无纺布后处理生产区</w:t>
            </w:r>
            <w:r>
              <w:rPr>
                <w:rFonts w:hint="eastAsia"/>
                <w:color w:val="auto"/>
              </w:rPr>
              <w:t>等区域。</w:t>
            </w:r>
          </w:p>
          <w:p>
            <w:pPr>
              <w:pStyle w:val="16"/>
              <w:keepLines w:val="0"/>
              <w:pageBreakBefore w:val="0"/>
              <w:kinsoku/>
              <w:wordWrap/>
              <w:bidi w:val="0"/>
              <w:adjustRightInd w:val="0"/>
              <w:snapToGrid w:val="0"/>
              <w:textAlignment w:val="auto"/>
              <w:rPr>
                <w:rFonts w:hint="eastAsia"/>
                <w:color w:val="auto"/>
              </w:rPr>
            </w:pPr>
            <w:r>
              <w:rPr>
                <w:rFonts w:hint="eastAsia"/>
                <w:color w:val="auto"/>
              </w:rPr>
              <w:t>②一般防渗区：</w:t>
            </w:r>
            <w:r>
              <w:rPr>
                <w:rFonts w:hint="eastAsia"/>
                <w:color w:val="auto"/>
                <w:lang w:eastAsia="zh-CN"/>
              </w:rPr>
              <w:t>其他生产</w:t>
            </w:r>
            <w:r>
              <w:rPr>
                <w:rFonts w:hint="eastAsia"/>
                <w:color w:val="auto"/>
              </w:rPr>
              <w:t>区等区域。</w:t>
            </w:r>
          </w:p>
          <w:p>
            <w:pPr>
              <w:pStyle w:val="16"/>
              <w:keepLines w:val="0"/>
              <w:pageBreakBefore w:val="0"/>
              <w:kinsoku/>
              <w:wordWrap/>
              <w:bidi w:val="0"/>
              <w:adjustRightInd w:val="0"/>
              <w:snapToGrid w:val="0"/>
              <w:textAlignment w:val="auto"/>
              <w:rPr>
                <w:rFonts w:hint="eastAsia"/>
                <w:bCs/>
                <w:color w:val="auto"/>
                <w:highlight w:val="none"/>
              </w:rPr>
            </w:pPr>
            <w:r>
              <w:rPr>
                <w:rFonts w:hint="eastAsia"/>
                <w:color w:val="auto"/>
              </w:rPr>
              <w:t>③简单防渗区：除重点防渗区和一般防渗区以外的其他区域。</w:t>
            </w:r>
          </w:p>
          <w:p>
            <w:pPr>
              <w:pStyle w:val="16"/>
              <w:keepLines w:val="0"/>
              <w:pageBreakBefore w:val="0"/>
              <w:kinsoku/>
              <w:wordWrap/>
              <w:bidi w:val="0"/>
              <w:adjustRightInd w:val="0"/>
              <w:snapToGrid w:val="0"/>
              <w:textAlignment w:val="auto"/>
              <w:rPr>
                <w:color w:val="auto"/>
              </w:rPr>
            </w:pPr>
            <w:r>
              <w:rPr>
                <w:rFonts w:hint="eastAsia"/>
                <w:color w:val="auto"/>
              </w:rPr>
              <w:t>（2）</w:t>
            </w:r>
            <w:r>
              <w:rPr>
                <w:color w:val="auto"/>
              </w:rPr>
              <w:t>分区防渗措施</w:t>
            </w:r>
          </w:p>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①重点防渗区：采用等效黏土防渗层进行防渗，等效厚度≥6.0m，确保渗透系数不大于10</w:t>
            </w:r>
            <w:r>
              <w:rPr>
                <w:rFonts w:hint="eastAsia"/>
                <w:color w:val="auto"/>
                <w:vertAlign w:val="superscript"/>
              </w:rPr>
              <w:t>-7</w:t>
            </w:r>
            <w:r>
              <w:rPr>
                <w:rFonts w:hint="eastAsia"/>
                <w:color w:val="auto"/>
              </w:rPr>
              <w:t>cm/s。</w:t>
            </w:r>
          </w:p>
          <w:p>
            <w:pPr>
              <w:pStyle w:val="16"/>
              <w:keepLines w:val="0"/>
              <w:pageBreakBefore w:val="0"/>
              <w:kinsoku/>
              <w:wordWrap/>
              <w:bidi w:val="0"/>
              <w:adjustRightInd w:val="0"/>
              <w:snapToGrid w:val="0"/>
              <w:textAlignment w:val="auto"/>
              <w:rPr>
                <w:rFonts w:hint="eastAsia"/>
                <w:color w:val="auto"/>
              </w:rPr>
            </w:pPr>
            <w:r>
              <w:rPr>
                <w:rFonts w:hint="eastAsia"/>
                <w:color w:val="auto"/>
              </w:rPr>
              <w:t>②一般防渗区：采取等效黏土防渗层进行防渗，等效厚度≥1.5m。</w:t>
            </w:r>
          </w:p>
          <w:p>
            <w:pPr>
              <w:pStyle w:val="16"/>
              <w:keepLines w:val="0"/>
              <w:pageBreakBefore w:val="0"/>
              <w:kinsoku/>
              <w:wordWrap/>
              <w:bidi w:val="0"/>
              <w:adjustRightInd w:val="0"/>
              <w:snapToGrid w:val="0"/>
              <w:textAlignment w:val="auto"/>
              <w:rPr>
                <w:rFonts w:hint="eastAsia"/>
                <w:color w:val="auto"/>
              </w:rPr>
            </w:pPr>
            <w:r>
              <w:rPr>
                <w:rFonts w:hint="eastAsia"/>
                <w:color w:val="auto"/>
              </w:rPr>
              <w:t>③简单防渗区：采用一般地面硬化。</w:t>
            </w:r>
          </w:p>
          <w:p>
            <w:pPr>
              <w:pStyle w:val="16"/>
              <w:keepLines w:val="0"/>
              <w:pageBreakBefore w:val="0"/>
              <w:kinsoku/>
              <w:wordWrap/>
              <w:bidi w:val="0"/>
              <w:adjustRightInd w:val="0"/>
              <w:snapToGrid w:val="0"/>
              <w:textAlignment w:val="auto"/>
              <w:rPr>
                <w:rFonts w:hint="eastAsia"/>
                <w:color w:val="auto"/>
              </w:rPr>
            </w:pPr>
            <w:r>
              <w:rPr>
                <w:rFonts w:hint="eastAsia"/>
                <w:color w:val="auto"/>
              </w:rPr>
              <w:t>项目污染防治分区及措施见下表。</w:t>
            </w:r>
          </w:p>
          <w:p>
            <w:pPr>
              <w:pStyle w:val="11"/>
              <w:bidi w:val="0"/>
              <w:rPr>
                <w:color w:val="auto"/>
              </w:rPr>
            </w:pPr>
            <w:r>
              <w:rPr>
                <w:rFonts w:hint="eastAsia"/>
                <w:color w:val="auto"/>
              </w:rPr>
              <w:t>表4-</w:t>
            </w:r>
            <w:r>
              <w:rPr>
                <w:rFonts w:hint="eastAsia"/>
                <w:color w:val="auto"/>
                <w:lang w:val="en-US" w:eastAsia="zh-CN"/>
              </w:rPr>
              <w:t>19</w:t>
            </w:r>
            <w:r>
              <w:rPr>
                <w:rFonts w:hint="eastAsia"/>
                <w:color w:val="auto"/>
              </w:rPr>
              <w:t xml:space="preserve"> 项目污染防治分区及措施</w:t>
            </w:r>
          </w:p>
          <w:tbl>
            <w:tblPr>
              <w:tblStyle w:val="7"/>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361"/>
              <w:gridCol w:w="2891"/>
              <w:gridCol w:w="3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5"/>
                    <w:keepLines w:val="0"/>
                    <w:pageBreakBefore w:val="0"/>
                    <w:kinsoku/>
                    <w:wordWrap/>
                    <w:bidi w:val="0"/>
                    <w:adjustRightInd w:val="0"/>
                    <w:snapToGrid w:val="0"/>
                    <w:textAlignment w:val="auto"/>
                    <w:rPr>
                      <w:color w:val="auto"/>
                    </w:rPr>
                  </w:pPr>
                  <w:r>
                    <w:rPr>
                      <w:color w:val="auto"/>
                    </w:rPr>
                    <w:t>序号</w:t>
                  </w:r>
                </w:p>
              </w:tc>
              <w:tc>
                <w:tcPr>
                  <w:tcW w:w="1361" w:type="dxa"/>
                  <w:noWrap w:val="0"/>
                  <w:vAlign w:val="center"/>
                </w:tcPr>
                <w:p>
                  <w:pPr>
                    <w:pStyle w:val="15"/>
                    <w:keepLines w:val="0"/>
                    <w:pageBreakBefore w:val="0"/>
                    <w:kinsoku/>
                    <w:wordWrap/>
                    <w:bidi w:val="0"/>
                    <w:adjustRightInd w:val="0"/>
                    <w:snapToGrid w:val="0"/>
                    <w:textAlignment w:val="auto"/>
                    <w:rPr>
                      <w:color w:val="auto"/>
                    </w:rPr>
                  </w:pPr>
                  <w:r>
                    <w:rPr>
                      <w:color w:val="auto"/>
                    </w:rPr>
                    <w:t>防渗区</w:t>
                  </w:r>
                </w:p>
              </w:tc>
              <w:tc>
                <w:tcPr>
                  <w:tcW w:w="2891" w:type="dxa"/>
                  <w:noWrap w:val="0"/>
                  <w:vAlign w:val="center"/>
                </w:tcPr>
                <w:p>
                  <w:pPr>
                    <w:pStyle w:val="15"/>
                    <w:keepLines w:val="0"/>
                    <w:pageBreakBefore w:val="0"/>
                    <w:kinsoku/>
                    <w:wordWrap/>
                    <w:bidi w:val="0"/>
                    <w:adjustRightInd w:val="0"/>
                    <w:snapToGrid w:val="0"/>
                    <w:textAlignment w:val="auto"/>
                    <w:rPr>
                      <w:color w:val="auto"/>
                    </w:rPr>
                  </w:pPr>
                  <w:r>
                    <w:rPr>
                      <w:color w:val="auto"/>
                    </w:rPr>
                    <w:t>防渗位置</w:t>
                  </w:r>
                </w:p>
              </w:tc>
              <w:tc>
                <w:tcPr>
                  <w:tcW w:w="3742" w:type="dxa"/>
                  <w:noWrap w:val="0"/>
                  <w:vAlign w:val="center"/>
                </w:tcPr>
                <w:p>
                  <w:pPr>
                    <w:pStyle w:val="15"/>
                    <w:keepLines w:val="0"/>
                    <w:pageBreakBefore w:val="0"/>
                    <w:kinsoku/>
                    <w:wordWrap/>
                    <w:bidi w:val="0"/>
                    <w:adjustRightInd w:val="0"/>
                    <w:snapToGrid w:val="0"/>
                    <w:textAlignment w:val="auto"/>
                    <w:rPr>
                      <w:color w:val="auto"/>
                    </w:rPr>
                  </w:pPr>
                  <w:r>
                    <w:rPr>
                      <w:color w:val="auto"/>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1</w:t>
                  </w:r>
                </w:p>
              </w:tc>
              <w:tc>
                <w:tcPr>
                  <w:tcW w:w="1361"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rPr>
                    <w:t>重点防渗区</w:t>
                  </w:r>
                </w:p>
              </w:tc>
              <w:tc>
                <w:tcPr>
                  <w:tcW w:w="2891"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危废暂存间、仓库、无纺布后处理生产区等区域</w:t>
                  </w:r>
                </w:p>
              </w:tc>
              <w:tc>
                <w:tcPr>
                  <w:tcW w:w="3742" w:type="dxa"/>
                  <w:noWrap w:val="0"/>
                  <w:vAlign w:val="center"/>
                </w:tcPr>
                <w:p>
                  <w:pPr>
                    <w:pStyle w:val="13"/>
                    <w:keepLines w:val="0"/>
                    <w:pageBreakBefore w:val="0"/>
                    <w:kinsoku/>
                    <w:wordWrap/>
                    <w:bidi w:val="0"/>
                    <w:adjustRightInd w:val="0"/>
                    <w:snapToGrid w:val="0"/>
                    <w:textAlignment w:val="auto"/>
                    <w:rPr>
                      <w:color w:val="auto"/>
                    </w:rPr>
                  </w:pPr>
                  <w:r>
                    <w:rPr>
                      <w:color w:val="auto"/>
                    </w:rPr>
                    <w:t>等效黏土防渗层Mb≥6.0m</w:t>
                  </w:r>
                  <w:r>
                    <w:rPr>
                      <w:rFonts w:hint="eastAsia"/>
                      <w:color w:val="auto"/>
                    </w:rPr>
                    <w:t>，</w:t>
                  </w:r>
                  <w:r>
                    <w:rPr>
                      <w:color w:val="auto"/>
                    </w:rPr>
                    <w:t>K≤1×10</w:t>
                  </w:r>
                  <w:r>
                    <w:rPr>
                      <w:color w:val="auto"/>
                      <w:vertAlign w:val="superscript"/>
                    </w:rPr>
                    <w:t>-7</w:t>
                  </w:r>
                  <w:r>
                    <w:rPr>
                      <w:color w:val="auto"/>
                    </w:rPr>
                    <w:t>cm/s；或参照GB 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2</w:t>
                  </w:r>
                </w:p>
              </w:tc>
              <w:tc>
                <w:tcPr>
                  <w:tcW w:w="1361"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rPr>
                    <w:t>简单防渗区</w:t>
                  </w:r>
                </w:p>
              </w:tc>
              <w:tc>
                <w:tcPr>
                  <w:tcW w:w="2891"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其他生产区等区域</w:t>
                  </w:r>
                </w:p>
              </w:tc>
              <w:tc>
                <w:tcPr>
                  <w:tcW w:w="3742" w:type="dxa"/>
                  <w:noWrap w:val="0"/>
                  <w:vAlign w:val="center"/>
                </w:tcPr>
                <w:p>
                  <w:pPr>
                    <w:pStyle w:val="13"/>
                    <w:keepLines w:val="0"/>
                    <w:pageBreakBefore w:val="0"/>
                    <w:kinsoku/>
                    <w:wordWrap/>
                    <w:bidi w:val="0"/>
                    <w:adjustRightInd w:val="0"/>
                    <w:snapToGrid w:val="0"/>
                    <w:textAlignment w:val="auto"/>
                    <w:rPr>
                      <w:color w:val="auto"/>
                    </w:rPr>
                  </w:pPr>
                  <w:r>
                    <w:rPr>
                      <w:color w:val="auto"/>
                    </w:rPr>
                    <w:t>等效黏土防渗层Mb≥</w:t>
                  </w:r>
                  <w:r>
                    <w:rPr>
                      <w:rFonts w:hint="eastAsia"/>
                      <w:color w:val="auto"/>
                    </w:rPr>
                    <w:t>1.5</w:t>
                  </w:r>
                  <w:r>
                    <w:rPr>
                      <w:color w:val="auto"/>
                    </w:rPr>
                    <w:t>m</w:t>
                  </w:r>
                  <w:r>
                    <w:rPr>
                      <w:rFonts w:hint="eastAsia"/>
                      <w:color w:val="auto"/>
                    </w:rPr>
                    <w:t>，</w:t>
                  </w:r>
                  <w:r>
                    <w:rPr>
                      <w:color w:val="auto"/>
                    </w:rPr>
                    <w:t>K≤1×10</w:t>
                  </w:r>
                  <w:r>
                    <w:rPr>
                      <w:color w:val="auto"/>
                      <w:vertAlign w:val="superscript"/>
                    </w:rPr>
                    <w:t>-7</w:t>
                  </w:r>
                  <w:r>
                    <w:rPr>
                      <w:color w:val="auto"/>
                    </w:rPr>
                    <w:t>cm/s；或参照GB 1</w:t>
                  </w:r>
                  <w:r>
                    <w:rPr>
                      <w:rFonts w:hint="eastAsia"/>
                      <w:color w:val="auto"/>
                    </w:rPr>
                    <w:t>6889</w:t>
                  </w:r>
                  <w:r>
                    <w:rPr>
                      <w:color w:val="auto"/>
                    </w:rPr>
                    <w:t>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rPr>
                  </w:pPr>
                  <w:r>
                    <w:rPr>
                      <w:rFonts w:hint="eastAsia"/>
                      <w:color w:val="auto"/>
                    </w:rPr>
                    <w:t>3</w:t>
                  </w:r>
                </w:p>
              </w:tc>
              <w:tc>
                <w:tcPr>
                  <w:tcW w:w="1361"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rPr>
                    <w:t>一般防渗区</w:t>
                  </w:r>
                </w:p>
              </w:tc>
              <w:tc>
                <w:tcPr>
                  <w:tcW w:w="2891" w:type="dxa"/>
                  <w:noWrap w:val="0"/>
                  <w:vAlign w:val="center"/>
                </w:tcPr>
                <w:p>
                  <w:pPr>
                    <w:pStyle w:val="13"/>
                    <w:keepLines w:val="0"/>
                    <w:pageBreakBefore w:val="0"/>
                    <w:kinsoku/>
                    <w:wordWrap/>
                    <w:bidi w:val="0"/>
                    <w:adjustRightInd w:val="0"/>
                    <w:snapToGrid w:val="0"/>
                    <w:textAlignment w:val="auto"/>
                    <w:rPr>
                      <w:rFonts w:hint="eastAsia"/>
                      <w:color w:val="auto"/>
                    </w:rPr>
                  </w:pPr>
                  <w:r>
                    <w:rPr>
                      <w:rFonts w:hint="eastAsia"/>
                      <w:color w:val="auto"/>
                    </w:rPr>
                    <w:t>除重点防渗区和一般防渗区以外的其他区域</w:t>
                  </w:r>
                </w:p>
              </w:tc>
              <w:tc>
                <w:tcPr>
                  <w:tcW w:w="3742" w:type="dxa"/>
                  <w:noWrap w:val="0"/>
                  <w:vAlign w:val="center"/>
                </w:tcPr>
                <w:p>
                  <w:pPr>
                    <w:pStyle w:val="13"/>
                    <w:keepLines w:val="0"/>
                    <w:pageBreakBefore w:val="0"/>
                    <w:kinsoku/>
                    <w:wordWrap/>
                    <w:bidi w:val="0"/>
                    <w:adjustRightInd w:val="0"/>
                    <w:snapToGrid w:val="0"/>
                    <w:textAlignment w:val="auto"/>
                    <w:rPr>
                      <w:color w:val="auto"/>
                    </w:rPr>
                  </w:pPr>
                  <w:r>
                    <w:rPr>
                      <w:color w:val="auto"/>
                    </w:rPr>
                    <w:t>一般地面硬化</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rPr>
              <w:t>因此，项目在采取上述措施后，可以有效地避免因泄露导致土壤和地下水污染，对周边环境影响较小。</w:t>
            </w:r>
          </w:p>
          <w:p>
            <w:pPr>
              <w:pStyle w:val="18"/>
              <w:keepLines w:val="0"/>
              <w:pageBreakBefore w:val="0"/>
              <w:kinsoku/>
              <w:wordWrap/>
              <w:bidi w:val="0"/>
              <w:adjustRightInd w:val="0"/>
              <w:snapToGrid w:val="0"/>
              <w:textAlignment w:val="auto"/>
              <w:rPr>
                <w:rFonts w:hint="eastAsia"/>
                <w:color w:val="auto"/>
                <w:lang w:val="en-US" w:eastAsia="zh-CN"/>
              </w:rPr>
            </w:pPr>
            <w:r>
              <w:rPr>
                <w:rFonts w:hint="eastAsia"/>
                <w:color w:val="auto"/>
                <w:lang w:val="en-US" w:eastAsia="zh-CN"/>
              </w:rPr>
              <w:t>4、跟踪监测</w:t>
            </w:r>
          </w:p>
          <w:p>
            <w:pPr>
              <w:pStyle w:val="16"/>
              <w:keepLines w:val="0"/>
              <w:pageBreakBefore w:val="0"/>
              <w:kinsoku/>
              <w:wordWrap/>
              <w:bidi w:val="0"/>
              <w:adjustRightInd w:val="0"/>
              <w:snapToGrid w:val="0"/>
              <w:textAlignment w:val="auto"/>
              <w:rPr>
                <w:rFonts w:hint="eastAsia"/>
                <w:color w:val="auto"/>
                <w:lang w:val="en-US" w:eastAsia="zh-CN"/>
              </w:rPr>
            </w:pPr>
            <w:r>
              <w:rPr>
                <w:rFonts w:hint="eastAsia"/>
                <w:color w:val="auto"/>
              </w:rPr>
              <w:t>在</w:t>
            </w:r>
            <w:r>
              <w:rPr>
                <w:rFonts w:hint="eastAsia"/>
                <w:color w:val="auto"/>
                <w:lang w:eastAsia="zh-CN"/>
              </w:rPr>
              <w:t>落实</w:t>
            </w:r>
            <w:r>
              <w:rPr>
                <w:rFonts w:hint="eastAsia"/>
                <w:color w:val="auto"/>
              </w:rPr>
              <w:t>上述措施后，</w:t>
            </w:r>
            <w:r>
              <w:rPr>
                <w:rFonts w:hint="eastAsia"/>
                <w:color w:val="auto"/>
                <w:lang w:val="en-US" w:eastAsia="zh-CN"/>
              </w:rPr>
              <w:t>项目不需进行地下水、土壤跟踪监测。</w:t>
            </w:r>
          </w:p>
          <w:p>
            <w:pPr>
              <w:pStyle w:val="18"/>
              <w:keepLines w:val="0"/>
              <w:pageBreakBefore w:val="0"/>
              <w:kinsoku/>
              <w:wordWrap/>
              <w:bidi w:val="0"/>
              <w:adjustRightInd w:val="0"/>
              <w:snapToGrid w:val="0"/>
              <w:textAlignment w:val="auto"/>
              <w:rPr>
                <w:rFonts w:hint="eastAsia"/>
                <w:color w:val="auto"/>
              </w:rPr>
            </w:pPr>
            <w:r>
              <w:rPr>
                <w:rFonts w:hint="eastAsia"/>
                <w:color w:val="auto"/>
              </w:rPr>
              <w:t>六、环境风险</w:t>
            </w:r>
          </w:p>
          <w:p>
            <w:pPr>
              <w:pStyle w:val="18"/>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1、</w:t>
            </w:r>
            <w:r>
              <w:rPr>
                <w:rFonts w:hint="eastAsia"/>
                <w:color w:val="auto"/>
                <w:lang w:eastAsia="zh-CN"/>
              </w:rPr>
              <w:t>风险源调查</w:t>
            </w:r>
          </w:p>
          <w:p>
            <w:pPr>
              <w:pStyle w:val="16"/>
              <w:keepLines w:val="0"/>
              <w:pageBreakBefore w:val="0"/>
              <w:kinsoku/>
              <w:wordWrap/>
              <w:bidi w:val="0"/>
              <w:adjustRightInd w:val="0"/>
              <w:snapToGrid w:val="0"/>
              <w:textAlignment w:val="auto"/>
              <w:rPr>
                <w:color w:val="auto"/>
              </w:rPr>
            </w:pPr>
            <w:r>
              <w:rPr>
                <w:rFonts w:hint="eastAsia"/>
                <w:color w:val="auto"/>
              </w:rPr>
              <w:t>根据企业提供资料及分析可知，</w:t>
            </w:r>
            <w:r>
              <w:rPr>
                <w:color w:val="auto"/>
              </w:rPr>
              <w:t>项目生产过程中涉及的环境风险物质为</w:t>
            </w:r>
            <w:r>
              <w:rPr>
                <w:rFonts w:hint="eastAsia"/>
                <w:color w:val="auto"/>
                <w:lang w:eastAsia="zh-CN"/>
              </w:rPr>
              <w:t>天然气（</w:t>
            </w:r>
            <w:r>
              <w:rPr>
                <w:rFonts w:hint="eastAsia"/>
                <w:color w:val="auto"/>
                <w:lang w:val="en-US" w:eastAsia="zh-CN"/>
              </w:rPr>
              <w:t>只存在于</w:t>
            </w:r>
            <w:r>
              <w:rPr>
                <w:rFonts w:hint="eastAsia"/>
                <w:color w:val="auto"/>
                <w:lang w:eastAsia="zh-CN"/>
              </w:rPr>
              <w:t>天然气输送管道</w:t>
            </w:r>
            <w:r>
              <w:rPr>
                <w:rFonts w:hint="eastAsia"/>
                <w:color w:val="auto"/>
                <w:lang w:val="en-US" w:eastAsia="zh-CN"/>
              </w:rPr>
              <w:t>中</w:t>
            </w:r>
            <w:r>
              <w:rPr>
                <w:rFonts w:hint="eastAsia"/>
                <w:color w:val="auto"/>
                <w:lang w:eastAsia="zh-CN"/>
              </w:rPr>
              <w:t>）</w:t>
            </w:r>
            <w:r>
              <w:rPr>
                <w:color w:val="auto"/>
              </w:rPr>
              <w:t>。</w:t>
            </w:r>
          </w:p>
          <w:p>
            <w:pPr>
              <w:pStyle w:val="18"/>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2、</w:t>
            </w:r>
            <w:r>
              <w:rPr>
                <w:rFonts w:hint="eastAsia"/>
                <w:color w:val="auto"/>
                <w:lang w:eastAsia="zh-CN"/>
              </w:rPr>
              <w:t>环境风险潜势初判</w:t>
            </w:r>
          </w:p>
          <w:p>
            <w:pPr>
              <w:pStyle w:val="16"/>
              <w:keepLines w:val="0"/>
              <w:pageBreakBefore w:val="0"/>
              <w:kinsoku/>
              <w:wordWrap/>
              <w:bidi w:val="0"/>
              <w:adjustRightInd w:val="0"/>
              <w:snapToGrid w:val="0"/>
              <w:textAlignment w:val="auto"/>
              <w:rPr>
                <w:color w:val="auto"/>
              </w:rPr>
            </w:pPr>
            <w:r>
              <w:rPr>
                <w:color w:val="auto"/>
              </w:rPr>
              <w:t>根据《建设项目环境风险评价技术导则》</w:t>
            </w:r>
            <w:r>
              <w:rPr>
                <w:rFonts w:hint="eastAsia"/>
                <w:color w:val="auto"/>
              </w:rPr>
              <w:t>（</w:t>
            </w:r>
            <w:r>
              <w:rPr>
                <w:color w:val="auto"/>
              </w:rPr>
              <w:t>HJ 169-2018）附录C1.1，</w:t>
            </w:r>
            <w:r>
              <w:rPr>
                <w:rFonts w:hint="eastAsia"/>
                <w:color w:val="auto"/>
              </w:rPr>
              <w:t>“</w:t>
            </w:r>
            <w:r>
              <w:rPr>
                <w:color w:val="auto"/>
              </w:rPr>
              <w:t>危险物质数量与临界量比值</w:t>
            </w:r>
            <w:r>
              <w:rPr>
                <w:rFonts w:hint="eastAsia"/>
                <w:color w:val="auto"/>
              </w:rPr>
              <w:t>（</w:t>
            </w:r>
            <w:r>
              <w:rPr>
                <w:color w:val="auto"/>
              </w:rPr>
              <w:t>Q）</w:t>
            </w:r>
            <w:r>
              <w:rPr>
                <w:rFonts w:hint="eastAsia"/>
                <w:color w:val="auto"/>
              </w:rPr>
              <w:t>”</w:t>
            </w:r>
            <w:r>
              <w:rPr>
                <w:color w:val="auto"/>
              </w:rPr>
              <w:t>：计算所涉及的每种风险物质在厂界内的最大存在总量与其在附录B中对应临界量的比值Q。在不同厂区的同一种物质，按其在厂界内的最大存在总量计算。</w:t>
            </w:r>
          </w:p>
          <w:p>
            <w:pPr>
              <w:pStyle w:val="16"/>
              <w:keepLines w:val="0"/>
              <w:pageBreakBefore w:val="0"/>
              <w:kinsoku/>
              <w:wordWrap/>
              <w:bidi w:val="0"/>
              <w:adjustRightInd w:val="0"/>
              <w:snapToGrid w:val="0"/>
              <w:textAlignment w:val="auto"/>
              <w:rPr>
                <w:color w:val="auto"/>
              </w:rPr>
            </w:pPr>
            <w:r>
              <w:rPr>
                <w:color w:val="auto"/>
              </w:rPr>
              <w:t>①当只涉及一种危险物质时，计算该物质的总量与其临界量比值，即为Q；</w:t>
            </w:r>
          </w:p>
          <w:p>
            <w:pPr>
              <w:pStyle w:val="16"/>
              <w:keepLines w:val="0"/>
              <w:pageBreakBefore w:val="0"/>
              <w:kinsoku/>
              <w:wordWrap/>
              <w:bidi w:val="0"/>
              <w:adjustRightInd w:val="0"/>
              <w:snapToGrid w:val="0"/>
              <w:textAlignment w:val="auto"/>
              <w:rPr>
                <w:rFonts w:hint="eastAsia"/>
                <w:color w:val="auto"/>
              </w:rPr>
            </w:pPr>
            <w:r>
              <w:rPr>
                <w:color w:val="auto"/>
              </w:rPr>
              <w:t>②当存在多种危险物质时，则按式</w:t>
            </w:r>
            <w:r>
              <w:rPr>
                <w:rFonts w:hint="eastAsia"/>
                <w:color w:val="auto"/>
              </w:rPr>
              <w:t>（</w:t>
            </w:r>
            <w:r>
              <w:rPr>
                <w:color w:val="auto"/>
              </w:rPr>
              <w:t>C.1）计算物质总量与其临界量比值</w:t>
            </w:r>
            <w:r>
              <w:rPr>
                <w:rFonts w:hint="eastAsia"/>
                <w:color w:val="auto"/>
              </w:rPr>
              <w:t>（</w:t>
            </w:r>
            <w:r>
              <w:rPr>
                <w:color w:val="auto"/>
              </w:rPr>
              <w:t>Q）</w:t>
            </w:r>
            <w:r>
              <w:rPr>
                <w:rFonts w:hint="eastAsia"/>
                <w:color w:val="auto"/>
              </w:rPr>
              <w:t>。</w:t>
            </w:r>
          </w:p>
          <w:p>
            <w:pPr>
              <w:pStyle w:val="16"/>
              <w:keepNext w:val="0"/>
              <w:keepLines w:val="0"/>
              <w:pageBreakBefore w:val="0"/>
              <w:widowControl w:val="0"/>
              <w:shd w:val="clear" w:color="auto" w:fill="auto"/>
              <w:kinsoku/>
              <w:wordWrap/>
              <w:overflowPunct/>
              <w:topLinePunct/>
              <w:autoSpaceDE/>
              <w:autoSpaceDN/>
              <w:bidi w:val="0"/>
              <w:adjustRightInd w:val="0"/>
              <w:snapToGrid w:val="0"/>
              <w:ind w:firstLine="0" w:firstLineChars="0"/>
              <w:jc w:val="center"/>
              <w:textAlignment w:val="auto"/>
              <w:rPr>
                <w:rFonts w:ascii="宋体" w:hAnsi="宋体" w:cs="宋体"/>
                <w:bCs/>
                <w:color w:val="auto"/>
                <w:highlight w:val="none"/>
              </w:rPr>
            </w:pPr>
            <w:r>
              <w:rPr>
                <w:rFonts w:ascii="宋体" w:hAnsi="宋体" w:cs="宋体"/>
                <w:bCs/>
                <w:color w:val="auto"/>
                <w:position w:val="-30"/>
                <w:highlight w:val="none"/>
              </w:rPr>
              <w:object>
                <v:shape id="_x0000_i1048" o:spt="75" alt="" type="#_x0000_t75" style="height:36.85pt;width:122.15pt;" o:ole="t" filled="f" o:preferrelative="t" stroked="f" coordsize="21600,21600">
                  <v:path/>
                  <v:fill on="f" focussize="0,0"/>
                  <v:stroke on="f"/>
                  <v:imagedata r:id="rId59" o:title=""/>
                  <o:lock v:ext="edit" aspectratio="t"/>
                  <w10:wrap type="none"/>
                  <w10:anchorlock/>
                </v:shape>
                <o:OLEObject Type="Embed" ProgID="Equation.KSEE3" ShapeID="_x0000_i1048" DrawAspect="Content" ObjectID="_1468075748" r:id="rId58">
                  <o:LockedField>false</o:LockedField>
                </o:OLEObject>
              </w:object>
            </w:r>
          </w:p>
          <w:p>
            <w:pPr>
              <w:pStyle w:val="16"/>
              <w:keepLines w:val="0"/>
              <w:pageBreakBefore w:val="0"/>
              <w:kinsoku/>
              <w:wordWrap/>
              <w:bidi w:val="0"/>
              <w:adjustRightInd w:val="0"/>
              <w:snapToGrid w:val="0"/>
              <w:textAlignment w:val="auto"/>
              <w:rPr>
                <w:color w:val="auto"/>
              </w:rPr>
            </w:pPr>
            <w:r>
              <w:rPr>
                <w:color w:val="auto"/>
              </w:rPr>
              <w:t>式中：q</w:t>
            </w:r>
            <w:r>
              <w:rPr>
                <w:color w:val="auto"/>
                <w:vertAlign w:val="subscript"/>
              </w:rPr>
              <w:t>1</w:t>
            </w:r>
            <w:r>
              <w:rPr>
                <w:color w:val="auto"/>
              </w:rPr>
              <w:t>，q</w:t>
            </w:r>
            <w:r>
              <w:rPr>
                <w:color w:val="auto"/>
                <w:vertAlign w:val="subscript"/>
              </w:rPr>
              <w:t>2</w:t>
            </w:r>
            <w:r>
              <w:rPr>
                <w:rFonts w:hint="eastAsia"/>
                <w:color w:val="auto"/>
              </w:rPr>
              <w:t>…</w:t>
            </w:r>
            <w:r>
              <w:rPr>
                <w:color w:val="auto"/>
              </w:rPr>
              <w:t>q</w:t>
            </w:r>
            <w:r>
              <w:rPr>
                <w:color w:val="auto"/>
                <w:vertAlign w:val="subscript"/>
              </w:rPr>
              <w:t>n</w:t>
            </w:r>
            <w:r>
              <w:rPr>
                <w:color w:val="auto"/>
              </w:rPr>
              <w:t>为每种危险物质最大存在总量，t。</w:t>
            </w:r>
          </w:p>
          <w:p>
            <w:pPr>
              <w:pStyle w:val="16"/>
              <w:keepNext w:val="0"/>
              <w:keepLines w:val="0"/>
              <w:pageBreakBefore w:val="0"/>
              <w:widowControl w:val="0"/>
              <w:kinsoku/>
              <w:wordWrap/>
              <w:overflowPunct/>
              <w:topLinePunct w:val="0"/>
              <w:autoSpaceDE/>
              <w:autoSpaceDN/>
              <w:bidi w:val="0"/>
              <w:adjustRightInd w:val="0"/>
              <w:snapToGrid w:val="0"/>
              <w:spacing w:before="157" w:beforeLines="50"/>
              <w:ind w:firstLine="1200" w:firstLineChars="500"/>
              <w:textAlignment w:val="auto"/>
              <w:rPr>
                <w:color w:val="auto"/>
              </w:rPr>
            </w:pPr>
            <w:r>
              <w:rPr>
                <w:color w:val="auto"/>
              </w:rPr>
              <w:t>Q</w:t>
            </w:r>
            <w:r>
              <w:rPr>
                <w:color w:val="auto"/>
                <w:vertAlign w:val="subscript"/>
              </w:rPr>
              <w:t>1</w:t>
            </w:r>
            <w:r>
              <w:rPr>
                <w:color w:val="auto"/>
              </w:rPr>
              <w:t>，Q</w:t>
            </w:r>
            <w:r>
              <w:rPr>
                <w:color w:val="auto"/>
                <w:vertAlign w:val="subscript"/>
              </w:rPr>
              <w:t>2</w:t>
            </w:r>
            <w:r>
              <w:rPr>
                <w:rFonts w:hint="eastAsia"/>
                <w:color w:val="auto"/>
              </w:rPr>
              <w:t>…</w:t>
            </w:r>
            <w:r>
              <w:rPr>
                <w:color w:val="auto"/>
              </w:rPr>
              <w:t>Q</w:t>
            </w:r>
            <w:r>
              <w:rPr>
                <w:color w:val="auto"/>
                <w:vertAlign w:val="subscript"/>
              </w:rPr>
              <w:t>n</w:t>
            </w:r>
            <w:r>
              <w:rPr>
                <w:color w:val="auto"/>
              </w:rPr>
              <w:t>为每种危险物质的临界量，t。</w:t>
            </w:r>
          </w:p>
          <w:p>
            <w:pPr>
              <w:pStyle w:val="16"/>
              <w:keepLines w:val="0"/>
              <w:pageBreakBefore w:val="0"/>
              <w:kinsoku/>
              <w:wordWrap/>
              <w:bidi w:val="0"/>
              <w:adjustRightInd w:val="0"/>
              <w:snapToGrid w:val="0"/>
              <w:textAlignment w:val="auto"/>
              <w:rPr>
                <w:color w:val="auto"/>
              </w:rPr>
            </w:pPr>
            <w:r>
              <w:rPr>
                <w:color w:val="auto"/>
              </w:rPr>
              <w:t>当Q＜1时，该项目环境风险潜势为I；</w:t>
            </w:r>
          </w:p>
          <w:p>
            <w:pPr>
              <w:pStyle w:val="16"/>
              <w:keepLines w:val="0"/>
              <w:pageBreakBefore w:val="0"/>
              <w:kinsoku/>
              <w:wordWrap/>
              <w:bidi w:val="0"/>
              <w:adjustRightInd w:val="0"/>
              <w:snapToGrid w:val="0"/>
              <w:textAlignment w:val="auto"/>
              <w:rPr>
                <w:rFonts w:hint="default"/>
                <w:color w:val="auto"/>
              </w:rPr>
            </w:pPr>
            <w:r>
              <w:rPr>
                <w:rFonts w:hint="default"/>
                <w:color w:val="auto"/>
              </w:rPr>
              <w:t>当Q≥1时，将Q值划分为</w:t>
            </w:r>
            <w:r>
              <w:rPr>
                <w:rFonts w:hint="default"/>
                <w:color w:val="auto"/>
                <w:lang w:eastAsia="zh-CN"/>
              </w:rPr>
              <w:t>：</w:t>
            </w:r>
            <w:r>
              <w:rPr>
                <w:rFonts w:hint="default"/>
                <w:color w:val="auto"/>
              </w:rPr>
              <w:t>（1）1≤Q＜10；（2）10≤Q＜100；（3）Q≥100。</w:t>
            </w:r>
          </w:p>
          <w:p>
            <w:pPr>
              <w:pStyle w:val="16"/>
              <w:keepLines w:val="0"/>
              <w:pageBreakBefore w:val="0"/>
              <w:kinsoku/>
              <w:wordWrap/>
              <w:bidi w:val="0"/>
              <w:adjustRightInd w:val="0"/>
              <w:snapToGrid w:val="0"/>
              <w:textAlignment w:val="auto"/>
              <w:rPr>
                <w:rFonts w:hint="default"/>
                <w:color w:val="auto"/>
                <w:lang w:val="en-US" w:eastAsia="zh-CN"/>
              </w:rPr>
            </w:pPr>
            <w:r>
              <w:rPr>
                <w:rFonts w:hint="eastAsia"/>
                <w:color w:val="auto"/>
                <w:lang w:val="en-US" w:eastAsia="zh-CN"/>
              </w:rPr>
              <w:t>项目</w:t>
            </w:r>
            <w:r>
              <w:rPr>
                <w:rFonts w:hint="eastAsia"/>
                <w:color w:val="auto"/>
              </w:rPr>
              <w:t>危险物质量与临界量比值</w:t>
            </w:r>
            <w:r>
              <w:rPr>
                <w:rFonts w:hint="eastAsia"/>
                <w:color w:val="auto"/>
                <w:lang w:val="en-US" w:eastAsia="zh-CN"/>
              </w:rPr>
              <w:t>的计算结果，见下表。</w:t>
            </w:r>
          </w:p>
          <w:p>
            <w:pPr>
              <w:pStyle w:val="11"/>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rPr>
              <w:t>表4-</w:t>
            </w:r>
            <w:r>
              <w:rPr>
                <w:rFonts w:hint="eastAsia"/>
                <w:color w:val="auto"/>
                <w:lang w:val="en-US" w:eastAsia="zh-CN"/>
              </w:rPr>
              <w:t>20</w:t>
            </w:r>
            <w:r>
              <w:rPr>
                <w:rFonts w:hint="eastAsia"/>
                <w:color w:val="auto"/>
              </w:rPr>
              <w:t xml:space="preserve"> 危险物质量与临界量比值</w:t>
            </w:r>
          </w:p>
          <w:tbl>
            <w:tblPr>
              <w:tblStyle w:val="7"/>
              <w:tblW w:w="86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1247"/>
              <w:gridCol w:w="1531"/>
              <w:gridCol w:w="1644"/>
              <w:gridCol w:w="1247"/>
              <w:gridCol w:w="1247"/>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序号</w:t>
                  </w:r>
                </w:p>
              </w:tc>
              <w:tc>
                <w:tcPr>
                  <w:tcW w:w="1247"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color w:val="auto"/>
                      <w:sz w:val="21"/>
                      <w:szCs w:val="21"/>
                    </w:rPr>
                    <w:t>存储位置</w:t>
                  </w:r>
                </w:p>
              </w:tc>
              <w:tc>
                <w:tcPr>
                  <w:tcW w:w="1531"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风险物质</w:t>
                  </w:r>
                </w:p>
              </w:tc>
              <w:tc>
                <w:tcPr>
                  <w:tcW w:w="1644"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最大储存量</w:t>
                  </w:r>
                  <w:r>
                    <w:rPr>
                      <w:color w:val="auto"/>
                      <w:sz w:val="21"/>
                      <w:szCs w:val="21"/>
                    </w:rPr>
                    <w:t>（</w:t>
                  </w:r>
                  <w:r>
                    <w:rPr>
                      <w:rFonts w:hint="default"/>
                      <w:color w:val="auto"/>
                      <w:sz w:val="21"/>
                      <w:szCs w:val="21"/>
                    </w:rPr>
                    <w:t>t）</w:t>
                  </w:r>
                </w:p>
              </w:tc>
              <w:tc>
                <w:tcPr>
                  <w:tcW w:w="1247"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折算量</w:t>
                  </w:r>
                  <w:r>
                    <w:rPr>
                      <w:color w:val="auto"/>
                      <w:sz w:val="21"/>
                      <w:szCs w:val="21"/>
                    </w:rPr>
                    <w:t>（</w:t>
                  </w:r>
                  <w:r>
                    <w:rPr>
                      <w:rFonts w:hint="default"/>
                      <w:color w:val="auto"/>
                      <w:sz w:val="21"/>
                      <w:szCs w:val="21"/>
                    </w:rPr>
                    <w:t>t）</w:t>
                  </w:r>
                </w:p>
              </w:tc>
              <w:tc>
                <w:tcPr>
                  <w:tcW w:w="1247"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临界量</w:t>
                  </w:r>
                  <w:r>
                    <w:rPr>
                      <w:color w:val="auto"/>
                      <w:sz w:val="21"/>
                      <w:szCs w:val="21"/>
                    </w:rPr>
                    <w:t>（</w:t>
                  </w:r>
                  <w:r>
                    <w:rPr>
                      <w:rFonts w:hint="default"/>
                      <w:color w:val="auto"/>
                      <w:sz w:val="21"/>
                      <w:szCs w:val="21"/>
                    </w:rPr>
                    <w:t>t）</w:t>
                  </w:r>
                </w:p>
              </w:tc>
              <w:tc>
                <w:tcPr>
                  <w:tcW w:w="102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w:t>
                  </w:r>
                </w:p>
              </w:tc>
              <w:tc>
                <w:tcPr>
                  <w:tcW w:w="1247"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输送管道</w:t>
                  </w:r>
                </w:p>
              </w:tc>
              <w:tc>
                <w:tcPr>
                  <w:tcW w:w="1531"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eastAsia="zh-CN"/>
                    </w:rPr>
                  </w:pPr>
                  <w:r>
                    <w:rPr>
                      <w:rFonts w:hint="eastAsia"/>
                      <w:color w:val="auto"/>
                      <w:sz w:val="21"/>
                      <w:szCs w:val="21"/>
                      <w:lang w:eastAsia="zh-CN"/>
                    </w:rPr>
                    <w:t>天然气（甲烷）</w:t>
                  </w:r>
                </w:p>
              </w:tc>
              <w:tc>
                <w:tcPr>
                  <w:tcW w:w="164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0.0003</w:t>
                  </w:r>
                </w:p>
              </w:tc>
              <w:tc>
                <w:tcPr>
                  <w:tcW w:w="1247"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0.0003</w:t>
                  </w:r>
                </w:p>
              </w:tc>
              <w:tc>
                <w:tcPr>
                  <w:tcW w:w="1247"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10</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rPr>
                  </w:pPr>
                  <w:r>
                    <w:rPr>
                      <w:rFonts w:hint="eastAsia"/>
                      <w:color w:val="auto"/>
                      <w:sz w:val="21"/>
                      <w:szCs w:val="21"/>
                      <w:lang w:val="en-US" w:eastAsia="zh-CN"/>
                    </w:rPr>
                    <w:t>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合计</w:t>
                  </w:r>
                </w:p>
              </w:tc>
              <w:tc>
                <w:tcPr>
                  <w:tcW w:w="1247"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531"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644"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247"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247" w:type="dxa"/>
                  <w:noWrap w:val="0"/>
                  <w:vAlign w:val="center"/>
                </w:tcPr>
                <w:p>
                  <w:pPr>
                    <w:pStyle w:val="13"/>
                    <w:keepLines w:val="0"/>
                    <w:pageBreakBefore w:val="0"/>
                    <w:kinsoku/>
                    <w:wordWrap/>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02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rPr>
                  </w:pPr>
                  <w:r>
                    <w:rPr>
                      <w:rFonts w:hint="eastAsia"/>
                      <w:color w:val="auto"/>
                      <w:sz w:val="21"/>
                      <w:szCs w:val="21"/>
                      <w:lang w:val="en-US" w:eastAsia="zh-CN"/>
                    </w:rPr>
                    <w:t>0.00003</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highlight w:val="none"/>
              </w:rPr>
            </w:pPr>
            <w:r>
              <w:rPr>
                <w:rFonts w:hint="eastAsia"/>
                <w:color w:val="auto"/>
              </w:rPr>
              <w:t>注：天然气（甲烷）的临界量为10t</w:t>
            </w:r>
            <w:r>
              <w:rPr>
                <w:rFonts w:hint="eastAsia"/>
                <w:color w:val="auto"/>
                <w:lang w:eastAsia="zh-CN"/>
              </w:rPr>
              <w:t>，厂区内天然气管道长</w:t>
            </w:r>
            <w:r>
              <w:rPr>
                <w:rFonts w:hint="eastAsia"/>
                <w:color w:val="auto"/>
                <w:lang w:val="en-US" w:eastAsia="zh-CN"/>
              </w:rPr>
              <w:t>度按300m计，管道直径按0.04m计，经计算输送管道体积约为0.377m³，天然气密度为0.7174kg/m³，则输送管道中天然气暂存量约为0.0003t</w:t>
            </w:r>
            <w:r>
              <w:rPr>
                <w:rFonts w:hint="eastAsia"/>
                <w:color w:val="auto"/>
              </w:rPr>
              <w:t>。</w:t>
            </w:r>
          </w:p>
          <w:p>
            <w:pPr>
              <w:pStyle w:val="16"/>
              <w:bidi w:val="0"/>
              <w:rPr>
                <w:color w:val="auto"/>
              </w:rPr>
            </w:pPr>
            <w:r>
              <w:rPr>
                <w:rFonts w:hint="eastAsia"/>
                <w:color w:val="auto"/>
              </w:rPr>
              <w:t>根据上表可知，</w:t>
            </w:r>
            <w:r>
              <w:rPr>
                <w:color w:val="auto"/>
              </w:rPr>
              <w:t>项目涉及的危险物质量与临界量的比值Q=</w:t>
            </w:r>
            <w:r>
              <w:rPr>
                <w:rFonts w:hint="eastAsia"/>
                <w:color w:val="auto"/>
                <w:lang w:val="en-US" w:eastAsia="zh-CN"/>
              </w:rPr>
              <w:t>0.00003</w:t>
            </w:r>
            <w:r>
              <w:rPr>
                <w:color w:val="auto"/>
              </w:rPr>
              <w:t>＜1，项目环境风险潜势为I。风险评价工作级别为简单分析，只对事故风险影响进行简要分析，提出防范、减缓和应急措施。</w:t>
            </w:r>
          </w:p>
          <w:p>
            <w:pPr>
              <w:pStyle w:val="11"/>
              <w:bidi w:val="0"/>
              <w:rPr>
                <w:color w:val="auto"/>
              </w:rPr>
            </w:pPr>
            <w:r>
              <w:rPr>
                <w:rFonts w:hint="eastAsia"/>
                <w:color w:val="auto"/>
              </w:rPr>
              <w:t>表4-2</w:t>
            </w:r>
            <w:r>
              <w:rPr>
                <w:rFonts w:hint="eastAsia"/>
                <w:color w:val="auto"/>
                <w:lang w:val="en-US" w:eastAsia="zh-CN"/>
              </w:rPr>
              <w:t>1</w:t>
            </w:r>
            <w:r>
              <w:rPr>
                <w:rFonts w:hint="eastAsia"/>
                <w:color w:val="auto"/>
              </w:rPr>
              <w:t xml:space="preserve"> 建设项目环境风险简单分析内容表</w:t>
            </w:r>
          </w:p>
          <w:tbl>
            <w:tblPr>
              <w:tblStyle w:val="7"/>
              <w:tblW w:w="86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2948"/>
              <w:gridCol w:w="1125"/>
              <w:gridCol w:w="1725"/>
              <w:gridCol w:w="1200"/>
              <w:gridCol w:w="1616"/>
              <w:gridCol w:w="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948" w:type="dxa"/>
                  <w:noWrap w:val="0"/>
                  <w:vAlign w:val="center"/>
                </w:tcPr>
                <w:p>
                  <w:pPr>
                    <w:pStyle w:val="15"/>
                    <w:keepLines w:val="0"/>
                    <w:pageBreakBefore w:val="0"/>
                    <w:kinsoku/>
                    <w:wordWrap/>
                    <w:bidi w:val="0"/>
                    <w:adjustRightInd w:val="0"/>
                    <w:snapToGrid w:val="0"/>
                    <w:textAlignment w:val="auto"/>
                    <w:rPr>
                      <w:color w:val="auto"/>
                    </w:rPr>
                  </w:pPr>
                  <w:r>
                    <w:rPr>
                      <w:color w:val="auto"/>
                    </w:rPr>
                    <w:t>建设项目名称</w:t>
                  </w:r>
                </w:p>
              </w:tc>
              <w:tc>
                <w:tcPr>
                  <w:tcW w:w="5668" w:type="dxa"/>
                  <w:gridSpan w:val="5"/>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年产1000万平米滤清器过滤材料扩建项目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2" w:type="dxa"/>
                <w:trHeight w:val="454" w:hRule="atLeast"/>
                <w:jc w:val="center"/>
              </w:trPr>
              <w:tc>
                <w:tcPr>
                  <w:tcW w:w="2948" w:type="dxa"/>
                  <w:noWrap w:val="0"/>
                  <w:vAlign w:val="center"/>
                </w:tcPr>
                <w:p>
                  <w:pPr>
                    <w:pStyle w:val="15"/>
                    <w:keepLines w:val="0"/>
                    <w:pageBreakBefore w:val="0"/>
                    <w:kinsoku/>
                    <w:wordWrap/>
                    <w:bidi w:val="0"/>
                    <w:adjustRightInd w:val="0"/>
                    <w:snapToGrid w:val="0"/>
                    <w:textAlignment w:val="auto"/>
                    <w:rPr>
                      <w:color w:val="auto"/>
                    </w:rPr>
                  </w:pPr>
                  <w:r>
                    <w:rPr>
                      <w:color w:val="auto"/>
                    </w:rPr>
                    <w:t>建设地点</w:t>
                  </w:r>
                </w:p>
              </w:tc>
              <w:tc>
                <w:tcPr>
                  <w:tcW w:w="1125" w:type="dxa"/>
                  <w:noWrap w:val="0"/>
                  <w:vAlign w:val="center"/>
                </w:tcPr>
                <w:p>
                  <w:pPr>
                    <w:pStyle w:val="13"/>
                    <w:keepLines w:val="0"/>
                    <w:pageBreakBefore w:val="0"/>
                    <w:kinsoku/>
                    <w:wordWrap/>
                    <w:bidi w:val="0"/>
                    <w:adjustRightInd w:val="0"/>
                    <w:snapToGrid w:val="0"/>
                    <w:textAlignment w:val="auto"/>
                    <w:rPr>
                      <w:color w:val="auto"/>
                    </w:rPr>
                  </w:pPr>
                  <w:r>
                    <w:rPr>
                      <w:color w:val="auto"/>
                    </w:rPr>
                    <w:t>安徽省</w:t>
                  </w:r>
                </w:p>
              </w:tc>
              <w:tc>
                <w:tcPr>
                  <w:tcW w:w="1725"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蚌埠市</w:t>
                  </w:r>
                </w:p>
              </w:tc>
              <w:tc>
                <w:tcPr>
                  <w:tcW w:w="1200"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eastAsia="zh-CN"/>
                    </w:rPr>
                    <w:t>怀远县</w:t>
                  </w:r>
                </w:p>
              </w:tc>
              <w:tc>
                <w:tcPr>
                  <w:tcW w:w="1616" w:type="dxa"/>
                  <w:noWrap w:val="0"/>
                  <w:vAlign w:val="center"/>
                </w:tcPr>
                <w:p>
                  <w:pPr>
                    <w:pStyle w:val="13"/>
                    <w:keepLines w:val="0"/>
                    <w:pageBreakBefore w:val="0"/>
                    <w:kinsoku/>
                    <w:wordWrap/>
                    <w:bidi w:val="0"/>
                    <w:adjustRightInd w:val="0"/>
                    <w:snapToGrid w:val="0"/>
                    <w:textAlignment w:val="auto"/>
                    <w:rPr>
                      <w:rFonts w:hint="eastAsia"/>
                      <w:color w:val="auto"/>
                      <w:lang w:eastAsia="zh-CN"/>
                    </w:rPr>
                  </w:pPr>
                  <w:r>
                    <w:rPr>
                      <w:rFonts w:hint="eastAsia"/>
                      <w:color w:val="auto"/>
                      <w:lang w:val="en-US" w:eastAsia="zh-CN"/>
                    </w:rPr>
                    <w:t>经济开发区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gridAfter w:val="1"/>
                <w:wAfter w:w="2" w:type="dxa"/>
                <w:trHeight w:val="454" w:hRule="atLeast"/>
                <w:jc w:val="center"/>
              </w:trPr>
              <w:tc>
                <w:tcPr>
                  <w:tcW w:w="2948" w:type="dxa"/>
                  <w:noWrap w:val="0"/>
                  <w:vAlign w:val="center"/>
                </w:tcPr>
                <w:p>
                  <w:pPr>
                    <w:pStyle w:val="15"/>
                    <w:keepLines w:val="0"/>
                    <w:pageBreakBefore w:val="0"/>
                    <w:kinsoku/>
                    <w:wordWrap/>
                    <w:bidi w:val="0"/>
                    <w:adjustRightInd w:val="0"/>
                    <w:snapToGrid w:val="0"/>
                    <w:textAlignment w:val="auto"/>
                    <w:rPr>
                      <w:color w:val="auto"/>
                    </w:rPr>
                  </w:pPr>
                  <w:r>
                    <w:rPr>
                      <w:color w:val="auto"/>
                    </w:rPr>
                    <w:t>地理坐标</w:t>
                  </w:r>
                </w:p>
              </w:tc>
              <w:tc>
                <w:tcPr>
                  <w:tcW w:w="1125" w:type="dxa"/>
                  <w:noWrap w:val="0"/>
                  <w:vAlign w:val="center"/>
                </w:tcPr>
                <w:p>
                  <w:pPr>
                    <w:pStyle w:val="13"/>
                    <w:keepLines w:val="0"/>
                    <w:pageBreakBefore w:val="0"/>
                    <w:kinsoku/>
                    <w:wordWrap/>
                    <w:bidi w:val="0"/>
                    <w:adjustRightInd w:val="0"/>
                    <w:snapToGrid w:val="0"/>
                    <w:textAlignment w:val="auto"/>
                    <w:rPr>
                      <w:color w:val="auto"/>
                    </w:rPr>
                  </w:pPr>
                  <w:r>
                    <w:rPr>
                      <w:color w:val="auto"/>
                    </w:rPr>
                    <w:t>经度</w:t>
                  </w:r>
                </w:p>
              </w:tc>
              <w:tc>
                <w:tcPr>
                  <w:tcW w:w="1725" w:type="dxa"/>
                  <w:noWrap w:val="0"/>
                  <w:vAlign w:val="center"/>
                </w:tcPr>
                <w:p>
                  <w:pPr>
                    <w:pStyle w:val="13"/>
                    <w:keepLines w:val="0"/>
                    <w:pageBreakBefore w:val="0"/>
                    <w:kinsoku/>
                    <w:wordWrap/>
                    <w:bidi w:val="0"/>
                    <w:adjustRightInd w:val="0"/>
                    <w:snapToGrid w:val="0"/>
                    <w:textAlignment w:val="auto"/>
                    <w:rPr>
                      <w:rFonts w:hint="eastAsia" w:eastAsia="宋体"/>
                      <w:color w:val="auto"/>
                      <w:lang w:eastAsia="zh-CN"/>
                    </w:rPr>
                  </w:pPr>
                  <w:r>
                    <w:rPr>
                      <w:rFonts w:hint="eastAsia"/>
                      <w:color w:val="auto"/>
                      <w:lang w:eastAsia="zh-CN"/>
                    </w:rPr>
                    <w:t>117.249937015</w:t>
                  </w:r>
                </w:p>
              </w:tc>
              <w:tc>
                <w:tcPr>
                  <w:tcW w:w="1200" w:type="dxa"/>
                  <w:noWrap w:val="0"/>
                  <w:vAlign w:val="center"/>
                </w:tcPr>
                <w:p>
                  <w:pPr>
                    <w:pStyle w:val="13"/>
                    <w:keepLines w:val="0"/>
                    <w:pageBreakBefore w:val="0"/>
                    <w:kinsoku/>
                    <w:wordWrap/>
                    <w:bidi w:val="0"/>
                    <w:adjustRightInd w:val="0"/>
                    <w:snapToGrid w:val="0"/>
                    <w:textAlignment w:val="auto"/>
                    <w:rPr>
                      <w:color w:val="auto"/>
                    </w:rPr>
                  </w:pPr>
                  <w:r>
                    <w:rPr>
                      <w:color w:val="auto"/>
                    </w:rPr>
                    <w:t>纬度</w:t>
                  </w:r>
                </w:p>
              </w:tc>
              <w:tc>
                <w:tcPr>
                  <w:tcW w:w="1616" w:type="dxa"/>
                  <w:noWrap w:val="0"/>
                  <w:vAlign w:val="center"/>
                </w:tcPr>
                <w:p>
                  <w:pPr>
                    <w:pStyle w:val="13"/>
                    <w:keepLines w:val="0"/>
                    <w:pageBreakBefore w:val="0"/>
                    <w:kinsoku/>
                    <w:wordWrap/>
                    <w:bidi w:val="0"/>
                    <w:adjustRightInd w:val="0"/>
                    <w:snapToGrid w:val="0"/>
                    <w:textAlignment w:val="auto"/>
                    <w:rPr>
                      <w:rFonts w:hint="eastAsia" w:eastAsia="宋体"/>
                      <w:color w:val="auto"/>
                      <w:lang w:eastAsia="zh-CN"/>
                    </w:rPr>
                  </w:pPr>
                  <w:r>
                    <w:rPr>
                      <w:rFonts w:hint="eastAsia"/>
                      <w:color w:val="auto"/>
                      <w:lang w:eastAsia="zh-CN"/>
                    </w:rPr>
                    <w:t>32.983979442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2948" w:type="dxa"/>
                  <w:noWrap w:val="0"/>
                  <w:vAlign w:val="center"/>
                </w:tcPr>
                <w:p>
                  <w:pPr>
                    <w:pStyle w:val="15"/>
                    <w:keepLines w:val="0"/>
                    <w:pageBreakBefore w:val="0"/>
                    <w:kinsoku/>
                    <w:wordWrap/>
                    <w:bidi w:val="0"/>
                    <w:adjustRightInd w:val="0"/>
                    <w:snapToGrid w:val="0"/>
                    <w:textAlignment w:val="auto"/>
                    <w:rPr>
                      <w:color w:val="auto"/>
                    </w:rPr>
                  </w:pPr>
                  <w:r>
                    <w:rPr>
                      <w:color w:val="auto"/>
                    </w:rPr>
                    <w:t>主要危险物质及分布</w:t>
                  </w:r>
                </w:p>
              </w:tc>
              <w:tc>
                <w:tcPr>
                  <w:tcW w:w="5668" w:type="dxa"/>
                  <w:gridSpan w:val="5"/>
                  <w:noWrap w:val="0"/>
                  <w:vAlign w:val="center"/>
                </w:tcPr>
                <w:p>
                  <w:pPr>
                    <w:pStyle w:val="13"/>
                    <w:keepLines w:val="0"/>
                    <w:pageBreakBefore w:val="0"/>
                    <w:kinsoku/>
                    <w:wordWrap/>
                    <w:bidi w:val="0"/>
                    <w:adjustRightInd w:val="0"/>
                    <w:snapToGrid w:val="0"/>
                    <w:textAlignment w:val="auto"/>
                    <w:rPr>
                      <w:rFonts w:hint="default"/>
                      <w:color w:val="auto"/>
                      <w:lang w:val="en-US"/>
                    </w:rPr>
                  </w:pPr>
                  <w:r>
                    <w:rPr>
                      <w:rFonts w:hint="eastAsia"/>
                      <w:color w:val="auto"/>
                      <w:lang w:eastAsia="zh-CN"/>
                    </w:rPr>
                    <w:t>天然气</w:t>
                  </w:r>
                  <w:r>
                    <w:rPr>
                      <w:rFonts w:hint="eastAsia"/>
                      <w:color w:val="auto"/>
                    </w:rPr>
                    <w:t>--</w:t>
                  </w:r>
                  <w:r>
                    <w:rPr>
                      <w:color w:val="auto"/>
                    </w:rPr>
                    <w:t>分布于</w:t>
                  </w:r>
                  <w:r>
                    <w:rPr>
                      <w:rFonts w:hint="eastAsia"/>
                      <w:color w:val="auto"/>
                      <w:lang w:eastAsia="zh-CN"/>
                    </w:rPr>
                    <w:t>天然气</w:t>
                  </w:r>
                  <w:r>
                    <w:rPr>
                      <w:rFonts w:hint="eastAsia"/>
                      <w:color w:val="auto"/>
                      <w:lang w:val="en-US" w:eastAsia="zh-CN"/>
                    </w:rPr>
                    <w:t>输送</w:t>
                  </w:r>
                  <w:r>
                    <w:rPr>
                      <w:rFonts w:hint="eastAsia"/>
                      <w:color w:val="auto"/>
                      <w:lang w:eastAsia="zh-CN"/>
                    </w:rPr>
                    <w:t>管道</w:t>
                  </w:r>
                  <w:r>
                    <w:rPr>
                      <w:rFonts w:hint="eastAsia"/>
                      <w:color w:val="auto"/>
                      <w:lang w:val="en-US" w:eastAsia="zh-CN"/>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737" w:hRule="atLeast"/>
                <w:jc w:val="center"/>
              </w:trPr>
              <w:tc>
                <w:tcPr>
                  <w:tcW w:w="2948" w:type="dxa"/>
                  <w:noWrap w:val="0"/>
                  <w:vAlign w:val="center"/>
                </w:tcPr>
                <w:p>
                  <w:pPr>
                    <w:pStyle w:val="15"/>
                    <w:keepLines w:val="0"/>
                    <w:pageBreakBefore w:val="0"/>
                    <w:kinsoku/>
                    <w:wordWrap/>
                    <w:bidi w:val="0"/>
                    <w:adjustRightInd w:val="0"/>
                    <w:snapToGrid w:val="0"/>
                    <w:textAlignment w:val="auto"/>
                    <w:rPr>
                      <w:color w:val="auto"/>
                    </w:rPr>
                  </w:pPr>
                  <w:r>
                    <w:rPr>
                      <w:color w:val="auto"/>
                    </w:rPr>
                    <w:t>环境影响途径及危害后果</w:t>
                  </w:r>
                </w:p>
                <w:p>
                  <w:pPr>
                    <w:pStyle w:val="15"/>
                    <w:keepLines w:val="0"/>
                    <w:pageBreakBefore w:val="0"/>
                    <w:kinsoku/>
                    <w:wordWrap/>
                    <w:bidi w:val="0"/>
                    <w:adjustRightInd w:val="0"/>
                    <w:snapToGrid w:val="0"/>
                    <w:textAlignment w:val="auto"/>
                    <w:rPr>
                      <w:color w:val="auto"/>
                    </w:rPr>
                  </w:pPr>
                  <w:r>
                    <w:rPr>
                      <w:rFonts w:hint="eastAsia"/>
                      <w:color w:val="auto"/>
                    </w:rPr>
                    <w:t>（</w:t>
                  </w:r>
                  <w:r>
                    <w:rPr>
                      <w:color w:val="auto"/>
                    </w:rPr>
                    <w:t>大气、地表水、地下水等）</w:t>
                  </w:r>
                </w:p>
              </w:tc>
              <w:tc>
                <w:tcPr>
                  <w:tcW w:w="5668" w:type="dxa"/>
                  <w:gridSpan w:val="5"/>
                  <w:noWrap w:val="0"/>
                  <w:vAlign w:val="center"/>
                </w:tcPr>
                <w:p>
                  <w:pPr>
                    <w:pStyle w:val="13"/>
                    <w:keepLines w:val="0"/>
                    <w:pageBreakBefore w:val="0"/>
                    <w:kinsoku/>
                    <w:wordWrap/>
                    <w:bidi w:val="0"/>
                    <w:adjustRightInd w:val="0"/>
                    <w:snapToGrid w:val="0"/>
                    <w:textAlignment w:val="auto"/>
                    <w:rPr>
                      <w:color w:val="auto"/>
                    </w:rPr>
                  </w:pPr>
                  <w:r>
                    <w:rPr>
                      <w:rFonts w:hint="default"/>
                      <w:color w:val="auto"/>
                      <w:lang w:eastAsia="zh-CN"/>
                    </w:rPr>
                    <w:t>天然气</w:t>
                  </w:r>
                  <w:r>
                    <w:rPr>
                      <w:rFonts w:hint="default"/>
                      <w:color w:val="auto"/>
                    </w:rPr>
                    <w:t>发生泄漏时</w:t>
                  </w:r>
                  <w:r>
                    <w:rPr>
                      <w:rFonts w:hint="default"/>
                      <w:color w:val="auto"/>
                      <w:lang w:eastAsia="zh-CN"/>
                    </w:rPr>
                    <w:t>遇</w:t>
                  </w:r>
                  <w:r>
                    <w:rPr>
                      <w:rFonts w:hint="eastAsia"/>
                      <w:color w:val="auto"/>
                      <w:lang w:eastAsia="zh-CN"/>
                    </w:rPr>
                    <w:t>火种、热源</w:t>
                  </w:r>
                  <w:r>
                    <w:rPr>
                      <w:rFonts w:hint="default"/>
                      <w:color w:val="auto"/>
                    </w:rPr>
                    <w:t>会</w:t>
                  </w:r>
                  <w:r>
                    <w:rPr>
                      <w:rFonts w:hint="default"/>
                      <w:color w:val="auto"/>
                      <w:lang w:eastAsia="zh-CN"/>
                    </w:rPr>
                    <w:t>发生火灾或爆炸事故</w:t>
                  </w:r>
                  <w:r>
                    <w:rPr>
                      <w:rFonts w:hint="default"/>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737" w:hRule="atLeast"/>
                <w:jc w:val="center"/>
              </w:trPr>
              <w:tc>
                <w:tcPr>
                  <w:tcW w:w="2948" w:type="dxa"/>
                  <w:noWrap w:val="0"/>
                  <w:vAlign w:val="center"/>
                </w:tcPr>
                <w:p>
                  <w:pPr>
                    <w:pStyle w:val="15"/>
                    <w:keepLines w:val="0"/>
                    <w:pageBreakBefore w:val="0"/>
                    <w:kinsoku/>
                    <w:wordWrap/>
                    <w:bidi w:val="0"/>
                    <w:adjustRightInd w:val="0"/>
                    <w:snapToGrid w:val="0"/>
                    <w:textAlignment w:val="auto"/>
                    <w:rPr>
                      <w:color w:val="auto"/>
                    </w:rPr>
                  </w:pPr>
                  <w:r>
                    <w:rPr>
                      <w:color w:val="auto"/>
                    </w:rPr>
                    <w:t>风险防范措施要求</w:t>
                  </w:r>
                </w:p>
              </w:tc>
              <w:tc>
                <w:tcPr>
                  <w:tcW w:w="5668" w:type="dxa"/>
                  <w:gridSpan w:val="5"/>
                  <w:noWrap w:val="0"/>
                  <w:vAlign w:val="center"/>
                </w:tcPr>
                <w:p>
                  <w:pPr>
                    <w:pStyle w:val="13"/>
                    <w:keepLines w:val="0"/>
                    <w:pageBreakBefore w:val="0"/>
                    <w:kinsoku/>
                    <w:wordWrap/>
                    <w:bidi w:val="0"/>
                    <w:adjustRightInd w:val="0"/>
                    <w:snapToGrid w:val="0"/>
                    <w:textAlignment w:val="auto"/>
                    <w:rPr>
                      <w:color w:val="auto"/>
                    </w:rPr>
                  </w:pPr>
                  <w:r>
                    <w:rPr>
                      <w:color w:val="auto"/>
                    </w:rPr>
                    <w:t>严格落实各项风险防范措施；加强厂区环保设施日常管理工作；落实厂区分区防渗要求等。</w:t>
                  </w:r>
                </w:p>
              </w:tc>
            </w:tr>
          </w:tbl>
          <w:p>
            <w:pPr>
              <w:pStyle w:val="18"/>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rPr>
            </w:pPr>
            <w:r>
              <w:rPr>
                <w:rFonts w:hint="eastAsia"/>
                <w:color w:val="auto"/>
                <w:lang w:val="en-US" w:eastAsia="zh-CN"/>
              </w:rPr>
              <w:t>3、</w:t>
            </w:r>
            <w:r>
              <w:rPr>
                <w:rFonts w:hint="eastAsia"/>
                <w:color w:val="auto"/>
              </w:rPr>
              <w:t>环境风险防范措施</w:t>
            </w:r>
          </w:p>
          <w:p>
            <w:pPr>
              <w:pStyle w:val="16"/>
              <w:keepLines w:val="0"/>
              <w:pageBreakBefore w:val="0"/>
              <w:kinsoku/>
              <w:wordWrap/>
              <w:bidi w:val="0"/>
              <w:adjustRightInd w:val="0"/>
              <w:snapToGrid w:val="0"/>
              <w:textAlignment w:val="auto"/>
              <w:rPr>
                <w:rFonts w:hint="eastAsia"/>
                <w:color w:val="auto"/>
              </w:rPr>
            </w:pPr>
            <w:r>
              <w:rPr>
                <w:rFonts w:hint="eastAsia"/>
                <w:color w:val="auto"/>
              </w:rPr>
              <w:t>（1）物料泄漏风险</w:t>
            </w:r>
          </w:p>
          <w:p>
            <w:pPr>
              <w:pStyle w:val="16"/>
              <w:keepNext w:val="0"/>
              <w:keepLines w:val="0"/>
              <w:pageBreakBefore w:val="0"/>
              <w:widowControl w:val="0"/>
              <w:kinsoku/>
              <w:wordWrap/>
              <w:overflowPunct/>
              <w:topLinePunct w:val="0"/>
              <w:autoSpaceDE/>
              <w:autoSpaceDN/>
              <w:bidi w:val="0"/>
              <w:adjustRightInd w:val="0"/>
              <w:snapToGrid w:val="0"/>
              <w:spacing w:before="63" w:beforeLines="20"/>
              <w:textAlignment w:val="auto"/>
              <w:rPr>
                <w:rFonts w:hint="eastAsia"/>
                <w:color w:val="auto"/>
              </w:rPr>
            </w:pPr>
            <w:r>
              <w:rPr>
                <w:rFonts w:hint="eastAsia"/>
                <w:color w:val="auto"/>
              </w:rPr>
              <w:t>项目主要可能泄漏的物料有</w:t>
            </w:r>
            <w:r>
              <w:rPr>
                <w:rFonts w:hint="eastAsia"/>
                <w:color w:val="auto"/>
                <w:lang w:val="en-US" w:eastAsia="zh-CN"/>
              </w:rPr>
              <w:t>软胶805、软胶810、颜料</w:t>
            </w:r>
            <w:r>
              <w:rPr>
                <w:rFonts w:hint="eastAsia"/>
                <w:color w:val="auto"/>
              </w:rPr>
              <w:t>等，一旦</w:t>
            </w:r>
            <w:r>
              <w:rPr>
                <w:rFonts w:hint="eastAsia"/>
                <w:color w:val="auto"/>
                <w:lang w:eastAsia="zh-CN"/>
              </w:rPr>
              <w:t>发生</w:t>
            </w:r>
            <w:r>
              <w:rPr>
                <w:rFonts w:hint="eastAsia"/>
                <w:color w:val="auto"/>
              </w:rPr>
              <w:t>泄漏、下渗，可能造成地表水、地下水、土壤环境的污染。</w:t>
            </w:r>
          </w:p>
          <w:p>
            <w:pPr>
              <w:pStyle w:val="16"/>
              <w:keepLines w:val="0"/>
              <w:pageBreakBefore w:val="0"/>
              <w:kinsoku/>
              <w:wordWrap/>
              <w:bidi w:val="0"/>
              <w:adjustRightInd w:val="0"/>
              <w:snapToGrid w:val="0"/>
              <w:textAlignment w:val="auto"/>
              <w:rPr>
                <w:rFonts w:hint="eastAsia"/>
                <w:color w:val="auto"/>
              </w:rPr>
            </w:pPr>
            <w:r>
              <w:rPr>
                <w:rFonts w:hint="eastAsia"/>
                <w:color w:val="auto"/>
              </w:rPr>
              <w:t>项目可能</w:t>
            </w:r>
            <w:r>
              <w:rPr>
                <w:rFonts w:hint="eastAsia"/>
                <w:color w:val="auto"/>
                <w:lang w:eastAsia="zh-CN"/>
              </w:rPr>
              <w:t>发生</w:t>
            </w:r>
            <w:r>
              <w:rPr>
                <w:rFonts w:hint="eastAsia"/>
                <w:color w:val="auto"/>
              </w:rPr>
              <w:t>泄漏的</w:t>
            </w:r>
            <w:r>
              <w:rPr>
                <w:rFonts w:hint="eastAsia"/>
                <w:color w:val="auto"/>
                <w:lang w:eastAsia="zh-CN"/>
              </w:rPr>
              <w:t>场所为仓库</w:t>
            </w:r>
            <w:r>
              <w:rPr>
                <w:rFonts w:hint="eastAsia"/>
                <w:color w:val="auto"/>
                <w:lang w:val="en-US" w:eastAsia="zh-CN"/>
              </w:rPr>
              <w:t>和无纺布后处理生产区</w:t>
            </w:r>
            <w:r>
              <w:rPr>
                <w:rFonts w:hint="eastAsia"/>
                <w:color w:val="auto"/>
                <w:lang w:eastAsia="zh-CN"/>
              </w:rPr>
              <w:t>（</w:t>
            </w:r>
            <w:r>
              <w:rPr>
                <w:rFonts w:hint="eastAsia"/>
                <w:color w:val="auto"/>
                <w:lang w:val="en-US" w:eastAsia="zh-CN"/>
              </w:rPr>
              <w:t>软胶805、软胶810、颜料</w:t>
            </w:r>
            <w:r>
              <w:rPr>
                <w:rFonts w:hint="eastAsia"/>
                <w:color w:val="auto"/>
                <w:lang w:eastAsia="zh-CN"/>
              </w:rPr>
              <w:t>），需</w:t>
            </w:r>
            <w:r>
              <w:rPr>
                <w:rFonts w:hint="eastAsia"/>
                <w:color w:val="auto"/>
              </w:rPr>
              <w:t>按照重点防渗区防渗要求</w:t>
            </w:r>
            <w:r>
              <w:rPr>
                <w:rFonts w:hint="eastAsia"/>
                <w:color w:val="auto"/>
                <w:lang w:eastAsia="zh-CN"/>
              </w:rPr>
              <w:t>进行</w:t>
            </w:r>
            <w:r>
              <w:rPr>
                <w:rFonts w:hint="eastAsia"/>
                <w:color w:val="auto"/>
              </w:rPr>
              <w:t>防渗，专人管理，建立物料台账。</w:t>
            </w:r>
          </w:p>
          <w:p>
            <w:pPr>
              <w:pStyle w:val="16"/>
              <w:keepLines w:val="0"/>
              <w:pageBreakBefore w:val="0"/>
              <w:kinsoku/>
              <w:wordWrap/>
              <w:bidi w:val="0"/>
              <w:adjustRightInd w:val="0"/>
              <w:snapToGrid w:val="0"/>
              <w:textAlignment w:val="auto"/>
              <w:rPr>
                <w:rFonts w:hint="eastAsia"/>
                <w:color w:val="auto"/>
              </w:rPr>
            </w:pPr>
            <w:r>
              <w:rPr>
                <w:rFonts w:hint="eastAsia"/>
                <w:color w:val="auto"/>
              </w:rPr>
              <w:t>综上，项目物料确保厂内多运少存，在</w:t>
            </w:r>
            <w:r>
              <w:rPr>
                <w:rFonts w:hint="eastAsia"/>
                <w:color w:val="auto"/>
                <w:lang w:eastAsia="zh-CN"/>
              </w:rPr>
              <w:t>严格落实</w:t>
            </w:r>
            <w:r>
              <w:rPr>
                <w:rFonts w:hint="eastAsia"/>
                <w:color w:val="auto"/>
              </w:rPr>
              <w:t>的</w:t>
            </w:r>
            <w:r>
              <w:rPr>
                <w:rFonts w:hint="eastAsia"/>
                <w:color w:val="auto"/>
                <w:lang w:eastAsia="zh-CN"/>
              </w:rPr>
              <w:t>相关风险</w:t>
            </w:r>
            <w:r>
              <w:rPr>
                <w:rFonts w:hint="eastAsia"/>
                <w:color w:val="auto"/>
              </w:rPr>
              <w:t>防范措施下</w:t>
            </w:r>
            <w:r>
              <w:rPr>
                <w:rFonts w:hint="eastAsia"/>
                <w:color w:val="auto"/>
                <w:lang w:eastAsia="zh-CN"/>
              </w:rPr>
              <w:t>，</w:t>
            </w:r>
            <w:r>
              <w:rPr>
                <w:rFonts w:hint="eastAsia"/>
                <w:color w:val="auto"/>
              </w:rPr>
              <w:t>物料泄漏</w:t>
            </w:r>
            <w:r>
              <w:rPr>
                <w:rFonts w:hint="eastAsia"/>
                <w:color w:val="auto"/>
                <w:lang w:eastAsia="zh-CN"/>
              </w:rPr>
              <w:t>的</w:t>
            </w:r>
            <w:r>
              <w:rPr>
                <w:rFonts w:hint="eastAsia"/>
                <w:color w:val="auto"/>
              </w:rPr>
              <w:t>风险可控，</w:t>
            </w:r>
            <w:r>
              <w:rPr>
                <w:rFonts w:hint="eastAsia"/>
                <w:color w:val="auto"/>
                <w:lang w:eastAsia="zh-CN"/>
              </w:rPr>
              <w:t>发生</w:t>
            </w:r>
            <w:r>
              <w:rPr>
                <w:rFonts w:hint="eastAsia"/>
                <w:color w:val="auto"/>
              </w:rPr>
              <w:t>风险的可能性较小。</w:t>
            </w:r>
          </w:p>
          <w:p>
            <w:pPr>
              <w:pStyle w:val="16"/>
              <w:keepLines w:val="0"/>
              <w:pageBreakBefore w:val="0"/>
              <w:kinsoku/>
              <w:wordWrap/>
              <w:bidi w:val="0"/>
              <w:adjustRightInd w:val="0"/>
              <w:snapToGrid w:val="0"/>
              <w:textAlignment w:val="auto"/>
              <w:rPr>
                <w:rFonts w:hint="eastAsia"/>
                <w:color w:val="auto"/>
              </w:rPr>
            </w:pPr>
            <w:r>
              <w:rPr>
                <w:rFonts w:hint="eastAsia"/>
                <w:color w:val="auto"/>
              </w:rPr>
              <w:t>（2）火灾风险</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rPr>
              <w:t>根据《建设项目环境风险评价技术导则》（HJ</w:t>
            </w:r>
            <w:r>
              <w:rPr>
                <w:rFonts w:hint="eastAsia"/>
                <w:color w:val="auto"/>
                <w:lang w:val="en-US" w:eastAsia="zh-CN"/>
              </w:rPr>
              <w:t xml:space="preserve"> </w:t>
            </w:r>
            <w:r>
              <w:rPr>
                <w:rFonts w:hint="eastAsia"/>
                <w:color w:val="auto"/>
              </w:rPr>
              <w:t>169-2018），项目风险物质为</w:t>
            </w:r>
            <w:r>
              <w:rPr>
                <w:rFonts w:hint="default"/>
                <w:color w:val="auto"/>
                <w:lang w:eastAsia="zh-CN"/>
              </w:rPr>
              <w:t>天然气</w:t>
            </w:r>
            <w:r>
              <w:rPr>
                <w:rFonts w:hint="eastAsia"/>
                <w:color w:val="auto"/>
                <w:lang w:eastAsia="zh-CN"/>
              </w:rPr>
              <w:t>。</w:t>
            </w:r>
          </w:p>
          <w:p>
            <w:pPr>
              <w:pStyle w:val="16"/>
              <w:keepLines w:val="0"/>
              <w:pageBreakBefore w:val="0"/>
              <w:kinsoku/>
              <w:wordWrap/>
              <w:bidi w:val="0"/>
              <w:adjustRightInd w:val="0"/>
              <w:snapToGrid w:val="0"/>
              <w:textAlignment w:val="auto"/>
              <w:rPr>
                <w:rFonts w:hint="eastAsia"/>
                <w:color w:val="auto"/>
              </w:rPr>
            </w:pPr>
            <w:r>
              <w:rPr>
                <w:rFonts w:hint="eastAsia"/>
                <w:color w:val="auto"/>
                <w:lang w:eastAsia="zh-CN"/>
              </w:rPr>
              <w:t>天然气</w:t>
            </w:r>
            <w:r>
              <w:rPr>
                <w:rFonts w:hint="eastAsia"/>
                <w:color w:val="auto"/>
                <w:lang w:val="en-US" w:eastAsia="zh-CN"/>
              </w:rPr>
              <w:t>暂</w:t>
            </w:r>
            <w:r>
              <w:rPr>
                <w:rFonts w:hint="eastAsia"/>
                <w:color w:val="auto"/>
                <w:lang w:eastAsia="zh-CN"/>
              </w:rPr>
              <w:t>存于天然气</w:t>
            </w:r>
            <w:r>
              <w:rPr>
                <w:rFonts w:hint="eastAsia"/>
                <w:color w:val="auto"/>
                <w:lang w:val="en-US" w:eastAsia="zh-CN"/>
              </w:rPr>
              <w:t>输送</w:t>
            </w:r>
            <w:r>
              <w:rPr>
                <w:rFonts w:hint="eastAsia"/>
                <w:color w:val="auto"/>
                <w:lang w:eastAsia="zh-CN"/>
              </w:rPr>
              <w:t>管道内</w:t>
            </w:r>
            <w:r>
              <w:rPr>
                <w:rFonts w:hint="eastAsia"/>
                <w:color w:val="auto"/>
                <w:lang w:val="en-US" w:eastAsia="zh-CN"/>
              </w:rPr>
              <w:t>，所在区域安装气体泄漏报警器</w:t>
            </w:r>
            <w:r>
              <w:rPr>
                <w:rFonts w:hint="eastAsia"/>
                <w:color w:val="auto"/>
                <w:lang w:eastAsia="zh-CN"/>
              </w:rPr>
              <w:t>。</w:t>
            </w:r>
            <w:r>
              <w:rPr>
                <w:rFonts w:hint="eastAsia"/>
                <w:color w:val="auto"/>
              </w:rPr>
              <w:t>项目厂区严禁烟火，严格执行三级动火证制度，加强可燃物料的管理，加强电气、电线保养与防爆等措施，项目火灾风险</w:t>
            </w:r>
            <w:r>
              <w:rPr>
                <w:rFonts w:hint="eastAsia"/>
                <w:color w:val="auto"/>
                <w:lang w:eastAsia="zh-CN"/>
              </w:rPr>
              <w:t>是</w:t>
            </w:r>
            <w:r>
              <w:rPr>
                <w:rFonts w:hint="eastAsia"/>
                <w:color w:val="auto"/>
              </w:rPr>
              <w:t>可以避免</w:t>
            </w:r>
            <w:r>
              <w:rPr>
                <w:rFonts w:hint="eastAsia"/>
                <w:color w:val="auto"/>
                <w:lang w:eastAsia="zh-CN"/>
              </w:rPr>
              <w:t>的，发生的风险较小</w:t>
            </w:r>
            <w:r>
              <w:rPr>
                <w:rFonts w:hint="eastAsia"/>
                <w:color w:val="auto"/>
              </w:rPr>
              <w:t>。</w:t>
            </w:r>
          </w:p>
          <w:p>
            <w:pPr>
              <w:pStyle w:val="16"/>
              <w:keepNext w:val="0"/>
              <w:keepLines w:val="0"/>
              <w:pageBreakBefore w:val="0"/>
              <w:widowControl w:val="0"/>
              <w:kinsoku/>
              <w:wordWrap/>
              <w:overflowPunct/>
              <w:topLinePunct w:val="0"/>
              <w:autoSpaceDE/>
              <w:autoSpaceDN/>
              <w:bidi w:val="0"/>
              <w:adjustRightInd w:val="0"/>
              <w:snapToGrid w:val="0"/>
              <w:textAlignment w:val="auto"/>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其他风险防范</w:t>
            </w:r>
          </w:p>
          <w:p>
            <w:pPr>
              <w:pStyle w:val="16"/>
              <w:keepLines w:val="0"/>
              <w:pageBreakBefore w:val="0"/>
              <w:kinsoku/>
              <w:wordWrap/>
              <w:bidi w:val="0"/>
              <w:adjustRightInd w:val="0"/>
              <w:snapToGrid w:val="0"/>
              <w:textAlignment w:val="auto"/>
              <w:rPr>
                <w:rFonts w:hint="eastAsia"/>
                <w:color w:val="auto"/>
              </w:rPr>
            </w:pPr>
            <w:r>
              <w:rPr>
                <w:rFonts w:hint="eastAsia"/>
                <w:color w:val="auto"/>
                <w:lang w:eastAsia="zh-CN"/>
              </w:rPr>
              <w:t>①</w:t>
            </w:r>
            <w:r>
              <w:rPr>
                <w:rFonts w:hint="eastAsia"/>
                <w:color w:val="auto"/>
              </w:rPr>
              <w:t>废气</w:t>
            </w:r>
            <w:r>
              <w:rPr>
                <w:rFonts w:hint="eastAsia"/>
                <w:color w:val="auto"/>
                <w:lang w:eastAsia="zh-CN"/>
              </w:rPr>
              <w:t>异常排放</w:t>
            </w:r>
            <w:r>
              <w:rPr>
                <w:rFonts w:hint="eastAsia"/>
                <w:color w:val="auto"/>
              </w:rPr>
              <w:t>风险</w:t>
            </w:r>
          </w:p>
          <w:p>
            <w:pPr>
              <w:pStyle w:val="16"/>
              <w:keepLines w:val="0"/>
              <w:pageBreakBefore w:val="0"/>
              <w:kinsoku/>
              <w:wordWrap/>
              <w:bidi w:val="0"/>
              <w:adjustRightInd w:val="0"/>
              <w:snapToGrid w:val="0"/>
              <w:textAlignment w:val="auto"/>
              <w:rPr>
                <w:rFonts w:hint="eastAsia"/>
                <w:color w:val="auto"/>
              </w:rPr>
            </w:pPr>
            <w:r>
              <w:rPr>
                <w:rFonts w:hint="eastAsia"/>
                <w:color w:val="auto"/>
              </w:rPr>
              <w:t>项目</w:t>
            </w:r>
            <w:r>
              <w:rPr>
                <w:rFonts w:hint="eastAsia"/>
                <w:color w:val="auto"/>
                <w:lang w:eastAsia="zh-CN"/>
              </w:rPr>
              <w:t>生产过程中产生</w:t>
            </w:r>
            <w:r>
              <w:rPr>
                <w:rFonts w:hint="eastAsia"/>
                <w:color w:val="auto"/>
              </w:rPr>
              <w:t>颗粒物</w:t>
            </w:r>
            <w:r>
              <w:rPr>
                <w:rFonts w:hint="eastAsia"/>
                <w:color w:val="auto"/>
                <w:lang w:eastAsia="zh-CN"/>
              </w:rPr>
              <w:t>、</w:t>
            </w:r>
            <w:r>
              <w:rPr>
                <w:rFonts w:hint="eastAsia"/>
                <w:color w:val="auto"/>
                <w:lang w:val="en-US" w:eastAsia="zh-CN"/>
              </w:rPr>
              <w:t>二氧化硫、氮氧化物、非甲烷总烃</w:t>
            </w:r>
            <w:r>
              <w:rPr>
                <w:rFonts w:hint="eastAsia"/>
                <w:color w:val="auto"/>
              </w:rPr>
              <w:t>等</w:t>
            </w:r>
            <w:r>
              <w:rPr>
                <w:rFonts w:hint="eastAsia"/>
                <w:color w:val="auto"/>
                <w:lang w:val="en-US" w:eastAsia="zh-CN"/>
              </w:rPr>
              <w:t>废气</w:t>
            </w:r>
            <w:r>
              <w:rPr>
                <w:rFonts w:hint="eastAsia"/>
                <w:color w:val="auto"/>
              </w:rPr>
              <w:t>，如对这些废气不进行有效的收集治理，超标排放造成大气环境污染。</w:t>
            </w:r>
          </w:p>
          <w:p>
            <w:pPr>
              <w:pStyle w:val="16"/>
              <w:keepLines w:val="0"/>
              <w:pageBreakBefore w:val="0"/>
              <w:kinsoku/>
              <w:wordWrap/>
              <w:bidi w:val="0"/>
              <w:adjustRightInd w:val="0"/>
              <w:snapToGrid w:val="0"/>
              <w:textAlignment w:val="auto"/>
              <w:rPr>
                <w:rFonts w:hint="eastAsia"/>
                <w:color w:val="auto"/>
              </w:rPr>
            </w:pPr>
            <w:r>
              <w:rPr>
                <w:rFonts w:hint="eastAsia"/>
                <w:color w:val="auto"/>
              </w:rPr>
              <w:t>项目废气处理措施必须委托具有资质的有经验的单位设计、施工。运营时，项目应在开班、交接班前，必须认真检查废气的收集、处理措施，确保达到设计的效率，从而避免废气</w:t>
            </w:r>
            <w:r>
              <w:rPr>
                <w:rFonts w:hint="eastAsia"/>
                <w:color w:val="auto"/>
                <w:lang w:eastAsia="zh-CN"/>
              </w:rPr>
              <w:t>异常</w:t>
            </w:r>
            <w:r>
              <w:rPr>
                <w:rFonts w:hint="eastAsia"/>
                <w:color w:val="auto"/>
              </w:rPr>
              <w:t>排放事故对大气环境的影响。根据说明书与环评要求定期更换</w:t>
            </w:r>
            <w:r>
              <w:rPr>
                <w:rFonts w:hint="eastAsia"/>
                <w:color w:val="auto"/>
                <w:lang w:eastAsia="zh-CN"/>
              </w:rPr>
              <w:t>布袋除尘器</w:t>
            </w:r>
            <w:r>
              <w:rPr>
                <w:rFonts w:hint="eastAsia"/>
                <w:color w:val="auto"/>
                <w:lang w:val="en-US" w:eastAsia="zh-CN"/>
              </w:rPr>
              <w:t>中的布袋和吸附设备中的活性炭</w:t>
            </w:r>
            <w:r>
              <w:rPr>
                <w:rFonts w:hint="eastAsia"/>
                <w:color w:val="auto"/>
              </w:rPr>
              <w:t>。同时</w:t>
            </w:r>
            <w:r>
              <w:rPr>
                <w:rFonts w:hint="eastAsia"/>
                <w:color w:val="auto"/>
                <w:lang w:eastAsia="zh-CN"/>
              </w:rPr>
              <w:t>，</w:t>
            </w:r>
            <w:r>
              <w:rPr>
                <w:rFonts w:hint="eastAsia"/>
                <w:color w:val="auto"/>
              </w:rPr>
              <w:t>根据</w:t>
            </w:r>
            <w:r>
              <w:rPr>
                <w:rFonts w:hint="eastAsia"/>
                <w:color w:val="auto"/>
                <w:lang w:eastAsia="zh-CN"/>
              </w:rPr>
              <w:t>项目自行监测方案进行</w:t>
            </w:r>
            <w:r>
              <w:rPr>
                <w:rFonts w:hint="eastAsia"/>
                <w:color w:val="auto"/>
              </w:rPr>
              <w:t>监测</w:t>
            </w:r>
            <w:r>
              <w:rPr>
                <w:rFonts w:hint="eastAsia"/>
                <w:color w:val="auto"/>
                <w:lang w:eastAsia="zh-CN"/>
              </w:rPr>
              <w:t>与</w:t>
            </w:r>
            <w:r>
              <w:rPr>
                <w:rFonts w:hint="eastAsia"/>
                <w:color w:val="auto"/>
              </w:rPr>
              <w:t>跟踪。</w:t>
            </w:r>
          </w:p>
          <w:p>
            <w:pPr>
              <w:pStyle w:val="16"/>
              <w:keepLines w:val="0"/>
              <w:pageBreakBefore w:val="0"/>
              <w:kinsoku/>
              <w:wordWrap/>
              <w:bidi w:val="0"/>
              <w:adjustRightInd w:val="0"/>
              <w:snapToGrid w:val="0"/>
              <w:textAlignment w:val="auto"/>
              <w:rPr>
                <w:rFonts w:hint="eastAsia"/>
                <w:color w:val="auto"/>
              </w:rPr>
            </w:pPr>
            <w:r>
              <w:rPr>
                <w:rFonts w:hint="eastAsia"/>
                <w:color w:val="auto"/>
              </w:rPr>
              <w:t>综上，项目在</w:t>
            </w:r>
            <w:r>
              <w:rPr>
                <w:rFonts w:hint="eastAsia"/>
                <w:color w:val="auto"/>
                <w:lang w:eastAsia="zh-CN"/>
              </w:rPr>
              <w:t>落实</w:t>
            </w:r>
            <w:r>
              <w:rPr>
                <w:rFonts w:hint="eastAsia"/>
                <w:color w:val="auto"/>
              </w:rPr>
              <w:t>废气有效收集</w:t>
            </w:r>
            <w:r>
              <w:rPr>
                <w:rFonts w:hint="eastAsia"/>
                <w:color w:val="auto"/>
                <w:lang w:eastAsia="zh-CN"/>
              </w:rPr>
              <w:t>、</w:t>
            </w:r>
            <w:r>
              <w:rPr>
                <w:rFonts w:hint="eastAsia"/>
                <w:color w:val="auto"/>
              </w:rPr>
              <w:t>有效处理</w:t>
            </w:r>
            <w:r>
              <w:rPr>
                <w:rFonts w:hint="eastAsia"/>
                <w:color w:val="auto"/>
                <w:lang w:eastAsia="zh-CN"/>
              </w:rPr>
              <w:t>的情况下</w:t>
            </w:r>
            <w:r>
              <w:rPr>
                <w:rFonts w:hint="eastAsia"/>
                <w:color w:val="auto"/>
              </w:rPr>
              <w:t>，确保废气达标排放，项目废气</w:t>
            </w:r>
            <w:r>
              <w:rPr>
                <w:rFonts w:hint="eastAsia"/>
                <w:color w:val="auto"/>
                <w:lang w:eastAsia="zh-CN"/>
              </w:rPr>
              <w:t>异常</w:t>
            </w:r>
            <w:r>
              <w:rPr>
                <w:rFonts w:hint="eastAsia"/>
                <w:color w:val="auto"/>
              </w:rPr>
              <w:t>排放事故</w:t>
            </w:r>
            <w:r>
              <w:rPr>
                <w:rFonts w:hint="eastAsia"/>
                <w:color w:val="auto"/>
                <w:lang w:eastAsia="zh-CN"/>
              </w:rPr>
              <w:t>是可以避免的，发生的</w:t>
            </w:r>
            <w:r>
              <w:rPr>
                <w:rFonts w:hint="eastAsia"/>
                <w:color w:val="auto"/>
              </w:rPr>
              <w:t>风险较小。</w:t>
            </w:r>
          </w:p>
          <w:p>
            <w:pPr>
              <w:pStyle w:val="16"/>
              <w:keepLines w:val="0"/>
              <w:pageBreakBefore w:val="0"/>
              <w:kinsoku/>
              <w:wordWrap/>
              <w:bidi w:val="0"/>
              <w:adjustRightInd w:val="0"/>
              <w:snapToGrid w:val="0"/>
              <w:textAlignment w:val="auto"/>
              <w:rPr>
                <w:rFonts w:hint="eastAsia"/>
                <w:color w:val="auto"/>
              </w:rPr>
            </w:pPr>
            <w:r>
              <w:rPr>
                <w:rFonts w:hint="eastAsia"/>
                <w:color w:val="auto"/>
                <w:lang w:eastAsia="zh-CN"/>
              </w:rPr>
              <w:t>②</w:t>
            </w:r>
            <w:r>
              <w:rPr>
                <w:rFonts w:hint="eastAsia"/>
                <w:color w:val="auto"/>
              </w:rPr>
              <w:t>危废遗失</w:t>
            </w:r>
            <w:r>
              <w:rPr>
                <w:rFonts w:hint="eastAsia"/>
                <w:color w:val="auto"/>
                <w:lang w:eastAsia="zh-CN"/>
              </w:rPr>
              <w:t>或散落</w:t>
            </w:r>
            <w:r>
              <w:rPr>
                <w:rFonts w:hint="eastAsia"/>
                <w:color w:val="auto"/>
              </w:rPr>
              <w:t>风险</w:t>
            </w:r>
          </w:p>
          <w:p>
            <w:pPr>
              <w:pStyle w:val="16"/>
              <w:keepLines w:val="0"/>
              <w:pageBreakBefore w:val="0"/>
              <w:kinsoku/>
              <w:wordWrap/>
              <w:bidi w:val="0"/>
              <w:adjustRightInd w:val="0"/>
              <w:snapToGrid w:val="0"/>
              <w:textAlignment w:val="auto"/>
              <w:rPr>
                <w:rFonts w:hint="eastAsia"/>
                <w:color w:val="auto"/>
              </w:rPr>
            </w:pPr>
            <w:r>
              <w:rPr>
                <w:rFonts w:hint="eastAsia"/>
                <w:color w:val="auto"/>
              </w:rPr>
              <w:t>在收集、转运、储存过程中因员工操作不当、储存容器破损、防腐防渗措施损坏等原因导致</w:t>
            </w:r>
            <w:r>
              <w:rPr>
                <w:rFonts w:hint="eastAsia"/>
                <w:color w:val="auto"/>
                <w:lang w:val="en-US" w:eastAsia="zh-CN"/>
              </w:rPr>
              <w:t>危废</w:t>
            </w:r>
            <w:r>
              <w:rPr>
                <w:rFonts w:hint="eastAsia"/>
                <w:color w:val="auto"/>
              </w:rPr>
              <w:t>遗失</w:t>
            </w:r>
            <w:r>
              <w:rPr>
                <w:rFonts w:hint="eastAsia"/>
                <w:color w:val="auto"/>
                <w:lang w:eastAsia="zh-CN"/>
              </w:rPr>
              <w:t>或散落</w:t>
            </w:r>
            <w:r>
              <w:rPr>
                <w:rFonts w:hint="eastAsia"/>
                <w:color w:val="auto"/>
              </w:rPr>
              <w:t>，会污染土壤和地下水，若进入雨水管网会使周边地表水体受到污染。</w:t>
            </w:r>
          </w:p>
          <w:p>
            <w:pPr>
              <w:pStyle w:val="16"/>
              <w:keepLines w:val="0"/>
              <w:pageBreakBefore w:val="0"/>
              <w:kinsoku/>
              <w:wordWrap/>
              <w:bidi w:val="0"/>
              <w:adjustRightInd w:val="0"/>
              <w:snapToGrid w:val="0"/>
              <w:textAlignment w:val="auto"/>
              <w:rPr>
                <w:rFonts w:hint="eastAsia"/>
                <w:color w:val="auto"/>
                <w:lang w:eastAsia="zh-CN"/>
              </w:rPr>
            </w:pPr>
            <w:r>
              <w:rPr>
                <w:rFonts w:hint="eastAsia"/>
                <w:color w:val="auto"/>
              </w:rPr>
              <w:t>危废</w:t>
            </w:r>
            <w:r>
              <w:rPr>
                <w:rFonts w:hint="eastAsia"/>
                <w:color w:val="auto"/>
                <w:lang w:eastAsia="zh-CN"/>
              </w:rPr>
              <w:t>暂存间需严格按照《危险废物贮存污染控制标准》（GB 18597-2023）的要求进行落实，危废需分类分区单独</w:t>
            </w:r>
            <w:r>
              <w:rPr>
                <w:rFonts w:hint="eastAsia"/>
                <w:color w:val="auto"/>
                <w:lang w:val="en-US" w:eastAsia="zh-CN"/>
              </w:rPr>
              <w:t>储存</w:t>
            </w:r>
            <w:r>
              <w:rPr>
                <w:rFonts w:hint="eastAsia"/>
                <w:color w:val="auto"/>
                <w:lang w:eastAsia="zh-CN"/>
              </w:rPr>
              <w:t>，专人管理，加强管理，定期检查储存容器的完整性，建立危废管理台账，定期委托有资质单位处理。</w:t>
            </w:r>
          </w:p>
          <w:p>
            <w:pPr>
              <w:pStyle w:val="16"/>
              <w:keepLines w:val="0"/>
              <w:pageBreakBefore w:val="0"/>
              <w:kinsoku/>
              <w:wordWrap/>
              <w:bidi w:val="0"/>
              <w:adjustRightInd w:val="0"/>
              <w:snapToGrid w:val="0"/>
              <w:textAlignment w:val="auto"/>
              <w:rPr>
                <w:rFonts w:hint="eastAsia"/>
                <w:color w:val="auto"/>
              </w:rPr>
            </w:pPr>
            <w:r>
              <w:rPr>
                <w:rFonts w:hint="eastAsia"/>
                <w:color w:val="auto"/>
              </w:rPr>
              <w:t>综上</w:t>
            </w:r>
            <w:r>
              <w:rPr>
                <w:rFonts w:hint="eastAsia"/>
                <w:color w:val="auto"/>
                <w:lang w:eastAsia="zh-CN"/>
              </w:rPr>
              <w:t>所述</w:t>
            </w:r>
            <w:r>
              <w:rPr>
                <w:rFonts w:hint="eastAsia"/>
                <w:color w:val="auto"/>
              </w:rPr>
              <w:t>，项目危废遗失</w:t>
            </w:r>
            <w:r>
              <w:rPr>
                <w:rFonts w:hint="eastAsia"/>
                <w:color w:val="auto"/>
                <w:lang w:eastAsia="zh-CN"/>
              </w:rPr>
              <w:t>或散落是可以避免的，发生的</w:t>
            </w:r>
            <w:r>
              <w:rPr>
                <w:rFonts w:hint="eastAsia"/>
                <w:color w:val="auto"/>
              </w:rPr>
              <w:t>风险较小。</w:t>
            </w:r>
          </w:p>
          <w:p>
            <w:pPr>
              <w:pStyle w:val="16"/>
              <w:keepLines w:val="0"/>
              <w:pageBreakBefore w:val="0"/>
              <w:kinsoku/>
              <w:wordWrap/>
              <w:bidi w:val="0"/>
              <w:adjustRightInd w:val="0"/>
              <w:snapToGrid w:val="0"/>
              <w:textAlignment w:val="auto"/>
              <w:rPr>
                <w:rFonts w:hint="eastAsia"/>
                <w:color w:val="auto"/>
              </w:rPr>
            </w:pPr>
            <w:r>
              <w:rPr>
                <w:rFonts w:hint="eastAsia"/>
                <w:color w:val="auto"/>
                <w:lang w:eastAsia="zh-CN"/>
              </w:rPr>
              <w:t>③</w:t>
            </w:r>
            <w:r>
              <w:rPr>
                <w:rFonts w:hint="eastAsia"/>
                <w:color w:val="auto"/>
              </w:rPr>
              <w:t>其他风险防范措施</w:t>
            </w:r>
          </w:p>
          <w:p>
            <w:pPr>
              <w:pStyle w:val="16"/>
              <w:keepLines w:val="0"/>
              <w:pageBreakBefore w:val="0"/>
              <w:kinsoku/>
              <w:wordWrap/>
              <w:bidi w:val="0"/>
              <w:adjustRightInd w:val="0"/>
              <w:snapToGrid w:val="0"/>
              <w:textAlignment w:val="auto"/>
              <w:rPr>
                <w:rFonts w:hint="eastAsia"/>
                <w:color w:val="auto"/>
                <w:highlight w:val="none"/>
              </w:rPr>
            </w:pPr>
            <w:r>
              <w:rPr>
                <w:rFonts w:hint="eastAsia"/>
                <w:color w:val="auto"/>
              </w:rPr>
              <w:t>项目应全厂严禁烟火，并加强车间、风险源的标识标牌，加强员工培训</w:t>
            </w:r>
            <w:r>
              <w:rPr>
                <w:rFonts w:hint="eastAsia"/>
                <w:color w:val="auto"/>
                <w:lang w:eastAsia="zh-CN"/>
              </w:rPr>
              <w:t>与</w:t>
            </w:r>
            <w:r>
              <w:rPr>
                <w:rFonts w:hint="eastAsia"/>
                <w:color w:val="auto"/>
              </w:rPr>
              <w:t>教育。</w:t>
            </w:r>
          </w:p>
          <w:p>
            <w:pPr>
              <w:pStyle w:val="18"/>
              <w:keepLines w:val="0"/>
              <w:pageBreakBefore w:val="0"/>
              <w:kinsoku/>
              <w:wordWrap/>
              <w:bidi w:val="0"/>
              <w:adjustRightInd w:val="0"/>
              <w:snapToGrid w:val="0"/>
              <w:textAlignment w:val="auto"/>
              <w:rPr>
                <w:rFonts w:hint="eastAsia"/>
                <w:color w:val="auto"/>
              </w:rPr>
            </w:pPr>
            <w:r>
              <w:rPr>
                <w:rFonts w:hint="eastAsia"/>
                <w:color w:val="auto"/>
              </w:rPr>
              <w:t>七、项目环保投资</w:t>
            </w:r>
          </w:p>
          <w:p>
            <w:pPr>
              <w:pStyle w:val="16"/>
              <w:keepLines w:val="0"/>
              <w:pageBreakBefore w:val="0"/>
              <w:kinsoku/>
              <w:wordWrap/>
              <w:bidi w:val="0"/>
              <w:adjustRightInd w:val="0"/>
              <w:snapToGrid w:val="0"/>
              <w:textAlignment w:val="auto"/>
              <w:rPr>
                <w:color w:val="auto"/>
              </w:rPr>
            </w:pPr>
            <w:r>
              <w:rPr>
                <w:rFonts w:hint="eastAsia"/>
                <w:color w:val="auto"/>
                <w:lang w:val="en-US" w:eastAsia="zh-CN"/>
              </w:rPr>
              <w:t>扩建项目</w:t>
            </w:r>
            <w:r>
              <w:rPr>
                <w:color w:val="auto"/>
              </w:rPr>
              <w:t>总投资</w:t>
            </w:r>
            <w:r>
              <w:rPr>
                <w:rFonts w:hint="eastAsia"/>
                <w:color w:val="auto"/>
              </w:rPr>
              <w:t>为</w:t>
            </w:r>
            <w:r>
              <w:rPr>
                <w:rFonts w:hint="eastAsia"/>
                <w:color w:val="auto"/>
                <w:lang w:val="en-US" w:eastAsia="zh-CN"/>
              </w:rPr>
              <w:t>530</w:t>
            </w:r>
            <w:r>
              <w:rPr>
                <w:color w:val="auto"/>
              </w:rPr>
              <w:t>万元，</w:t>
            </w:r>
            <w:r>
              <w:rPr>
                <w:rFonts w:hint="eastAsia"/>
                <w:color w:val="auto"/>
              </w:rPr>
              <w:t>其中</w:t>
            </w:r>
            <w:r>
              <w:rPr>
                <w:color w:val="auto"/>
              </w:rPr>
              <w:t>环保投资</w:t>
            </w:r>
            <w:r>
              <w:rPr>
                <w:rFonts w:hint="eastAsia"/>
                <w:color w:val="auto"/>
              </w:rPr>
              <w:t>为</w:t>
            </w:r>
            <w:r>
              <w:rPr>
                <w:rFonts w:hint="eastAsia"/>
                <w:color w:val="auto"/>
                <w:lang w:val="en-US" w:eastAsia="zh-CN"/>
              </w:rPr>
              <w:t>53</w:t>
            </w:r>
            <w:r>
              <w:rPr>
                <w:color w:val="auto"/>
              </w:rPr>
              <w:t>万元，占</w:t>
            </w:r>
            <w:r>
              <w:rPr>
                <w:rFonts w:hint="eastAsia"/>
                <w:color w:val="auto"/>
              </w:rPr>
              <w:t>总投资的</w:t>
            </w:r>
            <w:r>
              <w:rPr>
                <w:rFonts w:hint="eastAsia"/>
                <w:color w:val="auto"/>
                <w:lang w:val="en-US" w:eastAsia="zh-CN"/>
              </w:rPr>
              <w:t>10</w:t>
            </w:r>
            <w:r>
              <w:rPr>
                <w:color w:val="auto"/>
              </w:rPr>
              <w:t>%。</w:t>
            </w:r>
          </w:p>
          <w:p>
            <w:pPr>
              <w:pStyle w:val="1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eastAsia="zh-CN"/>
              </w:rPr>
            </w:pPr>
            <w:r>
              <w:rPr>
                <w:rFonts w:hint="eastAsia"/>
                <w:color w:val="auto"/>
              </w:rPr>
              <w:t>表4-2</w:t>
            </w:r>
            <w:r>
              <w:rPr>
                <w:rFonts w:hint="eastAsia"/>
                <w:color w:val="auto"/>
                <w:lang w:val="en-US" w:eastAsia="zh-CN"/>
              </w:rPr>
              <w:t>2</w:t>
            </w:r>
            <w:r>
              <w:rPr>
                <w:rFonts w:hint="eastAsia"/>
                <w:color w:val="auto"/>
              </w:rPr>
              <w:t xml:space="preserve"> </w:t>
            </w:r>
            <w:r>
              <w:rPr>
                <w:rFonts w:hint="eastAsia"/>
                <w:color w:val="auto"/>
                <w:lang w:val="en-US" w:eastAsia="zh-CN"/>
              </w:rPr>
              <w:t>扩建项目</w:t>
            </w:r>
            <w:r>
              <w:rPr>
                <w:rFonts w:hint="eastAsia"/>
                <w:color w:val="auto"/>
              </w:rPr>
              <w:t>环保投资一览表</w:t>
            </w:r>
          </w:p>
          <w:tbl>
            <w:tblPr>
              <w:tblStyle w:val="7"/>
              <w:tblW w:w="86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0"/>
              <w:gridCol w:w="752"/>
              <w:gridCol w:w="2880"/>
              <w:gridCol w:w="2910"/>
              <w:gridCol w:w="13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序号</w:t>
                  </w:r>
                </w:p>
              </w:tc>
              <w:tc>
                <w:tcPr>
                  <w:tcW w:w="752"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类型</w:t>
                  </w:r>
                </w:p>
              </w:tc>
              <w:tc>
                <w:tcPr>
                  <w:tcW w:w="288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项目</w:t>
                  </w:r>
                </w:p>
              </w:tc>
              <w:tc>
                <w:tcPr>
                  <w:tcW w:w="2910" w:type="dxa"/>
                  <w:noWrap w:val="0"/>
                  <w:vAlign w:val="center"/>
                </w:tcPr>
                <w:p>
                  <w:pPr>
                    <w:pStyle w:val="15"/>
                    <w:keepLines w:val="0"/>
                    <w:pageBreakBefore w:val="0"/>
                    <w:kinsoku/>
                    <w:wordWrap/>
                    <w:bidi w:val="0"/>
                    <w:adjustRightInd w:val="0"/>
                    <w:snapToGrid w:val="0"/>
                    <w:textAlignment w:val="auto"/>
                    <w:rPr>
                      <w:rFonts w:hint="default"/>
                      <w:color w:val="auto"/>
                      <w:sz w:val="21"/>
                      <w:szCs w:val="21"/>
                    </w:rPr>
                  </w:pPr>
                  <w:r>
                    <w:rPr>
                      <w:rFonts w:hint="default"/>
                      <w:color w:val="auto"/>
                      <w:sz w:val="21"/>
                      <w:szCs w:val="21"/>
                    </w:rPr>
                    <w:t>建设内容</w:t>
                  </w:r>
                </w:p>
              </w:tc>
              <w:tc>
                <w:tcPr>
                  <w:tcW w:w="1394" w:type="dxa"/>
                  <w:noWrap w:val="0"/>
                  <w:vAlign w:val="center"/>
                </w:tcPr>
                <w:p>
                  <w:pPr>
                    <w:pStyle w:val="15"/>
                    <w:keepLines w:val="0"/>
                    <w:pageBreakBefore w:val="0"/>
                    <w:kinsoku/>
                    <w:wordWrap/>
                    <w:bidi w:val="0"/>
                    <w:adjustRightInd w:val="0"/>
                    <w:snapToGrid w:val="0"/>
                    <w:textAlignment w:val="auto"/>
                    <w:rPr>
                      <w:rFonts w:hint="eastAsia"/>
                      <w:color w:val="auto"/>
                      <w:sz w:val="21"/>
                      <w:szCs w:val="21"/>
                      <w:lang w:eastAsia="zh-CN"/>
                    </w:rPr>
                  </w:pPr>
                  <w:r>
                    <w:rPr>
                      <w:rFonts w:hint="default"/>
                      <w:color w:val="auto"/>
                      <w:sz w:val="21"/>
                      <w:szCs w:val="21"/>
                    </w:rPr>
                    <w:t>投资</w:t>
                  </w:r>
                  <w:r>
                    <w:rPr>
                      <w:rFonts w:hint="eastAsia"/>
                      <w:color w:val="auto"/>
                      <w:sz w:val="21"/>
                      <w:szCs w:val="21"/>
                      <w:lang w:eastAsia="zh-CN"/>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1</w:t>
                  </w:r>
                </w:p>
              </w:tc>
              <w:tc>
                <w:tcPr>
                  <w:tcW w:w="752"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废水</w:t>
                  </w: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生活污水</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eastAsia="zh-CN"/>
                    </w:rPr>
                    <w:t>隔油池、化粪池</w:t>
                  </w:r>
                  <w:r>
                    <w:rPr>
                      <w:color w:val="auto"/>
                      <w:sz w:val="21"/>
                      <w:szCs w:val="21"/>
                    </w:rPr>
                    <w:t>及污水管道</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2</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冷却排水</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污水管道</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3</w:t>
                  </w:r>
                </w:p>
              </w:tc>
              <w:tc>
                <w:tcPr>
                  <w:tcW w:w="752"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雨水</w:t>
                  </w: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雨水</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雨水管道</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68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rPr>
                    <w:t>4</w:t>
                  </w:r>
                </w:p>
              </w:tc>
              <w:tc>
                <w:tcPr>
                  <w:tcW w:w="752"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废气</w:t>
                  </w:r>
                </w:p>
              </w:tc>
              <w:tc>
                <w:tcPr>
                  <w:tcW w:w="2880" w:type="dxa"/>
                  <w:noWrap w:val="0"/>
                  <w:vAlign w:val="center"/>
                </w:tcPr>
                <w:p>
                  <w:pPr>
                    <w:pStyle w:val="13"/>
                    <w:bidi w:val="0"/>
                    <w:rPr>
                      <w:color w:val="auto"/>
                      <w:sz w:val="21"/>
                      <w:szCs w:val="21"/>
                      <w:lang w:val="en-US" w:eastAsia="zh-CN"/>
                    </w:rPr>
                  </w:pPr>
                  <w:r>
                    <w:rPr>
                      <w:rFonts w:hint="eastAsia"/>
                      <w:color w:val="auto"/>
                      <w:sz w:val="21"/>
                      <w:szCs w:val="21"/>
                      <w:lang w:val="en-US" w:eastAsia="zh-CN"/>
                    </w:rPr>
                    <w:t>1#无纺布后处理生产线产生的废气（含天然气燃烧废气）</w:t>
                  </w:r>
                </w:p>
              </w:tc>
              <w:tc>
                <w:tcPr>
                  <w:tcW w:w="2910"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通过集气设施收集经二级活性炭处理后由一根15m高排气筒（DA001）排放</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rPr>
                    <w:t>5</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bidi w:val="0"/>
                    <w:rPr>
                      <w:color w:val="auto"/>
                      <w:sz w:val="21"/>
                      <w:szCs w:val="21"/>
                      <w:lang w:val="en-US" w:eastAsia="zh-CN"/>
                    </w:rPr>
                  </w:pPr>
                  <w:r>
                    <w:rPr>
                      <w:rFonts w:hint="eastAsia"/>
                      <w:color w:val="auto"/>
                      <w:sz w:val="21"/>
                      <w:szCs w:val="21"/>
                      <w:lang w:val="en-US" w:eastAsia="zh-CN"/>
                    </w:rPr>
                    <w:t>1#活性炭无纺布生产线产生的废气</w:t>
                  </w:r>
                </w:p>
              </w:tc>
              <w:tc>
                <w:tcPr>
                  <w:tcW w:w="2910"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通过集气设施收集经布袋除尘器+二级活性炭处理后由一根15m高排气筒（DA002）排放</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rPr>
                    <w:t>6</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bidi w:val="0"/>
                    <w:rPr>
                      <w:color w:val="auto"/>
                      <w:sz w:val="21"/>
                      <w:szCs w:val="21"/>
                      <w:lang w:val="en-US" w:eastAsia="zh-CN"/>
                    </w:rPr>
                  </w:pPr>
                  <w:r>
                    <w:rPr>
                      <w:rFonts w:hint="eastAsia"/>
                      <w:color w:val="auto"/>
                      <w:sz w:val="21"/>
                      <w:szCs w:val="21"/>
                      <w:lang w:val="en-US" w:eastAsia="zh-CN"/>
                    </w:rPr>
                    <w:t>2#活性炭无纺布生产线产生的废气</w:t>
                  </w:r>
                </w:p>
              </w:tc>
              <w:tc>
                <w:tcPr>
                  <w:tcW w:w="2910" w:type="dxa"/>
                  <w:vMerge w:val="restart"/>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通过集气设施收集经布袋除尘器+二级活性炭处理后由一根15m高排气筒（DA003）排放</w:t>
                  </w:r>
                </w:p>
              </w:tc>
              <w:tc>
                <w:tcPr>
                  <w:tcW w:w="1394" w:type="dxa"/>
                  <w:vMerge w:val="restart"/>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7</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bidi w:val="0"/>
                    <w:rPr>
                      <w:rFonts w:hint="eastAsia" w:eastAsia="宋体"/>
                      <w:color w:val="auto"/>
                      <w:sz w:val="21"/>
                      <w:szCs w:val="21"/>
                      <w:lang w:val="en-US" w:eastAsia="zh-CN"/>
                    </w:rPr>
                  </w:pPr>
                  <w:r>
                    <w:rPr>
                      <w:rFonts w:hint="eastAsia"/>
                      <w:color w:val="auto"/>
                      <w:sz w:val="21"/>
                      <w:szCs w:val="21"/>
                      <w:lang w:val="en-US" w:eastAsia="zh-CN"/>
                    </w:rPr>
                    <w:t>2#无纺布后处理生产线产生的废气（含天然气燃烧废气）</w:t>
                  </w:r>
                </w:p>
              </w:tc>
              <w:tc>
                <w:tcPr>
                  <w:tcW w:w="2910" w:type="dxa"/>
                  <w:vMerge w:val="continue"/>
                  <w:tcBorders/>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p>
              </w:tc>
              <w:tc>
                <w:tcPr>
                  <w:tcW w:w="1394" w:type="dxa"/>
                  <w:vMerge w:val="continue"/>
                  <w:tcBorders/>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8</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食堂油烟</w:t>
                  </w:r>
                </w:p>
              </w:tc>
              <w:tc>
                <w:tcPr>
                  <w:tcW w:w="2910"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通过油烟净化器处理后于楼顶高空排放</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7"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9</w:t>
                  </w:r>
                </w:p>
              </w:tc>
              <w:tc>
                <w:tcPr>
                  <w:tcW w:w="752"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噪声</w:t>
                  </w: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设备运转噪声</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val="en-US" w:eastAsia="zh-CN"/>
                    </w:rPr>
                    <w:t>采取</w:t>
                  </w:r>
                  <w:r>
                    <w:rPr>
                      <w:rFonts w:hint="eastAsia"/>
                      <w:color w:val="auto"/>
                      <w:sz w:val="21"/>
                      <w:szCs w:val="21"/>
                      <w:lang w:eastAsia="zh-CN"/>
                    </w:rPr>
                    <w:t>选用低噪声设备、厂房隔声、基础减振</w:t>
                  </w:r>
                  <w:r>
                    <w:rPr>
                      <w:color w:val="auto"/>
                      <w:sz w:val="21"/>
                      <w:szCs w:val="21"/>
                    </w:rPr>
                    <w:t>等措施</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10</w:t>
                  </w:r>
                </w:p>
              </w:tc>
              <w:tc>
                <w:tcPr>
                  <w:tcW w:w="752" w:type="dxa"/>
                  <w:vMerge w:val="restart"/>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固废</w:t>
                  </w: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生活垃圾</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垃圾桶</w:t>
                  </w:r>
                </w:p>
              </w:tc>
              <w:tc>
                <w:tcPr>
                  <w:tcW w:w="1394" w:type="dxa"/>
                  <w:noWrap w:val="0"/>
                  <w:vAlign w:val="center"/>
                </w:tcPr>
                <w:p>
                  <w:pPr>
                    <w:pStyle w:val="13"/>
                    <w:keepLines w:val="0"/>
                    <w:pageBreakBefore w:val="0"/>
                    <w:kinsoku/>
                    <w:wordWrap/>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11</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一般固废</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rFonts w:hint="eastAsia"/>
                      <w:color w:val="auto"/>
                      <w:sz w:val="21"/>
                      <w:szCs w:val="21"/>
                      <w:lang w:eastAsia="zh-CN"/>
                    </w:rPr>
                    <w:t>一般固废暂存区</w:t>
                  </w:r>
                  <w:r>
                    <w:rPr>
                      <w:color w:val="auto"/>
                      <w:sz w:val="21"/>
                      <w:szCs w:val="21"/>
                    </w:rPr>
                    <w:t>，面积为</w:t>
                  </w:r>
                  <w:r>
                    <w:rPr>
                      <w:rFonts w:hint="eastAsia"/>
                      <w:color w:val="auto"/>
                      <w:sz w:val="21"/>
                      <w:szCs w:val="21"/>
                      <w:lang w:val="en-US" w:eastAsia="zh-CN"/>
                    </w:rPr>
                    <w:t>20</w:t>
                  </w:r>
                  <w:r>
                    <w:rPr>
                      <w:color w:val="auto"/>
                      <w:sz w:val="21"/>
                      <w:szCs w:val="21"/>
                    </w:rPr>
                    <w:t>㎡</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12</w:t>
                  </w:r>
                </w:p>
              </w:tc>
              <w:tc>
                <w:tcPr>
                  <w:tcW w:w="752" w:type="dxa"/>
                  <w:vMerge w:val="continue"/>
                  <w:noWrap w:val="0"/>
                  <w:vAlign w:val="center"/>
                </w:tcPr>
                <w:p>
                  <w:pPr>
                    <w:pStyle w:val="13"/>
                    <w:keepLines w:val="0"/>
                    <w:pageBreakBefore w:val="0"/>
                    <w:kinsoku/>
                    <w:wordWrap/>
                    <w:bidi w:val="0"/>
                    <w:adjustRightInd w:val="0"/>
                    <w:snapToGrid w:val="0"/>
                    <w:textAlignment w:val="auto"/>
                    <w:rPr>
                      <w:color w:val="auto"/>
                      <w:sz w:val="21"/>
                      <w:szCs w:val="21"/>
                    </w:rPr>
                  </w:pPr>
                </w:p>
              </w:tc>
              <w:tc>
                <w:tcPr>
                  <w:tcW w:w="288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危险废物</w:t>
                  </w:r>
                </w:p>
              </w:tc>
              <w:tc>
                <w:tcPr>
                  <w:tcW w:w="2910" w:type="dxa"/>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危废暂存间，面积为</w:t>
                  </w:r>
                  <w:r>
                    <w:rPr>
                      <w:rFonts w:hint="eastAsia"/>
                      <w:color w:val="auto"/>
                      <w:sz w:val="21"/>
                      <w:szCs w:val="21"/>
                      <w:lang w:val="en-US" w:eastAsia="zh-CN"/>
                    </w:rPr>
                    <w:t>10</w:t>
                  </w:r>
                  <w:r>
                    <w:rPr>
                      <w:color w:val="auto"/>
                      <w:sz w:val="21"/>
                      <w:szCs w:val="21"/>
                    </w:rPr>
                    <w:t>㎡</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80"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13</w:t>
                  </w:r>
                </w:p>
              </w:tc>
              <w:tc>
                <w:tcPr>
                  <w:tcW w:w="6542" w:type="dxa"/>
                  <w:gridSpan w:val="3"/>
                  <w:noWrap w:val="0"/>
                  <w:vAlign w:val="center"/>
                </w:tcPr>
                <w:p>
                  <w:pPr>
                    <w:pStyle w:val="13"/>
                    <w:keepLines w:val="0"/>
                    <w:pageBreakBefore w:val="0"/>
                    <w:kinsoku/>
                    <w:wordWrap/>
                    <w:bidi w:val="0"/>
                    <w:adjustRightInd w:val="0"/>
                    <w:snapToGrid w:val="0"/>
                    <w:textAlignment w:val="auto"/>
                    <w:rPr>
                      <w:color w:val="auto"/>
                      <w:sz w:val="21"/>
                      <w:szCs w:val="21"/>
                    </w:rPr>
                  </w:pPr>
                  <w:r>
                    <w:rPr>
                      <w:color w:val="auto"/>
                      <w:sz w:val="21"/>
                      <w:szCs w:val="21"/>
                    </w:rPr>
                    <w:t>总计</w:t>
                  </w:r>
                </w:p>
              </w:tc>
              <w:tc>
                <w:tcPr>
                  <w:tcW w:w="1394" w:type="dxa"/>
                  <w:noWrap w:val="0"/>
                  <w:vAlign w:val="center"/>
                </w:tcPr>
                <w:p>
                  <w:pPr>
                    <w:pStyle w:val="13"/>
                    <w:keepLines w:val="0"/>
                    <w:pageBreakBefore w:val="0"/>
                    <w:kinsoku/>
                    <w:wordWrap/>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53</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lang w:val="en-US" w:eastAsia="zh-CN"/>
              </w:rPr>
            </w:pPr>
          </w:p>
          <w:p>
            <w:pPr>
              <w:pStyle w:val="16"/>
              <w:keepLines w:val="0"/>
              <w:pageBreakBefore w:val="0"/>
              <w:kinsoku/>
              <w:wordWrap/>
              <w:bidi w:val="0"/>
              <w:adjustRightInd w:val="0"/>
              <w:snapToGrid w:val="0"/>
              <w:textAlignment w:val="auto"/>
              <w:rPr>
                <w:rFonts w:hint="eastAsia"/>
                <w:color w:val="auto"/>
                <w:lang w:val="en-US" w:eastAsia="zh-CN"/>
              </w:rPr>
            </w:pPr>
          </w:p>
          <w:p>
            <w:pPr>
              <w:pStyle w:val="16"/>
              <w:keepLines w:val="0"/>
              <w:pageBreakBefore w:val="0"/>
              <w:kinsoku/>
              <w:wordWrap/>
              <w:bidi w:val="0"/>
              <w:adjustRightInd w:val="0"/>
              <w:snapToGrid w:val="0"/>
              <w:textAlignment w:val="auto"/>
              <w:rPr>
                <w:rFonts w:hint="eastAsia"/>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p>
            <w:pPr>
              <w:pStyle w:val="16"/>
              <w:keepLines w:val="0"/>
              <w:pageBreakBefore w:val="0"/>
              <w:kinsoku/>
              <w:wordWrap/>
              <w:bidi w:val="0"/>
              <w:adjustRightInd w:val="0"/>
              <w:snapToGrid w:val="0"/>
              <w:textAlignment w:val="auto"/>
              <w:rPr>
                <w:rFonts w:hint="default"/>
                <w:color w:val="auto"/>
                <w:lang w:val="en-US" w:eastAsia="zh-CN"/>
              </w:rPr>
            </w:pPr>
          </w:p>
        </w:tc>
      </w:tr>
    </w:tbl>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textAlignment w:val="auto"/>
        <w:rPr>
          <w:rFonts w:hint="eastAsia" w:ascii="宋体" w:cs="宋体"/>
          <w:b/>
          <w:color w:val="auto"/>
          <w:kern w:val="0"/>
          <w:sz w:val="28"/>
          <w:szCs w:val="28"/>
          <w:highlight w:val="none"/>
        </w:rPr>
        <w:sectPr>
          <w:pgSz w:w="11907" w:h="16840"/>
          <w:pgMar w:top="1304" w:right="1304" w:bottom="1304" w:left="1304"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keepLines w:val="0"/>
        <w:pageBreakBefore w:val="0"/>
        <w:kinsoku/>
        <w:wordWrap/>
        <w:bidi w:val="0"/>
        <w:adjustRightInd w:val="0"/>
        <w:snapToGrid w:val="0"/>
        <w:textAlignment w:val="auto"/>
        <w:rPr>
          <w:rFonts w:hint="eastAsia"/>
          <w:color w:val="auto"/>
        </w:rPr>
      </w:pPr>
      <w:r>
        <w:rPr>
          <w:rFonts w:hint="eastAsia"/>
          <w:color w:val="auto"/>
        </w:rPr>
        <w:t>五、</w:t>
      </w:r>
      <w:bookmarkStart w:id="3" w:name="_Hlk54167917"/>
      <w:r>
        <w:rPr>
          <w:rFonts w:hint="eastAsia"/>
          <w:color w:val="auto"/>
        </w:rPr>
        <w:t>环境保护措施监督检查清单</w:t>
      </w:r>
      <w:bookmarkEnd w:id="3"/>
    </w:p>
    <w:tbl>
      <w:tblPr>
        <w:tblStyle w:val="7"/>
        <w:tblW w:w="94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020"/>
        <w:gridCol w:w="1570"/>
        <w:gridCol w:w="1341"/>
        <w:gridCol w:w="3075"/>
        <w:gridCol w:w="24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1020" w:type="dxa"/>
            <w:tcBorders>
              <w:tl2br w:val="single" w:color="auto" w:sz="4" w:space="0"/>
            </w:tcBorders>
            <w:noWrap w:val="0"/>
            <w:vAlign w:val="center"/>
          </w:tcPr>
          <w:p>
            <w:pPr>
              <w:pStyle w:val="15"/>
              <w:keepNext w:val="0"/>
              <w:keepLines w:val="0"/>
              <w:pageBreakBefore w:val="0"/>
              <w:kinsoku/>
              <w:wordWrap/>
              <w:overflowPunct/>
              <w:autoSpaceDE/>
              <w:autoSpaceDN/>
              <w:bidi w:val="0"/>
              <w:adjustRightInd w:val="0"/>
              <w:snapToGrid w:val="0"/>
              <w:spacing w:line="240" w:lineRule="auto"/>
              <w:jc w:val="right"/>
              <w:textAlignment w:val="auto"/>
              <w:rPr>
                <w:rFonts w:hint="default"/>
                <w:color w:val="auto"/>
                <w:sz w:val="21"/>
                <w:szCs w:val="21"/>
              </w:rPr>
            </w:pPr>
            <w:r>
              <w:rPr>
                <w:rFonts w:hint="default"/>
                <w:color w:val="auto"/>
                <w:sz w:val="21"/>
                <w:szCs w:val="21"/>
              </w:rPr>
              <w:t>内容</w:t>
            </w:r>
          </w:p>
          <w:p>
            <w:pPr>
              <w:pStyle w:val="15"/>
              <w:keepNext w:val="0"/>
              <w:keepLines w:val="0"/>
              <w:pageBreakBefore w:val="0"/>
              <w:kinsoku/>
              <w:wordWrap/>
              <w:overflowPunct/>
              <w:autoSpaceDE/>
              <w:autoSpaceDN/>
              <w:bidi w:val="0"/>
              <w:adjustRightInd w:val="0"/>
              <w:snapToGrid w:val="0"/>
              <w:spacing w:line="240" w:lineRule="auto"/>
              <w:jc w:val="left"/>
              <w:textAlignment w:val="auto"/>
              <w:rPr>
                <w:rFonts w:hint="default"/>
                <w:color w:val="auto"/>
                <w:sz w:val="21"/>
                <w:szCs w:val="21"/>
              </w:rPr>
            </w:pPr>
            <w:r>
              <w:rPr>
                <w:rFonts w:hint="default"/>
                <w:color w:val="auto"/>
                <w:sz w:val="21"/>
                <w:szCs w:val="21"/>
              </w:rPr>
              <w:t>要素</w:t>
            </w:r>
          </w:p>
        </w:tc>
        <w:tc>
          <w:tcPr>
            <w:tcW w:w="1570" w:type="dxa"/>
            <w:noWrap w:val="0"/>
            <w:vAlign w:val="center"/>
          </w:tcPr>
          <w:p>
            <w:pPr>
              <w:pStyle w:val="15"/>
              <w:keepNext w:val="0"/>
              <w:keepLines w:val="0"/>
              <w:pageBreakBefore w:val="0"/>
              <w:kinsoku/>
              <w:wordWrap/>
              <w:overflowPunct/>
              <w:autoSpaceDE/>
              <w:autoSpaceDN/>
              <w:bidi w:val="0"/>
              <w:adjustRightInd w:val="0"/>
              <w:snapToGrid w:val="0"/>
              <w:spacing w:line="240" w:lineRule="auto"/>
              <w:textAlignment w:val="auto"/>
              <w:rPr>
                <w:rFonts w:hint="default"/>
                <w:color w:val="auto"/>
                <w:sz w:val="21"/>
                <w:szCs w:val="21"/>
              </w:rPr>
            </w:pPr>
            <w:r>
              <w:rPr>
                <w:rFonts w:hint="default"/>
                <w:color w:val="auto"/>
                <w:sz w:val="21"/>
                <w:szCs w:val="21"/>
              </w:rPr>
              <w:t>排放口（编号、名称）/污染源</w:t>
            </w:r>
          </w:p>
        </w:tc>
        <w:tc>
          <w:tcPr>
            <w:tcW w:w="1341" w:type="dxa"/>
            <w:noWrap w:val="0"/>
            <w:vAlign w:val="center"/>
          </w:tcPr>
          <w:p>
            <w:pPr>
              <w:pStyle w:val="15"/>
              <w:keepNext w:val="0"/>
              <w:keepLines w:val="0"/>
              <w:pageBreakBefore w:val="0"/>
              <w:kinsoku/>
              <w:wordWrap/>
              <w:overflowPunct/>
              <w:autoSpaceDE/>
              <w:autoSpaceDN/>
              <w:bidi w:val="0"/>
              <w:adjustRightInd w:val="0"/>
              <w:snapToGrid w:val="0"/>
              <w:spacing w:line="240" w:lineRule="auto"/>
              <w:textAlignment w:val="auto"/>
              <w:rPr>
                <w:rFonts w:hint="default"/>
                <w:color w:val="auto"/>
                <w:sz w:val="21"/>
                <w:szCs w:val="21"/>
              </w:rPr>
            </w:pPr>
            <w:r>
              <w:rPr>
                <w:rFonts w:hint="default"/>
                <w:color w:val="auto"/>
                <w:sz w:val="21"/>
                <w:szCs w:val="21"/>
              </w:rPr>
              <w:t>污染物项目</w:t>
            </w:r>
          </w:p>
        </w:tc>
        <w:tc>
          <w:tcPr>
            <w:tcW w:w="3075" w:type="dxa"/>
            <w:noWrap w:val="0"/>
            <w:vAlign w:val="center"/>
          </w:tcPr>
          <w:p>
            <w:pPr>
              <w:pStyle w:val="15"/>
              <w:keepNext w:val="0"/>
              <w:keepLines w:val="0"/>
              <w:pageBreakBefore w:val="0"/>
              <w:kinsoku/>
              <w:wordWrap/>
              <w:overflowPunct/>
              <w:autoSpaceDE/>
              <w:autoSpaceDN/>
              <w:bidi w:val="0"/>
              <w:adjustRightInd w:val="0"/>
              <w:snapToGrid w:val="0"/>
              <w:spacing w:line="240" w:lineRule="auto"/>
              <w:textAlignment w:val="auto"/>
              <w:rPr>
                <w:rFonts w:hint="default"/>
                <w:color w:val="auto"/>
                <w:sz w:val="21"/>
                <w:szCs w:val="21"/>
              </w:rPr>
            </w:pPr>
            <w:r>
              <w:rPr>
                <w:rFonts w:hint="default"/>
                <w:color w:val="auto"/>
                <w:sz w:val="21"/>
                <w:szCs w:val="21"/>
              </w:rPr>
              <w:t>环境保护措施</w:t>
            </w:r>
          </w:p>
        </w:tc>
        <w:tc>
          <w:tcPr>
            <w:tcW w:w="2415" w:type="dxa"/>
            <w:noWrap w:val="0"/>
            <w:vAlign w:val="center"/>
          </w:tcPr>
          <w:p>
            <w:pPr>
              <w:pStyle w:val="15"/>
              <w:keepNext w:val="0"/>
              <w:keepLines w:val="0"/>
              <w:pageBreakBefore w:val="0"/>
              <w:kinsoku/>
              <w:wordWrap/>
              <w:overflowPunct/>
              <w:autoSpaceDE/>
              <w:autoSpaceDN/>
              <w:bidi w:val="0"/>
              <w:adjustRightInd w:val="0"/>
              <w:snapToGrid w:val="0"/>
              <w:spacing w:line="240" w:lineRule="auto"/>
              <w:textAlignment w:val="auto"/>
              <w:rPr>
                <w:rFonts w:hint="default"/>
                <w:color w:val="auto"/>
                <w:sz w:val="21"/>
                <w:szCs w:val="21"/>
              </w:rPr>
            </w:pPr>
            <w:r>
              <w:rPr>
                <w:rFonts w:hint="default"/>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大气环境</w:t>
            </w:r>
          </w:p>
        </w:tc>
        <w:tc>
          <w:tcPr>
            <w:tcW w:w="157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DA001</w:t>
            </w:r>
          </w:p>
        </w:tc>
        <w:tc>
          <w:tcPr>
            <w:tcW w:w="1341" w:type="dxa"/>
            <w:noWrap w:val="0"/>
            <w:vAlign w:val="center"/>
          </w:tcPr>
          <w:p>
            <w:pPr>
              <w:pStyle w:val="13"/>
              <w:keepLines w:val="0"/>
              <w:pageBreakBefore w:val="0"/>
              <w:kinsoku/>
              <w:wordWrap/>
              <w:bidi w:val="0"/>
              <w:adjustRightInd w:val="0"/>
              <w:snapToGrid w:val="0"/>
              <w:textAlignment w:val="auto"/>
              <w:rPr>
                <w:rFonts w:ascii="Times New Roman" w:hAnsi="Times New Roman" w:eastAsia="宋体" w:cs="Times New Roman"/>
                <w:color w:val="auto"/>
                <w:sz w:val="21"/>
                <w:szCs w:val="21"/>
                <w:lang w:val="en-US" w:eastAsia="zh-CN" w:bidi="ar-SA"/>
              </w:rPr>
            </w:pPr>
            <w:r>
              <w:rPr>
                <w:rFonts w:hint="eastAsia"/>
                <w:color w:val="auto"/>
                <w:sz w:val="21"/>
                <w:szCs w:val="21"/>
                <w:lang w:eastAsia="zh-CN"/>
              </w:rPr>
              <w:t>颗粒物</w:t>
            </w:r>
          </w:p>
        </w:tc>
        <w:tc>
          <w:tcPr>
            <w:tcW w:w="3075" w:type="dxa"/>
            <w:vMerge w:val="restart"/>
            <w:noWrap w:val="0"/>
            <w:vAlign w:val="center"/>
          </w:tcPr>
          <w:p>
            <w:pPr>
              <w:pStyle w:val="13"/>
              <w:bidi w:val="0"/>
              <w:rPr>
                <w:color w:val="auto"/>
                <w:sz w:val="21"/>
                <w:szCs w:val="21"/>
                <w:lang w:val="en-US" w:eastAsia="zh-CN"/>
              </w:rPr>
            </w:pPr>
            <w:r>
              <w:rPr>
                <w:rFonts w:hint="eastAsia"/>
                <w:color w:val="auto"/>
                <w:sz w:val="21"/>
                <w:szCs w:val="21"/>
                <w:lang w:val="en-US" w:eastAsia="zh-CN"/>
              </w:rPr>
              <w:t>通过集气设施收集经二级活性炭处理后由一根15m高排气筒（DA001）排放</w:t>
            </w:r>
          </w:p>
        </w:tc>
        <w:tc>
          <w:tcPr>
            <w:tcW w:w="2415" w:type="dxa"/>
            <w:vMerge w:val="restart"/>
            <w:noWrap w:val="0"/>
            <w:vAlign w:val="center"/>
          </w:tcPr>
          <w:p>
            <w:pPr>
              <w:pStyle w:val="13"/>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rPr>
            </w:pPr>
            <w:r>
              <w:rPr>
                <w:rFonts w:hint="eastAsia"/>
                <w:color w:val="auto"/>
                <w:sz w:val="21"/>
                <w:szCs w:val="21"/>
              </w:rPr>
              <w:t>项目废气中</w:t>
            </w:r>
            <w:r>
              <w:rPr>
                <w:rFonts w:hint="eastAsia"/>
                <w:color w:val="auto"/>
                <w:sz w:val="21"/>
                <w:szCs w:val="21"/>
                <w:lang w:val="en-US" w:eastAsia="zh-CN"/>
              </w:rPr>
              <w:t>颗粒物、</w:t>
            </w:r>
            <w:r>
              <w:rPr>
                <w:rFonts w:hint="eastAsia"/>
                <w:color w:val="auto"/>
                <w:sz w:val="21"/>
                <w:szCs w:val="21"/>
              </w:rPr>
              <w:t>非甲烷总烃排放执行《大气污染物综合排放标准》（GB 16297-1996）表2中排放限值；天然气燃烧废气排放执行</w:t>
            </w:r>
            <w:r>
              <w:rPr>
                <w:rFonts w:hint="eastAsia"/>
                <w:color w:val="auto"/>
                <w:sz w:val="21"/>
                <w:szCs w:val="21"/>
                <w:lang w:eastAsia="zh-CN"/>
              </w:rPr>
              <w:t>《工业炉窑大气污染物排放标准》（GB</w:t>
            </w:r>
            <w:r>
              <w:rPr>
                <w:rFonts w:hint="eastAsia"/>
                <w:color w:val="auto"/>
                <w:sz w:val="21"/>
                <w:szCs w:val="21"/>
                <w:lang w:val="en-US" w:eastAsia="zh-CN"/>
              </w:rPr>
              <w:t xml:space="preserve"> </w:t>
            </w:r>
            <w:r>
              <w:rPr>
                <w:rFonts w:hint="eastAsia"/>
                <w:color w:val="auto"/>
                <w:sz w:val="21"/>
                <w:szCs w:val="21"/>
                <w:lang w:eastAsia="zh-CN"/>
              </w:rPr>
              <w:t>9078-1996）和《安徽省大气办关于印发＜安徽省2020年大气污染防治重点工作任务＞的通知》（皖大气办〔2020〕2号）中排放限值</w:t>
            </w:r>
            <w:r>
              <w:rPr>
                <w:rFonts w:hint="eastAsia"/>
                <w:color w:val="auto"/>
                <w:sz w:val="21"/>
                <w:szCs w:val="21"/>
              </w:rPr>
              <w:t>；厂区内挥发性有机物排放执行《挥发性有机物无组织排放控制标准》（GB 37822</w:t>
            </w:r>
            <w:r>
              <w:rPr>
                <w:rFonts w:hint="eastAsia"/>
                <w:color w:val="auto"/>
                <w:sz w:val="21"/>
                <w:szCs w:val="21"/>
                <w:lang w:val="en-US" w:eastAsia="zh-CN"/>
              </w:rPr>
              <w:t xml:space="preserve"> </w:t>
            </w:r>
            <w:r>
              <w:rPr>
                <w:rFonts w:hint="eastAsia"/>
                <w:color w:val="auto"/>
                <w:sz w:val="21"/>
                <w:szCs w:val="21"/>
              </w:rPr>
              <w:t>-2019）表A.1厂区内VOCs无组织排放限值</w:t>
            </w:r>
            <w:r>
              <w:rPr>
                <w:rFonts w:hint="eastAsia"/>
                <w:color w:val="auto"/>
                <w:sz w:val="21"/>
                <w:szCs w:val="21"/>
                <w:lang w:eastAsia="zh-CN"/>
              </w:rPr>
              <w:t>；食堂油烟排放参照执行《饮食业油烟排放标准》（试行）(GB</w:t>
            </w:r>
            <w:r>
              <w:rPr>
                <w:rFonts w:hint="eastAsia"/>
                <w:color w:val="auto"/>
                <w:sz w:val="21"/>
                <w:szCs w:val="21"/>
                <w:lang w:val="en-US" w:eastAsia="zh-CN"/>
              </w:rPr>
              <w:t xml:space="preserve"> </w:t>
            </w:r>
            <w:r>
              <w:rPr>
                <w:rFonts w:hint="eastAsia"/>
                <w:color w:val="auto"/>
                <w:sz w:val="21"/>
                <w:szCs w:val="21"/>
                <w:lang w:eastAsia="zh-CN"/>
              </w:rPr>
              <w:t>18483-2001)中有关规定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NOx</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val="en-US" w:eastAsia="zh-CN"/>
              </w:rPr>
              <w:t>DA002</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val="en-US" w:eastAsia="zh-CN"/>
              </w:rPr>
              <w:t>颗粒物</w:t>
            </w:r>
          </w:p>
        </w:tc>
        <w:tc>
          <w:tcPr>
            <w:tcW w:w="3075" w:type="dxa"/>
            <w:vMerge w:val="restart"/>
            <w:noWrap w:val="0"/>
            <w:vAlign w:val="center"/>
          </w:tcPr>
          <w:p>
            <w:pPr>
              <w:pStyle w:val="13"/>
              <w:bidi w:val="0"/>
              <w:rPr>
                <w:rFonts w:hint="eastAsia"/>
                <w:color w:val="auto"/>
                <w:sz w:val="21"/>
                <w:szCs w:val="21"/>
                <w:lang w:val="en-US" w:eastAsia="zh-CN"/>
              </w:rPr>
            </w:pPr>
            <w:r>
              <w:rPr>
                <w:rFonts w:hint="eastAsia"/>
                <w:color w:val="auto"/>
                <w:sz w:val="21"/>
                <w:szCs w:val="21"/>
                <w:lang w:val="en-US" w:eastAsia="zh-CN"/>
              </w:rPr>
              <w:t>通过集气设施收集经布袋除尘器+二级活性炭处理后由一根15m高排气筒（DA002）排放</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非甲烷总烃</w:t>
            </w:r>
          </w:p>
        </w:tc>
        <w:tc>
          <w:tcPr>
            <w:tcW w:w="3075"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DA003</w:t>
            </w: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eastAsia="zh-CN"/>
              </w:rPr>
              <w:t>颗粒物</w:t>
            </w:r>
          </w:p>
        </w:tc>
        <w:tc>
          <w:tcPr>
            <w:tcW w:w="3075" w:type="dxa"/>
            <w:vMerge w:val="restart"/>
            <w:noWrap w:val="0"/>
            <w:vAlign w:val="center"/>
          </w:tcPr>
          <w:p>
            <w:pPr>
              <w:pStyle w:val="13"/>
              <w:bidi w:val="0"/>
              <w:rPr>
                <w:rFonts w:hint="eastAsia"/>
                <w:color w:val="auto"/>
                <w:sz w:val="21"/>
                <w:szCs w:val="21"/>
                <w:lang w:eastAsia="zh-CN"/>
              </w:rPr>
            </w:pPr>
            <w:r>
              <w:rPr>
                <w:rFonts w:hint="eastAsia"/>
                <w:color w:val="auto"/>
                <w:sz w:val="21"/>
                <w:szCs w:val="21"/>
                <w:lang w:val="en-US" w:eastAsia="zh-CN"/>
              </w:rPr>
              <w:t>通过集气设施收集经布袋除尘器+二级活性炭处理后由一根15m高排气筒（DA003）排放</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SO</w:t>
            </w:r>
            <w:r>
              <w:rPr>
                <w:rFonts w:hint="eastAsia"/>
                <w:color w:val="auto"/>
                <w:sz w:val="21"/>
                <w:szCs w:val="21"/>
                <w:vertAlign w:val="subscript"/>
                <w:lang w:val="en-US" w:eastAsia="zh-CN"/>
              </w:rPr>
              <w:t>2</w:t>
            </w:r>
          </w:p>
        </w:tc>
        <w:tc>
          <w:tcPr>
            <w:tcW w:w="3075"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NOx</w:t>
            </w:r>
          </w:p>
        </w:tc>
        <w:tc>
          <w:tcPr>
            <w:tcW w:w="3075"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p>
        </w:tc>
        <w:tc>
          <w:tcPr>
            <w:tcW w:w="1341" w:type="dxa"/>
            <w:noWrap w:val="0"/>
            <w:vAlign w:val="center"/>
          </w:tcPr>
          <w:p>
            <w:pPr>
              <w:pStyle w:val="13"/>
              <w:keepLines w:val="0"/>
              <w:pageBreakBefore w:val="0"/>
              <w:kinsoku/>
              <w:wordWrap/>
              <w:bidi w:val="0"/>
              <w:adjustRightInd w:val="0"/>
              <w:snapToGrid w:val="0"/>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3075"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val="en-US" w:eastAsia="zh-CN"/>
              </w:rPr>
              <w:t>食堂油烟</w:t>
            </w:r>
          </w:p>
        </w:tc>
        <w:tc>
          <w:tcPr>
            <w:tcW w:w="1341"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油烟</w:t>
            </w:r>
          </w:p>
        </w:tc>
        <w:tc>
          <w:tcPr>
            <w:tcW w:w="3075" w:type="dxa"/>
            <w:noWrap w:val="0"/>
            <w:vAlign w:val="center"/>
          </w:tcPr>
          <w:p>
            <w:pPr>
              <w:pStyle w:val="13"/>
              <w:bidi w:val="0"/>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通过油烟净化器处理后于楼顶高空排放</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无组织</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颗粒物</w:t>
            </w:r>
          </w:p>
        </w:tc>
        <w:tc>
          <w:tcPr>
            <w:tcW w:w="307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tcBorders/>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ascii="Times New Roman" w:hAnsi="Times New Roman" w:eastAsia="宋体" w:cs="Times New Roman"/>
                <w:color w:val="auto"/>
                <w:sz w:val="21"/>
                <w:szCs w:val="21"/>
                <w:lang w:val="en-US" w:eastAsia="zh-CN" w:bidi="ar-SA"/>
              </w:rPr>
            </w:pPr>
            <w:r>
              <w:rPr>
                <w:rFonts w:hint="eastAsia"/>
                <w:color w:val="auto"/>
                <w:sz w:val="21"/>
                <w:szCs w:val="21"/>
                <w:lang w:val="en-US" w:eastAsia="zh-CN"/>
              </w:rPr>
              <w:t>非甲烷总烃</w:t>
            </w:r>
          </w:p>
        </w:tc>
        <w:tc>
          <w:tcPr>
            <w:tcW w:w="307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厂区内</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eastAsia="宋体"/>
                <w:color w:val="auto"/>
                <w:sz w:val="21"/>
                <w:szCs w:val="21"/>
                <w:lang w:val="en-US" w:eastAsia="zh-CN"/>
              </w:rPr>
            </w:pPr>
            <w:r>
              <w:rPr>
                <w:rFonts w:hint="eastAsia" w:eastAsia="宋体"/>
                <w:color w:val="auto"/>
                <w:sz w:val="21"/>
                <w:szCs w:val="21"/>
                <w:lang w:val="en-US" w:eastAsia="zh-CN"/>
              </w:rPr>
              <w:t>非甲烷总烃</w:t>
            </w:r>
          </w:p>
        </w:tc>
        <w:tc>
          <w:tcPr>
            <w:tcW w:w="307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地表水</w:t>
            </w:r>
          </w:p>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环境</w:t>
            </w:r>
          </w:p>
        </w:tc>
        <w:tc>
          <w:tcPr>
            <w:tcW w:w="157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生活污水</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COD</w:t>
            </w:r>
          </w:p>
        </w:tc>
        <w:tc>
          <w:tcPr>
            <w:tcW w:w="3075"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val="en-US" w:eastAsia="zh-CN"/>
              </w:rPr>
              <w:t>经</w:t>
            </w:r>
            <w:r>
              <w:rPr>
                <w:rFonts w:hint="eastAsia"/>
                <w:color w:val="auto"/>
                <w:sz w:val="21"/>
                <w:szCs w:val="21"/>
                <w:lang w:eastAsia="zh-CN"/>
              </w:rPr>
              <w:t>隔油池、化粪池</w:t>
            </w:r>
            <w:r>
              <w:rPr>
                <w:color w:val="auto"/>
                <w:sz w:val="21"/>
                <w:szCs w:val="21"/>
              </w:rPr>
              <w:t>预处理后进入</w:t>
            </w:r>
            <w:r>
              <w:rPr>
                <w:rFonts w:hint="eastAsia"/>
                <w:color w:val="auto"/>
                <w:sz w:val="21"/>
                <w:szCs w:val="21"/>
                <w:lang w:eastAsia="zh-CN"/>
              </w:rPr>
              <w:t>怀远经济开发区污水处理厂</w:t>
            </w:r>
          </w:p>
        </w:tc>
        <w:tc>
          <w:tcPr>
            <w:tcW w:w="2415"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eastAsia="zh-CN"/>
              </w:rPr>
              <w:t>怀远经济开发区污水处理厂接管限值和《污水综合排放标准》（GB</w:t>
            </w:r>
            <w:r>
              <w:rPr>
                <w:rFonts w:hint="eastAsia"/>
                <w:color w:val="auto"/>
                <w:sz w:val="21"/>
                <w:szCs w:val="21"/>
                <w:lang w:val="en-US" w:eastAsia="zh-CN"/>
              </w:rPr>
              <w:t xml:space="preserve"> </w:t>
            </w:r>
            <w:r>
              <w:rPr>
                <w:rFonts w:hint="eastAsia"/>
                <w:color w:val="auto"/>
                <w:sz w:val="21"/>
                <w:szCs w:val="21"/>
                <w:lang w:eastAsia="zh-CN"/>
              </w:rPr>
              <w:t>8978</w:t>
            </w:r>
            <w:r>
              <w:rPr>
                <w:rFonts w:hint="eastAsia"/>
                <w:color w:val="auto"/>
                <w:sz w:val="21"/>
                <w:szCs w:val="21"/>
                <w:lang w:val="en-US" w:eastAsia="zh-CN"/>
              </w:rPr>
              <w:t xml:space="preserve"> </w:t>
            </w:r>
            <w:r>
              <w:rPr>
                <w:rFonts w:hint="eastAsia"/>
                <w:color w:val="auto"/>
                <w:sz w:val="21"/>
                <w:szCs w:val="21"/>
                <w:lang w:eastAsia="zh-CN"/>
              </w:rPr>
              <w:t>-1996）表4中三级标准限值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BOD</w:t>
            </w:r>
            <w:r>
              <w:rPr>
                <w:color w:val="auto"/>
                <w:sz w:val="21"/>
                <w:szCs w:val="21"/>
                <w:vertAlign w:val="subscript"/>
              </w:rPr>
              <w:t>5</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SS</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动植物油</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eastAsia="zh-CN"/>
              </w:rPr>
              <w:t>冷却排水</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COD</w:t>
            </w:r>
          </w:p>
        </w:tc>
        <w:tc>
          <w:tcPr>
            <w:tcW w:w="3075" w:type="dxa"/>
            <w:vMerge w:val="restart"/>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eastAsia="宋体"/>
                <w:color w:val="auto"/>
                <w:sz w:val="21"/>
                <w:szCs w:val="21"/>
                <w:lang w:eastAsia="zh-CN"/>
              </w:rPr>
            </w:pPr>
            <w:r>
              <w:rPr>
                <w:color w:val="auto"/>
                <w:sz w:val="21"/>
                <w:szCs w:val="21"/>
              </w:rPr>
              <w:t>进入</w:t>
            </w:r>
            <w:r>
              <w:rPr>
                <w:rFonts w:hint="eastAsia"/>
                <w:color w:val="auto"/>
                <w:sz w:val="21"/>
                <w:szCs w:val="21"/>
                <w:lang w:eastAsia="zh-CN"/>
              </w:rPr>
              <w:t>怀远经济开发区污水处理厂</w:t>
            </w: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c>
          <w:tcPr>
            <w:tcW w:w="1570"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eastAsia="zh-CN"/>
              </w:rPr>
            </w:pP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SS</w:t>
            </w:r>
          </w:p>
        </w:tc>
        <w:tc>
          <w:tcPr>
            <w:tcW w:w="307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lang w:val="en-US" w:eastAsia="zh-CN"/>
              </w:rPr>
            </w:pPr>
          </w:p>
        </w:tc>
        <w:tc>
          <w:tcPr>
            <w:tcW w:w="2415" w:type="dxa"/>
            <w:vMerge w:val="continue"/>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0"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声环境</w:t>
            </w:r>
          </w:p>
        </w:tc>
        <w:tc>
          <w:tcPr>
            <w:tcW w:w="157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生产设备</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设备噪声</w:t>
            </w:r>
          </w:p>
        </w:tc>
        <w:tc>
          <w:tcPr>
            <w:tcW w:w="307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rFonts w:hint="eastAsia"/>
                <w:color w:val="auto"/>
                <w:sz w:val="21"/>
                <w:szCs w:val="21"/>
                <w:lang w:val="en-US" w:eastAsia="zh-CN"/>
              </w:rPr>
              <w:t>采取</w:t>
            </w:r>
            <w:r>
              <w:rPr>
                <w:rFonts w:hint="eastAsia"/>
                <w:color w:val="auto"/>
                <w:sz w:val="21"/>
                <w:szCs w:val="21"/>
                <w:lang w:eastAsia="zh-CN"/>
              </w:rPr>
              <w:t>选用低噪声设备、厂房隔声、基础减振</w:t>
            </w:r>
            <w:r>
              <w:rPr>
                <w:color w:val="auto"/>
                <w:sz w:val="21"/>
                <w:szCs w:val="21"/>
              </w:rPr>
              <w:t>等措施</w:t>
            </w:r>
          </w:p>
        </w:tc>
        <w:tc>
          <w:tcPr>
            <w:tcW w:w="241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rFonts w:hint="eastAsia"/>
                <w:color w:val="auto"/>
                <w:sz w:val="21"/>
                <w:szCs w:val="21"/>
              </w:rPr>
            </w:pPr>
            <w:r>
              <w:rPr>
                <w:color w:val="auto"/>
                <w:sz w:val="21"/>
                <w:szCs w:val="21"/>
              </w:rPr>
              <w:t>《工业企业厂界环境噪声排放标准》（GB</w:t>
            </w:r>
            <w:r>
              <w:rPr>
                <w:rFonts w:hint="eastAsia"/>
                <w:color w:val="auto"/>
                <w:sz w:val="21"/>
                <w:szCs w:val="21"/>
              </w:rPr>
              <w:t xml:space="preserve"> </w:t>
            </w:r>
            <w:r>
              <w:rPr>
                <w:color w:val="auto"/>
                <w:sz w:val="21"/>
                <w:szCs w:val="21"/>
              </w:rPr>
              <w:t>12348</w:t>
            </w:r>
            <w:r>
              <w:rPr>
                <w:rFonts w:hint="eastAsia"/>
                <w:color w:val="auto"/>
                <w:sz w:val="21"/>
                <w:szCs w:val="21"/>
                <w:lang w:val="en-US" w:eastAsia="zh-CN"/>
              </w:rPr>
              <w:t xml:space="preserve"> </w:t>
            </w:r>
            <w:r>
              <w:rPr>
                <w:color w:val="auto"/>
                <w:sz w:val="21"/>
                <w:szCs w:val="21"/>
              </w:rPr>
              <w:t>-2008）</w:t>
            </w:r>
            <w:r>
              <w:rPr>
                <w:rFonts w:hint="eastAsia"/>
                <w:color w:val="auto"/>
                <w:sz w:val="21"/>
                <w:szCs w:val="21"/>
              </w:rPr>
              <w:t>中</w:t>
            </w:r>
            <w:r>
              <w:rPr>
                <w:color w:val="auto"/>
                <w:sz w:val="21"/>
                <w:szCs w:val="21"/>
              </w:rPr>
              <w:t>3类标准</w:t>
            </w:r>
            <w:r>
              <w:rPr>
                <w:rFonts w:hint="eastAsia"/>
                <w:color w:val="auto"/>
                <w:sz w:val="21"/>
                <w:szCs w:val="21"/>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电磁辐射</w:t>
            </w:r>
          </w:p>
        </w:tc>
        <w:tc>
          <w:tcPr>
            <w:tcW w:w="157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w:t>
            </w:r>
          </w:p>
        </w:tc>
        <w:tc>
          <w:tcPr>
            <w:tcW w:w="1341"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w:t>
            </w:r>
          </w:p>
        </w:tc>
        <w:tc>
          <w:tcPr>
            <w:tcW w:w="307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w:t>
            </w:r>
          </w:p>
        </w:tc>
        <w:tc>
          <w:tcPr>
            <w:tcW w:w="2415"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350"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固体废物</w:t>
            </w:r>
          </w:p>
        </w:tc>
        <w:tc>
          <w:tcPr>
            <w:tcW w:w="8401" w:type="dxa"/>
            <w:gridSpan w:val="4"/>
            <w:noWrap w:val="0"/>
            <w:vAlign w:val="center"/>
          </w:tcPr>
          <w:p>
            <w:pPr>
              <w:keepNext w:val="0"/>
              <w:keepLines w:val="0"/>
              <w:pageBreakBefore w:val="0"/>
              <w:widowControl w:val="0"/>
              <w:shd w:val="clear" w:color="auto" w:fill="auto"/>
              <w:kinsoku/>
              <w:wordWrap/>
              <w:overflowPunct/>
              <w:topLinePunct/>
              <w:autoSpaceDE/>
              <w:autoSpaceDN/>
              <w:bidi w:val="0"/>
              <w:adjustRightInd w:val="0"/>
              <w:snapToGrid w:val="0"/>
              <w:spacing w:before="157" w:beforeLines="50" w:line="360" w:lineRule="auto"/>
              <w:ind w:firstLine="420" w:firstLineChars="200"/>
              <w:jc w:val="both"/>
              <w:textAlignment w:val="auto"/>
              <w:rPr>
                <w:rFonts w:hint="eastAsia"/>
                <w:color w:val="auto"/>
                <w:sz w:val="21"/>
                <w:szCs w:val="21"/>
                <w:highlight w:val="none"/>
                <w:lang w:eastAsia="zh-CN"/>
              </w:rPr>
            </w:pPr>
            <w:r>
              <w:rPr>
                <w:rFonts w:hint="eastAsia"/>
                <w:color w:val="auto"/>
                <w:sz w:val="21"/>
                <w:szCs w:val="21"/>
                <w:highlight w:val="none"/>
              </w:rPr>
              <w:t>固废分类收集、分类贮存；设置</w:t>
            </w:r>
            <w:r>
              <w:rPr>
                <w:rFonts w:hint="eastAsia"/>
                <w:color w:val="auto"/>
                <w:sz w:val="21"/>
                <w:szCs w:val="21"/>
                <w:highlight w:val="none"/>
                <w:lang w:eastAsia="zh-CN"/>
              </w:rPr>
              <w:t>一般固废暂存区</w:t>
            </w:r>
            <w:r>
              <w:rPr>
                <w:rFonts w:hint="eastAsia"/>
                <w:color w:val="auto"/>
                <w:sz w:val="21"/>
                <w:szCs w:val="21"/>
                <w:highlight w:val="none"/>
              </w:rPr>
              <w:t>和危险废物暂存间</w:t>
            </w:r>
            <w:r>
              <w:rPr>
                <w:rFonts w:hint="eastAsia"/>
                <w:color w:val="auto"/>
                <w:sz w:val="21"/>
                <w:szCs w:val="21"/>
                <w:highlight w:val="none"/>
                <w:lang w:eastAsia="zh-CN"/>
              </w:rPr>
              <w:t>。</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color w:val="auto"/>
                <w:sz w:val="21"/>
                <w:szCs w:val="21"/>
              </w:rPr>
            </w:pP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color w:val="auto"/>
                <w:sz w:val="21"/>
                <w:szCs w:val="21"/>
              </w:rPr>
              <w:t>一般固废</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rFonts w:hint="eastAsia"/>
                <w:color w:val="auto"/>
                <w:sz w:val="21"/>
                <w:szCs w:val="21"/>
              </w:rPr>
            </w:pPr>
            <w:r>
              <w:rPr>
                <w:rFonts w:hint="eastAsia"/>
                <w:color w:val="auto"/>
                <w:sz w:val="21"/>
                <w:szCs w:val="21"/>
              </w:rPr>
              <w:t>一般固废为废包装材料</w:t>
            </w:r>
            <w:r>
              <w:rPr>
                <w:rFonts w:hint="eastAsia"/>
                <w:color w:val="auto"/>
                <w:sz w:val="21"/>
                <w:szCs w:val="21"/>
                <w:lang w:eastAsia="zh-CN"/>
              </w:rPr>
              <w:t>、</w:t>
            </w:r>
            <w:r>
              <w:rPr>
                <w:rFonts w:hint="eastAsia"/>
                <w:color w:val="auto"/>
                <w:sz w:val="21"/>
                <w:szCs w:val="21"/>
                <w:lang w:val="en-US" w:eastAsia="zh-CN"/>
              </w:rPr>
              <w:t>纤维碎屑、</w:t>
            </w:r>
            <w:r>
              <w:rPr>
                <w:color w:val="auto"/>
                <w:sz w:val="21"/>
                <w:szCs w:val="21"/>
              </w:rPr>
              <w:t>边角料</w:t>
            </w:r>
            <w:r>
              <w:rPr>
                <w:rFonts w:hint="eastAsia"/>
                <w:color w:val="auto"/>
                <w:sz w:val="21"/>
                <w:szCs w:val="21"/>
              </w:rPr>
              <w:t>、</w:t>
            </w:r>
            <w:r>
              <w:rPr>
                <w:rFonts w:hint="eastAsia"/>
                <w:color w:val="auto"/>
                <w:sz w:val="21"/>
                <w:szCs w:val="21"/>
                <w:lang w:val="en-US" w:eastAsia="zh-CN"/>
              </w:rPr>
              <w:t>超声波复合无纺布和无纺布边角料</w:t>
            </w:r>
            <w:r>
              <w:rPr>
                <w:rFonts w:hint="eastAsia"/>
                <w:color w:val="auto"/>
                <w:sz w:val="21"/>
                <w:szCs w:val="21"/>
                <w:lang w:eastAsia="zh-CN"/>
              </w:rPr>
              <w:t>、</w:t>
            </w:r>
            <w:r>
              <w:rPr>
                <w:rFonts w:hint="eastAsia"/>
                <w:color w:val="auto"/>
                <w:sz w:val="21"/>
                <w:szCs w:val="21"/>
                <w:lang w:val="en-US" w:eastAsia="zh-CN"/>
              </w:rPr>
              <w:t>活性炭无纺布和浸渍无纺布边角料</w:t>
            </w:r>
            <w:r>
              <w:rPr>
                <w:rFonts w:hint="eastAsia"/>
                <w:color w:val="auto"/>
                <w:sz w:val="21"/>
                <w:szCs w:val="21"/>
              </w:rPr>
              <w:t>、布袋收尘</w:t>
            </w:r>
            <w:r>
              <w:rPr>
                <w:rFonts w:hint="eastAsia"/>
                <w:color w:val="auto"/>
                <w:sz w:val="21"/>
                <w:szCs w:val="21"/>
                <w:lang w:eastAsia="zh-CN"/>
              </w:rPr>
              <w:t>、</w:t>
            </w:r>
            <w:r>
              <w:rPr>
                <w:rFonts w:hint="eastAsia"/>
                <w:color w:val="auto"/>
                <w:sz w:val="21"/>
                <w:szCs w:val="21"/>
                <w:lang w:val="en-US" w:eastAsia="zh-CN"/>
              </w:rPr>
              <w:t>废硬浆4075桶、废颜料桶</w:t>
            </w:r>
            <w:r>
              <w:rPr>
                <w:rFonts w:hint="eastAsia"/>
                <w:color w:val="auto"/>
                <w:sz w:val="21"/>
                <w:szCs w:val="21"/>
              </w:rPr>
              <w:t>。</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rFonts w:hint="eastAsia"/>
                <w:color w:val="auto"/>
                <w:sz w:val="21"/>
                <w:szCs w:val="21"/>
                <w:lang w:eastAsia="zh-CN"/>
              </w:rPr>
            </w:pPr>
            <w:r>
              <w:rPr>
                <w:rFonts w:hint="eastAsia"/>
                <w:color w:val="auto"/>
                <w:sz w:val="21"/>
                <w:szCs w:val="21"/>
                <w:lang w:eastAsia="zh-CN"/>
              </w:rPr>
              <w:t>废包装材料收集后定期外售；</w:t>
            </w:r>
            <w:r>
              <w:rPr>
                <w:rFonts w:hint="eastAsia"/>
                <w:color w:val="auto"/>
                <w:sz w:val="21"/>
                <w:szCs w:val="21"/>
                <w:lang w:val="en-US" w:eastAsia="zh-CN"/>
              </w:rPr>
              <w:t>纤维碎屑、布袋收尘收集后回用于生产；边角料、超声波复合无纺布和无纺布边角料经开松后回用于生产；活性炭无纺布和浸渍无纺布边角料收集后定期外售；废硬浆4075桶、废颜料桶收集后由厂家回收。</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color w:val="auto"/>
                <w:sz w:val="21"/>
                <w:szCs w:val="21"/>
              </w:rPr>
            </w:pPr>
            <w:r>
              <w:rPr>
                <w:rFonts w:hint="eastAsia"/>
                <w:color w:val="auto"/>
                <w:sz w:val="21"/>
                <w:szCs w:val="21"/>
                <w:lang w:eastAsia="zh-CN"/>
              </w:rPr>
              <w:t>（</w:t>
            </w:r>
            <w:r>
              <w:rPr>
                <w:rFonts w:hint="eastAsia"/>
                <w:color w:val="auto"/>
                <w:sz w:val="21"/>
                <w:szCs w:val="21"/>
                <w:lang w:val="en-US" w:eastAsia="zh-CN"/>
              </w:rPr>
              <w:t>2</w:t>
            </w:r>
            <w:r>
              <w:rPr>
                <w:rFonts w:hint="eastAsia"/>
                <w:color w:val="auto"/>
                <w:sz w:val="21"/>
                <w:szCs w:val="21"/>
                <w:lang w:eastAsia="zh-CN"/>
              </w:rPr>
              <w:t>）</w:t>
            </w:r>
            <w:r>
              <w:rPr>
                <w:color w:val="auto"/>
                <w:sz w:val="21"/>
                <w:szCs w:val="21"/>
              </w:rPr>
              <w:t>危险废物</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rFonts w:hint="eastAsia"/>
                <w:color w:val="auto"/>
                <w:sz w:val="21"/>
                <w:szCs w:val="21"/>
                <w:lang w:eastAsia="zh-CN"/>
              </w:rPr>
            </w:pPr>
            <w:r>
              <w:rPr>
                <w:rFonts w:hint="eastAsia"/>
                <w:color w:val="auto"/>
                <w:sz w:val="21"/>
                <w:szCs w:val="21"/>
                <w:lang w:eastAsia="zh-CN"/>
              </w:rPr>
              <w:t>危险废物为</w:t>
            </w:r>
            <w:r>
              <w:rPr>
                <w:rFonts w:hint="eastAsia"/>
                <w:color w:val="auto"/>
                <w:sz w:val="21"/>
                <w:szCs w:val="21"/>
                <w:lang w:val="en-US" w:eastAsia="zh-CN"/>
              </w:rPr>
              <w:t>废热熔胶袋</w:t>
            </w:r>
            <w:r>
              <w:rPr>
                <w:rFonts w:hint="eastAsia"/>
                <w:color w:val="auto"/>
                <w:sz w:val="21"/>
                <w:szCs w:val="21"/>
                <w:lang w:eastAsia="zh-CN"/>
              </w:rPr>
              <w:t>、</w:t>
            </w:r>
            <w:r>
              <w:rPr>
                <w:rFonts w:hint="eastAsia"/>
                <w:color w:val="auto"/>
                <w:sz w:val="21"/>
                <w:szCs w:val="21"/>
                <w:lang w:val="en-US" w:eastAsia="zh-CN"/>
              </w:rPr>
              <w:t>废软胶805桶</w:t>
            </w:r>
            <w:r>
              <w:rPr>
                <w:rFonts w:hint="eastAsia"/>
                <w:color w:val="auto"/>
                <w:sz w:val="21"/>
                <w:szCs w:val="21"/>
                <w:lang w:eastAsia="zh-CN"/>
              </w:rPr>
              <w:t>、</w:t>
            </w:r>
            <w:r>
              <w:rPr>
                <w:rFonts w:hint="eastAsia"/>
                <w:color w:val="auto"/>
                <w:sz w:val="21"/>
                <w:szCs w:val="21"/>
                <w:lang w:val="en-US" w:eastAsia="zh-CN"/>
              </w:rPr>
              <w:t>废软胶810桶</w:t>
            </w:r>
            <w:r>
              <w:rPr>
                <w:rFonts w:hint="eastAsia"/>
                <w:color w:val="auto"/>
                <w:sz w:val="21"/>
                <w:szCs w:val="21"/>
                <w:lang w:eastAsia="zh-CN"/>
              </w:rPr>
              <w:t>、</w:t>
            </w:r>
            <w:r>
              <w:rPr>
                <w:rFonts w:hint="eastAsia"/>
                <w:color w:val="auto"/>
                <w:sz w:val="21"/>
                <w:szCs w:val="21"/>
                <w:lang w:val="en-US" w:eastAsia="zh-CN"/>
              </w:rPr>
              <w:t>废活性炭</w:t>
            </w:r>
            <w:r>
              <w:rPr>
                <w:rFonts w:hint="eastAsia"/>
                <w:color w:val="auto"/>
                <w:sz w:val="21"/>
                <w:szCs w:val="21"/>
                <w:lang w:eastAsia="zh-CN"/>
              </w:rPr>
              <w:t>。</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rFonts w:hint="eastAsia"/>
                <w:color w:val="auto"/>
                <w:sz w:val="21"/>
                <w:szCs w:val="21"/>
                <w:lang w:eastAsia="zh-CN"/>
              </w:rPr>
            </w:pPr>
            <w:r>
              <w:rPr>
                <w:rFonts w:hint="eastAsia"/>
                <w:color w:val="auto"/>
                <w:sz w:val="21"/>
                <w:szCs w:val="21"/>
                <w:lang w:val="en-US" w:eastAsia="zh-CN"/>
              </w:rPr>
              <w:t>废热熔胶袋</w:t>
            </w:r>
            <w:r>
              <w:rPr>
                <w:rFonts w:hint="eastAsia"/>
                <w:color w:val="auto"/>
                <w:sz w:val="21"/>
                <w:szCs w:val="21"/>
                <w:lang w:eastAsia="zh-CN"/>
              </w:rPr>
              <w:t>、</w:t>
            </w:r>
            <w:r>
              <w:rPr>
                <w:rFonts w:hint="eastAsia"/>
                <w:color w:val="auto"/>
                <w:sz w:val="21"/>
                <w:szCs w:val="21"/>
                <w:lang w:val="en-US" w:eastAsia="zh-CN"/>
              </w:rPr>
              <w:t>废软胶805桶</w:t>
            </w:r>
            <w:r>
              <w:rPr>
                <w:rFonts w:hint="eastAsia"/>
                <w:color w:val="auto"/>
                <w:sz w:val="21"/>
                <w:szCs w:val="21"/>
                <w:lang w:eastAsia="zh-CN"/>
              </w:rPr>
              <w:t>、</w:t>
            </w:r>
            <w:r>
              <w:rPr>
                <w:rFonts w:hint="eastAsia"/>
                <w:color w:val="auto"/>
                <w:sz w:val="21"/>
                <w:szCs w:val="21"/>
                <w:lang w:val="en-US" w:eastAsia="zh-CN"/>
              </w:rPr>
              <w:t>废软胶810桶</w:t>
            </w:r>
            <w:r>
              <w:rPr>
                <w:rFonts w:hint="eastAsia"/>
                <w:color w:val="auto"/>
                <w:sz w:val="21"/>
                <w:szCs w:val="21"/>
                <w:lang w:eastAsia="zh-CN"/>
              </w:rPr>
              <w:t>、</w:t>
            </w:r>
            <w:r>
              <w:rPr>
                <w:rFonts w:hint="eastAsia"/>
                <w:color w:val="auto"/>
                <w:sz w:val="21"/>
                <w:szCs w:val="21"/>
                <w:lang w:val="en-US" w:eastAsia="zh-CN"/>
              </w:rPr>
              <w:t>废活性炭经收集后暂存于危废暂存间内，定期委托有资质单位处理。</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color w:val="auto"/>
                <w:sz w:val="21"/>
                <w:szCs w:val="21"/>
              </w:rPr>
            </w:pPr>
            <w:r>
              <w:rPr>
                <w:rFonts w:hint="eastAsia"/>
                <w:color w:val="auto"/>
                <w:sz w:val="21"/>
                <w:szCs w:val="21"/>
                <w:lang w:eastAsia="zh-CN"/>
              </w:rPr>
              <w:t>（</w:t>
            </w:r>
            <w:r>
              <w:rPr>
                <w:rFonts w:hint="eastAsia"/>
                <w:color w:val="auto"/>
                <w:sz w:val="21"/>
                <w:szCs w:val="21"/>
                <w:lang w:val="en-US" w:eastAsia="zh-CN"/>
              </w:rPr>
              <w:t>3</w:t>
            </w:r>
            <w:r>
              <w:rPr>
                <w:rFonts w:hint="eastAsia"/>
                <w:color w:val="auto"/>
                <w:sz w:val="21"/>
                <w:szCs w:val="21"/>
                <w:lang w:eastAsia="zh-CN"/>
              </w:rPr>
              <w:t>）</w:t>
            </w:r>
            <w:r>
              <w:rPr>
                <w:color w:val="auto"/>
                <w:sz w:val="21"/>
                <w:szCs w:val="21"/>
              </w:rPr>
              <w:t>生活垃圾</w:t>
            </w:r>
          </w:p>
          <w:p>
            <w:pPr>
              <w:keepNext w:val="0"/>
              <w:keepLines w:val="0"/>
              <w:pageBreakBefore w:val="0"/>
              <w:widowControl w:val="0"/>
              <w:shd w:val="clear" w:color="auto" w:fill="auto"/>
              <w:kinsoku/>
              <w:wordWrap/>
              <w:overflowPunct/>
              <w:topLinePunct/>
              <w:autoSpaceDE/>
              <w:autoSpaceDN/>
              <w:bidi w:val="0"/>
              <w:adjustRightInd w:val="0"/>
              <w:snapToGrid w:val="0"/>
              <w:spacing w:line="360" w:lineRule="auto"/>
              <w:ind w:firstLine="420" w:firstLineChars="200"/>
              <w:jc w:val="both"/>
              <w:textAlignment w:val="auto"/>
              <w:rPr>
                <w:color w:val="auto"/>
                <w:sz w:val="21"/>
                <w:szCs w:val="21"/>
              </w:rPr>
            </w:pPr>
            <w:r>
              <w:rPr>
                <w:color w:val="auto"/>
                <w:sz w:val="21"/>
                <w:szCs w:val="21"/>
              </w:rPr>
              <w:t>生活垃圾</w:t>
            </w:r>
            <w:r>
              <w:rPr>
                <w:rFonts w:hint="eastAsia"/>
                <w:color w:val="auto"/>
                <w:sz w:val="21"/>
                <w:szCs w:val="21"/>
                <w:lang w:eastAsia="zh-CN"/>
              </w:rPr>
              <w:t>由当地环卫部门统一清运</w:t>
            </w:r>
            <w:r>
              <w:rPr>
                <w:color w:val="auto"/>
                <w:sz w:val="21"/>
                <w:szCs w:val="21"/>
              </w:rPr>
              <w:t>。</w:t>
            </w:r>
          </w:p>
          <w:p>
            <w:pPr>
              <w:pStyle w:val="13"/>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color w:val="auto"/>
                <w:sz w:val="21"/>
                <w:szCs w:val="21"/>
              </w:rPr>
            </w:pPr>
            <w:r>
              <w:rPr>
                <w:color w:val="auto"/>
                <w:sz w:val="21"/>
                <w:szCs w:val="21"/>
              </w:rPr>
              <w:t>一般固废贮存执行</w:t>
            </w:r>
            <w:r>
              <w:rPr>
                <w:rFonts w:hint="eastAsia"/>
                <w:color w:val="auto"/>
                <w:sz w:val="21"/>
                <w:szCs w:val="21"/>
              </w:rPr>
              <w:t>《一般工业固体废物贮存和填埋污染控制标准》（GB 18599-2020）</w:t>
            </w:r>
            <w:r>
              <w:rPr>
                <w:color w:val="auto"/>
                <w:sz w:val="21"/>
                <w:szCs w:val="21"/>
              </w:rPr>
              <w:t>中要求；危险废物贮存执行</w:t>
            </w:r>
            <w:r>
              <w:rPr>
                <w:rFonts w:hint="eastAsia"/>
                <w:color w:val="auto"/>
                <w:sz w:val="21"/>
                <w:szCs w:val="21"/>
                <w:lang w:eastAsia="zh-CN"/>
              </w:rPr>
              <w:t>《危险废物贮存污染控制标准》（GB 18597-2023）</w:t>
            </w:r>
            <w:r>
              <w:rPr>
                <w:color w:val="auto"/>
                <w:sz w:val="21"/>
                <w:szCs w:val="21"/>
              </w:rPr>
              <w:t>中要求。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34"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土壤及地下水污染防治措施</w:t>
            </w:r>
          </w:p>
        </w:tc>
        <w:tc>
          <w:tcPr>
            <w:tcW w:w="8401" w:type="dxa"/>
            <w:gridSpan w:val="4"/>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项目区按照相关防腐防渗要求采取分区防渗措施。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生态保护措施</w:t>
            </w:r>
          </w:p>
        </w:tc>
        <w:tc>
          <w:tcPr>
            <w:tcW w:w="8401" w:type="dxa"/>
            <w:gridSpan w:val="4"/>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环境风险</w:t>
            </w:r>
          </w:p>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防范措施</w:t>
            </w:r>
          </w:p>
        </w:tc>
        <w:tc>
          <w:tcPr>
            <w:tcW w:w="8401" w:type="dxa"/>
            <w:gridSpan w:val="4"/>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严格落实各项风险防范措施；加强厂区环保设施日常管理工作；落实厂区分区防渗要求等措施。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020" w:type="dxa"/>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其他环境管理要求</w:t>
            </w:r>
          </w:p>
        </w:tc>
        <w:tc>
          <w:tcPr>
            <w:tcW w:w="8401" w:type="dxa"/>
            <w:gridSpan w:val="4"/>
            <w:noWrap w:val="0"/>
            <w:vAlign w:val="center"/>
          </w:tcPr>
          <w:p>
            <w:pPr>
              <w:pStyle w:val="13"/>
              <w:keepNext w:val="0"/>
              <w:keepLines w:val="0"/>
              <w:pageBreakBefore w:val="0"/>
              <w:kinsoku/>
              <w:wordWrap/>
              <w:overflowPunct/>
              <w:autoSpaceDE/>
              <w:autoSpaceDN/>
              <w:bidi w:val="0"/>
              <w:adjustRightInd w:val="0"/>
              <w:snapToGrid w:val="0"/>
              <w:spacing w:line="240" w:lineRule="auto"/>
              <w:textAlignment w:val="auto"/>
              <w:rPr>
                <w:color w:val="auto"/>
                <w:sz w:val="21"/>
                <w:szCs w:val="21"/>
              </w:rPr>
            </w:pPr>
            <w:r>
              <w:rPr>
                <w:color w:val="auto"/>
                <w:sz w:val="21"/>
                <w:szCs w:val="21"/>
              </w:rPr>
              <w:t>规范设置污水排污口、雨水排污口和废气排放口、定期维护环保处理设施、定期监测、加强厂区管理。</w:t>
            </w:r>
          </w:p>
        </w:tc>
      </w:tr>
    </w:tbl>
    <w:p>
      <w:pPr>
        <w:keepNext w:val="0"/>
        <w:keepLines w:val="0"/>
        <w:pageBreakBefore w:val="0"/>
        <w:widowControl w:val="0"/>
        <w:shd w:val="clear" w:color="auto" w:fill="auto"/>
        <w:kinsoku/>
        <w:wordWrap/>
        <w:overflowPunct/>
        <w:topLinePunct/>
        <w:autoSpaceDE/>
        <w:autoSpaceDN/>
        <w:bidi w:val="0"/>
        <w:adjustRightInd w:val="0"/>
        <w:snapToGrid w:val="0"/>
        <w:spacing w:before="120" w:beforeLines="50" w:line="360" w:lineRule="auto"/>
        <w:jc w:val="center"/>
        <w:textAlignment w:val="auto"/>
        <w:outlineLvl w:val="0"/>
        <w:rPr>
          <w:rStyle w:val="10"/>
          <w:color w:val="auto"/>
        </w:rPr>
      </w:pPr>
      <w:r>
        <w:rPr>
          <w:snapToGrid w:val="0"/>
          <w:color w:val="auto"/>
          <w:highlight w:val="none"/>
        </w:rPr>
        <w:br w:type="page"/>
      </w:r>
      <w:r>
        <w:rPr>
          <w:rStyle w:val="10"/>
          <w:rFonts w:hint="eastAsia"/>
          <w:color w:val="auto"/>
        </w:rPr>
        <w:t>六、结论</w:t>
      </w:r>
    </w:p>
    <w:tbl>
      <w:tblPr>
        <w:tblStyle w:val="7"/>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0" w:hRule="atLeast"/>
          <w:jc w:val="center"/>
        </w:trPr>
        <w:tc>
          <w:tcPr>
            <w:tcW w:w="9354" w:type="dxa"/>
            <w:noWrap w:val="0"/>
            <w:vAlign w:val="top"/>
          </w:tcPr>
          <w:p>
            <w:pPr>
              <w:pStyle w:val="16"/>
              <w:keepNext w:val="0"/>
              <w:keepLines w:val="0"/>
              <w:pageBreakBefore w:val="0"/>
              <w:widowControl w:val="0"/>
              <w:kinsoku/>
              <w:wordWrap/>
              <w:overflowPunct/>
              <w:topLinePunct w:val="0"/>
              <w:autoSpaceDE/>
              <w:autoSpaceDN/>
              <w:bidi w:val="0"/>
              <w:adjustRightInd w:val="0"/>
              <w:snapToGrid w:val="0"/>
              <w:spacing w:before="3745" w:beforeLines="1200"/>
              <w:textAlignment w:val="auto"/>
              <w:rPr>
                <w:rFonts w:hint="eastAsia"/>
                <w:color w:val="auto"/>
              </w:rPr>
            </w:pPr>
          </w:p>
          <w:p>
            <w:pPr>
              <w:pStyle w:val="16"/>
              <w:keepLines w:val="0"/>
              <w:pageBreakBefore w:val="0"/>
              <w:kinsoku/>
              <w:wordWrap/>
              <w:bidi w:val="0"/>
              <w:adjustRightInd w:val="0"/>
              <w:snapToGrid w:val="0"/>
              <w:textAlignment w:val="auto"/>
              <w:rPr>
                <w:rFonts w:ascii="宋体" w:cs="宋体"/>
                <w:color w:val="auto"/>
                <w:highlight w:val="none"/>
              </w:rPr>
            </w:pPr>
            <w:r>
              <w:rPr>
                <w:rFonts w:hint="eastAsia"/>
                <w:color w:val="auto"/>
              </w:rPr>
              <w:t>综上所述，建设项目厂址地理位置优越，交通便利，选址合适、可行，项目符合国家和地方相关产业政策要求；项目所产生的污染物均采取了有效的污染控制措施，污染物可确保达标排放，不会降低评价区域环境质量现状。项目建成投入使用后项目对环境的影响程度较小，在认真落实相关污染防治措施后，严格做到污染防治措施与主体工程“三同时”制度即“同时设计、同时施工、同时投产”，污染物均可实现达标排放，对周围环境的影响较小，从环保角度分析，该项目建设是可行的。</w:t>
            </w:r>
          </w:p>
        </w:tc>
      </w:tr>
    </w:tbl>
    <w:p>
      <w:pPr>
        <w:keepNext w:val="0"/>
        <w:keepLines w:val="0"/>
        <w:pageBreakBefore w:val="0"/>
        <w:widowControl w:val="0"/>
        <w:shd w:val="clear" w:color="auto" w:fill="auto"/>
        <w:kinsoku/>
        <w:wordWrap/>
        <w:overflowPunct/>
        <w:topLinePunct/>
        <w:autoSpaceDE/>
        <w:autoSpaceDN/>
        <w:bidi w:val="0"/>
        <w:adjustRightInd w:val="0"/>
        <w:snapToGrid w:val="0"/>
        <w:textAlignment w:val="auto"/>
        <w:rPr>
          <w:rFonts w:ascii="宋体"/>
          <w:color w:val="auto"/>
          <w:highlight w:val="none"/>
        </w:rPr>
        <w:sectPr>
          <w:pgSz w:w="11906" w:h="16838"/>
          <w:pgMar w:top="1304" w:right="1304" w:bottom="1304" w:left="1304" w:header="850"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color w:val="auto"/>
          <w:sz w:val="28"/>
          <w:szCs w:val="28"/>
        </w:rPr>
      </w:pPr>
      <w:r>
        <w:rPr>
          <w:color w:val="auto"/>
          <w:sz w:val="28"/>
          <w:szCs w:val="28"/>
        </w:rPr>
        <w:t>附表</w:t>
      </w:r>
    </w:p>
    <w:p>
      <w:pPr>
        <w:pStyle w:val="11"/>
        <w:keepNext w:val="0"/>
        <w:keepLines w:val="0"/>
        <w:pageBreakBefore w:val="0"/>
        <w:widowControl w:val="0"/>
        <w:kinsoku/>
        <w:wordWrap/>
        <w:overflowPunct/>
        <w:topLinePunct w:val="0"/>
        <w:autoSpaceDE/>
        <w:autoSpaceDN/>
        <w:bidi w:val="0"/>
        <w:adjustRightInd w:val="0"/>
        <w:snapToGrid w:val="0"/>
        <w:textAlignment w:val="auto"/>
        <w:rPr>
          <w:color w:val="auto"/>
          <w:sz w:val="28"/>
          <w:szCs w:val="28"/>
          <w:highlight w:val="none"/>
        </w:rPr>
      </w:pPr>
      <w:r>
        <w:rPr>
          <w:color w:val="auto"/>
          <w:sz w:val="28"/>
          <w:szCs w:val="28"/>
        </w:rPr>
        <w:t>建设项目污染物排放量汇总表</w:t>
      </w:r>
    </w:p>
    <w:tbl>
      <w:tblPr>
        <w:tblStyle w:val="7"/>
        <w:tblW w:w="143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304"/>
        <w:gridCol w:w="2041"/>
        <w:gridCol w:w="1587"/>
        <w:gridCol w:w="1417"/>
        <w:gridCol w:w="1587"/>
        <w:gridCol w:w="1587"/>
        <w:gridCol w:w="1587"/>
        <w:gridCol w:w="1928"/>
        <w:gridCol w:w="13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1" w:hRule="atLeast"/>
          <w:tblHeader/>
          <w:jc w:val="center"/>
        </w:trPr>
        <w:tc>
          <w:tcPr>
            <w:tcW w:w="1304" w:type="dxa"/>
            <w:tcBorders>
              <w:tl2br w:val="single" w:color="auto" w:sz="4" w:space="0"/>
            </w:tcBorders>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ind w:right="120" w:rightChars="50"/>
              <w:jc w:val="righ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p>
          <w:p>
            <w:pPr>
              <w:pStyle w:val="15"/>
              <w:keepNext w:val="0"/>
              <w:keepLines w:val="0"/>
              <w:pageBreakBefore w:val="0"/>
              <w:widowControl w:val="0"/>
              <w:kinsoku/>
              <w:wordWrap/>
              <w:overflowPunct/>
              <w:topLinePunct w:val="0"/>
              <w:autoSpaceDE/>
              <w:autoSpaceDN/>
              <w:bidi w:val="0"/>
              <w:adjustRightInd w:val="0"/>
              <w:snapToGrid w:val="0"/>
              <w:ind w:left="120" w:leftChars="5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分类</w:t>
            </w:r>
          </w:p>
        </w:tc>
        <w:tc>
          <w:tcPr>
            <w:tcW w:w="2041"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污染物名称</w:t>
            </w:r>
          </w:p>
        </w:tc>
        <w:tc>
          <w:tcPr>
            <w:tcW w:w="1587"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现有项目</w:t>
            </w:r>
            <w:r>
              <w:rPr>
                <w:rFonts w:hint="default" w:ascii="Times New Roman" w:hAnsi="Times New Roman" w:eastAsia="宋体" w:cs="Times New Roman"/>
                <w:color w:val="auto"/>
                <w:sz w:val="24"/>
                <w:szCs w:val="24"/>
              </w:rPr>
              <w:t>排放量（固体废物产生量）</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=1\*GB3\*MERGEFORMAT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rPr>
              <w:fldChar w:fldCharType="end"/>
            </w:r>
          </w:p>
        </w:tc>
        <w:tc>
          <w:tcPr>
            <w:tcW w:w="1417"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现有项目</w:t>
            </w:r>
            <w:r>
              <w:rPr>
                <w:rFonts w:hint="default" w:ascii="Times New Roman" w:hAnsi="Times New Roman" w:eastAsia="宋体" w:cs="Times New Roman"/>
                <w:color w:val="auto"/>
                <w:sz w:val="24"/>
                <w:szCs w:val="24"/>
              </w:rPr>
              <w:t>许可排放量</w:t>
            </w:r>
          </w:p>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=2\*GB3\*MERGEFORMAT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fldChar w:fldCharType="end"/>
            </w:r>
          </w:p>
        </w:tc>
        <w:tc>
          <w:tcPr>
            <w:tcW w:w="1587"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在建工程排放量（固体废物产生量）</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=3\*GB3\*MERGEFORMAT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③</w:t>
            </w:r>
            <w:r>
              <w:rPr>
                <w:rFonts w:hint="default" w:ascii="Times New Roman" w:hAnsi="Times New Roman" w:eastAsia="宋体" w:cs="Times New Roman"/>
                <w:color w:val="auto"/>
                <w:sz w:val="24"/>
                <w:szCs w:val="24"/>
              </w:rPr>
              <w:fldChar w:fldCharType="end"/>
            </w:r>
          </w:p>
        </w:tc>
        <w:tc>
          <w:tcPr>
            <w:tcW w:w="1587"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本项目排放量（固体废物产生量）</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=4\*GB3\*MERGEFORMAT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rPr>
              <w:fldChar w:fldCharType="end"/>
            </w:r>
          </w:p>
        </w:tc>
        <w:tc>
          <w:tcPr>
            <w:tcW w:w="1587"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以新带老削减量（新建项目不填）</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=5\*GB3\*MERGEFORMAT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⑤</w:t>
            </w:r>
            <w:r>
              <w:rPr>
                <w:rFonts w:hint="default" w:ascii="Times New Roman" w:hAnsi="Times New Roman" w:eastAsia="宋体" w:cs="Times New Roman"/>
                <w:color w:val="auto"/>
                <w:sz w:val="24"/>
                <w:szCs w:val="24"/>
              </w:rPr>
              <w:fldChar w:fldCharType="end"/>
            </w:r>
          </w:p>
        </w:tc>
        <w:tc>
          <w:tcPr>
            <w:tcW w:w="1928"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本项目建成后全厂排放量（固体废物产生量）</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=6\*GB3\*MERGEFORMAT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⑥</w:t>
            </w:r>
            <w:r>
              <w:rPr>
                <w:rFonts w:hint="default" w:ascii="Times New Roman" w:hAnsi="Times New Roman" w:eastAsia="宋体" w:cs="Times New Roman"/>
                <w:color w:val="auto"/>
                <w:sz w:val="24"/>
                <w:szCs w:val="24"/>
              </w:rPr>
              <w:fldChar w:fldCharType="end"/>
            </w:r>
          </w:p>
        </w:tc>
        <w:tc>
          <w:tcPr>
            <w:tcW w:w="1304" w:type="dxa"/>
            <w:noWrap w:val="0"/>
            <w:tcMar>
              <w:left w:w="28" w:type="dxa"/>
              <w:right w:w="28" w:type="dxa"/>
            </w:tcMar>
            <w:vAlign w:val="center"/>
          </w:tcPr>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变化量</w:t>
            </w:r>
          </w:p>
          <w:p>
            <w:pPr>
              <w:pStyle w:val="1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=7\*GB3\*MERGEFORMAT</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⑦</w:t>
            </w:r>
            <w:r>
              <w:rPr>
                <w:rFonts w:hint="default" w:ascii="Times New Roman" w:hAnsi="Times New Roman" w:eastAsia="宋体" w:cs="Times New Roman"/>
                <w:color w:val="auto"/>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w:t>
            </w: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颗粒物</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0.2648</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0.2648</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+0.2648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SO</w:t>
            </w:r>
            <w:r>
              <w:rPr>
                <w:rFonts w:hint="eastAsia"/>
                <w:color w:val="auto"/>
                <w:sz w:val="24"/>
                <w:szCs w:val="24"/>
                <w:vertAlign w:val="subscript"/>
                <w:lang w:val="en-US" w:eastAsia="zh-CN"/>
              </w:rPr>
              <w:t>2</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0.006</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0.006</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NOx</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0.0476</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0.0476</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+0.0476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非甲烷总烃</w:t>
            </w:r>
          </w:p>
        </w:tc>
        <w:tc>
          <w:tcPr>
            <w:tcW w:w="1587" w:type="dxa"/>
            <w:noWrap w:val="0"/>
            <w:vAlign w:val="center"/>
          </w:tcPr>
          <w:p>
            <w:pPr>
              <w:pStyle w:val="13"/>
              <w:bidi w:val="0"/>
              <w:rPr>
                <w:rFonts w:hint="default"/>
                <w:color w:val="auto"/>
                <w:sz w:val="24"/>
                <w:szCs w:val="24"/>
              </w:rPr>
            </w:pPr>
            <w:r>
              <w:rPr>
                <w:rFonts w:hint="default"/>
                <w:color w:val="auto"/>
                <w:sz w:val="24"/>
                <w:szCs w:val="24"/>
                <w:lang w:val="en-US" w:eastAsia="zh-CN"/>
              </w:rPr>
              <w:t>0.0364</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0.05208</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0.05208</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+0.01568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color w:val="auto"/>
                <w:sz w:val="24"/>
                <w:szCs w:val="24"/>
              </w:rPr>
              <w:t>COD</w:t>
            </w:r>
          </w:p>
        </w:tc>
        <w:tc>
          <w:tcPr>
            <w:tcW w:w="1587" w:type="dxa"/>
            <w:noWrap w:val="0"/>
            <w:vAlign w:val="center"/>
          </w:tcPr>
          <w:p>
            <w:pPr>
              <w:pStyle w:val="13"/>
              <w:bidi w:val="0"/>
              <w:rPr>
                <w:rFonts w:hint="default"/>
                <w:color w:val="auto"/>
                <w:sz w:val="24"/>
                <w:szCs w:val="24"/>
              </w:rPr>
            </w:pPr>
            <w:r>
              <w:rPr>
                <w:rFonts w:hint="default"/>
                <w:color w:val="auto"/>
                <w:sz w:val="24"/>
                <w:szCs w:val="24"/>
                <w:lang w:val="en-US" w:eastAsia="zh-CN"/>
              </w:rPr>
              <w:t>0.0576</w:t>
            </w:r>
          </w:p>
        </w:tc>
        <w:tc>
          <w:tcPr>
            <w:tcW w:w="1417" w:type="dxa"/>
            <w:noWrap w:val="0"/>
            <w:vAlign w:val="center"/>
          </w:tcPr>
          <w:p>
            <w:pPr>
              <w:pStyle w:val="13"/>
              <w:bidi w:val="0"/>
              <w:rPr>
                <w:rFonts w:hint="default"/>
                <w:color w:val="auto"/>
                <w:sz w:val="24"/>
                <w:szCs w:val="24"/>
                <w:lang w:val="en-US" w:eastAsia="zh-CN"/>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0.1719</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0.1719</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w:t>
            </w:r>
            <w:r>
              <w:rPr>
                <w:rFonts w:hint="default"/>
                <w:color w:val="auto"/>
                <w:sz w:val="24"/>
                <w:szCs w:val="24"/>
                <w:lang w:val="en-US" w:eastAsia="zh-CN"/>
              </w:rPr>
              <w:t>0.1143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color w:val="auto"/>
                <w:sz w:val="24"/>
                <w:szCs w:val="24"/>
              </w:rPr>
              <w:t>BOD</w:t>
            </w:r>
            <w:r>
              <w:rPr>
                <w:color w:val="auto"/>
                <w:sz w:val="24"/>
                <w:szCs w:val="24"/>
                <w:vertAlign w:val="subscript"/>
              </w:rPr>
              <w:t>5</w:t>
            </w:r>
          </w:p>
        </w:tc>
        <w:tc>
          <w:tcPr>
            <w:tcW w:w="1587" w:type="dxa"/>
            <w:noWrap w:val="0"/>
            <w:vAlign w:val="center"/>
          </w:tcPr>
          <w:p>
            <w:pPr>
              <w:pStyle w:val="13"/>
              <w:bidi w:val="0"/>
              <w:rPr>
                <w:rFonts w:hint="default"/>
                <w:color w:val="auto"/>
                <w:sz w:val="24"/>
                <w:szCs w:val="24"/>
              </w:rPr>
            </w:pPr>
            <w:r>
              <w:rPr>
                <w:rFonts w:hint="default"/>
                <w:color w:val="auto"/>
                <w:sz w:val="24"/>
                <w:szCs w:val="24"/>
                <w:lang w:val="en-US" w:eastAsia="zh-CN"/>
              </w:rPr>
              <w:t>0.0115</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0.0344</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0.0344</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w:t>
            </w:r>
            <w:r>
              <w:rPr>
                <w:rFonts w:hint="default"/>
                <w:color w:val="auto"/>
                <w:sz w:val="24"/>
                <w:szCs w:val="24"/>
                <w:lang w:val="en-US" w:eastAsia="zh-CN"/>
              </w:rPr>
              <w:t>0.0229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color w:val="auto"/>
                <w:sz w:val="24"/>
                <w:szCs w:val="24"/>
              </w:rPr>
              <w:t>SS</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0.0115</w:t>
            </w:r>
          </w:p>
        </w:tc>
        <w:tc>
          <w:tcPr>
            <w:tcW w:w="1417" w:type="dxa"/>
            <w:noWrap w:val="0"/>
            <w:vAlign w:val="center"/>
          </w:tcPr>
          <w:p>
            <w:pPr>
              <w:pStyle w:val="13"/>
              <w:bidi w:val="0"/>
              <w:rPr>
                <w:rFonts w:hint="default"/>
                <w:color w:val="auto"/>
                <w:sz w:val="24"/>
                <w:szCs w:val="24"/>
                <w:lang w:val="en-US" w:eastAsia="zh-CN"/>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0.0344</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0.0344</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w:t>
            </w:r>
            <w:r>
              <w:rPr>
                <w:rFonts w:hint="default"/>
                <w:color w:val="auto"/>
                <w:sz w:val="24"/>
                <w:szCs w:val="24"/>
                <w:lang w:val="en-US" w:eastAsia="zh-CN"/>
              </w:rPr>
              <w:t>0.0229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color w:val="auto"/>
                <w:sz w:val="24"/>
                <w:szCs w:val="24"/>
              </w:rPr>
              <w:t>NH</w:t>
            </w:r>
            <w:r>
              <w:rPr>
                <w:color w:val="auto"/>
                <w:sz w:val="24"/>
                <w:szCs w:val="24"/>
                <w:vertAlign w:val="subscript"/>
              </w:rPr>
              <w:t>3</w:t>
            </w:r>
            <w:r>
              <w:rPr>
                <w:color w:val="auto"/>
                <w:sz w:val="24"/>
                <w:szCs w:val="24"/>
              </w:rPr>
              <w:t>-N</w:t>
            </w:r>
          </w:p>
        </w:tc>
        <w:tc>
          <w:tcPr>
            <w:tcW w:w="1587" w:type="dxa"/>
            <w:noWrap w:val="0"/>
            <w:vAlign w:val="center"/>
          </w:tcPr>
          <w:p>
            <w:pPr>
              <w:pStyle w:val="13"/>
              <w:bidi w:val="0"/>
              <w:rPr>
                <w:rFonts w:hint="default"/>
                <w:color w:val="auto"/>
                <w:sz w:val="24"/>
                <w:szCs w:val="24"/>
              </w:rPr>
            </w:pPr>
            <w:r>
              <w:rPr>
                <w:rFonts w:hint="default"/>
                <w:color w:val="auto"/>
                <w:sz w:val="24"/>
                <w:szCs w:val="24"/>
                <w:lang w:val="en-US" w:eastAsia="zh-CN"/>
              </w:rPr>
              <w:t>0.0058</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0.0172</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0.0172</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w:t>
            </w:r>
            <w:r>
              <w:rPr>
                <w:rFonts w:hint="default"/>
                <w:color w:val="auto"/>
                <w:sz w:val="24"/>
                <w:szCs w:val="24"/>
                <w:lang w:val="en-US" w:eastAsia="zh-CN"/>
              </w:rPr>
              <w:t>0.0114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动植物油</w:t>
            </w:r>
          </w:p>
        </w:tc>
        <w:tc>
          <w:tcPr>
            <w:tcW w:w="1587" w:type="dxa"/>
            <w:noWrap w:val="0"/>
            <w:vAlign w:val="center"/>
          </w:tcPr>
          <w:p>
            <w:pPr>
              <w:pStyle w:val="13"/>
              <w:bidi w:val="0"/>
              <w:rPr>
                <w:rFonts w:hint="default"/>
                <w:color w:val="auto"/>
                <w:sz w:val="24"/>
                <w:szCs w:val="24"/>
              </w:rPr>
            </w:pPr>
            <w:r>
              <w:rPr>
                <w:rFonts w:hint="default"/>
                <w:color w:val="auto"/>
                <w:sz w:val="24"/>
                <w:szCs w:val="24"/>
                <w:lang w:val="en-US" w:eastAsia="zh-CN"/>
              </w:rPr>
              <w:t>0.0012</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0.0034</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0.0034</w:t>
            </w:r>
          </w:p>
        </w:tc>
        <w:tc>
          <w:tcPr>
            <w:tcW w:w="1304"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w:t>
            </w:r>
            <w:r>
              <w:rPr>
                <w:rFonts w:hint="default"/>
                <w:color w:val="auto"/>
                <w:sz w:val="24"/>
                <w:szCs w:val="24"/>
                <w:lang w:val="en-US" w:eastAsia="zh-CN"/>
              </w:rPr>
              <w:t>0.0022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一般工业固体废物</w:t>
            </w:r>
          </w:p>
        </w:tc>
        <w:tc>
          <w:tcPr>
            <w:tcW w:w="2041" w:type="dxa"/>
            <w:noWrap w:val="0"/>
            <w:vAlign w:val="center"/>
          </w:tcPr>
          <w:p>
            <w:pPr>
              <w:pStyle w:val="13"/>
              <w:keepLines w:val="0"/>
              <w:pageBreakBefore w:val="0"/>
              <w:kinsoku/>
              <w:wordWrap/>
              <w:bidi w:val="0"/>
              <w:adjustRightInd w:val="0"/>
              <w:snapToGrid w:val="0"/>
              <w:textAlignment w:val="auto"/>
              <w:rPr>
                <w:rFonts w:hint="default" w:ascii="Times New Roman" w:hAnsi="Times New Roman" w:eastAsia="宋体" w:cs="Times New Roman"/>
                <w:color w:val="auto"/>
                <w:sz w:val="24"/>
                <w:szCs w:val="24"/>
                <w:lang w:val="en-US" w:eastAsia="zh-CN" w:bidi="ar-SA"/>
              </w:rPr>
            </w:pPr>
            <w:r>
              <w:rPr>
                <w:color w:val="auto"/>
                <w:sz w:val="24"/>
                <w:szCs w:val="24"/>
              </w:rPr>
              <w:t>生活垃圾</w:t>
            </w:r>
          </w:p>
        </w:tc>
        <w:tc>
          <w:tcPr>
            <w:tcW w:w="1587" w:type="dxa"/>
            <w:noWrap w:val="0"/>
            <w:vAlign w:val="center"/>
          </w:tcPr>
          <w:p>
            <w:pPr>
              <w:pStyle w:val="13"/>
              <w:bidi w:val="0"/>
              <w:rPr>
                <w:rFonts w:hint="eastAsia" w:eastAsia="宋体"/>
                <w:color w:val="auto"/>
                <w:sz w:val="24"/>
                <w:szCs w:val="24"/>
                <w:lang w:val="en-US" w:eastAsia="zh-CN"/>
              </w:rPr>
            </w:pPr>
            <w:r>
              <w:rPr>
                <w:rFonts w:hint="eastAsia"/>
                <w:color w:val="auto"/>
                <w:sz w:val="24"/>
                <w:szCs w:val="24"/>
                <w:lang w:val="en-US" w:eastAsia="zh-CN"/>
              </w:rPr>
              <w:t>9</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9</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9</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rPr>
              <w:t>废包装材料</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0.8</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2</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2</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default"/>
                <w:color w:val="auto"/>
                <w:sz w:val="24"/>
                <w:szCs w:val="24"/>
                <w:lang w:val="en-US" w:eastAsia="zh-CN"/>
              </w:rPr>
              <w:t>纤维碎屑</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0.4</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1</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1</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边角料</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8</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20</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20</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超声波复合无纺布和无纺布边角料</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5</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12</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12</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50"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活性炭无纺布和浸渍无纺布边角料</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8</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8</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8</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布袋收尘</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1.458</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1.458</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废硬浆4075桶</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0.05</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eastAsia"/>
                <w:color w:val="auto"/>
                <w:sz w:val="24"/>
                <w:szCs w:val="24"/>
                <w:lang w:val="en-US" w:eastAsia="zh-CN"/>
              </w:rPr>
            </w:pPr>
            <w:r>
              <w:rPr>
                <w:rFonts w:hint="eastAsia"/>
                <w:color w:val="auto"/>
                <w:sz w:val="24"/>
                <w:szCs w:val="24"/>
                <w:lang w:val="en-US" w:eastAsia="zh-CN"/>
              </w:rPr>
              <w:t>0.05</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eastAsia"/>
                <w:color w:val="auto"/>
                <w:sz w:val="24"/>
                <w:szCs w:val="24"/>
                <w:lang w:val="en-US" w:eastAsia="zh-CN"/>
              </w:rPr>
            </w:pPr>
            <w:r>
              <w:rPr>
                <w:rFonts w:hint="eastAsia"/>
                <w:color w:val="auto"/>
                <w:sz w:val="24"/>
                <w:szCs w:val="24"/>
                <w:lang w:val="en-US" w:eastAsia="zh-CN"/>
              </w:rPr>
              <w:t>0.05</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val="en-US" w:eastAsia="zh-CN" w:bidi="ar-SA"/>
              </w:rPr>
            </w:pPr>
            <w:r>
              <w:rPr>
                <w:rFonts w:hint="eastAsia"/>
                <w:color w:val="auto"/>
                <w:sz w:val="24"/>
                <w:szCs w:val="24"/>
                <w:lang w:val="en-US" w:eastAsia="zh-CN"/>
              </w:rPr>
              <w:t>废颜料桶</w:t>
            </w:r>
          </w:p>
        </w:tc>
        <w:tc>
          <w:tcPr>
            <w:tcW w:w="1587" w:type="dxa"/>
            <w:noWrap w:val="0"/>
            <w:vAlign w:val="center"/>
          </w:tcPr>
          <w:p>
            <w:pPr>
              <w:pStyle w:val="13"/>
              <w:bidi w:val="0"/>
              <w:rPr>
                <w:rFonts w:hint="default" w:eastAsia="宋体"/>
                <w:color w:val="auto"/>
                <w:sz w:val="24"/>
                <w:szCs w:val="24"/>
                <w:lang w:val="en-US" w:eastAsia="zh-CN"/>
              </w:rPr>
            </w:pPr>
            <w:r>
              <w:rPr>
                <w:rFonts w:hint="eastAsia"/>
                <w:color w:val="auto"/>
                <w:sz w:val="24"/>
                <w:szCs w:val="24"/>
                <w:lang w:val="en-US" w:eastAsia="zh-CN"/>
              </w:rPr>
              <w:t>0.002</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0.002</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0.002</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restart"/>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w:t>
            </w:r>
          </w:p>
        </w:tc>
        <w:tc>
          <w:tcPr>
            <w:tcW w:w="2041" w:type="dxa"/>
            <w:noWrap w:val="0"/>
            <w:vAlign w:val="center"/>
          </w:tcPr>
          <w:p>
            <w:pPr>
              <w:pStyle w:val="13"/>
              <w:bidi w:val="0"/>
              <w:rPr>
                <w:rFonts w:hint="default" w:ascii="Times New Roman" w:hAnsi="Times New Roman" w:eastAsia="宋体" w:cs="Times New Roman"/>
                <w:color w:val="auto"/>
                <w:sz w:val="24"/>
                <w:szCs w:val="24"/>
              </w:rPr>
            </w:pPr>
            <w:r>
              <w:rPr>
                <w:rFonts w:hint="eastAsia"/>
                <w:color w:val="auto"/>
                <w:sz w:val="24"/>
                <w:szCs w:val="24"/>
                <w:lang w:val="en-US" w:eastAsia="zh-CN"/>
              </w:rPr>
              <w:t>废热熔胶袋</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eastAsia="zh-CN"/>
              </w:rPr>
            </w:pPr>
            <w:r>
              <w:rPr>
                <w:rFonts w:hint="eastAsia"/>
                <w:color w:val="auto"/>
                <w:sz w:val="24"/>
                <w:szCs w:val="24"/>
                <w:lang w:val="en-US" w:eastAsia="zh-CN"/>
              </w:rPr>
              <w:t>废软胶805桶</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0.234</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0.234</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0.234</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eastAsia="zh-CN"/>
              </w:rPr>
            </w:pPr>
            <w:r>
              <w:rPr>
                <w:rFonts w:hint="eastAsia"/>
                <w:color w:val="auto"/>
                <w:sz w:val="24"/>
                <w:szCs w:val="24"/>
                <w:lang w:val="en-US" w:eastAsia="zh-CN"/>
              </w:rPr>
              <w:t>废软胶810桶</w:t>
            </w:r>
          </w:p>
        </w:tc>
        <w:tc>
          <w:tcPr>
            <w:tcW w:w="1587" w:type="dxa"/>
            <w:noWrap w:val="0"/>
            <w:vAlign w:val="center"/>
          </w:tcPr>
          <w:p>
            <w:pPr>
              <w:pStyle w:val="13"/>
              <w:bidi w:val="0"/>
              <w:rPr>
                <w:rFonts w:hint="default"/>
                <w:color w:val="auto"/>
                <w:sz w:val="24"/>
                <w:szCs w:val="24"/>
                <w:lang w:val="en-US" w:eastAsia="zh-CN"/>
              </w:rPr>
            </w:pPr>
            <w:r>
              <w:rPr>
                <w:rFonts w:hint="eastAsia"/>
                <w:color w:val="auto"/>
                <w:sz w:val="24"/>
                <w:szCs w:val="24"/>
                <w:lang w:val="en-US" w:eastAsia="zh-CN"/>
              </w:rPr>
              <w:t>0.264</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0.264</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0.264</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304" w:type="dxa"/>
            <w:vMerge w:val="continue"/>
            <w:noWrap w:val="0"/>
            <w:vAlign w:val="center"/>
          </w:tcPr>
          <w:p>
            <w:pPr>
              <w:pStyle w:val="13"/>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4"/>
                <w:szCs w:val="24"/>
              </w:rPr>
            </w:pPr>
          </w:p>
        </w:tc>
        <w:tc>
          <w:tcPr>
            <w:tcW w:w="2041" w:type="dxa"/>
            <w:noWrap w:val="0"/>
            <w:vAlign w:val="center"/>
          </w:tcPr>
          <w:p>
            <w:pPr>
              <w:pStyle w:val="13"/>
              <w:bidi w:val="0"/>
              <w:rPr>
                <w:rFonts w:hint="default" w:ascii="Times New Roman" w:hAnsi="Times New Roman" w:eastAsia="宋体" w:cs="Times New Roman"/>
                <w:color w:val="auto"/>
                <w:sz w:val="24"/>
                <w:szCs w:val="24"/>
                <w:lang w:eastAsia="zh-CN"/>
              </w:rPr>
            </w:pPr>
            <w:r>
              <w:rPr>
                <w:rFonts w:hint="eastAsia"/>
                <w:color w:val="auto"/>
                <w:sz w:val="24"/>
                <w:szCs w:val="24"/>
                <w:lang w:val="en-US" w:eastAsia="zh-CN"/>
              </w:rPr>
              <w:t>废活性炭</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rPr>
              <w:t>/</w:t>
            </w:r>
          </w:p>
        </w:tc>
        <w:tc>
          <w:tcPr>
            <w:tcW w:w="141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587"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1.43</w:t>
            </w:r>
          </w:p>
        </w:tc>
        <w:tc>
          <w:tcPr>
            <w:tcW w:w="1587" w:type="dxa"/>
            <w:noWrap w:val="0"/>
            <w:vAlign w:val="center"/>
          </w:tcPr>
          <w:p>
            <w:pPr>
              <w:pStyle w:val="13"/>
              <w:bidi w:val="0"/>
              <w:rPr>
                <w:rFonts w:hint="default"/>
                <w:color w:val="auto"/>
                <w:sz w:val="24"/>
                <w:szCs w:val="24"/>
              </w:rPr>
            </w:pPr>
            <w:r>
              <w:rPr>
                <w:rFonts w:hint="default"/>
                <w:color w:val="auto"/>
                <w:sz w:val="24"/>
                <w:szCs w:val="24"/>
              </w:rPr>
              <w:t>/</w:t>
            </w:r>
          </w:p>
        </w:tc>
        <w:tc>
          <w:tcPr>
            <w:tcW w:w="1928" w:type="dxa"/>
            <w:noWrap w:val="0"/>
            <w:vAlign w:val="center"/>
          </w:tcPr>
          <w:p>
            <w:pPr>
              <w:pStyle w:val="13"/>
              <w:bidi w:val="0"/>
              <w:rPr>
                <w:rFonts w:hint="default"/>
                <w:color w:val="auto"/>
                <w:sz w:val="24"/>
                <w:szCs w:val="24"/>
                <w:lang w:val="en-US" w:eastAsia="zh-CN"/>
              </w:rPr>
            </w:pPr>
            <w:r>
              <w:rPr>
                <w:rFonts w:hint="default"/>
                <w:color w:val="auto"/>
                <w:sz w:val="24"/>
                <w:szCs w:val="24"/>
                <w:lang w:val="en-US" w:eastAsia="zh-CN"/>
              </w:rPr>
              <w:t>1.43</w:t>
            </w:r>
          </w:p>
        </w:tc>
        <w:tc>
          <w:tcPr>
            <w:tcW w:w="1304" w:type="dxa"/>
            <w:noWrap w:val="0"/>
            <w:vAlign w:val="center"/>
          </w:tcPr>
          <w:p>
            <w:pPr>
              <w:pStyle w:val="13"/>
              <w:bidi w:val="0"/>
              <w:rPr>
                <w:rFonts w:hint="default"/>
                <w:color w:val="auto"/>
                <w:sz w:val="24"/>
                <w:szCs w:val="24"/>
              </w:rPr>
            </w:pPr>
            <w:r>
              <w:rPr>
                <w:rFonts w:hint="default"/>
                <w:color w:val="auto"/>
                <w:sz w:val="24"/>
                <w:szCs w:val="24"/>
              </w:rPr>
              <w:t>/</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ind w:left="0" w:leftChars="0"/>
        <w:textAlignment w:val="auto"/>
        <w:rPr>
          <w:color w:val="auto"/>
        </w:r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；单位：t/a。</w:t>
      </w:r>
    </w:p>
    <w:sectPr>
      <w:footerReference r:id="rId8" w:type="default"/>
      <w:pgSz w:w="16838" w:h="11906" w:orient="landscape"/>
      <w:pgMar w:top="1304" w:right="1304" w:bottom="1304" w:left="1304" w:header="850"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pPr>
    <w:r>
      <w:fldChar w:fldCharType="begin"/>
    </w:r>
    <w:r>
      <w:instrText xml:space="preserve">PAGE  </w:instrText>
    </w:r>
    <w:r>
      <w:fldChar w:fldCharType="end"/>
    </w:r>
  </w:p>
  <w:p>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-57150</wp:posOffset>
              </wp:positionV>
              <wp:extent cx="1828800" cy="1828800"/>
              <wp:effectExtent l="0" t="0" r="0" b="0"/>
              <wp:wrapNone/>
              <wp:docPr id="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4.5pt;height:144pt;width:144pt;mso-position-horizontal:outside;mso-position-horizontal-relative:margin;mso-wrap-style:none;z-index:251659264;mso-width-relative:page;mso-height-relative:page;" filled="f" stroked="f" coordsize="21600,21600" o:gfxdata="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fJSUXSAAAABwEAAA8AAAAAAAAA&#10;AQAgAAAAIgAAAGRycy9kb3ducmV2LnhtbFBLAQIUABQAAAAIAIdO4kAMQiS63gEAAMEDAAAOAAAA&#10;AAAAAAEAIAAAACEBAABkcnMvZTJvRG9jLnhtbFBLBQYAAAAABgAGAFkBAABxBQAAAAA=&#10;">
              <v:fill on="f" focussize="0,0"/>
              <v:stroke on="f"/>
              <v:imagedata o:title=""/>
              <o:lock v:ext="edit" aspectratio="f"/>
              <v:textbox inset="0mm,0mm,0mm,0mm" style="mso-fit-shape-to-text:t;">
                <w:txbxContent>
                  <w:p>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-57150</wp:posOffset>
              </wp:positionV>
              <wp:extent cx="1828800" cy="1828800"/>
              <wp:effectExtent l="0" t="0" r="0" b="0"/>
              <wp:wrapNone/>
              <wp:docPr id="2"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11</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4.5pt;height:144pt;width:144pt;mso-position-horizontal:outside;mso-position-horizontal-relative:margin;mso-wrap-style:none;z-index:251660288;mso-width-relative:page;mso-height-relative:page;" filled="f" stroked="f" coordsize="21600,21600" o:gfxdata="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8lJRdIAAAAHAQAADwAAAAAA&#10;AAABACAAAAAiAAAAZHJzL2Rvd25yZXYueG1sUEsBAhQAFAAAAAgAh07iQI4n5KPgAQAAwQMAAA4A&#10;AAAAAAAAAQAgAAAAIQEAAGRycy9lMm9Eb2MueG1sUEsFBgAAAAAGAAYAWQEAAHMFAAAAAA==&#10;">
              <v:fill on="f" focussize="0,0"/>
              <v:stroke on="f"/>
              <v:imagedata o:title=""/>
              <o:lock v:ext="edit" aspectratio="f"/>
              <v:textbox inset="0mm,0mm,0mm,0mm" style="mso-fit-shape-to-text:t;">
                <w:txbxContent>
                  <w:p>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11</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153"/>
        <w:tab w:val="right" w:pos="8306"/>
      </w:tabs>
      <w:jc w:val="center"/>
      <w:rPr>
        <w:rFonts w:hint="eastAsia" w:ascii="仿宋" w:hAnsi="仿宋" w:eastAsia="仿宋" w:cs="仿宋"/>
      </w:rPr>
    </w:pPr>
    <w:r>
      <w:rPr>
        <w:rFonts w:hint="eastAsia" w:ascii="仿宋" w:hAnsi="仿宋" w:eastAsia="仿宋" w:cs="仿宋"/>
        <w:lang w:eastAsia="zh-CN"/>
      </w:rPr>
      <w:t>年产1000万平米滤清器过滤材料扩建项目</w:t>
    </w:r>
    <w:r>
      <w:rPr>
        <w:rFonts w:hint="eastAsia" w:ascii="仿宋" w:hAnsi="仿宋" w:eastAsia="仿宋" w:cs="仿宋"/>
      </w:rPr>
      <w:t>环境影响报告表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1ODliNThmMTU4N2QwMTM1MzU5NDQwOGM5NTE1NTMifQ=="/>
  </w:docVars>
  <w:rsids>
    <w:rsidRoot w:val="00172A27"/>
    <w:rsid w:val="000060B3"/>
    <w:rsid w:val="00010534"/>
    <w:rsid w:val="00012FC7"/>
    <w:rsid w:val="00014D54"/>
    <w:rsid w:val="00022C11"/>
    <w:rsid w:val="0002561E"/>
    <w:rsid w:val="00033B03"/>
    <w:rsid w:val="00040102"/>
    <w:rsid w:val="00041843"/>
    <w:rsid w:val="0004264D"/>
    <w:rsid w:val="0004364B"/>
    <w:rsid w:val="00044EF2"/>
    <w:rsid w:val="00046C72"/>
    <w:rsid w:val="00046CA0"/>
    <w:rsid w:val="00050964"/>
    <w:rsid w:val="00051151"/>
    <w:rsid w:val="0005125F"/>
    <w:rsid w:val="000512E1"/>
    <w:rsid w:val="00051592"/>
    <w:rsid w:val="00053AE2"/>
    <w:rsid w:val="00060C6A"/>
    <w:rsid w:val="00061046"/>
    <w:rsid w:val="00061B1F"/>
    <w:rsid w:val="000656B1"/>
    <w:rsid w:val="00072670"/>
    <w:rsid w:val="000733C4"/>
    <w:rsid w:val="00074783"/>
    <w:rsid w:val="000749E3"/>
    <w:rsid w:val="00076791"/>
    <w:rsid w:val="0008070B"/>
    <w:rsid w:val="000810AC"/>
    <w:rsid w:val="00081654"/>
    <w:rsid w:val="00081A02"/>
    <w:rsid w:val="00082231"/>
    <w:rsid w:val="00092509"/>
    <w:rsid w:val="00092D38"/>
    <w:rsid w:val="0009377B"/>
    <w:rsid w:val="000942B7"/>
    <w:rsid w:val="0009714D"/>
    <w:rsid w:val="000A20C9"/>
    <w:rsid w:val="000A6343"/>
    <w:rsid w:val="000A648A"/>
    <w:rsid w:val="000B058F"/>
    <w:rsid w:val="000B4467"/>
    <w:rsid w:val="000B44D3"/>
    <w:rsid w:val="000B4DB9"/>
    <w:rsid w:val="000B6F3E"/>
    <w:rsid w:val="000B7EAF"/>
    <w:rsid w:val="000C09AC"/>
    <w:rsid w:val="000C1FF9"/>
    <w:rsid w:val="000C3CCA"/>
    <w:rsid w:val="000C767F"/>
    <w:rsid w:val="000D4E27"/>
    <w:rsid w:val="000D5A44"/>
    <w:rsid w:val="000E019D"/>
    <w:rsid w:val="000E0E35"/>
    <w:rsid w:val="000E0F36"/>
    <w:rsid w:val="000E3ED2"/>
    <w:rsid w:val="000E3FC3"/>
    <w:rsid w:val="000E467E"/>
    <w:rsid w:val="000E5612"/>
    <w:rsid w:val="000E5D71"/>
    <w:rsid w:val="000E68B6"/>
    <w:rsid w:val="000E7B1F"/>
    <w:rsid w:val="000F4C57"/>
    <w:rsid w:val="0010226B"/>
    <w:rsid w:val="0010295B"/>
    <w:rsid w:val="00106433"/>
    <w:rsid w:val="001079AA"/>
    <w:rsid w:val="0011306E"/>
    <w:rsid w:val="00114CF3"/>
    <w:rsid w:val="00123E47"/>
    <w:rsid w:val="00125861"/>
    <w:rsid w:val="001315D9"/>
    <w:rsid w:val="00131F42"/>
    <w:rsid w:val="00133B96"/>
    <w:rsid w:val="00135135"/>
    <w:rsid w:val="001357F1"/>
    <w:rsid w:val="00140FA8"/>
    <w:rsid w:val="00142FEB"/>
    <w:rsid w:val="00143A2D"/>
    <w:rsid w:val="00145A41"/>
    <w:rsid w:val="001470B2"/>
    <w:rsid w:val="00151675"/>
    <w:rsid w:val="001517AA"/>
    <w:rsid w:val="00155351"/>
    <w:rsid w:val="001570FF"/>
    <w:rsid w:val="00157435"/>
    <w:rsid w:val="00160D04"/>
    <w:rsid w:val="00163FD9"/>
    <w:rsid w:val="00164FA3"/>
    <w:rsid w:val="001669D4"/>
    <w:rsid w:val="00171F6B"/>
    <w:rsid w:val="0017504D"/>
    <w:rsid w:val="0017671A"/>
    <w:rsid w:val="00177422"/>
    <w:rsid w:val="00184590"/>
    <w:rsid w:val="00184E1B"/>
    <w:rsid w:val="001870D1"/>
    <w:rsid w:val="0018781E"/>
    <w:rsid w:val="0019262D"/>
    <w:rsid w:val="001A0E98"/>
    <w:rsid w:val="001A1848"/>
    <w:rsid w:val="001A1B35"/>
    <w:rsid w:val="001A2968"/>
    <w:rsid w:val="001A4716"/>
    <w:rsid w:val="001A48A2"/>
    <w:rsid w:val="001A6F61"/>
    <w:rsid w:val="001A7CDF"/>
    <w:rsid w:val="001B223C"/>
    <w:rsid w:val="001B3745"/>
    <w:rsid w:val="001B72B8"/>
    <w:rsid w:val="001C59CA"/>
    <w:rsid w:val="001C63A7"/>
    <w:rsid w:val="001C69B3"/>
    <w:rsid w:val="001D1BBF"/>
    <w:rsid w:val="001D5595"/>
    <w:rsid w:val="001D5FB4"/>
    <w:rsid w:val="001D7874"/>
    <w:rsid w:val="001D7F22"/>
    <w:rsid w:val="001E7019"/>
    <w:rsid w:val="001F0F17"/>
    <w:rsid w:val="001F1D2C"/>
    <w:rsid w:val="001F3347"/>
    <w:rsid w:val="001F69E4"/>
    <w:rsid w:val="00200717"/>
    <w:rsid w:val="002067D1"/>
    <w:rsid w:val="0020736B"/>
    <w:rsid w:val="002125B4"/>
    <w:rsid w:val="00212D25"/>
    <w:rsid w:val="00212FBA"/>
    <w:rsid w:val="00213CF6"/>
    <w:rsid w:val="002155B8"/>
    <w:rsid w:val="00215AA4"/>
    <w:rsid w:val="002175E4"/>
    <w:rsid w:val="002235CA"/>
    <w:rsid w:val="00224839"/>
    <w:rsid w:val="002249B2"/>
    <w:rsid w:val="00225378"/>
    <w:rsid w:val="002253A7"/>
    <w:rsid w:val="00226574"/>
    <w:rsid w:val="002268D5"/>
    <w:rsid w:val="002278EC"/>
    <w:rsid w:val="0023280E"/>
    <w:rsid w:val="00234852"/>
    <w:rsid w:val="002377D1"/>
    <w:rsid w:val="002424A7"/>
    <w:rsid w:val="00245594"/>
    <w:rsid w:val="00247343"/>
    <w:rsid w:val="002506BC"/>
    <w:rsid w:val="00254345"/>
    <w:rsid w:val="00255439"/>
    <w:rsid w:val="002630BB"/>
    <w:rsid w:val="0026374D"/>
    <w:rsid w:val="00264557"/>
    <w:rsid w:val="00264FA5"/>
    <w:rsid w:val="00266F40"/>
    <w:rsid w:val="00267FD6"/>
    <w:rsid w:val="00270BE1"/>
    <w:rsid w:val="00272842"/>
    <w:rsid w:val="0027349C"/>
    <w:rsid w:val="00273563"/>
    <w:rsid w:val="00274EC8"/>
    <w:rsid w:val="00276D7B"/>
    <w:rsid w:val="002805AB"/>
    <w:rsid w:val="00284204"/>
    <w:rsid w:val="00291773"/>
    <w:rsid w:val="0029196E"/>
    <w:rsid w:val="002920CE"/>
    <w:rsid w:val="00292BAB"/>
    <w:rsid w:val="00296707"/>
    <w:rsid w:val="00296C70"/>
    <w:rsid w:val="002974FD"/>
    <w:rsid w:val="002A168C"/>
    <w:rsid w:val="002A355E"/>
    <w:rsid w:val="002A3DC7"/>
    <w:rsid w:val="002A412A"/>
    <w:rsid w:val="002A4228"/>
    <w:rsid w:val="002A6C82"/>
    <w:rsid w:val="002B0C30"/>
    <w:rsid w:val="002B247F"/>
    <w:rsid w:val="002B42F3"/>
    <w:rsid w:val="002B49E2"/>
    <w:rsid w:val="002B64B0"/>
    <w:rsid w:val="002B6923"/>
    <w:rsid w:val="002B7B00"/>
    <w:rsid w:val="002B7C44"/>
    <w:rsid w:val="002C2B17"/>
    <w:rsid w:val="002C4449"/>
    <w:rsid w:val="002C61F7"/>
    <w:rsid w:val="002D269B"/>
    <w:rsid w:val="002D3DD0"/>
    <w:rsid w:val="002E0A7A"/>
    <w:rsid w:val="002E1F3A"/>
    <w:rsid w:val="002E1F6F"/>
    <w:rsid w:val="002E21F1"/>
    <w:rsid w:val="002E298A"/>
    <w:rsid w:val="002E336F"/>
    <w:rsid w:val="002E6017"/>
    <w:rsid w:val="002F128F"/>
    <w:rsid w:val="002F44C6"/>
    <w:rsid w:val="002F4AD4"/>
    <w:rsid w:val="00301978"/>
    <w:rsid w:val="0030332C"/>
    <w:rsid w:val="00303A46"/>
    <w:rsid w:val="00303F39"/>
    <w:rsid w:val="003051C2"/>
    <w:rsid w:val="003054F8"/>
    <w:rsid w:val="00305CE7"/>
    <w:rsid w:val="00307152"/>
    <w:rsid w:val="003073D0"/>
    <w:rsid w:val="00311A5F"/>
    <w:rsid w:val="00312296"/>
    <w:rsid w:val="00314F0E"/>
    <w:rsid w:val="0031535E"/>
    <w:rsid w:val="00316629"/>
    <w:rsid w:val="00320FA7"/>
    <w:rsid w:val="00321D8E"/>
    <w:rsid w:val="00325928"/>
    <w:rsid w:val="00330605"/>
    <w:rsid w:val="00332863"/>
    <w:rsid w:val="00333180"/>
    <w:rsid w:val="00335D84"/>
    <w:rsid w:val="00336416"/>
    <w:rsid w:val="0033684D"/>
    <w:rsid w:val="00337B42"/>
    <w:rsid w:val="00341B42"/>
    <w:rsid w:val="0034348F"/>
    <w:rsid w:val="003532FE"/>
    <w:rsid w:val="00356653"/>
    <w:rsid w:val="0035743F"/>
    <w:rsid w:val="00357BE2"/>
    <w:rsid w:val="0036170C"/>
    <w:rsid w:val="00362EC7"/>
    <w:rsid w:val="00364315"/>
    <w:rsid w:val="003656DF"/>
    <w:rsid w:val="00366E0F"/>
    <w:rsid w:val="003714AA"/>
    <w:rsid w:val="00371723"/>
    <w:rsid w:val="00372F91"/>
    <w:rsid w:val="00377076"/>
    <w:rsid w:val="00377268"/>
    <w:rsid w:val="00381040"/>
    <w:rsid w:val="00381A72"/>
    <w:rsid w:val="00384676"/>
    <w:rsid w:val="00390857"/>
    <w:rsid w:val="00396E9F"/>
    <w:rsid w:val="003977C4"/>
    <w:rsid w:val="003A4BF3"/>
    <w:rsid w:val="003B1576"/>
    <w:rsid w:val="003B420D"/>
    <w:rsid w:val="003B643A"/>
    <w:rsid w:val="003C28DE"/>
    <w:rsid w:val="003C3FC7"/>
    <w:rsid w:val="003C6C16"/>
    <w:rsid w:val="003D0404"/>
    <w:rsid w:val="003D19D4"/>
    <w:rsid w:val="003D5583"/>
    <w:rsid w:val="003D6DF8"/>
    <w:rsid w:val="003D794D"/>
    <w:rsid w:val="003D79E7"/>
    <w:rsid w:val="003E0BDE"/>
    <w:rsid w:val="003E2890"/>
    <w:rsid w:val="003E2B43"/>
    <w:rsid w:val="003E3058"/>
    <w:rsid w:val="003E6630"/>
    <w:rsid w:val="003E76A9"/>
    <w:rsid w:val="003E7DEC"/>
    <w:rsid w:val="003F0809"/>
    <w:rsid w:val="003F23CE"/>
    <w:rsid w:val="003F2496"/>
    <w:rsid w:val="003F279E"/>
    <w:rsid w:val="003F3DD6"/>
    <w:rsid w:val="003F42F4"/>
    <w:rsid w:val="003F6A8C"/>
    <w:rsid w:val="003F6BA5"/>
    <w:rsid w:val="003F755C"/>
    <w:rsid w:val="00406F01"/>
    <w:rsid w:val="00411CA3"/>
    <w:rsid w:val="00411D1B"/>
    <w:rsid w:val="00416C14"/>
    <w:rsid w:val="00416D50"/>
    <w:rsid w:val="00416FD5"/>
    <w:rsid w:val="00417772"/>
    <w:rsid w:val="00420E6A"/>
    <w:rsid w:val="00425A9E"/>
    <w:rsid w:val="00426D6B"/>
    <w:rsid w:val="004277C9"/>
    <w:rsid w:val="00427803"/>
    <w:rsid w:val="00431E6C"/>
    <w:rsid w:val="00433CE7"/>
    <w:rsid w:val="00436710"/>
    <w:rsid w:val="00437FEC"/>
    <w:rsid w:val="00441793"/>
    <w:rsid w:val="00444748"/>
    <w:rsid w:val="00450FAC"/>
    <w:rsid w:val="00452738"/>
    <w:rsid w:val="00455379"/>
    <w:rsid w:val="00456091"/>
    <w:rsid w:val="00457B13"/>
    <w:rsid w:val="00463028"/>
    <w:rsid w:val="00466321"/>
    <w:rsid w:val="00470447"/>
    <w:rsid w:val="00470A3E"/>
    <w:rsid w:val="00470E84"/>
    <w:rsid w:val="00474151"/>
    <w:rsid w:val="00484B9B"/>
    <w:rsid w:val="004855F6"/>
    <w:rsid w:val="0048661E"/>
    <w:rsid w:val="004874D5"/>
    <w:rsid w:val="00494221"/>
    <w:rsid w:val="00494670"/>
    <w:rsid w:val="00494FFB"/>
    <w:rsid w:val="004958DC"/>
    <w:rsid w:val="00496DA9"/>
    <w:rsid w:val="004A1407"/>
    <w:rsid w:val="004A3823"/>
    <w:rsid w:val="004A74BF"/>
    <w:rsid w:val="004B0D73"/>
    <w:rsid w:val="004B24B6"/>
    <w:rsid w:val="004B2B21"/>
    <w:rsid w:val="004C036E"/>
    <w:rsid w:val="004C6992"/>
    <w:rsid w:val="004D07E4"/>
    <w:rsid w:val="004D5499"/>
    <w:rsid w:val="004D5ED6"/>
    <w:rsid w:val="004D6899"/>
    <w:rsid w:val="004D6EE3"/>
    <w:rsid w:val="004D71B5"/>
    <w:rsid w:val="004D79F8"/>
    <w:rsid w:val="004E2611"/>
    <w:rsid w:val="004E43BF"/>
    <w:rsid w:val="004E4DF6"/>
    <w:rsid w:val="004E6946"/>
    <w:rsid w:val="004E7843"/>
    <w:rsid w:val="004F1AD8"/>
    <w:rsid w:val="004F66DE"/>
    <w:rsid w:val="004F70BB"/>
    <w:rsid w:val="005039CB"/>
    <w:rsid w:val="0050558F"/>
    <w:rsid w:val="00505CA1"/>
    <w:rsid w:val="00506286"/>
    <w:rsid w:val="0050638A"/>
    <w:rsid w:val="0050693D"/>
    <w:rsid w:val="00510813"/>
    <w:rsid w:val="00511990"/>
    <w:rsid w:val="00511DE0"/>
    <w:rsid w:val="005120DB"/>
    <w:rsid w:val="00514870"/>
    <w:rsid w:val="00514B9B"/>
    <w:rsid w:val="00517F02"/>
    <w:rsid w:val="00524303"/>
    <w:rsid w:val="005258A2"/>
    <w:rsid w:val="00527E70"/>
    <w:rsid w:val="005401AE"/>
    <w:rsid w:val="00542E07"/>
    <w:rsid w:val="00545424"/>
    <w:rsid w:val="00545D78"/>
    <w:rsid w:val="00553E30"/>
    <w:rsid w:val="005548B5"/>
    <w:rsid w:val="00554A7B"/>
    <w:rsid w:val="0055572C"/>
    <w:rsid w:val="0055574E"/>
    <w:rsid w:val="00556B5F"/>
    <w:rsid w:val="005574FC"/>
    <w:rsid w:val="0056106A"/>
    <w:rsid w:val="00563274"/>
    <w:rsid w:val="00564911"/>
    <w:rsid w:val="00566645"/>
    <w:rsid w:val="005714C6"/>
    <w:rsid w:val="005720AE"/>
    <w:rsid w:val="00577718"/>
    <w:rsid w:val="00582E6E"/>
    <w:rsid w:val="0058523E"/>
    <w:rsid w:val="00586FEC"/>
    <w:rsid w:val="00593490"/>
    <w:rsid w:val="00594D77"/>
    <w:rsid w:val="005969E4"/>
    <w:rsid w:val="005A06B7"/>
    <w:rsid w:val="005A0CCB"/>
    <w:rsid w:val="005A0F66"/>
    <w:rsid w:val="005A0FB6"/>
    <w:rsid w:val="005A1759"/>
    <w:rsid w:val="005A2D64"/>
    <w:rsid w:val="005A68A7"/>
    <w:rsid w:val="005A7208"/>
    <w:rsid w:val="005A7F51"/>
    <w:rsid w:val="005B1D21"/>
    <w:rsid w:val="005B2B9A"/>
    <w:rsid w:val="005C38F6"/>
    <w:rsid w:val="005C4D2E"/>
    <w:rsid w:val="005D13B5"/>
    <w:rsid w:val="005D36AB"/>
    <w:rsid w:val="005D4582"/>
    <w:rsid w:val="005D61EB"/>
    <w:rsid w:val="005D63ED"/>
    <w:rsid w:val="005F0697"/>
    <w:rsid w:val="005F29AA"/>
    <w:rsid w:val="005F2F6A"/>
    <w:rsid w:val="005F481F"/>
    <w:rsid w:val="005F65CD"/>
    <w:rsid w:val="005F7127"/>
    <w:rsid w:val="006140F3"/>
    <w:rsid w:val="00615EA1"/>
    <w:rsid w:val="00617CC3"/>
    <w:rsid w:val="006336EF"/>
    <w:rsid w:val="006377A6"/>
    <w:rsid w:val="00637A3D"/>
    <w:rsid w:val="006411EF"/>
    <w:rsid w:val="00641E35"/>
    <w:rsid w:val="00645991"/>
    <w:rsid w:val="006503B3"/>
    <w:rsid w:val="00652E85"/>
    <w:rsid w:val="00654DC3"/>
    <w:rsid w:val="00665BAD"/>
    <w:rsid w:val="00666383"/>
    <w:rsid w:val="0066795B"/>
    <w:rsid w:val="00672977"/>
    <w:rsid w:val="006748B8"/>
    <w:rsid w:val="0067722F"/>
    <w:rsid w:val="006775C3"/>
    <w:rsid w:val="00680B68"/>
    <w:rsid w:val="00687D2C"/>
    <w:rsid w:val="0069290A"/>
    <w:rsid w:val="0069356E"/>
    <w:rsid w:val="00694990"/>
    <w:rsid w:val="0069744B"/>
    <w:rsid w:val="0069775A"/>
    <w:rsid w:val="00697813"/>
    <w:rsid w:val="006A09F1"/>
    <w:rsid w:val="006A3EE8"/>
    <w:rsid w:val="006A72BF"/>
    <w:rsid w:val="006B03F2"/>
    <w:rsid w:val="006B37DC"/>
    <w:rsid w:val="006B4F68"/>
    <w:rsid w:val="006B6D1F"/>
    <w:rsid w:val="006C0592"/>
    <w:rsid w:val="006C1F77"/>
    <w:rsid w:val="006C272E"/>
    <w:rsid w:val="006C5479"/>
    <w:rsid w:val="006C6354"/>
    <w:rsid w:val="006D13B5"/>
    <w:rsid w:val="006D3700"/>
    <w:rsid w:val="006D3E0F"/>
    <w:rsid w:val="006E0737"/>
    <w:rsid w:val="006E12FF"/>
    <w:rsid w:val="006E4952"/>
    <w:rsid w:val="006E607E"/>
    <w:rsid w:val="006E6810"/>
    <w:rsid w:val="006E7372"/>
    <w:rsid w:val="006F1C92"/>
    <w:rsid w:val="007007DA"/>
    <w:rsid w:val="0070308C"/>
    <w:rsid w:val="00706C5D"/>
    <w:rsid w:val="0071172C"/>
    <w:rsid w:val="00713498"/>
    <w:rsid w:val="007145B2"/>
    <w:rsid w:val="007200AE"/>
    <w:rsid w:val="007208D7"/>
    <w:rsid w:val="00723E51"/>
    <w:rsid w:val="00726300"/>
    <w:rsid w:val="00727183"/>
    <w:rsid w:val="007274CA"/>
    <w:rsid w:val="00731411"/>
    <w:rsid w:val="00732922"/>
    <w:rsid w:val="00733E26"/>
    <w:rsid w:val="00734569"/>
    <w:rsid w:val="00734E7A"/>
    <w:rsid w:val="00734F24"/>
    <w:rsid w:val="00742E94"/>
    <w:rsid w:val="0075130D"/>
    <w:rsid w:val="0075162E"/>
    <w:rsid w:val="0075194C"/>
    <w:rsid w:val="00754034"/>
    <w:rsid w:val="00754621"/>
    <w:rsid w:val="00755DF0"/>
    <w:rsid w:val="00756556"/>
    <w:rsid w:val="00757B9E"/>
    <w:rsid w:val="007618C4"/>
    <w:rsid w:val="00765FDE"/>
    <w:rsid w:val="00766872"/>
    <w:rsid w:val="00767980"/>
    <w:rsid w:val="00770B19"/>
    <w:rsid w:val="00771B68"/>
    <w:rsid w:val="00773916"/>
    <w:rsid w:val="0077463F"/>
    <w:rsid w:val="00775E82"/>
    <w:rsid w:val="00776648"/>
    <w:rsid w:val="0077693A"/>
    <w:rsid w:val="007818B4"/>
    <w:rsid w:val="0078346A"/>
    <w:rsid w:val="007836EA"/>
    <w:rsid w:val="00784CDA"/>
    <w:rsid w:val="0078768E"/>
    <w:rsid w:val="00790550"/>
    <w:rsid w:val="007906C4"/>
    <w:rsid w:val="00793B1B"/>
    <w:rsid w:val="007940EA"/>
    <w:rsid w:val="0079606D"/>
    <w:rsid w:val="007967E8"/>
    <w:rsid w:val="007A04E6"/>
    <w:rsid w:val="007A14B3"/>
    <w:rsid w:val="007A2170"/>
    <w:rsid w:val="007A22BF"/>
    <w:rsid w:val="007A3323"/>
    <w:rsid w:val="007A3406"/>
    <w:rsid w:val="007A6F63"/>
    <w:rsid w:val="007B0235"/>
    <w:rsid w:val="007B4D0D"/>
    <w:rsid w:val="007B72B8"/>
    <w:rsid w:val="007B7A58"/>
    <w:rsid w:val="007C2043"/>
    <w:rsid w:val="007C21B5"/>
    <w:rsid w:val="007C3482"/>
    <w:rsid w:val="007D6A53"/>
    <w:rsid w:val="007D7598"/>
    <w:rsid w:val="007E2EF7"/>
    <w:rsid w:val="007E4BD2"/>
    <w:rsid w:val="007E6AE0"/>
    <w:rsid w:val="007F0A1D"/>
    <w:rsid w:val="007F0AAD"/>
    <w:rsid w:val="007F27CB"/>
    <w:rsid w:val="007F6C6F"/>
    <w:rsid w:val="00801393"/>
    <w:rsid w:val="00802C50"/>
    <w:rsid w:val="00802F88"/>
    <w:rsid w:val="00804AF6"/>
    <w:rsid w:val="00811B71"/>
    <w:rsid w:val="0081293E"/>
    <w:rsid w:val="00814795"/>
    <w:rsid w:val="00815465"/>
    <w:rsid w:val="00817E9A"/>
    <w:rsid w:val="008272BB"/>
    <w:rsid w:val="0083050D"/>
    <w:rsid w:val="008306BD"/>
    <w:rsid w:val="00830F13"/>
    <w:rsid w:val="00831A80"/>
    <w:rsid w:val="00833743"/>
    <w:rsid w:val="008340A4"/>
    <w:rsid w:val="008344DD"/>
    <w:rsid w:val="008365E0"/>
    <w:rsid w:val="00844285"/>
    <w:rsid w:val="0084455C"/>
    <w:rsid w:val="008466CD"/>
    <w:rsid w:val="00847DE1"/>
    <w:rsid w:val="00854BCA"/>
    <w:rsid w:val="008555F9"/>
    <w:rsid w:val="00867FFD"/>
    <w:rsid w:val="0087135F"/>
    <w:rsid w:val="0087167F"/>
    <w:rsid w:val="008726A5"/>
    <w:rsid w:val="00872D94"/>
    <w:rsid w:val="00875C04"/>
    <w:rsid w:val="00880364"/>
    <w:rsid w:val="00884810"/>
    <w:rsid w:val="00885B23"/>
    <w:rsid w:val="00886778"/>
    <w:rsid w:val="00891592"/>
    <w:rsid w:val="0089189B"/>
    <w:rsid w:val="00891E9E"/>
    <w:rsid w:val="00893649"/>
    <w:rsid w:val="008A2F68"/>
    <w:rsid w:val="008B1170"/>
    <w:rsid w:val="008B146B"/>
    <w:rsid w:val="008B2ECD"/>
    <w:rsid w:val="008B357E"/>
    <w:rsid w:val="008B3F5B"/>
    <w:rsid w:val="008B434C"/>
    <w:rsid w:val="008B4FA6"/>
    <w:rsid w:val="008B5282"/>
    <w:rsid w:val="008B73C2"/>
    <w:rsid w:val="008B7C17"/>
    <w:rsid w:val="008C2D01"/>
    <w:rsid w:val="008C40E6"/>
    <w:rsid w:val="008C6556"/>
    <w:rsid w:val="008D0F7A"/>
    <w:rsid w:val="008D1B77"/>
    <w:rsid w:val="008D313A"/>
    <w:rsid w:val="008D5A78"/>
    <w:rsid w:val="008D68E4"/>
    <w:rsid w:val="008E0506"/>
    <w:rsid w:val="008E0CFF"/>
    <w:rsid w:val="008E1DC3"/>
    <w:rsid w:val="008E5D6B"/>
    <w:rsid w:val="008E76F0"/>
    <w:rsid w:val="008E7DEC"/>
    <w:rsid w:val="008F15FE"/>
    <w:rsid w:val="008F2D29"/>
    <w:rsid w:val="008F5187"/>
    <w:rsid w:val="008F60D8"/>
    <w:rsid w:val="008F6EB2"/>
    <w:rsid w:val="008F7661"/>
    <w:rsid w:val="009024CD"/>
    <w:rsid w:val="00902727"/>
    <w:rsid w:val="00902C2A"/>
    <w:rsid w:val="0090312B"/>
    <w:rsid w:val="00906441"/>
    <w:rsid w:val="00911692"/>
    <w:rsid w:val="00914C51"/>
    <w:rsid w:val="0091736D"/>
    <w:rsid w:val="00920750"/>
    <w:rsid w:val="00920B00"/>
    <w:rsid w:val="009224FE"/>
    <w:rsid w:val="0092676D"/>
    <w:rsid w:val="009269A2"/>
    <w:rsid w:val="0093037A"/>
    <w:rsid w:val="009310A2"/>
    <w:rsid w:val="00936848"/>
    <w:rsid w:val="0094154D"/>
    <w:rsid w:val="00943DD8"/>
    <w:rsid w:val="009444C8"/>
    <w:rsid w:val="00950240"/>
    <w:rsid w:val="0095101F"/>
    <w:rsid w:val="00951547"/>
    <w:rsid w:val="0095155F"/>
    <w:rsid w:val="00954429"/>
    <w:rsid w:val="009563CE"/>
    <w:rsid w:val="00960FF6"/>
    <w:rsid w:val="009614D0"/>
    <w:rsid w:val="00962205"/>
    <w:rsid w:val="009762CD"/>
    <w:rsid w:val="00976328"/>
    <w:rsid w:val="0097680D"/>
    <w:rsid w:val="00982438"/>
    <w:rsid w:val="00983564"/>
    <w:rsid w:val="0098404C"/>
    <w:rsid w:val="00985283"/>
    <w:rsid w:val="0099404E"/>
    <w:rsid w:val="0099452D"/>
    <w:rsid w:val="00995992"/>
    <w:rsid w:val="00997D30"/>
    <w:rsid w:val="009A03E5"/>
    <w:rsid w:val="009A0E3C"/>
    <w:rsid w:val="009A0ED2"/>
    <w:rsid w:val="009A0F3B"/>
    <w:rsid w:val="009A13B3"/>
    <w:rsid w:val="009A1BB4"/>
    <w:rsid w:val="009A2628"/>
    <w:rsid w:val="009A3200"/>
    <w:rsid w:val="009A37BE"/>
    <w:rsid w:val="009A38E3"/>
    <w:rsid w:val="009A7605"/>
    <w:rsid w:val="009B0897"/>
    <w:rsid w:val="009B4C4E"/>
    <w:rsid w:val="009B7330"/>
    <w:rsid w:val="009B7BD9"/>
    <w:rsid w:val="009C7AE2"/>
    <w:rsid w:val="009C7DD5"/>
    <w:rsid w:val="009D0D56"/>
    <w:rsid w:val="009D0EA3"/>
    <w:rsid w:val="009D3880"/>
    <w:rsid w:val="009D6407"/>
    <w:rsid w:val="009E227D"/>
    <w:rsid w:val="009E335F"/>
    <w:rsid w:val="009E5019"/>
    <w:rsid w:val="009F0645"/>
    <w:rsid w:val="009F28F7"/>
    <w:rsid w:val="009F2E6D"/>
    <w:rsid w:val="00A010BF"/>
    <w:rsid w:val="00A04F1B"/>
    <w:rsid w:val="00A0501B"/>
    <w:rsid w:val="00A06BDB"/>
    <w:rsid w:val="00A07650"/>
    <w:rsid w:val="00A1182A"/>
    <w:rsid w:val="00A11F50"/>
    <w:rsid w:val="00A14719"/>
    <w:rsid w:val="00A14947"/>
    <w:rsid w:val="00A16BE5"/>
    <w:rsid w:val="00A3020E"/>
    <w:rsid w:val="00A30B82"/>
    <w:rsid w:val="00A3295D"/>
    <w:rsid w:val="00A32A83"/>
    <w:rsid w:val="00A368DB"/>
    <w:rsid w:val="00A37CD2"/>
    <w:rsid w:val="00A40483"/>
    <w:rsid w:val="00A42231"/>
    <w:rsid w:val="00A423AA"/>
    <w:rsid w:val="00A42F47"/>
    <w:rsid w:val="00A53EC6"/>
    <w:rsid w:val="00A54CD9"/>
    <w:rsid w:val="00A55C0F"/>
    <w:rsid w:val="00A566D5"/>
    <w:rsid w:val="00A5739E"/>
    <w:rsid w:val="00A6244D"/>
    <w:rsid w:val="00A67D58"/>
    <w:rsid w:val="00A67EEF"/>
    <w:rsid w:val="00A763C6"/>
    <w:rsid w:val="00A80B5A"/>
    <w:rsid w:val="00A81D22"/>
    <w:rsid w:val="00A83AD0"/>
    <w:rsid w:val="00A8713F"/>
    <w:rsid w:val="00A87F74"/>
    <w:rsid w:val="00A90479"/>
    <w:rsid w:val="00A90BA1"/>
    <w:rsid w:val="00A91EFA"/>
    <w:rsid w:val="00A954B1"/>
    <w:rsid w:val="00A95A9A"/>
    <w:rsid w:val="00A96482"/>
    <w:rsid w:val="00A97A9A"/>
    <w:rsid w:val="00AA0671"/>
    <w:rsid w:val="00AA15E3"/>
    <w:rsid w:val="00AA2531"/>
    <w:rsid w:val="00AA3CEC"/>
    <w:rsid w:val="00AA423C"/>
    <w:rsid w:val="00AB1812"/>
    <w:rsid w:val="00AB1E09"/>
    <w:rsid w:val="00AB35C0"/>
    <w:rsid w:val="00AB5330"/>
    <w:rsid w:val="00AB7747"/>
    <w:rsid w:val="00AB7A64"/>
    <w:rsid w:val="00AC14CE"/>
    <w:rsid w:val="00AC2A56"/>
    <w:rsid w:val="00AC2AAA"/>
    <w:rsid w:val="00AD055E"/>
    <w:rsid w:val="00AD47A7"/>
    <w:rsid w:val="00AD488D"/>
    <w:rsid w:val="00AD558A"/>
    <w:rsid w:val="00AE30B0"/>
    <w:rsid w:val="00AF0CBF"/>
    <w:rsid w:val="00AF1302"/>
    <w:rsid w:val="00AF19F8"/>
    <w:rsid w:val="00AF257F"/>
    <w:rsid w:val="00AF33CF"/>
    <w:rsid w:val="00AF4D50"/>
    <w:rsid w:val="00AF5A36"/>
    <w:rsid w:val="00AF5E10"/>
    <w:rsid w:val="00AF6179"/>
    <w:rsid w:val="00B02D76"/>
    <w:rsid w:val="00B057ED"/>
    <w:rsid w:val="00B06E28"/>
    <w:rsid w:val="00B1295A"/>
    <w:rsid w:val="00B14E1A"/>
    <w:rsid w:val="00B15661"/>
    <w:rsid w:val="00B15CE6"/>
    <w:rsid w:val="00B2084B"/>
    <w:rsid w:val="00B20A45"/>
    <w:rsid w:val="00B217BE"/>
    <w:rsid w:val="00B22BA0"/>
    <w:rsid w:val="00B22C5C"/>
    <w:rsid w:val="00B24F30"/>
    <w:rsid w:val="00B26C7B"/>
    <w:rsid w:val="00B31ABF"/>
    <w:rsid w:val="00B32447"/>
    <w:rsid w:val="00B33BE3"/>
    <w:rsid w:val="00B406C6"/>
    <w:rsid w:val="00B51CB3"/>
    <w:rsid w:val="00B53B5D"/>
    <w:rsid w:val="00B54816"/>
    <w:rsid w:val="00B556B9"/>
    <w:rsid w:val="00B6055E"/>
    <w:rsid w:val="00B61856"/>
    <w:rsid w:val="00B6317D"/>
    <w:rsid w:val="00B701B7"/>
    <w:rsid w:val="00B71F65"/>
    <w:rsid w:val="00B76110"/>
    <w:rsid w:val="00B76409"/>
    <w:rsid w:val="00B7723F"/>
    <w:rsid w:val="00B80534"/>
    <w:rsid w:val="00B8433C"/>
    <w:rsid w:val="00B85520"/>
    <w:rsid w:val="00B87491"/>
    <w:rsid w:val="00B953CB"/>
    <w:rsid w:val="00B9618E"/>
    <w:rsid w:val="00BA1A55"/>
    <w:rsid w:val="00BA29E9"/>
    <w:rsid w:val="00BA3803"/>
    <w:rsid w:val="00BA7142"/>
    <w:rsid w:val="00BA75EB"/>
    <w:rsid w:val="00BB03F8"/>
    <w:rsid w:val="00BB1235"/>
    <w:rsid w:val="00BB237C"/>
    <w:rsid w:val="00BB410D"/>
    <w:rsid w:val="00BB41A3"/>
    <w:rsid w:val="00BB56C8"/>
    <w:rsid w:val="00BB5D1A"/>
    <w:rsid w:val="00BC32DC"/>
    <w:rsid w:val="00BC35B6"/>
    <w:rsid w:val="00BC36A0"/>
    <w:rsid w:val="00BC757B"/>
    <w:rsid w:val="00BD01A8"/>
    <w:rsid w:val="00BD1509"/>
    <w:rsid w:val="00BD1B51"/>
    <w:rsid w:val="00BD4596"/>
    <w:rsid w:val="00BE1405"/>
    <w:rsid w:val="00BE312D"/>
    <w:rsid w:val="00BF1C20"/>
    <w:rsid w:val="00BF3CC9"/>
    <w:rsid w:val="00BF52BD"/>
    <w:rsid w:val="00BF706B"/>
    <w:rsid w:val="00C00523"/>
    <w:rsid w:val="00C01DE2"/>
    <w:rsid w:val="00C054D9"/>
    <w:rsid w:val="00C05991"/>
    <w:rsid w:val="00C10578"/>
    <w:rsid w:val="00C12DE3"/>
    <w:rsid w:val="00C135BC"/>
    <w:rsid w:val="00C1389B"/>
    <w:rsid w:val="00C14B91"/>
    <w:rsid w:val="00C15C95"/>
    <w:rsid w:val="00C16233"/>
    <w:rsid w:val="00C17F01"/>
    <w:rsid w:val="00C2280E"/>
    <w:rsid w:val="00C24BF6"/>
    <w:rsid w:val="00C2596A"/>
    <w:rsid w:val="00C27537"/>
    <w:rsid w:val="00C30769"/>
    <w:rsid w:val="00C30909"/>
    <w:rsid w:val="00C328FE"/>
    <w:rsid w:val="00C33507"/>
    <w:rsid w:val="00C33848"/>
    <w:rsid w:val="00C34DAD"/>
    <w:rsid w:val="00C43750"/>
    <w:rsid w:val="00C4409D"/>
    <w:rsid w:val="00C44772"/>
    <w:rsid w:val="00C44E72"/>
    <w:rsid w:val="00C45A06"/>
    <w:rsid w:val="00C47E5B"/>
    <w:rsid w:val="00C50B26"/>
    <w:rsid w:val="00C5134B"/>
    <w:rsid w:val="00C51E4F"/>
    <w:rsid w:val="00C528D4"/>
    <w:rsid w:val="00C54322"/>
    <w:rsid w:val="00C55BD2"/>
    <w:rsid w:val="00C55CCD"/>
    <w:rsid w:val="00C61E4B"/>
    <w:rsid w:val="00C621A8"/>
    <w:rsid w:val="00C63F1C"/>
    <w:rsid w:val="00C64BFF"/>
    <w:rsid w:val="00C704E9"/>
    <w:rsid w:val="00C70F3D"/>
    <w:rsid w:val="00C74224"/>
    <w:rsid w:val="00C763C9"/>
    <w:rsid w:val="00C80057"/>
    <w:rsid w:val="00C81BA9"/>
    <w:rsid w:val="00C82232"/>
    <w:rsid w:val="00C82913"/>
    <w:rsid w:val="00C84172"/>
    <w:rsid w:val="00C84433"/>
    <w:rsid w:val="00C8508D"/>
    <w:rsid w:val="00C85F20"/>
    <w:rsid w:val="00C8683C"/>
    <w:rsid w:val="00C91C98"/>
    <w:rsid w:val="00C9289D"/>
    <w:rsid w:val="00C972B1"/>
    <w:rsid w:val="00CA2CCE"/>
    <w:rsid w:val="00CA43FD"/>
    <w:rsid w:val="00CA613C"/>
    <w:rsid w:val="00CA7EEA"/>
    <w:rsid w:val="00CA7EF8"/>
    <w:rsid w:val="00CB131F"/>
    <w:rsid w:val="00CB286B"/>
    <w:rsid w:val="00CB3C62"/>
    <w:rsid w:val="00CB51BD"/>
    <w:rsid w:val="00CB5A10"/>
    <w:rsid w:val="00CB77BE"/>
    <w:rsid w:val="00CC489B"/>
    <w:rsid w:val="00CD1788"/>
    <w:rsid w:val="00CD2BCD"/>
    <w:rsid w:val="00CD3A4C"/>
    <w:rsid w:val="00CD5003"/>
    <w:rsid w:val="00CD6FE2"/>
    <w:rsid w:val="00CE0964"/>
    <w:rsid w:val="00CE10E9"/>
    <w:rsid w:val="00CE2910"/>
    <w:rsid w:val="00CE5393"/>
    <w:rsid w:val="00CE72AE"/>
    <w:rsid w:val="00CF36BE"/>
    <w:rsid w:val="00CF5851"/>
    <w:rsid w:val="00CF6000"/>
    <w:rsid w:val="00CF64E1"/>
    <w:rsid w:val="00CF7B08"/>
    <w:rsid w:val="00D003F3"/>
    <w:rsid w:val="00D0098D"/>
    <w:rsid w:val="00D009BB"/>
    <w:rsid w:val="00D01E40"/>
    <w:rsid w:val="00D0364F"/>
    <w:rsid w:val="00D05028"/>
    <w:rsid w:val="00D066EC"/>
    <w:rsid w:val="00D06834"/>
    <w:rsid w:val="00D074CA"/>
    <w:rsid w:val="00D1102F"/>
    <w:rsid w:val="00D136C8"/>
    <w:rsid w:val="00D17737"/>
    <w:rsid w:val="00D20B4D"/>
    <w:rsid w:val="00D23242"/>
    <w:rsid w:val="00D24FF0"/>
    <w:rsid w:val="00D30638"/>
    <w:rsid w:val="00D308ED"/>
    <w:rsid w:val="00D3269E"/>
    <w:rsid w:val="00D36D86"/>
    <w:rsid w:val="00D428AA"/>
    <w:rsid w:val="00D42A10"/>
    <w:rsid w:val="00D42B17"/>
    <w:rsid w:val="00D5063D"/>
    <w:rsid w:val="00D50A34"/>
    <w:rsid w:val="00D53EFA"/>
    <w:rsid w:val="00D5688F"/>
    <w:rsid w:val="00D64AE1"/>
    <w:rsid w:val="00D70859"/>
    <w:rsid w:val="00D72607"/>
    <w:rsid w:val="00D903A3"/>
    <w:rsid w:val="00D91EDB"/>
    <w:rsid w:val="00D94A7C"/>
    <w:rsid w:val="00D95896"/>
    <w:rsid w:val="00D977C1"/>
    <w:rsid w:val="00DA3822"/>
    <w:rsid w:val="00DA5C53"/>
    <w:rsid w:val="00DA748B"/>
    <w:rsid w:val="00DB1FC6"/>
    <w:rsid w:val="00DB20F7"/>
    <w:rsid w:val="00DB24F3"/>
    <w:rsid w:val="00DB2983"/>
    <w:rsid w:val="00DC1257"/>
    <w:rsid w:val="00DC19CB"/>
    <w:rsid w:val="00DC3DC0"/>
    <w:rsid w:val="00DC4EEA"/>
    <w:rsid w:val="00DC5B2B"/>
    <w:rsid w:val="00DC5E6F"/>
    <w:rsid w:val="00DC7C1D"/>
    <w:rsid w:val="00DD318D"/>
    <w:rsid w:val="00DD7088"/>
    <w:rsid w:val="00DE0994"/>
    <w:rsid w:val="00DE1BE7"/>
    <w:rsid w:val="00DE2E2E"/>
    <w:rsid w:val="00DE5743"/>
    <w:rsid w:val="00DE6B3E"/>
    <w:rsid w:val="00DF2E12"/>
    <w:rsid w:val="00DF3269"/>
    <w:rsid w:val="00DF4CEA"/>
    <w:rsid w:val="00DF50B9"/>
    <w:rsid w:val="00DF514A"/>
    <w:rsid w:val="00DF6690"/>
    <w:rsid w:val="00DF6804"/>
    <w:rsid w:val="00E0358D"/>
    <w:rsid w:val="00E04323"/>
    <w:rsid w:val="00E06091"/>
    <w:rsid w:val="00E070A2"/>
    <w:rsid w:val="00E0770D"/>
    <w:rsid w:val="00E131FF"/>
    <w:rsid w:val="00E13486"/>
    <w:rsid w:val="00E14A42"/>
    <w:rsid w:val="00E16FE2"/>
    <w:rsid w:val="00E224A1"/>
    <w:rsid w:val="00E24731"/>
    <w:rsid w:val="00E2656A"/>
    <w:rsid w:val="00E30557"/>
    <w:rsid w:val="00E30FAC"/>
    <w:rsid w:val="00E371FE"/>
    <w:rsid w:val="00E40880"/>
    <w:rsid w:val="00E412D0"/>
    <w:rsid w:val="00E474A5"/>
    <w:rsid w:val="00E51CC6"/>
    <w:rsid w:val="00E54D24"/>
    <w:rsid w:val="00E56322"/>
    <w:rsid w:val="00E573DB"/>
    <w:rsid w:val="00E60982"/>
    <w:rsid w:val="00E62C62"/>
    <w:rsid w:val="00E65438"/>
    <w:rsid w:val="00E654C1"/>
    <w:rsid w:val="00E65D97"/>
    <w:rsid w:val="00E66EB2"/>
    <w:rsid w:val="00E72A5A"/>
    <w:rsid w:val="00E73354"/>
    <w:rsid w:val="00E77A49"/>
    <w:rsid w:val="00E846E5"/>
    <w:rsid w:val="00E84814"/>
    <w:rsid w:val="00E91C8E"/>
    <w:rsid w:val="00E9242D"/>
    <w:rsid w:val="00E9352D"/>
    <w:rsid w:val="00E9520D"/>
    <w:rsid w:val="00E95B25"/>
    <w:rsid w:val="00EA058C"/>
    <w:rsid w:val="00EA0C18"/>
    <w:rsid w:val="00EA233A"/>
    <w:rsid w:val="00EA40E8"/>
    <w:rsid w:val="00EA4427"/>
    <w:rsid w:val="00EA52E9"/>
    <w:rsid w:val="00EB1C0E"/>
    <w:rsid w:val="00EB443B"/>
    <w:rsid w:val="00EB5255"/>
    <w:rsid w:val="00EB5C47"/>
    <w:rsid w:val="00EB60B2"/>
    <w:rsid w:val="00EC4278"/>
    <w:rsid w:val="00EC5C36"/>
    <w:rsid w:val="00ED0639"/>
    <w:rsid w:val="00ED1585"/>
    <w:rsid w:val="00ED3BD8"/>
    <w:rsid w:val="00ED5986"/>
    <w:rsid w:val="00ED6E62"/>
    <w:rsid w:val="00EE2431"/>
    <w:rsid w:val="00EE4B04"/>
    <w:rsid w:val="00EE7CAD"/>
    <w:rsid w:val="00EF4755"/>
    <w:rsid w:val="00EF7135"/>
    <w:rsid w:val="00EF7950"/>
    <w:rsid w:val="00F027DB"/>
    <w:rsid w:val="00F036C9"/>
    <w:rsid w:val="00F0383C"/>
    <w:rsid w:val="00F14A7A"/>
    <w:rsid w:val="00F16B71"/>
    <w:rsid w:val="00F20367"/>
    <w:rsid w:val="00F211EF"/>
    <w:rsid w:val="00F22985"/>
    <w:rsid w:val="00F22F9D"/>
    <w:rsid w:val="00F27441"/>
    <w:rsid w:val="00F318B3"/>
    <w:rsid w:val="00F3383E"/>
    <w:rsid w:val="00F339C3"/>
    <w:rsid w:val="00F36025"/>
    <w:rsid w:val="00F465A7"/>
    <w:rsid w:val="00F46AC7"/>
    <w:rsid w:val="00F50B7C"/>
    <w:rsid w:val="00F50CDF"/>
    <w:rsid w:val="00F50FC2"/>
    <w:rsid w:val="00F522AE"/>
    <w:rsid w:val="00F52A8D"/>
    <w:rsid w:val="00F550E6"/>
    <w:rsid w:val="00F66C2B"/>
    <w:rsid w:val="00F66F31"/>
    <w:rsid w:val="00F705B3"/>
    <w:rsid w:val="00F720D2"/>
    <w:rsid w:val="00F72CA9"/>
    <w:rsid w:val="00F74345"/>
    <w:rsid w:val="00F76805"/>
    <w:rsid w:val="00F80083"/>
    <w:rsid w:val="00F80A0A"/>
    <w:rsid w:val="00F82B19"/>
    <w:rsid w:val="00F8591A"/>
    <w:rsid w:val="00F907CF"/>
    <w:rsid w:val="00F91C42"/>
    <w:rsid w:val="00F9212D"/>
    <w:rsid w:val="00F9432B"/>
    <w:rsid w:val="00F965DA"/>
    <w:rsid w:val="00FA00A3"/>
    <w:rsid w:val="00FA16CA"/>
    <w:rsid w:val="00FA406A"/>
    <w:rsid w:val="00FB503A"/>
    <w:rsid w:val="00FB516C"/>
    <w:rsid w:val="00FB62F5"/>
    <w:rsid w:val="00FC0051"/>
    <w:rsid w:val="00FC02BF"/>
    <w:rsid w:val="00FC0697"/>
    <w:rsid w:val="00FC206D"/>
    <w:rsid w:val="00FC2BA6"/>
    <w:rsid w:val="00FC3E1B"/>
    <w:rsid w:val="00FC572B"/>
    <w:rsid w:val="00FC5CFB"/>
    <w:rsid w:val="00FC6DE5"/>
    <w:rsid w:val="00FD0236"/>
    <w:rsid w:val="00FD18F4"/>
    <w:rsid w:val="00FD54DB"/>
    <w:rsid w:val="00FD619F"/>
    <w:rsid w:val="00FD7DD1"/>
    <w:rsid w:val="00FE1942"/>
    <w:rsid w:val="00FE5242"/>
    <w:rsid w:val="00FE7B94"/>
    <w:rsid w:val="00FF0116"/>
    <w:rsid w:val="00FF14DB"/>
    <w:rsid w:val="00FF2AF7"/>
    <w:rsid w:val="00FF4979"/>
    <w:rsid w:val="0100241C"/>
    <w:rsid w:val="0100296B"/>
    <w:rsid w:val="010030EE"/>
    <w:rsid w:val="0100428E"/>
    <w:rsid w:val="01004F49"/>
    <w:rsid w:val="01011432"/>
    <w:rsid w:val="01011862"/>
    <w:rsid w:val="010158D6"/>
    <w:rsid w:val="01017684"/>
    <w:rsid w:val="01026FFE"/>
    <w:rsid w:val="0103164E"/>
    <w:rsid w:val="010328FB"/>
    <w:rsid w:val="010331A3"/>
    <w:rsid w:val="0104780D"/>
    <w:rsid w:val="0105534D"/>
    <w:rsid w:val="01055C74"/>
    <w:rsid w:val="01057174"/>
    <w:rsid w:val="01062EEC"/>
    <w:rsid w:val="01065EEB"/>
    <w:rsid w:val="01066CBA"/>
    <w:rsid w:val="0107283E"/>
    <w:rsid w:val="0108018D"/>
    <w:rsid w:val="01081B3E"/>
    <w:rsid w:val="010827C0"/>
    <w:rsid w:val="0109200B"/>
    <w:rsid w:val="0109721A"/>
    <w:rsid w:val="010A6538"/>
    <w:rsid w:val="010B027B"/>
    <w:rsid w:val="010B264F"/>
    <w:rsid w:val="010B34F0"/>
    <w:rsid w:val="010B405F"/>
    <w:rsid w:val="010C0502"/>
    <w:rsid w:val="010C389A"/>
    <w:rsid w:val="010D6DB3"/>
    <w:rsid w:val="010E6A9A"/>
    <w:rsid w:val="010E7C5D"/>
    <w:rsid w:val="010F0FD0"/>
    <w:rsid w:val="010F1DA1"/>
    <w:rsid w:val="010F3BA1"/>
    <w:rsid w:val="010F3C77"/>
    <w:rsid w:val="010F7111"/>
    <w:rsid w:val="010F7FF3"/>
    <w:rsid w:val="01101696"/>
    <w:rsid w:val="01104A8C"/>
    <w:rsid w:val="01105031"/>
    <w:rsid w:val="011078C7"/>
    <w:rsid w:val="01113333"/>
    <w:rsid w:val="011149CC"/>
    <w:rsid w:val="01117677"/>
    <w:rsid w:val="0112363F"/>
    <w:rsid w:val="0113077E"/>
    <w:rsid w:val="01136E98"/>
    <w:rsid w:val="01140732"/>
    <w:rsid w:val="011414DF"/>
    <w:rsid w:val="011473B7"/>
    <w:rsid w:val="01155DA9"/>
    <w:rsid w:val="011562D2"/>
    <w:rsid w:val="01164AE6"/>
    <w:rsid w:val="01176EA7"/>
    <w:rsid w:val="01176FE6"/>
    <w:rsid w:val="011819EA"/>
    <w:rsid w:val="01182082"/>
    <w:rsid w:val="01183B20"/>
    <w:rsid w:val="011857DF"/>
    <w:rsid w:val="011927D2"/>
    <w:rsid w:val="01192C1F"/>
    <w:rsid w:val="011949CD"/>
    <w:rsid w:val="01197A5E"/>
    <w:rsid w:val="011A0CB4"/>
    <w:rsid w:val="011A3A97"/>
    <w:rsid w:val="011B310F"/>
    <w:rsid w:val="011B47C2"/>
    <w:rsid w:val="011C5BC7"/>
    <w:rsid w:val="011D2710"/>
    <w:rsid w:val="011E1FE4"/>
    <w:rsid w:val="011E3835"/>
    <w:rsid w:val="011E3D92"/>
    <w:rsid w:val="011F3E64"/>
    <w:rsid w:val="011F5C49"/>
    <w:rsid w:val="01201F10"/>
    <w:rsid w:val="01205D5C"/>
    <w:rsid w:val="01211AD4"/>
    <w:rsid w:val="012143A7"/>
    <w:rsid w:val="01217B00"/>
    <w:rsid w:val="01227446"/>
    <w:rsid w:val="01230861"/>
    <w:rsid w:val="01231B3C"/>
    <w:rsid w:val="01233A9E"/>
    <w:rsid w:val="012368FC"/>
    <w:rsid w:val="0123710B"/>
    <w:rsid w:val="012515C4"/>
    <w:rsid w:val="01253372"/>
    <w:rsid w:val="012552BC"/>
    <w:rsid w:val="01264686"/>
    <w:rsid w:val="01264F2A"/>
    <w:rsid w:val="01270201"/>
    <w:rsid w:val="0127533C"/>
    <w:rsid w:val="012810B4"/>
    <w:rsid w:val="01282E62"/>
    <w:rsid w:val="01290F7E"/>
    <w:rsid w:val="01291F96"/>
    <w:rsid w:val="012A195D"/>
    <w:rsid w:val="012A6BDB"/>
    <w:rsid w:val="012B04F7"/>
    <w:rsid w:val="012B4701"/>
    <w:rsid w:val="012C1696"/>
    <w:rsid w:val="012D0479"/>
    <w:rsid w:val="012D4559"/>
    <w:rsid w:val="012D7423"/>
    <w:rsid w:val="012E72DF"/>
    <w:rsid w:val="012F2443"/>
    <w:rsid w:val="012F5F9F"/>
    <w:rsid w:val="013111CB"/>
    <w:rsid w:val="01311207"/>
    <w:rsid w:val="01311952"/>
    <w:rsid w:val="01311AEB"/>
    <w:rsid w:val="01314243"/>
    <w:rsid w:val="01317F69"/>
    <w:rsid w:val="01323A7E"/>
    <w:rsid w:val="01323CE1"/>
    <w:rsid w:val="01326F3B"/>
    <w:rsid w:val="0132783D"/>
    <w:rsid w:val="0133042E"/>
    <w:rsid w:val="01332F0E"/>
    <w:rsid w:val="013340D3"/>
    <w:rsid w:val="01334365"/>
    <w:rsid w:val="01336C8A"/>
    <w:rsid w:val="01341807"/>
    <w:rsid w:val="013435B5"/>
    <w:rsid w:val="01347A59"/>
    <w:rsid w:val="01352F16"/>
    <w:rsid w:val="01353250"/>
    <w:rsid w:val="01357C1D"/>
    <w:rsid w:val="013637D1"/>
    <w:rsid w:val="0136557F"/>
    <w:rsid w:val="01365D27"/>
    <w:rsid w:val="013672A7"/>
    <w:rsid w:val="01370129"/>
    <w:rsid w:val="013707FE"/>
    <w:rsid w:val="01371B36"/>
    <w:rsid w:val="01380FE8"/>
    <w:rsid w:val="01382009"/>
    <w:rsid w:val="01384F8A"/>
    <w:rsid w:val="01384F91"/>
    <w:rsid w:val="01390070"/>
    <w:rsid w:val="01390BCC"/>
    <w:rsid w:val="01392684"/>
    <w:rsid w:val="01395070"/>
    <w:rsid w:val="01396E1E"/>
    <w:rsid w:val="013B4944"/>
    <w:rsid w:val="013B6B5D"/>
    <w:rsid w:val="013C147D"/>
    <w:rsid w:val="013C7638"/>
    <w:rsid w:val="013D4B60"/>
    <w:rsid w:val="013D79A5"/>
    <w:rsid w:val="013E4434"/>
    <w:rsid w:val="013E6BD6"/>
    <w:rsid w:val="013F2873"/>
    <w:rsid w:val="01401F5A"/>
    <w:rsid w:val="01404096"/>
    <w:rsid w:val="014053C8"/>
    <w:rsid w:val="014063FE"/>
    <w:rsid w:val="01421B3E"/>
    <w:rsid w:val="01423F24"/>
    <w:rsid w:val="01425CA9"/>
    <w:rsid w:val="01427CA7"/>
    <w:rsid w:val="014325C0"/>
    <w:rsid w:val="014359D0"/>
    <w:rsid w:val="01437C9C"/>
    <w:rsid w:val="01440861"/>
    <w:rsid w:val="01441083"/>
    <w:rsid w:val="01443960"/>
    <w:rsid w:val="01444A6E"/>
    <w:rsid w:val="0144510F"/>
    <w:rsid w:val="014467CE"/>
    <w:rsid w:val="01447F7C"/>
    <w:rsid w:val="01452AE5"/>
    <w:rsid w:val="014546A5"/>
    <w:rsid w:val="014557C2"/>
    <w:rsid w:val="01463C70"/>
    <w:rsid w:val="01471C6C"/>
    <w:rsid w:val="014757E4"/>
    <w:rsid w:val="01476590"/>
    <w:rsid w:val="0147778C"/>
    <w:rsid w:val="01483505"/>
    <w:rsid w:val="01486C7D"/>
    <w:rsid w:val="01487061"/>
    <w:rsid w:val="0148767A"/>
    <w:rsid w:val="014A102B"/>
    <w:rsid w:val="014A4B87"/>
    <w:rsid w:val="014A6652"/>
    <w:rsid w:val="014B01C7"/>
    <w:rsid w:val="014B54B7"/>
    <w:rsid w:val="014C1056"/>
    <w:rsid w:val="014C6B51"/>
    <w:rsid w:val="014C7939"/>
    <w:rsid w:val="014D0B1B"/>
    <w:rsid w:val="014D4677"/>
    <w:rsid w:val="014F03EF"/>
    <w:rsid w:val="014F6641"/>
    <w:rsid w:val="014F797C"/>
    <w:rsid w:val="01503E86"/>
    <w:rsid w:val="01510884"/>
    <w:rsid w:val="01510DA4"/>
    <w:rsid w:val="015123B9"/>
    <w:rsid w:val="01514860"/>
    <w:rsid w:val="01515265"/>
    <w:rsid w:val="015156BB"/>
    <w:rsid w:val="01527204"/>
    <w:rsid w:val="01536809"/>
    <w:rsid w:val="01540C7C"/>
    <w:rsid w:val="01547C22"/>
    <w:rsid w:val="01553765"/>
    <w:rsid w:val="01554165"/>
    <w:rsid w:val="01555C08"/>
    <w:rsid w:val="0156177E"/>
    <w:rsid w:val="0156207A"/>
    <w:rsid w:val="01565C22"/>
    <w:rsid w:val="0156624E"/>
    <w:rsid w:val="015772A4"/>
    <w:rsid w:val="015777C6"/>
    <w:rsid w:val="01580C56"/>
    <w:rsid w:val="01582BC2"/>
    <w:rsid w:val="015844B9"/>
    <w:rsid w:val="01590B41"/>
    <w:rsid w:val="0159126E"/>
    <w:rsid w:val="0159301C"/>
    <w:rsid w:val="01596A64"/>
    <w:rsid w:val="015A74DB"/>
    <w:rsid w:val="015B4120"/>
    <w:rsid w:val="015B48ED"/>
    <w:rsid w:val="015B6D94"/>
    <w:rsid w:val="015C2B0C"/>
    <w:rsid w:val="015C3000"/>
    <w:rsid w:val="015C3709"/>
    <w:rsid w:val="015C48BA"/>
    <w:rsid w:val="015D0D5E"/>
    <w:rsid w:val="015D1E09"/>
    <w:rsid w:val="015D4AF8"/>
    <w:rsid w:val="015D64D1"/>
    <w:rsid w:val="015E034F"/>
    <w:rsid w:val="015E06FD"/>
    <w:rsid w:val="015E3387"/>
    <w:rsid w:val="015E38B7"/>
    <w:rsid w:val="015E3EC8"/>
    <w:rsid w:val="015E6884"/>
    <w:rsid w:val="015E784E"/>
    <w:rsid w:val="015F29D1"/>
    <w:rsid w:val="0160084E"/>
    <w:rsid w:val="01600A66"/>
    <w:rsid w:val="016025FC"/>
    <w:rsid w:val="016043AA"/>
    <w:rsid w:val="01610122"/>
    <w:rsid w:val="01612950"/>
    <w:rsid w:val="01614E39"/>
    <w:rsid w:val="016234D2"/>
    <w:rsid w:val="01625C5C"/>
    <w:rsid w:val="01626374"/>
    <w:rsid w:val="01633E9B"/>
    <w:rsid w:val="01640485"/>
    <w:rsid w:val="01641F27"/>
    <w:rsid w:val="016519C1"/>
    <w:rsid w:val="01655E65"/>
    <w:rsid w:val="016630DA"/>
    <w:rsid w:val="01670882"/>
    <w:rsid w:val="0167398B"/>
    <w:rsid w:val="0168325F"/>
    <w:rsid w:val="01687703"/>
    <w:rsid w:val="01695955"/>
    <w:rsid w:val="016A199B"/>
    <w:rsid w:val="016A347B"/>
    <w:rsid w:val="016A4678"/>
    <w:rsid w:val="016A5229"/>
    <w:rsid w:val="016B2607"/>
    <w:rsid w:val="016B4F29"/>
    <w:rsid w:val="016B7012"/>
    <w:rsid w:val="016C0FA1"/>
    <w:rsid w:val="016C598B"/>
    <w:rsid w:val="016C71F3"/>
    <w:rsid w:val="016D007D"/>
    <w:rsid w:val="016D18A8"/>
    <w:rsid w:val="016D2931"/>
    <w:rsid w:val="016D2A9F"/>
    <w:rsid w:val="016D4D19"/>
    <w:rsid w:val="016D6AC7"/>
    <w:rsid w:val="016D6E1B"/>
    <w:rsid w:val="016E2E7C"/>
    <w:rsid w:val="016E3ECA"/>
    <w:rsid w:val="016F0644"/>
    <w:rsid w:val="016F283F"/>
    <w:rsid w:val="016F3DD0"/>
    <w:rsid w:val="016F430C"/>
    <w:rsid w:val="01706EDD"/>
    <w:rsid w:val="01714809"/>
    <w:rsid w:val="01722330"/>
    <w:rsid w:val="017240DE"/>
    <w:rsid w:val="017250E1"/>
    <w:rsid w:val="01737F74"/>
    <w:rsid w:val="017442FA"/>
    <w:rsid w:val="01747822"/>
    <w:rsid w:val="01761C32"/>
    <w:rsid w:val="01762255"/>
    <w:rsid w:val="01763BCE"/>
    <w:rsid w:val="017641DF"/>
    <w:rsid w:val="01771210"/>
    <w:rsid w:val="017716F4"/>
    <w:rsid w:val="01772A9E"/>
    <w:rsid w:val="017764E5"/>
    <w:rsid w:val="0177743A"/>
    <w:rsid w:val="01787946"/>
    <w:rsid w:val="0179546C"/>
    <w:rsid w:val="017954B7"/>
    <w:rsid w:val="017A08F7"/>
    <w:rsid w:val="017A5BF5"/>
    <w:rsid w:val="017A7A1C"/>
    <w:rsid w:val="017B266A"/>
    <w:rsid w:val="017B2F92"/>
    <w:rsid w:val="017B5688"/>
    <w:rsid w:val="017B7436"/>
    <w:rsid w:val="017C18D7"/>
    <w:rsid w:val="017C6910"/>
    <w:rsid w:val="017C692E"/>
    <w:rsid w:val="017C6D0A"/>
    <w:rsid w:val="017D31AE"/>
    <w:rsid w:val="017D4F5C"/>
    <w:rsid w:val="017E2A82"/>
    <w:rsid w:val="017E63B3"/>
    <w:rsid w:val="017E757F"/>
    <w:rsid w:val="017E7A72"/>
    <w:rsid w:val="017F3E01"/>
    <w:rsid w:val="017F5F1F"/>
    <w:rsid w:val="017F69D2"/>
    <w:rsid w:val="018003C3"/>
    <w:rsid w:val="01804A4C"/>
    <w:rsid w:val="018067FB"/>
    <w:rsid w:val="018079C1"/>
    <w:rsid w:val="01821366"/>
    <w:rsid w:val="01822573"/>
    <w:rsid w:val="01825879"/>
    <w:rsid w:val="01826A17"/>
    <w:rsid w:val="01830099"/>
    <w:rsid w:val="0183216B"/>
    <w:rsid w:val="01833C12"/>
    <w:rsid w:val="018362EB"/>
    <w:rsid w:val="01847B6F"/>
    <w:rsid w:val="01847ED1"/>
    <w:rsid w:val="01851579"/>
    <w:rsid w:val="01853E11"/>
    <w:rsid w:val="01854EB5"/>
    <w:rsid w:val="01855D09"/>
    <w:rsid w:val="018615A0"/>
    <w:rsid w:val="018703CE"/>
    <w:rsid w:val="01875DDB"/>
    <w:rsid w:val="01876068"/>
    <w:rsid w:val="01877B89"/>
    <w:rsid w:val="0188228E"/>
    <w:rsid w:val="01883901"/>
    <w:rsid w:val="01891B53"/>
    <w:rsid w:val="01895A8A"/>
    <w:rsid w:val="01897A0D"/>
    <w:rsid w:val="018A1427"/>
    <w:rsid w:val="018A2655"/>
    <w:rsid w:val="018A3635"/>
    <w:rsid w:val="018A486A"/>
    <w:rsid w:val="018A79CF"/>
    <w:rsid w:val="018B2776"/>
    <w:rsid w:val="018C1714"/>
    <w:rsid w:val="018C519F"/>
    <w:rsid w:val="018E3AC5"/>
    <w:rsid w:val="018E40A8"/>
    <w:rsid w:val="018E4ADF"/>
    <w:rsid w:val="018F02E6"/>
    <w:rsid w:val="018F3FE8"/>
    <w:rsid w:val="018F4A42"/>
    <w:rsid w:val="018F6A3E"/>
    <w:rsid w:val="01910DE7"/>
    <w:rsid w:val="0191134B"/>
    <w:rsid w:val="01911E00"/>
    <w:rsid w:val="019127B6"/>
    <w:rsid w:val="01915BF0"/>
    <w:rsid w:val="01916403"/>
    <w:rsid w:val="01916C5A"/>
    <w:rsid w:val="01916F40"/>
    <w:rsid w:val="019224F8"/>
    <w:rsid w:val="01924994"/>
    <w:rsid w:val="0192652E"/>
    <w:rsid w:val="019266AE"/>
    <w:rsid w:val="019319F0"/>
    <w:rsid w:val="019329D2"/>
    <w:rsid w:val="01933707"/>
    <w:rsid w:val="01934780"/>
    <w:rsid w:val="01936509"/>
    <w:rsid w:val="019404F8"/>
    <w:rsid w:val="019411A3"/>
    <w:rsid w:val="019422A6"/>
    <w:rsid w:val="0194674A"/>
    <w:rsid w:val="01956027"/>
    <w:rsid w:val="01960BF8"/>
    <w:rsid w:val="01964270"/>
    <w:rsid w:val="0196601E"/>
    <w:rsid w:val="01967DCC"/>
    <w:rsid w:val="01987FE8"/>
    <w:rsid w:val="01993D60"/>
    <w:rsid w:val="019978BC"/>
    <w:rsid w:val="019A35DA"/>
    <w:rsid w:val="019A551E"/>
    <w:rsid w:val="019A5FC8"/>
    <w:rsid w:val="019B0917"/>
    <w:rsid w:val="019B1886"/>
    <w:rsid w:val="019B4A6A"/>
    <w:rsid w:val="019C2363"/>
    <w:rsid w:val="019D14EF"/>
    <w:rsid w:val="019D4F91"/>
    <w:rsid w:val="019D55FE"/>
    <w:rsid w:val="019E3997"/>
    <w:rsid w:val="019F044A"/>
    <w:rsid w:val="019F1377"/>
    <w:rsid w:val="019F4ED7"/>
    <w:rsid w:val="01A0487B"/>
    <w:rsid w:val="01A050EF"/>
    <w:rsid w:val="01A11117"/>
    <w:rsid w:val="01A15D0B"/>
    <w:rsid w:val="01A21D6C"/>
    <w:rsid w:val="01A22A15"/>
    <w:rsid w:val="01A27485"/>
    <w:rsid w:val="01A42261"/>
    <w:rsid w:val="01A46487"/>
    <w:rsid w:val="01A525C2"/>
    <w:rsid w:val="01A52705"/>
    <w:rsid w:val="01A52CC1"/>
    <w:rsid w:val="01A544B3"/>
    <w:rsid w:val="01A549B3"/>
    <w:rsid w:val="01A551E1"/>
    <w:rsid w:val="01A55480"/>
    <w:rsid w:val="01A56D65"/>
    <w:rsid w:val="01A63515"/>
    <w:rsid w:val="01A71545"/>
    <w:rsid w:val="01A71FD9"/>
    <w:rsid w:val="01A7647D"/>
    <w:rsid w:val="01A8432A"/>
    <w:rsid w:val="01A91532"/>
    <w:rsid w:val="01A91775"/>
    <w:rsid w:val="01AA004B"/>
    <w:rsid w:val="01AA09C8"/>
    <w:rsid w:val="01AA6A0A"/>
    <w:rsid w:val="01AA6DBD"/>
    <w:rsid w:val="01AB1AA8"/>
    <w:rsid w:val="01AB2A02"/>
    <w:rsid w:val="01AB5FEA"/>
    <w:rsid w:val="01AB6326"/>
    <w:rsid w:val="01AC3CE7"/>
    <w:rsid w:val="01AC5C2B"/>
    <w:rsid w:val="01AC75F0"/>
    <w:rsid w:val="01AD1372"/>
    <w:rsid w:val="01AD5116"/>
    <w:rsid w:val="01AE15BA"/>
    <w:rsid w:val="01AE3368"/>
    <w:rsid w:val="01AE3CD0"/>
    <w:rsid w:val="01AE72B0"/>
    <w:rsid w:val="01AF3E48"/>
    <w:rsid w:val="01AF70E0"/>
    <w:rsid w:val="01B110AA"/>
    <w:rsid w:val="01B129F6"/>
    <w:rsid w:val="01B12E58"/>
    <w:rsid w:val="01B14C06"/>
    <w:rsid w:val="01B1662B"/>
    <w:rsid w:val="01B20120"/>
    <w:rsid w:val="01B22814"/>
    <w:rsid w:val="01B25895"/>
    <w:rsid w:val="01B309E7"/>
    <w:rsid w:val="01B34E22"/>
    <w:rsid w:val="01B36BD0"/>
    <w:rsid w:val="01B446F6"/>
    <w:rsid w:val="01B54699"/>
    <w:rsid w:val="01B574E0"/>
    <w:rsid w:val="01B6046E"/>
    <w:rsid w:val="01B776CC"/>
    <w:rsid w:val="01B81A58"/>
    <w:rsid w:val="01B82438"/>
    <w:rsid w:val="01B846CC"/>
    <w:rsid w:val="01B85A2C"/>
    <w:rsid w:val="01B90155"/>
    <w:rsid w:val="01B91D0C"/>
    <w:rsid w:val="01B97F5E"/>
    <w:rsid w:val="01BA1892"/>
    <w:rsid w:val="01BA61B0"/>
    <w:rsid w:val="01BB3B57"/>
    <w:rsid w:val="01BB4E4D"/>
    <w:rsid w:val="01BB7833"/>
    <w:rsid w:val="01BC39A2"/>
    <w:rsid w:val="01BD7A4F"/>
    <w:rsid w:val="01BE3FEB"/>
    <w:rsid w:val="01BE66B1"/>
    <w:rsid w:val="01BE70EB"/>
    <w:rsid w:val="01BE7323"/>
    <w:rsid w:val="01BE7E04"/>
    <w:rsid w:val="01BF37C7"/>
    <w:rsid w:val="01BF5575"/>
    <w:rsid w:val="01BF7152"/>
    <w:rsid w:val="01C02654"/>
    <w:rsid w:val="01C0309B"/>
    <w:rsid w:val="01C0753F"/>
    <w:rsid w:val="01C07A2D"/>
    <w:rsid w:val="01C20BC1"/>
    <w:rsid w:val="01C2189F"/>
    <w:rsid w:val="01C2249A"/>
    <w:rsid w:val="01C225F2"/>
    <w:rsid w:val="01C26E13"/>
    <w:rsid w:val="01C34939"/>
    <w:rsid w:val="01C35FF8"/>
    <w:rsid w:val="01C42B8B"/>
    <w:rsid w:val="01C457A3"/>
    <w:rsid w:val="01C503E5"/>
    <w:rsid w:val="01C527E4"/>
    <w:rsid w:val="01C546B9"/>
    <w:rsid w:val="01C558D4"/>
    <w:rsid w:val="01C56903"/>
    <w:rsid w:val="01C57408"/>
    <w:rsid w:val="01C57CFF"/>
    <w:rsid w:val="01C60555"/>
    <w:rsid w:val="01C6467B"/>
    <w:rsid w:val="01C7267B"/>
    <w:rsid w:val="01C73287"/>
    <w:rsid w:val="01C80EB6"/>
    <w:rsid w:val="01C963F3"/>
    <w:rsid w:val="01CA5025"/>
    <w:rsid w:val="01CB0444"/>
    <w:rsid w:val="01CB7837"/>
    <w:rsid w:val="01CB79DA"/>
    <w:rsid w:val="01CC0CC7"/>
    <w:rsid w:val="01CC2797"/>
    <w:rsid w:val="01CC30EE"/>
    <w:rsid w:val="01CC5EE4"/>
    <w:rsid w:val="01CC6F34"/>
    <w:rsid w:val="01CD73A3"/>
    <w:rsid w:val="01CD7566"/>
    <w:rsid w:val="01CD75C9"/>
    <w:rsid w:val="01CE0EDC"/>
    <w:rsid w:val="01CE3453"/>
    <w:rsid w:val="01CE57B8"/>
    <w:rsid w:val="01CE7A68"/>
    <w:rsid w:val="01CF32DE"/>
    <w:rsid w:val="01D02219"/>
    <w:rsid w:val="01D02BD5"/>
    <w:rsid w:val="01D05351"/>
    <w:rsid w:val="01D1061A"/>
    <w:rsid w:val="01D124C5"/>
    <w:rsid w:val="01D134FA"/>
    <w:rsid w:val="01D13CB3"/>
    <w:rsid w:val="01D152A8"/>
    <w:rsid w:val="01D17056"/>
    <w:rsid w:val="01D24B39"/>
    <w:rsid w:val="01D32DCE"/>
    <w:rsid w:val="01D332BE"/>
    <w:rsid w:val="01D34B7C"/>
    <w:rsid w:val="01D35D3E"/>
    <w:rsid w:val="01D408F4"/>
    <w:rsid w:val="01D4202A"/>
    <w:rsid w:val="01D46A5C"/>
    <w:rsid w:val="01D478EF"/>
    <w:rsid w:val="01D47CBB"/>
    <w:rsid w:val="01D54D98"/>
    <w:rsid w:val="01D5538B"/>
    <w:rsid w:val="01D628BE"/>
    <w:rsid w:val="01D6466C"/>
    <w:rsid w:val="01D83438"/>
    <w:rsid w:val="01D84888"/>
    <w:rsid w:val="01D91393"/>
    <w:rsid w:val="01D9415D"/>
    <w:rsid w:val="01D94843"/>
    <w:rsid w:val="01D95F0B"/>
    <w:rsid w:val="01D97003"/>
    <w:rsid w:val="01DA20AA"/>
    <w:rsid w:val="01DA23AF"/>
    <w:rsid w:val="01DB1C83"/>
    <w:rsid w:val="01DB1EFD"/>
    <w:rsid w:val="01DB2302"/>
    <w:rsid w:val="01DB6345"/>
    <w:rsid w:val="01DC1706"/>
    <w:rsid w:val="01DC2F49"/>
    <w:rsid w:val="01DC4615"/>
    <w:rsid w:val="01DD3C4D"/>
    <w:rsid w:val="01DD59FB"/>
    <w:rsid w:val="01DD7621"/>
    <w:rsid w:val="01DE46A1"/>
    <w:rsid w:val="01DE57E8"/>
    <w:rsid w:val="01DE6D60"/>
    <w:rsid w:val="01DF087E"/>
    <w:rsid w:val="01DF2790"/>
    <w:rsid w:val="01DF4480"/>
    <w:rsid w:val="01DF494D"/>
    <w:rsid w:val="01DF79C5"/>
    <w:rsid w:val="01E00554"/>
    <w:rsid w:val="01E00F0A"/>
    <w:rsid w:val="01E06BB5"/>
    <w:rsid w:val="01E07299"/>
    <w:rsid w:val="01E21263"/>
    <w:rsid w:val="01E23011"/>
    <w:rsid w:val="01E274B5"/>
    <w:rsid w:val="01E32515"/>
    <w:rsid w:val="01E41154"/>
    <w:rsid w:val="01E415D4"/>
    <w:rsid w:val="01E4249F"/>
    <w:rsid w:val="01E4322D"/>
    <w:rsid w:val="01E43A29"/>
    <w:rsid w:val="01E466C2"/>
    <w:rsid w:val="01E46D89"/>
    <w:rsid w:val="01E473CA"/>
    <w:rsid w:val="01E50D53"/>
    <w:rsid w:val="01E52B01"/>
    <w:rsid w:val="01E53B78"/>
    <w:rsid w:val="01E574C4"/>
    <w:rsid w:val="01E66B99"/>
    <w:rsid w:val="01E67753"/>
    <w:rsid w:val="01E70628"/>
    <w:rsid w:val="01E71C64"/>
    <w:rsid w:val="01E74520"/>
    <w:rsid w:val="01E7687A"/>
    <w:rsid w:val="01E83014"/>
    <w:rsid w:val="01E90844"/>
    <w:rsid w:val="01E92D92"/>
    <w:rsid w:val="01E93890"/>
    <w:rsid w:val="01E97822"/>
    <w:rsid w:val="01EA2457"/>
    <w:rsid w:val="01EA4597"/>
    <w:rsid w:val="01EB0014"/>
    <w:rsid w:val="01EB0632"/>
    <w:rsid w:val="01EB45BC"/>
    <w:rsid w:val="01EC0334"/>
    <w:rsid w:val="01EC09D4"/>
    <w:rsid w:val="01EC2E82"/>
    <w:rsid w:val="01EC33A0"/>
    <w:rsid w:val="01ED51FF"/>
    <w:rsid w:val="01EE19B6"/>
    <w:rsid w:val="01EE7C08"/>
    <w:rsid w:val="01F03DBF"/>
    <w:rsid w:val="01F1117B"/>
    <w:rsid w:val="01F1594A"/>
    <w:rsid w:val="01F164E1"/>
    <w:rsid w:val="01F176F8"/>
    <w:rsid w:val="01F255B3"/>
    <w:rsid w:val="01F30663"/>
    <w:rsid w:val="01F3069B"/>
    <w:rsid w:val="01F30E07"/>
    <w:rsid w:val="01F3521E"/>
    <w:rsid w:val="01F35BDA"/>
    <w:rsid w:val="01F366FC"/>
    <w:rsid w:val="01F36FCC"/>
    <w:rsid w:val="01F40F97"/>
    <w:rsid w:val="01F42D45"/>
    <w:rsid w:val="01F5597A"/>
    <w:rsid w:val="01F64D0F"/>
    <w:rsid w:val="01F65A3E"/>
    <w:rsid w:val="01F65EA9"/>
    <w:rsid w:val="01F66ABD"/>
    <w:rsid w:val="01F768F9"/>
    <w:rsid w:val="01F82835"/>
    <w:rsid w:val="01F8578C"/>
    <w:rsid w:val="01F86CD9"/>
    <w:rsid w:val="01F86D12"/>
    <w:rsid w:val="01F9035B"/>
    <w:rsid w:val="01F909E5"/>
    <w:rsid w:val="01F9124D"/>
    <w:rsid w:val="01F92046"/>
    <w:rsid w:val="01FA454F"/>
    <w:rsid w:val="01FA65AD"/>
    <w:rsid w:val="01FB2325"/>
    <w:rsid w:val="01FD0830"/>
    <w:rsid w:val="01FD3FB9"/>
    <w:rsid w:val="01FE5971"/>
    <w:rsid w:val="01FF0067"/>
    <w:rsid w:val="01FF3CC7"/>
    <w:rsid w:val="01FF5855"/>
    <w:rsid w:val="020007B9"/>
    <w:rsid w:val="0200793B"/>
    <w:rsid w:val="02012C6D"/>
    <w:rsid w:val="020154B4"/>
    <w:rsid w:val="0202311A"/>
    <w:rsid w:val="020236B3"/>
    <w:rsid w:val="02024774"/>
    <w:rsid w:val="020250A8"/>
    <w:rsid w:val="02030DC7"/>
    <w:rsid w:val="02030E07"/>
    <w:rsid w:val="0203720D"/>
    <w:rsid w:val="0203725F"/>
    <w:rsid w:val="0204567E"/>
    <w:rsid w:val="0204742C"/>
    <w:rsid w:val="02050DFD"/>
    <w:rsid w:val="02056D6F"/>
    <w:rsid w:val="02057C43"/>
    <w:rsid w:val="0207062A"/>
    <w:rsid w:val="02071A61"/>
    <w:rsid w:val="02072A78"/>
    <w:rsid w:val="02073223"/>
    <w:rsid w:val="02074EA2"/>
    <w:rsid w:val="02076F1C"/>
    <w:rsid w:val="02077A6F"/>
    <w:rsid w:val="02081815"/>
    <w:rsid w:val="020860AC"/>
    <w:rsid w:val="02090B42"/>
    <w:rsid w:val="02095E0A"/>
    <w:rsid w:val="020A4606"/>
    <w:rsid w:val="020B1998"/>
    <w:rsid w:val="020B6A0C"/>
    <w:rsid w:val="020C008E"/>
    <w:rsid w:val="020C4532"/>
    <w:rsid w:val="020C4A76"/>
    <w:rsid w:val="020D21BB"/>
    <w:rsid w:val="020D347B"/>
    <w:rsid w:val="020D4C10"/>
    <w:rsid w:val="020D5375"/>
    <w:rsid w:val="020E02AA"/>
    <w:rsid w:val="020E2058"/>
    <w:rsid w:val="020E364B"/>
    <w:rsid w:val="020E4D8C"/>
    <w:rsid w:val="020F419B"/>
    <w:rsid w:val="02103C86"/>
    <w:rsid w:val="02104022"/>
    <w:rsid w:val="02105DD0"/>
    <w:rsid w:val="02111264"/>
    <w:rsid w:val="0211370D"/>
    <w:rsid w:val="021138F7"/>
    <w:rsid w:val="021213BB"/>
    <w:rsid w:val="02133EB1"/>
    <w:rsid w:val="021358C1"/>
    <w:rsid w:val="02140FE9"/>
    <w:rsid w:val="021460C8"/>
    <w:rsid w:val="021474BD"/>
    <w:rsid w:val="0215094D"/>
    <w:rsid w:val="02160F0D"/>
    <w:rsid w:val="02161DDD"/>
    <w:rsid w:val="021653B1"/>
    <w:rsid w:val="0216715F"/>
    <w:rsid w:val="02167E82"/>
    <w:rsid w:val="02175693"/>
    <w:rsid w:val="02175E3E"/>
    <w:rsid w:val="0217640E"/>
    <w:rsid w:val="021806BE"/>
    <w:rsid w:val="02182ED7"/>
    <w:rsid w:val="02184331"/>
    <w:rsid w:val="02184C85"/>
    <w:rsid w:val="02185DB9"/>
    <w:rsid w:val="02186A33"/>
    <w:rsid w:val="021872CE"/>
    <w:rsid w:val="02191A39"/>
    <w:rsid w:val="02191E9F"/>
    <w:rsid w:val="02193C79"/>
    <w:rsid w:val="021A09FD"/>
    <w:rsid w:val="021A3B70"/>
    <w:rsid w:val="021A65F1"/>
    <w:rsid w:val="021B041A"/>
    <w:rsid w:val="021B1457"/>
    <w:rsid w:val="021B277E"/>
    <w:rsid w:val="021B4775"/>
    <w:rsid w:val="021C29C7"/>
    <w:rsid w:val="021D1CB0"/>
    <w:rsid w:val="021D229B"/>
    <w:rsid w:val="021E51C5"/>
    <w:rsid w:val="021F386D"/>
    <w:rsid w:val="021F6063"/>
    <w:rsid w:val="02201D8C"/>
    <w:rsid w:val="02203B3A"/>
    <w:rsid w:val="022064BC"/>
    <w:rsid w:val="02206D48"/>
    <w:rsid w:val="02213E04"/>
    <w:rsid w:val="02214DDB"/>
    <w:rsid w:val="02220164"/>
    <w:rsid w:val="02224F61"/>
    <w:rsid w:val="02231BA1"/>
    <w:rsid w:val="02235B0E"/>
    <w:rsid w:val="02235B58"/>
    <w:rsid w:val="022369B8"/>
    <w:rsid w:val="02240524"/>
    <w:rsid w:val="0224187C"/>
    <w:rsid w:val="0224362A"/>
    <w:rsid w:val="02245692"/>
    <w:rsid w:val="02246FB2"/>
    <w:rsid w:val="02250057"/>
    <w:rsid w:val="02251150"/>
    <w:rsid w:val="02252EE4"/>
    <w:rsid w:val="022533D7"/>
    <w:rsid w:val="02257FDB"/>
    <w:rsid w:val="022644A3"/>
    <w:rsid w:val="022655F4"/>
    <w:rsid w:val="0227091F"/>
    <w:rsid w:val="0227136C"/>
    <w:rsid w:val="0227311A"/>
    <w:rsid w:val="02274762"/>
    <w:rsid w:val="02277B67"/>
    <w:rsid w:val="02281A4B"/>
    <w:rsid w:val="02281DFD"/>
    <w:rsid w:val="0228510F"/>
    <w:rsid w:val="02287939"/>
    <w:rsid w:val="02293D43"/>
    <w:rsid w:val="022950E4"/>
    <w:rsid w:val="022A49B8"/>
    <w:rsid w:val="022B0E5C"/>
    <w:rsid w:val="022B113F"/>
    <w:rsid w:val="022B2B73"/>
    <w:rsid w:val="022B6823"/>
    <w:rsid w:val="022C1327"/>
    <w:rsid w:val="022C24DE"/>
    <w:rsid w:val="022C7CF7"/>
    <w:rsid w:val="022D1EF6"/>
    <w:rsid w:val="022D461B"/>
    <w:rsid w:val="022E14F4"/>
    <w:rsid w:val="022E2C35"/>
    <w:rsid w:val="022E6257"/>
    <w:rsid w:val="022F029F"/>
    <w:rsid w:val="022F3155"/>
    <w:rsid w:val="022F72A4"/>
    <w:rsid w:val="02302728"/>
    <w:rsid w:val="02303F46"/>
    <w:rsid w:val="0231298F"/>
    <w:rsid w:val="02313F99"/>
    <w:rsid w:val="023149C2"/>
    <w:rsid w:val="02316844"/>
    <w:rsid w:val="023169E5"/>
    <w:rsid w:val="02317AF5"/>
    <w:rsid w:val="02320FA0"/>
    <w:rsid w:val="02327A3C"/>
    <w:rsid w:val="02333195"/>
    <w:rsid w:val="0233386D"/>
    <w:rsid w:val="02333ED6"/>
    <w:rsid w:val="02337CE0"/>
    <w:rsid w:val="0234354D"/>
    <w:rsid w:val="02344BB0"/>
    <w:rsid w:val="0234619E"/>
    <w:rsid w:val="02346E59"/>
    <w:rsid w:val="02355837"/>
    <w:rsid w:val="023603B2"/>
    <w:rsid w:val="023615AF"/>
    <w:rsid w:val="02363264"/>
    <w:rsid w:val="02372857"/>
    <w:rsid w:val="023847AF"/>
    <w:rsid w:val="02385327"/>
    <w:rsid w:val="023870D5"/>
    <w:rsid w:val="02390A8D"/>
    <w:rsid w:val="023A09D0"/>
    <w:rsid w:val="023A12FE"/>
    <w:rsid w:val="023A4968"/>
    <w:rsid w:val="023A4BFB"/>
    <w:rsid w:val="023A4FAE"/>
    <w:rsid w:val="023A50A2"/>
    <w:rsid w:val="023B0973"/>
    <w:rsid w:val="023B41C8"/>
    <w:rsid w:val="023C42F2"/>
    <w:rsid w:val="023C4E17"/>
    <w:rsid w:val="023D0B8F"/>
    <w:rsid w:val="023D1F13"/>
    <w:rsid w:val="023D46EC"/>
    <w:rsid w:val="023E0FE9"/>
    <w:rsid w:val="023E3DE8"/>
    <w:rsid w:val="023E3FC3"/>
    <w:rsid w:val="023E462C"/>
    <w:rsid w:val="023F0464"/>
    <w:rsid w:val="023F2212"/>
    <w:rsid w:val="023F5B7C"/>
    <w:rsid w:val="023F66B6"/>
    <w:rsid w:val="02402772"/>
    <w:rsid w:val="02404B2B"/>
    <w:rsid w:val="0241242E"/>
    <w:rsid w:val="02412C6C"/>
    <w:rsid w:val="024141DC"/>
    <w:rsid w:val="024157AE"/>
    <w:rsid w:val="02417F8F"/>
    <w:rsid w:val="024217EA"/>
    <w:rsid w:val="02421D02"/>
    <w:rsid w:val="02427F54"/>
    <w:rsid w:val="02430FFC"/>
    <w:rsid w:val="024342B5"/>
    <w:rsid w:val="02440DD1"/>
    <w:rsid w:val="02441D23"/>
    <w:rsid w:val="02441F1E"/>
    <w:rsid w:val="02442D33"/>
    <w:rsid w:val="02447828"/>
    <w:rsid w:val="024535A0"/>
    <w:rsid w:val="02466A00"/>
    <w:rsid w:val="02467A44"/>
    <w:rsid w:val="024737BC"/>
    <w:rsid w:val="0247556A"/>
    <w:rsid w:val="02477318"/>
    <w:rsid w:val="024818A3"/>
    <w:rsid w:val="024855F6"/>
    <w:rsid w:val="024912E2"/>
    <w:rsid w:val="02497534"/>
    <w:rsid w:val="024A0BB7"/>
    <w:rsid w:val="024B215D"/>
    <w:rsid w:val="024B344F"/>
    <w:rsid w:val="024B505A"/>
    <w:rsid w:val="024C1BFA"/>
    <w:rsid w:val="024C2B81"/>
    <w:rsid w:val="024C61BE"/>
    <w:rsid w:val="024F36AF"/>
    <w:rsid w:val="024F7796"/>
    <w:rsid w:val="02502671"/>
    <w:rsid w:val="025029CF"/>
    <w:rsid w:val="0250441F"/>
    <w:rsid w:val="02515CE4"/>
    <w:rsid w:val="02515FCF"/>
    <w:rsid w:val="0252142D"/>
    <w:rsid w:val="02531A6D"/>
    <w:rsid w:val="02535CBD"/>
    <w:rsid w:val="02552E4D"/>
    <w:rsid w:val="02554B84"/>
    <w:rsid w:val="02555DE0"/>
    <w:rsid w:val="02557C87"/>
    <w:rsid w:val="025657AD"/>
    <w:rsid w:val="02566A6E"/>
    <w:rsid w:val="02566ACB"/>
    <w:rsid w:val="0256755B"/>
    <w:rsid w:val="0257032F"/>
    <w:rsid w:val="02570D58"/>
    <w:rsid w:val="02571E41"/>
    <w:rsid w:val="02581525"/>
    <w:rsid w:val="025818BD"/>
    <w:rsid w:val="025832D3"/>
    <w:rsid w:val="025865F9"/>
    <w:rsid w:val="025870B9"/>
    <w:rsid w:val="02587777"/>
    <w:rsid w:val="02594C03"/>
    <w:rsid w:val="02595538"/>
    <w:rsid w:val="025976B3"/>
    <w:rsid w:val="025A160A"/>
    <w:rsid w:val="025A39CA"/>
    <w:rsid w:val="025A529E"/>
    <w:rsid w:val="025A5316"/>
    <w:rsid w:val="025B2DC4"/>
    <w:rsid w:val="025C03B5"/>
    <w:rsid w:val="025C04B6"/>
    <w:rsid w:val="025C1016"/>
    <w:rsid w:val="025C279D"/>
    <w:rsid w:val="025C47A1"/>
    <w:rsid w:val="025C5CB3"/>
    <w:rsid w:val="025C6643"/>
    <w:rsid w:val="025D0792"/>
    <w:rsid w:val="025D2311"/>
    <w:rsid w:val="025E466E"/>
    <w:rsid w:val="025F0B06"/>
    <w:rsid w:val="025F1A63"/>
    <w:rsid w:val="025F6159"/>
    <w:rsid w:val="026041A7"/>
    <w:rsid w:val="02604CC4"/>
    <w:rsid w:val="0260595B"/>
    <w:rsid w:val="02607E88"/>
    <w:rsid w:val="0261662C"/>
    <w:rsid w:val="026223A4"/>
    <w:rsid w:val="0262657A"/>
    <w:rsid w:val="02631873"/>
    <w:rsid w:val="02632976"/>
    <w:rsid w:val="026406B8"/>
    <w:rsid w:val="02641C78"/>
    <w:rsid w:val="02642D03"/>
    <w:rsid w:val="02643149"/>
    <w:rsid w:val="02643356"/>
    <w:rsid w:val="02647ECA"/>
    <w:rsid w:val="0265528D"/>
    <w:rsid w:val="026558D4"/>
    <w:rsid w:val="02664879"/>
    <w:rsid w:val="02666C3B"/>
    <w:rsid w:val="02666D64"/>
    <w:rsid w:val="0267150D"/>
    <w:rsid w:val="02671768"/>
    <w:rsid w:val="026779BA"/>
    <w:rsid w:val="02682C29"/>
    <w:rsid w:val="0268673B"/>
    <w:rsid w:val="02690314"/>
    <w:rsid w:val="02691984"/>
    <w:rsid w:val="02693733"/>
    <w:rsid w:val="026977E5"/>
    <w:rsid w:val="02697903"/>
    <w:rsid w:val="026A3EB7"/>
    <w:rsid w:val="026B0005"/>
    <w:rsid w:val="026B1259"/>
    <w:rsid w:val="026B2DD3"/>
    <w:rsid w:val="026B3007"/>
    <w:rsid w:val="026B74AB"/>
    <w:rsid w:val="026E0D49"/>
    <w:rsid w:val="026E2AF7"/>
    <w:rsid w:val="026E6F9B"/>
    <w:rsid w:val="026F1C95"/>
    <w:rsid w:val="0270061D"/>
    <w:rsid w:val="02702C5C"/>
    <w:rsid w:val="02704AC1"/>
    <w:rsid w:val="0271122C"/>
    <w:rsid w:val="027122F1"/>
    <w:rsid w:val="027126A6"/>
    <w:rsid w:val="02714395"/>
    <w:rsid w:val="02720839"/>
    <w:rsid w:val="0272765D"/>
    <w:rsid w:val="02731145"/>
    <w:rsid w:val="027313C9"/>
    <w:rsid w:val="027345B1"/>
    <w:rsid w:val="02734D97"/>
    <w:rsid w:val="027475EC"/>
    <w:rsid w:val="02747736"/>
    <w:rsid w:val="02750329"/>
    <w:rsid w:val="027607D9"/>
    <w:rsid w:val="02764CE6"/>
    <w:rsid w:val="02773ED9"/>
    <w:rsid w:val="02775E4F"/>
    <w:rsid w:val="02776F09"/>
    <w:rsid w:val="02785724"/>
    <w:rsid w:val="02786875"/>
    <w:rsid w:val="02791740"/>
    <w:rsid w:val="027921EC"/>
    <w:rsid w:val="02793CBF"/>
    <w:rsid w:val="02794AFF"/>
    <w:rsid w:val="027A5940"/>
    <w:rsid w:val="027A63D5"/>
    <w:rsid w:val="027A76EE"/>
    <w:rsid w:val="027B7AFA"/>
    <w:rsid w:val="027C16B8"/>
    <w:rsid w:val="027C26CB"/>
    <w:rsid w:val="027C5214"/>
    <w:rsid w:val="027D0F8C"/>
    <w:rsid w:val="027D2D3A"/>
    <w:rsid w:val="027D35FD"/>
    <w:rsid w:val="027D71DE"/>
    <w:rsid w:val="027E2A20"/>
    <w:rsid w:val="027E4FEB"/>
    <w:rsid w:val="027F2F56"/>
    <w:rsid w:val="027F4D04"/>
    <w:rsid w:val="027F6AB2"/>
    <w:rsid w:val="0280569F"/>
    <w:rsid w:val="02810A7C"/>
    <w:rsid w:val="02815339"/>
    <w:rsid w:val="028178EE"/>
    <w:rsid w:val="02817E66"/>
    <w:rsid w:val="0282105D"/>
    <w:rsid w:val="02825AE0"/>
    <w:rsid w:val="028265A2"/>
    <w:rsid w:val="02832A46"/>
    <w:rsid w:val="02834CB7"/>
    <w:rsid w:val="0284231A"/>
    <w:rsid w:val="028427AA"/>
    <w:rsid w:val="028440C8"/>
    <w:rsid w:val="02845C22"/>
    <w:rsid w:val="02850D74"/>
    <w:rsid w:val="0285372F"/>
    <w:rsid w:val="02867FEC"/>
    <w:rsid w:val="028738CD"/>
    <w:rsid w:val="02873BB9"/>
    <w:rsid w:val="028804C0"/>
    <w:rsid w:val="02881E0B"/>
    <w:rsid w:val="02884D25"/>
    <w:rsid w:val="028916DF"/>
    <w:rsid w:val="0289577B"/>
    <w:rsid w:val="02895B83"/>
    <w:rsid w:val="028970C0"/>
    <w:rsid w:val="028A615F"/>
    <w:rsid w:val="028A7864"/>
    <w:rsid w:val="028B36A9"/>
    <w:rsid w:val="028B5457"/>
    <w:rsid w:val="028C11CF"/>
    <w:rsid w:val="028D098E"/>
    <w:rsid w:val="028D1B18"/>
    <w:rsid w:val="028D7421"/>
    <w:rsid w:val="028E584C"/>
    <w:rsid w:val="028F7400"/>
    <w:rsid w:val="02900890"/>
    <w:rsid w:val="029010B2"/>
    <w:rsid w:val="029046A2"/>
    <w:rsid w:val="02912C2D"/>
    <w:rsid w:val="029167E5"/>
    <w:rsid w:val="02922C89"/>
    <w:rsid w:val="029263FA"/>
    <w:rsid w:val="02930042"/>
    <w:rsid w:val="0293255D"/>
    <w:rsid w:val="02936A01"/>
    <w:rsid w:val="0294285E"/>
    <w:rsid w:val="02946F76"/>
    <w:rsid w:val="029516E9"/>
    <w:rsid w:val="0295277A"/>
    <w:rsid w:val="029539EA"/>
    <w:rsid w:val="029562D6"/>
    <w:rsid w:val="02965E43"/>
    <w:rsid w:val="029702A0"/>
    <w:rsid w:val="02975A1C"/>
    <w:rsid w:val="02980A79"/>
    <w:rsid w:val="029815F3"/>
    <w:rsid w:val="02982D71"/>
    <w:rsid w:val="02985DC6"/>
    <w:rsid w:val="02987B74"/>
    <w:rsid w:val="029955B5"/>
    <w:rsid w:val="02996752"/>
    <w:rsid w:val="029A0728"/>
    <w:rsid w:val="029A1B3E"/>
    <w:rsid w:val="029A2EF6"/>
    <w:rsid w:val="029A3B22"/>
    <w:rsid w:val="029A5C54"/>
    <w:rsid w:val="029A77E7"/>
    <w:rsid w:val="029A7F0D"/>
    <w:rsid w:val="029B6E53"/>
    <w:rsid w:val="029C147D"/>
    <w:rsid w:val="029C2E90"/>
    <w:rsid w:val="029C49A8"/>
    <w:rsid w:val="029C64DC"/>
    <w:rsid w:val="029C7664"/>
    <w:rsid w:val="029D2A40"/>
    <w:rsid w:val="029D2C34"/>
    <w:rsid w:val="029D33DC"/>
    <w:rsid w:val="029E162E"/>
    <w:rsid w:val="029E2E94"/>
    <w:rsid w:val="029F142A"/>
    <w:rsid w:val="029F40A6"/>
    <w:rsid w:val="029F7154"/>
    <w:rsid w:val="02A02583"/>
    <w:rsid w:val="02A1111E"/>
    <w:rsid w:val="02A1289B"/>
    <w:rsid w:val="02A12ECC"/>
    <w:rsid w:val="02A1535B"/>
    <w:rsid w:val="02A209F3"/>
    <w:rsid w:val="02A20FF6"/>
    <w:rsid w:val="02A30287"/>
    <w:rsid w:val="02A30447"/>
    <w:rsid w:val="02A31FBC"/>
    <w:rsid w:val="02A33BF4"/>
    <w:rsid w:val="02A3532F"/>
    <w:rsid w:val="02A35876"/>
    <w:rsid w:val="02A429BD"/>
    <w:rsid w:val="02A4476B"/>
    <w:rsid w:val="02A46D06"/>
    <w:rsid w:val="02A47576"/>
    <w:rsid w:val="02A51626"/>
    <w:rsid w:val="02A535D8"/>
    <w:rsid w:val="02A53952"/>
    <w:rsid w:val="02A57792"/>
    <w:rsid w:val="02A6029C"/>
    <w:rsid w:val="02A61AE1"/>
    <w:rsid w:val="02A62291"/>
    <w:rsid w:val="02A6513F"/>
    <w:rsid w:val="02A66735"/>
    <w:rsid w:val="02A67131"/>
    <w:rsid w:val="02A76009"/>
    <w:rsid w:val="02A824AD"/>
    <w:rsid w:val="02A8425B"/>
    <w:rsid w:val="02A86B17"/>
    <w:rsid w:val="02A91108"/>
    <w:rsid w:val="02A95F67"/>
    <w:rsid w:val="02AA05C4"/>
    <w:rsid w:val="02AA2C73"/>
    <w:rsid w:val="02AA5314"/>
    <w:rsid w:val="02AB22C6"/>
    <w:rsid w:val="02AB2E8E"/>
    <w:rsid w:val="02AB3612"/>
    <w:rsid w:val="02AB3D4B"/>
    <w:rsid w:val="02AB5AF9"/>
    <w:rsid w:val="02AB78A7"/>
    <w:rsid w:val="02AC0069"/>
    <w:rsid w:val="02AC5E79"/>
    <w:rsid w:val="02AC6352"/>
    <w:rsid w:val="02AD40CA"/>
    <w:rsid w:val="02AD7AC3"/>
    <w:rsid w:val="02AE1145"/>
    <w:rsid w:val="02AE55E9"/>
    <w:rsid w:val="02AE7397"/>
    <w:rsid w:val="02B0310F"/>
    <w:rsid w:val="02B074D5"/>
    <w:rsid w:val="02B1130A"/>
    <w:rsid w:val="02B12F0B"/>
    <w:rsid w:val="02B1551F"/>
    <w:rsid w:val="02B1779C"/>
    <w:rsid w:val="02B209D8"/>
    <w:rsid w:val="02B22A86"/>
    <w:rsid w:val="02B30FCF"/>
    <w:rsid w:val="02B315C6"/>
    <w:rsid w:val="02B33C2A"/>
    <w:rsid w:val="02B349AE"/>
    <w:rsid w:val="02B3536B"/>
    <w:rsid w:val="02B40F40"/>
    <w:rsid w:val="02B44579"/>
    <w:rsid w:val="02B45CAA"/>
    <w:rsid w:val="02B510F2"/>
    <w:rsid w:val="02B5111B"/>
    <w:rsid w:val="02B51A82"/>
    <w:rsid w:val="02B56978"/>
    <w:rsid w:val="02B709D8"/>
    <w:rsid w:val="02B7624C"/>
    <w:rsid w:val="02B811DD"/>
    <w:rsid w:val="02B81FC4"/>
    <w:rsid w:val="02B85917"/>
    <w:rsid w:val="02B86778"/>
    <w:rsid w:val="02B9004B"/>
    <w:rsid w:val="02B9266D"/>
    <w:rsid w:val="02B96468"/>
    <w:rsid w:val="02B96FC1"/>
    <w:rsid w:val="02B976CF"/>
    <w:rsid w:val="02BA21E0"/>
    <w:rsid w:val="02BA3F8E"/>
    <w:rsid w:val="02BA7413"/>
    <w:rsid w:val="02BB05ED"/>
    <w:rsid w:val="02BB3935"/>
    <w:rsid w:val="02BB3A8B"/>
    <w:rsid w:val="02BB45F4"/>
    <w:rsid w:val="02BB6BFA"/>
    <w:rsid w:val="02BC3862"/>
    <w:rsid w:val="02BC7D06"/>
    <w:rsid w:val="02BD0FEE"/>
    <w:rsid w:val="02BD6865"/>
    <w:rsid w:val="02BE582C"/>
    <w:rsid w:val="02BF15A4"/>
    <w:rsid w:val="02BF23EA"/>
    <w:rsid w:val="02BF390E"/>
    <w:rsid w:val="02BF48E5"/>
    <w:rsid w:val="02BF4C82"/>
    <w:rsid w:val="02BF4D9E"/>
    <w:rsid w:val="02BF64DF"/>
    <w:rsid w:val="02C10148"/>
    <w:rsid w:val="02C10E79"/>
    <w:rsid w:val="02C170CB"/>
    <w:rsid w:val="02C32E43"/>
    <w:rsid w:val="02C3371F"/>
    <w:rsid w:val="02C40969"/>
    <w:rsid w:val="02C415C7"/>
    <w:rsid w:val="02C438DE"/>
    <w:rsid w:val="02C44E0D"/>
    <w:rsid w:val="02C45F4D"/>
    <w:rsid w:val="02C47780"/>
    <w:rsid w:val="02C53BD8"/>
    <w:rsid w:val="02C57515"/>
    <w:rsid w:val="02C60B85"/>
    <w:rsid w:val="02C622B0"/>
    <w:rsid w:val="02C62933"/>
    <w:rsid w:val="02C7081A"/>
    <w:rsid w:val="02C72207"/>
    <w:rsid w:val="02C74777"/>
    <w:rsid w:val="02C76C7A"/>
    <w:rsid w:val="02C77E91"/>
    <w:rsid w:val="02C804A8"/>
    <w:rsid w:val="02C81FFD"/>
    <w:rsid w:val="02C8274F"/>
    <w:rsid w:val="02C85B56"/>
    <w:rsid w:val="02C866AB"/>
    <w:rsid w:val="02C941D1"/>
    <w:rsid w:val="02C94FBA"/>
    <w:rsid w:val="02C96F57"/>
    <w:rsid w:val="02CB7F49"/>
    <w:rsid w:val="02CD1F13"/>
    <w:rsid w:val="02CD3CC1"/>
    <w:rsid w:val="02CD4AFF"/>
    <w:rsid w:val="02CD5A6F"/>
    <w:rsid w:val="02CD7101"/>
    <w:rsid w:val="02CE0832"/>
    <w:rsid w:val="02CE324A"/>
    <w:rsid w:val="02CE3403"/>
    <w:rsid w:val="02CE3596"/>
    <w:rsid w:val="02CE3A9F"/>
    <w:rsid w:val="02CE5250"/>
    <w:rsid w:val="02CE75C7"/>
    <w:rsid w:val="02CF14AA"/>
    <w:rsid w:val="02CF2011"/>
    <w:rsid w:val="02CF2DDB"/>
    <w:rsid w:val="02CF2FD6"/>
    <w:rsid w:val="02CF487D"/>
    <w:rsid w:val="02CF4893"/>
    <w:rsid w:val="02CF6827"/>
    <w:rsid w:val="02D01D04"/>
    <w:rsid w:val="02D037B2"/>
    <w:rsid w:val="02D0730E"/>
    <w:rsid w:val="02D107B8"/>
    <w:rsid w:val="02D12FE2"/>
    <w:rsid w:val="02D212D8"/>
    <w:rsid w:val="02D23086"/>
    <w:rsid w:val="02D33214"/>
    <w:rsid w:val="02D35DE5"/>
    <w:rsid w:val="02D41E83"/>
    <w:rsid w:val="02D45050"/>
    <w:rsid w:val="02D471DF"/>
    <w:rsid w:val="02D50DC8"/>
    <w:rsid w:val="02D52B76"/>
    <w:rsid w:val="02D534D5"/>
    <w:rsid w:val="02D542C1"/>
    <w:rsid w:val="02D66CA8"/>
    <w:rsid w:val="02D708F3"/>
    <w:rsid w:val="02D70973"/>
    <w:rsid w:val="02D71701"/>
    <w:rsid w:val="02D73B4C"/>
    <w:rsid w:val="02D74528"/>
    <w:rsid w:val="02D74766"/>
    <w:rsid w:val="02D74B40"/>
    <w:rsid w:val="02D74EC6"/>
    <w:rsid w:val="02D768EE"/>
    <w:rsid w:val="02D772AC"/>
    <w:rsid w:val="02D8171E"/>
    <w:rsid w:val="02D867CE"/>
    <w:rsid w:val="02D908B8"/>
    <w:rsid w:val="02D91F7E"/>
    <w:rsid w:val="02D92666"/>
    <w:rsid w:val="02D96803"/>
    <w:rsid w:val="02D973F9"/>
    <w:rsid w:val="02DA2C98"/>
    <w:rsid w:val="02DA63DE"/>
    <w:rsid w:val="02DB2E36"/>
    <w:rsid w:val="02DB4577"/>
    <w:rsid w:val="02DB6B5E"/>
    <w:rsid w:val="02DC317E"/>
    <w:rsid w:val="02DC3F04"/>
    <w:rsid w:val="02DC686C"/>
    <w:rsid w:val="02DC6980"/>
    <w:rsid w:val="02DD1A2B"/>
    <w:rsid w:val="02DF39F5"/>
    <w:rsid w:val="02E01C47"/>
    <w:rsid w:val="02E03CD2"/>
    <w:rsid w:val="02E1151B"/>
    <w:rsid w:val="02E12B71"/>
    <w:rsid w:val="02E132C9"/>
    <w:rsid w:val="02E20138"/>
    <w:rsid w:val="02E2075A"/>
    <w:rsid w:val="02E209F4"/>
    <w:rsid w:val="02E2613C"/>
    <w:rsid w:val="02E2635B"/>
    <w:rsid w:val="02E35293"/>
    <w:rsid w:val="02E3621E"/>
    <w:rsid w:val="02E4100B"/>
    <w:rsid w:val="02E55A0D"/>
    <w:rsid w:val="02E61B9F"/>
    <w:rsid w:val="02E6565C"/>
    <w:rsid w:val="02E65ED1"/>
    <w:rsid w:val="02E75CF1"/>
    <w:rsid w:val="02E80AFB"/>
    <w:rsid w:val="02E82052"/>
    <w:rsid w:val="02E828A9"/>
    <w:rsid w:val="02E84657"/>
    <w:rsid w:val="02E847B7"/>
    <w:rsid w:val="02E90185"/>
    <w:rsid w:val="02E93216"/>
    <w:rsid w:val="02EA479D"/>
    <w:rsid w:val="02EA6AA5"/>
    <w:rsid w:val="02EA7622"/>
    <w:rsid w:val="02EB05EB"/>
    <w:rsid w:val="02EB0CA0"/>
    <w:rsid w:val="02EB2463"/>
    <w:rsid w:val="02EB4148"/>
    <w:rsid w:val="02EB47D1"/>
    <w:rsid w:val="02EC1352"/>
    <w:rsid w:val="02EC1C41"/>
    <w:rsid w:val="02EC3DBB"/>
    <w:rsid w:val="02EC66FE"/>
    <w:rsid w:val="02ED4DAA"/>
    <w:rsid w:val="02ED50AA"/>
    <w:rsid w:val="02ED6112"/>
    <w:rsid w:val="02ED698C"/>
    <w:rsid w:val="02ED7EC0"/>
    <w:rsid w:val="02EE3C38"/>
    <w:rsid w:val="02EE5818"/>
    <w:rsid w:val="02EE7E1C"/>
    <w:rsid w:val="02EF10DB"/>
    <w:rsid w:val="02EF28D7"/>
    <w:rsid w:val="02EF5309"/>
    <w:rsid w:val="02F03FF7"/>
    <w:rsid w:val="02F1113B"/>
    <w:rsid w:val="02F15352"/>
    <w:rsid w:val="02F2136E"/>
    <w:rsid w:val="02F214C0"/>
    <w:rsid w:val="02F21E1C"/>
    <w:rsid w:val="02F254D6"/>
    <w:rsid w:val="02F310BD"/>
    <w:rsid w:val="02F4124E"/>
    <w:rsid w:val="02F43C68"/>
    <w:rsid w:val="02F44A29"/>
    <w:rsid w:val="02F531C6"/>
    <w:rsid w:val="02F54FC6"/>
    <w:rsid w:val="02F57F8E"/>
    <w:rsid w:val="02F6117F"/>
    <w:rsid w:val="02F70D3E"/>
    <w:rsid w:val="02F80AD2"/>
    <w:rsid w:val="02F85C06"/>
    <w:rsid w:val="02F909D0"/>
    <w:rsid w:val="02F9247C"/>
    <w:rsid w:val="02F92D08"/>
    <w:rsid w:val="02F94AB6"/>
    <w:rsid w:val="02F9540F"/>
    <w:rsid w:val="02F96569"/>
    <w:rsid w:val="02F96864"/>
    <w:rsid w:val="02FA082F"/>
    <w:rsid w:val="02FA6378"/>
    <w:rsid w:val="02FA74A3"/>
    <w:rsid w:val="02FB2A88"/>
    <w:rsid w:val="02FC0103"/>
    <w:rsid w:val="02FC06CB"/>
    <w:rsid w:val="02FC45A7"/>
    <w:rsid w:val="02FC5DC6"/>
    <w:rsid w:val="02FC6355"/>
    <w:rsid w:val="02FC6EF9"/>
    <w:rsid w:val="02FE031F"/>
    <w:rsid w:val="02FE4CCA"/>
    <w:rsid w:val="02FE6BA6"/>
    <w:rsid w:val="02FF0DA1"/>
    <w:rsid w:val="02FF10FC"/>
    <w:rsid w:val="02FF68F3"/>
    <w:rsid w:val="02FF7BF3"/>
    <w:rsid w:val="030010FE"/>
    <w:rsid w:val="03005B97"/>
    <w:rsid w:val="03011019"/>
    <w:rsid w:val="03011BBD"/>
    <w:rsid w:val="03015719"/>
    <w:rsid w:val="030175A3"/>
    <w:rsid w:val="03024234"/>
    <w:rsid w:val="03030BB2"/>
    <w:rsid w:val="03033541"/>
    <w:rsid w:val="03040B9E"/>
    <w:rsid w:val="03044D4A"/>
    <w:rsid w:val="03045209"/>
    <w:rsid w:val="03047C7A"/>
    <w:rsid w:val="030516AD"/>
    <w:rsid w:val="030562C5"/>
    <w:rsid w:val="03057BA5"/>
    <w:rsid w:val="03057D6B"/>
    <w:rsid w:val="03060C74"/>
    <w:rsid w:val="03060F81"/>
    <w:rsid w:val="03062D2F"/>
    <w:rsid w:val="03066CDD"/>
    <w:rsid w:val="03067533"/>
    <w:rsid w:val="03070644"/>
    <w:rsid w:val="03075604"/>
    <w:rsid w:val="03075710"/>
    <w:rsid w:val="03077F98"/>
    <w:rsid w:val="03082260"/>
    <w:rsid w:val="03082F4B"/>
    <w:rsid w:val="03084CFA"/>
    <w:rsid w:val="03086AA8"/>
    <w:rsid w:val="030933C3"/>
    <w:rsid w:val="03096270"/>
    <w:rsid w:val="030A46B9"/>
    <w:rsid w:val="030A5EB4"/>
    <w:rsid w:val="030A6CC4"/>
    <w:rsid w:val="030B47EA"/>
    <w:rsid w:val="030C1843"/>
    <w:rsid w:val="030C3BC7"/>
    <w:rsid w:val="030E03CE"/>
    <w:rsid w:val="030E6D4F"/>
    <w:rsid w:val="030E7E36"/>
    <w:rsid w:val="030F42DA"/>
    <w:rsid w:val="030F6937"/>
    <w:rsid w:val="03101E00"/>
    <w:rsid w:val="03103BAE"/>
    <w:rsid w:val="03106DE8"/>
    <w:rsid w:val="0310723F"/>
    <w:rsid w:val="03114646"/>
    <w:rsid w:val="03115797"/>
    <w:rsid w:val="03120210"/>
    <w:rsid w:val="03120724"/>
    <w:rsid w:val="03123DCA"/>
    <w:rsid w:val="03125103"/>
    <w:rsid w:val="03134185"/>
    <w:rsid w:val="0313544C"/>
    <w:rsid w:val="031418F0"/>
    <w:rsid w:val="03144DDE"/>
    <w:rsid w:val="03145144"/>
    <w:rsid w:val="03154C4E"/>
    <w:rsid w:val="031573B1"/>
    <w:rsid w:val="03165668"/>
    <w:rsid w:val="031713E0"/>
    <w:rsid w:val="03183089"/>
    <w:rsid w:val="03190CB5"/>
    <w:rsid w:val="03191189"/>
    <w:rsid w:val="03191276"/>
    <w:rsid w:val="03196F07"/>
    <w:rsid w:val="031A3501"/>
    <w:rsid w:val="031A67DB"/>
    <w:rsid w:val="031B02C9"/>
    <w:rsid w:val="031B2C7F"/>
    <w:rsid w:val="031C07A5"/>
    <w:rsid w:val="031C41E9"/>
    <w:rsid w:val="031C69F7"/>
    <w:rsid w:val="031E038B"/>
    <w:rsid w:val="031F00A6"/>
    <w:rsid w:val="031F2043"/>
    <w:rsid w:val="03200295"/>
    <w:rsid w:val="032011BB"/>
    <w:rsid w:val="03204B4E"/>
    <w:rsid w:val="032064E7"/>
    <w:rsid w:val="032066D4"/>
    <w:rsid w:val="0321400D"/>
    <w:rsid w:val="03215DBB"/>
    <w:rsid w:val="03217B69"/>
    <w:rsid w:val="03221180"/>
    <w:rsid w:val="03222C91"/>
    <w:rsid w:val="03227E5E"/>
    <w:rsid w:val="03231B33"/>
    <w:rsid w:val="0323202B"/>
    <w:rsid w:val="03241293"/>
    <w:rsid w:val="03247659"/>
    <w:rsid w:val="03253AFD"/>
    <w:rsid w:val="032558AB"/>
    <w:rsid w:val="03256ABC"/>
    <w:rsid w:val="03257104"/>
    <w:rsid w:val="0326092D"/>
    <w:rsid w:val="032612BA"/>
    <w:rsid w:val="03261624"/>
    <w:rsid w:val="032633D2"/>
    <w:rsid w:val="032653DC"/>
    <w:rsid w:val="0326588B"/>
    <w:rsid w:val="03266B1D"/>
    <w:rsid w:val="03271846"/>
    <w:rsid w:val="03275A62"/>
    <w:rsid w:val="03277FAD"/>
    <w:rsid w:val="03284559"/>
    <w:rsid w:val="0328714A"/>
    <w:rsid w:val="0329128F"/>
    <w:rsid w:val="03295B2D"/>
    <w:rsid w:val="03296B3B"/>
    <w:rsid w:val="032A4C70"/>
    <w:rsid w:val="032B053F"/>
    <w:rsid w:val="032B100B"/>
    <w:rsid w:val="032C4A4F"/>
    <w:rsid w:val="032C4E8C"/>
    <w:rsid w:val="032D4760"/>
    <w:rsid w:val="032D5EC3"/>
    <w:rsid w:val="032D650E"/>
    <w:rsid w:val="032E4D47"/>
    <w:rsid w:val="032E7E80"/>
    <w:rsid w:val="032F2286"/>
    <w:rsid w:val="032F3072"/>
    <w:rsid w:val="032F654A"/>
    <w:rsid w:val="03301303"/>
    <w:rsid w:val="03303343"/>
    <w:rsid w:val="03305FFE"/>
    <w:rsid w:val="03307B90"/>
    <w:rsid w:val="03314DFF"/>
    <w:rsid w:val="03315CCB"/>
    <w:rsid w:val="03324D85"/>
    <w:rsid w:val="0334103C"/>
    <w:rsid w:val="03342DD1"/>
    <w:rsid w:val="03345AEF"/>
    <w:rsid w:val="033479E0"/>
    <w:rsid w:val="03351867"/>
    <w:rsid w:val="03353615"/>
    <w:rsid w:val="03353A41"/>
    <w:rsid w:val="0335776B"/>
    <w:rsid w:val="0336367E"/>
    <w:rsid w:val="03373831"/>
    <w:rsid w:val="0337496E"/>
    <w:rsid w:val="03377919"/>
    <w:rsid w:val="03391E1F"/>
    <w:rsid w:val="03393105"/>
    <w:rsid w:val="0339679F"/>
    <w:rsid w:val="03396A24"/>
    <w:rsid w:val="033A110F"/>
    <w:rsid w:val="033A1E33"/>
    <w:rsid w:val="033A2C9E"/>
    <w:rsid w:val="033B3004"/>
    <w:rsid w:val="033B3AE3"/>
    <w:rsid w:val="033B433A"/>
    <w:rsid w:val="033B50CF"/>
    <w:rsid w:val="033B67E2"/>
    <w:rsid w:val="033B68B4"/>
    <w:rsid w:val="033B6E7D"/>
    <w:rsid w:val="033C0E47"/>
    <w:rsid w:val="033C4C00"/>
    <w:rsid w:val="033D092D"/>
    <w:rsid w:val="033E071B"/>
    <w:rsid w:val="033E5AC4"/>
    <w:rsid w:val="033F32C3"/>
    <w:rsid w:val="033F6234"/>
    <w:rsid w:val="034002B5"/>
    <w:rsid w:val="03400B54"/>
    <w:rsid w:val="034026E5"/>
    <w:rsid w:val="03404493"/>
    <w:rsid w:val="034076C4"/>
    <w:rsid w:val="0341020B"/>
    <w:rsid w:val="03414C8F"/>
    <w:rsid w:val="03414D01"/>
    <w:rsid w:val="0341645D"/>
    <w:rsid w:val="03416905"/>
    <w:rsid w:val="03424F94"/>
    <w:rsid w:val="03426E87"/>
    <w:rsid w:val="034312C3"/>
    <w:rsid w:val="03431BCB"/>
    <w:rsid w:val="03433F84"/>
    <w:rsid w:val="03435D32"/>
    <w:rsid w:val="034477C7"/>
    <w:rsid w:val="03451AAA"/>
    <w:rsid w:val="03452FC4"/>
    <w:rsid w:val="03455F4E"/>
    <w:rsid w:val="03463753"/>
    <w:rsid w:val="03463A74"/>
    <w:rsid w:val="034675D0"/>
    <w:rsid w:val="0347577D"/>
    <w:rsid w:val="0347730F"/>
    <w:rsid w:val="034778B7"/>
    <w:rsid w:val="0348159A"/>
    <w:rsid w:val="034872E6"/>
    <w:rsid w:val="034900E2"/>
    <w:rsid w:val="03494317"/>
    <w:rsid w:val="034A3347"/>
    <w:rsid w:val="034A6B2C"/>
    <w:rsid w:val="034A70C0"/>
    <w:rsid w:val="034C3817"/>
    <w:rsid w:val="034C72DC"/>
    <w:rsid w:val="034D095E"/>
    <w:rsid w:val="034D1BBC"/>
    <w:rsid w:val="034D3E5D"/>
    <w:rsid w:val="034D4E02"/>
    <w:rsid w:val="034D6BB0"/>
    <w:rsid w:val="034E3158"/>
    <w:rsid w:val="034F0B7A"/>
    <w:rsid w:val="034F2928"/>
    <w:rsid w:val="034F46D6"/>
    <w:rsid w:val="03500416"/>
    <w:rsid w:val="03500649"/>
    <w:rsid w:val="03504024"/>
    <w:rsid w:val="035045CE"/>
    <w:rsid w:val="0350481B"/>
    <w:rsid w:val="03507156"/>
    <w:rsid w:val="03511AD9"/>
    <w:rsid w:val="03517430"/>
    <w:rsid w:val="03520F1F"/>
    <w:rsid w:val="03522419"/>
    <w:rsid w:val="035241C7"/>
    <w:rsid w:val="0352429D"/>
    <w:rsid w:val="03525F75"/>
    <w:rsid w:val="0352701F"/>
    <w:rsid w:val="03530BAA"/>
    <w:rsid w:val="035439F7"/>
    <w:rsid w:val="03552909"/>
    <w:rsid w:val="03553102"/>
    <w:rsid w:val="03557AFD"/>
    <w:rsid w:val="03561F09"/>
    <w:rsid w:val="035644BB"/>
    <w:rsid w:val="03564C06"/>
    <w:rsid w:val="035654B0"/>
    <w:rsid w:val="035662B5"/>
    <w:rsid w:val="0356706E"/>
    <w:rsid w:val="035717DD"/>
    <w:rsid w:val="035723C1"/>
    <w:rsid w:val="03575C81"/>
    <w:rsid w:val="03575F15"/>
    <w:rsid w:val="03581012"/>
    <w:rsid w:val="035839B4"/>
    <w:rsid w:val="0359026B"/>
    <w:rsid w:val="035937A7"/>
    <w:rsid w:val="03597303"/>
    <w:rsid w:val="035A13E3"/>
    <w:rsid w:val="035A243A"/>
    <w:rsid w:val="035A25B5"/>
    <w:rsid w:val="035A307B"/>
    <w:rsid w:val="035A42CC"/>
    <w:rsid w:val="035B5C16"/>
    <w:rsid w:val="035B6E9D"/>
    <w:rsid w:val="035C032D"/>
    <w:rsid w:val="035C3A22"/>
    <w:rsid w:val="035D10A2"/>
    <w:rsid w:val="035D17BD"/>
    <w:rsid w:val="035D32DE"/>
    <w:rsid w:val="035D3CD4"/>
    <w:rsid w:val="035D4954"/>
    <w:rsid w:val="035E01B3"/>
    <w:rsid w:val="035E2B6B"/>
    <w:rsid w:val="035E4919"/>
    <w:rsid w:val="035E581E"/>
    <w:rsid w:val="035F2367"/>
    <w:rsid w:val="03600692"/>
    <w:rsid w:val="03606962"/>
    <w:rsid w:val="03620D00"/>
    <w:rsid w:val="03621A93"/>
    <w:rsid w:val="03621F9A"/>
    <w:rsid w:val="0363076D"/>
    <w:rsid w:val="0363175D"/>
    <w:rsid w:val="03632DC9"/>
    <w:rsid w:val="03634626"/>
    <w:rsid w:val="036363D4"/>
    <w:rsid w:val="03643306"/>
    <w:rsid w:val="03643B29"/>
    <w:rsid w:val="03645645"/>
    <w:rsid w:val="0364747B"/>
    <w:rsid w:val="0365214C"/>
    <w:rsid w:val="03653EFA"/>
    <w:rsid w:val="03661A20"/>
    <w:rsid w:val="03663FB0"/>
    <w:rsid w:val="03665AD3"/>
    <w:rsid w:val="036730D0"/>
    <w:rsid w:val="036743EC"/>
    <w:rsid w:val="03674964"/>
    <w:rsid w:val="03681C3C"/>
    <w:rsid w:val="03685E9F"/>
    <w:rsid w:val="0369010A"/>
    <w:rsid w:val="036926C6"/>
    <w:rsid w:val="036A030F"/>
    <w:rsid w:val="036A1510"/>
    <w:rsid w:val="036A59B4"/>
    <w:rsid w:val="036A7762"/>
    <w:rsid w:val="036B462D"/>
    <w:rsid w:val="036B5288"/>
    <w:rsid w:val="036B52E6"/>
    <w:rsid w:val="036C34DA"/>
    <w:rsid w:val="036D1000"/>
    <w:rsid w:val="036D2DAF"/>
    <w:rsid w:val="036D6FDA"/>
    <w:rsid w:val="036E009C"/>
    <w:rsid w:val="036E3246"/>
    <w:rsid w:val="036F2FCB"/>
    <w:rsid w:val="036F510D"/>
    <w:rsid w:val="036F6B27"/>
    <w:rsid w:val="0370464D"/>
    <w:rsid w:val="0371289F"/>
    <w:rsid w:val="03716D43"/>
    <w:rsid w:val="0372306B"/>
    <w:rsid w:val="03726617"/>
    <w:rsid w:val="03732DE6"/>
    <w:rsid w:val="037339E3"/>
    <w:rsid w:val="03733C5F"/>
    <w:rsid w:val="037408D7"/>
    <w:rsid w:val="0374238F"/>
    <w:rsid w:val="03766107"/>
    <w:rsid w:val="03771213"/>
    <w:rsid w:val="03782ED4"/>
    <w:rsid w:val="03786553"/>
    <w:rsid w:val="03791753"/>
    <w:rsid w:val="03792EE3"/>
    <w:rsid w:val="03794DD4"/>
    <w:rsid w:val="03797855"/>
    <w:rsid w:val="037A38B6"/>
    <w:rsid w:val="037A3B41"/>
    <w:rsid w:val="037B04F6"/>
    <w:rsid w:val="037B44B5"/>
    <w:rsid w:val="037B4D46"/>
    <w:rsid w:val="037B54CB"/>
    <w:rsid w:val="037B768C"/>
    <w:rsid w:val="037C7496"/>
    <w:rsid w:val="037D0E27"/>
    <w:rsid w:val="037D124D"/>
    <w:rsid w:val="037D3E00"/>
    <w:rsid w:val="037D56E7"/>
    <w:rsid w:val="037E6D6A"/>
    <w:rsid w:val="03800D34"/>
    <w:rsid w:val="03802553"/>
    <w:rsid w:val="038110CF"/>
    <w:rsid w:val="03812400"/>
    <w:rsid w:val="0381685A"/>
    <w:rsid w:val="038203D4"/>
    <w:rsid w:val="03821861"/>
    <w:rsid w:val="03822CFE"/>
    <w:rsid w:val="03830824"/>
    <w:rsid w:val="038338A5"/>
    <w:rsid w:val="03836A76"/>
    <w:rsid w:val="0384057F"/>
    <w:rsid w:val="03842A81"/>
    <w:rsid w:val="03845AE4"/>
    <w:rsid w:val="038462CE"/>
    <w:rsid w:val="03846D97"/>
    <w:rsid w:val="03854510"/>
    <w:rsid w:val="0385459C"/>
    <w:rsid w:val="038548E1"/>
    <w:rsid w:val="0385634A"/>
    <w:rsid w:val="03856847"/>
    <w:rsid w:val="03866968"/>
    <w:rsid w:val="038720C2"/>
    <w:rsid w:val="038722EC"/>
    <w:rsid w:val="03875D09"/>
    <w:rsid w:val="038768FD"/>
    <w:rsid w:val="0388060B"/>
    <w:rsid w:val="03883C99"/>
    <w:rsid w:val="03885E3A"/>
    <w:rsid w:val="03891DB3"/>
    <w:rsid w:val="038A1BB2"/>
    <w:rsid w:val="038A33AB"/>
    <w:rsid w:val="038A3960"/>
    <w:rsid w:val="038A7E04"/>
    <w:rsid w:val="038B0293"/>
    <w:rsid w:val="038C592B"/>
    <w:rsid w:val="038D16A3"/>
    <w:rsid w:val="038D3451"/>
    <w:rsid w:val="038D3B93"/>
    <w:rsid w:val="038E0289"/>
    <w:rsid w:val="038E4347"/>
    <w:rsid w:val="038F0F77"/>
    <w:rsid w:val="038F3D7E"/>
    <w:rsid w:val="038F71C9"/>
    <w:rsid w:val="039051B2"/>
    <w:rsid w:val="03905ADC"/>
    <w:rsid w:val="03910A21"/>
    <w:rsid w:val="0391510F"/>
    <w:rsid w:val="039203FC"/>
    <w:rsid w:val="03920C44"/>
    <w:rsid w:val="03931C0F"/>
    <w:rsid w:val="03934883"/>
    <w:rsid w:val="03934C51"/>
    <w:rsid w:val="039361B3"/>
    <w:rsid w:val="03936CB9"/>
    <w:rsid w:val="03936EA0"/>
    <w:rsid w:val="03942A31"/>
    <w:rsid w:val="0394445D"/>
    <w:rsid w:val="0394658D"/>
    <w:rsid w:val="0394702E"/>
    <w:rsid w:val="03951B0E"/>
    <w:rsid w:val="03953DFB"/>
    <w:rsid w:val="03954037"/>
    <w:rsid w:val="0396194E"/>
    <w:rsid w:val="03963238"/>
    <w:rsid w:val="03966ACE"/>
    <w:rsid w:val="039703BB"/>
    <w:rsid w:val="039703E0"/>
    <w:rsid w:val="03982B9A"/>
    <w:rsid w:val="039842CF"/>
    <w:rsid w:val="039859AF"/>
    <w:rsid w:val="0398630E"/>
    <w:rsid w:val="03986975"/>
    <w:rsid w:val="03987992"/>
    <w:rsid w:val="03990047"/>
    <w:rsid w:val="03991DF6"/>
    <w:rsid w:val="0399335C"/>
    <w:rsid w:val="03993BA4"/>
    <w:rsid w:val="03995D4F"/>
    <w:rsid w:val="039A058F"/>
    <w:rsid w:val="039A2138"/>
    <w:rsid w:val="039A563F"/>
    <w:rsid w:val="039B255D"/>
    <w:rsid w:val="039B28B0"/>
    <w:rsid w:val="039B51AA"/>
    <w:rsid w:val="039C3694"/>
    <w:rsid w:val="039C407F"/>
    <w:rsid w:val="039C5442"/>
    <w:rsid w:val="039C7BA3"/>
    <w:rsid w:val="039D10D8"/>
    <w:rsid w:val="039D18E6"/>
    <w:rsid w:val="039D5B35"/>
    <w:rsid w:val="039D6D15"/>
    <w:rsid w:val="039E2CB1"/>
    <w:rsid w:val="039E565E"/>
    <w:rsid w:val="039E740C"/>
    <w:rsid w:val="039F0C9A"/>
    <w:rsid w:val="039F24A3"/>
    <w:rsid w:val="039F28A4"/>
    <w:rsid w:val="039F34D6"/>
    <w:rsid w:val="03A03D81"/>
    <w:rsid w:val="03A10CAA"/>
    <w:rsid w:val="03A16A61"/>
    <w:rsid w:val="03A17E8B"/>
    <w:rsid w:val="03A23D55"/>
    <w:rsid w:val="03A2514E"/>
    <w:rsid w:val="03A31381"/>
    <w:rsid w:val="03A32C74"/>
    <w:rsid w:val="03A367D0"/>
    <w:rsid w:val="03A40E71"/>
    <w:rsid w:val="03A430AB"/>
    <w:rsid w:val="03A4632C"/>
    <w:rsid w:val="03A5079A"/>
    <w:rsid w:val="03A53375"/>
    <w:rsid w:val="03A55280"/>
    <w:rsid w:val="03A557D7"/>
    <w:rsid w:val="03A569EC"/>
    <w:rsid w:val="03A6122B"/>
    <w:rsid w:val="03A6249E"/>
    <w:rsid w:val="03A62D53"/>
    <w:rsid w:val="03A72998"/>
    <w:rsid w:val="03A74512"/>
    <w:rsid w:val="03A762C0"/>
    <w:rsid w:val="03A964DC"/>
    <w:rsid w:val="03AA1254"/>
    <w:rsid w:val="03AA1971"/>
    <w:rsid w:val="03AA2CC4"/>
    <w:rsid w:val="03AA2FAF"/>
    <w:rsid w:val="03AA4003"/>
    <w:rsid w:val="03AA5DB1"/>
    <w:rsid w:val="03AA6683"/>
    <w:rsid w:val="03AA78F8"/>
    <w:rsid w:val="03AB0719"/>
    <w:rsid w:val="03AB1DDD"/>
    <w:rsid w:val="03AB68EA"/>
    <w:rsid w:val="03AC0A84"/>
    <w:rsid w:val="03AC1B29"/>
    <w:rsid w:val="03AC2D81"/>
    <w:rsid w:val="03AC3B74"/>
    <w:rsid w:val="03AC3DBD"/>
    <w:rsid w:val="03AD05F5"/>
    <w:rsid w:val="03AD4D2E"/>
    <w:rsid w:val="03AD58A1"/>
    <w:rsid w:val="03AD6D27"/>
    <w:rsid w:val="03AE1CD2"/>
    <w:rsid w:val="03AE23F1"/>
    <w:rsid w:val="03AE3AF3"/>
    <w:rsid w:val="03AE4595"/>
    <w:rsid w:val="03AF1619"/>
    <w:rsid w:val="03AF33C7"/>
    <w:rsid w:val="03AF3C36"/>
    <w:rsid w:val="03AF616D"/>
    <w:rsid w:val="03AF74EB"/>
    <w:rsid w:val="03AF786B"/>
    <w:rsid w:val="03B00290"/>
    <w:rsid w:val="03B03C04"/>
    <w:rsid w:val="03B04F6B"/>
    <w:rsid w:val="03B10EED"/>
    <w:rsid w:val="03B12B27"/>
    <w:rsid w:val="03B1713F"/>
    <w:rsid w:val="03B210F7"/>
    <w:rsid w:val="03B22EB7"/>
    <w:rsid w:val="03B24C65"/>
    <w:rsid w:val="03B25314"/>
    <w:rsid w:val="03B336B0"/>
    <w:rsid w:val="03B35170"/>
    <w:rsid w:val="03B40390"/>
    <w:rsid w:val="03B50E48"/>
    <w:rsid w:val="03B50F2A"/>
    <w:rsid w:val="03B60BF9"/>
    <w:rsid w:val="03B61135"/>
    <w:rsid w:val="03B629A7"/>
    <w:rsid w:val="03B63C7C"/>
    <w:rsid w:val="03B6459B"/>
    <w:rsid w:val="03B646D5"/>
    <w:rsid w:val="03B64756"/>
    <w:rsid w:val="03B66504"/>
    <w:rsid w:val="03B677F7"/>
    <w:rsid w:val="03B70C87"/>
    <w:rsid w:val="03B76E9E"/>
    <w:rsid w:val="03B77E93"/>
    <w:rsid w:val="03B804CE"/>
    <w:rsid w:val="03B94246"/>
    <w:rsid w:val="03B94CE8"/>
    <w:rsid w:val="03B95248"/>
    <w:rsid w:val="03BA00D8"/>
    <w:rsid w:val="03BA5FA7"/>
    <w:rsid w:val="03BB0F7A"/>
    <w:rsid w:val="03BB1D6C"/>
    <w:rsid w:val="03BB232C"/>
    <w:rsid w:val="03BB25AE"/>
    <w:rsid w:val="03BB4952"/>
    <w:rsid w:val="03BB7608"/>
    <w:rsid w:val="03BB7FBE"/>
    <w:rsid w:val="03BC7892"/>
    <w:rsid w:val="03BD578F"/>
    <w:rsid w:val="03BD5AE4"/>
    <w:rsid w:val="03BD623A"/>
    <w:rsid w:val="03BE160D"/>
    <w:rsid w:val="03BE3301"/>
    <w:rsid w:val="03BE76CA"/>
    <w:rsid w:val="03BF3924"/>
    <w:rsid w:val="03BF4E0E"/>
    <w:rsid w:val="03BF72D6"/>
    <w:rsid w:val="03C04BBB"/>
    <w:rsid w:val="03C055D4"/>
    <w:rsid w:val="03C07382"/>
    <w:rsid w:val="03C20C85"/>
    <w:rsid w:val="03C2134C"/>
    <w:rsid w:val="03C230FA"/>
    <w:rsid w:val="03C26973"/>
    <w:rsid w:val="03C2759E"/>
    <w:rsid w:val="03C3096B"/>
    <w:rsid w:val="03C3333F"/>
    <w:rsid w:val="03C350C4"/>
    <w:rsid w:val="03C4353C"/>
    <w:rsid w:val="03C43FFD"/>
    <w:rsid w:val="03C463D0"/>
    <w:rsid w:val="03C46BB5"/>
    <w:rsid w:val="03C50E3C"/>
    <w:rsid w:val="03C5171F"/>
    <w:rsid w:val="03C53967"/>
    <w:rsid w:val="03C54999"/>
    <w:rsid w:val="03C64541"/>
    <w:rsid w:val="03C6471B"/>
    <w:rsid w:val="03C6588F"/>
    <w:rsid w:val="03C704D6"/>
    <w:rsid w:val="03C70711"/>
    <w:rsid w:val="03C72CA0"/>
    <w:rsid w:val="03C76963"/>
    <w:rsid w:val="03C821FC"/>
    <w:rsid w:val="03C9092D"/>
    <w:rsid w:val="03C926DB"/>
    <w:rsid w:val="03CA1FAF"/>
    <w:rsid w:val="03CA4762"/>
    <w:rsid w:val="03CB15BF"/>
    <w:rsid w:val="03CB1BE4"/>
    <w:rsid w:val="03CB1FDA"/>
    <w:rsid w:val="03CC21CB"/>
    <w:rsid w:val="03CC38D4"/>
    <w:rsid w:val="03CC5D27"/>
    <w:rsid w:val="03CD19B7"/>
    <w:rsid w:val="03CD2C61"/>
    <w:rsid w:val="03CE1846"/>
    <w:rsid w:val="03CE5A7E"/>
    <w:rsid w:val="03CE7CF1"/>
    <w:rsid w:val="03CF419D"/>
    <w:rsid w:val="03CF6F0E"/>
    <w:rsid w:val="03D025A8"/>
    <w:rsid w:val="03D02F6F"/>
    <w:rsid w:val="03D04A5A"/>
    <w:rsid w:val="03D061E4"/>
    <w:rsid w:val="03D16E47"/>
    <w:rsid w:val="03D176EF"/>
    <w:rsid w:val="03D224BD"/>
    <w:rsid w:val="03D22BD2"/>
    <w:rsid w:val="03D33F23"/>
    <w:rsid w:val="03D34673"/>
    <w:rsid w:val="03D348AC"/>
    <w:rsid w:val="03D35307"/>
    <w:rsid w:val="03D35B49"/>
    <w:rsid w:val="03D41080"/>
    <w:rsid w:val="03D42E2E"/>
    <w:rsid w:val="03D52D80"/>
    <w:rsid w:val="03D52F56"/>
    <w:rsid w:val="03D567D9"/>
    <w:rsid w:val="03D60A54"/>
    <w:rsid w:val="03D62CD5"/>
    <w:rsid w:val="03D657E6"/>
    <w:rsid w:val="03D66BA6"/>
    <w:rsid w:val="03D75FB2"/>
    <w:rsid w:val="03D75FE1"/>
    <w:rsid w:val="03D8291E"/>
    <w:rsid w:val="03D84273"/>
    <w:rsid w:val="03DA27DF"/>
    <w:rsid w:val="03DA4541"/>
    <w:rsid w:val="03DA4C9E"/>
    <w:rsid w:val="03DB0660"/>
    <w:rsid w:val="03DB121C"/>
    <w:rsid w:val="03DB240E"/>
    <w:rsid w:val="03DB352F"/>
    <w:rsid w:val="03DB41BC"/>
    <w:rsid w:val="03DB4C65"/>
    <w:rsid w:val="03DD6186"/>
    <w:rsid w:val="03DD769E"/>
    <w:rsid w:val="03DD7B07"/>
    <w:rsid w:val="03DE1176"/>
    <w:rsid w:val="03DE197F"/>
    <w:rsid w:val="03DE3727"/>
    <w:rsid w:val="03DF25F3"/>
    <w:rsid w:val="03DF4B90"/>
    <w:rsid w:val="03DF70E9"/>
    <w:rsid w:val="03E00AD0"/>
    <w:rsid w:val="03E017D2"/>
    <w:rsid w:val="03E04B6A"/>
    <w:rsid w:val="03E04C84"/>
    <w:rsid w:val="03E05C76"/>
    <w:rsid w:val="03E06D69"/>
    <w:rsid w:val="03E07199"/>
    <w:rsid w:val="03E11322"/>
    <w:rsid w:val="03E13EF3"/>
    <w:rsid w:val="03E16C4E"/>
    <w:rsid w:val="03E16CBF"/>
    <w:rsid w:val="03E219EE"/>
    <w:rsid w:val="03E21E8B"/>
    <w:rsid w:val="03E2554B"/>
    <w:rsid w:val="03E312C3"/>
    <w:rsid w:val="03E33071"/>
    <w:rsid w:val="03E337EF"/>
    <w:rsid w:val="03E413E4"/>
    <w:rsid w:val="03E46B9E"/>
    <w:rsid w:val="03E47515"/>
    <w:rsid w:val="03E55A27"/>
    <w:rsid w:val="03E609EE"/>
    <w:rsid w:val="03E6714D"/>
    <w:rsid w:val="03E70DB3"/>
    <w:rsid w:val="03E72B61"/>
    <w:rsid w:val="03E80687"/>
    <w:rsid w:val="03E811F5"/>
    <w:rsid w:val="03E84A27"/>
    <w:rsid w:val="03E86393"/>
    <w:rsid w:val="03E903D5"/>
    <w:rsid w:val="03E912DA"/>
    <w:rsid w:val="03E93A8E"/>
    <w:rsid w:val="03E94B2B"/>
    <w:rsid w:val="03E9547A"/>
    <w:rsid w:val="03EA08A3"/>
    <w:rsid w:val="03EA76C0"/>
    <w:rsid w:val="03EA7B21"/>
    <w:rsid w:val="03EB2744"/>
    <w:rsid w:val="03EC0177"/>
    <w:rsid w:val="03EC264C"/>
    <w:rsid w:val="03EC2FDD"/>
    <w:rsid w:val="03ED68D9"/>
    <w:rsid w:val="03EE0393"/>
    <w:rsid w:val="03EE2141"/>
    <w:rsid w:val="03EE3EEF"/>
    <w:rsid w:val="03EF0C5F"/>
    <w:rsid w:val="03F02558"/>
    <w:rsid w:val="03F028D7"/>
    <w:rsid w:val="03F139E0"/>
    <w:rsid w:val="03F25030"/>
    <w:rsid w:val="03F35454"/>
    <w:rsid w:val="03F35B74"/>
    <w:rsid w:val="03F37758"/>
    <w:rsid w:val="03F40ED9"/>
    <w:rsid w:val="03F43BAA"/>
    <w:rsid w:val="03F44B88"/>
    <w:rsid w:val="03F4527E"/>
    <w:rsid w:val="03F4702C"/>
    <w:rsid w:val="03F50C28"/>
    <w:rsid w:val="03F54334"/>
    <w:rsid w:val="03F620CD"/>
    <w:rsid w:val="03F668A6"/>
    <w:rsid w:val="03F67248"/>
    <w:rsid w:val="03F67A9F"/>
    <w:rsid w:val="03F70CE9"/>
    <w:rsid w:val="03F70EE7"/>
    <w:rsid w:val="03F7499C"/>
    <w:rsid w:val="03F74F30"/>
    <w:rsid w:val="03F77A43"/>
    <w:rsid w:val="03F80CEA"/>
    <w:rsid w:val="03F84D6E"/>
    <w:rsid w:val="03F915E9"/>
    <w:rsid w:val="03F97E85"/>
    <w:rsid w:val="03FA1EE1"/>
    <w:rsid w:val="03FA61DB"/>
    <w:rsid w:val="03FA7C7C"/>
    <w:rsid w:val="03FB03BA"/>
    <w:rsid w:val="03FB485E"/>
    <w:rsid w:val="03FB766B"/>
    <w:rsid w:val="03FC449E"/>
    <w:rsid w:val="03FC6ED0"/>
    <w:rsid w:val="03FD0AA2"/>
    <w:rsid w:val="03FD1D92"/>
    <w:rsid w:val="03FE41EE"/>
    <w:rsid w:val="03FE7EAB"/>
    <w:rsid w:val="03FF5FEC"/>
    <w:rsid w:val="0400399D"/>
    <w:rsid w:val="0400747C"/>
    <w:rsid w:val="040134DD"/>
    <w:rsid w:val="040154C3"/>
    <w:rsid w:val="040177F9"/>
    <w:rsid w:val="04020CD6"/>
    <w:rsid w:val="04021373"/>
    <w:rsid w:val="0402322C"/>
    <w:rsid w:val="04025ABC"/>
    <w:rsid w:val="04025BED"/>
    <w:rsid w:val="0402799B"/>
    <w:rsid w:val="040354C1"/>
    <w:rsid w:val="04035A45"/>
    <w:rsid w:val="0404079F"/>
    <w:rsid w:val="04041965"/>
    <w:rsid w:val="04041FA7"/>
    <w:rsid w:val="04043713"/>
    <w:rsid w:val="04046137"/>
    <w:rsid w:val="04047CCB"/>
    <w:rsid w:val="04050CD2"/>
    <w:rsid w:val="04051239"/>
    <w:rsid w:val="04051E5E"/>
    <w:rsid w:val="040556DD"/>
    <w:rsid w:val="0406756F"/>
    <w:rsid w:val="04074FB1"/>
    <w:rsid w:val="04080DCC"/>
    <w:rsid w:val="04082AD7"/>
    <w:rsid w:val="04084306"/>
    <w:rsid w:val="04085CDA"/>
    <w:rsid w:val="04096F7B"/>
    <w:rsid w:val="040976D6"/>
    <w:rsid w:val="040A299C"/>
    <w:rsid w:val="040A2CF3"/>
    <w:rsid w:val="040A30FF"/>
    <w:rsid w:val="040A32A7"/>
    <w:rsid w:val="040A4AA1"/>
    <w:rsid w:val="040A684F"/>
    <w:rsid w:val="040B57A7"/>
    <w:rsid w:val="040B612B"/>
    <w:rsid w:val="040C0819"/>
    <w:rsid w:val="040C1215"/>
    <w:rsid w:val="040C25C7"/>
    <w:rsid w:val="040C2A1E"/>
    <w:rsid w:val="040C49C7"/>
    <w:rsid w:val="040C6A6B"/>
    <w:rsid w:val="040D00EE"/>
    <w:rsid w:val="040D0423"/>
    <w:rsid w:val="040D0D81"/>
    <w:rsid w:val="040D1022"/>
    <w:rsid w:val="040E11D0"/>
    <w:rsid w:val="040E230F"/>
    <w:rsid w:val="040E27E3"/>
    <w:rsid w:val="040E4592"/>
    <w:rsid w:val="040E548E"/>
    <w:rsid w:val="040E6340"/>
    <w:rsid w:val="040F20B8"/>
    <w:rsid w:val="040F4776"/>
    <w:rsid w:val="041001C4"/>
    <w:rsid w:val="0410030A"/>
    <w:rsid w:val="04100401"/>
    <w:rsid w:val="04115E30"/>
    <w:rsid w:val="041161C8"/>
    <w:rsid w:val="041203DE"/>
    <w:rsid w:val="041227F8"/>
    <w:rsid w:val="04126254"/>
    <w:rsid w:val="0412795D"/>
    <w:rsid w:val="04130A6B"/>
    <w:rsid w:val="04133956"/>
    <w:rsid w:val="0413414A"/>
    <w:rsid w:val="04134A25"/>
    <w:rsid w:val="04137DFA"/>
    <w:rsid w:val="0414147C"/>
    <w:rsid w:val="04141B44"/>
    <w:rsid w:val="04153DCC"/>
    <w:rsid w:val="04155920"/>
    <w:rsid w:val="041616A2"/>
    <w:rsid w:val="04163446"/>
    <w:rsid w:val="0416409B"/>
    <w:rsid w:val="041651F4"/>
    <w:rsid w:val="041651F5"/>
    <w:rsid w:val="041721AA"/>
    <w:rsid w:val="041805F4"/>
    <w:rsid w:val="0418069F"/>
    <w:rsid w:val="04180F6C"/>
    <w:rsid w:val="04185410"/>
    <w:rsid w:val="041901BA"/>
    <w:rsid w:val="04191CEA"/>
    <w:rsid w:val="041A1188"/>
    <w:rsid w:val="041A2BF4"/>
    <w:rsid w:val="041A2EBB"/>
    <w:rsid w:val="041B68E0"/>
    <w:rsid w:val="041C59D8"/>
    <w:rsid w:val="041D414D"/>
    <w:rsid w:val="041D6583"/>
    <w:rsid w:val="041E22FB"/>
    <w:rsid w:val="041E2A05"/>
    <w:rsid w:val="041E2F50"/>
    <w:rsid w:val="041E58FF"/>
    <w:rsid w:val="041E6EF4"/>
    <w:rsid w:val="041F37E6"/>
    <w:rsid w:val="04202E24"/>
    <w:rsid w:val="04206F46"/>
    <w:rsid w:val="04207E21"/>
    <w:rsid w:val="04210871"/>
    <w:rsid w:val="04211386"/>
    <w:rsid w:val="04212517"/>
    <w:rsid w:val="042167B5"/>
    <w:rsid w:val="0421758F"/>
    <w:rsid w:val="04221DEB"/>
    <w:rsid w:val="04226483"/>
    <w:rsid w:val="042277B0"/>
    <w:rsid w:val="04230FBC"/>
    <w:rsid w:val="04245B63"/>
    <w:rsid w:val="04246877"/>
    <w:rsid w:val="04247911"/>
    <w:rsid w:val="0425149B"/>
    <w:rsid w:val="042518DB"/>
    <w:rsid w:val="04253689"/>
    <w:rsid w:val="04260110"/>
    <w:rsid w:val="042602AD"/>
    <w:rsid w:val="04260999"/>
    <w:rsid w:val="04261197"/>
    <w:rsid w:val="042711AF"/>
    <w:rsid w:val="042712A7"/>
    <w:rsid w:val="0427212D"/>
    <w:rsid w:val="042744E0"/>
    <w:rsid w:val="04281083"/>
    <w:rsid w:val="04286EF4"/>
    <w:rsid w:val="04293179"/>
    <w:rsid w:val="04294F27"/>
    <w:rsid w:val="04297319"/>
    <w:rsid w:val="042A0CA0"/>
    <w:rsid w:val="042A1458"/>
    <w:rsid w:val="042A1C73"/>
    <w:rsid w:val="042B0F39"/>
    <w:rsid w:val="042B384A"/>
    <w:rsid w:val="042B5143"/>
    <w:rsid w:val="042C2C6A"/>
    <w:rsid w:val="042C338C"/>
    <w:rsid w:val="042C5EEE"/>
    <w:rsid w:val="042D7A22"/>
    <w:rsid w:val="042E253E"/>
    <w:rsid w:val="042F4508"/>
    <w:rsid w:val="04306128"/>
    <w:rsid w:val="04310280"/>
    <w:rsid w:val="0431202E"/>
    <w:rsid w:val="043162AA"/>
    <w:rsid w:val="043164D2"/>
    <w:rsid w:val="043204A6"/>
    <w:rsid w:val="04322765"/>
    <w:rsid w:val="04323002"/>
    <w:rsid w:val="0432434A"/>
    <w:rsid w:val="04333FF8"/>
    <w:rsid w:val="04335DA6"/>
    <w:rsid w:val="043379CC"/>
    <w:rsid w:val="04337D12"/>
    <w:rsid w:val="04343800"/>
    <w:rsid w:val="043438CC"/>
    <w:rsid w:val="04344679"/>
    <w:rsid w:val="04350CB1"/>
    <w:rsid w:val="04351B1E"/>
    <w:rsid w:val="04357C6B"/>
    <w:rsid w:val="04363AE8"/>
    <w:rsid w:val="04366F4A"/>
    <w:rsid w:val="04367F86"/>
    <w:rsid w:val="04380A7C"/>
    <w:rsid w:val="043846D3"/>
    <w:rsid w:val="0438617D"/>
    <w:rsid w:val="04387860"/>
    <w:rsid w:val="04395ECC"/>
    <w:rsid w:val="043A35D9"/>
    <w:rsid w:val="043A50E5"/>
    <w:rsid w:val="043A6282"/>
    <w:rsid w:val="043B1F2D"/>
    <w:rsid w:val="043C068F"/>
    <w:rsid w:val="043C0CA8"/>
    <w:rsid w:val="043C3DF1"/>
    <w:rsid w:val="043D09D3"/>
    <w:rsid w:val="043D2098"/>
    <w:rsid w:val="043D4E77"/>
    <w:rsid w:val="043D5C0F"/>
    <w:rsid w:val="043D6C25"/>
    <w:rsid w:val="043E1D9D"/>
    <w:rsid w:val="043E2111"/>
    <w:rsid w:val="043F0BEF"/>
    <w:rsid w:val="043F474B"/>
    <w:rsid w:val="044004C3"/>
    <w:rsid w:val="04402271"/>
    <w:rsid w:val="0441256D"/>
    <w:rsid w:val="0441273D"/>
    <w:rsid w:val="0441416E"/>
    <w:rsid w:val="0441727D"/>
    <w:rsid w:val="0442248D"/>
    <w:rsid w:val="0442423B"/>
    <w:rsid w:val="044259F2"/>
    <w:rsid w:val="04425B09"/>
    <w:rsid w:val="04425FE9"/>
    <w:rsid w:val="044306A2"/>
    <w:rsid w:val="04433290"/>
    <w:rsid w:val="0443394E"/>
    <w:rsid w:val="0443678D"/>
    <w:rsid w:val="04441D61"/>
    <w:rsid w:val="04444353"/>
    <w:rsid w:val="04444720"/>
    <w:rsid w:val="0444583C"/>
    <w:rsid w:val="044464F2"/>
    <w:rsid w:val="04447FB3"/>
    <w:rsid w:val="0445017B"/>
    <w:rsid w:val="0445085D"/>
    <w:rsid w:val="04455AD9"/>
    <w:rsid w:val="04455BB0"/>
    <w:rsid w:val="04461F7D"/>
    <w:rsid w:val="04463D2B"/>
    <w:rsid w:val="044666A3"/>
    <w:rsid w:val="04466DCD"/>
    <w:rsid w:val="044735EE"/>
    <w:rsid w:val="04473600"/>
    <w:rsid w:val="04477AA3"/>
    <w:rsid w:val="04483F82"/>
    <w:rsid w:val="04484531"/>
    <w:rsid w:val="04486BDD"/>
    <w:rsid w:val="04486FA6"/>
    <w:rsid w:val="0449381C"/>
    <w:rsid w:val="044955CA"/>
    <w:rsid w:val="044A1926"/>
    <w:rsid w:val="044A2F86"/>
    <w:rsid w:val="044A30F0"/>
    <w:rsid w:val="044A3B5D"/>
    <w:rsid w:val="044C1D78"/>
    <w:rsid w:val="044C330C"/>
    <w:rsid w:val="044C50BA"/>
    <w:rsid w:val="044C6E68"/>
    <w:rsid w:val="044D6F13"/>
    <w:rsid w:val="044E0E32"/>
    <w:rsid w:val="044E576B"/>
    <w:rsid w:val="044E72F2"/>
    <w:rsid w:val="044F1833"/>
    <w:rsid w:val="044F7FD7"/>
    <w:rsid w:val="04504BAA"/>
    <w:rsid w:val="04506958"/>
    <w:rsid w:val="04510922"/>
    <w:rsid w:val="045126D0"/>
    <w:rsid w:val="0451447E"/>
    <w:rsid w:val="04515894"/>
    <w:rsid w:val="04531644"/>
    <w:rsid w:val="04531FA4"/>
    <w:rsid w:val="04534325"/>
    <w:rsid w:val="04545D1C"/>
    <w:rsid w:val="04550468"/>
    <w:rsid w:val="0455059B"/>
    <w:rsid w:val="045521C0"/>
    <w:rsid w:val="04553F6E"/>
    <w:rsid w:val="04561A95"/>
    <w:rsid w:val="04565650"/>
    <w:rsid w:val="045661F7"/>
    <w:rsid w:val="04567CE7"/>
    <w:rsid w:val="045759F1"/>
    <w:rsid w:val="04575F38"/>
    <w:rsid w:val="04583A5F"/>
    <w:rsid w:val="0458580D"/>
    <w:rsid w:val="0459018C"/>
    <w:rsid w:val="04590FB1"/>
    <w:rsid w:val="045A0621"/>
    <w:rsid w:val="045A2E50"/>
    <w:rsid w:val="045A4943"/>
    <w:rsid w:val="045A6F69"/>
    <w:rsid w:val="045B35CF"/>
    <w:rsid w:val="045B3A87"/>
    <w:rsid w:val="045B52FD"/>
    <w:rsid w:val="045C08CC"/>
    <w:rsid w:val="045C290B"/>
    <w:rsid w:val="045C354F"/>
    <w:rsid w:val="045D1075"/>
    <w:rsid w:val="045D15A0"/>
    <w:rsid w:val="045D24FC"/>
    <w:rsid w:val="045D51A0"/>
    <w:rsid w:val="045F021B"/>
    <w:rsid w:val="045F1951"/>
    <w:rsid w:val="045F2A59"/>
    <w:rsid w:val="045F3810"/>
    <w:rsid w:val="045F4DED"/>
    <w:rsid w:val="045F6B9B"/>
    <w:rsid w:val="04600E02"/>
    <w:rsid w:val="046013AF"/>
    <w:rsid w:val="04603313"/>
    <w:rsid w:val="0461327E"/>
    <w:rsid w:val="04613A44"/>
    <w:rsid w:val="046248DD"/>
    <w:rsid w:val="0462668B"/>
    <w:rsid w:val="046269ED"/>
    <w:rsid w:val="04635599"/>
    <w:rsid w:val="046425C9"/>
    <w:rsid w:val="046430C5"/>
    <w:rsid w:val="046431A8"/>
    <w:rsid w:val="04643D0A"/>
    <w:rsid w:val="046441B2"/>
    <w:rsid w:val="04647109"/>
    <w:rsid w:val="04651CD8"/>
    <w:rsid w:val="046631AC"/>
    <w:rsid w:val="0466374D"/>
    <w:rsid w:val="046643CE"/>
    <w:rsid w:val="04673CA2"/>
    <w:rsid w:val="04674951"/>
    <w:rsid w:val="04675A50"/>
    <w:rsid w:val="04690342"/>
    <w:rsid w:val="046917C8"/>
    <w:rsid w:val="046919D2"/>
    <w:rsid w:val="04695C6C"/>
    <w:rsid w:val="046A48F9"/>
    <w:rsid w:val="046B11E4"/>
    <w:rsid w:val="046B19E4"/>
    <w:rsid w:val="046B3792"/>
    <w:rsid w:val="046B5540"/>
    <w:rsid w:val="046B5551"/>
    <w:rsid w:val="046C2752"/>
    <w:rsid w:val="046C3066"/>
    <w:rsid w:val="046C3902"/>
    <w:rsid w:val="046C750A"/>
    <w:rsid w:val="046D1E66"/>
    <w:rsid w:val="046D332D"/>
    <w:rsid w:val="046D3644"/>
    <w:rsid w:val="046D3662"/>
    <w:rsid w:val="046D404A"/>
    <w:rsid w:val="046D4DBC"/>
    <w:rsid w:val="046D7939"/>
    <w:rsid w:val="046E2C14"/>
    <w:rsid w:val="046E3282"/>
    <w:rsid w:val="046E3F8C"/>
    <w:rsid w:val="046E5030"/>
    <w:rsid w:val="046E6DDE"/>
    <w:rsid w:val="046E7D42"/>
    <w:rsid w:val="046F65A8"/>
    <w:rsid w:val="04701E5C"/>
    <w:rsid w:val="04706FFA"/>
    <w:rsid w:val="04714B20"/>
    <w:rsid w:val="047168CE"/>
    <w:rsid w:val="04722D72"/>
    <w:rsid w:val="04734C87"/>
    <w:rsid w:val="047420BE"/>
    <w:rsid w:val="04743A13"/>
    <w:rsid w:val="04747874"/>
    <w:rsid w:val="047649DE"/>
    <w:rsid w:val="047667CE"/>
    <w:rsid w:val="04766AF7"/>
    <w:rsid w:val="04771F18"/>
    <w:rsid w:val="04781A0B"/>
    <w:rsid w:val="04784101"/>
    <w:rsid w:val="047859CB"/>
    <w:rsid w:val="04787569"/>
    <w:rsid w:val="04787C5D"/>
    <w:rsid w:val="047902D8"/>
    <w:rsid w:val="04794AA0"/>
    <w:rsid w:val="047A1C27"/>
    <w:rsid w:val="047A2348"/>
    <w:rsid w:val="047A3BAC"/>
    <w:rsid w:val="047A55FC"/>
    <w:rsid w:val="047A572F"/>
    <w:rsid w:val="047A5783"/>
    <w:rsid w:val="047B14FB"/>
    <w:rsid w:val="047B480A"/>
    <w:rsid w:val="047B5E58"/>
    <w:rsid w:val="047C0485"/>
    <w:rsid w:val="047C0850"/>
    <w:rsid w:val="047C2DCE"/>
    <w:rsid w:val="047C4CBA"/>
    <w:rsid w:val="047C599F"/>
    <w:rsid w:val="047D1717"/>
    <w:rsid w:val="047D240C"/>
    <w:rsid w:val="047F0FEB"/>
    <w:rsid w:val="047F1AF0"/>
    <w:rsid w:val="047F2D99"/>
    <w:rsid w:val="047F6A01"/>
    <w:rsid w:val="047F723D"/>
    <w:rsid w:val="048021F5"/>
    <w:rsid w:val="04804BE5"/>
    <w:rsid w:val="04806B11"/>
    <w:rsid w:val="04812A0B"/>
    <w:rsid w:val="04812FB5"/>
    <w:rsid w:val="04813232"/>
    <w:rsid w:val="04814D63"/>
    <w:rsid w:val="04815AE1"/>
    <w:rsid w:val="04820ADC"/>
    <w:rsid w:val="04822D62"/>
    <w:rsid w:val="04823B58"/>
    <w:rsid w:val="04823B5E"/>
    <w:rsid w:val="04824892"/>
    <w:rsid w:val="04825077"/>
    <w:rsid w:val="04830960"/>
    <w:rsid w:val="04830C86"/>
    <w:rsid w:val="048316D9"/>
    <w:rsid w:val="04840626"/>
    <w:rsid w:val="04844854"/>
    <w:rsid w:val="04847044"/>
    <w:rsid w:val="04851AD1"/>
    <w:rsid w:val="048605CC"/>
    <w:rsid w:val="04860EAC"/>
    <w:rsid w:val="04865C14"/>
    <w:rsid w:val="048670A4"/>
    <w:rsid w:val="04874344"/>
    <w:rsid w:val="04874381"/>
    <w:rsid w:val="048760F2"/>
    <w:rsid w:val="048819C4"/>
    <w:rsid w:val="048900BC"/>
    <w:rsid w:val="048927BD"/>
    <w:rsid w:val="04893B2C"/>
    <w:rsid w:val="04893C18"/>
    <w:rsid w:val="04897401"/>
    <w:rsid w:val="04897582"/>
    <w:rsid w:val="048B0A6D"/>
    <w:rsid w:val="048B457B"/>
    <w:rsid w:val="048B7990"/>
    <w:rsid w:val="048C0EF4"/>
    <w:rsid w:val="048C3481"/>
    <w:rsid w:val="048C6E19"/>
    <w:rsid w:val="048D0CF6"/>
    <w:rsid w:val="048E122E"/>
    <w:rsid w:val="048E6B41"/>
    <w:rsid w:val="048F2FC2"/>
    <w:rsid w:val="049006D3"/>
    <w:rsid w:val="04904FA7"/>
    <w:rsid w:val="04912689"/>
    <w:rsid w:val="04912ACD"/>
    <w:rsid w:val="0491595A"/>
    <w:rsid w:val="04923C3E"/>
    <w:rsid w:val="04924BB0"/>
    <w:rsid w:val="049251C3"/>
    <w:rsid w:val="049256F0"/>
    <w:rsid w:val="0493386E"/>
    <w:rsid w:val="04933E65"/>
    <w:rsid w:val="04936845"/>
    <w:rsid w:val="049413BF"/>
    <w:rsid w:val="04950097"/>
    <w:rsid w:val="04956A61"/>
    <w:rsid w:val="0496002A"/>
    <w:rsid w:val="04963562"/>
    <w:rsid w:val="04967885"/>
    <w:rsid w:val="04970029"/>
    <w:rsid w:val="049727D9"/>
    <w:rsid w:val="04974587"/>
    <w:rsid w:val="049802FF"/>
    <w:rsid w:val="049820AD"/>
    <w:rsid w:val="049924DB"/>
    <w:rsid w:val="04995A55"/>
    <w:rsid w:val="049A5E25"/>
    <w:rsid w:val="049B0248"/>
    <w:rsid w:val="049B0460"/>
    <w:rsid w:val="049B394B"/>
    <w:rsid w:val="049B4795"/>
    <w:rsid w:val="049C1B9D"/>
    <w:rsid w:val="049C57DC"/>
    <w:rsid w:val="049C7DEF"/>
    <w:rsid w:val="049D12CA"/>
    <w:rsid w:val="049D3B67"/>
    <w:rsid w:val="049D4081"/>
    <w:rsid w:val="049D4D0B"/>
    <w:rsid w:val="049E6D7D"/>
    <w:rsid w:val="049E75BA"/>
    <w:rsid w:val="049F168E"/>
    <w:rsid w:val="049F2A54"/>
    <w:rsid w:val="049F51EA"/>
    <w:rsid w:val="049F6CE4"/>
    <w:rsid w:val="04A0038C"/>
    <w:rsid w:val="04A027E5"/>
    <w:rsid w:val="04A037F0"/>
    <w:rsid w:val="04A060B3"/>
    <w:rsid w:val="04A14A41"/>
    <w:rsid w:val="04A21185"/>
    <w:rsid w:val="04A27635"/>
    <w:rsid w:val="04A30256"/>
    <w:rsid w:val="04A32995"/>
    <w:rsid w:val="04A33772"/>
    <w:rsid w:val="04A34F0C"/>
    <w:rsid w:val="04A365CC"/>
    <w:rsid w:val="04A376B0"/>
    <w:rsid w:val="04A46B3E"/>
    <w:rsid w:val="04A46CA4"/>
    <w:rsid w:val="04A5262D"/>
    <w:rsid w:val="04A52C0C"/>
    <w:rsid w:val="04A579CD"/>
    <w:rsid w:val="04A6254B"/>
    <w:rsid w:val="04A647CA"/>
    <w:rsid w:val="04A66578"/>
    <w:rsid w:val="04A67EF6"/>
    <w:rsid w:val="04A86794"/>
    <w:rsid w:val="04A90DE9"/>
    <w:rsid w:val="04A9147D"/>
    <w:rsid w:val="04AB3B8E"/>
    <w:rsid w:val="04AB539E"/>
    <w:rsid w:val="04AB66EB"/>
    <w:rsid w:val="04AC355E"/>
    <w:rsid w:val="04AC3A33"/>
    <w:rsid w:val="04AC3BDE"/>
    <w:rsid w:val="04AC61EE"/>
    <w:rsid w:val="04AE2DB1"/>
    <w:rsid w:val="04AE367F"/>
    <w:rsid w:val="04AE3B99"/>
    <w:rsid w:val="04AE4E20"/>
    <w:rsid w:val="04AF2CD6"/>
    <w:rsid w:val="04AF4B6F"/>
    <w:rsid w:val="04B00329"/>
    <w:rsid w:val="04B03A65"/>
    <w:rsid w:val="04B073F7"/>
    <w:rsid w:val="04B2316F"/>
    <w:rsid w:val="04B24908"/>
    <w:rsid w:val="04B54A0D"/>
    <w:rsid w:val="04B622FE"/>
    <w:rsid w:val="04B62533"/>
    <w:rsid w:val="04B72604"/>
    <w:rsid w:val="04B74C29"/>
    <w:rsid w:val="04B769D7"/>
    <w:rsid w:val="04B80AA3"/>
    <w:rsid w:val="04B81A43"/>
    <w:rsid w:val="04B8274F"/>
    <w:rsid w:val="04B844FD"/>
    <w:rsid w:val="04B86A4B"/>
    <w:rsid w:val="04B91C36"/>
    <w:rsid w:val="04BA0275"/>
    <w:rsid w:val="04BA4A67"/>
    <w:rsid w:val="04BA57A5"/>
    <w:rsid w:val="04BA64C7"/>
    <w:rsid w:val="04BB31C3"/>
    <w:rsid w:val="04BB57D2"/>
    <w:rsid w:val="04BB7424"/>
    <w:rsid w:val="04BC1BC1"/>
    <w:rsid w:val="04BC1F2C"/>
    <w:rsid w:val="04BC2106"/>
    <w:rsid w:val="04BC223F"/>
    <w:rsid w:val="04BC3FEE"/>
    <w:rsid w:val="04BC5D9C"/>
    <w:rsid w:val="04BD3A0F"/>
    <w:rsid w:val="04BD4BCE"/>
    <w:rsid w:val="04BE6DDF"/>
    <w:rsid w:val="04BE7436"/>
    <w:rsid w:val="04BF133C"/>
    <w:rsid w:val="04BF29D1"/>
    <w:rsid w:val="04BF3477"/>
    <w:rsid w:val="04BF588C"/>
    <w:rsid w:val="04BF5DA5"/>
    <w:rsid w:val="04BF6A88"/>
    <w:rsid w:val="04BF763A"/>
    <w:rsid w:val="04C04BAC"/>
    <w:rsid w:val="04C07F12"/>
    <w:rsid w:val="04C15B78"/>
    <w:rsid w:val="04C17856"/>
    <w:rsid w:val="04C22541"/>
    <w:rsid w:val="04C335CE"/>
    <w:rsid w:val="04C3363B"/>
    <w:rsid w:val="04C41F27"/>
    <w:rsid w:val="04C43977"/>
    <w:rsid w:val="04C44C50"/>
    <w:rsid w:val="04C47046"/>
    <w:rsid w:val="04C473AF"/>
    <w:rsid w:val="04C47410"/>
    <w:rsid w:val="04C560E2"/>
    <w:rsid w:val="04C609C8"/>
    <w:rsid w:val="04C64537"/>
    <w:rsid w:val="04C7303D"/>
    <w:rsid w:val="04C75D62"/>
    <w:rsid w:val="04C76BDE"/>
    <w:rsid w:val="04C80BE4"/>
    <w:rsid w:val="04C8135B"/>
    <w:rsid w:val="04C82363"/>
    <w:rsid w:val="04C82992"/>
    <w:rsid w:val="04C83D5D"/>
    <w:rsid w:val="04C84286"/>
    <w:rsid w:val="04C84722"/>
    <w:rsid w:val="04C86060"/>
    <w:rsid w:val="04C86784"/>
    <w:rsid w:val="04C87BAE"/>
    <w:rsid w:val="04C904B8"/>
    <w:rsid w:val="04CB3551"/>
    <w:rsid w:val="04CB4231"/>
    <w:rsid w:val="04CB7316"/>
    <w:rsid w:val="04CD0B1D"/>
    <w:rsid w:val="04CD11DA"/>
    <w:rsid w:val="04CD1CF2"/>
    <w:rsid w:val="04CD4E7B"/>
    <w:rsid w:val="04CD4F45"/>
    <w:rsid w:val="04CD6C68"/>
    <w:rsid w:val="04CE0052"/>
    <w:rsid w:val="04CE1F73"/>
    <w:rsid w:val="04CF1588"/>
    <w:rsid w:val="04CF4159"/>
    <w:rsid w:val="04D018CB"/>
    <w:rsid w:val="04D055E9"/>
    <w:rsid w:val="04D05CEB"/>
    <w:rsid w:val="04D06D2A"/>
    <w:rsid w:val="04D15DEC"/>
    <w:rsid w:val="04D1736D"/>
    <w:rsid w:val="04D211E1"/>
    <w:rsid w:val="04D22F9E"/>
    <w:rsid w:val="04D23811"/>
    <w:rsid w:val="04D255BF"/>
    <w:rsid w:val="04D27B3C"/>
    <w:rsid w:val="04D31337"/>
    <w:rsid w:val="04D31C0F"/>
    <w:rsid w:val="04D476A3"/>
    <w:rsid w:val="04D53301"/>
    <w:rsid w:val="04D53B73"/>
    <w:rsid w:val="04D56E5D"/>
    <w:rsid w:val="04D64DB2"/>
    <w:rsid w:val="04D665FA"/>
    <w:rsid w:val="04D7068C"/>
    <w:rsid w:val="04D70E27"/>
    <w:rsid w:val="04D72BD5"/>
    <w:rsid w:val="04D73B10"/>
    <w:rsid w:val="04D81792"/>
    <w:rsid w:val="04D85422"/>
    <w:rsid w:val="04D8591E"/>
    <w:rsid w:val="04D86878"/>
    <w:rsid w:val="04D8694E"/>
    <w:rsid w:val="04D92A8B"/>
    <w:rsid w:val="04D94B9F"/>
    <w:rsid w:val="04D95468"/>
    <w:rsid w:val="04D96F19"/>
    <w:rsid w:val="04DA0918"/>
    <w:rsid w:val="04DA30F8"/>
    <w:rsid w:val="04DA4474"/>
    <w:rsid w:val="04DA76E6"/>
    <w:rsid w:val="04DB3E3D"/>
    <w:rsid w:val="04DC01EC"/>
    <w:rsid w:val="04DC0359"/>
    <w:rsid w:val="04DC4690"/>
    <w:rsid w:val="04DC569D"/>
    <w:rsid w:val="04DC643E"/>
    <w:rsid w:val="04DD3F64"/>
    <w:rsid w:val="04DE21B6"/>
    <w:rsid w:val="04DE530B"/>
    <w:rsid w:val="04DE5D9D"/>
    <w:rsid w:val="04DF140B"/>
    <w:rsid w:val="04DF1A8A"/>
    <w:rsid w:val="04DF2DF2"/>
    <w:rsid w:val="04E13A54"/>
    <w:rsid w:val="04E157D3"/>
    <w:rsid w:val="04E15802"/>
    <w:rsid w:val="04E2157A"/>
    <w:rsid w:val="04E230BB"/>
    <w:rsid w:val="04E24E53"/>
    <w:rsid w:val="04E34A92"/>
    <w:rsid w:val="04E3586E"/>
    <w:rsid w:val="04E35A1E"/>
    <w:rsid w:val="04E36E48"/>
    <w:rsid w:val="04E377CC"/>
    <w:rsid w:val="04E43544"/>
    <w:rsid w:val="04E452F2"/>
    <w:rsid w:val="04E539C1"/>
    <w:rsid w:val="04E53EBD"/>
    <w:rsid w:val="04E5637F"/>
    <w:rsid w:val="04E60A4D"/>
    <w:rsid w:val="04E6106A"/>
    <w:rsid w:val="04E623B8"/>
    <w:rsid w:val="04E6389C"/>
    <w:rsid w:val="04E66217"/>
    <w:rsid w:val="04E66ECC"/>
    <w:rsid w:val="04E71A2F"/>
    <w:rsid w:val="04E82717"/>
    <w:rsid w:val="04E83035"/>
    <w:rsid w:val="04E84DE3"/>
    <w:rsid w:val="04E868C1"/>
    <w:rsid w:val="04E90B5B"/>
    <w:rsid w:val="04E92909"/>
    <w:rsid w:val="04EA0D61"/>
    <w:rsid w:val="04EB042F"/>
    <w:rsid w:val="04EB099C"/>
    <w:rsid w:val="04EB1B83"/>
    <w:rsid w:val="04EB48D3"/>
    <w:rsid w:val="04EB4F2B"/>
    <w:rsid w:val="04EB6681"/>
    <w:rsid w:val="04EB738D"/>
    <w:rsid w:val="04EB770A"/>
    <w:rsid w:val="04EC0965"/>
    <w:rsid w:val="04EC3681"/>
    <w:rsid w:val="04EC4BCC"/>
    <w:rsid w:val="04EC4DC2"/>
    <w:rsid w:val="04ED4FAB"/>
    <w:rsid w:val="04ED6252"/>
    <w:rsid w:val="04ED6A6C"/>
    <w:rsid w:val="04ED7953"/>
    <w:rsid w:val="04EE14DD"/>
    <w:rsid w:val="04EE613D"/>
    <w:rsid w:val="04EE6171"/>
    <w:rsid w:val="04EE7F1F"/>
    <w:rsid w:val="04EF0A23"/>
    <w:rsid w:val="04EF2002"/>
    <w:rsid w:val="04EF236B"/>
    <w:rsid w:val="04F0320F"/>
    <w:rsid w:val="04F03C97"/>
    <w:rsid w:val="04F04BD3"/>
    <w:rsid w:val="04F05148"/>
    <w:rsid w:val="04F07461"/>
    <w:rsid w:val="04F217BD"/>
    <w:rsid w:val="04F2368C"/>
    <w:rsid w:val="04F27A0F"/>
    <w:rsid w:val="04F32D53"/>
    <w:rsid w:val="04F36F3B"/>
    <w:rsid w:val="04F419D9"/>
    <w:rsid w:val="04F459FA"/>
    <w:rsid w:val="04F4690A"/>
    <w:rsid w:val="04F50D0F"/>
    <w:rsid w:val="04F55751"/>
    <w:rsid w:val="04F57370"/>
    <w:rsid w:val="04F574FF"/>
    <w:rsid w:val="04F67304"/>
    <w:rsid w:val="04F72791"/>
    <w:rsid w:val="04F80D9E"/>
    <w:rsid w:val="04F82B4C"/>
    <w:rsid w:val="04F85637"/>
    <w:rsid w:val="04F95306"/>
    <w:rsid w:val="04FA295F"/>
    <w:rsid w:val="04FA2D68"/>
    <w:rsid w:val="04FA429D"/>
    <w:rsid w:val="04FA4B16"/>
    <w:rsid w:val="04FA68C4"/>
    <w:rsid w:val="04FB66AE"/>
    <w:rsid w:val="04FC263C"/>
    <w:rsid w:val="04FC43EA"/>
    <w:rsid w:val="04FC6AE0"/>
    <w:rsid w:val="04FC6D27"/>
    <w:rsid w:val="04FD7312"/>
    <w:rsid w:val="04FE4606"/>
    <w:rsid w:val="04FE63B4"/>
    <w:rsid w:val="04FF037E"/>
    <w:rsid w:val="04FF1A21"/>
    <w:rsid w:val="04FF212C"/>
    <w:rsid w:val="04FF5ED6"/>
    <w:rsid w:val="04FF748F"/>
    <w:rsid w:val="05015EA4"/>
    <w:rsid w:val="05025778"/>
    <w:rsid w:val="050339CA"/>
    <w:rsid w:val="050414F1"/>
    <w:rsid w:val="05043648"/>
    <w:rsid w:val="05047743"/>
    <w:rsid w:val="05052E6B"/>
    <w:rsid w:val="050556EB"/>
    <w:rsid w:val="050634BB"/>
    <w:rsid w:val="05065269"/>
    <w:rsid w:val="05071D38"/>
    <w:rsid w:val="05076CA5"/>
    <w:rsid w:val="05080FE1"/>
    <w:rsid w:val="05081F51"/>
    <w:rsid w:val="05094D59"/>
    <w:rsid w:val="05096B07"/>
    <w:rsid w:val="050A396A"/>
    <w:rsid w:val="050A3CD3"/>
    <w:rsid w:val="050A4B77"/>
    <w:rsid w:val="050B009A"/>
    <w:rsid w:val="050B0AD1"/>
    <w:rsid w:val="050B287F"/>
    <w:rsid w:val="050B3192"/>
    <w:rsid w:val="050B6188"/>
    <w:rsid w:val="050C2A4E"/>
    <w:rsid w:val="050C44A2"/>
    <w:rsid w:val="050D2A9B"/>
    <w:rsid w:val="050D2D69"/>
    <w:rsid w:val="050D4849"/>
    <w:rsid w:val="050E114B"/>
    <w:rsid w:val="050E411D"/>
    <w:rsid w:val="050F0E65"/>
    <w:rsid w:val="05100C1A"/>
    <w:rsid w:val="0510138C"/>
    <w:rsid w:val="05110E6D"/>
    <w:rsid w:val="051200B1"/>
    <w:rsid w:val="05122636"/>
    <w:rsid w:val="0512539C"/>
    <w:rsid w:val="05125D68"/>
    <w:rsid w:val="05127654"/>
    <w:rsid w:val="05137986"/>
    <w:rsid w:val="05144390"/>
    <w:rsid w:val="05145219"/>
    <w:rsid w:val="05151950"/>
    <w:rsid w:val="051528EC"/>
    <w:rsid w:val="051536FE"/>
    <w:rsid w:val="051554AC"/>
    <w:rsid w:val="05155EC6"/>
    <w:rsid w:val="051562D6"/>
    <w:rsid w:val="051566CB"/>
    <w:rsid w:val="05156D2E"/>
    <w:rsid w:val="0516051B"/>
    <w:rsid w:val="05161060"/>
    <w:rsid w:val="051615D5"/>
    <w:rsid w:val="05162EE3"/>
    <w:rsid w:val="051734DA"/>
    <w:rsid w:val="0517445A"/>
    <w:rsid w:val="051756C8"/>
    <w:rsid w:val="05177476"/>
    <w:rsid w:val="05184F9C"/>
    <w:rsid w:val="05190F7D"/>
    <w:rsid w:val="05191440"/>
    <w:rsid w:val="051931EE"/>
    <w:rsid w:val="0519438F"/>
    <w:rsid w:val="0519526F"/>
    <w:rsid w:val="051A52AD"/>
    <w:rsid w:val="051B2B8F"/>
    <w:rsid w:val="051B5E9A"/>
    <w:rsid w:val="051D3BF0"/>
    <w:rsid w:val="051E25B2"/>
    <w:rsid w:val="051E3CC3"/>
    <w:rsid w:val="051E6510"/>
    <w:rsid w:val="051E6A56"/>
    <w:rsid w:val="051F23AB"/>
    <w:rsid w:val="051F3568"/>
    <w:rsid w:val="05202571"/>
    <w:rsid w:val="052027CE"/>
    <w:rsid w:val="05207F0D"/>
    <w:rsid w:val="05210FB5"/>
    <w:rsid w:val="052120A3"/>
    <w:rsid w:val="05216546"/>
    <w:rsid w:val="0523403D"/>
    <w:rsid w:val="0523406D"/>
    <w:rsid w:val="05234F7D"/>
    <w:rsid w:val="05235E1B"/>
    <w:rsid w:val="05236321"/>
    <w:rsid w:val="05237A5D"/>
    <w:rsid w:val="05237BC9"/>
    <w:rsid w:val="05243941"/>
    <w:rsid w:val="052439F1"/>
    <w:rsid w:val="05244A16"/>
    <w:rsid w:val="05245038"/>
    <w:rsid w:val="05250C22"/>
    <w:rsid w:val="05252B7E"/>
    <w:rsid w:val="05260216"/>
    <w:rsid w:val="052663E3"/>
    <w:rsid w:val="0527623C"/>
    <w:rsid w:val="052775C1"/>
    <w:rsid w:val="0528094A"/>
    <w:rsid w:val="052851DF"/>
    <w:rsid w:val="05292229"/>
    <w:rsid w:val="05293D12"/>
    <w:rsid w:val="05297E1E"/>
    <w:rsid w:val="052A3623"/>
    <w:rsid w:val="052A53FB"/>
    <w:rsid w:val="052A5AE8"/>
    <w:rsid w:val="052B1173"/>
    <w:rsid w:val="052B2F21"/>
    <w:rsid w:val="052C0037"/>
    <w:rsid w:val="052D18B4"/>
    <w:rsid w:val="052D6A5E"/>
    <w:rsid w:val="052D6C99"/>
    <w:rsid w:val="052E2CDE"/>
    <w:rsid w:val="052E38FE"/>
    <w:rsid w:val="052E656D"/>
    <w:rsid w:val="05300538"/>
    <w:rsid w:val="0530678A"/>
    <w:rsid w:val="05307ED9"/>
    <w:rsid w:val="053134F6"/>
    <w:rsid w:val="05322502"/>
    <w:rsid w:val="0532326D"/>
    <w:rsid w:val="053242B0"/>
    <w:rsid w:val="0532712F"/>
    <w:rsid w:val="053309E7"/>
    <w:rsid w:val="053368DE"/>
    <w:rsid w:val="05341DD6"/>
    <w:rsid w:val="053461F1"/>
    <w:rsid w:val="053578FC"/>
    <w:rsid w:val="053631C5"/>
    <w:rsid w:val="053718C6"/>
    <w:rsid w:val="05374570"/>
    <w:rsid w:val="053807F8"/>
    <w:rsid w:val="053819E3"/>
    <w:rsid w:val="0538200B"/>
    <w:rsid w:val="053932F3"/>
    <w:rsid w:val="05394859"/>
    <w:rsid w:val="0539561E"/>
    <w:rsid w:val="053A13B6"/>
    <w:rsid w:val="053A303F"/>
    <w:rsid w:val="053A4F12"/>
    <w:rsid w:val="053B7179"/>
    <w:rsid w:val="053C05BE"/>
    <w:rsid w:val="053C0C8A"/>
    <w:rsid w:val="053C512E"/>
    <w:rsid w:val="053D40C1"/>
    <w:rsid w:val="053D7FF6"/>
    <w:rsid w:val="053E0EA6"/>
    <w:rsid w:val="053E2C54"/>
    <w:rsid w:val="053E4419"/>
    <w:rsid w:val="053F2561"/>
    <w:rsid w:val="053F548F"/>
    <w:rsid w:val="0540041A"/>
    <w:rsid w:val="054016A6"/>
    <w:rsid w:val="05402A92"/>
    <w:rsid w:val="05407C69"/>
    <w:rsid w:val="05412745"/>
    <w:rsid w:val="05414242"/>
    <w:rsid w:val="054144F3"/>
    <w:rsid w:val="054171FC"/>
    <w:rsid w:val="05421616"/>
    <w:rsid w:val="05424E30"/>
    <w:rsid w:val="0543026B"/>
    <w:rsid w:val="054347CF"/>
    <w:rsid w:val="0544028F"/>
    <w:rsid w:val="054413D2"/>
    <w:rsid w:val="0544196C"/>
    <w:rsid w:val="05441D1A"/>
    <w:rsid w:val="05444067"/>
    <w:rsid w:val="05445D91"/>
    <w:rsid w:val="05446D9B"/>
    <w:rsid w:val="05450C63"/>
    <w:rsid w:val="05451EB3"/>
    <w:rsid w:val="05453FE3"/>
    <w:rsid w:val="05455E5A"/>
    <w:rsid w:val="054605BE"/>
    <w:rsid w:val="05461B09"/>
    <w:rsid w:val="05473EBA"/>
    <w:rsid w:val="054777F1"/>
    <w:rsid w:val="05482126"/>
    <w:rsid w:val="05482880"/>
    <w:rsid w:val="0548762F"/>
    <w:rsid w:val="054933A7"/>
    <w:rsid w:val="0549373D"/>
    <w:rsid w:val="05497A50"/>
    <w:rsid w:val="054A0E25"/>
    <w:rsid w:val="054A15F9"/>
    <w:rsid w:val="054B2723"/>
    <w:rsid w:val="054B35C3"/>
    <w:rsid w:val="054C183E"/>
    <w:rsid w:val="054C1C16"/>
    <w:rsid w:val="054C2CE0"/>
    <w:rsid w:val="054C3D87"/>
    <w:rsid w:val="054C69BD"/>
    <w:rsid w:val="054D10EA"/>
    <w:rsid w:val="054D2E98"/>
    <w:rsid w:val="054D49E3"/>
    <w:rsid w:val="054D733B"/>
    <w:rsid w:val="054E09BE"/>
    <w:rsid w:val="054F06BB"/>
    <w:rsid w:val="05502988"/>
    <w:rsid w:val="05504736"/>
    <w:rsid w:val="0550782E"/>
    <w:rsid w:val="05524952"/>
    <w:rsid w:val="05532379"/>
    <w:rsid w:val="05532FF8"/>
    <w:rsid w:val="05536919"/>
    <w:rsid w:val="055406CA"/>
    <w:rsid w:val="05557F9E"/>
    <w:rsid w:val="0556252D"/>
    <w:rsid w:val="05563434"/>
    <w:rsid w:val="055656D6"/>
    <w:rsid w:val="05571F68"/>
    <w:rsid w:val="05573D16"/>
    <w:rsid w:val="05577DE1"/>
    <w:rsid w:val="055866A0"/>
    <w:rsid w:val="0559183C"/>
    <w:rsid w:val="05593077"/>
    <w:rsid w:val="055931ED"/>
    <w:rsid w:val="05595CE0"/>
    <w:rsid w:val="05597A8E"/>
    <w:rsid w:val="055A1A12"/>
    <w:rsid w:val="055A55B4"/>
    <w:rsid w:val="055A65D5"/>
    <w:rsid w:val="055A7363"/>
    <w:rsid w:val="055B169D"/>
    <w:rsid w:val="055B2C00"/>
    <w:rsid w:val="055B3806"/>
    <w:rsid w:val="055C132D"/>
    <w:rsid w:val="055C1DA1"/>
    <w:rsid w:val="055C2510"/>
    <w:rsid w:val="055C3A53"/>
    <w:rsid w:val="055C4AE0"/>
    <w:rsid w:val="055D1F0C"/>
    <w:rsid w:val="055D7437"/>
    <w:rsid w:val="055E32F7"/>
    <w:rsid w:val="055E6E53"/>
    <w:rsid w:val="055F2BCB"/>
    <w:rsid w:val="055F57D6"/>
    <w:rsid w:val="05604EDC"/>
    <w:rsid w:val="0560706F"/>
    <w:rsid w:val="05613555"/>
    <w:rsid w:val="05615F60"/>
    <w:rsid w:val="056326BB"/>
    <w:rsid w:val="056337B3"/>
    <w:rsid w:val="056401E1"/>
    <w:rsid w:val="05645536"/>
    <w:rsid w:val="056469A6"/>
    <w:rsid w:val="05654D72"/>
    <w:rsid w:val="056559AA"/>
    <w:rsid w:val="05662134"/>
    <w:rsid w:val="056621AB"/>
    <w:rsid w:val="05663875"/>
    <w:rsid w:val="056703FD"/>
    <w:rsid w:val="05670D5F"/>
    <w:rsid w:val="05673681"/>
    <w:rsid w:val="0568505A"/>
    <w:rsid w:val="05687CD1"/>
    <w:rsid w:val="056930F4"/>
    <w:rsid w:val="056A1853"/>
    <w:rsid w:val="056A1C9B"/>
    <w:rsid w:val="056A6F2B"/>
    <w:rsid w:val="056B2174"/>
    <w:rsid w:val="056C1C51"/>
    <w:rsid w:val="056C5A14"/>
    <w:rsid w:val="056D0AEF"/>
    <w:rsid w:val="056D178C"/>
    <w:rsid w:val="056D271E"/>
    <w:rsid w:val="056D2DDB"/>
    <w:rsid w:val="056D4862"/>
    <w:rsid w:val="056D7A41"/>
    <w:rsid w:val="056E08C6"/>
    <w:rsid w:val="056E4346"/>
    <w:rsid w:val="056E50AE"/>
    <w:rsid w:val="056F2442"/>
    <w:rsid w:val="056F2E0E"/>
    <w:rsid w:val="056F4E3B"/>
    <w:rsid w:val="056F7375"/>
    <w:rsid w:val="05704DD8"/>
    <w:rsid w:val="057118C4"/>
    <w:rsid w:val="05720B50"/>
    <w:rsid w:val="057228FE"/>
    <w:rsid w:val="05722ADB"/>
    <w:rsid w:val="05725C3B"/>
    <w:rsid w:val="057272C8"/>
    <w:rsid w:val="0573117F"/>
    <w:rsid w:val="05731475"/>
    <w:rsid w:val="05740424"/>
    <w:rsid w:val="05742CD1"/>
    <w:rsid w:val="057448C8"/>
    <w:rsid w:val="05750978"/>
    <w:rsid w:val="05751155"/>
    <w:rsid w:val="057523EE"/>
    <w:rsid w:val="057531C4"/>
    <w:rsid w:val="0575419C"/>
    <w:rsid w:val="05757E15"/>
    <w:rsid w:val="05760640"/>
    <w:rsid w:val="057628E6"/>
    <w:rsid w:val="0578110E"/>
    <w:rsid w:val="05781D8C"/>
    <w:rsid w:val="05785C8A"/>
    <w:rsid w:val="05790131"/>
    <w:rsid w:val="05791616"/>
    <w:rsid w:val="05792272"/>
    <w:rsid w:val="05792CC3"/>
    <w:rsid w:val="057937C0"/>
    <w:rsid w:val="05793C8D"/>
    <w:rsid w:val="057A1A3A"/>
    <w:rsid w:val="057A5AA8"/>
    <w:rsid w:val="057A7F1A"/>
    <w:rsid w:val="057B2ECA"/>
    <w:rsid w:val="057B460B"/>
    <w:rsid w:val="057B5C57"/>
    <w:rsid w:val="057C09BF"/>
    <w:rsid w:val="057C100F"/>
    <w:rsid w:val="057C19CF"/>
    <w:rsid w:val="057C377D"/>
    <w:rsid w:val="057D6F2B"/>
    <w:rsid w:val="057E03BB"/>
    <w:rsid w:val="057E2F8C"/>
    <w:rsid w:val="057E487B"/>
    <w:rsid w:val="057E6C28"/>
    <w:rsid w:val="057E74F5"/>
    <w:rsid w:val="057F35E8"/>
    <w:rsid w:val="057F6B5C"/>
    <w:rsid w:val="0580501B"/>
    <w:rsid w:val="0580660F"/>
    <w:rsid w:val="05806815"/>
    <w:rsid w:val="058072FC"/>
    <w:rsid w:val="05810D93"/>
    <w:rsid w:val="05815798"/>
    <w:rsid w:val="05816FE5"/>
    <w:rsid w:val="05817F7F"/>
    <w:rsid w:val="05827620"/>
    <w:rsid w:val="05827EE9"/>
    <w:rsid w:val="05832D5D"/>
    <w:rsid w:val="05832D9D"/>
    <w:rsid w:val="05836081"/>
    <w:rsid w:val="05842463"/>
    <w:rsid w:val="05843288"/>
    <w:rsid w:val="0584422D"/>
    <w:rsid w:val="0584521B"/>
    <w:rsid w:val="0584760A"/>
    <w:rsid w:val="05851B32"/>
    <w:rsid w:val="05852631"/>
    <w:rsid w:val="05853121"/>
    <w:rsid w:val="05856AD5"/>
    <w:rsid w:val="05862B69"/>
    <w:rsid w:val="058645FB"/>
    <w:rsid w:val="058663AA"/>
    <w:rsid w:val="05871627"/>
    <w:rsid w:val="05874A70"/>
    <w:rsid w:val="05875357"/>
    <w:rsid w:val="05875FBE"/>
    <w:rsid w:val="05882122"/>
    <w:rsid w:val="058A1AE1"/>
    <w:rsid w:val="058A40EC"/>
    <w:rsid w:val="058A76B2"/>
    <w:rsid w:val="058B314E"/>
    <w:rsid w:val="058B39C0"/>
    <w:rsid w:val="058C1C12"/>
    <w:rsid w:val="058C7435"/>
    <w:rsid w:val="058C7E64"/>
    <w:rsid w:val="058D14E6"/>
    <w:rsid w:val="058D2F07"/>
    <w:rsid w:val="058D3EFF"/>
    <w:rsid w:val="058D598A"/>
    <w:rsid w:val="058D7738"/>
    <w:rsid w:val="058E75D5"/>
    <w:rsid w:val="058F0ED4"/>
    <w:rsid w:val="058F1340"/>
    <w:rsid w:val="058F1702"/>
    <w:rsid w:val="058F5185"/>
    <w:rsid w:val="058F525E"/>
    <w:rsid w:val="05900FD6"/>
    <w:rsid w:val="059025D5"/>
    <w:rsid w:val="05910C43"/>
    <w:rsid w:val="0591221D"/>
    <w:rsid w:val="0591547A"/>
    <w:rsid w:val="05917228"/>
    <w:rsid w:val="05920444"/>
    <w:rsid w:val="05922FA0"/>
    <w:rsid w:val="05924A13"/>
    <w:rsid w:val="059268C4"/>
    <w:rsid w:val="059310F0"/>
    <w:rsid w:val="05931C65"/>
    <w:rsid w:val="059326B6"/>
    <w:rsid w:val="059353EB"/>
    <w:rsid w:val="05940AC6"/>
    <w:rsid w:val="059429E1"/>
    <w:rsid w:val="05943794"/>
    <w:rsid w:val="05946D18"/>
    <w:rsid w:val="05954729"/>
    <w:rsid w:val="05961213"/>
    <w:rsid w:val="05962A91"/>
    <w:rsid w:val="0596483F"/>
    <w:rsid w:val="0596630B"/>
    <w:rsid w:val="05972365"/>
    <w:rsid w:val="05976809"/>
    <w:rsid w:val="05986B21"/>
    <w:rsid w:val="0599223B"/>
    <w:rsid w:val="05993A63"/>
    <w:rsid w:val="05995C65"/>
    <w:rsid w:val="05997E8B"/>
    <w:rsid w:val="059A2314"/>
    <w:rsid w:val="059A2B29"/>
    <w:rsid w:val="059A3C03"/>
    <w:rsid w:val="059A6D39"/>
    <w:rsid w:val="059A73BF"/>
    <w:rsid w:val="059C0229"/>
    <w:rsid w:val="059C1287"/>
    <w:rsid w:val="059C3944"/>
    <w:rsid w:val="059C5BCD"/>
    <w:rsid w:val="059C797B"/>
    <w:rsid w:val="059D3E1F"/>
    <w:rsid w:val="059D6892"/>
    <w:rsid w:val="059E0DDF"/>
    <w:rsid w:val="059F1B4A"/>
    <w:rsid w:val="059F4A0E"/>
    <w:rsid w:val="059F6ADB"/>
    <w:rsid w:val="05A0067C"/>
    <w:rsid w:val="05A01219"/>
    <w:rsid w:val="05A03931"/>
    <w:rsid w:val="05A04E96"/>
    <w:rsid w:val="05A05081"/>
    <w:rsid w:val="05A11842"/>
    <w:rsid w:val="05A131E3"/>
    <w:rsid w:val="05A1592D"/>
    <w:rsid w:val="05A16326"/>
    <w:rsid w:val="05A17791"/>
    <w:rsid w:val="05A22814"/>
    <w:rsid w:val="05A269DC"/>
    <w:rsid w:val="05A30D0A"/>
    <w:rsid w:val="05A3105A"/>
    <w:rsid w:val="05A32591"/>
    <w:rsid w:val="05A34B38"/>
    <w:rsid w:val="05A36F5B"/>
    <w:rsid w:val="05A43D0F"/>
    <w:rsid w:val="05A50F26"/>
    <w:rsid w:val="05A51B14"/>
    <w:rsid w:val="05A52CD4"/>
    <w:rsid w:val="05A53E09"/>
    <w:rsid w:val="05A54A82"/>
    <w:rsid w:val="05A625A8"/>
    <w:rsid w:val="05A66F69"/>
    <w:rsid w:val="05A72E60"/>
    <w:rsid w:val="05A812CA"/>
    <w:rsid w:val="05A827C4"/>
    <w:rsid w:val="05A843F1"/>
    <w:rsid w:val="05A84572"/>
    <w:rsid w:val="05A90C13"/>
    <w:rsid w:val="05AA2098"/>
    <w:rsid w:val="05AA4D7A"/>
    <w:rsid w:val="05AA4F93"/>
    <w:rsid w:val="05AD1B88"/>
    <w:rsid w:val="05AD3936"/>
    <w:rsid w:val="05AD7DDA"/>
    <w:rsid w:val="05AE092A"/>
    <w:rsid w:val="05AE1F15"/>
    <w:rsid w:val="05AF3B52"/>
    <w:rsid w:val="05B11678"/>
    <w:rsid w:val="05B13426"/>
    <w:rsid w:val="05B20F4D"/>
    <w:rsid w:val="05B22460"/>
    <w:rsid w:val="05B253F0"/>
    <w:rsid w:val="05B2719F"/>
    <w:rsid w:val="05B32111"/>
    <w:rsid w:val="05B35630"/>
    <w:rsid w:val="05B4037F"/>
    <w:rsid w:val="05B42F17"/>
    <w:rsid w:val="05B4479C"/>
    <w:rsid w:val="05B60A3D"/>
    <w:rsid w:val="05B65FA5"/>
    <w:rsid w:val="05B66C8F"/>
    <w:rsid w:val="05B67603"/>
    <w:rsid w:val="05B75A16"/>
    <w:rsid w:val="05B808D0"/>
    <w:rsid w:val="05B80C2A"/>
    <w:rsid w:val="05B80C59"/>
    <w:rsid w:val="05B819DC"/>
    <w:rsid w:val="05B81CC8"/>
    <w:rsid w:val="05B9052D"/>
    <w:rsid w:val="05B9128C"/>
    <w:rsid w:val="05BA2761"/>
    <w:rsid w:val="05BA55F4"/>
    <w:rsid w:val="05BB1297"/>
    <w:rsid w:val="05BB24F7"/>
    <w:rsid w:val="05BB42A5"/>
    <w:rsid w:val="05BC001D"/>
    <w:rsid w:val="05BC1B11"/>
    <w:rsid w:val="05BC1DCB"/>
    <w:rsid w:val="05BC2F2E"/>
    <w:rsid w:val="05BC516E"/>
    <w:rsid w:val="05BD2B25"/>
    <w:rsid w:val="05BD2B85"/>
    <w:rsid w:val="05BD43BE"/>
    <w:rsid w:val="05BD626F"/>
    <w:rsid w:val="05BE1BC4"/>
    <w:rsid w:val="05BE1FE7"/>
    <w:rsid w:val="05BE3D95"/>
    <w:rsid w:val="05BE584E"/>
    <w:rsid w:val="05BE78F1"/>
    <w:rsid w:val="05BF2307"/>
    <w:rsid w:val="05BF6486"/>
    <w:rsid w:val="05C0366A"/>
    <w:rsid w:val="05C109A5"/>
    <w:rsid w:val="05C11DBC"/>
    <w:rsid w:val="05C13FCE"/>
    <w:rsid w:val="05C1471D"/>
    <w:rsid w:val="05C14802"/>
    <w:rsid w:val="05C23393"/>
    <w:rsid w:val="05C313AC"/>
    <w:rsid w:val="05C324F2"/>
    <w:rsid w:val="05C3315A"/>
    <w:rsid w:val="05C338C0"/>
    <w:rsid w:val="05C34B4B"/>
    <w:rsid w:val="05C35732"/>
    <w:rsid w:val="05C375AD"/>
    <w:rsid w:val="05C375FE"/>
    <w:rsid w:val="05C416C0"/>
    <w:rsid w:val="05C44900"/>
    <w:rsid w:val="05C501A9"/>
    <w:rsid w:val="05C50C80"/>
    <w:rsid w:val="05C55124"/>
    <w:rsid w:val="05C63FE0"/>
    <w:rsid w:val="05C649F8"/>
    <w:rsid w:val="05C6662C"/>
    <w:rsid w:val="05C74DD6"/>
    <w:rsid w:val="05C77594"/>
    <w:rsid w:val="05C80091"/>
    <w:rsid w:val="05C8093E"/>
    <w:rsid w:val="05C81483"/>
    <w:rsid w:val="05C82715"/>
    <w:rsid w:val="05C82DF3"/>
    <w:rsid w:val="05C869C2"/>
    <w:rsid w:val="05C94625"/>
    <w:rsid w:val="05CA273A"/>
    <w:rsid w:val="05CA44E8"/>
    <w:rsid w:val="05CB0484"/>
    <w:rsid w:val="05CB25B4"/>
    <w:rsid w:val="05CB2CCC"/>
    <w:rsid w:val="05CB4CF8"/>
    <w:rsid w:val="05CC4F4D"/>
    <w:rsid w:val="05CD5690"/>
    <w:rsid w:val="05CE4296"/>
    <w:rsid w:val="05CE6CEB"/>
    <w:rsid w:val="05CF57FA"/>
    <w:rsid w:val="05CF68C0"/>
    <w:rsid w:val="05CF7A54"/>
    <w:rsid w:val="05D07D8E"/>
    <w:rsid w:val="05D120BC"/>
    <w:rsid w:val="05D13AC9"/>
    <w:rsid w:val="05D14044"/>
    <w:rsid w:val="05D215EF"/>
    <w:rsid w:val="05D25154"/>
    <w:rsid w:val="05D25FC5"/>
    <w:rsid w:val="05D278C5"/>
    <w:rsid w:val="05D37841"/>
    <w:rsid w:val="05D4198A"/>
    <w:rsid w:val="05D60826"/>
    <w:rsid w:val="05D60879"/>
    <w:rsid w:val="05D62E8D"/>
    <w:rsid w:val="05D64343"/>
    <w:rsid w:val="05D67331"/>
    <w:rsid w:val="05D709B3"/>
    <w:rsid w:val="05D83B97"/>
    <w:rsid w:val="05D85303"/>
    <w:rsid w:val="05D86F55"/>
    <w:rsid w:val="05D90BCF"/>
    <w:rsid w:val="05D92727"/>
    <w:rsid w:val="05D9297D"/>
    <w:rsid w:val="05D92ABB"/>
    <w:rsid w:val="05D9472B"/>
    <w:rsid w:val="05D963ED"/>
    <w:rsid w:val="05D971CF"/>
    <w:rsid w:val="05DA0248"/>
    <w:rsid w:val="05DA1317"/>
    <w:rsid w:val="05DB439D"/>
    <w:rsid w:val="05DC0DD7"/>
    <w:rsid w:val="05DC5B87"/>
    <w:rsid w:val="05DD06BF"/>
    <w:rsid w:val="05DD246D"/>
    <w:rsid w:val="05DE1D42"/>
    <w:rsid w:val="05DE4419"/>
    <w:rsid w:val="05DE4E38"/>
    <w:rsid w:val="05DE5B4D"/>
    <w:rsid w:val="05DE6A2F"/>
    <w:rsid w:val="05DF2C44"/>
    <w:rsid w:val="05DF4E50"/>
    <w:rsid w:val="05E01F5E"/>
    <w:rsid w:val="05E03529"/>
    <w:rsid w:val="05E03D0C"/>
    <w:rsid w:val="05E042B0"/>
    <w:rsid w:val="05E061E4"/>
    <w:rsid w:val="05E11832"/>
    <w:rsid w:val="05E12078"/>
    <w:rsid w:val="05E137B9"/>
    <w:rsid w:val="05E22153"/>
    <w:rsid w:val="05E23AE4"/>
    <w:rsid w:val="05E30AB8"/>
    <w:rsid w:val="05E3215D"/>
    <w:rsid w:val="05E337FC"/>
    <w:rsid w:val="05E41D18"/>
    <w:rsid w:val="05E4213A"/>
    <w:rsid w:val="05E42C60"/>
    <w:rsid w:val="05E47569"/>
    <w:rsid w:val="05E5346D"/>
    <w:rsid w:val="05E5400A"/>
    <w:rsid w:val="05E57574"/>
    <w:rsid w:val="05E60A0F"/>
    <w:rsid w:val="05E60DFD"/>
    <w:rsid w:val="05E732EC"/>
    <w:rsid w:val="05E76962"/>
    <w:rsid w:val="05E76C01"/>
    <w:rsid w:val="05E76E48"/>
    <w:rsid w:val="05E82BC0"/>
    <w:rsid w:val="05E855C0"/>
    <w:rsid w:val="05E86F30"/>
    <w:rsid w:val="05E90577"/>
    <w:rsid w:val="05E92D1E"/>
    <w:rsid w:val="05E97064"/>
    <w:rsid w:val="05EA2DDC"/>
    <w:rsid w:val="05EA350D"/>
    <w:rsid w:val="05EB5B73"/>
    <w:rsid w:val="05EC0902"/>
    <w:rsid w:val="05EC21DD"/>
    <w:rsid w:val="05EC26B0"/>
    <w:rsid w:val="05EC5CFB"/>
    <w:rsid w:val="05ED33D3"/>
    <w:rsid w:val="05ED615E"/>
    <w:rsid w:val="05ED6429"/>
    <w:rsid w:val="05EE071F"/>
    <w:rsid w:val="05EE5EAB"/>
    <w:rsid w:val="05EF071F"/>
    <w:rsid w:val="05EF21A1"/>
    <w:rsid w:val="05EF2519"/>
    <w:rsid w:val="05EF3F4F"/>
    <w:rsid w:val="05EF646B"/>
    <w:rsid w:val="05EF66F9"/>
    <w:rsid w:val="05F041E6"/>
    <w:rsid w:val="05F0785B"/>
    <w:rsid w:val="05F13B1F"/>
    <w:rsid w:val="05F15F19"/>
    <w:rsid w:val="05F17746"/>
    <w:rsid w:val="05F20CF5"/>
    <w:rsid w:val="05F22FFD"/>
    <w:rsid w:val="05F24A7B"/>
    <w:rsid w:val="05F33201"/>
    <w:rsid w:val="05F332DC"/>
    <w:rsid w:val="05F408CB"/>
    <w:rsid w:val="05F61781"/>
    <w:rsid w:val="05F6197E"/>
    <w:rsid w:val="05F6263F"/>
    <w:rsid w:val="05F67BC2"/>
    <w:rsid w:val="05F71EB6"/>
    <w:rsid w:val="05F73D0F"/>
    <w:rsid w:val="05F805B0"/>
    <w:rsid w:val="05F83EAE"/>
    <w:rsid w:val="05F872A7"/>
    <w:rsid w:val="05F92563"/>
    <w:rsid w:val="05F9301F"/>
    <w:rsid w:val="05F94CBD"/>
    <w:rsid w:val="05FA2293"/>
    <w:rsid w:val="05FA76E4"/>
    <w:rsid w:val="05FB0720"/>
    <w:rsid w:val="05FB65E0"/>
    <w:rsid w:val="05FB7E27"/>
    <w:rsid w:val="05FC19E1"/>
    <w:rsid w:val="05FD27C4"/>
    <w:rsid w:val="05FD2B10"/>
    <w:rsid w:val="05FD47B4"/>
    <w:rsid w:val="05FD48BE"/>
    <w:rsid w:val="05FD666C"/>
    <w:rsid w:val="05FE0636"/>
    <w:rsid w:val="05FE4192"/>
    <w:rsid w:val="05FE6D27"/>
    <w:rsid w:val="05FE6E47"/>
    <w:rsid w:val="05FE7941"/>
    <w:rsid w:val="05FF5014"/>
    <w:rsid w:val="05FF6D64"/>
    <w:rsid w:val="05FF7B22"/>
    <w:rsid w:val="060043AE"/>
    <w:rsid w:val="06005601"/>
    <w:rsid w:val="0601296A"/>
    <w:rsid w:val="06013A94"/>
    <w:rsid w:val="06022A44"/>
    <w:rsid w:val="0602533E"/>
    <w:rsid w:val="06027304"/>
    <w:rsid w:val="060317A8"/>
    <w:rsid w:val="060356C3"/>
    <w:rsid w:val="060379FA"/>
    <w:rsid w:val="060410C6"/>
    <w:rsid w:val="06042ADA"/>
    <w:rsid w:val="0604760A"/>
    <w:rsid w:val="0605216C"/>
    <w:rsid w:val="06053772"/>
    <w:rsid w:val="060602D8"/>
    <w:rsid w:val="06060C2E"/>
    <w:rsid w:val="06061473"/>
    <w:rsid w:val="06063926"/>
    <w:rsid w:val="06064044"/>
    <w:rsid w:val="060814AC"/>
    <w:rsid w:val="0609045C"/>
    <w:rsid w:val="06090DD5"/>
    <w:rsid w:val="060929C5"/>
    <w:rsid w:val="06093262"/>
    <w:rsid w:val="06096A54"/>
    <w:rsid w:val="060A0D89"/>
    <w:rsid w:val="060A2B37"/>
    <w:rsid w:val="060B4186"/>
    <w:rsid w:val="060B5E8D"/>
    <w:rsid w:val="060C02D0"/>
    <w:rsid w:val="060C1BDD"/>
    <w:rsid w:val="060E0879"/>
    <w:rsid w:val="060E0B16"/>
    <w:rsid w:val="060E6ACB"/>
    <w:rsid w:val="060F3412"/>
    <w:rsid w:val="06102D4A"/>
    <w:rsid w:val="06105A8B"/>
    <w:rsid w:val="06106A18"/>
    <w:rsid w:val="0611034D"/>
    <w:rsid w:val="06111157"/>
    <w:rsid w:val="06113EC5"/>
    <w:rsid w:val="06127C3D"/>
    <w:rsid w:val="06132BBE"/>
    <w:rsid w:val="06133A77"/>
    <w:rsid w:val="06144F07"/>
    <w:rsid w:val="06147E59"/>
    <w:rsid w:val="06163647"/>
    <w:rsid w:val="0616597F"/>
    <w:rsid w:val="06167E6C"/>
    <w:rsid w:val="061816F7"/>
    <w:rsid w:val="0618241C"/>
    <w:rsid w:val="061834A6"/>
    <w:rsid w:val="06184BF0"/>
    <w:rsid w:val="06190FCC"/>
    <w:rsid w:val="061978E9"/>
    <w:rsid w:val="061A5470"/>
    <w:rsid w:val="061A6353"/>
    <w:rsid w:val="061B10F4"/>
    <w:rsid w:val="061B11E8"/>
    <w:rsid w:val="061B498C"/>
    <w:rsid w:val="061C2F0C"/>
    <w:rsid w:val="061C499D"/>
    <w:rsid w:val="061D0ABC"/>
    <w:rsid w:val="061D5FBD"/>
    <w:rsid w:val="061D71F7"/>
    <w:rsid w:val="061F45EE"/>
    <w:rsid w:val="06200301"/>
    <w:rsid w:val="062005AC"/>
    <w:rsid w:val="0620235A"/>
    <w:rsid w:val="06205821"/>
    <w:rsid w:val="062067FE"/>
    <w:rsid w:val="0621326D"/>
    <w:rsid w:val="06213732"/>
    <w:rsid w:val="06215E18"/>
    <w:rsid w:val="06217546"/>
    <w:rsid w:val="062220DC"/>
    <w:rsid w:val="06233BF8"/>
    <w:rsid w:val="06243DD3"/>
    <w:rsid w:val="0624728D"/>
    <w:rsid w:val="06253E14"/>
    <w:rsid w:val="06261775"/>
    <w:rsid w:val="06261CC1"/>
    <w:rsid w:val="06263F80"/>
    <w:rsid w:val="062646F3"/>
    <w:rsid w:val="062736E9"/>
    <w:rsid w:val="062841F5"/>
    <w:rsid w:val="06284242"/>
    <w:rsid w:val="06287461"/>
    <w:rsid w:val="062956B3"/>
    <w:rsid w:val="062974EE"/>
    <w:rsid w:val="062A31D9"/>
    <w:rsid w:val="062A39BB"/>
    <w:rsid w:val="062A6909"/>
    <w:rsid w:val="062A6EE5"/>
    <w:rsid w:val="062C51A3"/>
    <w:rsid w:val="062C64C3"/>
    <w:rsid w:val="062C6F51"/>
    <w:rsid w:val="062E0F1B"/>
    <w:rsid w:val="062E2CC9"/>
    <w:rsid w:val="062E4A77"/>
    <w:rsid w:val="062F07EF"/>
    <w:rsid w:val="062F259D"/>
    <w:rsid w:val="062F6A41"/>
    <w:rsid w:val="06304C93"/>
    <w:rsid w:val="06312D21"/>
    <w:rsid w:val="063169E1"/>
    <w:rsid w:val="06317000"/>
    <w:rsid w:val="06321C67"/>
    <w:rsid w:val="0632741F"/>
    <w:rsid w:val="063302DF"/>
    <w:rsid w:val="06330CDE"/>
    <w:rsid w:val="0633172E"/>
    <w:rsid w:val="063444F1"/>
    <w:rsid w:val="0634474F"/>
    <w:rsid w:val="063475BD"/>
    <w:rsid w:val="06350AA0"/>
    <w:rsid w:val="06362632"/>
    <w:rsid w:val="063630D5"/>
    <w:rsid w:val="0636392C"/>
    <w:rsid w:val="06366E11"/>
    <w:rsid w:val="06367DD0"/>
    <w:rsid w:val="063755CB"/>
    <w:rsid w:val="063814E6"/>
    <w:rsid w:val="06383B48"/>
    <w:rsid w:val="06384131"/>
    <w:rsid w:val="063852A3"/>
    <w:rsid w:val="06390977"/>
    <w:rsid w:val="0639166E"/>
    <w:rsid w:val="0639341C"/>
    <w:rsid w:val="063954B7"/>
    <w:rsid w:val="063A5C43"/>
    <w:rsid w:val="063B3638"/>
    <w:rsid w:val="063B7BD8"/>
    <w:rsid w:val="063D4A54"/>
    <w:rsid w:val="063D4CBA"/>
    <w:rsid w:val="063D6935"/>
    <w:rsid w:val="063E0583"/>
    <w:rsid w:val="063E0A32"/>
    <w:rsid w:val="063E24EA"/>
    <w:rsid w:val="063E2D45"/>
    <w:rsid w:val="063E6A19"/>
    <w:rsid w:val="063E7D85"/>
    <w:rsid w:val="06400AEE"/>
    <w:rsid w:val="064047AA"/>
    <w:rsid w:val="06405C08"/>
    <w:rsid w:val="064065CD"/>
    <w:rsid w:val="064077F7"/>
    <w:rsid w:val="06410C3A"/>
    <w:rsid w:val="0641371E"/>
    <w:rsid w:val="06413D56"/>
    <w:rsid w:val="06426774"/>
    <w:rsid w:val="06430F9E"/>
    <w:rsid w:val="06432B56"/>
    <w:rsid w:val="06434355"/>
    <w:rsid w:val="06436049"/>
    <w:rsid w:val="064416CF"/>
    <w:rsid w:val="064424ED"/>
    <w:rsid w:val="064442B3"/>
    <w:rsid w:val="06450013"/>
    <w:rsid w:val="06451DC1"/>
    <w:rsid w:val="06452B69"/>
    <w:rsid w:val="06460A54"/>
    <w:rsid w:val="06471313"/>
    <w:rsid w:val="06471FDD"/>
    <w:rsid w:val="06472967"/>
    <w:rsid w:val="06473D8B"/>
    <w:rsid w:val="06476C40"/>
    <w:rsid w:val="06477D96"/>
    <w:rsid w:val="064810A9"/>
    <w:rsid w:val="0648365F"/>
    <w:rsid w:val="06497B03"/>
    <w:rsid w:val="064A1BCE"/>
    <w:rsid w:val="064A255D"/>
    <w:rsid w:val="064A387B"/>
    <w:rsid w:val="064A5629"/>
    <w:rsid w:val="064A6717"/>
    <w:rsid w:val="064B220B"/>
    <w:rsid w:val="064B3D03"/>
    <w:rsid w:val="064C4294"/>
    <w:rsid w:val="064C4C64"/>
    <w:rsid w:val="064C776E"/>
    <w:rsid w:val="064D14C2"/>
    <w:rsid w:val="064D5098"/>
    <w:rsid w:val="064E04AF"/>
    <w:rsid w:val="064E336B"/>
    <w:rsid w:val="064E6EC7"/>
    <w:rsid w:val="064E7D9C"/>
    <w:rsid w:val="064F10F9"/>
    <w:rsid w:val="064F2C3F"/>
    <w:rsid w:val="064F49ED"/>
    <w:rsid w:val="064F7B33"/>
    <w:rsid w:val="064F7C3C"/>
    <w:rsid w:val="065007DB"/>
    <w:rsid w:val="06500E91"/>
    <w:rsid w:val="0650549A"/>
    <w:rsid w:val="06510766"/>
    <w:rsid w:val="06514C09"/>
    <w:rsid w:val="06532D67"/>
    <w:rsid w:val="065347BE"/>
    <w:rsid w:val="06534A33"/>
    <w:rsid w:val="06540256"/>
    <w:rsid w:val="06551B4F"/>
    <w:rsid w:val="06554F6B"/>
    <w:rsid w:val="06562220"/>
    <w:rsid w:val="06563FCE"/>
    <w:rsid w:val="06565574"/>
    <w:rsid w:val="06571B7A"/>
    <w:rsid w:val="065765FD"/>
    <w:rsid w:val="06585F98"/>
    <w:rsid w:val="06587D46"/>
    <w:rsid w:val="06591344"/>
    <w:rsid w:val="06594D7C"/>
    <w:rsid w:val="0659586C"/>
    <w:rsid w:val="065A19DE"/>
    <w:rsid w:val="065A2E52"/>
    <w:rsid w:val="065B2E40"/>
    <w:rsid w:val="065B600F"/>
    <w:rsid w:val="065B7836"/>
    <w:rsid w:val="065B7A74"/>
    <w:rsid w:val="065C0E31"/>
    <w:rsid w:val="065C608B"/>
    <w:rsid w:val="065D0DE4"/>
    <w:rsid w:val="065D3999"/>
    <w:rsid w:val="065D6671"/>
    <w:rsid w:val="065E3BE1"/>
    <w:rsid w:val="065E7CB1"/>
    <w:rsid w:val="065F10D4"/>
    <w:rsid w:val="06604E4C"/>
    <w:rsid w:val="06606B9D"/>
    <w:rsid w:val="06610242"/>
    <w:rsid w:val="0661309E"/>
    <w:rsid w:val="06613D86"/>
    <w:rsid w:val="06614085"/>
    <w:rsid w:val="06620BC5"/>
    <w:rsid w:val="06622973"/>
    <w:rsid w:val="0662384F"/>
    <w:rsid w:val="0662756F"/>
    <w:rsid w:val="06631051"/>
    <w:rsid w:val="06632E56"/>
    <w:rsid w:val="06633557"/>
    <w:rsid w:val="06642E14"/>
    <w:rsid w:val="06646A88"/>
    <w:rsid w:val="06654B79"/>
    <w:rsid w:val="06655607"/>
    <w:rsid w:val="06667AFD"/>
    <w:rsid w:val="06671291"/>
    <w:rsid w:val="06671E38"/>
    <w:rsid w:val="06672BDD"/>
    <w:rsid w:val="066761DB"/>
    <w:rsid w:val="06683BBB"/>
    <w:rsid w:val="06690320"/>
    <w:rsid w:val="06691F53"/>
    <w:rsid w:val="06693D01"/>
    <w:rsid w:val="066A5D01"/>
    <w:rsid w:val="066A68BE"/>
    <w:rsid w:val="066A7A79"/>
    <w:rsid w:val="066B08AD"/>
    <w:rsid w:val="066B13D5"/>
    <w:rsid w:val="066B5CCB"/>
    <w:rsid w:val="066B7191"/>
    <w:rsid w:val="066C0621"/>
    <w:rsid w:val="066C5BE2"/>
    <w:rsid w:val="066C62DC"/>
    <w:rsid w:val="066D504E"/>
    <w:rsid w:val="066E0C2C"/>
    <w:rsid w:val="066E1317"/>
    <w:rsid w:val="066E30C6"/>
    <w:rsid w:val="066E4146"/>
    <w:rsid w:val="066E57BB"/>
    <w:rsid w:val="066E652C"/>
    <w:rsid w:val="066E7569"/>
    <w:rsid w:val="066E7C93"/>
    <w:rsid w:val="066F06D8"/>
    <w:rsid w:val="066F06E3"/>
    <w:rsid w:val="066F4C41"/>
    <w:rsid w:val="066F5072"/>
    <w:rsid w:val="066F6E3E"/>
    <w:rsid w:val="067002E6"/>
    <w:rsid w:val="0670207C"/>
    <w:rsid w:val="06703003"/>
    <w:rsid w:val="06710E08"/>
    <w:rsid w:val="06712BB6"/>
    <w:rsid w:val="06714493"/>
    <w:rsid w:val="067157DF"/>
    <w:rsid w:val="06732DD2"/>
    <w:rsid w:val="06734B80"/>
    <w:rsid w:val="067350F1"/>
    <w:rsid w:val="06736C46"/>
    <w:rsid w:val="06737E2C"/>
    <w:rsid w:val="067417CC"/>
    <w:rsid w:val="06744454"/>
    <w:rsid w:val="067526A6"/>
    <w:rsid w:val="0676259B"/>
    <w:rsid w:val="0676330F"/>
    <w:rsid w:val="067641DC"/>
    <w:rsid w:val="06764670"/>
    <w:rsid w:val="0676641E"/>
    <w:rsid w:val="06771EC3"/>
    <w:rsid w:val="06772950"/>
    <w:rsid w:val="067803E8"/>
    <w:rsid w:val="06781FFA"/>
    <w:rsid w:val="06782196"/>
    <w:rsid w:val="06783F44"/>
    <w:rsid w:val="06785A94"/>
    <w:rsid w:val="067A0428"/>
    <w:rsid w:val="067A7CBC"/>
    <w:rsid w:val="067B1C86"/>
    <w:rsid w:val="067B3A34"/>
    <w:rsid w:val="067B4A1B"/>
    <w:rsid w:val="067B502C"/>
    <w:rsid w:val="067B57E2"/>
    <w:rsid w:val="067C312C"/>
    <w:rsid w:val="067C3EF2"/>
    <w:rsid w:val="067D155B"/>
    <w:rsid w:val="067D77AC"/>
    <w:rsid w:val="067E039A"/>
    <w:rsid w:val="067E330C"/>
    <w:rsid w:val="067F1777"/>
    <w:rsid w:val="067F34E3"/>
    <w:rsid w:val="067F3525"/>
    <w:rsid w:val="067F45C8"/>
    <w:rsid w:val="067F6A97"/>
    <w:rsid w:val="0680104B"/>
    <w:rsid w:val="068154F4"/>
    <w:rsid w:val="06815AFC"/>
    <w:rsid w:val="06821EDC"/>
    <w:rsid w:val="06823015"/>
    <w:rsid w:val="06824A26"/>
    <w:rsid w:val="06825418"/>
    <w:rsid w:val="06826852"/>
    <w:rsid w:val="06831A61"/>
    <w:rsid w:val="06832BAD"/>
    <w:rsid w:val="06840B3B"/>
    <w:rsid w:val="06840F4D"/>
    <w:rsid w:val="068428E9"/>
    <w:rsid w:val="06842DA3"/>
    <w:rsid w:val="06843743"/>
    <w:rsid w:val="0684411E"/>
    <w:rsid w:val="06846D8D"/>
    <w:rsid w:val="06847D38"/>
    <w:rsid w:val="06863B44"/>
    <w:rsid w:val="06863D99"/>
    <w:rsid w:val="0686480B"/>
    <w:rsid w:val="0687062B"/>
    <w:rsid w:val="06877A27"/>
    <w:rsid w:val="06886785"/>
    <w:rsid w:val="06890CE6"/>
    <w:rsid w:val="0689271A"/>
    <w:rsid w:val="068943A3"/>
    <w:rsid w:val="06895876"/>
    <w:rsid w:val="06897EFF"/>
    <w:rsid w:val="068A3836"/>
    <w:rsid w:val="068A5BE2"/>
    <w:rsid w:val="068B1EC9"/>
    <w:rsid w:val="068B65D1"/>
    <w:rsid w:val="068B6706"/>
    <w:rsid w:val="068C109B"/>
    <w:rsid w:val="068C3E93"/>
    <w:rsid w:val="068C5C42"/>
    <w:rsid w:val="068C6041"/>
    <w:rsid w:val="068D4CA8"/>
    <w:rsid w:val="068E0438"/>
    <w:rsid w:val="068E0977"/>
    <w:rsid w:val="068E22DC"/>
    <w:rsid w:val="068E39BB"/>
    <w:rsid w:val="068E5516"/>
    <w:rsid w:val="068E6E59"/>
    <w:rsid w:val="068F0F2E"/>
    <w:rsid w:val="068F6AE9"/>
    <w:rsid w:val="069025ED"/>
    <w:rsid w:val="069074E0"/>
    <w:rsid w:val="069114AA"/>
    <w:rsid w:val="06912380"/>
    <w:rsid w:val="06913F01"/>
    <w:rsid w:val="0692442B"/>
    <w:rsid w:val="06930D7E"/>
    <w:rsid w:val="06935222"/>
    <w:rsid w:val="0693631F"/>
    <w:rsid w:val="06940968"/>
    <w:rsid w:val="069468A4"/>
    <w:rsid w:val="06952FD7"/>
    <w:rsid w:val="06954AF6"/>
    <w:rsid w:val="06967A43"/>
    <w:rsid w:val="06970292"/>
    <w:rsid w:val="06970482"/>
    <w:rsid w:val="0697597B"/>
    <w:rsid w:val="069760AC"/>
    <w:rsid w:val="069761AE"/>
    <w:rsid w:val="06976AC0"/>
    <w:rsid w:val="06980D7F"/>
    <w:rsid w:val="06981B74"/>
    <w:rsid w:val="06991B69"/>
    <w:rsid w:val="06993E6F"/>
    <w:rsid w:val="069A3357"/>
    <w:rsid w:val="069A65B0"/>
    <w:rsid w:val="069A7937"/>
    <w:rsid w:val="069B0ED8"/>
    <w:rsid w:val="069B5E2E"/>
    <w:rsid w:val="069B5E85"/>
    <w:rsid w:val="069B6CA4"/>
    <w:rsid w:val="069B7C33"/>
    <w:rsid w:val="069C40D7"/>
    <w:rsid w:val="069D39AB"/>
    <w:rsid w:val="069D7E4F"/>
    <w:rsid w:val="069D7EE6"/>
    <w:rsid w:val="069E2F92"/>
    <w:rsid w:val="069E6641"/>
    <w:rsid w:val="069F005B"/>
    <w:rsid w:val="069F1B57"/>
    <w:rsid w:val="069F2791"/>
    <w:rsid w:val="069F3FEC"/>
    <w:rsid w:val="069F5975"/>
    <w:rsid w:val="069F6081"/>
    <w:rsid w:val="069F61D9"/>
    <w:rsid w:val="069F7723"/>
    <w:rsid w:val="06A036C2"/>
    <w:rsid w:val="06A05249"/>
    <w:rsid w:val="06A109A1"/>
    <w:rsid w:val="06A11101"/>
    <w:rsid w:val="06A2709F"/>
    <w:rsid w:val="06A30FB8"/>
    <w:rsid w:val="06A32D36"/>
    <w:rsid w:val="06A3791F"/>
    <w:rsid w:val="06A426C5"/>
    <w:rsid w:val="06A44D39"/>
    <w:rsid w:val="06A50AB1"/>
    <w:rsid w:val="06A536A3"/>
    <w:rsid w:val="06A54A54"/>
    <w:rsid w:val="06A64386"/>
    <w:rsid w:val="06A64F55"/>
    <w:rsid w:val="06A66D03"/>
    <w:rsid w:val="06A72A7B"/>
    <w:rsid w:val="06A7521F"/>
    <w:rsid w:val="06A75E42"/>
    <w:rsid w:val="06A80874"/>
    <w:rsid w:val="06A905A2"/>
    <w:rsid w:val="06A905C3"/>
    <w:rsid w:val="06A92350"/>
    <w:rsid w:val="06A967F3"/>
    <w:rsid w:val="06AB256C"/>
    <w:rsid w:val="06AB2ABA"/>
    <w:rsid w:val="06AB431A"/>
    <w:rsid w:val="06AB60C8"/>
    <w:rsid w:val="06AB680A"/>
    <w:rsid w:val="06AB71F5"/>
    <w:rsid w:val="06AC1E40"/>
    <w:rsid w:val="06AC415B"/>
    <w:rsid w:val="06AC5AB4"/>
    <w:rsid w:val="06AC6B5A"/>
    <w:rsid w:val="06AD1B15"/>
    <w:rsid w:val="06AD62E4"/>
    <w:rsid w:val="06AE1912"/>
    <w:rsid w:val="06AE6F3C"/>
    <w:rsid w:val="06AE7966"/>
    <w:rsid w:val="06AF142D"/>
    <w:rsid w:val="06B0485E"/>
    <w:rsid w:val="06B058C5"/>
    <w:rsid w:val="06B07B82"/>
    <w:rsid w:val="06B156A8"/>
    <w:rsid w:val="06B21390"/>
    <w:rsid w:val="06B238FA"/>
    <w:rsid w:val="06B239F1"/>
    <w:rsid w:val="06B24608"/>
    <w:rsid w:val="06B26C52"/>
    <w:rsid w:val="06B30E1D"/>
    <w:rsid w:val="06B331CE"/>
    <w:rsid w:val="06B34246"/>
    <w:rsid w:val="06B34F7C"/>
    <w:rsid w:val="06B40E73"/>
    <w:rsid w:val="06B55198"/>
    <w:rsid w:val="06B56F46"/>
    <w:rsid w:val="06B6030A"/>
    <w:rsid w:val="06B62CBE"/>
    <w:rsid w:val="06B645FC"/>
    <w:rsid w:val="06B653C2"/>
    <w:rsid w:val="06B75C01"/>
    <w:rsid w:val="06B80692"/>
    <w:rsid w:val="06B807E5"/>
    <w:rsid w:val="06BA27AF"/>
    <w:rsid w:val="06BA4F61"/>
    <w:rsid w:val="06BA630B"/>
    <w:rsid w:val="06BB4119"/>
    <w:rsid w:val="06BB5125"/>
    <w:rsid w:val="06BC02D5"/>
    <w:rsid w:val="06BC1757"/>
    <w:rsid w:val="06BD6C87"/>
    <w:rsid w:val="06BF6EF5"/>
    <w:rsid w:val="06BF7DC5"/>
    <w:rsid w:val="06C06D62"/>
    <w:rsid w:val="06C071A1"/>
    <w:rsid w:val="06C0780B"/>
    <w:rsid w:val="06C108A5"/>
    <w:rsid w:val="06C13B3D"/>
    <w:rsid w:val="06C158EB"/>
    <w:rsid w:val="06C21663"/>
    <w:rsid w:val="06C24A1F"/>
    <w:rsid w:val="06C278B5"/>
    <w:rsid w:val="06C406AA"/>
    <w:rsid w:val="06C4362D"/>
    <w:rsid w:val="06C4371F"/>
    <w:rsid w:val="06C47189"/>
    <w:rsid w:val="06C531CD"/>
    <w:rsid w:val="06C54CB0"/>
    <w:rsid w:val="06C61153"/>
    <w:rsid w:val="06C61FC2"/>
    <w:rsid w:val="06C66FB7"/>
    <w:rsid w:val="06C70C57"/>
    <w:rsid w:val="06C71E34"/>
    <w:rsid w:val="06C75B02"/>
    <w:rsid w:val="06C764E1"/>
    <w:rsid w:val="06C76C7A"/>
    <w:rsid w:val="06C76E57"/>
    <w:rsid w:val="06C83091"/>
    <w:rsid w:val="06C86805"/>
    <w:rsid w:val="06C90946"/>
    <w:rsid w:val="06C90DC4"/>
    <w:rsid w:val="06C91BB6"/>
    <w:rsid w:val="06C929F2"/>
    <w:rsid w:val="06C941CE"/>
    <w:rsid w:val="06C94747"/>
    <w:rsid w:val="06C95C57"/>
    <w:rsid w:val="06CA6DA8"/>
    <w:rsid w:val="06CB5052"/>
    <w:rsid w:val="06CC0B87"/>
    <w:rsid w:val="06CC4290"/>
    <w:rsid w:val="06CC603E"/>
    <w:rsid w:val="06CD24E2"/>
    <w:rsid w:val="06CD66A3"/>
    <w:rsid w:val="06CE625A"/>
    <w:rsid w:val="06CE75FA"/>
    <w:rsid w:val="06CF2AB3"/>
    <w:rsid w:val="06CF3098"/>
    <w:rsid w:val="06CF593A"/>
    <w:rsid w:val="06D01FD2"/>
    <w:rsid w:val="06D04F2F"/>
    <w:rsid w:val="06D13FBB"/>
    <w:rsid w:val="06D17E8B"/>
    <w:rsid w:val="06D3069D"/>
    <w:rsid w:val="06D33834"/>
    <w:rsid w:val="06D35459"/>
    <w:rsid w:val="06D46EE2"/>
    <w:rsid w:val="06D505D2"/>
    <w:rsid w:val="06D51397"/>
    <w:rsid w:val="06D5614F"/>
    <w:rsid w:val="06D66872"/>
    <w:rsid w:val="06D7286F"/>
    <w:rsid w:val="06D73640"/>
    <w:rsid w:val="06D7510F"/>
    <w:rsid w:val="06D75B72"/>
    <w:rsid w:val="06D80B3A"/>
    <w:rsid w:val="06D82C35"/>
    <w:rsid w:val="06D870D9"/>
    <w:rsid w:val="06D90283"/>
    <w:rsid w:val="06D92F95"/>
    <w:rsid w:val="06D93697"/>
    <w:rsid w:val="06D97352"/>
    <w:rsid w:val="06D97AFC"/>
    <w:rsid w:val="06DA075B"/>
    <w:rsid w:val="06DA0B31"/>
    <w:rsid w:val="06DA22DD"/>
    <w:rsid w:val="06DA3F2C"/>
    <w:rsid w:val="06DA41B1"/>
    <w:rsid w:val="06DA4BFF"/>
    <w:rsid w:val="06DA6D45"/>
    <w:rsid w:val="06DA78A1"/>
    <w:rsid w:val="06DC0977"/>
    <w:rsid w:val="06DC50A5"/>
    <w:rsid w:val="06DC737A"/>
    <w:rsid w:val="06DD198E"/>
    <w:rsid w:val="06DD649D"/>
    <w:rsid w:val="06DE0942"/>
    <w:rsid w:val="06DE4692"/>
    <w:rsid w:val="06DF2215"/>
    <w:rsid w:val="06DF3513"/>
    <w:rsid w:val="06DF5D71"/>
    <w:rsid w:val="06E0409F"/>
    <w:rsid w:val="06E04C29"/>
    <w:rsid w:val="06E05362"/>
    <w:rsid w:val="06E073EE"/>
    <w:rsid w:val="06E10A04"/>
    <w:rsid w:val="06E11AE9"/>
    <w:rsid w:val="06E1233C"/>
    <w:rsid w:val="06E13CB9"/>
    <w:rsid w:val="06E23AB3"/>
    <w:rsid w:val="06E255E9"/>
    <w:rsid w:val="06E2572B"/>
    <w:rsid w:val="06E25862"/>
    <w:rsid w:val="06E267A9"/>
    <w:rsid w:val="06E27E8D"/>
    <w:rsid w:val="06E3230E"/>
    <w:rsid w:val="06E33324"/>
    <w:rsid w:val="06E36148"/>
    <w:rsid w:val="06E415DA"/>
    <w:rsid w:val="06E45A7E"/>
    <w:rsid w:val="06E57054"/>
    <w:rsid w:val="06E57385"/>
    <w:rsid w:val="06E635A4"/>
    <w:rsid w:val="06E64DB5"/>
    <w:rsid w:val="06E70DC9"/>
    <w:rsid w:val="06E72E78"/>
    <w:rsid w:val="06E73135"/>
    <w:rsid w:val="06E845C5"/>
    <w:rsid w:val="06E94E9D"/>
    <w:rsid w:val="06EA3771"/>
    <w:rsid w:val="06EB1077"/>
    <w:rsid w:val="06EB2968"/>
    <w:rsid w:val="06EB2E9A"/>
    <w:rsid w:val="06EB53F9"/>
    <w:rsid w:val="06EB6E0C"/>
    <w:rsid w:val="06EC0A60"/>
    <w:rsid w:val="06ED0B58"/>
    <w:rsid w:val="06ED4932"/>
    <w:rsid w:val="06ED4A4C"/>
    <w:rsid w:val="06ED730B"/>
    <w:rsid w:val="06EE06AA"/>
    <w:rsid w:val="06EE2325"/>
    <w:rsid w:val="06EE2FEE"/>
    <w:rsid w:val="06EF07FC"/>
    <w:rsid w:val="06EF0F01"/>
    <w:rsid w:val="06EF1E93"/>
    <w:rsid w:val="06EF3008"/>
    <w:rsid w:val="06EF4D82"/>
    <w:rsid w:val="06EF6C8D"/>
    <w:rsid w:val="06EF6DF5"/>
    <w:rsid w:val="06F07F7E"/>
    <w:rsid w:val="06F131F4"/>
    <w:rsid w:val="06F15AA5"/>
    <w:rsid w:val="06F169C8"/>
    <w:rsid w:val="06F177CA"/>
    <w:rsid w:val="06F2019A"/>
    <w:rsid w:val="06F23CF7"/>
    <w:rsid w:val="06F252E1"/>
    <w:rsid w:val="06F316D8"/>
    <w:rsid w:val="06F3181D"/>
    <w:rsid w:val="06F35CC1"/>
    <w:rsid w:val="06F41D00"/>
    <w:rsid w:val="06F442A9"/>
    <w:rsid w:val="06F466CA"/>
    <w:rsid w:val="06F51A39"/>
    <w:rsid w:val="06F5377E"/>
    <w:rsid w:val="06F537E7"/>
    <w:rsid w:val="06F546DC"/>
    <w:rsid w:val="06F55595"/>
    <w:rsid w:val="06F64E80"/>
    <w:rsid w:val="06F7130D"/>
    <w:rsid w:val="06F7755F"/>
    <w:rsid w:val="06F7784B"/>
    <w:rsid w:val="06F80EF1"/>
    <w:rsid w:val="06F832D7"/>
    <w:rsid w:val="06F85085"/>
    <w:rsid w:val="06F8563A"/>
    <w:rsid w:val="06F85661"/>
    <w:rsid w:val="06F85934"/>
    <w:rsid w:val="06F86E33"/>
    <w:rsid w:val="06F9650A"/>
    <w:rsid w:val="06F966B9"/>
    <w:rsid w:val="06FA0DD9"/>
    <w:rsid w:val="06FA14C8"/>
    <w:rsid w:val="06FA69DA"/>
    <w:rsid w:val="06FA704F"/>
    <w:rsid w:val="06FB6E0A"/>
    <w:rsid w:val="06FC153C"/>
    <w:rsid w:val="06FC3166"/>
    <w:rsid w:val="06FC6923"/>
    <w:rsid w:val="06FD057D"/>
    <w:rsid w:val="06FD08ED"/>
    <w:rsid w:val="06FD269B"/>
    <w:rsid w:val="06FD3164"/>
    <w:rsid w:val="06FD5997"/>
    <w:rsid w:val="06FD7EC7"/>
    <w:rsid w:val="06FE6242"/>
    <w:rsid w:val="06FE7F2C"/>
    <w:rsid w:val="06FE7F78"/>
    <w:rsid w:val="06FF01C2"/>
    <w:rsid w:val="06FF13BC"/>
    <w:rsid w:val="06FF4334"/>
    <w:rsid w:val="06FF6413"/>
    <w:rsid w:val="07006F1F"/>
    <w:rsid w:val="0701167C"/>
    <w:rsid w:val="070117E7"/>
    <w:rsid w:val="0701218C"/>
    <w:rsid w:val="07013F3A"/>
    <w:rsid w:val="07026DA2"/>
    <w:rsid w:val="07027D3D"/>
    <w:rsid w:val="07031BC6"/>
    <w:rsid w:val="07032347"/>
    <w:rsid w:val="07037311"/>
    <w:rsid w:val="07043A2A"/>
    <w:rsid w:val="07043C44"/>
    <w:rsid w:val="07047ECE"/>
    <w:rsid w:val="07053AED"/>
    <w:rsid w:val="0705453D"/>
    <w:rsid w:val="07065682"/>
    <w:rsid w:val="070659F4"/>
    <w:rsid w:val="070662C7"/>
    <w:rsid w:val="070666BE"/>
    <w:rsid w:val="07077B4E"/>
    <w:rsid w:val="07097292"/>
    <w:rsid w:val="070B1943"/>
    <w:rsid w:val="070B21D0"/>
    <w:rsid w:val="070B300A"/>
    <w:rsid w:val="070B6490"/>
    <w:rsid w:val="070C1EDC"/>
    <w:rsid w:val="070C28DE"/>
    <w:rsid w:val="070D2E94"/>
    <w:rsid w:val="070D6D82"/>
    <w:rsid w:val="070E2AFA"/>
    <w:rsid w:val="070E34A9"/>
    <w:rsid w:val="070F2E52"/>
    <w:rsid w:val="07100621"/>
    <w:rsid w:val="071023A8"/>
    <w:rsid w:val="0710363F"/>
    <w:rsid w:val="07106873"/>
    <w:rsid w:val="07111B45"/>
    <w:rsid w:val="071125B2"/>
    <w:rsid w:val="07113859"/>
    <w:rsid w:val="07117EF5"/>
    <w:rsid w:val="07126147"/>
    <w:rsid w:val="07131EBF"/>
    <w:rsid w:val="071325F9"/>
    <w:rsid w:val="07133C6D"/>
    <w:rsid w:val="071360F1"/>
    <w:rsid w:val="071427C0"/>
    <w:rsid w:val="071428F1"/>
    <w:rsid w:val="0714454C"/>
    <w:rsid w:val="07146971"/>
    <w:rsid w:val="071579E5"/>
    <w:rsid w:val="07164A3A"/>
    <w:rsid w:val="071719AF"/>
    <w:rsid w:val="071732DD"/>
    <w:rsid w:val="0717375D"/>
    <w:rsid w:val="071764F8"/>
    <w:rsid w:val="071874D5"/>
    <w:rsid w:val="07191007"/>
    <w:rsid w:val="07194B34"/>
    <w:rsid w:val="071951F9"/>
    <w:rsid w:val="07196062"/>
    <w:rsid w:val="071A4FFB"/>
    <w:rsid w:val="071A6D81"/>
    <w:rsid w:val="071B2025"/>
    <w:rsid w:val="071B328F"/>
    <w:rsid w:val="071B7485"/>
    <w:rsid w:val="071C08E4"/>
    <w:rsid w:val="071C2557"/>
    <w:rsid w:val="071C489D"/>
    <w:rsid w:val="071C5217"/>
    <w:rsid w:val="071D1D74"/>
    <w:rsid w:val="071D51FA"/>
    <w:rsid w:val="071D689A"/>
    <w:rsid w:val="071E0F8F"/>
    <w:rsid w:val="071E2D3E"/>
    <w:rsid w:val="071E3DC1"/>
    <w:rsid w:val="071F0864"/>
    <w:rsid w:val="071F09A6"/>
    <w:rsid w:val="071F61AF"/>
    <w:rsid w:val="071F6AB6"/>
    <w:rsid w:val="07201CA4"/>
    <w:rsid w:val="07204CA9"/>
    <w:rsid w:val="072100C9"/>
    <w:rsid w:val="0721638A"/>
    <w:rsid w:val="07223466"/>
    <w:rsid w:val="072239CB"/>
    <w:rsid w:val="07226783"/>
    <w:rsid w:val="07230354"/>
    <w:rsid w:val="072440CC"/>
    <w:rsid w:val="07247C28"/>
    <w:rsid w:val="07253325"/>
    <w:rsid w:val="07256E42"/>
    <w:rsid w:val="07261BF2"/>
    <w:rsid w:val="072639A0"/>
    <w:rsid w:val="07265CA8"/>
    <w:rsid w:val="07265D23"/>
    <w:rsid w:val="07267E44"/>
    <w:rsid w:val="072705C8"/>
    <w:rsid w:val="072743F2"/>
    <w:rsid w:val="07275A44"/>
    <w:rsid w:val="07277549"/>
    <w:rsid w:val="07277652"/>
    <w:rsid w:val="07280809"/>
    <w:rsid w:val="07283BBC"/>
    <w:rsid w:val="0728596A"/>
    <w:rsid w:val="07293586"/>
    <w:rsid w:val="07295285"/>
    <w:rsid w:val="0729554C"/>
    <w:rsid w:val="072A2BA2"/>
    <w:rsid w:val="072A7934"/>
    <w:rsid w:val="072B0FB7"/>
    <w:rsid w:val="072B545A"/>
    <w:rsid w:val="072B636A"/>
    <w:rsid w:val="072B7208"/>
    <w:rsid w:val="072C77FA"/>
    <w:rsid w:val="072D11D3"/>
    <w:rsid w:val="072D2F81"/>
    <w:rsid w:val="072D4912"/>
    <w:rsid w:val="072D4B5F"/>
    <w:rsid w:val="072D4D2F"/>
    <w:rsid w:val="072D59B6"/>
    <w:rsid w:val="072D607D"/>
    <w:rsid w:val="072E057F"/>
    <w:rsid w:val="072E6CF9"/>
    <w:rsid w:val="072E7A19"/>
    <w:rsid w:val="072E7FFA"/>
    <w:rsid w:val="072F4F4B"/>
    <w:rsid w:val="0730481F"/>
    <w:rsid w:val="073143DE"/>
    <w:rsid w:val="07320597"/>
    <w:rsid w:val="073256DB"/>
    <w:rsid w:val="07325799"/>
    <w:rsid w:val="07326074"/>
    <w:rsid w:val="0733430F"/>
    <w:rsid w:val="07336DDA"/>
    <w:rsid w:val="07336ECE"/>
    <w:rsid w:val="07340CA6"/>
    <w:rsid w:val="0735779A"/>
    <w:rsid w:val="07357A69"/>
    <w:rsid w:val="0736405C"/>
    <w:rsid w:val="07370B7B"/>
    <w:rsid w:val="07375BAD"/>
    <w:rsid w:val="0737795B"/>
    <w:rsid w:val="073836D3"/>
    <w:rsid w:val="07383C6E"/>
    <w:rsid w:val="0738697C"/>
    <w:rsid w:val="073920BE"/>
    <w:rsid w:val="07396741"/>
    <w:rsid w:val="07397B77"/>
    <w:rsid w:val="073A0468"/>
    <w:rsid w:val="073A38EF"/>
    <w:rsid w:val="073A569E"/>
    <w:rsid w:val="073B15F8"/>
    <w:rsid w:val="073B40C1"/>
    <w:rsid w:val="073B532F"/>
    <w:rsid w:val="073B6A3E"/>
    <w:rsid w:val="073C1416"/>
    <w:rsid w:val="073C31C4"/>
    <w:rsid w:val="073C5B6F"/>
    <w:rsid w:val="073C7668"/>
    <w:rsid w:val="073D0CEA"/>
    <w:rsid w:val="073D1547"/>
    <w:rsid w:val="073E3768"/>
    <w:rsid w:val="073E3C7E"/>
    <w:rsid w:val="073E5D94"/>
    <w:rsid w:val="073E6F3C"/>
    <w:rsid w:val="073F0F06"/>
    <w:rsid w:val="073F2CB4"/>
    <w:rsid w:val="073F4A62"/>
    <w:rsid w:val="07404A3D"/>
    <w:rsid w:val="07407CDF"/>
    <w:rsid w:val="074107DA"/>
    <w:rsid w:val="07417A65"/>
    <w:rsid w:val="074213E4"/>
    <w:rsid w:val="07426576"/>
    <w:rsid w:val="074309F6"/>
    <w:rsid w:val="07430A91"/>
    <w:rsid w:val="074315B5"/>
    <w:rsid w:val="074323B7"/>
    <w:rsid w:val="074327A4"/>
    <w:rsid w:val="07434552"/>
    <w:rsid w:val="074402CA"/>
    <w:rsid w:val="0744328A"/>
    <w:rsid w:val="07474FE1"/>
    <w:rsid w:val="07481042"/>
    <w:rsid w:val="07481C9D"/>
    <w:rsid w:val="0748606E"/>
    <w:rsid w:val="07490CF7"/>
    <w:rsid w:val="07494EF3"/>
    <w:rsid w:val="074956B5"/>
    <w:rsid w:val="07496094"/>
    <w:rsid w:val="074A10D6"/>
    <w:rsid w:val="074A1D85"/>
    <w:rsid w:val="074B1659"/>
    <w:rsid w:val="074B2D45"/>
    <w:rsid w:val="074B3407"/>
    <w:rsid w:val="074B78AB"/>
    <w:rsid w:val="074C0E53"/>
    <w:rsid w:val="074C289A"/>
    <w:rsid w:val="074D5096"/>
    <w:rsid w:val="074D53D1"/>
    <w:rsid w:val="074D717F"/>
    <w:rsid w:val="074E41E6"/>
    <w:rsid w:val="074E5322"/>
    <w:rsid w:val="074E7DFF"/>
    <w:rsid w:val="075007B5"/>
    <w:rsid w:val="07501693"/>
    <w:rsid w:val="0750320D"/>
    <w:rsid w:val="07506C6F"/>
    <w:rsid w:val="07513835"/>
    <w:rsid w:val="0752046C"/>
    <w:rsid w:val="075229E7"/>
    <w:rsid w:val="0753050D"/>
    <w:rsid w:val="07535284"/>
    <w:rsid w:val="075425B7"/>
    <w:rsid w:val="07542D4A"/>
    <w:rsid w:val="075449B1"/>
    <w:rsid w:val="07545095"/>
    <w:rsid w:val="075521B6"/>
    <w:rsid w:val="075524D7"/>
    <w:rsid w:val="07554285"/>
    <w:rsid w:val="07564CA4"/>
    <w:rsid w:val="075706A0"/>
    <w:rsid w:val="0758523A"/>
    <w:rsid w:val="07593D76"/>
    <w:rsid w:val="075A189C"/>
    <w:rsid w:val="075B1032"/>
    <w:rsid w:val="075B307A"/>
    <w:rsid w:val="075B456A"/>
    <w:rsid w:val="075B48E7"/>
    <w:rsid w:val="075C0C83"/>
    <w:rsid w:val="075C0DDB"/>
    <w:rsid w:val="075C0DE3"/>
    <w:rsid w:val="075C5614"/>
    <w:rsid w:val="075D0200"/>
    <w:rsid w:val="075D094A"/>
    <w:rsid w:val="075D1CA6"/>
    <w:rsid w:val="075D222B"/>
    <w:rsid w:val="075E0084"/>
    <w:rsid w:val="075E5A9A"/>
    <w:rsid w:val="075E75DE"/>
    <w:rsid w:val="075F3613"/>
    <w:rsid w:val="075F3DDA"/>
    <w:rsid w:val="075F6EB2"/>
    <w:rsid w:val="07603356"/>
    <w:rsid w:val="07603DBB"/>
    <w:rsid w:val="07610759"/>
    <w:rsid w:val="07610E7C"/>
    <w:rsid w:val="07623EA7"/>
    <w:rsid w:val="0762662C"/>
    <w:rsid w:val="07627E7C"/>
    <w:rsid w:val="07630750"/>
    <w:rsid w:val="07632E46"/>
    <w:rsid w:val="07634BF4"/>
    <w:rsid w:val="076358C3"/>
    <w:rsid w:val="07636392"/>
    <w:rsid w:val="076369A2"/>
    <w:rsid w:val="07636A21"/>
    <w:rsid w:val="0764271A"/>
    <w:rsid w:val="07642D5E"/>
    <w:rsid w:val="076470DA"/>
    <w:rsid w:val="0765056A"/>
    <w:rsid w:val="0765096C"/>
    <w:rsid w:val="076520DA"/>
    <w:rsid w:val="07657A12"/>
    <w:rsid w:val="07665718"/>
    <w:rsid w:val="07666F37"/>
    <w:rsid w:val="076737FD"/>
    <w:rsid w:val="07676071"/>
    <w:rsid w:val="07677374"/>
    <w:rsid w:val="07686031"/>
    <w:rsid w:val="07691ADF"/>
    <w:rsid w:val="0769280C"/>
    <w:rsid w:val="0769444D"/>
    <w:rsid w:val="07697D31"/>
    <w:rsid w:val="076A4FCC"/>
    <w:rsid w:val="076A5F83"/>
    <w:rsid w:val="076B0956"/>
    <w:rsid w:val="076B1CFB"/>
    <w:rsid w:val="076B1FC6"/>
    <w:rsid w:val="076B2A89"/>
    <w:rsid w:val="076B2C9B"/>
    <w:rsid w:val="076B7C09"/>
    <w:rsid w:val="076C049B"/>
    <w:rsid w:val="076C586C"/>
    <w:rsid w:val="076D15CF"/>
    <w:rsid w:val="076D20C9"/>
    <w:rsid w:val="076D54D0"/>
    <w:rsid w:val="076D5CF7"/>
    <w:rsid w:val="076E265F"/>
    <w:rsid w:val="076E4592"/>
    <w:rsid w:val="076F161C"/>
    <w:rsid w:val="076F17EB"/>
    <w:rsid w:val="076F5347"/>
    <w:rsid w:val="077010BF"/>
    <w:rsid w:val="07704129"/>
    <w:rsid w:val="0770567D"/>
    <w:rsid w:val="077169AB"/>
    <w:rsid w:val="07722B6E"/>
    <w:rsid w:val="07723089"/>
    <w:rsid w:val="07724621"/>
    <w:rsid w:val="07726788"/>
    <w:rsid w:val="07726BE5"/>
    <w:rsid w:val="077364BA"/>
    <w:rsid w:val="07740BAF"/>
    <w:rsid w:val="07741E3E"/>
    <w:rsid w:val="077503F3"/>
    <w:rsid w:val="07752A7B"/>
    <w:rsid w:val="077534ED"/>
    <w:rsid w:val="0775367F"/>
    <w:rsid w:val="07754928"/>
    <w:rsid w:val="077566D6"/>
    <w:rsid w:val="077611A1"/>
    <w:rsid w:val="07761D8D"/>
    <w:rsid w:val="07762B7A"/>
    <w:rsid w:val="07767530"/>
    <w:rsid w:val="07770C56"/>
    <w:rsid w:val="0777244E"/>
    <w:rsid w:val="07787200"/>
    <w:rsid w:val="07790AFB"/>
    <w:rsid w:val="07794418"/>
    <w:rsid w:val="07796572"/>
    <w:rsid w:val="07796AEE"/>
    <w:rsid w:val="077A394B"/>
    <w:rsid w:val="077A3CEC"/>
    <w:rsid w:val="077A53ED"/>
    <w:rsid w:val="077A5DA8"/>
    <w:rsid w:val="077B46E3"/>
    <w:rsid w:val="077B748B"/>
    <w:rsid w:val="077C18CC"/>
    <w:rsid w:val="077C2596"/>
    <w:rsid w:val="077C3502"/>
    <w:rsid w:val="077C5CB6"/>
    <w:rsid w:val="077C7A64"/>
    <w:rsid w:val="077D01BD"/>
    <w:rsid w:val="077D1332"/>
    <w:rsid w:val="077D5CFA"/>
    <w:rsid w:val="077E1639"/>
    <w:rsid w:val="077E2852"/>
    <w:rsid w:val="077E37DC"/>
    <w:rsid w:val="077F2163"/>
    <w:rsid w:val="077F25A1"/>
    <w:rsid w:val="0780099C"/>
    <w:rsid w:val="078046A1"/>
    <w:rsid w:val="07806315"/>
    <w:rsid w:val="078101E4"/>
    <w:rsid w:val="07810FA9"/>
    <w:rsid w:val="07812662"/>
    <w:rsid w:val="07813AC2"/>
    <w:rsid w:val="0781507A"/>
    <w:rsid w:val="0781669C"/>
    <w:rsid w:val="07816DB8"/>
    <w:rsid w:val="078232BE"/>
    <w:rsid w:val="07830DF3"/>
    <w:rsid w:val="07832BA1"/>
    <w:rsid w:val="07833AF3"/>
    <w:rsid w:val="07837045"/>
    <w:rsid w:val="07841ED9"/>
    <w:rsid w:val="07844397"/>
    <w:rsid w:val="07846919"/>
    <w:rsid w:val="07846BE4"/>
    <w:rsid w:val="0785026D"/>
    <w:rsid w:val="07850C9F"/>
    <w:rsid w:val="07853608"/>
    <w:rsid w:val="07855C66"/>
    <w:rsid w:val="078567FF"/>
    <w:rsid w:val="078605D0"/>
    <w:rsid w:val="07860AB8"/>
    <w:rsid w:val="07861D19"/>
    <w:rsid w:val="07862691"/>
    <w:rsid w:val="07864A8B"/>
    <w:rsid w:val="078678A3"/>
    <w:rsid w:val="078828AD"/>
    <w:rsid w:val="07886409"/>
    <w:rsid w:val="07887BEA"/>
    <w:rsid w:val="07893F2F"/>
    <w:rsid w:val="07897A10"/>
    <w:rsid w:val="078A03D3"/>
    <w:rsid w:val="078A0DF5"/>
    <w:rsid w:val="078A1643"/>
    <w:rsid w:val="078A1921"/>
    <w:rsid w:val="078A2181"/>
    <w:rsid w:val="078B2881"/>
    <w:rsid w:val="078B41CD"/>
    <w:rsid w:val="078B56F3"/>
    <w:rsid w:val="078B5EF9"/>
    <w:rsid w:val="078B615A"/>
    <w:rsid w:val="078C3715"/>
    <w:rsid w:val="078C4E56"/>
    <w:rsid w:val="078D50A6"/>
    <w:rsid w:val="078E1545"/>
    <w:rsid w:val="078F379E"/>
    <w:rsid w:val="078F7797"/>
    <w:rsid w:val="07906595"/>
    <w:rsid w:val="07907BE9"/>
    <w:rsid w:val="079135C1"/>
    <w:rsid w:val="07913C76"/>
    <w:rsid w:val="07924E72"/>
    <w:rsid w:val="07925A97"/>
    <w:rsid w:val="07927288"/>
    <w:rsid w:val="079317B9"/>
    <w:rsid w:val="07931EFA"/>
    <w:rsid w:val="0793331F"/>
    <w:rsid w:val="07933B81"/>
    <w:rsid w:val="07934683"/>
    <w:rsid w:val="07936306"/>
    <w:rsid w:val="07941252"/>
    <w:rsid w:val="07943119"/>
    <w:rsid w:val="07944DAE"/>
    <w:rsid w:val="07946EBC"/>
    <w:rsid w:val="07950B26"/>
    <w:rsid w:val="07961E93"/>
    <w:rsid w:val="07967631"/>
    <w:rsid w:val="07970990"/>
    <w:rsid w:val="0797489E"/>
    <w:rsid w:val="0798130C"/>
    <w:rsid w:val="079A613C"/>
    <w:rsid w:val="079A6C61"/>
    <w:rsid w:val="079B1D7A"/>
    <w:rsid w:val="079B25F2"/>
    <w:rsid w:val="079B438E"/>
    <w:rsid w:val="079C1EB4"/>
    <w:rsid w:val="079C5D55"/>
    <w:rsid w:val="079D13FE"/>
    <w:rsid w:val="079D469A"/>
    <w:rsid w:val="079E195F"/>
    <w:rsid w:val="079E2868"/>
    <w:rsid w:val="079E79DA"/>
    <w:rsid w:val="079F3753"/>
    <w:rsid w:val="079F4A52"/>
    <w:rsid w:val="079F7EE3"/>
    <w:rsid w:val="07A019A5"/>
    <w:rsid w:val="07A07BF6"/>
    <w:rsid w:val="07A07E97"/>
    <w:rsid w:val="07A10ED9"/>
    <w:rsid w:val="07A11279"/>
    <w:rsid w:val="07A174CB"/>
    <w:rsid w:val="07A3050C"/>
    <w:rsid w:val="07A31495"/>
    <w:rsid w:val="07A33243"/>
    <w:rsid w:val="07A34FF1"/>
    <w:rsid w:val="07A35568"/>
    <w:rsid w:val="07A40F6A"/>
    <w:rsid w:val="07A47695"/>
    <w:rsid w:val="07A50D69"/>
    <w:rsid w:val="07A528AC"/>
    <w:rsid w:val="07A5410D"/>
    <w:rsid w:val="07A5520D"/>
    <w:rsid w:val="07A62D33"/>
    <w:rsid w:val="07A64AE1"/>
    <w:rsid w:val="07A654B9"/>
    <w:rsid w:val="07A70F85"/>
    <w:rsid w:val="07A73C0F"/>
    <w:rsid w:val="07A82607"/>
    <w:rsid w:val="07A82966"/>
    <w:rsid w:val="07A86AAB"/>
    <w:rsid w:val="07A8744A"/>
    <w:rsid w:val="07A9580E"/>
    <w:rsid w:val="07AA259B"/>
    <w:rsid w:val="07AA5409"/>
    <w:rsid w:val="07AA756C"/>
    <w:rsid w:val="07AB0349"/>
    <w:rsid w:val="07AB20F7"/>
    <w:rsid w:val="07AB34D5"/>
    <w:rsid w:val="07AB5D76"/>
    <w:rsid w:val="07AC135C"/>
    <w:rsid w:val="07AC6AA6"/>
    <w:rsid w:val="07AD2313"/>
    <w:rsid w:val="07AD2A8E"/>
    <w:rsid w:val="07AD2C96"/>
    <w:rsid w:val="07AD40C1"/>
    <w:rsid w:val="07AD418F"/>
    <w:rsid w:val="07AD458C"/>
    <w:rsid w:val="07AD4C9F"/>
    <w:rsid w:val="07AD5E6F"/>
    <w:rsid w:val="07AF1559"/>
    <w:rsid w:val="07AF1BE8"/>
    <w:rsid w:val="07AF7E3A"/>
    <w:rsid w:val="07B00E42"/>
    <w:rsid w:val="07B0452B"/>
    <w:rsid w:val="07B05960"/>
    <w:rsid w:val="07B11801"/>
    <w:rsid w:val="07B30001"/>
    <w:rsid w:val="07B340F6"/>
    <w:rsid w:val="07B40FAC"/>
    <w:rsid w:val="07B42B96"/>
    <w:rsid w:val="07B43539"/>
    <w:rsid w:val="07B45450"/>
    <w:rsid w:val="07B471FE"/>
    <w:rsid w:val="07B5327A"/>
    <w:rsid w:val="07B53CB5"/>
    <w:rsid w:val="07B56107"/>
    <w:rsid w:val="07B57BAE"/>
    <w:rsid w:val="07B603AA"/>
    <w:rsid w:val="07B66248"/>
    <w:rsid w:val="07B70A9C"/>
    <w:rsid w:val="07B75BFD"/>
    <w:rsid w:val="07B76CEE"/>
    <w:rsid w:val="07B76EDE"/>
    <w:rsid w:val="07B77E12"/>
    <w:rsid w:val="07B83947"/>
    <w:rsid w:val="07B84AF0"/>
    <w:rsid w:val="07B87617"/>
    <w:rsid w:val="07B92A66"/>
    <w:rsid w:val="07B94814"/>
    <w:rsid w:val="07B94DE0"/>
    <w:rsid w:val="07B94EED"/>
    <w:rsid w:val="07B97B34"/>
    <w:rsid w:val="07B97FB7"/>
    <w:rsid w:val="07BA233A"/>
    <w:rsid w:val="07BB058C"/>
    <w:rsid w:val="07BB72EA"/>
    <w:rsid w:val="07BC004D"/>
    <w:rsid w:val="07BC2556"/>
    <w:rsid w:val="07BC4FEB"/>
    <w:rsid w:val="07BC5553"/>
    <w:rsid w:val="07BD4DE9"/>
    <w:rsid w:val="07BE3B57"/>
    <w:rsid w:val="07BE48E9"/>
    <w:rsid w:val="07BE541B"/>
    <w:rsid w:val="07BF1B6C"/>
    <w:rsid w:val="07BF7BC7"/>
    <w:rsid w:val="07C02047"/>
    <w:rsid w:val="07C021AC"/>
    <w:rsid w:val="07C03DF5"/>
    <w:rsid w:val="07C06F8A"/>
    <w:rsid w:val="07C1191B"/>
    <w:rsid w:val="07C15530"/>
    <w:rsid w:val="07C17654"/>
    <w:rsid w:val="07C2245E"/>
    <w:rsid w:val="07C2402B"/>
    <w:rsid w:val="07C305CC"/>
    <w:rsid w:val="07C338E5"/>
    <w:rsid w:val="07C37CC9"/>
    <w:rsid w:val="07C42416"/>
    <w:rsid w:val="07C45F24"/>
    <w:rsid w:val="07C51943"/>
    <w:rsid w:val="07C5295B"/>
    <w:rsid w:val="07C531B9"/>
    <w:rsid w:val="07C531CC"/>
    <w:rsid w:val="07C64D36"/>
    <w:rsid w:val="07C65243"/>
    <w:rsid w:val="07C733D5"/>
    <w:rsid w:val="07C7442A"/>
    <w:rsid w:val="07C75183"/>
    <w:rsid w:val="07C763BA"/>
    <w:rsid w:val="07C77907"/>
    <w:rsid w:val="07C80D97"/>
    <w:rsid w:val="07C80EFB"/>
    <w:rsid w:val="07C84D5B"/>
    <w:rsid w:val="07C92227"/>
    <w:rsid w:val="07C92ACF"/>
    <w:rsid w:val="07C94226"/>
    <w:rsid w:val="07C947F8"/>
    <w:rsid w:val="07C97B74"/>
    <w:rsid w:val="07CA07CF"/>
    <w:rsid w:val="07CB4548"/>
    <w:rsid w:val="07CB7718"/>
    <w:rsid w:val="07CC022F"/>
    <w:rsid w:val="07CC279A"/>
    <w:rsid w:val="07CC3EDA"/>
    <w:rsid w:val="07CD02C0"/>
    <w:rsid w:val="07CD33E1"/>
    <w:rsid w:val="07CD3E58"/>
    <w:rsid w:val="07CD4868"/>
    <w:rsid w:val="07CD62D1"/>
    <w:rsid w:val="07CD6512"/>
    <w:rsid w:val="07CE0FD8"/>
    <w:rsid w:val="07CE4C09"/>
    <w:rsid w:val="07CE7BF0"/>
    <w:rsid w:val="07CF0C6A"/>
    <w:rsid w:val="07CF36DD"/>
    <w:rsid w:val="07CF37B1"/>
    <w:rsid w:val="07CF4038"/>
    <w:rsid w:val="07CF6BCA"/>
    <w:rsid w:val="07D1069B"/>
    <w:rsid w:val="07D13FD6"/>
    <w:rsid w:val="07D167F0"/>
    <w:rsid w:val="07D17DB0"/>
    <w:rsid w:val="07D201BD"/>
    <w:rsid w:val="07D21D7A"/>
    <w:rsid w:val="07D24A1A"/>
    <w:rsid w:val="07D258D6"/>
    <w:rsid w:val="07D30A7B"/>
    <w:rsid w:val="07D342F8"/>
    <w:rsid w:val="07D4164E"/>
    <w:rsid w:val="07D433FC"/>
    <w:rsid w:val="07D4733A"/>
    <w:rsid w:val="07D478A0"/>
    <w:rsid w:val="07D47992"/>
    <w:rsid w:val="07D51468"/>
    <w:rsid w:val="07D5646F"/>
    <w:rsid w:val="07D63618"/>
    <w:rsid w:val="07D65032"/>
    <w:rsid w:val="07D66297"/>
    <w:rsid w:val="07D7113E"/>
    <w:rsid w:val="07D721EC"/>
    <w:rsid w:val="07D72C47"/>
    <w:rsid w:val="07D72EEC"/>
    <w:rsid w:val="07D759B8"/>
    <w:rsid w:val="07D86328"/>
    <w:rsid w:val="07D93108"/>
    <w:rsid w:val="07D9342B"/>
    <w:rsid w:val="07D96C64"/>
    <w:rsid w:val="07DA35DD"/>
    <w:rsid w:val="07DA463C"/>
    <w:rsid w:val="07DB0C2F"/>
    <w:rsid w:val="07DB536F"/>
    <w:rsid w:val="07DC0503"/>
    <w:rsid w:val="07DC2572"/>
    <w:rsid w:val="07DC4465"/>
    <w:rsid w:val="07DC5D09"/>
    <w:rsid w:val="07DC7C3B"/>
    <w:rsid w:val="07DD10C4"/>
    <w:rsid w:val="07DD46FE"/>
    <w:rsid w:val="07DD49A7"/>
    <w:rsid w:val="07DD4C6C"/>
    <w:rsid w:val="07DD4EB4"/>
    <w:rsid w:val="07DE071F"/>
    <w:rsid w:val="07DE1B77"/>
    <w:rsid w:val="07DE427B"/>
    <w:rsid w:val="07DE4FEA"/>
    <w:rsid w:val="07DE5683"/>
    <w:rsid w:val="07DF3D55"/>
    <w:rsid w:val="07E04497"/>
    <w:rsid w:val="07E061E5"/>
    <w:rsid w:val="07E10A3D"/>
    <w:rsid w:val="07E114BD"/>
    <w:rsid w:val="07E1180F"/>
    <w:rsid w:val="07E13D6B"/>
    <w:rsid w:val="07E15B19"/>
    <w:rsid w:val="07E20628"/>
    <w:rsid w:val="07E23B69"/>
    <w:rsid w:val="07E326C7"/>
    <w:rsid w:val="07E3599F"/>
    <w:rsid w:val="07E421EE"/>
    <w:rsid w:val="07E5393C"/>
    <w:rsid w:val="07E5511D"/>
    <w:rsid w:val="07E55609"/>
    <w:rsid w:val="07E62F67"/>
    <w:rsid w:val="07E6312F"/>
    <w:rsid w:val="07E7329D"/>
    <w:rsid w:val="07E775D3"/>
    <w:rsid w:val="07E804E9"/>
    <w:rsid w:val="07E8334B"/>
    <w:rsid w:val="07E971D4"/>
    <w:rsid w:val="07EA0E72"/>
    <w:rsid w:val="07EA20E2"/>
    <w:rsid w:val="07EA2C20"/>
    <w:rsid w:val="07EA70C4"/>
    <w:rsid w:val="07EB0445"/>
    <w:rsid w:val="07EB378A"/>
    <w:rsid w:val="07EB55C1"/>
    <w:rsid w:val="07EC2E3C"/>
    <w:rsid w:val="07EC31CD"/>
    <w:rsid w:val="07EC6998"/>
    <w:rsid w:val="07ED0962"/>
    <w:rsid w:val="07ED2504"/>
    <w:rsid w:val="07ED2710"/>
    <w:rsid w:val="07ED433C"/>
    <w:rsid w:val="07ED4390"/>
    <w:rsid w:val="07EE1B5D"/>
    <w:rsid w:val="07EF0419"/>
    <w:rsid w:val="07EF7A92"/>
    <w:rsid w:val="07F013AD"/>
    <w:rsid w:val="07F04445"/>
    <w:rsid w:val="07F10452"/>
    <w:rsid w:val="07F12200"/>
    <w:rsid w:val="07F146AA"/>
    <w:rsid w:val="07F25F78"/>
    <w:rsid w:val="07F403A3"/>
    <w:rsid w:val="07F406C4"/>
    <w:rsid w:val="07F414F5"/>
    <w:rsid w:val="07F41CF0"/>
    <w:rsid w:val="07F4584C"/>
    <w:rsid w:val="07F54BF5"/>
    <w:rsid w:val="07F57283"/>
    <w:rsid w:val="07F615C4"/>
    <w:rsid w:val="07F6237F"/>
    <w:rsid w:val="07F633C4"/>
    <w:rsid w:val="07F752A5"/>
    <w:rsid w:val="07F773D4"/>
    <w:rsid w:val="07F77E76"/>
    <w:rsid w:val="07F817E1"/>
    <w:rsid w:val="07F83653"/>
    <w:rsid w:val="07F86788"/>
    <w:rsid w:val="07F9162E"/>
    <w:rsid w:val="07F92796"/>
    <w:rsid w:val="07F92E21"/>
    <w:rsid w:val="07F9639C"/>
    <w:rsid w:val="07FA04AA"/>
    <w:rsid w:val="07FA4DD4"/>
    <w:rsid w:val="07FB4E2D"/>
    <w:rsid w:val="07FB6BDB"/>
    <w:rsid w:val="07FB7581"/>
    <w:rsid w:val="07FC0BA5"/>
    <w:rsid w:val="07FC2953"/>
    <w:rsid w:val="07FC3008"/>
    <w:rsid w:val="07FC357B"/>
    <w:rsid w:val="07FC7F20"/>
    <w:rsid w:val="07FD0766"/>
    <w:rsid w:val="07FD1E7E"/>
    <w:rsid w:val="07FD6DF7"/>
    <w:rsid w:val="07FE66CB"/>
    <w:rsid w:val="07FF4C48"/>
    <w:rsid w:val="07FF69DF"/>
    <w:rsid w:val="07FF6FB2"/>
    <w:rsid w:val="08000695"/>
    <w:rsid w:val="08010174"/>
    <w:rsid w:val="08012539"/>
    <w:rsid w:val="08012AFF"/>
    <w:rsid w:val="08014087"/>
    <w:rsid w:val="08016248"/>
    <w:rsid w:val="080261BB"/>
    <w:rsid w:val="08033CE1"/>
    <w:rsid w:val="08036F95"/>
    <w:rsid w:val="0805162E"/>
    <w:rsid w:val="08053EFD"/>
    <w:rsid w:val="08056F60"/>
    <w:rsid w:val="08057A5A"/>
    <w:rsid w:val="080621C9"/>
    <w:rsid w:val="080635D2"/>
    <w:rsid w:val="080717AD"/>
    <w:rsid w:val="08071A24"/>
    <w:rsid w:val="08077664"/>
    <w:rsid w:val="080812F8"/>
    <w:rsid w:val="080976BA"/>
    <w:rsid w:val="080A5070"/>
    <w:rsid w:val="080B309C"/>
    <w:rsid w:val="080B7A55"/>
    <w:rsid w:val="080B7C62"/>
    <w:rsid w:val="080B7F71"/>
    <w:rsid w:val="080C0DE8"/>
    <w:rsid w:val="080C5340"/>
    <w:rsid w:val="080C703A"/>
    <w:rsid w:val="080D4B60"/>
    <w:rsid w:val="080F08D8"/>
    <w:rsid w:val="080F25EF"/>
    <w:rsid w:val="080F6B2A"/>
    <w:rsid w:val="080F7797"/>
    <w:rsid w:val="08101C07"/>
    <w:rsid w:val="081163FE"/>
    <w:rsid w:val="08116AC6"/>
    <w:rsid w:val="081172DC"/>
    <w:rsid w:val="08122176"/>
    <w:rsid w:val="08123F24"/>
    <w:rsid w:val="08124EDD"/>
    <w:rsid w:val="08126BA7"/>
    <w:rsid w:val="08135F0E"/>
    <w:rsid w:val="08147C9D"/>
    <w:rsid w:val="08153CC8"/>
    <w:rsid w:val="08155CBF"/>
    <w:rsid w:val="08156CBB"/>
    <w:rsid w:val="08157E36"/>
    <w:rsid w:val="081631DD"/>
    <w:rsid w:val="08163A15"/>
    <w:rsid w:val="08165D04"/>
    <w:rsid w:val="08167EB9"/>
    <w:rsid w:val="081736D9"/>
    <w:rsid w:val="08176116"/>
    <w:rsid w:val="081763DD"/>
    <w:rsid w:val="0817778D"/>
    <w:rsid w:val="08181EDC"/>
    <w:rsid w:val="081822AF"/>
    <w:rsid w:val="08183875"/>
    <w:rsid w:val="081859DF"/>
    <w:rsid w:val="08186A3D"/>
    <w:rsid w:val="08191757"/>
    <w:rsid w:val="08193505"/>
    <w:rsid w:val="081952B3"/>
    <w:rsid w:val="081960FE"/>
    <w:rsid w:val="08197AC6"/>
    <w:rsid w:val="081A2333"/>
    <w:rsid w:val="081A2BCF"/>
    <w:rsid w:val="081A34C5"/>
    <w:rsid w:val="081A4407"/>
    <w:rsid w:val="081B54CF"/>
    <w:rsid w:val="081B6C28"/>
    <w:rsid w:val="081B6C83"/>
    <w:rsid w:val="081C1907"/>
    <w:rsid w:val="081C2723"/>
    <w:rsid w:val="081C3AE2"/>
    <w:rsid w:val="081C5DBC"/>
    <w:rsid w:val="081C7C37"/>
    <w:rsid w:val="081D1A2F"/>
    <w:rsid w:val="081D1B91"/>
    <w:rsid w:val="081D26BF"/>
    <w:rsid w:val="081D2FF5"/>
    <w:rsid w:val="081D70DE"/>
    <w:rsid w:val="081E0B1B"/>
    <w:rsid w:val="081E4FBF"/>
    <w:rsid w:val="081F6369"/>
    <w:rsid w:val="082038E6"/>
    <w:rsid w:val="08206641"/>
    <w:rsid w:val="08210B2A"/>
    <w:rsid w:val="082201E1"/>
    <w:rsid w:val="0822685D"/>
    <w:rsid w:val="082425D6"/>
    <w:rsid w:val="08243889"/>
    <w:rsid w:val="0824502F"/>
    <w:rsid w:val="08247144"/>
    <w:rsid w:val="082473AA"/>
    <w:rsid w:val="08251EAA"/>
    <w:rsid w:val="08254F79"/>
    <w:rsid w:val="08257851"/>
    <w:rsid w:val="082608E1"/>
    <w:rsid w:val="082617B3"/>
    <w:rsid w:val="08262FFB"/>
    <w:rsid w:val="08267A99"/>
    <w:rsid w:val="08275C22"/>
    <w:rsid w:val="082779D0"/>
    <w:rsid w:val="0828199A"/>
    <w:rsid w:val="08284E94"/>
    <w:rsid w:val="08287C44"/>
    <w:rsid w:val="08290134"/>
    <w:rsid w:val="08292423"/>
    <w:rsid w:val="08292CF9"/>
    <w:rsid w:val="08296F31"/>
    <w:rsid w:val="08297BEC"/>
    <w:rsid w:val="082A0832"/>
    <w:rsid w:val="082A0972"/>
    <w:rsid w:val="082A2DAB"/>
    <w:rsid w:val="082A3964"/>
    <w:rsid w:val="082A74C0"/>
    <w:rsid w:val="082B2A54"/>
    <w:rsid w:val="082B644F"/>
    <w:rsid w:val="082C3238"/>
    <w:rsid w:val="082C3EE4"/>
    <w:rsid w:val="082D0782"/>
    <w:rsid w:val="082D4FDC"/>
    <w:rsid w:val="082D6900"/>
    <w:rsid w:val="082D6AB5"/>
    <w:rsid w:val="082E1370"/>
    <w:rsid w:val="082E5202"/>
    <w:rsid w:val="082E7C35"/>
    <w:rsid w:val="082F0F7A"/>
    <w:rsid w:val="082F24F1"/>
    <w:rsid w:val="082F2D28"/>
    <w:rsid w:val="082F6A38"/>
    <w:rsid w:val="08302EC2"/>
    <w:rsid w:val="0831084F"/>
    <w:rsid w:val="08325F32"/>
    <w:rsid w:val="08326375"/>
    <w:rsid w:val="0834033F"/>
    <w:rsid w:val="08342387"/>
    <w:rsid w:val="08345A27"/>
    <w:rsid w:val="08352454"/>
    <w:rsid w:val="083558B2"/>
    <w:rsid w:val="08361E4D"/>
    <w:rsid w:val="083640B7"/>
    <w:rsid w:val="08365E65"/>
    <w:rsid w:val="0837350B"/>
    <w:rsid w:val="083759BC"/>
    <w:rsid w:val="08380AE9"/>
    <w:rsid w:val="08381BDD"/>
    <w:rsid w:val="08382AFE"/>
    <w:rsid w:val="08386081"/>
    <w:rsid w:val="08387E2F"/>
    <w:rsid w:val="08397B3A"/>
    <w:rsid w:val="083A448F"/>
    <w:rsid w:val="083B347B"/>
    <w:rsid w:val="083B5AD2"/>
    <w:rsid w:val="083C3FA6"/>
    <w:rsid w:val="083C4D55"/>
    <w:rsid w:val="083D3697"/>
    <w:rsid w:val="083D55DC"/>
    <w:rsid w:val="083E0E60"/>
    <w:rsid w:val="083E11BD"/>
    <w:rsid w:val="083E4D1A"/>
    <w:rsid w:val="083F0ECA"/>
    <w:rsid w:val="083F4EEE"/>
    <w:rsid w:val="083F73D3"/>
    <w:rsid w:val="084021EB"/>
    <w:rsid w:val="08403721"/>
    <w:rsid w:val="08422A5C"/>
    <w:rsid w:val="08424C55"/>
    <w:rsid w:val="08426984"/>
    <w:rsid w:val="08430582"/>
    <w:rsid w:val="08433F9D"/>
    <w:rsid w:val="084367D4"/>
    <w:rsid w:val="08444A26"/>
    <w:rsid w:val="084452C6"/>
    <w:rsid w:val="08451B54"/>
    <w:rsid w:val="084524D0"/>
    <w:rsid w:val="084560BE"/>
    <w:rsid w:val="08465830"/>
    <w:rsid w:val="08466D09"/>
    <w:rsid w:val="0846765B"/>
    <w:rsid w:val="08467D17"/>
    <w:rsid w:val="08470816"/>
    <w:rsid w:val="08470987"/>
    <w:rsid w:val="08470B97"/>
    <w:rsid w:val="08475D24"/>
    <w:rsid w:val="08485B98"/>
    <w:rsid w:val="0849203C"/>
    <w:rsid w:val="08496FD6"/>
    <w:rsid w:val="084A1910"/>
    <w:rsid w:val="084A5DB4"/>
    <w:rsid w:val="084B1D3D"/>
    <w:rsid w:val="084B203D"/>
    <w:rsid w:val="084C2DF6"/>
    <w:rsid w:val="084C4FFE"/>
    <w:rsid w:val="084D495D"/>
    <w:rsid w:val="084E1401"/>
    <w:rsid w:val="084E4126"/>
    <w:rsid w:val="084F09BE"/>
    <w:rsid w:val="084F5179"/>
    <w:rsid w:val="08500560"/>
    <w:rsid w:val="0850116D"/>
    <w:rsid w:val="08514123"/>
    <w:rsid w:val="08514A25"/>
    <w:rsid w:val="08515EAF"/>
    <w:rsid w:val="08520F7B"/>
    <w:rsid w:val="085229C8"/>
    <w:rsid w:val="08523443"/>
    <w:rsid w:val="0852733F"/>
    <w:rsid w:val="085326D3"/>
    <w:rsid w:val="085344EB"/>
    <w:rsid w:val="08534C69"/>
    <w:rsid w:val="08536A17"/>
    <w:rsid w:val="085409E1"/>
    <w:rsid w:val="08540F64"/>
    <w:rsid w:val="08541FDC"/>
    <w:rsid w:val="085510CA"/>
    <w:rsid w:val="08564759"/>
    <w:rsid w:val="0857043C"/>
    <w:rsid w:val="0857162B"/>
    <w:rsid w:val="08571D21"/>
    <w:rsid w:val="0857334F"/>
    <w:rsid w:val="08573DCE"/>
    <w:rsid w:val="08577C79"/>
    <w:rsid w:val="08580BB0"/>
    <w:rsid w:val="0858227F"/>
    <w:rsid w:val="0858402D"/>
    <w:rsid w:val="08590BF3"/>
    <w:rsid w:val="085911F2"/>
    <w:rsid w:val="08591B53"/>
    <w:rsid w:val="08597447"/>
    <w:rsid w:val="085A2E39"/>
    <w:rsid w:val="085A5111"/>
    <w:rsid w:val="085A5FF7"/>
    <w:rsid w:val="085B1B32"/>
    <w:rsid w:val="085B3B1D"/>
    <w:rsid w:val="085C154A"/>
    <w:rsid w:val="085C466A"/>
    <w:rsid w:val="085C68E7"/>
    <w:rsid w:val="085D1644"/>
    <w:rsid w:val="085D49AF"/>
    <w:rsid w:val="085D5AE7"/>
    <w:rsid w:val="085D7896"/>
    <w:rsid w:val="085D7D59"/>
    <w:rsid w:val="085E0FE7"/>
    <w:rsid w:val="085E366B"/>
    <w:rsid w:val="085E4B90"/>
    <w:rsid w:val="085E73EB"/>
    <w:rsid w:val="08602EE2"/>
    <w:rsid w:val="08607386"/>
    <w:rsid w:val="08624EAC"/>
    <w:rsid w:val="08627692"/>
    <w:rsid w:val="086329D2"/>
    <w:rsid w:val="08633105"/>
    <w:rsid w:val="08634780"/>
    <w:rsid w:val="08634838"/>
    <w:rsid w:val="08636F26"/>
    <w:rsid w:val="08640C24"/>
    <w:rsid w:val="08641605"/>
    <w:rsid w:val="08643561"/>
    <w:rsid w:val="0865272D"/>
    <w:rsid w:val="08652BE4"/>
    <w:rsid w:val="086555C6"/>
    <w:rsid w:val="08661E21"/>
    <w:rsid w:val="08665523"/>
    <w:rsid w:val="08670714"/>
    <w:rsid w:val="08687FE8"/>
    <w:rsid w:val="08690878"/>
    <w:rsid w:val="086929F5"/>
    <w:rsid w:val="08694136"/>
    <w:rsid w:val="08694546"/>
    <w:rsid w:val="0869652D"/>
    <w:rsid w:val="0869724D"/>
    <w:rsid w:val="086A3EDB"/>
    <w:rsid w:val="086A5B0F"/>
    <w:rsid w:val="086A5ED0"/>
    <w:rsid w:val="086A6A56"/>
    <w:rsid w:val="086B13D9"/>
    <w:rsid w:val="086B1627"/>
    <w:rsid w:val="086B78C1"/>
    <w:rsid w:val="086C0075"/>
    <w:rsid w:val="086C60E5"/>
    <w:rsid w:val="086D0798"/>
    <w:rsid w:val="086D3767"/>
    <w:rsid w:val="086E53D7"/>
    <w:rsid w:val="086E55FF"/>
    <w:rsid w:val="086F1377"/>
    <w:rsid w:val="086F75C9"/>
    <w:rsid w:val="08703EB1"/>
    <w:rsid w:val="08707CF7"/>
    <w:rsid w:val="08713C65"/>
    <w:rsid w:val="08713D58"/>
    <w:rsid w:val="087207C5"/>
    <w:rsid w:val="0873379F"/>
    <w:rsid w:val="087338F1"/>
    <w:rsid w:val="08741249"/>
    <w:rsid w:val="08744BDF"/>
    <w:rsid w:val="0874698D"/>
    <w:rsid w:val="087476E1"/>
    <w:rsid w:val="08752E31"/>
    <w:rsid w:val="08753B69"/>
    <w:rsid w:val="087553A7"/>
    <w:rsid w:val="08762001"/>
    <w:rsid w:val="08762705"/>
    <w:rsid w:val="0876617D"/>
    <w:rsid w:val="087701F1"/>
    <w:rsid w:val="087710C7"/>
    <w:rsid w:val="087846CF"/>
    <w:rsid w:val="087921F6"/>
    <w:rsid w:val="08792F04"/>
    <w:rsid w:val="08793FA4"/>
    <w:rsid w:val="087950BB"/>
    <w:rsid w:val="0879522B"/>
    <w:rsid w:val="087B1D25"/>
    <w:rsid w:val="087B2571"/>
    <w:rsid w:val="087B7547"/>
    <w:rsid w:val="087D22FB"/>
    <w:rsid w:val="087D3930"/>
    <w:rsid w:val="087D6525"/>
    <w:rsid w:val="087E15BA"/>
    <w:rsid w:val="087F16C3"/>
    <w:rsid w:val="088011FC"/>
    <w:rsid w:val="08801380"/>
    <w:rsid w:val="08805332"/>
    <w:rsid w:val="088060A5"/>
    <w:rsid w:val="08807166"/>
    <w:rsid w:val="088133BB"/>
    <w:rsid w:val="08813BD2"/>
    <w:rsid w:val="08824D69"/>
    <w:rsid w:val="088272FC"/>
    <w:rsid w:val="088359A5"/>
    <w:rsid w:val="088415E1"/>
    <w:rsid w:val="08844928"/>
    <w:rsid w:val="0884695F"/>
    <w:rsid w:val="08850B9A"/>
    <w:rsid w:val="08853181"/>
    <w:rsid w:val="08860884"/>
    <w:rsid w:val="08872B64"/>
    <w:rsid w:val="08874912"/>
    <w:rsid w:val="08874E83"/>
    <w:rsid w:val="08875F7E"/>
    <w:rsid w:val="088821E1"/>
    <w:rsid w:val="08883D73"/>
    <w:rsid w:val="0888557C"/>
    <w:rsid w:val="08886B74"/>
    <w:rsid w:val="088912A9"/>
    <w:rsid w:val="08891D73"/>
    <w:rsid w:val="08896BA5"/>
    <w:rsid w:val="088A61B1"/>
    <w:rsid w:val="088A6822"/>
    <w:rsid w:val="088A7F5F"/>
    <w:rsid w:val="088B2F12"/>
    <w:rsid w:val="088B3BC8"/>
    <w:rsid w:val="088B52FA"/>
    <w:rsid w:val="088C011D"/>
    <w:rsid w:val="088C017B"/>
    <w:rsid w:val="088C1F29"/>
    <w:rsid w:val="088D1B13"/>
    <w:rsid w:val="088D1B79"/>
    <w:rsid w:val="088D3B45"/>
    <w:rsid w:val="088E3F19"/>
    <w:rsid w:val="088E5CA1"/>
    <w:rsid w:val="088F246E"/>
    <w:rsid w:val="088F36CD"/>
    <w:rsid w:val="088F37C7"/>
    <w:rsid w:val="088F72E1"/>
    <w:rsid w:val="08900771"/>
    <w:rsid w:val="08901A19"/>
    <w:rsid w:val="08902440"/>
    <w:rsid w:val="0890375C"/>
    <w:rsid w:val="0891753F"/>
    <w:rsid w:val="0892698D"/>
    <w:rsid w:val="08930CCB"/>
    <w:rsid w:val="089332B7"/>
    <w:rsid w:val="08935065"/>
    <w:rsid w:val="089360E9"/>
    <w:rsid w:val="08940DDD"/>
    <w:rsid w:val="08941CC3"/>
    <w:rsid w:val="08953153"/>
    <w:rsid w:val="08963EFC"/>
    <w:rsid w:val="08964355"/>
    <w:rsid w:val="08964B56"/>
    <w:rsid w:val="089705DE"/>
    <w:rsid w:val="08973E29"/>
    <w:rsid w:val="08975A73"/>
    <w:rsid w:val="08976962"/>
    <w:rsid w:val="089808CE"/>
    <w:rsid w:val="0898372A"/>
    <w:rsid w:val="08993492"/>
    <w:rsid w:val="08993991"/>
    <w:rsid w:val="089A180F"/>
    <w:rsid w:val="089A2898"/>
    <w:rsid w:val="089A4646"/>
    <w:rsid w:val="089B03BE"/>
    <w:rsid w:val="089C0455"/>
    <w:rsid w:val="089C0C01"/>
    <w:rsid w:val="089C161B"/>
    <w:rsid w:val="089C1A9E"/>
    <w:rsid w:val="089C3187"/>
    <w:rsid w:val="089D2EAF"/>
    <w:rsid w:val="089D4136"/>
    <w:rsid w:val="089E3A0A"/>
    <w:rsid w:val="089F0CDC"/>
    <w:rsid w:val="089F1C5C"/>
    <w:rsid w:val="089F5390"/>
    <w:rsid w:val="089F7EAE"/>
    <w:rsid w:val="08A01759"/>
    <w:rsid w:val="08A059D4"/>
    <w:rsid w:val="08A07179"/>
    <w:rsid w:val="08A07782"/>
    <w:rsid w:val="08A1358F"/>
    <w:rsid w:val="08A2174C"/>
    <w:rsid w:val="08A227D8"/>
    <w:rsid w:val="08A232D3"/>
    <w:rsid w:val="08A2799E"/>
    <w:rsid w:val="08A35757"/>
    <w:rsid w:val="08A41020"/>
    <w:rsid w:val="08A41CF1"/>
    <w:rsid w:val="08A41DC0"/>
    <w:rsid w:val="08A4283A"/>
    <w:rsid w:val="08A460BD"/>
    <w:rsid w:val="08A52FEB"/>
    <w:rsid w:val="08A54D99"/>
    <w:rsid w:val="08A6123D"/>
    <w:rsid w:val="08A61F56"/>
    <w:rsid w:val="08A62997"/>
    <w:rsid w:val="08A645F9"/>
    <w:rsid w:val="08A70B11"/>
    <w:rsid w:val="08A74FB5"/>
    <w:rsid w:val="08A8494A"/>
    <w:rsid w:val="08A93F08"/>
    <w:rsid w:val="08A96526"/>
    <w:rsid w:val="08A96637"/>
    <w:rsid w:val="08AA0601"/>
    <w:rsid w:val="08AA622E"/>
    <w:rsid w:val="08AB6853"/>
    <w:rsid w:val="08AC25CB"/>
    <w:rsid w:val="08AC3C6F"/>
    <w:rsid w:val="08AC4379"/>
    <w:rsid w:val="08AC4EE0"/>
    <w:rsid w:val="08AD10B6"/>
    <w:rsid w:val="08AE173A"/>
    <w:rsid w:val="08AF4D90"/>
    <w:rsid w:val="08AF5037"/>
    <w:rsid w:val="08AF5C17"/>
    <w:rsid w:val="08AF5ED0"/>
    <w:rsid w:val="08B00669"/>
    <w:rsid w:val="08B03AEE"/>
    <w:rsid w:val="08B0715A"/>
    <w:rsid w:val="08B07800"/>
    <w:rsid w:val="08B111EB"/>
    <w:rsid w:val="08B1198F"/>
    <w:rsid w:val="08B125BC"/>
    <w:rsid w:val="08B12EB5"/>
    <w:rsid w:val="08B1373D"/>
    <w:rsid w:val="08B1661A"/>
    <w:rsid w:val="08B1774D"/>
    <w:rsid w:val="08B17BE1"/>
    <w:rsid w:val="08B226FB"/>
    <w:rsid w:val="08B34868"/>
    <w:rsid w:val="08B351E7"/>
    <w:rsid w:val="08B35707"/>
    <w:rsid w:val="08B51480"/>
    <w:rsid w:val="08B5322E"/>
    <w:rsid w:val="08B53F9B"/>
    <w:rsid w:val="08B55272"/>
    <w:rsid w:val="08B60875"/>
    <w:rsid w:val="08B651F8"/>
    <w:rsid w:val="08B65B0E"/>
    <w:rsid w:val="08B7391C"/>
    <w:rsid w:val="08B76B10"/>
    <w:rsid w:val="08B80F70"/>
    <w:rsid w:val="08B917A7"/>
    <w:rsid w:val="08B92400"/>
    <w:rsid w:val="08BA0844"/>
    <w:rsid w:val="08BA3D62"/>
    <w:rsid w:val="08BA3F61"/>
    <w:rsid w:val="08BA4CE8"/>
    <w:rsid w:val="08BB45BC"/>
    <w:rsid w:val="08BC0A60"/>
    <w:rsid w:val="08BD0334"/>
    <w:rsid w:val="08BD039C"/>
    <w:rsid w:val="08BF0D0B"/>
    <w:rsid w:val="08BF5B40"/>
    <w:rsid w:val="08BF5E5A"/>
    <w:rsid w:val="08C03213"/>
    <w:rsid w:val="08C065C6"/>
    <w:rsid w:val="08C10A08"/>
    <w:rsid w:val="08C16076"/>
    <w:rsid w:val="08C22170"/>
    <w:rsid w:val="08C23B9D"/>
    <w:rsid w:val="08C2594B"/>
    <w:rsid w:val="08C276F9"/>
    <w:rsid w:val="08C27A38"/>
    <w:rsid w:val="08C33600"/>
    <w:rsid w:val="08C40967"/>
    <w:rsid w:val="08C42EFA"/>
    <w:rsid w:val="08C475A4"/>
    <w:rsid w:val="08C47915"/>
    <w:rsid w:val="08C5524C"/>
    <w:rsid w:val="08C5581A"/>
    <w:rsid w:val="08C571E9"/>
    <w:rsid w:val="08C6368D"/>
    <w:rsid w:val="08C70DFF"/>
    <w:rsid w:val="08C77405"/>
    <w:rsid w:val="08C85FE2"/>
    <w:rsid w:val="08C90A87"/>
    <w:rsid w:val="08C944A5"/>
    <w:rsid w:val="08C94F2B"/>
    <w:rsid w:val="08CA3AB0"/>
    <w:rsid w:val="08CA47FF"/>
    <w:rsid w:val="08CB2A51"/>
    <w:rsid w:val="08CB5D8B"/>
    <w:rsid w:val="08CC2596"/>
    <w:rsid w:val="08CC54AD"/>
    <w:rsid w:val="08CC5DF3"/>
    <w:rsid w:val="08CD504F"/>
    <w:rsid w:val="08CE0793"/>
    <w:rsid w:val="08CE1261"/>
    <w:rsid w:val="08CE42EF"/>
    <w:rsid w:val="08CE609D"/>
    <w:rsid w:val="08D07B0D"/>
    <w:rsid w:val="08D07D09"/>
    <w:rsid w:val="08D12032"/>
    <w:rsid w:val="08D131E7"/>
    <w:rsid w:val="08D15B8E"/>
    <w:rsid w:val="08D24043"/>
    <w:rsid w:val="08D245C0"/>
    <w:rsid w:val="08D318F1"/>
    <w:rsid w:val="08D35DAA"/>
    <w:rsid w:val="08D37B58"/>
    <w:rsid w:val="08D408AC"/>
    <w:rsid w:val="08D44B24"/>
    <w:rsid w:val="08D505E6"/>
    <w:rsid w:val="08D51B22"/>
    <w:rsid w:val="08D5567E"/>
    <w:rsid w:val="08D55A15"/>
    <w:rsid w:val="08D573DF"/>
    <w:rsid w:val="08D62921"/>
    <w:rsid w:val="08D631A4"/>
    <w:rsid w:val="08D678AB"/>
    <w:rsid w:val="08D7103A"/>
    <w:rsid w:val="08D77648"/>
    <w:rsid w:val="08D819CD"/>
    <w:rsid w:val="08D8516E"/>
    <w:rsid w:val="08D87384"/>
    <w:rsid w:val="08D93873"/>
    <w:rsid w:val="08DA0EE6"/>
    <w:rsid w:val="08DA318F"/>
    <w:rsid w:val="08DB178F"/>
    <w:rsid w:val="08DB2FD9"/>
    <w:rsid w:val="08DB4458"/>
    <w:rsid w:val="08DB4E5B"/>
    <w:rsid w:val="08DB6A0C"/>
    <w:rsid w:val="08DC3D41"/>
    <w:rsid w:val="08DC6358"/>
    <w:rsid w:val="08DD09D6"/>
    <w:rsid w:val="08DD2784"/>
    <w:rsid w:val="08DD61D3"/>
    <w:rsid w:val="08DD6914"/>
    <w:rsid w:val="08DE5FDE"/>
    <w:rsid w:val="08DF3D08"/>
    <w:rsid w:val="08DF474E"/>
    <w:rsid w:val="08E02B28"/>
    <w:rsid w:val="08E03084"/>
    <w:rsid w:val="08E04023"/>
    <w:rsid w:val="08E05168"/>
    <w:rsid w:val="08E056F9"/>
    <w:rsid w:val="08E0683A"/>
    <w:rsid w:val="08E11A69"/>
    <w:rsid w:val="08E12275"/>
    <w:rsid w:val="08E1269F"/>
    <w:rsid w:val="08E21B49"/>
    <w:rsid w:val="08E2554E"/>
    <w:rsid w:val="08E25FED"/>
    <w:rsid w:val="08E27768"/>
    <w:rsid w:val="08E27D9B"/>
    <w:rsid w:val="08E314A9"/>
    <w:rsid w:val="08E31EF5"/>
    <w:rsid w:val="08E41D65"/>
    <w:rsid w:val="08E4407A"/>
    <w:rsid w:val="08E4451F"/>
    <w:rsid w:val="08E458C1"/>
    <w:rsid w:val="08E46EED"/>
    <w:rsid w:val="08E5548F"/>
    <w:rsid w:val="08E554B3"/>
    <w:rsid w:val="08E57A4A"/>
    <w:rsid w:val="08E638E8"/>
    <w:rsid w:val="08E73D8A"/>
    <w:rsid w:val="08E753B1"/>
    <w:rsid w:val="08E7715F"/>
    <w:rsid w:val="08E81855"/>
    <w:rsid w:val="08E84690"/>
    <w:rsid w:val="08E931D2"/>
    <w:rsid w:val="08E95C7A"/>
    <w:rsid w:val="08E96A5C"/>
    <w:rsid w:val="08EA361C"/>
    <w:rsid w:val="08EB280C"/>
    <w:rsid w:val="08EB41D9"/>
    <w:rsid w:val="08EB6E65"/>
    <w:rsid w:val="08EC29C7"/>
    <w:rsid w:val="08EC3C9C"/>
    <w:rsid w:val="08EC621F"/>
    <w:rsid w:val="08ED512C"/>
    <w:rsid w:val="08ED686D"/>
    <w:rsid w:val="08EE04EE"/>
    <w:rsid w:val="08EE3155"/>
    <w:rsid w:val="08EE36E3"/>
    <w:rsid w:val="08EE4992"/>
    <w:rsid w:val="08EF0FBE"/>
    <w:rsid w:val="08EF3D5E"/>
    <w:rsid w:val="08F04266"/>
    <w:rsid w:val="08F10C96"/>
    <w:rsid w:val="08F17FDE"/>
    <w:rsid w:val="08F23D23"/>
    <w:rsid w:val="08F24482"/>
    <w:rsid w:val="08F24628"/>
    <w:rsid w:val="08F26165"/>
    <w:rsid w:val="08F301FA"/>
    <w:rsid w:val="08F41C35"/>
    <w:rsid w:val="08F530BE"/>
    <w:rsid w:val="08F655F4"/>
    <w:rsid w:val="08F6791F"/>
    <w:rsid w:val="08F7013C"/>
    <w:rsid w:val="08F70DAF"/>
    <w:rsid w:val="08F71A98"/>
    <w:rsid w:val="08F765A8"/>
    <w:rsid w:val="08F85810"/>
    <w:rsid w:val="08FA3790"/>
    <w:rsid w:val="08FA6E92"/>
    <w:rsid w:val="08FB050E"/>
    <w:rsid w:val="08FB2C0B"/>
    <w:rsid w:val="08FB4B9D"/>
    <w:rsid w:val="08FB654F"/>
    <w:rsid w:val="08FC0E5C"/>
    <w:rsid w:val="08FC2BFD"/>
    <w:rsid w:val="08FC4B3E"/>
    <w:rsid w:val="08FC70AE"/>
    <w:rsid w:val="08FD1C5F"/>
    <w:rsid w:val="08FD204C"/>
    <w:rsid w:val="08FD6983"/>
    <w:rsid w:val="08FE19D5"/>
    <w:rsid w:val="08FE47F6"/>
    <w:rsid w:val="08FE77F2"/>
    <w:rsid w:val="08FF094D"/>
    <w:rsid w:val="08FF26FB"/>
    <w:rsid w:val="08FF6B9F"/>
    <w:rsid w:val="09000221"/>
    <w:rsid w:val="090002CE"/>
    <w:rsid w:val="09013917"/>
    <w:rsid w:val="09013B7F"/>
    <w:rsid w:val="090146C5"/>
    <w:rsid w:val="0901708A"/>
    <w:rsid w:val="090177C3"/>
    <w:rsid w:val="09017942"/>
    <w:rsid w:val="09021349"/>
    <w:rsid w:val="090221EB"/>
    <w:rsid w:val="0902306C"/>
    <w:rsid w:val="09023F99"/>
    <w:rsid w:val="09024A32"/>
    <w:rsid w:val="09026023"/>
    <w:rsid w:val="09030A93"/>
    <w:rsid w:val="090319F6"/>
    <w:rsid w:val="09033799"/>
    <w:rsid w:val="09033A46"/>
    <w:rsid w:val="09043060"/>
    <w:rsid w:val="09050E3F"/>
    <w:rsid w:val="090549A5"/>
    <w:rsid w:val="09054CF6"/>
    <w:rsid w:val="0905564F"/>
    <w:rsid w:val="09060634"/>
    <w:rsid w:val="09060A4E"/>
    <w:rsid w:val="09062600"/>
    <w:rsid w:val="09063A89"/>
    <w:rsid w:val="090643B3"/>
    <w:rsid w:val="09065A80"/>
    <w:rsid w:val="09067F2D"/>
    <w:rsid w:val="090708A4"/>
    <w:rsid w:val="090715AF"/>
    <w:rsid w:val="09074ADD"/>
    <w:rsid w:val="09075183"/>
    <w:rsid w:val="09075A53"/>
    <w:rsid w:val="09076AFB"/>
    <w:rsid w:val="09077801"/>
    <w:rsid w:val="090872B9"/>
    <w:rsid w:val="09091C51"/>
    <w:rsid w:val="09093579"/>
    <w:rsid w:val="090A1870"/>
    <w:rsid w:val="090A78B5"/>
    <w:rsid w:val="090B08D0"/>
    <w:rsid w:val="090B5543"/>
    <w:rsid w:val="090B5FA0"/>
    <w:rsid w:val="090C2F1B"/>
    <w:rsid w:val="090C3DE8"/>
    <w:rsid w:val="090C4E18"/>
    <w:rsid w:val="090D2849"/>
    <w:rsid w:val="090D306A"/>
    <w:rsid w:val="090D4716"/>
    <w:rsid w:val="090D605F"/>
    <w:rsid w:val="090E0B90"/>
    <w:rsid w:val="090E228E"/>
    <w:rsid w:val="090E6DE2"/>
    <w:rsid w:val="090F0F14"/>
    <w:rsid w:val="090F576C"/>
    <w:rsid w:val="090F7A4C"/>
    <w:rsid w:val="09102B5A"/>
    <w:rsid w:val="09104908"/>
    <w:rsid w:val="0911242E"/>
    <w:rsid w:val="09112C44"/>
    <w:rsid w:val="091208F5"/>
    <w:rsid w:val="091259B7"/>
    <w:rsid w:val="091268D2"/>
    <w:rsid w:val="09130588"/>
    <w:rsid w:val="091343F8"/>
    <w:rsid w:val="091361A6"/>
    <w:rsid w:val="09153CCC"/>
    <w:rsid w:val="09164957"/>
    <w:rsid w:val="091652F6"/>
    <w:rsid w:val="09166B99"/>
    <w:rsid w:val="09166F09"/>
    <w:rsid w:val="09167A44"/>
    <w:rsid w:val="09167A96"/>
    <w:rsid w:val="09173EE8"/>
    <w:rsid w:val="09177145"/>
    <w:rsid w:val="09181A0E"/>
    <w:rsid w:val="09184D7D"/>
    <w:rsid w:val="09185E81"/>
    <w:rsid w:val="09187C50"/>
    <w:rsid w:val="09191606"/>
    <w:rsid w:val="091943FA"/>
    <w:rsid w:val="091A12E3"/>
    <w:rsid w:val="091A5787"/>
    <w:rsid w:val="091A677A"/>
    <w:rsid w:val="091A7000"/>
    <w:rsid w:val="091B0A19"/>
    <w:rsid w:val="091B505B"/>
    <w:rsid w:val="091B54AD"/>
    <w:rsid w:val="091B60CD"/>
    <w:rsid w:val="091C11FF"/>
    <w:rsid w:val="091C320A"/>
    <w:rsid w:val="091C32AD"/>
    <w:rsid w:val="091C5A2C"/>
    <w:rsid w:val="091E1C32"/>
    <w:rsid w:val="091F3B45"/>
    <w:rsid w:val="091F40D4"/>
    <w:rsid w:val="091F4B4B"/>
    <w:rsid w:val="091F6045"/>
    <w:rsid w:val="091F6D52"/>
    <w:rsid w:val="09200ED6"/>
    <w:rsid w:val="092108C3"/>
    <w:rsid w:val="0921144B"/>
    <w:rsid w:val="09214D73"/>
    <w:rsid w:val="09216B15"/>
    <w:rsid w:val="092210B6"/>
    <w:rsid w:val="092217DD"/>
    <w:rsid w:val="09222840"/>
    <w:rsid w:val="0922463B"/>
    <w:rsid w:val="092263E9"/>
    <w:rsid w:val="09234D17"/>
    <w:rsid w:val="09245A77"/>
    <w:rsid w:val="092466A4"/>
    <w:rsid w:val="092622B0"/>
    <w:rsid w:val="09283E1A"/>
    <w:rsid w:val="09287EA3"/>
    <w:rsid w:val="09293304"/>
    <w:rsid w:val="0929334A"/>
    <w:rsid w:val="09295469"/>
    <w:rsid w:val="092A33D9"/>
    <w:rsid w:val="092B34F0"/>
    <w:rsid w:val="092B50CE"/>
    <w:rsid w:val="092B6B72"/>
    <w:rsid w:val="092B7994"/>
    <w:rsid w:val="092C1016"/>
    <w:rsid w:val="092C7268"/>
    <w:rsid w:val="092D370C"/>
    <w:rsid w:val="092D3D00"/>
    <w:rsid w:val="092D7447"/>
    <w:rsid w:val="092E2FE0"/>
    <w:rsid w:val="092E7BB1"/>
    <w:rsid w:val="092F445E"/>
    <w:rsid w:val="092F4751"/>
    <w:rsid w:val="09300B06"/>
    <w:rsid w:val="09303CE2"/>
    <w:rsid w:val="09304FAA"/>
    <w:rsid w:val="09306E06"/>
    <w:rsid w:val="09315834"/>
    <w:rsid w:val="093201B3"/>
    <w:rsid w:val="0932487E"/>
    <w:rsid w:val="093305F6"/>
    <w:rsid w:val="093323A4"/>
    <w:rsid w:val="0934330C"/>
    <w:rsid w:val="09344975"/>
    <w:rsid w:val="0934746B"/>
    <w:rsid w:val="093478C1"/>
    <w:rsid w:val="093555F4"/>
    <w:rsid w:val="0935611C"/>
    <w:rsid w:val="09362500"/>
    <w:rsid w:val="09363F74"/>
    <w:rsid w:val="093641EA"/>
    <w:rsid w:val="09365012"/>
    <w:rsid w:val="09365F86"/>
    <w:rsid w:val="093703A1"/>
    <w:rsid w:val="09376242"/>
    <w:rsid w:val="09381E30"/>
    <w:rsid w:val="093835F0"/>
    <w:rsid w:val="093852F6"/>
    <w:rsid w:val="09385C0D"/>
    <w:rsid w:val="093A1985"/>
    <w:rsid w:val="093A3733"/>
    <w:rsid w:val="093A536B"/>
    <w:rsid w:val="093A7294"/>
    <w:rsid w:val="093B2163"/>
    <w:rsid w:val="093B35FB"/>
    <w:rsid w:val="093C394F"/>
    <w:rsid w:val="093C5036"/>
    <w:rsid w:val="093C6053"/>
    <w:rsid w:val="093C74AB"/>
    <w:rsid w:val="093D3223"/>
    <w:rsid w:val="093E4F8E"/>
    <w:rsid w:val="093E5340"/>
    <w:rsid w:val="093F51ED"/>
    <w:rsid w:val="093F6F9B"/>
    <w:rsid w:val="09404D3A"/>
    <w:rsid w:val="09412D13"/>
    <w:rsid w:val="09420FBD"/>
    <w:rsid w:val="094249BF"/>
    <w:rsid w:val="0942633D"/>
    <w:rsid w:val="09432F19"/>
    <w:rsid w:val="09432F45"/>
    <w:rsid w:val="0943422E"/>
    <w:rsid w:val="09440A55"/>
    <w:rsid w:val="09441E3E"/>
    <w:rsid w:val="09442803"/>
    <w:rsid w:val="094443AA"/>
    <w:rsid w:val="094445B2"/>
    <w:rsid w:val="0946032A"/>
    <w:rsid w:val="094620D8"/>
    <w:rsid w:val="094675B0"/>
    <w:rsid w:val="094716AC"/>
    <w:rsid w:val="09471843"/>
    <w:rsid w:val="09475E50"/>
    <w:rsid w:val="0948037F"/>
    <w:rsid w:val="09480908"/>
    <w:rsid w:val="09491961"/>
    <w:rsid w:val="09491BC8"/>
    <w:rsid w:val="09493286"/>
    <w:rsid w:val="0949606C"/>
    <w:rsid w:val="094B1041"/>
    <w:rsid w:val="094B3B92"/>
    <w:rsid w:val="094B3E7A"/>
    <w:rsid w:val="094B5940"/>
    <w:rsid w:val="094B6716"/>
    <w:rsid w:val="094C3466"/>
    <w:rsid w:val="094C5B8E"/>
    <w:rsid w:val="094D1BA9"/>
    <w:rsid w:val="094D5EAF"/>
    <w:rsid w:val="094D6156"/>
    <w:rsid w:val="094D790A"/>
    <w:rsid w:val="094E3682"/>
    <w:rsid w:val="094E5430"/>
    <w:rsid w:val="094E71DE"/>
    <w:rsid w:val="094F09A9"/>
    <w:rsid w:val="094F68C7"/>
    <w:rsid w:val="09501527"/>
    <w:rsid w:val="09504D5D"/>
    <w:rsid w:val="095073FA"/>
    <w:rsid w:val="09513364"/>
    <w:rsid w:val="095251AA"/>
    <w:rsid w:val="095255B5"/>
    <w:rsid w:val="09526B34"/>
    <w:rsid w:val="09526CCE"/>
    <w:rsid w:val="095321AB"/>
    <w:rsid w:val="09532A47"/>
    <w:rsid w:val="09532E6E"/>
    <w:rsid w:val="095342DA"/>
    <w:rsid w:val="09534B0A"/>
    <w:rsid w:val="09534BA5"/>
    <w:rsid w:val="09540C99"/>
    <w:rsid w:val="09540EA6"/>
    <w:rsid w:val="095448CF"/>
    <w:rsid w:val="09544BDC"/>
    <w:rsid w:val="0955033B"/>
    <w:rsid w:val="0955056D"/>
    <w:rsid w:val="09552F0C"/>
    <w:rsid w:val="09554A11"/>
    <w:rsid w:val="095567BF"/>
    <w:rsid w:val="095575D7"/>
    <w:rsid w:val="095617CB"/>
    <w:rsid w:val="095646B3"/>
    <w:rsid w:val="09570789"/>
    <w:rsid w:val="095742E5"/>
    <w:rsid w:val="0957556A"/>
    <w:rsid w:val="09575A9A"/>
    <w:rsid w:val="09577C91"/>
    <w:rsid w:val="0958005D"/>
    <w:rsid w:val="09581E0B"/>
    <w:rsid w:val="095848C9"/>
    <w:rsid w:val="0959370A"/>
    <w:rsid w:val="09594501"/>
    <w:rsid w:val="09596E65"/>
    <w:rsid w:val="0959748A"/>
    <w:rsid w:val="095A0B34"/>
    <w:rsid w:val="095A3DD5"/>
    <w:rsid w:val="095A43D5"/>
    <w:rsid w:val="095B15E6"/>
    <w:rsid w:val="095B63DD"/>
    <w:rsid w:val="095C18FB"/>
    <w:rsid w:val="095C2625"/>
    <w:rsid w:val="095C5D9F"/>
    <w:rsid w:val="095C6E87"/>
    <w:rsid w:val="095C7B4D"/>
    <w:rsid w:val="095D2ED8"/>
    <w:rsid w:val="095D5673"/>
    <w:rsid w:val="095D6A18"/>
    <w:rsid w:val="095D7F5D"/>
    <w:rsid w:val="095E0D6F"/>
    <w:rsid w:val="095E51A8"/>
    <w:rsid w:val="095E7634"/>
    <w:rsid w:val="095F0139"/>
    <w:rsid w:val="095F13EB"/>
    <w:rsid w:val="095F3199"/>
    <w:rsid w:val="095F4AC7"/>
    <w:rsid w:val="095F531B"/>
    <w:rsid w:val="09601BFE"/>
    <w:rsid w:val="09607537"/>
    <w:rsid w:val="09615163"/>
    <w:rsid w:val="096168DE"/>
    <w:rsid w:val="09622C8A"/>
    <w:rsid w:val="09633DCF"/>
    <w:rsid w:val="096468DF"/>
    <w:rsid w:val="09646A02"/>
    <w:rsid w:val="0965276E"/>
    <w:rsid w:val="09652EA6"/>
    <w:rsid w:val="09660DE0"/>
    <w:rsid w:val="09661850"/>
    <w:rsid w:val="0966499A"/>
    <w:rsid w:val="09664A7B"/>
    <w:rsid w:val="09672750"/>
    <w:rsid w:val="09675CC9"/>
    <w:rsid w:val="09683F2B"/>
    <w:rsid w:val="096864F2"/>
    <w:rsid w:val="0969226A"/>
    <w:rsid w:val="09694018"/>
    <w:rsid w:val="096A0C48"/>
    <w:rsid w:val="096A0CC3"/>
    <w:rsid w:val="096A4F84"/>
    <w:rsid w:val="096B1B3E"/>
    <w:rsid w:val="096D08A6"/>
    <w:rsid w:val="096D4262"/>
    <w:rsid w:val="096D58B6"/>
    <w:rsid w:val="096D6C65"/>
    <w:rsid w:val="096E162E"/>
    <w:rsid w:val="096E53A4"/>
    <w:rsid w:val="096E61DB"/>
    <w:rsid w:val="096E7880"/>
    <w:rsid w:val="096F3AB3"/>
    <w:rsid w:val="09702708"/>
    <w:rsid w:val="097035F9"/>
    <w:rsid w:val="097105FE"/>
    <w:rsid w:val="09710A1C"/>
    <w:rsid w:val="09710A67"/>
    <w:rsid w:val="09710FA4"/>
    <w:rsid w:val="09711F86"/>
    <w:rsid w:val="0971738C"/>
    <w:rsid w:val="0972111F"/>
    <w:rsid w:val="09722ECD"/>
    <w:rsid w:val="0972550D"/>
    <w:rsid w:val="09725986"/>
    <w:rsid w:val="09732818"/>
    <w:rsid w:val="09741E44"/>
    <w:rsid w:val="097430E9"/>
    <w:rsid w:val="0974768F"/>
    <w:rsid w:val="097476E5"/>
    <w:rsid w:val="09750F46"/>
    <w:rsid w:val="09752F90"/>
    <w:rsid w:val="097554B0"/>
    <w:rsid w:val="09756E61"/>
    <w:rsid w:val="09757925"/>
    <w:rsid w:val="09763D6E"/>
    <w:rsid w:val="09764343"/>
    <w:rsid w:val="09772A6B"/>
    <w:rsid w:val="09774987"/>
    <w:rsid w:val="097809C8"/>
    <w:rsid w:val="09785085"/>
    <w:rsid w:val="097924AD"/>
    <w:rsid w:val="097A38CF"/>
    <w:rsid w:val="097A6225"/>
    <w:rsid w:val="097B0D5A"/>
    <w:rsid w:val="097B6D63"/>
    <w:rsid w:val="097B7229"/>
    <w:rsid w:val="097C19AE"/>
    <w:rsid w:val="097D074F"/>
    <w:rsid w:val="097E3F67"/>
    <w:rsid w:val="097E5D15"/>
    <w:rsid w:val="097E7AC3"/>
    <w:rsid w:val="097F1A8E"/>
    <w:rsid w:val="097F55EA"/>
    <w:rsid w:val="09812869"/>
    <w:rsid w:val="09815806"/>
    <w:rsid w:val="09827358"/>
    <w:rsid w:val="09834CB1"/>
    <w:rsid w:val="098409B3"/>
    <w:rsid w:val="098409F5"/>
    <w:rsid w:val="09847929"/>
    <w:rsid w:val="09850D4B"/>
    <w:rsid w:val="09854273"/>
    <w:rsid w:val="09857212"/>
    <w:rsid w:val="09862E1C"/>
    <w:rsid w:val="09864BCA"/>
    <w:rsid w:val="09874FCD"/>
    <w:rsid w:val="09875B84"/>
    <w:rsid w:val="098808A7"/>
    <w:rsid w:val="09880B6F"/>
    <w:rsid w:val="098822BF"/>
    <w:rsid w:val="09886B94"/>
    <w:rsid w:val="09886D8B"/>
    <w:rsid w:val="098872F8"/>
    <w:rsid w:val="09891246"/>
    <w:rsid w:val="09896468"/>
    <w:rsid w:val="098972D4"/>
    <w:rsid w:val="098A06BB"/>
    <w:rsid w:val="098A1F93"/>
    <w:rsid w:val="098A290C"/>
    <w:rsid w:val="098A71EA"/>
    <w:rsid w:val="098B3A00"/>
    <w:rsid w:val="098B3F8E"/>
    <w:rsid w:val="098B471C"/>
    <w:rsid w:val="098B6274"/>
    <w:rsid w:val="098D243E"/>
    <w:rsid w:val="098D26C1"/>
    <w:rsid w:val="098D351F"/>
    <w:rsid w:val="098D5F59"/>
    <w:rsid w:val="098D7D07"/>
    <w:rsid w:val="098E3A7F"/>
    <w:rsid w:val="098E5AFD"/>
    <w:rsid w:val="098E7D44"/>
    <w:rsid w:val="098F175E"/>
    <w:rsid w:val="098F1EBD"/>
    <w:rsid w:val="098F7F23"/>
    <w:rsid w:val="09903C9B"/>
    <w:rsid w:val="09905A49"/>
    <w:rsid w:val="09914CCC"/>
    <w:rsid w:val="099164DE"/>
    <w:rsid w:val="09920EBC"/>
    <w:rsid w:val="09922CFB"/>
    <w:rsid w:val="0992356F"/>
    <w:rsid w:val="0992531D"/>
    <w:rsid w:val="09931095"/>
    <w:rsid w:val="09934D3B"/>
    <w:rsid w:val="099460D4"/>
    <w:rsid w:val="0994758F"/>
    <w:rsid w:val="099512B1"/>
    <w:rsid w:val="09953D74"/>
    <w:rsid w:val="09954E0D"/>
    <w:rsid w:val="09956880"/>
    <w:rsid w:val="099665BA"/>
    <w:rsid w:val="09966D79"/>
    <w:rsid w:val="09972933"/>
    <w:rsid w:val="0997543A"/>
    <w:rsid w:val="09976DD7"/>
    <w:rsid w:val="09977D21"/>
    <w:rsid w:val="0998247F"/>
    <w:rsid w:val="099866AB"/>
    <w:rsid w:val="0999258C"/>
    <w:rsid w:val="09992B4F"/>
    <w:rsid w:val="099948FD"/>
    <w:rsid w:val="09996317"/>
    <w:rsid w:val="099A041F"/>
    <w:rsid w:val="099A0675"/>
    <w:rsid w:val="099A2989"/>
    <w:rsid w:val="099A72BE"/>
    <w:rsid w:val="099A7EF5"/>
    <w:rsid w:val="099B126C"/>
    <w:rsid w:val="099C263F"/>
    <w:rsid w:val="099C2AD0"/>
    <w:rsid w:val="099C384B"/>
    <w:rsid w:val="099C43EE"/>
    <w:rsid w:val="099C619C"/>
    <w:rsid w:val="099C66D2"/>
    <w:rsid w:val="099D17FD"/>
    <w:rsid w:val="099D5027"/>
    <w:rsid w:val="099D6B31"/>
    <w:rsid w:val="099E1F14"/>
    <w:rsid w:val="099E62D5"/>
    <w:rsid w:val="099F5E4D"/>
    <w:rsid w:val="099F7A3A"/>
    <w:rsid w:val="09A03EDE"/>
    <w:rsid w:val="09A100DA"/>
    <w:rsid w:val="09A154B2"/>
    <w:rsid w:val="09A339CE"/>
    <w:rsid w:val="09A3752A"/>
    <w:rsid w:val="09A43619"/>
    <w:rsid w:val="09A43E33"/>
    <w:rsid w:val="09A46281"/>
    <w:rsid w:val="09A4749C"/>
    <w:rsid w:val="09A56174"/>
    <w:rsid w:val="09A6231A"/>
    <w:rsid w:val="09A63F79"/>
    <w:rsid w:val="09A6526C"/>
    <w:rsid w:val="09A67460"/>
    <w:rsid w:val="09A67A16"/>
    <w:rsid w:val="09A75314"/>
    <w:rsid w:val="09A82E7F"/>
    <w:rsid w:val="09A84B40"/>
    <w:rsid w:val="09A84C5B"/>
    <w:rsid w:val="09A86E66"/>
    <w:rsid w:val="09A90553"/>
    <w:rsid w:val="09A92667"/>
    <w:rsid w:val="09A93825"/>
    <w:rsid w:val="09A93A7A"/>
    <w:rsid w:val="09A95998"/>
    <w:rsid w:val="09AA4CEA"/>
    <w:rsid w:val="09AA4D5C"/>
    <w:rsid w:val="09AA5B37"/>
    <w:rsid w:val="09AA6203"/>
    <w:rsid w:val="09AA6564"/>
    <w:rsid w:val="09AA6E47"/>
    <w:rsid w:val="09AB02E6"/>
    <w:rsid w:val="09AB1135"/>
    <w:rsid w:val="09AB2883"/>
    <w:rsid w:val="09AB4631"/>
    <w:rsid w:val="09AB55EB"/>
    <w:rsid w:val="09AC16FC"/>
    <w:rsid w:val="09AC3A55"/>
    <w:rsid w:val="09AC5363"/>
    <w:rsid w:val="09AD4641"/>
    <w:rsid w:val="09AE2470"/>
    <w:rsid w:val="09AE6375"/>
    <w:rsid w:val="09AE7AB6"/>
    <w:rsid w:val="09AF0F46"/>
    <w:rsid w:val="09AF2373"/>
    <w:rsid w:val="09AF2757"/>
    <w:rsid w:val="09AF5FAE"/>
    <w:rsid w:val="09AF741E"/>
    <w:rsid w:val="09B01806"/>
    <w:rsid w:val="09B0312C"/>
    <w:rsid w:val="09B039F5"/>
    <w:rsid w:val="09B05932"/>
    <w:rsid w:val="09B06E1E"/>
    <w:rsid w:val="09B12B23"/>
    <w:rsid w:val="09B24CF6"/>
    <w:rsid w:val="09B259BF"/>
    <w:rsid w:val="09B3041A"/>
    <w:rsid w:val="09B30D57"/>
    <w:rsid w:val="09B33869"/>
    <w:rsid w:val="09B33D40"/>
    <w:rsid w:val="09B42B33"/>
    <w:rsid w:val="09B42D44"/>
    <w:rsid w:val="09B477D4"/>
    <w:rsid w:val="09B47989"/>
    <w:rsid w:val="09B50246"/>
    <w:rsid w:val="09B536D6"/>
    <w:rsid w:val="09B55134"/>
    <w:rsid w:val="09B56247"/>
    <w:rsid w:val="09B5725D"/>
    <w:rsid w:val="09B62B73"/>
    <w:rsid w:val="09B63701"/>
    <w:rsid w:val="09B64914"/>
    <w:rsid w:val="09B64D88"/>
    <w:rsid w:val="09B74D83"/>
    <w:rsid w:val="09B81267"/>
    <w:rsid w:val="09B83D29"/>
    <w:rsid w:val="09B87BEB"/>
    <w:rsid w:val="09B905E5"/>
    <w:rsid w:val="09B90AFC"/>
    <w:rsid w:val="09B92CD0"/>
    <w:rsid w:val="09B94F9F"/>
    <w:rsid w:val="09B95A2F"/>
    <w:rsid w:val="09B96D4E"/>
    <w:rsid w:val="09BA1E69"/>
    <w:rsid w:val="09BA2382"/>
    <w:rsid w:val="09BA4874"/>
    <w:rsid w:val="09BA5836"/>
    <w:rsid w:val="09BB0D18"/>
    <w:rsid w:val="09BB2A4F"/>
    <w:rsid w:val="09BB7170"/>
    <w:rsid w:val="09BB7513"/>
    <w:rsid w:val="09BC4A90"/>
    <w:rsid w:val="09BE4364"/>
    <w:rsid w:val="09BE6112"/>
    <w:rsid w:val="09BF1E8A"/>
    <w:rsid w:val="09BF32C4"/>
    <w:rsid w:val="09C000DC"/>
    <w:rsid w:val="09C06F3B"/>
    <w:rsid w:val="09C15C02"/>
    <w:rsid w:val="09C24429"/>
    <w:rsid w:val="09C247EA"/>
    <w:rsid w:val="09C26E4C"/>
    <w:rsid w:val="09C3197A"/>
    <w:rsid w:val="09C33728"/>
    <w:rsid w:val="09C35937"/>
    <w:rsid w:val="09C37BCC"/>
    <w:rsid w:val="09C44E36"/>
    <w:rsid w:val="09C46584"/>
    <w:rsid w:val="09C474A0"/>
    <w:rsid w:val="09C53944"/>
    <w:rsid w:val="09C547D2"/>
    <w:rsid w:val="09C556F2"/>
    <w:rsid w:val="09C676BC"/>
    <w:rsid w:val="09C7213A"/>
    <w:rsid w:val="09C76411"/>
    <w:rsid w:val="09C86F91"/>
    <w:rsid w:val="09C94AB7"/>
    <w:rsid w:val="09C96204"/>
    <w:rsid w:val="09C96D10"/>
    <w:rsid w:val="09CA0287"/>
    <w:rsid w:val="09CA2D09"/>
    <w:rsid w:val="09CA5B4D"/>
    <w:rsid w:val="09CB4CD3"/>
    <w:rsid w:val="09CC174B"/>
    <w:rsid w:val="09CC446A"/>
    <w:rsid w:val="09CC5D6C"/>
    <w:rsid w:val="09CC7334"/>
    <w:rsid w:val="09CD0A4B"/>
    <w:rsid w:val="09CD27F9"/>
    <w:rsid w:val="09CE2D8D"/>
    <w:rsid w:val="09CF6571"/>
    <w:rsid w:val="09CF7D5A"/>
    <w:rsid w:val="09D01C74"/>
    <w:rsid w:val="09D04097"/>
    <w:rsid w:val="09D05E45"/>
    <w:rsid w:val="09D122E9"/>
    <w:rsid w:val="09D156CD"/>
    <w:rsid w:val="09D22738"/>
    <w:rsid w:val="09D23F5E"/>
    <w:rsid w:val="09D321EF"/>
    <w:rsid w:val="09D32F2C"/>
    <w:rsid w:val="09D354AA"/>
    <w:rsid w:val="09D40366"/>
    <w:rsid w:val="09D413F9"/>
    <w:rsid w:val="09D437D0"/>
    <w:rsid w:val="09D45935"/>
    <w:rsid w:val="09D473CE"/>
    <w:rsid w:val="09D522C9"/>
    <w:rsid w:val="09D653B1"/>
    <w:rsid w:val="09D711EB"/>
    <w:rsid w:val="09D92F4C"/>
    <w:rsid w:val="09D93396"/>
    <w:rsid w:val="09D973F0"/>
    <w:rsid w:val="09DA36AC"/>
    <w:rsid w:val="09DA6979"/>
    <w:rsid w:val="09DB2717"/>
    <w:rsid w:val="09DB3168"/>
    <w:rsid w:val="09DC336D"/>
    <w:rsid w:val="09DC47EA"/>
    <w:rsid w:val="09DD0833"/>
    <w:rsid w:val="09DD393A"/>
    <w:rsid w:val="09DD63D3"/>
    <w:rsid w:val="09DD6D0A"/>
    <w:rsid w:val="09DE0562"/>
    <w:rsid w:val="09DF266F"/>
    <w:rsid w:val="09DF41EA"/>
    <w:rsid w:val="09DF42B8"/>
    <w:rsid w:val="09DF68E3"/>
    <w:rsid w:val="09E0077E"/>
    <w:rsid w:val="09E00E58"/>
    <w:rsid w:val="09E05130"/>
    <w:rsid w:val="09E05DC0"/>
    <w:rsid w:val="09E0616B"/>
    <w:rsid w:val="09E10052"/>
    <w:rsid w:val="09E1549B"/>
    <w:rsid w:val="09E16B6D"/>
    <w:rsid w:val="09E17094"/>
    <w:rsid w:val="09E17B6C"/>
    <w:rsid w:val="09E24BA3"/>
    <w:rsid w:val="09E262C4"/>
    <w:rsid w:val="09E32767"/>
    <w:rsid w:val="09E33DCA"/>
    <w:rsid w:val="09E35B78"/>
    <w:rsid w:val="09E35FBD"/>
    <w:rsid w:val="09E44188"/>
    <w:rsid w:val="09E46395"/>
    <w:rsid w:val="09E47205"/>
    <w:rsid w:val="09E47E8B"/>
    <w:rsid w:val="09E518F1"/>
    <w:rsid w:val="09E557CF"/>
    <w:rsid w:val="09E558FE"/>
    <w:rsid w:val="09E56F46"/>
    <w:rsid w:val="09E638BB"/>
    <w:rsid w:val="09E65669"/>
    <w:rsid w:val="09E65C6B"/>
    <w:rsid w:val="09E678CF"/>
    <w:rsid w:val="09E71B0D"/>
    <w:rsid w:val="09E74A8C"/>
    <w:rsid w:val="09E76DDE"/>
    <w:rsid w:val="09E802EC"/>
    <w:rsid w:val="09E810D6"/>
    <w:rsid w:val="09E813E1"/>
    <w:rsid w:val="09E83E1C"/>
    <w:rsid w:val="09E8435B"/>
    <w:rsid w:val="09E84475"/>
    <w:rsid w:val="09E85885"/>
    <w:rsid w:val="09E87633"/>
    <w:rsid w:val="09E92566"/>
    <w:rsid w:val="09E92ED1"/>
    <w:rsid w:val="09E97C3F"/>
    <w:rsid w:val="09EA4A34"/>
    <w:rsid w:val="09EA6F07"/>
    <w:rsid w:val="09EB0ED1"/>
    <w:rsid w:val="09EB2A56"/>
    <w:rsid w:val="09EB2C7F"/>
    <w:rsid w:val="09EB4AA4"/>
    <w:rsid w:val="09EC04CA"/>
    <w:rsid w:val="09EC6316"/>
    <w:rsid w:val="09EC7123"/>
    <w:rsid w:val="09ED0EE7"/>
    <w:rsid w:val="09ED116C"/>
    <w:rsid w:val="09ED2E9B"/>
    <w:rsid w:val="09ED3A4B"/>
    <w:rsid w:val="09ED6853"/>
    <w:rsid w:val="09ED7C93"/>
    <w:rsid w:val="09EE4980"/>
    <w:rsid w:val="09EF11B4"/>
    <w:rsid w:val="09EF3639"/>
    <w:rsid w:val="09EF451D"/>
    <w:rsid w:val="09EF6BCC"/>
    <w:rsid w:val="09F016EA"/>
    <w:rsid w:val="09F049E0"/>
    <w:rsid w:val="09F04E76"/>
    <w:rsid w:val="09F10A27"/>
    <w:rsid w:val="09F11C28"/>
    <w:rsid w:val="09F14739"/>
    <w:rsid w:val="09F154BD"/>
    <w:rsid w:val="09F21BAA"/>
    <w:rsid w:val="09F2400E"/>
    <w:rsid w:val="09F27531"/>
    <w:rsid w:val="09F3257B"/>
    <w:rsid w:val="09F361E9"/>
    <w:rsid w:val="09F40D2D"/>
    <w:rsid w:val="09F4422A"/>
    <w:rsid w:val="09F45FD8"/>
    <w:rsid w:val="09F46CE4"/>
    <w:rsid w:val="09F47D86"/>
    <w:rsid w:val="09F50B09"/>
    <w:rsid w:val="09F51004"/>
    <w:rsid w:val="09F53AD2"/>
    <w:rsid w:val="09F56C94"/>
    <w:rsid w:val="09F61B95"/>
    <w:rsid w:val="09F61F99"/>
    <w:rsid w:val="09F67B9F"/>
    <w:rsid w:val="09F77876"/>
    <w:rsid w:val="09F85260"/>
    <w:rsid w:val="09F8619E"/>
    <w:rsid w:val="09F9091A"/>
    <w:rsid w:val="09F91840"/>
    <w:rsid w:val="09F978E8"/>
    <w:rsid w:val="09FB1114"/>
    <w:rsid w:val="09FB1BB5"/>
    <w:rsid w:val="09FB4594"/>
    <w:rsid w:val="09FB497B"/>
    <w:rsid w:val="09FB4E3F"/>
    <w:rsid w:val="09FB55A7"/>
    <w:rsid w:val="09FB55B8"/>
    <w:rsid w:val="09FB5F86"/>
    <w:rsid w:val="09FB7366"/>
    <w:rsid w:val="09FC25EF"/>
    <w:rsid w:val="09FC4E8C"/>
    <w:rsid w:val="09FD3315"/>
    <w:rsid w:val="09FD55CC"/>
    <w:rsid w:val="09FE32FC"/>
    <w:rsid w:val="09FE6E56"/>
    <w:rsid w:val="09FF3EA6"/>
    <w:rsid w:val="09FF478C"/>
    <w:rsid w:val="09FF51EF"/>
    <w:rsid w:val="0A002BCE"/>
    <w:rsid w:val="0A005785"/>
    <w:rsid w:val="0A0124A3"/>
    <w:rsid w:val="0A016A1F"/>
    <w:rsid w:val="0A021C7D"/>
    <w:rsid w:val="0A0250B2"/>
    <w:rsid w:val="0A02635F"/>
    <w:rsid w:val="0A030839"/>
    <w:rsid w:val="0A031000"/>
    <w:rsid w:val="0A031C9F"/>
    <w:rsid w:val="0A031D7D"/>
    <w:rsid w:val="0A03310D"/>
    <w:rsid w:val="0A03446D"/>
    <w:rsid w:val="0A03621B"/>
    <w:rsid w:val="0A03752B"/>
    <w:rsid w:val="0A042151"/>
    <w:rsid w:val="0A04422C"/>
    <w:rsid w:val="0A047FD7"/>
    <w:rsid w:val="0A0501E5"/>
    <w:rsid w:val="0A053D41"/>
    <w:rsid w:val="0A0604C0"/>
    <w:rsid w:val="0A061A8E"/>
    <w:rsid w:val="0A067AB9"/>
    <w:rsid w:val="0A0824E3"/>
    <w:rsid w:val="0A083831"/>
    <w:rsid w:val="0A084898"/>
    <w:rsid w:val="0A087D91"/>
    <w:rsid w:val="0A0A57FB"/>
    <w:rsid w:val="0A0B50CF"/>
    <w:rsid w:val="0A0B5997"/>
    <w:rsid w:val="0A0B601F"/>
    <w:rsid w:val="0A0B6138"/>
    <w:rsid w:val="0A0B718A"/>
    <w:rsid w:val="0A0B7477"/>
    <w:rsid w:val="0A0D2FB9"/>
    <w:rsid w:val="0A0D52EB"/>
    <w:rsid w:val="0A0D7099"/>
    <w:rsid w:val="0A0E12C6"/>
    <w:rsid w:val="0A0E1796"/>
    <w:rsid w:val="0A0F4BBF"/>
    <w:rsid w:val="0A0F4E11"/>
    <w:rsid w:val="0A0F696E"/>
    <w:rsid w:val="0A0F6EA1"/>
    <w:rsid w:val="0A0F7FFC"/>
    <w:rsid w:val="0A1026E6"/>
    <w:rsid w:val="0A1125A4"/>
    <w:rsid w:val="0A112666"/>
    <w:rsid w:val="0A116B8A"/>
    <w:rsid w:val="0A122902"/>
    <w:rsid w:val="0A1246B0"/>
    <w:rsid w:val="0A12530B"/>
    <w:rsid w:val="0A133B29"/>
    <w:rsid w:val="0A134092"/>
    <w:rsid w:val="0A1348C9"/>
    <w:rsid w:val="0A140428"/>
    <w:rsid w:val="0A141BA4"/>
    <w:rsid w:val="0A14315D"/>
    <w:rsid w:val="0A146C63"/>
    <w:rsid w:val="0A152175"/>
    <w:rsid w:val="0A156506"/>
    <w:rsid w:val="0A157CFC"/>
    <w:rsid w:val="0A160974"/>
    <w:rsid w:val="0A1621D9"/>
    <w:rsid w:val="0A164154"/>
    <w:rsid w:val="0A164DC2"/>
    <w:rsid w:val="0A166DA8"/>
    <w:rsid w:val="0A1708E4"/>
    <w:rsid w:val="0A171CC6"/>
    <w:rsid w:val="0A172A13"/>
    <w:rsid w:val="0A18019D"/>
    <w:rsid w:val="0A180337"/>
    <w:rsid w:val="0A1849E7"/>
    <w:rsid w:val="0A187F18"/>
    <w:rsid w:val="0A1911AD"/>
    <w:rsid w:val="0A195A3E"/>
    <w:rsid w:val="0A1A4FED"/>
    <w:rsid w:val="0A1B1235"/>
    <w:rsid w:val="0A1B17B6"/>
    <w:rsid w:val="0A1B2184"/>
    <w:rsid w:val="0A1B5312"/>
    <w:rsid w:val="0A1B7A08"/>
    <w:rsid w:val="0A1C3B48"/>
    <w:rsid w:val="0A1C72DC"/>
    <w:rsid w:val="0A1D6EA1"/>
    <w:rsid w:val="0A1E0B47"/>
    <w:rsid w:val="0A1E3055"/>
    <w:rsid w:val="0A1E63D6"/>
    <w:rsid w:val="0A1F25BB"/>
    <w:rsid w:val="0A1F2635"/>
    <w:rsid w:val="0A1F428F"/>
    <w:rsid w:val="0A200B7B"/>
    <w:rsid w:val="0A201ADD"/>
    <w:rsid w:val="0A20501F"/>
    <w:rsid w:val="0A206DCD"/>
    <w:rsid w:val="0A2104D5"/>
    <w:rsid w:val="0A2148F3"/>
    <w:rsid w:val="0A214A9A"/>
    <w:rsid w:val="0A216696"/>
    <w:rsid w:val="0A2166A1"/>
    <w:rsid w:val="0A216B85"/>
    <w:rsid w:val="0A2177F2"/>
    <w:rsid w:val="0A222B45"/>
    <w:rsid w:val="0A2230B6"/>
    <w:rsid w:val="0A23066B"/>
    <w:rsid w:val="0A2334F9"/>
    <w:rsid w:val="0A2373F8"/>
    <w:rsid w:val="0A244C4F"/>
    <w:rsid w:val="0A246151"/>
    <w:rsid w:val="0A252635"/>
    <w:rsid w:val="0A2543E3"/>
    <w:rsid w:val="0A256191"/>
    <w:rsid w:val="0A2606C8"/>
    <w:rsid w:val="0A261078"/>
    <w:rsid w:val="0A26225F"/>
    <w:rsid w:val="0A262885"/>
    <w:rsid w:val="0A263993"/>
    <w:rsid w:val="0A264F6F"/>
    <w:rsid w:val="0A26596A"/>
    <w:rsid w:val="0A27015B"/>
    <w:rsid w:val="0A2763AD"/>
    <w:rsid w:val="0A283ED3"/>
    <w:rsid w:val="0A28503A"/>
    <w:rsid w:val="0A2864EF"/>
    <w:rsid w:val="0A287A2F"/>
    <w:rsid w:val="0A2917A5"/>
    <w:rsid w:val="0A2952E4"/>
    <w:rsid w:val="0A295345"/>
    <w:rsid w:val="0A296DC8"/>
    <w:rsid w:val="0A29784A"/>
    <w:rsid w:val="0A2A19F9"/>
    <w:rsid w:val="0A2A7C4B"/>
    <w:rsid w:val="0A2B2319"/>
    <w:rsid w:val="0A2B3DFE"/>
    <w:rsid w:val="0A2B6666"/>
    <w:rsid w:val="0A2B706E"/>
    <w:rsid w:val="0A2C2030"/>
    <w:rsid w:val="0A2C30DD"/>
    <w:rsid w:val="0A2C39FD"/>
    <w:rsid w:val="0A2C751F"/>
    <w:rsid w:val="0A2D3AC2"/>
    <w:rsid w:val="0A2D4C39"/>
    <w:rsid w:val="0A2E0C9A"/>
    <w:rsid w:val="0A2E773B"/>
    <w:rsid w:val="0A2F1F1E"/>
    <w:rsid w:val="0A2F51A7"/>
    <w:rsid w:val="0A2F5262"/>
    <w:rsid w:val="0A2F7010"/>
    <w:rsid w:val="0A2F7013"/>
    <w:rsid w:val="0A3107DC"/>
    <w:rsid w:val="0A3132A2"/>
    <w:rsid w:val="0A31618B"/>
    <w:rsid w:val="0A3208AE"/>
    <w:rsid w:val="0A321310"/>
    <w:rsid w:val="0A321755"/>
    <w:rsid w:val="0A326B00"/>
    <w:rsid w:val="0A3418B9"/>
    <w:rsid w:val="0A343F87"/>
    <w:rsid w:val="0A344431"/>
    <w:rsid w:val="0A344626"/>
    <w:rsid w:val="0A351FDB"/>
    <w:rsid w:val="0A36068A"/>
    <w:rsid w:val="0A36214C"/>
    <w:rsid w:val="0A364574"/>
    <w:rsid w:val="0A36564F"/>
    <w:rsid w:val="0A3665F0"/>
    <w:rsid w:val="0A36742C"/>
    <w:rsid w:val="0A371FFD"/>
    <w:rsid w:val="0A373C2B"/>
    <w:rsid w:val="0A3817A7"/>
    <w:rsid w:val="0A381E1D"/>
    <w:rsid w:val="0A382113"/>
    <w:rsid w:val="0A3879D0"/>
    <w:rsid w:val="0A39126B"/>
    <w:rsid w:val="0A3925A2"/>
    <w:rsid w:val="0A393EDA"/>
    <w:rsid w:val="0A393F55"/>
    <w:rsid w:val="0A395DAD"/>
    <w:rsid w:val="0A3960E0"/>
    <w:rsid w:val="0A396DF2"/>
    <w:rsid w:val="0A3970F7"/>
    <w:rsid w:val="0A3A1335"/>
    <w:rsid w:val="0A3A4AD2"/>
    <w:rsid w:val="0A3B00A3"/>
    <w:rsid w:val="0A3C2A5C"/>
    <w:rsid w:val="0A3C7603"/>
    <w:rsid w:val="0A3D172D"/>
    <w:rsid w:val="0A3D4525"/>
    <w:rsid w:val="0A3D763A"/>
    <w:rsid w:val="0A3D797F"/>
    <w:rsid w:val="0A3E36F7"/>
    <w:rsid w:val="0A3E54A5"/>
    <w:rsid w:val="0A3E71CA"/>
    <w:rsid w:val="0A3E7253"/>
    <w:rsid w:val="0A3E765D"/>
    <w:rsid w:val="0A3F1256"/>
    <w:rsid w:val="0A3F3022"/>
    <w:rsid w:val="0A406156"/>
    <w:rsid w:val="0A407D67"/>
    <w:rsid w:val="0A410AF1"/>
    <w:rsid w:val="0A411157"/>
    <w:rsid w:val="0A41453F"/>
    <w:rsid w:val="0A415C80"/>
    <w:rsid w:val="0A424F95"/>
    <w:rsid w:val="0A430C7B"/>
    <w:rsid w:val="0A432ABB"/>
    <w:rsid w:val="0A433171"/>
    <w:rsid w:val="0A434869"/>
    <w:rsid w:val="0A441A30"/>
    <w:rsid w:val="0A4455DC"/>
    <w:rsid w:val="0A456833"/>
    <w:rsid w:val="0A462647"/>
    <w:rsid w:val="0A463426"/>
    <w:rsid w:val="0A4670C0"/>
    <w:rsid w:val="0A4704C0"/>
    <w:rsid w:val="0A4725AB"/>
    <w:rsid w:val="0A474359"/>
    <w:rsid w:val="0A4776F9"/>
    <w:rsid w:val="0A4800D1"/>
    <w:rsid w:val="0A4827C3"/>
    <w:rsid w:val="0A486323"/>
    <w:rsid w:val="0A486C00"/>
    <w:rsid w:val="0A491E19"/>
    <w:rsid w:val="0A4958A2"/>
    <w:rsid w:val="0A495A7A"/>
    <w:rsid w:val="0A4A209B"/>
    <w:rsid w:val="0A4A24A5"/>
    <w:rsid w:val="0A4A2A08"/>
    <w:rsid w:val="0A4A77CE"/>
    <w:rsid w:val="0A4B01C2"/>
    <w:rsid w:val="0A4B2348"/>
    <w:rsid w:val="0A4C1970"/>
    <w:rsid w:val="0A4C2D93"/>
    <w:rsid w:val="0A4C59D5"/>
    <w:rsid w:val="0A4C5E14"/>
    <w:rsid w:val="0A4C6BA8"/>
    <w:rsid w:val="0A4C7BC2"/>
    <w:rsid w:val="0A4E5205"/>
    <w:rsid w:val="0A4E7F3A"/>
    <w:rsid w:val="0A4F0CDD"/>
    <w:rsid w:val="0A4F0EC5"/>
    <w:rsid w:val="0A4F1460"/>
    <w:rsid w:val="0A502F83"/>
    <w:rsid w:val="0A5129EC"/>
    <w:rsid w:val="0A51342A"/>
    <w:rsid w:val="0A516F86"/>
    <w:rsid w:val="0A51720D"/>
    <w:rsid w:val="0A5216BD"/>
    <w:rsid w:val="0A523115"/>
    <w:rsid w:val="0A532090"/>
    <w:rsid w:val="0A5365AB"/>
    <w:rsid w:val="0A5371A2"/>
    <w:rsid w:val="0A541442"/>
    <w:rsid w:val="0A541F29"/>
    <w:rsid w:val="0A5440F6"/>
    <w:rsid w:val="0A55610F"/>
    <w:rsid w:val="0A56459C"/>
    <w:rsid w:val="0A571E87"/>
    <w:rsid w:val="0A572C73"/>
    <w:rsid w:val="0A582389"/>
    <w:rsid w:val="0A590531"/>
    <w:rsid w:val="0A5922DF"/>
    <w:rsid w:val="0A5937FF"/>
    <w:rsid w:val="0A5A0A3C"/>
    <w:rsid w:val="0A5A23DB"/>
    <w:rsid w:val="0A5B0624"/>
    <w:rsid w:val="0A5B068F"/>
    <w:rsid w:val="0A5B1BB3"/>
    <w:rsid w:val="0A5C5276"/>
    <w:rsid w:val="0A5C5340"/>
    <w:rsid w:val="0A5D1DCF"/>
    <w:rsid w:val="0A5E0911"/>
    <w:rsid w:val="0A5E34EE"/>
    <w:rsid w:val="0A5E3FE2"/>
    <w:rsid w:val="0A5E465B"/>
    <w:rsid w:val="0A5E5103"/>
    <w:rsid w:val="0A5F1209"/>
    <w:rsid w:val="0A5F1739"/>
    <w:rsid w:val="0A5F2CF6"/>
    <w:rsid w:val="0A6007CC"/>
    <w:rsid w:val="0A6071C9"/>
    <w:rsid w:val="0A614188"/>
    <w:rsid w:val="0A61779D"/>
    <w:rsid w:val="0A620DEF"/>
    <w:rsid w:val="0A621193"/>
    <w:rsid w:val="0A622F41"/>
    <w:rsid w:val="0A6266FA"/>
    <w:rsid w:val="0A6273E5"/>
    <w:rsid w:val="0A636449"/>
    <w:rsid w:val="0A640BE0"/>
    <w:rsid w:val="0A643E02"/>
    <w:rsid w:val="0A646C4C"/>
    <w:rsid w:val="0A650C83"/>
    <w:rsid w:val="0A652A31"/>
    <w:rsid w:val="0A654D21"/>
    <w:rsid w:val="0A656EF9"/>
    <w:rsid w:val="0A66091F"/>
    <w:rsid w:val="0A66192D"/>
    <w:rsid w:val="0A661E34"/>
    <w:rsid w:val="0A670558"/>
    <w:rsid w:val="0A6749FB"/>
    <w:rsid w:val="0A680E0A"/>
    <w:rsid w:val="0A6820D9"/>
    <w:rsid w:val="0A682522"/>
    <w:rsid w:val="0A6830C3"/>
    <w:rsid w:val="0A693944"/>
    <w:rsid w:val="0A6973BB"/>
    <w:rsid w:val="0A697533"/>
    <w:rsid w:val="0A6A7694"/>
    <w:rsid w:val="0A6B2D01"/>
    <w:rsid w:val="0A6B60C7"/>
    <w:rsid w:val="0A6B789B"/>
    <w:rsid w:val="0A6C4885"/>
    <w:rsid w:val="0A6D1B05"/>
    <w:rsid w:val="0A6D380D"/>
    <w:rsid w:val="0A6D78F2"/>
    <w:rsid w:val="0A6E42ED"/>
    <w:rsid w:val="0A6F3849"/>
    <w:rsid w:val="0A6F38B0"/>
    <w:rsid w:val="0A6F4E6E"/>
    <w:rsid w:val="0A6F565E"/>
    <w:rsid w:val="0A700A4D"/>
    <w:rsid w:val="0A70218E"/>
    <w:rsid w:val="0A702448"/>
    <w:rsid w:val="0A7113D6"/>
    <w:rsid w:val="0A71361E"/>
    <w:rsid w:val="0A714D49"/>
    <w:rsid w:val="0A717628"/>
    <w:rsid w:val="0A726D1B"/>
    <w:rsid w:val="0A732C48"/>
    <w:rsid w:val="0A7333A0"/>
    <w:rsid w:val="0A735F3E"/>
    <w:rsid w:val="0A740EC6"/>
    <w:rsid w:val="0A742E4D"/>
    <w:rsid w:val="0A7443A8"/>
    <w:rsid w:val="0A747118"/>
    <w:rsid w:val="0A7521C0"/>
    <w:rsid w:val="0A752203"/>
    <w:rsid w:val="0A7606D5"/>
    <w:rsid w:val="0A767E23"/>
    <w:rsid w:val="0A7763C7"/>
    <w:rsid w:val="0A7809B7"/>
    <w:rsid w:val="0A782765"/>
    <w:rsid w:val="0A783920"/>
    <w:rsid w:val="0A783CAE"/>
    <w:rsid w:val="0A785E41"/>
    <w:rsid w:val="0A786C09"/>
    <w:rsid w:val="0A794039"/>
    <w:rsid w:val="0A79472F"/>
    <w:rsid w:val="0A794981"/>
    <w:rsid w:val="0A7964DD"/>
    <w:rsid w:val="0A7B04A7"/>
    <w:rsid w:val="0A7B2255"/>
    <w:rsid w:val="0A7B4003"/>
    <w:rsid w:val="0A7D56F8"/>
    <w:rsid w:val="0A7E3AF3"/>
    <w:rsid w:val="0A7E5533"/>
    <w:rsid w:val="0A7E5BEA"/>
    <w:rsid w:val="0A7E6B2F"/>
    <w:rsid w:val="0A7E6B88"/>
    <w:rsid w:val="0A7F7D64"/>
    <w:rsid w:val="0A804062"/>
    <w:rsid w:val="0A804AB4"/>
    <w:rsid w:val="0A8057FC"/>
    <w:rsid w:val="0A805D9F"/>
    <w:rsid w:val="0A806065"/>
    <w:rsid w:val="0A806DC0"/>
    <w:rsid w:val="0A80786B"/>
    <w:rsid w:val="0A8123E6"/>
    <w:rsid w:val="0A814803"/>
    <w:rsid w:val="0A820C71"/>
    <w:rsid w:val="0A821835"/>
    <w:rsid w:val="0A8235E3"/>
    <w:rsid w:val="0A825391"/>
    <w:rsid w:val="0A83216D"/>
    <w:rsid w:val="0A8378CD"/>
    <w:rsid w:val="0A843BFB"/>
    <w:rsid w:val="0A84735B"/>
    <w:rsid w:val="0A852D4F"/>
    <w:rsid w:val="0A854E82"/>
    <w:rsid w:val="0A856C30"/>
    <w:rsid w:val="0A861CE5"/>
    <w:rsid w:val="0A863464"/>
    <w:rsid w:val="0A8643B4"/>
    <w:rsid w:val="0A866519"/>
    <w:rsid w:val="0A87117B"/>
    <w:rsid w:val="0A871661"/>
    <w:rsid w:val="0A8729A8"/>
    <w:rsid w:val="0A8756A0"/>
    <w:rsid w:val="0A87743C"/>
    <w:rsid w:val="0A8861FB"/>
    <w:rsid w:val="0A886CD4"/>
    <w:rsid w:val="0A887D53"/>
    <w:rsid w:val="0A8912C4"/>
    <w:rsid w:val="0A891319"/>
    <w:rsid w:val="0A892BC4"/>
    <w:rsid w:val="0A892F45"/>
    <w:rsid w:val="0A894972"/>
    <w:rsid w:val="0A8A06EA"/>
    <w:rsid w:val="0A8B6700"/>
    <w:rsid w:val="0A8C06B2"/>
    <w:rsid w:val="0A8C0D82"/>
    <w:rsid w:val="0A8C1B57"/>
    <w:rsid w:val="0A8C251E"/>
    <w:rsid w:val="0A8C4462"/>
    <w:rsid w:val="0A8C6210"/>
    <w:rsid w:val="0A8C6550"/>
    <w:rsid w:val="0A8D0DE5"/>
    <w:rsid w:val="0A8D16B6"/>
    <w:rsid w:val="0A8E01DA"/>
    <w:rsid w:val="0A8E4F02"/>
    <w:rsid w:val="0A8F3188"/>
    <w:rsid w:val="0A8F57AD"/>
    <w:rsid w:val="0A8F5D00"/>
    <w:rsid w:val="0A8F7AAE"/>
    <w:rsid w:val="0A9002DC"/>
    <w:rsid w:val="0A900AAE"/>
    <w:rsid w:val="0A905466"/>
    <w:rsid w:val="0A9114C7"/>
    <w:rsid w:val="0A911A78"/>
    <w:rsid w:val="0A92134D"/>
    <w:rsid w:val="0A925106"/>
    <w:rsid w:val="0A937CB8"/>
    <w:rsid w:val="0A943317"/>
    <w:rsid w:val="0A944798"/>
    <w:rsid w:val="0A94547F"/>
    <w:rsid w:val="0A9458FA"/>
    <w:rsid w:val="0A9469B8"/>
    <w:rsid w:val="0A95014E"/>
    <w:rsid w:val="0A9512D8"/>
    <w:rsid w:val="0A951956"/>
    <w:rsid w:val="0A9757F0"/>
    <w:rsid w:val="0A976EEC"/>
    <w:rsid w:val="0A977F0A"/>
    <w:rsid w:val="0A980873"/>
    <w:rsid w:val="0A981059"/>
    <w:rsid w:val="0A98344B"/>
    <w:rsid w:val="0A984BB5"/>
    <w:rsid w:val="0A9926DB"/>
    <w:rsid w:val="0A9944A6"/>
    <w:rsid w:val="0A9A310D"/>
    <w:rsid w:val="0A9A6B7F"/>
    <w:rsid w:val="0A9B11D0"/>
    <w:rsid w:val="0A9B28F7"/>
    <w:rsid w:val="0A9B4519"/>
    <w:rsid w:val="0A9B46A5"/>
    <w:rsid w:val="0A9B63D7"/>
    <w:rsid w:val="0A9B6453"/>
    <w:rsid w:val="0A9B688B"/>
    <w:rsid w:val="0A9C33FA"/>
    <w:rsid w:val="0A9C417E"/>
    <w:rsid w:val="0A9C43C0"/>
    <w:rsid w:val="0A9D041D"/>
    <w:rsid w:val="0A9D1B21"/>
    <w:rsid w:val="0A9D35AA"/>
    <w:rsid w:val="0A9D690D"/>
    <w:rsid w:val="0A9E5F43"/>
    <w:rsid w:val="0A9F23E7"/>
    <w:rsid w:val="0A9F7FA8"/>
    <w:rsid w:val="0AA01CBB"/>
    <w:rsid w:val="0AA03A6A"/>
    <w:rsid w:val="0AA07F45"/>
    <w:rsid w:val="0AA2244C"/>
    <w:rsid w:val="0AA23C86"/>
    <w:rsid w:val="0AA25A34"/>
    <w:rsid w:val="0AA277E2"/>
    <w:rsid w:val="0AA3355A"/>
    <w:rsid w:val="0AA34612"/>
    <w:rsid w:val="0AA36030"/>
    <w:rsid w:val="0AA367F5"/>
    <w:rsid w:val="0AA417AC"/>
    <w:rsid w:val="0AA41E47"/>
    <w:rsid w:val="0AA41F26"/>
    <w:rsid w:val="0AA43DE9"/>
    <w:rsid w:val="0AA51080"/>
    <w:rsid w:val="0AA53C90"/>
    <w:rsid w:val="0AA54CCA"/>
    <w:rsid w:val="0AA54F8B"/>
    <w:rsid w:val="0AA55524"/>
    <w:rsid w:val="0AA5556F"/>
    <w:rsid w:val="0AA572D2"/>
    <w:rsid w:val="0AA6135A"/>
    <w:rsid w:val="0AA7304A"/>
    <w:rsid w:val="0AA755DF"/>
    <w:rsid w:val="0AA94190"/>
    <w:rsid w:val="0AAA1193"/>
    <w:rsid w:val="0AAA230C"/>
    <w:rsid w:val="0AAA2B3A"/>
    <w:rsid w:val="0AAA37AF"/>
    <w:rsid w:val="0AAA48E8"/>
    <w:rsid w:val="0AAB0ADE"/>
    <w:rsid w:val="0AAB0D8C"/>
    <w:rsid w:val="0AAB206E"/>
    <w:rsid w:val="0AAC0660"/>
    <w:rsid w:val="0AAC60CF"/>
    <w:rsid w:val="0AAC68B2"/>
    <w:rsid w:val="0AAD5F33"/>
    <w:rsid w:val="0AAD62EC"/>
    <w:rsid w:val="0AAD755F"/>
    <w:rsid w:val="0AAE0A6F"/>
    <w:rsid w:val="0AAE0CA9"/>
    <w:rsid w:val="0AAE2130"/>
    <w:rsid w:val="0AAE35C0"/>
    <w:rsid w:val="0AAE43D8"/>
    <w:rsid w:val="0AAF006A"/>
    <w:rsid w:val="0AAF1EFF"/>
    <w:rsid w:val="0AAF60C7"/>
    <w:rsid w:val="0AAF6C91"/>
    <w:rsid w:val="0AB1211B"/>
    <w:rsid w:val="0AB15C77"/>
    <w:rsid w:val="0AB16078"/>
    <w:rsid w:val="0AB17370"/>
    <w:rsid w:val="0AB17A25"/>
    <w:rsid w:val="0AB21F41"/>
    <w:rsid w:val="0AB22BE8"/>
    <w:rsid w:val="0AB24B18"/>
    <w:rsid w:val="0AB333D1"/>
    <w:rsid w:val="0AB4389F"/>
    <w:rsid w:val="0AB47515"/>
    <w:rsid w:val="0AB508C2"/>
    <w:rsid w:val="0AB54ED4"/>
    <w:rsid w:val="0AB558E5"/>
    <w:rsid w:val="0AB6006C"/>
    <w:rsid w:val="0AB614DF"/>
    <w:rsid w:val="0AB61D52"/>
    <w:rsid w:val="0AB6328D"/>
    <w:rsid w:val="0AB80DB3"/>
    <w:rsid w:val="0AB85257"/>
    <w:rsid w:val="0AB8629F"/>
    <w:rsid w:val="0AB87005"/>
    <w:rsid w:val="0AB879D1"/>
    <w:rsid w:val="0AB90398"/>
    <w:rsid w:val="0AB9125A"/>
    <w:rsid w:val="0AB93494"/>
    <w:rsid w:val="0AB94B2B"/>
    <w:rsid w:val="0ABA1650"/>
    <w:rsid w:val="0ABA1B63"/>
    <w:rsid w:val="0ABA2D7D"/>
    <w:rsid w:val="0ABB3050"/>
    <w:rsid w:val="0ABB4D47"/>
    <w:rsid w:val="0ABB6AF5"/>
    <w:rsid w:val="0ABC5BC4"/>
    <w:rsid w:val="0ABD0ABF"/>
    <w:rsid w:val="0ABD7054"/>
    <w:rsid w:val="0ABE38E8"/>
    <w:rsid w:val="0ABF1E26"/>
    <w:rsid w:val="0ABF2D2D"/>
    <w:rsid w:val="0AC0235E"/>
    <w:rsid w:val="0AC0410C"/>
    <w:rsid w:val="0AC075CB"/>
    <w:rsid w:val="0AC10861"/>
    <w:rsid w:val="0AC116DB"/>
    <w:rsid w:val="0AC11E73"/>
    <w:rsid w:val="0AC15134"/>
    <w:rsid w:val="0AC202F5"/>
    <w:rsid w:val="0AC21C32"/>
    <w:rsid w:val="0AC26120"/>
    <w:rsid w:val="0AC27E84"/>
    <w:rsid w:val="0AC3259C"/>
    <w:rsid w:val="0AC354EC"/>
    <w:rsid w:val="0AC41565"/>
    <w:rsid w:val="0AC41E4E"/>
    <w:rsid w:val="0AC43128"/>
    <w:rsid w:val="0AC43BFC"/>
    <w:rsid w:val="0AC459AA"/>
    <w:rsid w:val="0AC4712D"/>
    <w:rsid w:val="0AC51722"/>
    <w:rsid w:val="0AC57974"/>
    <w:rsid w:val="0AC719CC"/>
    <w:rsid w:val="0AC750BE"/>
    <w:rsid w:val="0AC7549A"/>
    <w:rsid w:val="0AC83EF6"/>
    <w:rsid w:val="0AC91212"/>
    <w:rsid w:val="0AC955F7"/>
    <w:rsid w:val="0AC96805"/>
    <w:rsid w:val="0ACA0AE6"/>
    <w:rsid w:val="0ACA54EB"/>
    <w:rsid w:val="0ACB1B7B"/>
    <w:rsid w:val="0ACC13CC"/>
    <w:rsid w:val="0ACC36F0"/>
    <w:rsid w:val="0ACC485F"/>
    <w:rsid w:val="0ACE2BAA"/>
    <w:rsid w:val="0ACE4A7B"/>
    <w:rsid w:val="0ACE50A7"/>
    <w:rsid w:val="0ACE7FD9"/>
    <w:rsid w:val="0ACF434F"/>
    <w:rsid w:val="0ACF5DBC"/>
    <w:rsid w:val="0AD00A70"/>
    <w:rsid w:val="0AD017FF"/>
    <w:rsid w:val="0AD056F1"/>
    <w:rsid w:val="0AD05E05"/>
    <w:rsid w:val="0AD075AC"/>
    <w:rsid w:val="0AD11E75"/>
    <w:rsid w:val="0AD16459"/>
    <w:rsid w:val="0AD1695A"/>
    <w:rsid w:val="0AD26792"/>
    <w:rsid w:val="0AD308D0"/>
    <w:rsid w:val="0AD32091"/>
    <w:rsid w:val="0AD329BB"/>
    <w:rsid w:val="0AD338C2"/>
    <w:rsid w:val="0AD33E3F"/>
    <w:rsid w:val="0AD35BED"/>
    <w:rsid w:val="0AD41965"/>
    <w:rsid w:val="0AD43E4B"/>
    <w:rsid w:val="0AD57106"/>
    <w:rsid w:val="0AD61B81"/>
    <w:rsid w:val="0AD63721"/>
    <w:rsid w:val="0AD6392F"/>
    <w:rsid w:val="0AD63E0F"/>
    <w:rsid w:val="0AD6666C"/>
    <w:rsid w:val="0AD66FDA"/>
    <w:rsid w:val="0AD677E0"/>
    <w:rsid w:val="0AD738DA"/>
    <w:rsid w:val="0AD82A02"/>
    <w:rsid w:val="0AD8682D"/>
    <w:rsid w:val="0AD87630"/>
    <w:rsid w:val="0AD876A7"/>
    <w:rsid w:val="0AD950EC"/>
    <w:rsid w:val="0AD9736B"/>
    <w:rsid w:val="0ADA51CD"/>
    <w:rsid w:val="0ADA5CE5"/>
    <w:rsid w:val="0ADB0F46"/>
    <w:rsid w:val="0ADB2CF4"/>
    <w:rsid w:val="0ADB5CDD"/>
    <w:rsid w:val="0ADC15E0"/>
    <w:rsid w:val="0ADC3A6D"/>
    <w:rsid w:val="0ADC7CC1"/>
    <w:rsid w:val="0ADD3BCE"/>
    <w:rsid w:val="0ADD3D56"/>
    <w:rsid w:val="0ADD4CBE"/>
    <w:rsid w:val="0ADD5DCA"/>
    <w:rsid w:val="0ADD663E"/>
    <w:rsid w:val="0ADE267D"/>
    <w:rsid w:val="0ADE7F42"/>
    <w:rsid w:val="0ADF2D60"/>
    <w:rsid w:val="0AE0030A"/>
    <w:rsid w:val="0AE04074"/>
    <w:rsid w:val="0AE0655C"/>
    <w:rsid w:val="0AE11131"/>
    <w:rsid w:val="0AE132BD"/>
    <w:rsid w:val="0AE1364E"/>
    <w:rsid w:val="0AE22448"/>
    <w:rsid w:val="0AE22565"/>
    <w:rsid w:val="0AE262D7"/>
    <w:rsid w:val="0AE2666B"/>
    <w:rsid w:val="0AE35012"/>
    <w:rsid w:val="0AE41E68"/>
    <w:rsid w:val="0AE47DFA"/>
    <w:rsid w:val="0AE56260"/>
    <w:rsid w:val="0AE62CEC"/>
    <w:rsid w:val="0AE63DFD"/>
    <w:rsid w:val="0AE778EA"/>
    <w:rsid w:val="0AE81C3F"/>
    <w:rsid w:val="0AE836F0"/>
    <w:rsid w:val="0AE83751"/>
    <w:rsid w:val="0AE857B7"/>
    <w:rsid w:val="0AE909AB"/>
    <w:rsid w:val="0AE9282D"/>
    <w:rsid w:val="0AE93662"/>
    <w:rsid w:val="0AE95411"/>
    <w:rsid w:val="0AEA0C42"/>
    <w:rsid w:val="0AEA1189"/>
    <w:rsid w:val="0AEA2BB6"/>
    <w:rsid w:val="0AEA2F37"/>
    <w:rsid w:val="0AEA483C"/>
    <w:rsid w:val="0AEB27C0"/>
    <w:rsid w:val="0AEB73DB"/>
    <w:rsid w:val="0AEC3153"/>
    <w:rsid w:val="0AEC4F01"/>
    <w:rsid w:val="0AEC5E05"/>
    <w:rsid w:val="0AEC6CAF"/>
    <w:rsid w:val="0AED2C0D"/>
    <w:rsid w:val="0AED32A5"/>
    <w:rsid w:val="0AEE2A27"/>
    <w:rsid w:val="0AEE42FF"/>
    <w:rsid w:val="0AEE56A8"/>
    <w:rsid w:val="0AEE6486"/>
    <w:rsid w:val="0AEE6ECB"/>
    <w:rsid w:val="0AEF0200"/>
    <w:rsid w:val="0AEF4C47"/>
    <w:rsid w:val="0AEF704F"/>
    <w:rsid w:val="0AEF79BA"/>
    <w:rsid w:val="0AF049F1"/>
    <w:rsid w:val="0AF04AB4"/>
    <w:rsid w:val="0AF12517"/>
    <w:rsid w:val="0AF142C5"/>
    <w:rsid w:val="0AF15F44"/>
    <w:rsid w:val="0AF15F48"/>
    <w:rsid w:val="0AF273D4"/>
    <w:rsid w:val="0AF344E1"/>
    <w:rsid w:val="0AF3553F"/>
    <w:rsid w:val="0AF470A5"/>
    <w:rsid w:val="0AF53DB5"/>
    <w:rsid w:val="0AF56E26"/>
    <w:rsid w:val="0AF67531"/>
    <w:rsid w:val="0AF72964"/>
    <w:rsid w:val="0AF80F72"/>
    <w:rsid w:val="0AF838A6"/>
    <w:rsid w:val="0AFA0330"/>
    <w:rsid w:val="0AFA1623"/>
    <w:rsid w:val="0AFA761E"/>
    <w:rsid w:val="0AFB1BC7"/>
    <w:rsid w:val="0AFB5144"/>
    <w:rsid w:val="0AFD0EBC"/>
    <w:rsid w:val="0AFD2C6A"/>
    <w:rsid w:val="0AFD44E7"/>
    <w:rsid w:val="0AFD59B8"/>
    <w:rsid w:val="0AFD710E"/>
    <w:rsid w:val="0AFE107C"/>
    <w:rsid w:val="0AFE3617"/>
    <w:rsid w:val="0AFE4838"/>
    <w:rsid w:val="0AFE70B8"/>
    <w:rsid w:val="0AFE74FA"/>
    <w:rsid w:val="0AFF2E86"/>
    <w:rsid w:val="0AFF5B2E"/>
    <w:rsid w:val="0B000580"/>
    <w:rsid w:val="0B0009AC"/>
    <w:rsid w:val="0B00175E"/>
    <w:rsid w:val="0B0031E4"/>
    <w:rsid w:val="0B010AD1"/>
    <w:rsid w:val="0B016BFE"/>
    <w:rsid w:val="0B0264D2"/>
    <w:rsid w:val="0B026EC9"/>
    <w:rsid w:val="0B0345F4"/>
    <w:rsid w:val="0B0417E9"/>
    <w:rsid w:val="0B0432BC"/>
    <w:rsid w:val="0B043FF8"/>
    <w:rsid w:val="0B051AF1"/>
    <w:rsid w:val="0B052C79"/>
    <w:rsid w:val="0B064214"/>
    <w:rsid w:val="0B064FC4"/>
    <w:rsid w:val="0B0679B3"/>
    <w:rsid w:val="0B07016A"/>
    <w:rsid w:val="0B073AE9"/>
    <w:rsid w:val="0B077AF2"/>
    <w:rsid w:val="0B08250A"/>
    <w:rsid w:val="0B090DAA"/>
    <w:rsid w:val="0B09160F"/>
    <w:rsid w:val="0B092F65"/>
    <w:rsid w:val="0B097861"/>
    <w:rsid w:val="0B0A41ED"/>
    <w:rsid w:val="0B0B182B"/>
    <w:rsid w:val="0B0B35D9"/>
    <w:rsid w:val="0B0C10FF"/>
    <w:rsid w:val="0B0C7351"/>
    <w:rsid w:val="0B0D03DA"/>
    <w:rsid w:val="0B0D458A"/>
    <w:rsid w:val="0B0D5E93"/>
    <w:rsid w:val="0B0E30C9"/>
    <w:rsid w:val="0B0E3B00"/>
    <w:rsid w:val="0B0F07E3"/>
    <w:rsid w:val="0B0F40BE"/>
    <w:rsid w:val="0B0F4ED0"/>
    <w:rsid w:val="0B0F5795"/>
    <w:rsid w:val="0B0F7D5D"/>
    <w:rsid w:val="0B1004C6"/>
    <w:rsid w:val="0B100BEF"/>
    <w:rsid w:val="0B105855"/>
    <w:rsid w:val="0B1102C2"/>
    <w:rsid w:val="0B11052F"/>
    <w:rsid w:val="0B114967"/>
    <w:rsid w:val="0B116715"/>
    <w:rsid w:val="0B11754D"/>
    <w:rsid w:val="0B117E42"/>
    <w:rsid w:val="0B120D44"/>
    <w:rsid w:val="0B1229A8"/>
    <w:rsid w:val="0B124BEF"/>
    <w:rsid w:val="0B125051"/>
    <w:rsid w:val="0B13465D"/>
    <w:rsid w:val="0B136931"/>
    <w:rsid w:val="0B137610"/>
    <w:rsid w:val="0B137E4E"/>
    <w:rsid w:val="0B143F00"/>
    <w:rsid w:val="0B1510EE"/>
    <w:rsid w:val="0B1526A9"/>
    <w:rsid w:val="0B154457"/>
    <w:rsid w:val="0B157C23"/>
    <w:rsid w:val="0B161F7E"/>
    <w:rsid w:val="0B162841"/>
    <w:rsid w:val="0B164DF8"/>
    <w:rsid w:val="0B17651E"/>
    <w:rsid w:val="0B181EC4"/>
    <w:rsid w:val="0B182353"/>
    <w:rsid w:val="0B183F48"/>
    <w:rsid w:val="0B193834"/>
    <w:rsid w:val="0B194F54"/>
    <w:rsid w:val="0B1A4A92"/>
    <w:rsid w:val="0B1A6AC6"/>
    <w:rsid w:val="0B1A7CC0"/>
    <w:rsid w:val="0B1B1342"/>
    <w:rsid w:val="0B1B291A"/>
    <w:rsid w:val="0B1C2D70"/>
    <w:rsid w:val="0B1C3A38"/>
    <w:rsid w:val="0B1D0C17"/>
    <w:rsid w:val="0B1D50BA"/>
    <w:rsid w:val="0B1E3054"/>
    <w:rsid w:val="0B1E33D5"/>
    <w:rsid w:val="0B1E4F61"/>
    <w:rsid w:val="0B1F0E32"/>
    <w:rsid w:val="0B1F0FC2"/>
    <w:rsid w:val="0B1F52D6"/>
    <w:rsid w:val="0B2121A1"/>
    <w:rsid w:val="0B21438C"/>
    <w:rsid w:val="0B2203A1"/>
    <w:rsid w:val="0B220922"/>
    <w:rsid w:val="0B2226D0"/>
    <w:rsid w:val="0B22323D"/>
    <w:rsid w:val="0B224A6C"/>
    <w:rsid w:val="0B224D72"/>
    <w:rsid w:val="0B224DC6"/>
    <w:rsid w:val="0B225850"/>
    <w:rsid w:val="0B225FBF"/>
    <w:rsid w:val="0B2265AA"/>
    <w:rsid w:val="0B23242E"/>
    <w:rsid w:val="0B2428ED"/>
    <w:rsid w:val="0B245204"/>
    <w:rsid w:val="0B246449"/>
    <w:rsid w:val="0B260413"/>
    <w:rsid w:val="0B262672"/>
    <w:rsid w:val="0B264B83"/>
    <w:rsid w:val="0B270EE2"/>
    <w:rsid w:val="0B277754"/>
    <w:rsid w:val="0B28286B"/>
    <w:rsid w:val="0B291CB1"/>
    <w:rsid w:val="0B293A5F"/>
    <w:rsid w:val="0B297284"/>
    <w:rsid w:val="0B2A4AEB"/>
    <w:rsid w:val="0B2A60D5"/>
    <w:rsid w:val="0B2B3C7B"/>
    <w:rsid w:val="0B2B7565"/>
    <w:rsid w:val="0B2B77D7"/>
    <w:rsid w:val="0B2C16D8"/>
    <w:rsid w:val="0B2C354F"/>
    <w:rsid w:val="0B2C62D0"/>
    <w:rsid w:val="0B2D28C6"/>
    <w:rsid w:val="0B2E376B"/>
    <w:rsid w:val="0B2E72C7"/>
    <w:rsid w:val="0B2E7A07"/>
    <w:rsid w:val="0B304DED"/>
    <w:rsid w:val="0B305469"/>
    <w:rsid w:val="0B307E3F"/>
    <w:rsid w:val="0B3103BC"/>
    <w:rsid w:val="0B3107E1"/>
    <w:rsid w:val="0B311452"/>
    <w:rsid w:val="0B311C96"/>
    <w:rsid w:val="0B315206"/>
    <w:rsid w:val="0B315F59"/>
    <w:rsid w:val="0B316DB7"/>
    <w:rsid w:val="0B322AD2"/>
    <w:rsid w:val="0B323126"/>
    <w:rsid w:val="0B332B30"/>
    <w:rsid w:val="0B333457"/>
    <w:rsid w:val="0B33590C"/>
    <w:rsid w:val="0B341D58"/>
    <w:rsid w:val="0B346E0F"/>
    <w:rsid w:val="0B350617"/>
    <w:rsid w:val="0B35679C"/>
    <w:rsid w:val="0B3568A8"/>
    <w:rsid w:val="0B364F7D"/>
    <w:rsid w:val="0B36526C"/>
    <w:rsid w:val="0B372BCC"/>
    <w:rsid w:val="0B374D91"/>
    <w:rsid w:val="0B386398"/>
    <w:rsid w:val="0B390784"/>
    <w:rsid w:val="0B391B68"/>
    <w:rsid w:val="0B3A3EBE"/>
    <w:rsid w:val="0B3A5C6C"/>
    <w:rsid w:val="0B3B0722"/>
    <w:rsid w:val="0B3B2F89"/>
    <w:rsid w:val="0B3B38A2"/>
    <w:rsid w:val="0B3B49A5"/>
    <w:rsid w:val="0B3B4F9C"/>
    <w:rsid w:val="0B3B5350"/>
    <w:rsid w:val="0B3C0C7A"/>
    <w:rsid w:val="0B3C19E4"/>
    <w:rsid w:val="0B3C2AAE"/>
    <w:rsid w:val="0B3C4729"/>
    <w:rsid w:val="0B3D39AE"/>
    <w:rsid w:val="0B3D3E5F"/>
    <w:rsid w:val="0B3D4405"/>
    <w:rsid w:val="0B3D7174"/>
    <w:rsid w:val="0B3D750A"/>
    <w:rsid w:val="0B3E2A73"/>
    <w:rsid w:val="0B3F14D4"/>
    <w:rsid w:val="0B3F22EB"/>
    <w:rsid w:val="0B3F2B0D"/>
    <w:rsid w:val="0B3F3282"/>
    <w:rsid w:val="0B3F4740"/>
    <w:rsid w:val="0B3F60F6"/>
    <w:rsid w:val="0B4002FA"/>
    <w:rsid w:val="0B413C35"/>
    <w:rsid w:val="0B415BEC"/>
    <w:rsid w:val="0B416931"/>
    <w:rsid w:val="0B420B44"/>
    <w:rsid w:val="0B422536"/>
    <w:rsid w:val="0B422C1A"/>
    <w:rsid w:val="0B424B21"/>
    <w:rsid w:val="0B440899"/>
    <w:rsid w:val="0B451E13"/>
    <w:rsid w:val="0B46124C"/>
    <w:rsid w:val="0B462863"/>
    <w:rsid w:val="0B46416C"/>
    <w:rsid w:val="0B4665F3"/>
    <w:rsid w:val="0B470389"/>
    <w:rsid w:val="0B4821A6"/>
    <w:rsid w:val="0B4822BD"/>
    <w:rsid w:val="0B4A3F7D"/>
    <w:rsid w:val="0B4B60CB"/>
    <w:rsid w:val="0B4B7E79"/>
    <w:rsid w:val="0B4C35B6"/>
    <w:rsid w:val="0B4C4BB7"/>
    <w:rsid w:val="0B4C6897"/>
    <w:rsid w:val="0B4D146E"/>
    <w:rsid w:val="0B4D1BF8"/>
    <w:rsid w:val="0B4E5009"/>
    <w:rsid w:val="0B4E5B54"/>
    <w:rsid w:val="0B4E7969"/>
    <w:rsid w:val="0B4F2FC4"/>
    <w:rsid w:val="0B505490"/>
    <w:rsid w:val="0B512FB6"/>
    <w:rsid w:val="0B51469B"/>
    <w:rsid w:val="0B5166AE"/>
    <w:rsid w:val="0B516E5B"/>
    <w:rsid w:val="0B5219BA"/>
    <w:rsid w:val="0B52270F"/>
    <w:rsid w:val="0B532D06"/>
    <w:rsid w:val="0B541154"/>
    <w:rsid w:val="0B542754"/>
    <w:rsid w:val="0B544C94"/>
    <w:rsid w:val="0B54502F"/>
    <w:rsid w:val="0B5473B6"/>
    <w:rsid w:val="0B552AA6"/>
    <w:rsid w:val="0B55304C"/>
    <w:rsid w:val="0B554854"/>
    <w:rsid w:val="0B555221"/>
    <w:rsid w:val="0B55611E"/>
    <w:rsid w:val="0B556792"/>
    <w:rsid w:val="0B557634"/>
    <w:rsid w:val="0B560B75"/>
    <w:rsid w:val="0B561090"/>
    <w:rsid w:val="0B562520"/>
    <w:rsid w:val="0B5648DA"/>
    <w:rsid w:val="0B574A70"/>
    <w:rsid w:val="0B5767B5"/>
    <w:rsid w:val="0B57681E"/>
    <w:rsid w:val="0B5807E8"/>
    <w:rsid w:val="0B583A0C"/>
    <w:rsid w:val="0B5A3A72"/>
    <w:rsid w:val="0B5A4560"/>
    <w:rsid w:val="0B5B517E"/>
    <w:rsid w:val="0B5C2086"/>
    <w:rsid w:val="0B5C3E34"/>
    <w:rsid w:val="0B5C5BE2"/>
    <w:rsid w:val="0B5D7153"/>
    <w:rsid w:val="0B5D7DF5"/>
    <w:rsid w:val="0B5E026A"/>
    <w:rsid w:val="0B5E0CB2"/>
    <w:rsid w:val="0B5E26B2"/>
    <w:rsid w:val="0B5E368C"/>
    <w:rsid w:val="0B5F1B77"/>
    <w:rsid w:val="0B5F2994"/>
    <w:rsid w:val="0B5F3883"/>
    <w:rsid w:val="0B5F3925"/>
    <w:rsid w:val="0B5F704C"/>
    <w:rsid w:val="0B61144B"/>
    <w:rsid w:val="0B6131F9"/>
    <w:rsid w:val="0B615C80"/>
    <w:rsid w:val="0B6161A3"/>
    <w:rsid w:val="0B61769D"/>
    <w:rsid w:val="0B6251C3"/>
    <w:rsid w:val="0B633415"/>
    <w:rsid w:val="0B645117"/>
    <w:rsid w:val="0B64718D"/>
    <w:rsid w:val="0B647CCD"/>
    <w:rsid w:val="0B65081E"/>
    <w:rsid w:val="0B6558D0"/>
    <w:rsid w:val="0B6600D6"/>
    <w:rsid w:val="0B6652C1"/>
    <w:rsid w:val="0B671515"/>
    <w:rsid w:val="0B674587"/>
    <w:rsid w:val="0B675AF7"/>
    <w:rsid w:val="0B680A2B"/>
    <w:rsid w:val="0B681803"/>
    <w:rsid w:val="0B68195A"/>
    <w:rsid w:val="0B6841E9"/>
    <w:rsid w:val="0B684263"/>
    <w:rsid w:val="0B69244E"/>
    <w:rsid w:val="0B694848"/>
    <w:rsid w:val="0B696551"/>
    <w:rsid w:val="0B697506"/>
    <w:rsid w:val="0B6A2548"/>
    <w:rsid w:val="0B6B12B4"/>
    <w:rsid w:val="0B6B4077"/>
    <w:rsid w:val="0B6B559F"/>
    <w:rsid w:val="0B6C31F5"/>
    <w:rsid w:val="0B6C32B6"/>
    <w:rsid w:val="0B6C59A0"/>
    <w:rsid w:val="0B6D1AD0"/>
    <w:rsid w:val="0B6D6042"/>
    <w:rsid w:val="0B6E1DBA"/>
    <w:rsid w:val="0B6E48D3"/>
    <w:rsid w:val="0B6E5916"/>
    <w:rsid w:val="0B6F30CD"/>
    <w:rsid w:val="0B6F3378"/>
    <w:rsid w:val="0B70076C"/>
    <w:rsid w:val="0B70168E"/>
    <w:rsid w:val="0B705B32"/>
    <w:rsid w:val="0B7068E1"/>
    <w:rsid w:val="0B713EAA"/>
    <w:rsid w:val="0B71481D"/>
    <w:rsid w:val="0B717029"/>
    <w:rsid w:val="0B720192"/>
    <w:rsid w:val="0B7202D7"/>
    <w:rsid w:val="0B7218AA"/>
    <w:rsid w:val="0B725406"/>
    <w:rsid w:val="0B725860"/>
    <w:rsid w:val="0B727EBB"/>
    <w:rsid w:val="0B732E93"/>
    <w:rsid w:val="0B732F2C"/>
    <w:rsid w:val="0B7373D0"/>
    <w:rsid w:val="0B74273E"/>
    <w:rsid w:val="0B742C57"/>
    <w:rsid w:val="0B745622"/>
    <w:rsid w:val="0B753148"/>
    <w:rsid w:val="0B76595A"/>
    <w:rsid w:val="0B772A1C"/>
    <w:rsid w:val="0B786794"/>
    <w:rsid w:val="0B786BC4"/>
    <w:rsid w:val="0B791257"/>
    <w:rsid w:val="0B792C38"/>
    <w:rsid w:val="0B792DE4"/>
    <w:rsid w:val="0B796947"/>
    <w:rsid w:val="0B796AE0"/>
    <w:rsid w:val="0B7A03E6"/>
    <w:rsid w:val="0B7A5A70"/>
    <w:rsid w:val="0B7B4628"/>
    <w:rsid w:val="0B7B5CD3"/>
    <w:rsid w:val="0B7B7DE4"/>
    <w:rsid w:val="0B7C339E"/>
    <w:rsid w:val="0B7C423B"/>
    <w:rsid w:val="0B7C44D7"/>
    <w:rsid w:val="0B7C634C"/>
    <w:rsid w:val="0B7D1FFD"/>
    <w:rsid w:val="0B7D3DAB"/>
    <w:rsid w:val="0B7D4479"/>
    <w:rsid w:val="0B7D707B"/>
    <w:rsid w:val="0B7D745C"/>
    <w:rsid w:val="0B7E46FA"/>
    <w:rsid w:val="0B7E6535"/>
    <w:rsid w:val="0B7E671A"/>
    <w:rsid w:val="0B7F1C96"/>
    <w:rsid w:val="0B7F42FD"/>
    <w:rsid w:val="0B7F5D75"/>
    <w:rsid w:val="0B7F5F44"/>
    <w:rsid w:val="0B7F7B23"/>
    <w:rsid w:val="0B7F7E8C"/>
    <w:rsid w:val="0B81389B"/>
    <w:rsid w:val="0B814603"/>
    <w:rsid w:val="0B8213C1"/>
    <w:rsid w:val="0B824E36"/>
    <w:rsid w:val="0B8251F1"/>
    <w:rsid w:val="0B8341CE"/>
    <w:rsid w:val="0B835865"/>
    <w:rsid w:val="0B836769"/>
    <w:rsid w:val="0B84338B"/>
    <w:rsid w:val="0B845139"/>
    <w:rsid w:val="0B85069B"/>
    <w:rsid w:val="0B851A79"/>
    <w:rsid w:val="0B854CD8"/>
    <w:rsid w:val="0B860EB1"/>
    <w:rsid w:val="0B865355"/>
    <w:rsid w:val="0B866A2E"/>
    <w:rsid w:val="0B872A8F"/>
    <w:rsid w:val="0B8769D7"/>
    <w:rsid w:val="0B8821F5"/>
    <w:rsid w:val="0B883F1F"/>
    <w:rsid w:val="0B8909A2"/>
    <w:rsid w:val="0B892750"/>
    <w:rsid w:val="0B8B296C"/>
    <w:rsid w:val="0B8B4185"/>
    <w:rsid w:val="0B8B4447"/>
    <w:rsid w:val="0B8B64C8"/>
    <w:rsid w:val="0B8B6796"/>
    <w:rsid w:val="0B8C3FEE"/>
    <w:rsid w:val="0B8C4D99"/>
    <w:rsid w:val="0B8C5471"/>
    <w:rsid w:val="0B8D0492"/>
    <w:rsid w:val="0B8D2EAB"/>
    <w:rsid w:val="0B8D43CD"/>
    <w:rsid w:val="0B8E047B"/>
    <w:rsid w:val="0B8E420A"/>
    <w:rsid w:val="0B8E5FB8"/>
    <w:rsid w:val="0B8E7D66"/>
    <w:rsid w:val="0B8F5352"/>
    <w:rsid w:val="0B903ADE"/>
    <w:rsid w:val="0B903F47"/>
    <w:rsid w:val="0B905622"/>
    <w:rsid w:val="0B907065"/>
    <w:rsid w:val="0B9114DE"/>
    <w:rsid w:val="0B913B41"/>
    <w:rsid w:val="0B9151D8"/>
    <w:rsid w:val="0B921852"/>
    <w:rsid w:val="0B923CFA"/>
    <w:rsid w:val="0B925519"/>
    <w:rsid w:val="0B925DD0"/>
    <w:rsid w:val="0B9263C7"/>
    <w:rsid w:val="0B927850"/>
    <w:rsid w:val="0B930D29"/>
    <w:rsid w:val="0B9335CE"/>
    <w:rsid w:val="0B93780A"/>
    <w:rsid w:val="0B941820"/>
    <w:rsid w:val="0B945120"/>
    <w:rsid w:val="0B9503E7"/>
    <w:rsid w:val="0B9510F4"/>
    <w:rsid w:val="0B953B5C"/>
    <w:rsid w:val="0B955598"/>
    <w:rsid w:val="0B956B80"/>
    <w:rsid w:val="0B9605EA"/>
    <w:rsid w:val="0B964496"/>
    <w:rsid w:val="0B966410"/>
    <w:rsid w:val="0B971310"/>
    <w:rsid w:val="0B971EFD"/>
    <w:rsid w:val="0B97223D"/>
    <w:rsid w:val="0B9728B7"/>
    <w:rsid w:val="0B97468A"/>
    <w:rsid w:val="0B97478E"/>
    <w:rsid w:val="0B974E6D"/>
    <w:rsid w:val="0B9774EB"/>
    <w:rsid w:val="0B980BE5"/>
    <w:rsid w:val="0B984BA5"/>
    <w:rsid w:val="0B9A670B"/>
    <w:rsid w:val="0B9B157B"/>
    <w:rsid w:val="0B9B324A"/>
    <w:rsid w:val="0B9B784C"/>
    <w:rsid w:val="0B9B7DBC"/>
    <w:rsid w:val="0B9C06D5"/>
    <w:rsid w:val="0B9C2483"/>
    <w:rsid w:val="0B9C6927"/>
    <w:rsid w:val="0B9D0239"/>
    <w:rsid w:val="0B9D0BE0"/>
    <w:rsid w:val="0B9D3B00"/>
    <w:rsid w:val="0B9D57DE"/>
    <w:rsid w:val="0B9D5B89"/>
    <w:rsid w:val="0B9D63F6"/>
    <w:rsid w:val="0B9E269F"/>
    <w:rsid w:val="0B9E3D24"/>
    <w:rsid w:val="0B9E444D"/>
    <w:rsid w:val="0B9E5307"/>
    <w:rsid w:val="0B9E7886"/>
    <w:rsid w:val="0B9F01C5"/>
    <w:rsid w:val="0B9F3118"/>
    <w:rsid w:val="0B9F34BE"/>
    <w:rsid w:val="0B9F3D21"/>
    <w:rsid w:val="0B9F7652"/>
    <w:rsid w:val="0BA0070D"/>
    <w:rsid w:val="0BA04E1E"/>
    <w:rsid w:val="0BA13F3D"/>
    <w:rsid w:val="0BA14A9B"/>
    <w:rsid w:val="0BA15489"/>
    <w:rsid w:val="0BA17A99"/>
    <w:rsid w:val="0BA23811"/>
    <w:rsid w:val="0BA2391B"/>
    <w:rsid w:val="0BA23D54"/>
    <w:rsid w:val="0BA25CC6"/>
    <w:rsid w:val="0BA37CB5"/>
    <w:rsid w:val="0BA4082F"/>
    <w:rsid w:val="0BA457DB"/>
    <w:rsid w:val="0BA47589"/>
    <w:rsid w:val="0BA50AA1"/>
    <w:rsid w:val="0BA54462"/>
    <w:rsid w:val="0BA54B88"/>
    <w:rsid w:val="0BA56018"/>
    <w:rsid w:val="0BA61553"/>
    <w:rsid w:val="0BA63302"/>
    <w:rsid w:val="0BA63AAA"/>
    <w:rsid w:val="0BA650B0"/>
    <w:rsid w:val="0BA67BA3"/>
    <w:rsid w:val="0BA719E0"/>
    <w:rsid w:val="0BA72079"/>
    <w:rsid w:val="0BA80E28"/>
    <w:rsid w:val="0BA82946"/>
    <w:rsid w:val="0BA85B26"/>
    <w:rsid w:val="0BA8707A"/>
    <w:rsid w:val="0BA93258"/>
    <w:rsid w:val="0BA93617"/>
    <w:rsid w:val="0BA94BA0"/>
    <w:rsid w:val="0BA94D3D"/>
    <w:rsid w:val="0BA96AD9"/>
    <w:rsid w:val="0BA97326"/>
    <w:rsid w:val="0BAA1EC1"/>
    <w:rsid w:val="0BAA3D22"/>
    <w:rsid w:val="0BAA5D2C"/>
    <w:rsid w:val="0BAB0918"/>
    <w:rsid w:val="0BAB19E1"/>
    <w:rsid w:val="0BAB376E"/>
    <w:rsid w:val="0BAB46E3"/>
    <w:rsid w:val="0BAB6B6A"/>
    <w:rsid w:val="0BAB72B9"/>
    <w:rsid w:val="0BAC6977"/>
    <w:rsid w:val="0BAD4690"/>
    <w:rsid w:val="0BAE41AE"/>
    <w:rsid w:val="0BAE5C3A"/>
    <w:rsid w:val="0BAF0DCA"/>
    <w:rsid w:val="0BAF0EEA"/>
    <w:rsid w:val="0BAF1F3A"/>
    <w:rsid w:val="0BAF665A"/>
    <w:rsid w:val="0BB02F3A"/>
    <w:rsid w:val="0BB05F2E"/>
    <w:rsid w:val="0BB21CA6"/>
    <w:rsid w:val="0BB25400"/>
    <w:rsid w:val="0BB2718C"/>
    <w:rsid w:val="0BB27EF8"/>
    <w:rsid w:val="0BB30246"/>
    <w:rsid w:val="0BB3061C"/>
    <w:rsid w:val="0BB35A1E"/>
    <w:rsid w:val="0BB377CC"/>
    <w:rsid w:val="0BB41243"/>
    <w:rsid w:val="0BB41AAC"/>
    <w:rsid w:val="0BB42400"/>
    <w:rsid w:val="0BB43C70"/>
    <w:rsid w:val="0BB450C1"/>
    <w:rsid w:val="0BB51797"/>
    <w:rsid w:val="0BB63399"/>
    <w:rsid w:val="0BB643CC"/>
    <w:rsid w:val="0BB73761"/>
    <w:rsid w:val="0BB73AA3"/>
    <w:rsid w:val="0BB743C6"/>
    <w:rsid w:val="0BB772BD"/>
    <w:rsid w:val="0BB850EE"/>
    <w:rsid w:val="0BB92D4D"/>
    <w:rsid w:val="0BB96184"/>
    <w:rsid w:val="0BB96329"/>
    <w:rsid w:val="0BB978C9"/>
    <w:rsid w:val="0BBA4DF6"/>
    <w:rsid w:val="0BBA4FFF"/>
    <w:rsid w:val="0BBA6DAD"/>
    <w:rsid w:val="0BBA7DCD"/>
    <w:rsid w:val="0BBC3179"/>
    <w:rsid w:val="0BBC40D1"/>
    <w:rsid w:val="0BBC48D3"/>
    <w:rsid w:val="0BBE4AEF"/>
    <w:rsid w:val="0BBF090C"/>
    <w:rsid w:val="0BBF2615"/>
    <w:rsid w:val="0BBF43C3"/>
    <w:rsid w:val="0BBF4F4E"/>
    <w:rsid w:val="0BBF6171"/>
    <w:rsid w:val="0BBF7B13"/>
    <w:rsid w:val="0BC01790"/>
    <w:rsid w:val="0BC05EFE"/>
    <w:rsid w:val="0BC1013B"/>
    <w:rsid w:val="0BC11EE9"/>
    <w:rsid w:val="0BC21A2B"/>
    <w:rsid w:val="0BC32105"/>
    <w:rsid w:val="0BC33EB3"/>
    <w:rsid w:val="0BC369D0"/>
    <w:rsid w:val="0BC415A1"/>
    <w:rsid w:val="0BC450F6"/>
    <w:rsid w:val="0BC45C5A"/>
    <w:rsid w:val="0BC46651"/>
    <w:rsid w:val="0BC46C49"/>
    <w:rsid w:val="0BC47C2C"/>
    <w:rsid w:val="0BC62891"/>
    <w:rsid w:val="0BC64162"/>
    <w:rsid w:val="0BC65752"/>
    <w:rsid w:val="0BC75351"/>
    <w:rsid w:val="0BC75922"/>
    <w:rsid w:val="0BC814CA"/>
    <w:rsid w:val="0BC81863"/>
    <w:rsid w:val="0BC8771C"/>
    <w:rsid w:val="0BC97B63"/>
    <w:rsid w:val="0BCA0FE2"/>
    <w:rsid w:val="0BCA33F1"/>
    <w:rsid w:val="0BCA3494"/>
    <w:rsid w:val="0BCA3CD2"/>
    <w:rsid w:val="0BCB0FBA"/>
    <w:rsid w:val="0BCB2D68"/>
    <w:rsid w:val="0BCB3919"/>
    <w:rsid w:val="0BCB4B16"/>
    <w:rsid w:val="0BCB720C"/>
    <w:rsid w:val="0BCC11C3"/>
    <w:rsid w:val="0BCC3CC9"/>
    <w:rsid w:val="0BCD3D94"/>
    <w:rsid w:val="0BCF654A"/>
    <w:rsid w:val="0BD0037E"/>
    <w:rsid w:val="0BD02715"/>
    <w:rsid w:val="0BD04822"/>
    <w:rsid w:val="0BD05976"/>
    <w:rsid w:val="0BD065D0"/>
    <w:rsid w:val="0BD067D0"/>
    <w:rsid w:val="0BD1019E"/>
    <w:rsid w:val="0BD11949"/>
    <w:rsid w:val="0BD13BA5"/>
    <w:rsid w:val="0BD14F70"/>
    <w:rsid w:val="0BD22349"/>
    <w:rsid w:val="0BD27BF6"/>
    <w:rsid w:val="0BD31C1D"/>
    <w:rsid w:val="0BD33CC6"/>
    <w:rsid w:val="0BD374EE"/>
    <w:rsid w:val="0BD41532"/>
    <w:rsid w:val="0BD460C1"/>
    <w:rsid w:val="0BD462A2"/>
    <w:rsid w:val="0BD47E6F"/>
    <w:rsid w:val="0BD57DAC"/>
    <w:rsid w:val="0BD7265C"/>
    <w:rsid w:val="0BD728F3"/>
    <w:rsid w:val="0BD75BB1"/>
    <w:rsid w:val="0BD8082E"/>
    <w:rsid w:val="0BD8459A"/>
    <w:rsid w:val="0BD848FB"/>
    <w:rsid w:val="0BD85122"/>
    <w:rsid w:val="0BD92337"/>
    <w:rsid w:val="0BD936D7"/>
    <w:rsid w:val="0BD95485"/>
    <w:rsid w:val="0BDA65CB"/>
    <w:rsid w:val="0BDB744F"/>
    <w:rsid w:val="0BDB7828"/>
    <w:rsid w:val="0BDC60E7"/>
    <w:rsid w:val="0BDD2B1D"/>
    <w:rsid w:val="0BDE2A9B"/>
    <w:rsid w:val="0BDE3217"/>
    <w:rsid w:val="0BDE325C"/>
    <w:rsid w:val="0BDE6F3F"/>
    <w:rsid w:val="0BDE77FF"/>
    <w:rsid w:val="0BDF79CB"/>
    <w:rsid w:val="0BE05039"/>
    <w:rsid w:val="0BE11BB4"/>
    <w:rsid w:val="0BE2006A"/>
    <w:rsid w:val="0BE300B2"/>
    <w:rsid w:val="0BE31D66"/>
    <w:rsid w:val="0BE32BC0"/>
    <w:rsid w:val="0BE34556"/>
    <w:rsid w:val="0BE36304"/>
    <w:rsid w:val="0BE4053F"/>
    <w:rsid w:val="0BE42701"/>
    <w:rsid w:val="0BE42BDB"/>
    <w:rsid w:val="0BE43E2A"/>
    <w:rsid w:val="0BE44BE0"/>
    <w:rsid w:val="0BE45BD8"/>
    <w:rsid w:val="0BE47408"/>
    <w:rsid w:val="0BE502CE"/>
    <w:rsid w:val="0BE508DA"/>
    <w:rsid w:val="0BE56359"/>
    <w:rsid w:val="0BE574CD"/>
    <w:rsid w:val="0BE6553E"/>
    <w:rsid w:val="0BE67BA2"/>
    <w:rsid w:val="0BE75DCB"/>
    <w:rsid w:val="0BE8099C"/>
    <w:rsid w:val="0BE8133B"/>
    <w:rsid w:val="0BE81DF9"/>
    <w:rsid w:val="0BE83169"/>
    <w:rsid w:val="0BE91440"/>
    <w:rsid w:val="0BE91F90"/>
    <w:rsid w:val="0BE9536E"/>
    <w:rsid w:val="0BEA58E4"/>
    <w:rsid w:val="0BEB02FB"/>
    <w:rsid w:val="0BEB06AF"/>
    <w:rsid w:val="0BEB132D"/>
    <w:rsid w:val="0BEB340A"/>
    <w:rsid w:val="0BEB51B8"/>
    <w:rsid w:val="0BEB6B55"/>
    <w:rsid w:val="0BEB7078"/>
    <w:rsid w:val="0BEC0FCE"/>
    <w:rsid w:val="0BEC11A0"/>
    <w:rsid w:val="0BEC6A6F"/>
    <w:rsid w:val="0BED2CDE"/>
    <w:rsid w:val="0BED3143"/>
    <w:rsid w:val="0BEE1F01"/>
    <w:rsid w:val="0BEE2322"/>
    <w:rsid w:val="0BEE3079"/>
    <w:rsid w:val="0BEE3B04"/>
    <w:rsid w:val="0BEE64B9"/>
    <w:rsid w:val="0BEF2EFA"/>
    <w:rsid w:val="0BEF455D"/>
    <w:rsid w:val="0BEF4CA9"/>
    <w:rsid w:val="0BEF7550"/>
    <w:rsid w:val="0BF00A21"/>
    <w:rsid w:val="0BF02888"/>
    <w:rsid w:val="0BF15B73"/>
    <w:rsid w:val="0BF2461F"/>
    <w:rsid w:val="0BF30C8F"/>
    <w:rsid w:val="0BF35AAF"/>
    <w:rsid w:val="0BF374E6"/>
    <w:rsid w:val="0BF37B5F"/>
    <w:rsid w:val="0BF41E85"/>
    <w:rsid w:val="0BF4406D"/>
    <w:rsid w:val="0BF47828"/>
    <w:rsid w:val="0BF52F04"/>
    <w:rsid w:val="0BF54270"/>
    <w:rsid w:val="0BF54749"/>
    <w:rsid w:val="0BF57DE5"/>
    <w:rsid w:val="0BF60220"/>
    <w:rsid w:val="0BF6185F"/>
    <w:rsid w:val="0BF71DAF"/>
    <w:rsid w:val="0BF745FC"/>
    <w:rsid w:val="0BF7590B"/>
    <w:rsid w:val="0BF8586F"/>
    <w:rsid w:val="0BF8789A"/>
    <w:rsid w:val="0BF978D5"/>
    <w:rsid w:val="0BFA364D"/>
    <w:rsid w:val="0BFA53FB"/>
    <w:rsid w:val="0BFB189F"/>
    <w:rsid w:val="0BFB2898"/>
    <w:rsid w:val="0BFC0F64"/>
    <w:rsid w:val="0BFC5617"/>
    <w:rsid w:val="0BFD3F69"/>
    <w:rsid w:val="0BFD5F76"/>
    <w:rsid w:val="0BFD6B61"/>
    <w:rsid w:val="0BFE313E"/>
    <w:rsid w:val="0BFE355C"/>
    <w:rsid w:val="0BFE4EEC"/>
    <w:rsid w:val="0BFE5A44"/>
    <w:rsid w:val="0BFF137E"/>
    <w:rsid w:val="0BFF2A12"/>
    <w:rsid w:val="0BFF517F"/>
    <w:rsid w:val="0C000C64"/>
    <w:rsid w:val="0C001A51"/>
    <w:rsid w:val="0C004A16"/>
    <w:rsid w:val="0C0050C2"/>
    <w:rsid w:val="0C007B04"/>
    <w:rsid w:val="0C01105A"/>
    <w:rsid w:val="0C01258D"/>
    <w:rsid w:val="0C0128F7"/>
    <w:rsid w:val="0C012C2E"/>
    <w:rsid w:val="0C0149DC"/>
    <w:rsid w:val="0C01678A"/>
    <w:rsid w:val="0C017CA1"/>
    <w:rsid w:val="0C0229CB"/>
    <w:rsid w:val="0C022D5C"/>
    <w:rsid w:val="0C026B21"/>
    <w:rsid w:val="0C03282A"/>
    <w:rsid w:val="0C036083"/>
    <w:rsid w:val="0C042B21"/>
    <w:rsid w:val="0C042DC4"/>
    <w:rsid w:val="0C046A34"/>
    <w:rsid w:val="0C046B5E"/>
    <w:rsid w:val="0C04759B"/>
    <w:rsid w:val="0C0555AD"/>
    <w:rsid w:val="0C060244"/>
    <w:rsid w:val="0C0619AA"/>
    <w:rsid w:val="0C0625BF"/>
    <w:rsid w:val="0C073EA3"/>
    <w:rsid w:val="0C0770D2"/>
    <w:rsid w:val="0C080818"/>
    <w:rsid w:val="0C087B18"/>
    <w:rsid w:val="0C09359C"/>
    <w:rsid w:val="0C0A1AE2"/>
    <w:rsid w:val="0C0A28A6"/>
    <w:rsid w:val="0C0A4DFB"/>
    <w:rsid w:val="0C0A7410"/>
    <w:rsid w:val="0C0A7D34"/>
    <w:rsid w:val="0C0B4075"/>
    <w:rsid w:val="0C0B585A"/>
    <w:rsid w:val="0C0B7609"/>
    <w:rsid w:val="0C0C2228"/>
    <w:rsid w:val="0C0C7128"/>
    <w:rsid w:val="0C0C7CD3"/>
    <w:rsid w:val="0C0D0207"/>
    <w:rsid w:val="0C0D1DCF"/>
    <w:rsid w:val="0C0D512F"/>
    <w:rsid w:val="0C0E2275"/>
    <w:rsid w:val="0C0F1ED8"/>
    <w:rsid w:val="0C0F5C35"/>
    <w:rsid w:val="0C104F6D"/>
    <w:rsid w:val="0C1110C3"/>
    <w:rsid w:val="0C114DF3"/>
    <w:rsid w:val="0C120997"/>
    <w:rsid w:val="0C131D6A"/>
    <w:rsid w:val="0C131F16"/>
    <w:rsid w:val="0C136CD5"/>
    <w:rsid w:val="0C142961"/>
    <w:rsid w:val="0C146529"/>
    <w:rsid w:val="0C151E3E"/>
    <w:rsid w:val="0C152235"/>
    <w:rsid w:val="0C155AC3"/>
    <w:rsid w:val="0C160E49"/>
    <w:rsid w:val="0C163FBD"/>
    <w:rsid w:val="0C1741FF"/>
    <w:rsid w:val="0C175ECF"/>
    <w:rsid w:val="0C175FAD"/>
    <w:rsid w:val="0C186C96"/>
    <w:rsid w:val="0C187E7B"/>
    <w:rsid w:val="0C190677"/>
    <w:rsid w:val="0C190FD9"/>
    <w:rsid w:val="0C191D25"/>
    <w:rsid w:val="0C1920D5"/>
    <w:rsid w:val="0C197F77"/>
    <w:rsid w:val="0C1B5A9E"/>
    <w:rsid w:val="0C1C210B"/>
    <w:rsid w:val="0C1C22EB"/>
    <w:rsid w:val="0C1C35C4"/>
    <w:rsid w:val="0C1D425C"/>
    <w:rsid w:val="0C1D52D5"/>
    <w:rsid w:val="0C1E1DB9"/>
    <w:rsid w:val="0C1E5494"/>
    <w:rsid w:val="0C1E733C"/>
    <w:rsid w:val="0C201306"/>
    <w:rsid w:val="0C205C8D"/>
    <w:rsid w:val="0C210BDA"/>
    <w:rsid w:val="0C221327"/>
    <w:rsid w:val="0C221FBD"/>
    <w:rsid w:val="0C225756"/>
    <w:rsid w:val="0C226B52"/>
    <w:rsid w:val="0C2275E1"/>
    <w:rsid w:val="0C230DF6"/>
    <w:rsid w:val="0C232BA4"/>
    <w:rsid w:val="0C236700"/>
    <w:rsid w:val="0C241511"/>
    <w:rsid w:val="0C252478"/>
    <w:rsid w:val="0C25691C"/>
    <w:rsid w:val="0C262CB1"/>
    <w:rsid w:val="0C264442"/>
    <w:rsid w:val="0C280823"/>
    <w:rsid w:val="0C280F08"/>
    <w:rsid w:val="0C281752"/>
    <w:rsid w:val="0C2846EE"/>
    <w:rsid w:val="0C293F7E"/>
    <w:rsid w:val="0C2A134F"/>
    <w:rsid w:val="0C2A1E96"/>
    <w:rsid w:val="0C2A280E"/>
    <w:rsid w:val="0C2A334A"/>
    <w:rsid w:val="0C2A3E9A"/>
    <w:rsid w:val="0C2A5CE1"/>
    <w:rsid w:val="0C2A7A8F"/>
    <w:rsid w:val="0C2B1A59"/>
    <w:rsid w:val="0C2B3807"/>
    <w:rsid w:val="0C2C04FF"/>
    <w:rsid w:val="0C2C5CA2"/>
    <w:rsid w:val="0C2C7CAB"/>
    <w:rsid w:val="0C2D3A23"/>
    <w:rsid w:val="0C2D757F"/>
    <w:rsid w:val="0C2E0560"/>
    <w:rsid w:val="0C2E3B51"/>
    <w:rsid w:val="0C2E3DBD"/>
    <w:rsid w:val="0C2E4793"/>
    <w:rsid w:val="0C2F1549"/>
    <w:rsid w:val="0C2F779B"/>
    <w:rsid w:val="0C300E1D"/>
    <w:rsid w:val="0C3031B5"/>
    <w:rsid w:val="0C311512"/>
    <w:rsid w:val="0C315314"/>
    <w:rsid w:val="0C331801"/>
    <w:rsid w:val="0C332F42"/>
    <w:rsid w:val="0C340A64"/>
    <w:rsid w:val="0C3429D5"/>
    <w:rsid w:val="0C34362A"/>
    <w:rsid w:val="0C3445D9"/>
    <w:rsid w:val="0C346D58"/>
    <w:rsid w:val="0C350433"/>
    <w:rsid w:val="0C353E37"/>
    <w:rsid w:val="0C35539F"/>
    <w:rsid w:val="0C355D3A"/>
    <w:rsid w:val="0C3562E6"/>
    <w:rsid w:val="0C3605A2"/>
    <w:rsid w:val="0C360B29"/>
    <w:rsid w:val="0C3645B7"/>
    <w:rsid w:val="0C365D0B"/>
    <w:rsid w:val="0C370197"/>
    <w:rsid w:val="0C375A04"/>
    <w:rsid w:val="0C381012"/>
    <w:rsid w:val="0C39369B"/>
    <w:rsid w:val="0C395F24"/>
    <w:rsid w:val="0C3B1C9C"/>
    <w:rsid w:val="0C3B2560"/>
    <w:rsid w:val="0C3B3C7D"/>
    <w:rsid w:val="0C3B6140"/>
    <w:rsid w:val="0C3B7EEE"/>
    <w:rsid w:val="0C3C0DB1"/>
    <w:rsid w:val="0C3C2437"/>
    <w:rsid w:val="0C3C24FF"/>
    <w:rsid w:val="0C3C43DB"/>
    <w:rsid w:val="0C3C4AD2"/>
    <w:rsid w:val="0C3C5A14"/>
    <w:rsid w:val="0C3C77C2"/>
    <w:rsid w:val="0C3D52DE"/>
    <w:rsid w:val="0C3E1768"/>
    <w:rsid w:val="0C3E79DE"/>
    <w:rsid w:val="0C3F4066"/>
    <w:rsid w:val="0C401CE7"/>
    <w:rsid w:val="0C40602C"/>
    <w:rsid w:val="0C411129"/>
    <w:rsid w:val="0C41302A"/>
    <w:rsid w:val="0C4214E4"/>
    <w:rsid w:val="0C4257A8"/>
    <w:rsid w:val="0C430B50"/>
    <w:rsid w:val="0C43490E"/>
    <w:rsid w:val="0C436DA2"/>
    <w:rsid w:val="0C440C8A"/>
    <w:rsid w:val="0C440F18"/>
    <w:rsid w:val="0C442C4A"/>
    <w:rsid w:val="0C443CF0"/>
    <w:rsid w:val="0C446CEC"/>
    <w:rsid w:val="0C450D6C"/>
    <w:rsid w:val="0C45290D"/>
    <w:rsid w:val="0C452B1A"/>
    <w:rsid w:val="0C453C16"/>
    <w:rsid w:val="0C460484"/>
    <w:rsid w:val="0C460641"/>
    <w:rsid w:val="0C461510"/>
    <w:rsid w:val="0C465063"/>
    <w:rsid w:val="0C465CF5"/>
    <w:rsid w:val="0C474B95"/>
    <w:rsid w:val="0C475B98"/>
    <w:rsid w:val="0C476893"/>
    <w:rsid w:val="0C477A27"/>
    <w:rsid w:val="0C4951D3"/>
    <w:rsid w:val="0C4A1EDF"/>
    <w:rsid w:val="0C4A5943"/>
    <w:rsid w:val="0C4A6383"/>
    <w:rsid w:val="0C4B3201"/>
    <w:rsid w:val="0C4B3335"/>
    <w:rsid w:val="0C4B5C57"/>
    <w:rsid w:val="0C4C0F18"/>
    <w:rsid w:val="0C4C4B1C"/>
    <w:rsid w:val="0C4D19CF"/>
    <w:rsid w:val="0C4D4F98"/>
    <w:rsid w:val="0C4D7C21"/>
    <w:rsid w:val="0C4E26B9"/>
    <w:rsid w:val="0C4E342F"/>
    <w:rsid w:val="0C4E3810"/>
    <w:rsid w:val="0C4E4424"/>
    <w:rsid w:val="0C4E6409"/>
    <w:rsid w:val="0C4F03B9"/>
    <w:rsid w:val="0C4F1BEB"/>
    <w:rsid w:val="0C4F1E99"/>
    <w:rsid w:val="0C4F203C"/>
    <w:rsid w:val="0C4F3999"/>
    <w:rsid w:val="0C50454A"/>
    <w:rsid w:val="0C50607D"/>
    <w:rsid w:val="0C51526C"/>
    <w:rsid w:val="0C5155D6"/>
    <w:rsid w:val="0C5164CB"/>
    <w:rsid w:val="0C5165ED"/>
    <w:rsid w:val="0C5204F7"/>
    <w:rsid w:val="0C521756"/>
    <w:rsid w:val="0C525237"/>
    <w:rsid w:val="0C52795B"/>
    <w:rsid w:val="0C5311D9"/>
    <w:rsid w:val="0C533913"/>
    <w:rsid w:val="0C5360A3"/>
    <w:rsid w:val="0C540FAF"/>
    <w:rsid w:val="0C542CA2"/>
    <w:rsid w:val="0C54566A"/>
    <w:rsid w:val="0C547201"/>
    <w:rsid w:val="0C566AD6"/>
    <w:rsid w:val="0C571AAA"/>
    <w:rsid w:val="0C584E47"/>
    <w:rsid w:val="0C590374"/>
    <w:rsid w:val="0C5A0DCC"/>
    <w:rsid w:val="0C5B0590"/>
    <w:rsid w:val="0C5B2294"/>
    <w:rsid w:val="0C5B229D"/>
    <w:rsid w:val="0C5B2CE5"/>
    <w:rsid w:val="0C5B40EC"/>
    <w:rsid w:val="0C5B62F5"/>
    <w:rsid w:val="0C5C1C12"/>
    <w:rsid w:val="0C5C2BCE"/>
    <w:rsid w:val="0C5C7953"/>
    <w:rsid w:val="0C5C7E64"/>
    <w:rsid w:val="0C5D0CEE"/>
    <w:rsid w:val="0C5D2D05"/>
    <w:rsid w:val="0C5E1E2E"/>
    <w:rsid w:val="0C5E2BA8"/>
    <w:rsid w:val="0C5E3BDC"/>
    <w:rsid w:val="0C5E598A"/>
    <w:rsid w:val="0C5F6AD6"/>
    <w:rsid w:val="0C601702"/>
    <w:rsid w:val="0C603C4E"/>
    <w:rsid w:val="0C6057EC"/>
    <w:rsid w:val="0C605BA6"/>
    <w:rsid w:val="0C60667C"/>
    <w:rsid w:val="0C607062"/>
    <w:rsid w:val="0C607954"/>
    <w:rsid w:val="0C613D5A"/>
    <w:rsid w:val="0C61547A"/>
    <w:rsid w:val="0C62053E"/>
    <w:rsid w:val="0C62142B"/>
    <w:rsid w:val="0C6236CC"/>
    <w:rsid w:val="0C62485F"/>
    <w:rsid w:val="0C62487F"/>
    <w:rsid w:val="0C625168"/>
    <w:rsid w:val="0C6311F3"/>
    <w:rsid w:val="0C632FA1"/>
    <w:rsid w:val="0C63349E"/>
    <w:rsid w:val="0C637D54"/>
    <w:rsid w:val="0C6531BD"/>
    <w:rsid w:val="0C653200"/>
    <w:rsid w:val="0C6542A8"/>
    <w:rsid w:val="0C654F6B"/>
    <w:rsid w:val="0C664690"/>
    <w:rsid w:val="0C6750AD"/>
    <w:rsid w:val="0C681B81"/>
    <w:rsid w:val="0C681DF5"/>
    <w:rsid w:val="0C692CAD"/>
    <w:rsid w:val="0C694752"/>
    <w:rsid w:val="0C6A27A7"/>
    <w:rsid w:val="0C6A432F"/>
    <w:rsid w:val="0C6C04CA"/>
    <w:rsid w:val="0C6C0502"/>
    <w:rsid w:val="0C6C454B"/>
    <w:rsid w:val="0C6C758B"/>
    <w:rsid w:val="0C6D1B6A"/>
    <w:rsid w:val="0C6D3E1F"/>
    <w:rsid w:val="0C6E02C3"/>
    <w:rsid w:val="0C6E6426"/>
    <w:rsid w:val="0C6F1945"/>
    <w:rsid w:val="0C6F2B6C"/>
    <w:rsid w:val="0C6F5DE9"/>
    <w:rsid w:val="0C702F92"/>
    <w:rsid w:val="0C711B61"/>
    <w:rsid w:val="0C721436"/>
    <w:rsid w:val="0C724AF9"/>
    <w:rsid w:val="0C732416"/>
    <w:rsid w:val="0C733836"/>
    <w:rsid w:val="0C7358DA"/>
    <w:rsid w:val="0C740124"/>
    <w:rsid w:val="0C7468B1"/>
    <w:rsid w:val="0C752CF5"/>
    <w:rsid w:val="0C753E94"/>
    <w:rsid w:val="0C755998"/>
    <w:rsid w:val="0C756F5B"/>
    <w:rsid w:val="0C760F26"/>
    <w:rsid w:val="0C770BC8"/>
    <w:rsid w:val="0C7711D8"/>
    <w:rsid w:val="0C7739F0"/>
    <w:rsid w:val="0C774C9E"/>
    <w:rsid w:val="0C775615"/>
    <w:rsid w:val="0C776A4C"/>
    <w:rsid w:val="0C781DCE"/>
    <w:rsid w:val="0C782EF0"/>
    <w:rsid w:val="0C7926DC"/>
    <w:rsid w:val="0C7927C4"/>
    <w:rsid w:val="0C7A3240"/>
    <w:rsid w:val="0C7A5FDE"/>
    <w:rsid w:val="0C7B478E"/>
    <w:rsid w:val="0C7C4062"/>
    <w:rsid w:val="0C7C7291"/>
    <w:rsid w:val="0C7D0506"/>
    <w:rsid w:val="0C7D22B4"/>
    <w:rsid w:val="0C7E10A4"/>
    <w:rsid w:val="0C7E16EC"/>
    <w:rsid w:val="0C7E427E"/>
    <w:rsid w:val="0C7E5E2A"/>
    <w:rsid w:val="0C7E6BD6"/>
    <w:rsid w:val="0C7F4BBA"/>
    <w:rsid w:val="0C7F79A0"/>
    <w:rsid w:val="0C807FF6"/>
    <w:rsid w:val="0C8111E0"/>
    <w:rsid w:val="0C8118F7"/>
    <w:rsid w:val="0C81697F"/>
    <w:rsid w:val="0C8278CB"/>
    <w:rsid w:val="0C833643"/>
    <w:rsid w:val="0C835606"/>
    <w:rsid w:val="0C835D77"/>
    <w:rsid w:val="0C85287A"/>
    <w:rsid w:val="0C854022"/>
    <w:rsid w:val="0C860DC6"/>
    <w:rsid w:val="0C8621FB"/>
    <w:rsid w:val="0C874EE1"/>
    <w:rsid w:val="0C87510A"/>
    <w:rsid w:val="0C882A07"/>
    <w:rsid w:val="0C88586B"/>
    <w:rsid w:val="0C89471E"/>
    <w:rsid w:val="0C8A1D93"/>
    <w:rsid w:val="0C8A519B"/>
    <w:rsid w:val="0C8A677F"/>
    <w:rsid w:val="0C8C0749"/>
    <w:rsid w:val="0C8C0D2E"/>
    <w:rsid w:val="0C8C24F7"/>
    <w:rsid w:val="0C8C5F02"/>
    <w:rsid w:val="0C8C63AB"/>
    <w:rsid w:val="0C8C699B"/>
    <w:rsid w:val="0C8D0588"/>
    <w:rsid w:val="0C8D0F7C"/>
    <w:rsid w:val="0C8E44C1"/>
    <w:rsid w:val="0C8E4C81"/>
    <w:rsid w:val="0C8E4FDD"/>
    <w:rsid w:val="0C8E517D"/>
    <w:rsid w:val="0C8E7309"/>
    <w:rsid w:val="0C8E7331"/>
    <w:rsid w:val="0C8F1818"/>
    <w:rsid w:val="0C8F26B3"/>
    <w:rsid w:val="0C902932"/>
    <w:rsid w:val="0C9043A0"/>
    <w:rsid w:val="0C907B5D"/>
    <w:rsid w:val="0C9108DB"/>
    <w:rsid w:val="0C91272E"/>
    <w:rsid w:val="0C913243"/>
    <w:rsid w:val="0C922D96"/>
    <w:rsid w:val="0C923886"/>
    <w:rsid w:val="0C924DEE"/>
    <w:rsid w:val="0C930CAB"/>
    <w:rsid w:val="0C931AD8"/>
    <w:rsid w:val="0C933BF2"/>
    <w:rsid w:val="0C935AD8"/>
    <w:rsid w:val="0C937D2A"/>
    <w:rsid w:val="0C9456BE"/>
    <w:rsid w:val="0C9475FE"/>
    <w:rsid w:val="0C951777"/>
    <w:rsid w:val="0C9526EF"/>
    <w:rsid w:val="0C9546EB"/>
    <w:rsid w:val="0C96145B"/>
    <w:rsid w:val="0C9615C8"/>
    <w:rsid w:val="0C962507"/>
    <w:rsid w:val="0C970E9C"/>
    <w:rsid w:val="0C985340"/>
    <w:rsid w:val="0C9870EE"/>
    <w:rsid w:val="0C99097B"/>
    <w:rsid w:val="0C992E66"/>
    <w:rsid w:val="0C99322E"/>
    <w:rsid w:val="0C99711A"/>
    <w:rsid w:val="0C9A023C"/>
    <w:rsid w:val="0C9B098C"/>
    <w:rsid w:val="0C9B273A"/>
    <w:rsid w:val="0C9C412E"/>
    <w:rsid w:val="0C9C4590"/>
    <w:rsid w:val="0C9D2956"/>
    <w:rsid w:val="0C9D4705"/>
    <w:rsid w:val="0C9D67D6"/>
    <w:rsid w:val="0C9D747A"/>
    <w:rsid w:val="0C9E222B"/>
    <w:rsid w:val="0C9E2EFD"/>
    <w:rsid w:val="0C9F46C4"/>
    <w:rsid w:val="0CA02447"/>
    <w:rsid w:val="0CA05FA3"/>
    <w:rsid w:val="0CA21D1B"/>
    <w:rsid w:val="0CA23AC9"/>
    <w:rsid w:val="0CA331A2"/>
    <w:rsid w:val="0CA35A93"/>
    <w:rsid w:val="0CA43CE5"/>
    <w:rsid w:val="0CA4567B"/>
    <w:rsid w:val="0CA46F8E"/>
    <w:rsid w:val="0CA47B99"/>
    <w:rsid w:val="0CA55289"/>
    <w:rsid w:val="0CA55361"/>
    <w:rsid w:val="0CA57283"/>
    <w:rsid w:val="0CA57A5D"/>
    <w:rsid w:val="0CA674A0"/>
    <w:rsid w:val="0CA710DF"/>
    <w:rsid w:val="0CA72AB2"/>
    <w:rsid w:val="0CA72FB3"/>
    <w:rsid w:val="0CA737D5"/>
    <w:rsid w:val="0CA75583"/>
    <w:rsid w:val="0CA77331"/>
    <w:rsid w:val="0CA80339"/>
    <w:rsid w:val="0CA830A9"/>
    <w:rsid w:val="0CA83C65"/>
    <w:rsid w:val="0CA871B9"/>
    <w:rsid w:val="0CA904A4"/>
    <w:rsid w:val="0CA93102"/>
    <w:rsid w:val="0CA96CF0"/>
    <w:rsid w:val="0CAA23E1"/>
    <w:rsid w:val="0CAA6E21"/>
    <w:rsid w:val="0CAA7BE3"/>
    <w:rsid w:val="0CAB2A25"/>
    <w:rsid w:val="0CAB2EAE"/>
    <w:rsid w:val="0CAB6388"/>
    <w:rsid w:val="0CAB7DDE"/>
    <w:rsid w:val="0CAC0DEC"/>
    <w:rsid w:val="0CAC39D9"/>
    <w:rsid w:val="0CAC5183"/>
    <w:rsid w:val="0CAD246E"/>
    <w:rsid w:val="0CAD2B47"/>
    <w:rsid w:val="0CAD4DE5"/>
    <w:rsid w:val="0CAD6E25"/>
    <w:rsid w:val="0CAF28DC"/>
    <w:rsid w:val="0CAF7BEE"/>
    <w:rsid w:val="0CB00B7B"/>
    <w:rsid w:val="0CB05059"/>
    <w:rsid w:val="0CB11F5E"/>
    <w:rsid w:val="0CB13202"/>
    <w:rsid w:val="0CB13BEE"/>
    <w:rsid w:val="0CB16402"/>
    <w:rsid w:val="0CB16AEF"/>
    <w:rsid w:val="0CB172D4"/>
    <w:rsid w:val="0CB234D4"/>
    <w:rsid w:val="0CB31C6C"/>
    <w:rsid w:val="0CB33F28"/>
    <w:rsid w:val="0CB347CF"/>
    <w:rsid w:val="0CB35CD6"/>
    <w:rsid w:val="0CB40333"/>
    <w:rsid w:val="0CB425F0"/>
    <w:rsid w:val="0CB437FC"/>
    <w:rsid w:val="0CB4714F"/>
    <w:rsid w:val="0CB504B7"/>
    <w:rsid w:val="0CB54215"/>
    <w:rsid w:val="0CB54382"/>
    <w:rsid w:val="0CB56A46"/>
    <w:rsid w:val="0CB57DE8"/>
    <w:rsid w:val="0CB657C6"/>
    <w:rsid w:val="0CB67CA5"/>
    <w:rsid w:val="0CB71594"/>
    <w:rsid w:val="0CB720A5"/>
    <w:rsid w:val="0CB7422D"/>
    <w:rsid w:val="0CB7428A"/>
    <w:rsid w:val="0CB74623"/>
    <w:rsid w:val="0CB832EC"/>
    <w:rsid w:val="0CB87790"/>
    <w:rsid w:val="0CBA1428"/>
    <w:rsid w:val="0CBA3508"/>
    <w:rsid w:val="0CBA3AB9"/>
    <w:rsid w:val="0CBA4D79"/>
    <w:rsid w:val="0CBA77D6"/>
    <w:rsid w:val="0CBB296F"/>
    <w:rsid w:val="0CBB2DDD"/>
    <w:rsid w:val="0CBB30BD"/>
    <w:rsid w:val="0CBB7507"/>
    <w:rsid w:val="0CBC0125"/>
    <w:rsid w:val="0CBC2E44"/>
    <w:rsid w:val="0CBC3CE3"/>
    <w:rsid w:val="0CBC5489"/>
    <w:rsid w:val="0CBD0903"/>
    <w:rsid w:val="0CBD0A57"/>
    <w:rsid w:val="0CBD14EA"/>
    <w:rsid w:val="0CBD4361"/>
    <w:rsid w:val="0CBD4DA7"/>
    <w:rsid w:val="0CBD6B55"/>
    <w:rsid w:val="0CBD77C4"/>
    <w:rsid w:val="0CBD7845"/>
    <w:rsid w:val="0CBE467B"/>
    <w:rsid w:val="0CBE5BED"/>
    <w:rsid w:val="0CBE6B66"/>
    <w:rsid w:val="0CBF1A59"/>
    <w:rsid w:val="0CBF28BA"/>
    <w:rsid w:val="0CBF2D9F"/>
    <w:rsid w:val="0CBF3DFC"/>
    <w:rsid w:val="0CC003F3"/>
    <w:rsid w:val="0CC021A1"/>
    <w:rsid w:val="0CC04897"/>
    <w:rsid w:val="0CC06645"/>
    <w:rsid w:val="0CC15289"/>
    <w:rsid w:val="0CC223BD"/>
    <w:rsid w:val="0CC2278B"/>
    <w:rsid w:val="0CC22F81"/>
    <w:rsid w:val="0CC25F19"/>
    <w:rsid w:val="0CC260AF"/>
    <w:rsid w:val="0CC304D9"/>
    <w:rsid w:val="0CC31C91"/>
    <w:rsid w:val="0CC358E9"/>
    <w:rsid w:val="0CC42114"/>
    <w:rsid w:val="0CC450AB"/>
    <w:rsid w:val="0CC506A0"/>
    <w:rsid w:val="0CC51DA6"/>
    <w:rsid w:val="0CC52718"/>
    <w:rsid w:val="0CC55A09"/>
    <w:rsid w:val="0CC779D3"/>
    <w:rsid w:val="0CC83A2C"/>
    <w:rsid w:val="0CC86339"/>
    <w:rsid w:val="0CC872A8"/>
    <w:rsid w:val="0CC903D5"/>
    <w:rsid w:val="0CC9374C"/>
    <w:rsid w:val="0CC93829"/>
    <w:rsid w:val="0CC93FE1"/>
    <w:rsid w:val="0CC94EBC"/>
    <w:rsid w:val="0CC954FA"/>
    <w:rsid w:val="0CC95B27"/>
    <w:rsid w:val="0CCA1337"/>
    <w:rsid w:val="0CCA22FB"/>
    <w:rsid w:val="0CCA3020"/>
    <w:rsid w:val="0CCA58E6"/>
    <w:rsid w:val="0CCA74C4"/>
    <w:rsid w:val="0CCB54D7"/>
    <w:rsid w:val="0CCB5BAD"/>
    <w:rsid w:val="0CCB79B7"/>
    <w:rsid w:val="0CCC323C"/>
    <w:rsid w:val="0CCC4FEA"/>
    <w:rsid w:val="0CCD4CCD"/>
    <w:rsid w:val="0CCE48D4"/>
    <w:rsid w:val="0CCF1734"/>
    <w:rsid w:val="0CCF4ADA"/>
    <w:rsid w:val="0CD15214"/>
    <w:rsid w:val="0CD1621F"/>
    <w:rsid w:val="0CD30126"/>
    <w:rsid w:val="0CD33710"/>
    <w:rsid w:val="0CD36378"/>
    <w:rsid w:val="0CD44BA0"/>
    <w:rsid w:val="0CD5036B"/>
    <w:rsid w:val="0CD520F0"/>
    <w:rsid w:val="0CD55C56"/>
    <w:rsid w:val="0CD619C5"/>
    <w:rsid w:val="0CD67089"/>
    <w:rsid w:val="0CD708D6"/>
    <w:rsid w:val="0CD75706"/>
    <w:rsid w:val="0CD75AE9"/>
    <w:rsid w:val="0CD81BE1"/>
    <w:rsid w:val="0CD8286D"/>
    <w:rsid w:val="0CD84175"/>
    <w:rsid w:val="0CD8600E"/>
    <w:rsid w:val="0CD90C90"/>
    <w:rsid w:val="0CD93263"/>
    <w:rsid w:val="0CD95E41"/>
    <w:rsid w:val="0CD97582"/>
    <w:rsid w:val="0CD97E22"/>
    <w:rsid w:val="0CDA047F"/>
    <w:rsid w:val="0CDA1A45"/>
    <w:rsid w:val="0CDA2270"/>
    <w:rsid w:val="0CDA565D"/>
    <w:rsid w:val="0CDB1964"/>
    <w:rsid w:val="0CDB7170"/>
    <w:rsid w:val="0CDC2F61"/>
    <w:rsid w:val="0CDC55B2"/>
    <w:rsid w:val="0CDC67F7"/>
    <w:rsid w:val="0CDD2391"/>
    <w:rsid w:val="0CDE2C47"/>
    <w:rsid w:val="0CDE58EC"/>
    <w:rsid w:val="0CDE6FB4"/>
    <w:rsid w:val="0CDF2F6F"/>
    <w:rsid w:val="0CDF4D1D"/>
    <w:rsid w:val="0CDF76AC"/>
    <w:rsid w:val="0CE00A95"/>
    <w:rsid w:val="0CE045F1"/>
    <w:rsid w:val="0CE063B3"/>
    <w:rsid w:val="0CE145D3"/>
    <w:rsid w:val="0CE20369"/>
    <w:rsid w:val="0CE2480D"/>
    <w:rsid w:val="0CE24BBC"/>
    <w:rsid w:val="0CE265BB"/>
    <w:rsid w:val="0CE27FA3"/>
    <w:rsid w:val="0CE30634"/>
    <w:rsid w:val="0CE32A05"/>
    <w:rsid w:val="0CE3302D"/>
    <w:rsid w:val="0CE33210"/>
    <w:rsid w:val="0CE340E1"/>
    <w:rsid w:val="0CE37C2C"/>
    <w:rsid w:val="0CE40585"/>
    <w:rsid w:val="0CE40AB7"/>
    <w:rsid w:val="0CE42333"/>
    <w:rsid w:val="0CE44695"/>
    <w:rsid w:val="0CE51C08"/>
    <w:rsid w:val="0CE52F54"/>
    <w:rsid w:val="0CE534B3"/>
    <w:rsid w:val="0CE53D5D"/>
    <w:rsid w:val="0CE57B57"/>
    <w:rsid w:val="0CE57E5A"/>
    <w:rsid w:val="0CE67CD8"/>
    <w:rsid w:val="0CE70843"/>
    <w:rsid w:val="0CE7101F"/>
    <w:rsid w:val="0CE71E24"/>
    <w:rsid w:val="0CE73BD2"/>
    <w:rsid w:val="0CE80143"/>
    <w:rsid w:val="0CE812E3"/>
    <w:rsid w:val="0CE815BF"/>
    <w:rsid w:val="0CE816C7"/>
    <w:rsid w:val="0CE818D5"/>
    <w:rsid w:val="0CE916F8"/>
    <w:rsid w:val="0CEA4CE3"/>
    <w:rsid w:val="0CEA6AE0"/>
    <w:rsid w:val="0CEA6DC6"/>
    <w:rsid w:val="0CEC3E44"/>
    <w:rsid w:val="0CEC568C"/>
    <w:rsid w:val="0CEC68B1"/>
    <w:rsid w:val="0CEC68EE"/>
    <w:rsid w:val="0CED3ABE"/>
    <w:rsid w:val="0CED3FC7"/>
    <w:rsid w:val="0CED5185"/>
    <w:rsid w:val="0CED658B"/>
    <w:rsid w:val="0CEE3262"/>
    <w:rsid w:val="0CEE3BDA"/>
    <w:rsid w:val="0CEE4F60"/>
    <w:rsid w:val="0CEF417E"/>
    <w:rsid w:val="0CF013D3"/>
    <w:rsid w:val="0CF03C84"/>
    <w:rsid w:val="0CF0488B"/>
    <w:rsid w:val="0CF06F2A"/>
    <w:rsid w:val="0CF10955"/>
    <w:rsid w:val="0CF140C8"/>
    <w:rsid w:val="0CF14A50"/>
    <w:rsid w:val="0CF16073"/>
    <w:rsid w:val="0CF307C8"/>
    <w:rsid w:val="0CF34325"/>
    <w:rsid w:val="0CF36A1F"/>
    <w:rsid w:val="0CF42D8C"/>
    <w:rsid w:val="0CF4470A"/>
    <w:rsid w:val="0CF5024F"/>
    <w:rsid w:val="0CF5223C"/>
    <w:rsid w:val="0CF53316"/>
    <w:rsid w:val="0CF5561A"/>
    <w:rsid w:val="0CF60A3D"/>
    <w:rsid w:val="0CF62067"/>
    <w:rsid w:val="0CF63E15"/>
    <w:rsid w:val="0CF7422C"/>
    <w:rsid w:val="0CF7457D"/>
    <w:rsid w:val="0CF83803"/>
    <w:rsid w:val="0CF87939"/>
    <w:rsid w:val="0CF87B8D"/>
    <w:rsid w:val="0CF94180"/>
    <w:rsid w:val="0CFA1B57"/>
    <w:rsid w:val="0CFA3905"/>
    <w:rsid w:val="0CFA64A6"/>
    <w:rsid w:val="0CFB1C7B"/>
    <w:rsid w:val="0CFB58CF"/>
    <w:rsid w:val="0CFB6559"/>
    <w:rsid w:val="0CFD1647"/>
    <w:rsid w:val="0CFD17B7"/>
    <w:rsid w:val="0CFD25B0"/>
    <w:rsid w:val="0CFD51A3"/>
    <w:rsid w:val="0CFE0B3A"/>
    <w:rsid w:val="0CFF129D"/>
    <w:rsid w:val="0CFF53BF"/>
    <w:rsid w:val="0CFF5B1F"/>
    <w:rsid w:val="0D000A99"/>
    <w:rsid w:val="0D00449A"/>
    <w:rsid w:val="0D0227BA"/>
    <w:rsid w:val="0D023645"/>
    <w:rsid w:val="0D024D99"/>
    <w:rsid w:val="0D026FA2"/>
    <w:rsid w:val="0D0277D5"/>
    <w:rsid w:val="0D0340E8"/>
    <w:rsid w:val="0D0429D6"/>
    <w:rsid w:val="0D046711"/>
    <w:rsid w:val="0D0504FC"/>
    <w:rsid w:val="0D0522AA"/>
    <w:rsid w:val="0D053799"/>
    <w:rsid w:val="0D0562D2"/>
    <w:rsid w:val="0D057601"/>
    <w:rsid w:val="0D06659F"/>
    <w:rsid w:val="0D06756B"/>
    <w:rsid w:val="0D0710E4"/>
    <w:rsid w:val="0D0745C7"/>
    <w:rsid w:val="0D076022"/>
    <w:rsid w:val="0D076F45"/>
    <w:rsid w:val="0D077DD0"/>
    <w:rsid w:val="0D084524"/>
    <w:rsid w:val="0D090D77"/>
    <w:rsid w:val="0D091D9A"/>
    <w:rsid w:val="0D0936CE"/>
    <w:rsid w:val="0D097FEC"/>
    <w:rsid w:val="0D0A78C0"/>
    <w:rsid w:val="0D0C1728"/>
    <w:rsid w:val="0D0C188A"/>
    <w:rsid w:val="0D0C3638"/>
    <w:rsid w:val="0D0C3AFE"/>
    <w:rsid w:val="0D0C51DF"/>
    <w:rsid w:val="0D0C53E6"/>
    <w:rsid w:val="0D0D63D8"/>
    <w:rsid w:val="0D0D7914"/>
    <w:rsid w:val="0D0E2AC1"/>
    <w:rsid w:val="0D0E5602"/>
    <w:rsid w:val="0D100AE1"/>
    <w:rsid w:val="0D105541"/>
    <w:rsid w:val="0D110C4F"/>
    <w:rsid w:val="0D1129FD"/>
    <w:rsid w:val="0D1158FC"/>
    <w:rsid w:val="0D122584"/>
    <w:rsid w:val="0D125BF3"/>
    <w:rsid w:val="0D127B87"/>
    <w:rsid w:val="0D132133"/>
    <w:rsid w:val="0D13275F"/>
    <w:rsid w:val="0D1349C7"/>
    <w:rsid w:val="0D136775"/>
    <w:rsid w:val="0D137AD8"/>
    <w:rsid w:val="0D1424ED"/>
    <w:rsid w:val="0D144508"/>
    <w:rsid w:val="0D145FC8"/>
    <w:rsid w:val="0D15073F"/>
    <w:rsid w:val="0D1534C3"/>
    <w:rsid w:val="0D157F91"/>
    <w:rsid w:val="0D160588"/>
    <w:rsid w:val="0D162709"/>
    <w:rsid w:val="0D1644B7"/>
    <w:rsid w:val="0D165607"/>
    <w:rsid w:val="0D166265"/>
    <w:rsid w:val="0D166E01"/>
    <w:rsid w:val="0D175B88"/>
    <w:rsid w:val="0D1771C4"/>
    <w:rsid w:val="0D1772F4"/>
    <w:rsid w:val="0D177545"/>
    <w:rsid w:val="0D180114"/>
    <w:rsid w:val="0D18022F"/>
    <w:rsid w:val="0D1809B4"/>
    <w:rsid w:val="0D180B0A"/>
    <w:rsid w:val="0D186481"/>
    <w:rsid w:val="0D194D02"/>
    <w:rsid w:val="0D197B03"/>
    <w:rsid w:val="0D1A101C"/>
    <w:rsid w:val="0D1A2EB9"/>
    <w:rsid w:val="0D1A32D4"/>
    <w:rsid w:val="0D1A5D63"/>
    <w:rsid w:val="0D1B1ACD"/>
    <w:rsid w:val="0D1B3B37"/>
    <w:rsid w:val="0D1C166B"/>
    <w:rsid w:val="0D1C52C4"/>
    <w:rsid w:val="0D1C6AC1"/>
    <w:rsid w:val="0D1C7D1F"/>
    <w:rsid w:val="0D1D28A2"/>
    <w:rsid w:val="0D1D5845"/>
    <w:rsid w:val="0D1D6117"/>
    <w:rsid w:val="0D1E070A"/>
    <w:rsid w:val="0D1E7195"/>
    <w:rsid w:val="0D1F0FAA"/>
    <w:rsid w:val="0D1F35D6"/>
    <w:rsid w:val="0D1F5DD5"/>
    <w:rsid w:val="0D2005D6"/>
    <w:rsid w:val="0D2045E3"/>
    <w:rsid w:val="0D211A66"/>
    <w:rsid w:val="0D213998"/>
    <w:rsid w:val="0D222E5C"/>
    <w:rsid w:val="0D224637"/>
    <w:rsid w:val="0D227473"/>
    <w:rsid w:val="0D231027"/>
    <w:rsid w:val="0D234B29"/>
    <w:rsid w:val="0D237A2F"/>
    <w:rsid w:val="0D240982"/>
    <w:rsid w:val="0D242323"/>
    <w:rsid w:val="0D242770"/>
    <w:rsid w:val="0D243D8A"/>
    <w:rsid w:val="0D245EB3"/>
    <w:rsid w:val="0D246F57"/>
    <w:rsid w:val="0D2546FA"/>
    <w:rsid w:val="0D2564A8"/>
    <w:rsid w:val="0D2575CD"/>
    <w:rsid w:val="0D261A23"/>
    <w:rsid w:val="0D26294C"/>
    <w:rsid w:val="0D264448"/>
    <w:rsid w:val="0D265E5E"/>
    <w:rsid w:val="0D270FB0"/>
    <w:rsid w:val="0D272220"/>
    <w:rsid w:val="0D2848B2"/>
    <w:rsid w:val="0D285365"/>
    <w:rsid w:val="0D291939"/>
    <w:rsid w:val="0D293878"/>
    <w:rsid w:val="0D2942B1"/>
    <w:rsid w:val="0D2A3ABE"/>
    <w:rsid w:val="0D2B61B4"/>
    <w:rsid w:val="0D2B6E2A"/>
    <w:rsid w:val="0D2B7F62"/>
    <w:rsid w:val="0D2E1801"/>
    <w:rsid w:val="0D2E2B60"/>
    <w:rsid w:val="0D2E35AF"/>
    <w:rsid w:val="0D2E57AB"/>
    <w:rsid w:val="0D2F12C1"/>
    <w:rsid w:val="0D2F65E9"/>
    <w:rsid w:val="0D2F6C3B"/>
    <w:rsid w:val="0D305FBB"/>
    <w:rsid w:val="0D312C9C"/>
    <w:rsid w:val="0D31309F"/>
    <w:rsid w:val="0D314E4D"/>
    <w:rsid w:val="0D316356"/>
    <w:rsid w:val="0D3229EB"/>
    <w:rsid w:val="0D322E53"/>
    <w:rsid w:val="0D3255EA"/>
    <w:rsid w:val="0D326F06"/>
    <w:rsid w:val="0D330BC5"/>
    <w:rsid w:val="0D33174E"/>
    <w:rsid w:val="0D334126"/>
    <w:rsid w:val="0D335069"/>
    <w:rsid w:val="0D336E17"/>
    <w:rsid w:val="0D337FE6"/>
    <w:rsid w:val="0D343DD7"/>
    <w:rsid w:val="0D350DE1"/>
    <w:rsid w:val="0D352B8F"/>
    <w:rsid w:val="0D35493D"/>
    <w:rsid w:val="0D3600BA"/>
    <w:rsid w:val="0D3606B5"/>
    <w:rsid w:val="0D3627FC"/>
    <w:rsid w:val="0D363981"/>
    <w:rsid w:val="0D366F3D"/>
    <w:rsid w:val="0D371818"/>
    <w:rsid w:val="0D3736B1"/>
    <w:rsid w:val="0D374B59"/>
    <w:rsid w:val="0D38267F"/>
    <w:rsid w:val="0D384F87"/>
    <w:rsid w:val="0D3861DB"/>
    <w:rsid w:val="0D386EBC"/>
    <w:rsid w:val="0D387202"/>
    <w:rsid w:val="0D39185F"/>
    <w:rsid w:val="0D391AEE"/>
    <w:rsid w:val="0D3A01A5"/>
    <w:rsid w:val="0D3A117D"/>
    <w:rsid w:val="0D3A7E81"/>
    <w:rsid w:val="0D3B1D4D"/>
    <w:rsid w:val="0D3B3F1D"/>
    <w:rsid w:val="0D3B46E4"/>
    <w:rsid w:val="0D3B5CCB"/>
    <w:rsid w:val="0D3C6790"/>
    <w:rsid w:val="0D3D37F2"/>
    <w:rsid w:val="0D3D5EE8"/>
    <w:rsid w:val="0D3D6265"/>
    <w:rsid w:val="0D3E1DBF"/>
    <w:rsid w:val="0D3E5CED"/>
    <w:rsid w:val="0D3E70EA"/>
    <w:rsid w:val="0D3F12B5"/>
    <w:rsid w:val="0D3F756A"/>
    <w:rsid w:val="0D4032E2"/>
    <w:rsid w:val="0D411534"/>
    <w:rsid w:val="0D412201"/>
    <w:rsid w:val="0D416978"/>
    <w:rsid w:val="0D417786"/>
    <w:rsid w:val="0D4224E0"/>
    <w:rsid w:val="0D4234FE"/>
    <w:rsid w:val="0D4268B6"/>
    <w:rsid w:val="0D42705A"/>
    <w:rsid w:val="0D427FBC"/>
    <w:rsid w:val="0D436CF5"/>
    <w:rsid w:val="0D444B80"/>
    <w:rsid w:val="0D444E00"/>
    <w:rsid w:val="0D447276"/>
    <w:rsid w:val="0D4505A4"/>
    <w:rsid w:val="0D450F6F"/>
    <w:rsid w:val="0D4566F6"/>
    <w:rsid w:val="0D4622F1"/>
    <w:rsid w:val="0D4665C8"/>
    <w:rsid w:val="0D466B4A"/>
    <w:rsid w:val="0D466DFE"/>
    <w:rsid w:val="0D470B14"/>
    <w:rsid w:val="0D473781"/>
    <w:rsid w:val="0D474CAC"/>
    <w:rsid w:val="0D47649D"/>
    <w:rsid w:val="0D480C24"/>
    <w:rsid w:val="0D482A49"/>
    <w:rsid w:val="0D4903E8"/>
    <w:rsid w:val="0D49663A"/>
    <w:rsid w:val="0D4A3843"/>
    <w:rsid w:val="0D4A53DE"/>
    <w:rsid w:val="0D4A5F0F"/>
    <w:rsid w:val="0D4A649E"/>
    <w:rsid w:val="0D4B23B2"/>
    <w:rsid w:val="0D4B355C"/>
    <w:rsid w:val="0D4B4161"/>
    <w:rsid w:val="0D4B64BF"/>
    <w:rsid w:val="0D4C0100"/>
    <w:rsid w:val="0D4C0A4B"/>
    <w:rsid w:val="0D4C1C87"/>
    <w:rsid w:val="0D4C30E6"/>
    <w:rsid w:val="0D4C3218"/>
    <w:rsid w:val="0D4C612B"/>
    <w:rsid w:val="0D4C6896"/>
    <w:rsid w:val="0D4C7ED9"/>
    <w:rsid w:val="0D4D0D34"/>
    <w:rsid w:val="0D4E0A83"/>
    <w:rsid w:val="0D4E1EA3"/>
    <w:rsid w:val="0D4F144C"/>
    <w:rsid w:val="0D4F26D7"/>
    <w:rsid w:val="0D4F3654"/>
    <w:rsid w:val="0D4F7AC0"/>
    <w:rsid w:val="0D501777"/>
    <w:rsid w:val="0D502948"/>
    <w:rsid w:val="0D505779"/>
    <w:rsid w:val="0D505C1B"/>
    <w:rsid w:val="0D506A1B"/>
    <w:rsid w:val="0D507E3D"/>
    <w:rsid w:val="0D5146C3"/>
    <w:rsid w:val="0D5154EF"/>
    <w:rsid w:val="0D51729D"/>
    <w:rsid w:val="0D523741"/>
    <w:rsid w:val="0D525902"/>
    <w:rsid w:val="0D531267"/>
    <w:rsid w:val="0D533465"/>
    <w:rsid w:val="0D535BA1"/>
    <w:rsid w:val="0D5438AA"/>
    <w:rsid w:val="0D547510"/>
    <w:rsid w:val="0D554FDF"/>
    <w:rsid w:val="0D563923"/>
    <w:rsid w:val="0D567F3B"/>
    <w:rsid w:val="0D570D57"/>
    <w:rsid w:val="0D574B62"/>
    <w:rsid w:val="0D574E1F"/>
    <w:rsid w:val="0D576FA9"/>
    <w:rsid w:val="0D5850EA"/>
    <w:rsid w:val="0D585751"/>
    <w:rsid w:val="0D58687D"/>
    <w:rsid w:val="0D5A0767"/>
    <w:rsid w:val="0D5A2D36"/>
    <w:rsid w:val="0D5A5789"/>
    <w:rsid w:val="0D5B011C"/>
    <w:rsid w:val="0D5B0F8B"/>
    <w:rsid w:val="0D5B21DB"/>
    <w:rsid w:val="0D5B48F1"/>
    <w:rsid w:val="0D5C29AD"/>
    <w:rsid w:val="0D5C45C0"/>
    <w:rsid w:val="0D5C520C"/>
    <w:rsid w:val="0D5C636E"/>
    <w:rsid w:val="0D5D08D7"/>
    <w:rsid w:val="0D5D1C43"/>
    <w:rsid w:val="0D5D3E94"/>
    <w:rsid w:val="0D5D5C42"/>
    <w:rsid w:val="0D5E609F"/>
    <w:rsid w:val="0D5F3A22"/>
    <w:rsid w:val="0D5F45B2"/>
    <w:rsid w:val="0D5F45D9"/>
    <w:rsid w:val="0D5F7C0C"/>
    <w:rsid w:val="0D600D4E"/>
    <w:rsid w:val="0D604CBC"/>
    <w:rsid w:val="0D6058C3"/>
    <w:rsid w:val="0D6062FB"/>
    <w:rsid w:val="0D61063A"/>
    <w:rsid w:val="0D611BD6"/>
    <w:rsid w:val="0D612A2F"/>
    <w:rsid w:val="0D620537"/>
    <w:rsid w:val="0D6214AA"/>
    <w:rsid w:val="0D621ACA"/>
    <w:rsid w:val="0D621C7D"/>
    <w:rsid w:val="0D624402"/>
    <w:rsid w:val="0D633FA8"/>
    <w:rsid w:val="0D63594E"/>
    <w:rsid w:val="0D637D73"/>
    <w:rsid w:val="0D643474"/>
    <w:rsid w:val="0D645222"/>
    <w:rsid w:val="0D64590E"/>
    <w:rsid w:val="0D646FD0"/>
    <w:rsid w:val="0D65587A"/>
    <w:rsid w:val="0D656EE8"/>
    <w:rsid w:val="0D662B01"/>
    <w:rsid w:val="0D66372F"/>
    <w:rsid w:val="0D6671EC"/>
    <w:rsid w:val="0D674430"/>
    <w:rsid w:val="0D6765E2"/>
    <w:rsid w:val="0D6801BB"/>
    <w:rsid w:val="0D682540"/>
    <w:rsid w:val="0D682F64"/>
    <w:rsid w:val="0D684661"/>
    <w:rsid w:val="0D69025C"/>
    <w:rsid w:val="0D690E19"/>
    <w:rsid w:val="0D692839"/>
    <w:rsid w:val="0D693500"/>
    <w:rsid w:val="0D696CDD"/>
    <w:rsid w:val="0D6A203E"/>
    <w:rsid w:val="0D6B2B7C"/>
    <w:rsid w:val="0D6B4803"/>
    <w:rsid w:val="0D6B5BFF"/>
    <w:rsid w:val="0D6B7290"/>
    <w:rsid w:val="0D6B751E"/>
    <w:rsid w:val="0D6B755C"/>
    <w:rsid w:val="0D6C0594"/>
    <w:rsid w:val="0D6C400C"/>
    <w:rsid w:val="0D6C41DE"/>
    <w:rsid w:val="0D6C574D"/>
    <w:rsid w:val="0D6D09CE"/>
    <w:rsid w:val="0D6D19B3"/>
    <w:rsid w:val="0D6D3993"/>
    <w:rsid w:val="0D6D52AE"/>
    <w:rsid w:val="0D6D57BA"/>
    <w:rsid w:val="0D6D6BDD"/>
    <w:rsid w:val="0D6E06AF"/>
    <w:rsid w:val="0D6E42F3"/>
    <w:rsid w:val="0D6E60A1"/>
    <w:rsid w:val="0D6E7E4F"/>
    <w:rsid w:val="0D6F31F8"/>
    <w:rsid w:val="0D6F40CE"/>
    <w:rsid w:val="0D700439"/>
    <w:rsid w:val="0D701E19"/>
    <w:rsid w:val="0D703BC7"/>
    <w:rsid w:val="0D705975"/>
    <w:rsid w:val="0D7062A1"/>
    <w:rsid w:val="0D717922"/>
    <w:rsid w:val="0D717F69"/>
    <w:rsid w:val="0D7230BA"/>
    <w:rsid w:val="0D731909"/>
    <w:rsid w:val="0D732A4F"/>
    <w:rsid w:val="0D7336D7"/>
    <w:rsid w:val="0D742962"/>
    <w:rsid w:val="0D7452E2"/>
    <w:rsid w:val="0D7479D2"/>
    <w:rsid w:val="0D7524CC"/>
    <w:rsid w:val="0D7543A1"/>
    <w:rsid w:val="0D755681"/>
    <w:rsid w:val="0D7613D0"/>
    <w:rsid w:val="0D76732C"/>
    <w:rsid w:val="0D7716E2"/>
    <w:rsid w:val="0D774F56"/>
    <w:rsid w:val="0D782A7C"/>
    <w:rsid w:val="0D78328F"/>
    <w:rsid w:val="0D786F20"/>
    <w:rsid w:val="0D791A81"/>
    <w:rsid w:val="0D791E40"/>
    <w:rsid w:val="0D79498B"/>
    <w:rsid w:val="0D7A0209"/>
    <w:rsid w:val="0D7A2B7C"/>
    <w:rsid w:val="0D7A2C98"/>
    <w:rsid w:val="0D7A4A46"/>
    <w:rsid w:val="0D7A6610"/>
    <w:rsid w:val="0D7A67F4"/>
    <w:rsid w:val="0D7A77FB"/>
    <w:rsid w:val="0D7B6D4B"/>
    <w:rsid w:val="0D7B752A"/>
    <w:rsid w:val="0D7C07BE"/>
    <w:rsid w:val="0D7C0E79"/>
    <w:rsid w:val="0D7C256C"/>
    <w:rsid w:val="0D7C6D79"/>
    <w:rsid w:val="0D7D0092"/>
    <w:rsid w:val="0D7D2839"/>
    <w:rsid w:val="0D7D4536"/>
    <w:rsid w:val="0D7D62E4"/>
    <w:rsid w:val="0D7E038A"/>
    <w:rsid w:val="0D7E414B"/>
    <w:rsid w:val="0D7F02AE"/>
    <w:rsid w:val="0D7F0B15"/>
    <w:rsid w:val="0D7F1873"/>
    <w:rsid w:val="0D7F75AA"/>
    <w:rsid w:val="0D813379"/>
    <w:rsid w:val="0D814026"/>
    <w:rsid w:val="0D815DD4"/>
    <w:rsid w:val="0D817B82"/>
    <w:rsid w:val="0D825106"/>
    <w:rsid w:val="0D8256A8"/>
    <w:rsid w:val="0D82680C"/>
    <w:rsid w:val="0D833342"/>
    <w:rsid w:val="0D837081"/>
    <w:rsid w:val="0D83761A"/>
    <w:rsid w:val="0D842293"/>
    <w:rsid w:val="0D8562F4"/>
    <w:rsid w:val="0D86087B"/>
    <w:rsid w:val="0D86163D"/>
    <w:rsid w:val="0D8633EB"/>
    <w:rsid w:val="0D865199"/>
    <w:rsid w:val="0D870F11"/>
    <w:rsid w:val="0D87341B"/>
    <w:rsid w:val="0D876A78"/>
    <w:rsid w:val="0D8853B5"/>
    <w:rsid w:val="0D887163"/>
    <w:rsid w:val="0D894C89"/>
    <w:rsid w:val="0D896A37"/>
    <w:rsid w:val="0D896FCD"/>
    <w:rsid w:val="0D8A2702"/>
    <w:rsid w:val="0D8A3BCC"/>
    <w:rsid w:val="0D8A54C1"/>
    <w:rsid w:val="0D8A7FDB"/>
    <w:rsid w:val="0D8B0A01"/>
    <w:rsid w:val="0D8B27AF"/>
    <w:rsid w:val="0D8C0A20"/>
    <w:rsid w:val="0D8C302B"/>
    <w:rsid w:val="0D8C4C24"/>
    <w:rsid w:val="0D8C5246"/>
    <w:rsid w:val="0D8D2AF4"/>
    <w:rsid w:val="0D8D4779"/>
    <w:rsid w:val="0D8E04F1"/>
    <w:rsid w:val="0D8E229F"/>
    <w:rsid w:val="0D8F0506"/>
    <w:rsid w:val="0D8F0AE7"/>
    <w:rsid w:val="0D905134"/>
    <w:rsid w:val="0D9074CF"/>
    <w:rsid w:val="0D907DC5"/>
    <w:rsid w:val="0D923519"/>
    <w:rsid w:val="0D92409E"/>
    <w:rsid w:val="0D931491"/>
    <w:rsid w:val="0D940014"/>
    <w:rsid w:val="0D94111A"/>
    <w:rsid w:val="0D944959"/>
    <w:rsid w:val="0D944BE8"/>
    <w:rsid w:val="0D944E27"/>
    <w:rsid w:val="0D9479FB"/>
    <w:rsid w:val="0D951880"/>
    <w:rsid w:val="0D957AD2"/>
    <w:rsid w:val="0D961154"/>
    <w:rsid w:val="0D9617C3"/>
    <w:rsid w:val="0D967279"/>
    <w:rsid w:val="0D970709"/>
    <w:rsid w:val="0D9720B1"/>
    <w:rsid w:val="0D972F70"/>
    <w:rsid w:val="0D9755F8"/>
    <w:rsid w:val="0D9773A6"/>
    <w:rsid w:val="0D981B99"/>
    <w:rsid w:val="0D9832DA"/>
    <w:rsid w:val="0D984FA6"/>
    <w:rsid w:val="0D9965CC"/>
    <w:rsid w:val="0D9A0C44"/>
    <w:rsid w:val="0D9A50E8"/>
    <w:rsid w:val="0D9A51BE"/>
    <w:rsid w:val="0D9A749E"/>
    <w:rsid w:val="0D9A74A9"/>
    <w:rsid w:val="0D9B1890"/>
    <w:rsid w:val="0D9B1C5B"/>
    <w:rsid w:val="0D9C24F9"/>
    <w:rsid w:val="0D9C2C0E"/>
    <w:rsid w:val="0D9C676A"/>
    <w:rsid w:val="0D9C6FDF"/>
    <w:rsid w:val="0D9D0734"/>
    <w:rsid w:val="0D9D0D63"/>
    <w:rsid w:val="0D9D4D22"/>
    <w:rsid w:val="0D9D6AED"/>
    <w:rsid w:val="0D9E7282"/>
    <w:rsid w:val="0D9E72F0"/>
    <w:rsid w:val="0D9F26FE"/>
    <w:rsid w:val="0D9F276F"/>
    <w:rsid w:val="0D9F44AC"/>
    <w:rsid w:val="0D9F625A"/>
    <w:rsid w:val="0D9F74A7"/>
    <w:rsid w:val="0DA04044"/>
    <w:rsid w:val="0DA10224"/>
    <w:rsid w:val="0DA1438C"/>
    <w:rsid w:val="0DA2213C"/>
    <w:rsid w:val="0DA2581C"/>
    <w:rsid w:val="0DA25D4B"/>
    <w:rsid w:val="0DA26F5D"/>
    <w:rsid w:val="0DA27AF9"/>
    <w:rsid w:val="0DA36C9F"/>
    <w:rsid w:val="0DA41AC3"/>
    <w:rsid w:val="0DA4324B"/>
    <w:rsid w:val="0DA562D1"/>
    <w:rsid w:val="0DA564E2"/>
    <w:rsid w:val="0DA60B95"/>
    <w:rsid w:val="0DA63A8D"/>
    <w:rsid w:val="0DA63F96"/>
    <w:rsid w:val="0DA6583B"/>
    <w:rsid w:val="0DA675E9"/>
    <w:rsid w:val="0DA877FB"/>
    <w:rsid w:val="0DA87805"/>
    <w:rsid w:val="0DA9291F"/>
    <w:rsid w:val="0DA9532B"/>
    <w:rsid w:val="0DA970D9"/>
    <w:rsid w:val="0DAA01FB"/>
    <w:rsid w:val="0DAA2834"/>
    <w:rsid w:val="0DAA51C3"/>
    <w:rsid w:val="0DAA6B64"/>
    <w:rsid w:val="0DAA7B50"/>
    <w:rsid w:val="0DAB10A3"/>
    <w:rsid w:val="0DAB2E51"/>
    <w:rsid w:val="0DAB4BFF"/>
    <w:rsid w:val="0DAB5E9B"/>
    <w:rsid w:val="0DAB61BB"/>
    <w:rsid w:val="0DAC629F"/>
    <w:rsid w:val="0DAC6DFF"/>
    <w:rsid w:val="0DAD0977"/>
    <w:rsid w:val="0DAD2242"/>
    <w:rsid w:val="0DAD4E1B"/>
    <w:rsid w:val="0DAD5587"/>
    <w:rsid w:val="0DAE00D1"/>
    <w:rsid w:val="0DAE28E8"/>
    <w:rsid w:val="0DAE57F1"/>
    <w:rsid w:val="0DAE649D"/>
    <w:rsid w:val="0DAF10CE"/>
    <w:rsid w:val="0DAF4501"/>
    <w:rsid w:val="0DAF6FEE"/>
    <w:rsid w:val="0DB02583"/>
    <w:rsid w:val="0DB066B9"/>
    <w:rsid w:val="0DB215A9"/>
    <w:rsid w:val="0DB241E0"/>
    <w:rsid w:val="0DB2525A"/>
    <w:rsid w:val="0DB25F8E"/>
    <w:rsid w:val="0DB2607C"/>
    <w:rsid w:val="0DB31D06"/>
    <w:rsid w:val="0DB3322E"/>
    <w:rsid w:val="0DB3648E"/>
    <w:rsid w:val="0DB46F7C"/>
    <w:rsid w:val="0DB53CD0"/>
    <w:rsid w:val="0DB55810"/>
    <w:rsid w:val="0DB5782C"/>
    <w:rsid w:val="0DB64F2E"/>
    <w:rsid w:val="0DB6770F"/>
    <w:rsid w:val="0DB717F6"/>
    <w:rsid w:val="0DB726D6"/>
    <w:rsid w:val="0DB729EC"/>
    <w:rsid w:val="0DB75F76"/>
    <w:rsid w:val="0DB77CF3"/>
    <w:rsid w:val="0DB829A4"/>
    <w:rsid w:val="0DB8556E"/>
    <w:rsid w:val="0DB9208D"/>
    <w:rsid w:val="0DB93D54"/>
    <w:rsid w:val="0DB96CBC"/>
    <w:rsid w:val="0DBA3094"/>
    <w:rsid w:val="0DBA3AA3"/>
    <w:rsid w:val="0DBB6604"/>
    <w:rsid w:val="0DBC0589"/>
    <w:rsid w:val="0DBC0BBA"/>
    <w:rsid w:val="0DBC46B6"/>
    <w:rsid w:val="0DBC47A6"/>
    <w:rsid w:val="0DBC6E0C"/>
    <w:rsid w:val="0DBD2424"/>
    <w:rsid w:val="0DBD2BD1"/>
    <w:rsid w:val="0DBE38B4"/>
    <w:rsid w:val="0DBE4FF5"/>
    <w:rsid w:val="0DBF06AB"/>
    <w:rsid w:val="0DBF0A18"/>
    <w:rsid w:val="0DBF1056"/>
    <w:rsid w:val="0DBF554B"/>
    <w:rsid w:val="0DBF6485"/>
    <w:rsid w:val="0DBF68FD"/>
    <w:rsid w:val="0DC0221D"/>
    <w:rsid w:val="0DC108C7"/>
    <w:rsid w:val="0DC12235"/>
    <w:rsid w:val="0DC12675"/>
    <w:rsid w:val="0DC14423"/>
    <w:rsid w:val="0DC2108B"/>
    <w:rsid w:val="0DC21F49"/>
    <w:rsid w:val="0DC3019B"/>
    <w:rsid w:val="0DC31439"/>
    <w:rsid w:val="0DC31E04"/>
    <w:rsid w:val="0DC36FB7"/>
    <w:rsid w:val="0DC379D7"/>
    <w:rsid w:val="0DC42165"/>
    <w:rsid w:val="0DC4329A"/>
    <w:rsid w:val="0DC50DD0"/>
    <w:rsid w:val="0DC53787"/>
    <w:rsid w:val="0DC539E8"/>
    <w:rsid w:val="0DC575A6"/>
    <w:rsid w:val="0DC57CC8"/>
    <w:rsid w:val="0DC62141"/>
    <w:rsid w:val="0DC65EDD"/>
    <w:rsid w:val="0DC67C8B"/>
    <w:rsid w:val="0DC73A22"/>
    <w:rsid w:val="0DC74DF9"/>
    <w:rsid w:val="0DC7755F"/>
    <w:rsid w:val="0DC83866"/>
    <w:rsid w:val="0DC83A03"/>
    <w:rsid w:val="0DC8503F"/>
    <w:rsid w:val="0DC93A40"/>
    <w:rsid w:val="0DC93F14"/>
    <w:rsid w:val="0DCA131B"/>
    <w:rsid w:val="0DCA4643"/>
    <w:rsid w:val="0DCB2DB3"/>
    <w:rsid w:val="0DCB34F3"/>
    <w:rsid w:val="0DCC46DA"/>
    <w:rsid w:val="0DCC602F"/>
    <w:rsid w:val="0DCD1019"/>
    <w:rsid w:val="0DCD75FE"/>
    <w:rsid w:val="0DCD7BA9"/>
    <w:rsid w:val="0DCE08EE"/>
    <w:rsid w:val="0DCE1532"/>
    <w:rsid w:val="0DCE6ECC"/>
    <w:rsid w:val="0DCF5778"/>
    <w:rsid w:val="0DD000A7"/>
    <w:rsid w:val="0DD00B0A"/>
    <w:rsid w:val="0DD028B8"/>
    <w:rsid w:val="0DD0365D"/>
    <w:rsid w:val="0DD054E2"/>
    <w:rsid w:val="0DD223AA"/>
    <w:rsid w:val="0DD24CE1"/>
    <w:rsid w:val="0DD35E91"/>
    <w:rsid w:val="0DD36913"/>
    <w:rsid w:val="0DD405FA"/>
    <w:rsid w:val="0DD441F7"/>
    <w:rsid w:val="0DD47C4D"/>
    <w:rsid w:val="0DD51251"/>
    <w:rsid w:val="0DD52CE6"/>
    <w:rsid w:val="0DD56B08"/>
    <w:rsid w:val="0DD619A1"/>
    <w:rsid w:val="0DD61B3B"/>
    <w:rsid w:val="0DD67C38"/>
    <w:rsid w:val="0DD73C46"/>
    <w:rsid w:val="0DD759F4"/>
    <w:rsid w:val="0DD8176C"/>
    <w:rsid w:val="0DD81805"/>
    <w:rsid w:val="0DD84FC2"/>
    <w:rsid w:val="0DD95C10"/>
    <w:rsid w:val="0DD979BE"/>
    <w:rsid w:val="0DDA1988"/>
    <w:rsid w:val="0DDA308D"/>
    <w:rsid w:val="0DDB03D5"/>
    <w:rsid w:val="0DDB5CB2"/>
    <w:rsid w:val="0DDC00AC"/>
    <w:rsid w:val="0DDC125D"/>
    <w:rsid w:val="0DDC300B"/>
    <w:rsid w:val="0DDC59AD"/>
    <w:rsid w:val="0DDC6C21"/>
    <w:rsid w:val="0DDC74AE"/>
    <w:rsid w:val="0DDD4E75"/>
    <w:rsid w:val="0DDD6D83"/>
    <w:rsid w:val="0DDE3227"/>
    <w:rsid w:val="0DDF04FC"/>
    <w:rsid w:val="0DDF0D4D"/>
    <w:rsid w:val="0DDF2AFB"/>
    <w:rsid w:val="0DDF5D83"/>
    <w:rsid w:val="0DDF6F9F"/>
    <w:rsid w:val="0DDF77D8"/>
    <w:rsid w:val="0DE01542"/>
    <w:rsid w:val="0DE039BA"/>
    <w:rsid w:val="0DE046CB"/>
    <w:rsid w:val="0DE07139"/>
    <w:rsid w:val="0DE17D12"/>
    <w:rsid w:val="0DE22D69"/>
    <w:rsid w:val="0DE248BB"/>
    <w:rsid w:val="0DE25BA1"/>
    <w:rsid w:val="0DE31443"/>
    <w:rsid w:val="0DE325EB"/>
    <w:rsid w:val="0DE34399"/>
    <w:rsid w:val="0DE352A9"/>
    <w:rsid w:val="0DE40111"/>
    <w:rsid w:val="0DE44A7B"/>
    <w:rsid w:val="0DE46D10"/>
    <w:rsid w:val="0DE5685A"/>
    <w:rsid w:val="0DE620DB"/>
    <w:rsid w:val="0DE63E89"/>
    <w:rsid w:val="0DE72CF1"/>
    <w:rsid w:val="0DE80AB1"/>
    <w:rsid w:val="0DE819AF"/>
    <w:rsid w:val="0DE90C22"/>
    <w:rsid w:val="0DE92776"/>
    <w:rsid w:val="0DE93979"/>
    <w:rsid w:val="0DE9674A"/>
    <w:rsid w:val="0DEA1BCB"/>
    <w:rsid w:val="0DEB14A0"/>
    <w:rsid w:val="0DEB1535"/>
    <w:rsid w:val="0DEB5944"/>
    <w:rsid w:val="0DEB5ADB"/>
    <w:rsid w:val="0DEB6B44"/>
    <w:rsid w:val="0DED16BC"/>
    <w:rsid w:val="0DED6FC6"/>
    <w:rsid w:val="0DEE0F90"/>
    <w:rsid w:val="0DEE618C"/>
    <w:rsid w:val="0DEF0A31"/>
    <w:rsid w:val="0DEF71E2"/>
    <w:rsid w:val="0DEF7BA6"/>
    <w:rsid w:val="0DF02D6C"/>
    <w:rsid w:val="0DF04D08"/>
    <w:rsid w:val="0DF07431"/>
    <w:rsid w:val="0DF10215"/>
    <w:rsid w:val="0DF1073E"/>
    <w:rsid w:val="0DF115D4"/>
    <w:rsid w:val="0DF1161F"/>
    <w:rsid w:val="0DF11C16"/>
    <w:rsid w:val="0DF20A80"/>
    <w:rsid w:val="0DF26CD2"/>
    <w:rsid w:val="0DF31E19"/>
    <w:rsid w:val="0DF33223"/>
    <w:rsid w:val="0DF34686"/>
    <w:rsid w:val="0DF418E9"/>
    <w:rsid w:val="0DF447F8"/>
    <w:rsid w:val="0DF452BE"/>
    <w:rsid w:val="0DF465A6"/>
    <w:rsid w:val="0DF50570"/>
    <w:rsid w:val="0DF5231E"/>
    <w:rsid w:val="0DF5681E"/>
    <w:rsid w:val="0DF60AB0"/>
    <w:rsid w:val="0DF62277"/>
    <w:rsid w:val="0DF63CF6"/>
    <w:rsid w:val="0DF676AF"/>
    <w:rsid w:val="0DF70665"/>
    <w:rsid w:val="0DF7565D"/>
    <w:rsid w:val="0DF77C29"/>
    <w:rsid w:val="0DF81315"/>
    <w:rsid w:val="0DF81AB7"/>
    <w:rsid w:val="0DF82D6B"/>
    <w:rsid w:val="0DF85AE6"/>
    <w:rsid w:val="0DF91809"/>
    <w:rsid w:val="0DF927B5"/>
    <w:rsid w:val="0DF93BBD"/>
    <w:rsid w:val="0DF95E8A"/>
    <w:rsid w:val="0DFA14F7"/>
    <w:rsid w:val="0DFB0C04"/>
    <w:rsid w:val="0DFB39CA"/>
    <w:rsid w:val="0DFB6F6A"/>
    <w:rsid w:val="0DFC0735"/>
    <w:rsid w:val="0DFD0605"/>
    <w:rsid w:val="0DFE11D3"/>
    <w:rsid w:val="0DFE4238"/>
    <w:rsid w:val="0DFF1637"/>
    <w:rsid w:val="0DFF4F4B"/>
    <w:rsid w:val="0DFF5365"/>
    <w:rsid w:val="0DFF77DB"/>
    <w:rsid w:val="0E010CC3"/>
    <w:rsid w:val="0E012A71"/>
    <w:rsid w:val="0E013A91"/>
    <w:rsid w:val="0E016F15"/>
    <w:rsid w:val="0E022299"/>
    <w:rsid w:val="0E024F5C"/>
    <w:rsid w:val="0E032C8D"/>
    <w:rsid w:val="0E032FC0"/>
    <w:rsid w:val="0E034A3B"/>
    <w:rsid w:val="0E03526E"/>
    <w:rsid w:val="0E0367E9"/>
    <w:rsid w:val="0E0407B3"/>
    <w:rsid w:val="0E042DF9"/>
    <w:rsid w:val="0E0573A9"/>
    <w:rsid w:val="0E060087"/>
    <w:rsid w:val="0E063987"/>
    <w:rsid w:val="0E070BF2"/>
    <w:rsid w:val="0E074B7C"/>
    <w:rsid w:val="0E0765D2"/>
    <w:rsid w:val="0E081DB9"/>
    <w:rsid w:val="0E082052"/>
    <w:rsid w:val="0E0853E3"/>
    <w:rsid w:val="0E08610B"/>
    <w:rsid w:val="0E090B67"/>
    <w:rsid w:val="0E097B78"/>
    <w:rsid w:val="0E0A401C"/>
    <w:rsid w:val="0E0A513C"/>
    <w:rsid w:val="0E0A6DB3"/>
    <w:rsid w:val="0E0B4699"/>
    <w:rsid w:val="0E0B48EC"/>
    <w:rsid w:val="0E0B7039"/>
    <w:rsid w:val="0E0C334B"/>
    <w:rsid w:val="0E0C412B"/>
    <w:rsid w:val="0E0C5F1C"/>
    <w:rsid w:val="0E0D0A57"/>
    <w:rsid w:val="0E0D1416"/>
    <w:rsid w:val="0E0D7075"/>
    <w:rsid w:val="0E0D7668"/>
    <w:rsid w:val="0E0E518E"/>
    <w:rsid w:val="0E0E71A3"/>
    <w:rsid w:val="0E0F1632"/>
    <w:rsid w:val="0E1010C1"/>
    <w:rsid w:val="0E101CAC"/>
    <w:rsid w:val="0E10489D"/>
    <w:rsid w:val="0E105143"/>
    <w:rsid w:val="0E1069A3"/>
    <w:rsid w:val="0E107158"/>
    <w:rsid w:val="0E112D08"/>
    <w:rsid w:val="0E124C7E"/>
    <w:rsid w:val="0E126BFD"/>
    <w:rsid w:val="0E1277E0"/>
    <w:rsid w:val="0E127D38"/>
    <w:rsid w:val="0E1329E6"/>
    <w:rsid w:val="0E133B38"/>
    <w:rsid w:val="0E134CBA"/>
    <w:rsid w:val="0E140F06"/>
    <w:rsid w:val="0E141A97"/>
    <w:rsid w:val="0E142267"/>
    <w:rsid w:val="0E143972"/>
    <w:rsid w:val="0E143EE8"/>
    <w:rsid w:val="0E145C92"/>
    <w:rsid w:val="0E14727F"/>
    <w:rsid w:val="0E15476E"/>
    <w:rsid w:val="0E15651D"/>
    <w:rsid w:val="0E163EA2"/>
    <w:rsid w:val="0E164087"/>
    <w:rsid w:val="0E165611"/>
    <w:rsid w:val="0E1704E7"/>
    <w:rsid w:val="0E171DFD"/>
    <w:rsid w:val="0E176739"/>
    <w:rsid w:val="0E177E34"/>
    <w:rsid w:val="0E180A73"/>
    <w:rsid w:val="0E194168"/>
    <w:rsid w:val="0E19425F"/>
    <w:rsid w:val="0E19600D"/>
    <w:rsid w:val="0E197880"/>
    <w:rsid w:val="0E197DBB"/>
    <w:rsid w:val="0E1A1D85"/>
    <w:rsid w:val="0E1A2DE0"/>
    <w:rsid w:val="0E1B06D6"/>
    <w:rsid w:val="0E1B122C"/>
    <w:rsid w:val="0E1C3DD3"/>
    <w:rsid w:val="0E1C78AB"/>
    <w:rsid w:val="0E1C7FD6"/>
    <w:rsid w:val="0E1D549B"/>
    <w:rsid w:val="0E1D7271"/>
    <w:rsid w:val="0E1E1875"/>
    <w:rsid w:val="0E1E2F78"/>
    <w:rsid w:val="0E1E3623"/>
    <w:rsid w:val="0E1E5AE4"/>
    <w:rsid w:val="0E1E6754"/>
    <w:rsid w:val="0E1E7AC7"/>
    <w:rsid w:val="0E1F0038"/>
    <w:rsid w:val="0E1F1149"/>
    <w:rsid w:val="0E1F2F02"/>
    <w:rsid w:val="0E1F38BB"/>
    <w:rsid w:val="0E1F3C1A"/>
    <w:rsid w:val="0E1F739B"/>
    <w:rsid w:val="0E203183"/>
    <w:rsid w:val="0E2065D1"/>
    <w:rsid w:val="0E2125DA"/>
    <w:rsid w:val="0E213113"/>
    <w:rsid w:val="0E21367C"/>
    <w:rsid w:val="0E214EC1"/>
    <w:rsid w:val="0E22497A"/>
    <w:rsid w:val="0E236E8B"/>
    <w:rsid w:val="0E240474"/>
    <w:rsid w:val="0E2449B2"/>
    <w:rsid w:val="0E245E83"/>
    <w:rsid w:val="0E250204"/>
    <w:rsid w:val="0E250D15"/>
    <w:rsid w:val="0E250E55"/>
    <w:rsid w:val="0E252C04"/>
    <w:rsid w:val="0E256CFA"/>
    <w:rsid w:val="0E2624D8"/>
    <w:rsid w:val="0E264F83"/>
    <w:rsid w:val="0E266475"/>
    <w:rsid w:val="0E272B23"/>
    <w:rsid w:val="0E2826F4"/>
    <w:rsid w:val="0E2855BD"/>
    <w:rsid w:val="0E285898"/>
    <w:rsid w:val="0E286250"/>
    <w:rsid w:val="0E2913AB"/>
    <w:rsid w:val="0E2954D7"/>
    <w:rsid w:val="0E297551"/>
    <w:rsid w:val="0E2A021A"/>
    <w:rsid w:val="0E2A646C"/>
    <w:rsid w:val="0E2B0210"/>
    <w:rsid w:val="0E2B5D40"/>
    <w:rsid w:val="0E2D1AB8"/>
    <w:rsid w:val="0E2D3866"/>
    <w:rsid w:val="0E2F3A82"/>
    <w:rsid w:val="0E2F5830"/>
    <w:rsid w:val="0E2F73E6"/>
    <w:rsid w:val="0E2F75DE"/>
    <w:rsid w:val="0E302938"/>
    <w:rsid w:val="0E305316"/>
    <w:rsid w:val="0E313BD5"/>
    <w:rsid w:val="0E3177FA"/>
    <w:rsid w:val="0E320F77"/>
    <w:rsid w:val="0E325320"/>
    <w:rsid w:val="0E326BB8"/>
    <w:rsid w:val="0E332357"/>
    <w:rsid w:val="0E342556"/>
    <w:rsid w:val="0E342E47"/>
    <w:rsid w:val="0E344BF5"/>
    <w:rsid w:val="0E355127"/>
    <w:rsid w:val="0E356BBF"/>
    <w:rsid w:val="0E362B20"/>
    <w:rsid w:val="0E372937"/>
    <w:rsid w:val="0E3746E5"/>
    <w:rsid w:val="0E377A47"/>
    <w:rsid w:val="0E386F39"/>
    <w:rsid w:val="0E390214"/>
    <w:rsid w:val="0E39045D"/>
    <w:rsid w:val="0E39220B"/>
    <w:rsid w:val="0E394F38"/>
    <w:rsid w:val="0E395927"/>
    <w:rsid w:val="0E3966AF"/>
    <w:rsid w:val="0E3A1CE6"/>
    <w:rsid w:val="0E3A2C2D"/>
    <w:rsid w:val="0E3A3BE5"/>
    <w:rsid w:val="0E3A5F83"/>
    <w:rsid w:val="0E3A5FC1"/>
    <w:rsid w:val="0E3B2429"/>
    <w:rsid w:val="0E3C0FAC"/>
    <w:rsid w:val="0E3C1B66"/>
    <w:rsid w:val="0E3C279D"/>
    <w:rsid w:val="0E3C3483"/>
    <w:rsid w:val="0E3C5613"/>
    <w:rsid w:val="0E3D2907"/>
    <w:rsid w:val="0E3D4A8F"/>
    <w:rsid w:val="0E3D7D7B"/>
    <w:rsid w:val="0E3E3CC5"/>
    <w:rsid w:val="0E3E5A73"/>
    <w:rsid w:val="0E3E61D9"/>
    <w:rsid w:val="0E3F3599"/>
    <w:rsid w:val="0E3F6C06"/>
    <w:rsid w:val="0E405D53"/>
    <w:rsid w:val="0E407A3D"/>
    <w:rsid w:val="0E4105BC"/>
    <w:rsid w:val="0E411122"/>
    <w:rsid w:val="0E4137B5"/>
    <w:rsid w:val="0E414C27"/>
    <w:rsid w:val="0E415563"/>
    <w:rsid w:val="0E417312"/>
    <w:rsid w:val="0E420FD0"/>
    <w:rsid w:val="0E421E2A"/>
    <w:rsid w:val="0E433A29"/>
    <w:rsid w:val="0E434661"/>
    <w:rsid w:val="0E43752E"/>
    <w:rsid w:val="0E440BB0"/>
    <w:rsid w:val="0E44204B"/>
    <w:rsid w:val="0E444C58"/>
    <w:rsid w:val="0E4532A6"/>
    <w:rsid w:val="0E454C1C"/>
    <w:rsid w:val="0E455CF9"/>
    <w:rsid w:val="0E460DCC"/>
    <w:rsid w:val="0E460FDD"/>
    <w:rsid w:val="0E462B7A"/>
    <w:rsid w:val="0E464928"/>
    <w:rsid w:val="0E4660AC"/>
    <w:rsid w:val="0E472CF1"/>
    <w:rsid w:val="0E4759B8"/>
    <w:rsid w:val="0E482233"/>
    <w:rsid w:val="0E482DBF"/>
    <w:rsid w:val="0E484B44"/>
    <w:rsid w:val="0E485094"/>
    <w:rsid w:val="0E4868F2"/>
    <w:rsid w:val="0E490794"/>
    <w:rsid w:val="0E495206"/>
    <w:rsid w:val="0E4A1F2E"/>
    <w:rsid w:val="0E4A266A"/>
    <w:rsid w:val="0E4A2DAA"/>
    <w:rsid w:val="0E4A4418"/>
    <w:rsid w:val="0E4A5EBD"/>
    <w:rsid w:val="0E4A7961"/>
    <w:rsid w:val="0E4B0DED"/>
    <w:rsid w:val="0E4B1A32"/>
    <w:rsid w:val="0E4B203C"/>
    <w:rsid w:val="0E4B7969"/>
    <w:rsid w:val="0E4C02E7"/>
    <w:rsid w:val="0E4C07DD"/>
    <w:rsid w:val="0E4C1E01"/>
    <w:rsid w:val="0E4C4992"/>
    <w:rsid w:val="0E4D215A"/>
    <w:rsid w:val="0E4D5BB2"/>
    <w:rsid w:val="0E4E0378"/>
    <w:rsid w:val="0E4E5E4E"/>
    <w:rsid w:val="0E4E740F"/>
    <w:rsid w:val="0E4E771E"/>
    <w:rsid w:val="0E4E7B1F"/>
    <w:rsid w:val="0E4F1A2E"/>
    <w:rsid w:val="0E4F4F1B"/>
    <w:rsid w:val="0E4F5ED2"/>
    <w:rsid w:val="0E4F7C80"/>
    <w:rsid w:val="0E5005EE"/>
    <w:rsid w:val="0E50787A"/>
    <w:rsid w:val="0E51419F"/>
    <w:rsid w:val="0E51464F"/>
    <w:rsid w:val="0E522EB5"/>
    <w:rsid w:val="0E5232CD"/>
    <w:rsid w:val="0E523D0A"/>
    <w:rsid w:val="0E525ADF"/>
    <w:rsid w:val="0E527220"/>
    <w:rsid w:val="0E527741"/>
    <w:rsid w:val="0E541B40"/>
    <w:rsid w:val="0E54467E"/>
    <w:rsid w:val="0E545297"/>
    <w:rsid w:val="0E56100F"/>
    <w:rsid w:val="0E567B2C"/>
    <w:rsid w:val="0E580B04"/>
    <w:rsid w:val="0E581A03"/>
    <w:rsid w:val="0E594522"/>
    <w:rsid w:val="0E5A03D3"/>
    <w:rsid w:val="0E5A076B"/>
    <w:rsid w:val="0E5A1F61"/>
    <w:rsid w:val="0E5B4877"/>
    <w:rsid w:val="0E5B6239"/>
    <w:rsid w:val="0E5B6625"/>
    <w:rsid w:val="0E5C05EF"/>
    <w:rsid w:val="0E5C0819"/>
    <w:rsid w:val="0E5C239D"/>
    <w:rsid w:val="0E5C414B"/>
    <w:rsid w:val="0E5C7627"/>
    <w:rsid w:val="0E5C7E9D"/>
    <w:rsid w:val="0E5D2BF2"/>
    <w:rsid w:val="0E5D5A6E"/>
    <w:rsid w:val="0E5E0CF7"/>
    <w:rsid w:val="0E5E193F"/>
    <w:rsid w:val="0E5E1C72"/>
    <w:rsid w:val="0E5E3B51"/>
    <w:rsid w:val="0E5E3CC7"/>
    <w:rsid w:val="0E5E4367"/>
    <w:rsid w:val="0E5F139E"/>
    <w:rsid w:val="0E5F18FC"/>
    <w:rsid w:val="0E603C3C"/>
    <w:rsid w:val="0E6179B4"/>
    <w:rsid w:val="0E6307F2"/>
    <w:rsid w:val="0E63372C"/>
    <w:rsid w:val="0E6354DA"/>
    <w:rsid w:val="0E6378C6"/>
    <w:rsid w:val="0E6436BE"/>
    <w:rsid w:val="0E6453CE"/>
    <w:rsid w:val="0E645B08"/>
    <w:rsid w:val="0E6465E3"/>
    <w:rsid w:val="0E651252"/>
    <w:rsid w:val="0E653000"/>
    <w:rsid w:val="0E664963"/>
    <w:rsid w:val="0E664FCA"/>
    <w:rsid w:val="0E6671F9"/>
    <w:rsid w:val="0E67321C"/>
    <w:rsid w:val="0E683FC3"/>
    <w:rsid w:val="0E685B28"/>
    <w:rsid w:val="0E6964AF"/>
    <w:rsid w:val="0E69749F"/>
    <w:rsid w:val="0E6A2D42"/>
    <w:rsid w:val="0E6A54A7"/>
    <w:rsid w:val="0E6A6868"/>
    <w:rsid w:val="0E6A7A0D"/>
    <w:rsid w:val="0E6B2454"/>
    <w:rsid w:val="0E6B3A5B"/>
    <w:rsid w:val="0E6B4004"/>
    <w:rsid w:val="0E6B6937"/>
    <w:rsid w:val="0E6B77BE"/>
    <w:rsid w:val="0E6C0832"/>
    <w:rsid w:val="0E6C7887"/>
    <w:rsid w:val="0E6D0107"/>
    <w:rsid w:val="0E6D01BB"/>
    <w:rsid w:val="0E6D0580"/>
    <w:rsid w:val="0E6D26E7"/>
    <w:rsid w:val="0E6E1AF2"/>
    <w:rsid w:val="0E6E6DEF"/>
    <w:rsid w:val="0E6F20D1"/>
    <w:rsid w:val="0E6F413C"/>
    <w:rsid w:val="0E6F70A1"/>
    <w:rsid w:val="0E70013B"/>
    <w:rsid w:val="0E7001F6"/>
    <w:rsid w:val="0E701995"/>
    <w:rsid w:val="0E7027A9"/>
    <w:rsid w:val="0E707104"/>
    <w:rsid w:val="0E707BF7"/>
    <w:rsid w:val="0E712805"/>
    <w:rsid w:val="0E71409B"/>
    <w:rsid w:val="0E715BBE"/>
    <w:rsid w:val="0E715E49"/>
    <w:rsid w:val="0E722730"/>
    <w:rsid w:val="0E72396F"/>
    <w:rsid w:val="0E7242E8"/>
    <w:rsid w:val="0E725F07"/>
    <w:rsid w:val="0E73034D"/>
    <w:rsid w:val="0E730485"/>
    <w:rsid w:val="0E7341B1"/>
    <w:rsid w:val="0E740E08"/>
    <w:rsid w:val="0E741495"/>
    <w:rsid w:val="0E7463D5"/>
    <w:rsid w:val="0E7476E7"/>
    <w:rsid w:val="0E7479E9"/>
    <w:rsid w:val="0E747F12"/>
    <w:rsid w:val="0E7525BA"/>
    <w:rsid w:val="0E760249"/>
    <w:rsid w:val="0E762BCD"/>
    <w:rsid w:val="0E763F95"/>
    <w:rsid w:val="0E767A23"/>
    <w:rsid w:val="0E7771D7"/>
    <w:rsid w:val="0E781B23"/>
    <w:rsid w:val="0E782D92"/>
    <w:rsid w:val="0E7877FA"/>
    <w:rsid w:val="0E790545"/>
    <w:rsid w:val="0E7950F9"/>
    <w:rsid w:val="0E7A0243"/>
    <w:rsid w:val="0E7A0DC9"/>
    <w:rsid w:val="0E7A1784"/>
    <w:rsid w:val="0E7A230A"/>
    <w:rsid w:val="0E7B2823"/>
    <w:rsid w:val="0E7B4839"/>
    <w:rsid w:val="0E7B5C7B"/>
    <w:rsid w:val="0E7B647B"/>
    <w:rsid w:val="0E7B6CC7"/>
    <w:rsid w:val="0E7B7FDD"/>
    <w:rsid w:val="0E7C0F26"/>
    <w:rsid w:val="0E7C4E30"/>
    <w:rsid w:val="0E7C659C"/>
    <w:rsid w:val="0E7D1D19"/>
    <w:rsid w:val="0E7D666E"/>
    <w:rsid w:val="0E7E0566"/>
    <w:rsid w:val="0E7E2310"/>
    <w:rsid w:val="0E7E2314"/>
    <w:rsid w:val="0E7E40C2"/>
    <w:rsid w:val="0E7E4DAD"/>
    <w:rsid w:val="0E7E5B83"/>
    <w:rsid w:val="0E7E7414"/>
    <w:rsid w:val="0E7F107C"/>
    <w:rsid w:val="0E7F6813"/>
    <w:rsid w:val="0E8076CD"/>
    <w:rsid w:val="0E807E3A"/>
    <w:rsid w:val="0E8118D7"/>
    <w:rsid w:val="0E811E04"/>
    <w:rsid w:val="0E812E14"/>
    <w:rsid w:val="0E820056"/>
    <w:rsid w:val="0E833DCE"/>
    <w:rsid w:val="0E835B7C"/>
    <w:rsid w:val="0E836570"/>
    <w:rsid w:val="0E840D80"/>
    <w:rsid w:val="0E841C78"/>
    <w:rsid w:val="0E85096E"/>
    <w:rsid w:val="0E855450"/>
    <w:rsid w:val="0E8568CD"/>
    <w:rsid w:val="0E860FB9"/>
    <w:rsid w:val="0E86102F"/>
    <w:rsid w:val="0E8649CF"/>
    <w:rsid w:val="0E866D60"/>
    <w:rsid w:val="0E8740E0"/>
    <w:rsid w:val="0E8813E4"/>
    <w:rsid w:val="0E8849D6"/>
    <w:rsid w:val="0E884F40"/>
    <w:rsid w:val="0E891B60"/>
    <w:rsid w:val="0E8A0CB9"/>
    <w:rsid w:val="0E8A1EA9"/>
    <w:rsid w:val="0E8A2A67"/>
    <w:rsid w:val="0E8A39BE"/>
    <w:rsid w:val="0E8A39DB"/>
    <w:rsid w:val="0E8A515C"/>
    <w:rsid w:val="0E8A6F0A"/>
    <w:rsid w:val="0E8B1610"/>
    <w:rsid w:val="0E8B5169"/>
    <w:rsid w:val="0E8B67DF"/>
    <w:rsid w:val="0E8C00D6"/>
    <w:rsid w:val="0E8C0841"/>
    <w:rsid w:val="0E8C4A31"/>
    <w:rsid w:val="0E8C60E5"/>
    <w:rsid w:val="0E8D2557"/>
    <w:rsid w:val="0E8D69FB"/>
    <w:rsid w:val="0E8E3161"/>
    <w:rsid w:val="0E8F0BFA"/>
    <w:rsid w:val="0E8F1C3E"/>
    <w:rsid w:val="0E8F49C1"/>
    <w:rsid w:val="0E905DD8"/>
    <w:rsid w:val="0E905E67"/>
    <w:rsid w:val="0E907953"/>
    <w:rsid w:val="0E910652"/>
    <w:rsid w:val="0E912385"/>
    <w:rsid w:val="0E914B75"/>
    <w:rsid w:val="0E927B6D"/>
    <w:rsid w:val="0E930784"/>
    <w:rsid w:val="0E93195A"/>
    <w:rsid w:val="0E9438E5"/>
    <w:rsid w:val="0E957E20"/>
    <w:rsid w:val="0E971127"/>
    <w:rsid w:val="0E9815AE"/>
    <w:rsid w:val="0E981627"/>
    <w:rsid w:val="0E990E73"/>
    <w:rsid w:val="0E9953A0"/>
    <w:rsid w:val="0E99714E"/>
    <w:rsid w:val="0E9A38CE"/>
    <w:rsid w:val="0E9A649F"/>
    <w:rsid w:val="0E9B1118"/>
    <w:rsid w:val="0E9B7A0E"/>
    <w:rsid w:val="0E9C1C2E"/>
    <w:rsid w:val="0E9C2774"/>
    <w:rsid w:val="0E9D4E90"/>
    <w:rsid w:val="0E9D6BF5"/>
    <w:rsid w:val="0E9D7EE7"/>
    <w:rsid w:val="0E9E29B6"/>
    <w:rsid w:val="0E9E34BC"/>
    <w:rsid w:val="0E9F5C3D"/>
    <w:rsid w:val="0EA01A9F"/>
    <w:rsid w:val="0EA0228A"/>
    <w:rsid w:val="0EA068E5"/>
    <w:rsid w:val="0EA06CB7"/>
    <w:rsid w:val="0EA124AB"/>
    <w:rsid w:val="0EA16A06"/>
    <w:rsid w:val="0EA20B50"/>
    <w:rsid w:val="0EA224A6"/>
    <w:rsid w:val="0EA24254"/>
    <w:rsid w:val="0EA26913"/>
    <w:rsid w:val="0EA300C1"/>
    <w:rsid w:val="0EA31D7A"/>
    <w:rsid w:val="0EA32CB3"/>
    <w:rsid w:val="0EA445DB"/>
    <w:rsid w:val="0EA53D44"/>
    <w:rsid w:val="0EA55AF2"/>
    <w:rsid w:val="0EA63619"/>
    <w:rsid w:val="0EA650A2"/>
    <w:rsid w:val="0EA65F9E"/>
    <w:rsid w:val="0EA716E3"/>
    <w:rsid w:val="0EA72878"/>
    <w:rsid w:val="0EA8189F"/>
    <w:rsid w:val="0EA87131"/>
    <w:rsid w:val="0EA93835"/>
    <w:rsid w:val="0EA9714A"/>
    <w:rsid w:val="0EAA135B"/>
    <w:rsid w:val="0EAA25C7"/>
    <w:rsid w:val="0EAA3BE7"/>
    <w:rsid w:val="0EAA4EB7"/>
    <w:rsid w:val="0EAA60E0"/>
    <w:rsid w:val="0EAA6A49"/>
    <w:rsid w:val="0EAB349F"/>
    <w:rsid w:val="0EAB3B26"/>
    <w:rsid w:val="0EAB4FE2"/>
    <w:rsid w:val="0EAC0C2F"/>
    <w:rsid w:val="0EAC495C"/>
    <w:rsid w:val="0EAC525A"/>
    <w:rsid w:val="0EAD2BF9"/>
    <w:rsid w:val="0EAD7F6E"/>
    <w:rsid w:val="0EAE09A0"/>
    <w:rsid w:val="0EAE0E4B"/>
    <w:rsid w:val="0EAE36BE"/>
    <w:rsid w:val="0EAF00A7"/>
    <w:rsid w:val="0EAF071F"/>
    <w:rsid w:val="0EAF24CD"/>
    <w:rsid w:val="0EAF6971"/>
    <w:rsid w:val="0EB021FD"/>
    <w:rsid w:val="0EB17D0D"/>
    <w:rsid w:val="0EB21FBD"/>
    <w:rsid w:val="0EB25540"/>
    <w:rsid w:val="0EB328C7"/>
    <w:rsid w:val="0EB40F68"/>
    <w:rsid w:val="0EB421D9"/>
    <w:rsid w:val="0EB43F87"/>
    <w:rsid w:val="0EB45D35"/>
    <w:rsid w:val="0EB5165B"/>
    <w:rsid w:val="0EB53170"/>
    <w:rsid w:val="0EB556B5"/>
    <w:rsid w:val="0EB62D3C"/>
    <w:rsid w:val="0EB6372A"/>
    <w:rsid w:val="0EB6385C"/>
    <w:rsid w:val="0EB67E1E"/>
    <w:rsid w:val="0EB7031F"/>
    <w:rsid w:val="0EB73604"/>
    <w:rsid w:val="0EB751D1"/>
    <w:rsid w:val="0EB76912"/>
    <w:rsid w:val="0EB820E1"/>
    <w:rsid w:val="0EB83571"/>
    <w:rsid w:val="0EB83A78"/>
    <w:rsid w:val="0EB863CE"/>
    <w:rsid w:val="0EB91C23"/>
    <w:rsid w:val="0EBB07FB"/>
    <w:rsid w:val="0EBB3118"/>
    <w:rsid w:val="0EBB3568"/>
    <w:rsid w:val="0EBB37EE"/>
    <w:rsid w:val="0EBB5DB8"/>
    <w:rsid w:val="0EBB70C4"/>
    <w:rsid w:val="0EBD108E"/>
    <w:rsid w:val="0EBD2E3C"/>
    <w:rsid w:val="0EBD5AC2"/>
    <w:rsid w:val="0EBE21E6"/>
    <w:rsid w:val="0EBE4763"/>
    <w:rsid w:val="0EBE7343"/>
    <w:rsid w:val="0EBF11F9"/>
    <w:rsid w:val="0EBF2963"/>
    <w:rsid w:val="0EC00B7E"/>
    <w:rsid w:val="0EC012C4"/>
    <w:rsid w:val="0EC07861"/>
    <w:rsid w:val="0EC10BC1"/>
    <w:rsid w:val="0EC16271"/>
    <w:rsid w:val="0EC24D46"/>
    <w:rsid w:val="0EC25374"/>
    <w:rsid w:val="0EC266A4"/>
    <w:rsid w:val="0EC304A7"/>
    <w:rsid w:val="0EC30910"/>
    <w:rsid w:val="0EC3241C"/>
    <w:rsid w:val="0EC341CA"/>
    <w:rsid w:val="0EC34F7A"/>
    <w:rsid w:val="0EC35F79"/>
    <w:rsid w:val="0EC426D6"/>
    <w:rsid w:val="0EC51CF1"/>
    <w:rsid w:val="0EC563B0"/>
    <w:rsid w:val="0EC56E0B"/>
    <w:rsid w:val="0EC638A4"/>
    <w:rsid w:val="0EC71F0D"/>
    <w:rsid w:val="0EC73CBB"/>
    <w:rsid w:val="0EC74C14"/>
    <w:rsid w:val="0EC817E1"/>
    <w:rsid w:val="0EC84782"/>
    <w:rsid w:val="0EC92767"/>
    <w:rsid w:val="0EC95237"/>
    <w:rsid w:val="0EC95C85"/>
    <w:rsid w:val="0EC96807"/>
    <w:rsid w:val="0EC97353"/>
    <w:rsid w:val="0ECA2642"/>
    <w:rsid w:val="0ECA5559"/>
    <w:rsid w:val="0ECA736D"/>
    <w:rsid w:val="0ECB316C"/>
    <w:rsid w:val="0ECB55D0"/>
    <w:rsid w:val="0ECC0833"/>
    <w:rsid w:val="0ECC2C2E"/>
    <w:rsid w:val="0ECC307F"/>
    <w:rsid w:val="0ECC3193"/>
    <w:rsid w:val="0ECC338A"/>
    <w:rsid w:val="0ECC4266"/>
    <w:rsid w:val="0ECC7523"/>
    <w:rsid w:val="0ECD04CF"/>
    <w:rsid w:val="0ECD6DF7"/>
    <w:rsid w:val="0ECE05F4"/>
    <w:rsid w:val="0ECE1A18"/>
    <w:rsid w:val="0ECE43EC"/>
    <w:rsid w:val="0ECE5049"/>
    <w:rsid w:val="0ECF0DC1"/>
    <w:rsid w:val="0ECF1A84"/>
    <w:rsid w:val="0ECF2B6F"/>
    <w:rsid w:val="0ECF4488"/>
    <w:rsid w:val="0ECF491D"/>
    <w:rsid w:val="0ED05B7A"/>
    <w:rsid w:val="0ED10695"/>
    <w:rsid w:val="0ED13819"/>
    <w:rsid w:val="0ED14B39"/>
    <w:rsid w:val="0ED168E7"/>
    <w:rsid w:val="0ED21B46"/>
    <w:rsid w:val="0ED25C12"/>
    <w:rsid w:val="0ED40186"/>
    <w:rsid w:val="0ED55F44"/>
    <w:rsid w:val="0ED61957"/>
    <w:rsid w:val="0ED64635"/>
    <w:rsid w:val="0ED70216"/>
    <w:rsid w:val="0ED85EC8"/>
    <w:rsid w:val="0ED901D4"/>
    <w:rsid w:val="0ED939EE"/>
    <w:rsid w:val="0ED94B4F"/>
    <w:rsid w:val="0EDA4714"/>
    <w:rsid w:val="0EDA6B97"/>
    <w:rsid w:val="0EDB32C2"/>
    <w:rsid w:val="0EDB59B8"/>
    <w:rsid w:val="0EDC703A"/>
    <w:rsid w:val="0EDD187C"/>
    <w:rsid w:val="0EDD34DE"/>
    <w:rsid w:val="0EDD528C"/>
    <w:rsid w:val="0EDD7870"/>
    <w:rsid w:val="0EDE1042"/>
    <w:rsid w:val="0EDE2DB2"/>
    <w:rsid w:val="0EDE69A8"/>
    <w:rsid w:val="0EDF0476"/>
    <w:rsid w:val="0EDF1579"/>
    <w:rsid w:val="0EE04A83"/>
    <w:rsid w:val="0EE04D7C"/>
    <w:rsid w:val="0EE06B2A"/>
    <w:rsid w:val="0EE06DBB"/>
    <w:rsid w:val="0EE14EF5"/>
    <w:rsid w:val="0EE155DA"/>
    <w:rsid w:val="0EE31A50"/>
    <w:rsid w:val="0EE31C8A"/>
    <w:rsid w:val="0EE32C1C"/>
    <w:rsid w:val="0EE33E0C"/>
    <w:rsid w:val="0EE35237"/>
    <w:rsid w:val="0EE4486D"/>
    <w:rsid w:val="0EE505E5"/>
    <w:rsid w:val="0EE52393"/>
    <w:rsid w:val="0EE6685C"/>
    <w:rsid w:val="0EE6743E"/>
    <w:rsid w:val="0EE70223"/>
    <w:rsid w:val="0EE72D5D"/>
    <w:rsid w:val="0EE73D39"/>
    <w:rsid w:val="0EE76FB7"/>
    <w:rsid w:val="0EE80D9E"/>
    <w:rsid w:val="0EE859DF"/>
    <w:rsid w:val="0EE95815"/>
    <w:rsid w:val="0EEA0745"/>
    <w:rsid w:val="0EEA1673"/>
    <w:rsid w:val="0EEA5964"/>
    <w:rsid w:val="0EEA5BFB"/>
    <w:rsid w:val="0EEA668C"/>
    <w:rsid w:val="0EEB6DB7"/>
    <w:rsid w:val="0EEB6E6C"/>
    <w:rsid w:val="0EEB7A85"/>
    <w:rsid w:val="0EEB7AE2"/>
    <w:rsid w:val="0EEC3721"/>
    <w:rsid w:val="0EEC54CF"/>
    <w:rsid w:val="0EEC6B2B"/>
    <w:rsid w:val="0EEC6E63"/>
    <w:rsid w:val="0EED2944"/>
    <w:rsid w:val="0EED7B63"/>
    <w:rsid w:val="0EEE334F"/>
    <w:rsid w:val="0EEE6A98"/>
    <w:rsid w:val="0EEE6B8D"/>
    <w:rsid w:val="0EEE7BF4"/>
    <w:rsid w:val="0EEF4FBF"/>
    <w:rsid w:val="0EEF592E"/>
    <w:rsid w:val="0EF10D38"/>
    <w:rsid w:val="0EF12AE6"/>
    <w:rsid w:val="0EF14335"/>
    <w:rsid w:val="0EF24E1E"/>
    <w:rsid w:val="0EF26639"/>
    <w:rsid w:val="0EF32D02"/>
    <w:rsid w:val="0EF34AB0"/>
    <w:rsid w:val="0EF4230F"/>
    <w:rsid w:val="0EF433BE"/>
    <w:rsid w:val="0EF43A44"/>
    <w:rsid w:val="0EF460CF"/>
    <w:rsid w:val="0EF528E3"/>
    <w:rsid w:val="0EF56A7A"/>
    <w:rsid w:val="0EF579FE"/>
    <w:rsid w:val="0EF600FC"/>
    <w:rsid w:val="0EF63C09"/>
    <w:rsid w:val="0EF6423D"/>
    <w:rsid w:val="0EF645A0"/>
    <w:rsid w:val="0EF80318"/>
    <w:rsid w:val="0EF83E74"/>
    <w:rsid w:val="0EF9312D"/>
    <w:rsid w:val="0EF97BEC"/>
    <w:rsid w:val="0EFA4090"/>
    <w:rsid w:val="0EFA6181"/>
    <w:rsid w:val="0EFB3964"/>
    <w:rsid w:val="0EFB5712"/>
    <w:rsid w:val="0EFB58F5"/>
    <w:rsid w:val="0EFB70EA"/>
    <w:rsid w:val="0EFC084F"/>
    <w:rsid w:val="0EFC3D5A"/>
    <w:rsid w:val="0EFD052B"/>
    <w:rsid w:val="0EFD148A"/>
    <w:rsid w:val="0EFE21AB"/>
    <w:rsid w:val="0EFE5864"/>
    <w:rsid w:val="0EFF0B63"/>
    <w:rsid w:val="0EFF12CB"/>
    <w:rsid w:val="0EFF16A6"/>
    <w:rsid w:val="0EFF2C2B"/>
    <w:rsid w:val="0F00541F"/>
    <w:rsid w:val="0F005C90"/>
    <w:rsid w:val="0F011457"/>
    <w:rsid w:val="0F0117E6"/>
    <w:rsid w:val="0F013483"/>
    <w:rsid w:val="0F021B5D"/>
    <w:rsid w:val="0F021E25"/>
    <w:rsid w:val="0F024CF3"/>
    <w:rsid w:val="0F026500"/>
    <w:rsid w:val="0F026AA1"/>
    <w:rsid w:val="0F032819"/>
    <w:rsid w:val="0F0345BF"/>
    <w:rsid w:val="0F040A6B"/>
    <w:rsid w:val="0F042508"/>
    <w:rsid w:val="0F043D93"/>
    <w:rsid w:val="0F0547E3"/>
    <w:rsid w:val="0F06044C"/>
    <w:rsid w:val="0F0703DC"/>
    <w:rsid w:val="0F07055B"/>
    <w:rsid w:val="0F0715E4"/>
    <w:rsid w:val="0F0740B7"/>
    <w:rsid w:val="0F077233"/>
    <w:rsid w:val="0F085F8B"/>
    <w:rsid w:val="0F086D0D"/>
    <w:rsid w:val="0F087E2F"/>
    <w:rsid w:val="0F090C06"/>
    <w:rsid w:val="0F095B78"/>
    <w:rsid w:val="0F096081"/>
    <w:rsid w:val="0F0A1DF9"/>
    <w:rsid w:val="0F0A3BA7"/>
    <w:rsid w:val="0F0A4535"/>
    <w:rsid w:val="0F0A4B6B"/>
    <w:rsid w:val="0F0B1CAF"/>
    <w:rsid w:val="0F0B1F6D"/>
    <w:rsid w:val="0F0C0596"/>
    <w:rsid w:val="0F0C3DC3"/>
    <w:rsid w:val="0F0C4970"/>
    <w:rsid w:val="0F0C5B71"/>
    <w:rsid w:val="0F0D042A"/>
    <w:rsid w:val="0F0D5446"/>
    <w:rsid w:val="0F0D723E"/>
    <w:rsid w:val="0F0E18EA"/>
    <w:rsid w:val="0F0E2EB6"/>
    <w:rsid w:val="0F0F3857"/>
    <w:rsid w:val="0F0F5662"/>
    <w:rsid w:val="0F0F7410"/>
    <w:rsid w:val="0F0F7DBB"/>
    <w:rsid w:val="0F100F30"/>
    <w:rsid w:val="0F1028F3"/>
    <w:rsid w:val="0F104ADC"/>
    <w:rsid w:val="0F104F34"/>
    <w:rsid w:val="0F1113DA"/>
    <w:rsid w:val="0F113188"/>
    <w:rsid w:val="0F124A96"/>
    <w:rsid w:val="0F1303A2"/>
    <w:rsid w:val="0F130469"/>
    <w:rsid w:val="0F13233A"/>
    <w:rsid w:val="0F13775A"/>
    <w:rsid w:val="0F1401B8"/>
    <w:rsid w:val="0F143065"/>
    <w:rsid w:val="0F144061"/>
    <w:rsid w:val="0F144A26"/>
    <w:rsid w:val="0F1467D4"/>
    <w:rsid w:val="0F150E69"/>
    <w:rsid w:val="0F153C4C"/>
    <w:rsid w:val="0F15608D"/>
    <w:rsid w:val="0F16079E"/>
    <w:rsid w:val="0F16254C"/>
    <w:rsid w:val="0F164D4D"/>
    <w:rsid w:val="0F166B03"/>
    <w:rsid w:val="0F18017D"/>
    <w:rsid w:val="0F180EAC"/>
    <w:rsid w:val="0F182768"/>
    <w:rsid w:val="0F184516"/>
    <w:rsid w:val="0F1862C4"/>
    <w:rsid w:val="0F192B9A"/>
    <w:rsid w:val="0F1A028E"/>
    <w:rsid w:val="0F1A5655"/>
    <w:rsid w:val="0F1B31BC"/>
    <w:rsid w:val="0F1B4006"/>
    <w:rsid w:val="0F1C37E1"/>
    <w:rsid w:val="0F1C6D63"/>
    <w:rsid w:val="0F1D1B2D"/>
    <w:rsid w:val="0F1D3ABF"/>
    <w:rsid w:val="0F1D7D7F"/>
    <w:rsid w:val="0F1F6215"/>
    <w:rsid w:val="0F1F72AC"/>
    <w:rsid w:val="0F1F7667"/>
    <w:rsid w:val="0F202A1C"/>
    <w:rsid w:val="0F20331F"/>
    <w:rsid w:val="0F2033CB"/>
    <w:rsid w:val="0F206018"/>
    <w:rsid w:val="0F2064DE"/>
    <w:rsid w:val="0F206DEC"/>
    <w:rsid w:val="0F210455"/>
    <w:rsid w:val="0F211265"/>
    <w:rsid w:val="0F22299C"/>
    <w:rsid w:val="0F225395"/>
    <w:rsid w:val="0F225DCF"/>
    <w:rsid w:val="0F227143"/>
    <w:rsid w:val="0F2321D0"/>
    <w:rsid w:val="0F237214"/>
    <w:rsid w:val="0F2413EE"/>
    <w:rsid w:val="0F2418B8"/>
    <w:rsid w:val="0F2437F6"/>
    <w:rsid w:val="0F247CAD"/>
    <w:rsid w:val="0F2509CA"/>
    <w:rsid w:val="0F2509E1"/>
    <w:rsid w:val="0F25287E"/>
    <w:rsid w:val="0F260BBB"/>
    <w:rsid w:val="0F270324"/>
    <w:rsid w:val="0F2704A8"/>
    <w:rsid w:val="0F271885"/>
    <w:rsid w:val="0F274028"/>
    <w:rsid w:val="0F274759"/>
    <w:rsid w:val="0F276507"/>
    <w:rsid w:val="0F277677"/>
    <w:rsid w:val="0F2811FF"/>
    <w:rsid w:val="0F281D98"/>
    <w:rsid w:val="0F282BEC"/>
    <w:rsid w:val="0F284908"/>
    <w:rsid w:val="0F28662E"/>
    <w:rsid w:val="0F2904D1"/>
    <w:rsid w:val="0F295582"/>
    <w:rsid w:val="0F2A424A"/>
    <w:rsid w:val="0F2B0068"/>
    <w:rsid w:val="0F2B249C"/>
    <w:rsid w:val="0F2B4FAF"/>
    <w:rsid w:val="0F2C1D70"/>
    <w:rsid w:val="0F2C6214"/>
    <w:rsid w:val="0F2C6E6C"/>
    <w:rsid w:val="0F2C7FC2"/>
    <w:rsid w:val="0F2D2A0D"/>
    <w:rsid w:val="0F2D77CC"/>
    <w:rsid w:val="0F2E0BC5"/>
    <w:rsid w:val="0F2E1151"/>
    <w:rsid w:val="0F2E3D3A"/>
    <w:rsid w:val="0F2E5AE8"/>
    <w:rsid w:val="0F2E73F9"/>
    <w:rsid w:val="0F2F360E"/>
    <w:rsid w:val="0F301E13"/>
    <w:rsid w:val="0F304652"/>
    <w:rsid w:val="0F305FD2"/>
    <w:rsid w:val="0F306838"/>
    <w:rsid w:val="0F307AB2"/>
    <w:rsid w:val="0F310E21"/>
    <w:rsid w:val="0F3139F2"/>
    <w:rsid w:val="0F317386"/>
    <w:rsid w:val="0F331350"/>
    <w:rsid w:val="0F331DD9"/>
    <w:rsid w:val="0F3330FE"/>
    <w:rsid w:val="0F334E89"/>
    <w:rsid w:val="0F334EAC"/>
    <w:rsid w:val="0F336312"/>
    <w:rsid w:val="0F3375A2"/>
    <w:rsid w:val="0F34556E"/>
    <w:rsid w:val="0F360E40"/>
    <w:rsid w:val="0F362BEE"/>
    <w:rsid w:val="0F364D34"/>
    <w:rsid w:val="0F375986"/>
    <w:rsid w:val="0F380715"/>
    <w:rsid w:val="0F384BB8"/>
    <w:rsid w:val="0F386966"/>
    <w:rsid w:val="0F387AAB"/>
    <w:rsid w:val="0F394DC1"/>
    <w:rsid w:val="0F394F9B"/>
    <w:rsid w:val="0F39623B"/>
    <w:rsid w:val="0F3A01C3"/>
    <w:rsid w:val="0F3A1591"/>
    <w:rsid w:val="0F3A2298"/>
    <w:rsid w:val="0F3B1FB3"/>
    <w:rsid w:val="0F3B4A2E"/>
    <w:rsid w:val="0F3D2D79"/>
    <w:rsid w:val="0F3E1C3F"/>
    <w:rsid w:val="0F3E3425"/>
    <w:rsid w:val="0F3E4971"/>
    <w:rsid w:val="0F3F31E9"/>
    <w:rsid w:val="0F3F48B5"/>
    <w:rsid w:val="0F3F5F47"/>
    <w:rsid w:val="0F3F5FF6"/>
    <w:rsid w:val="0F3F7CF5"/>
    <w:rsid w:val="0F403A6D"/>
    <w:rsid w:val="0F404C0D"/>
    <w:rsid w:val="0F40505E"/>
    <w:rsid w:val="0F40581B"/>
    <w:rsid w:val="0F405D45"/>
    <w:rsid w:val="0F410B24"/>
    <w:rsid w:val="0F42108F"/>
    <w:rsid w:val="0F421593"/>
    <w:rsid w:val="0F422485"/>
    <w:rsid w:val="0F42570F"/>
    <w:rsid w:val="0F44730E"/>
    <w:rsid w:val="0F450727"/>
    <w:rsid w:val="0F452E31"/>
    <w:rsid w:val="0F4550F8"/>
    <w:rsid w:val="0F456E76"/>
    <w:rsid w:val="0F475669"/>
    <w:rsid w:val="0F476BAA"/>
    <w:rsid w:val="0F483ECA"/>
    <w:rsid w:val="0F4846A7"/>
    <w:rsid w:val="0F48510F"/>
    <w:rsid w:val="0F490538"/>
    <w:rsid w:val="0F492922"/>
    <w:rsid w:val="0F4942A2"/>
    <w:rsid w:val="0F49431A"/>
    <w:rsid w:val="0F4946D0"/>
    <w:rsid w:val="0F4A6930"/>
    <w:rsid w:val="0F4B48EC"/>
    <w:rsid w:val="0F4C2412"/>
    <w:rsid w:val="0F4C2D44"/>
    <w:rsid w:val="0F4C53BD"/>
    <w:rsid w:val="0F4D0AF0"/>
    <w:rsid w:val="0F4D3437"/>
    <w:rsid w:val="0F4D7D6C"/>
    <w:rsid w:val="0F4E0349"/>
    <w:rsid w:val="0F4E0431"/>
    <w:rsid w:val="0F4E7F38"/>
    <w:rsid w:val="0F500D53"/>
    <w:rsid w:val="0F501F02"/>
    <w:rsid w:val="0F504E54"/>
    <w:rsid w:val="0F50583A"/>
    <w:rsid w:val="0F507C87"/>
    <w:rsid w:val="0F5117D6"/>
    <w:rsid w:val="0F513D08"/>
    <w:rsid w:val="0F515C7A"/>
    <w:rsid w:val="0F516FB2"/>
    <w:rsid w:val="0F517A28"/>
    <w:rsid w:val="0F522C30"/>
    <w:rsid w:val="0F526A93"/>
    <w:rsid w:val="0F52774E"/>
    <w:rsid w:val="0F5337A0"/>
    <w:rsid w:val="0F53554E"/>
    <w:rsid w:val="0F5357A1"/>
    <w:rsid w:val="0F543075"/>
    <w:rsid w:val="0F54543B"/>
    <w:rsid w:val="0F547F82"/>
    <w:rsid w:val="0F5512C6"/>
    <w:rsid w:val="0F556804"/>
    <w:rsid w:val="0F557518"/>
    <w:rsid w:val="0F560861"/>
    <w:rsid w:val="0F563291"/>
    <w:rsid w:val="0F56503F"/>
    <w:rsid w:val="0F566158"/>
    <w:rsid w:val="0F56647D"/>
    <w:rsid w:val="0F566DED"/>
    <w:rsid w:val="0F567752"/>
    <w:rsid w:val="0F570340"/>
    <w:rsid w:val="0F582B65"/>
    <w:rsid w:val="0F5844C9"/>
    <w:rsid w:val="0F587009"/>
    <w:rsid w:val="0F59002D"/>
    <w:rsid w:val="0F59233E"/>
    <w:rsid w:val="0F593063"/>
    <w:rsid w:val="0F59480E"/>
    <w:rsid w:val="0F5B79D2"/>
    <w:rsid w:val="0F5C5E8B"/>
    <w:rsid w:val="0F5D1EFC"/>
    <w:rsid w:val="0F5D63CD"/>
    <w:rsid w:val="0F5E0EC0"/>
    <w:rsid w:val="0F5E389F"/>
    <w:rsid w:val="0F5E50AA"/>
    <w:rsid w:val="0F5E566B"/>
    <w:rsid w:val="0F5F45FE"/>
    <w:rsid w:val="0F5F5CA1"/>
    <w:rsid w:val="0F601A19"/>
    <w:rsid w:val="0F602A41"/>
    <w:rsid w:val="0F602EB6"/>
    <w:rsid w:val="0F603910"/>
    <w:rsid w:val="0F611E7F"/>
    <w:rsid w:val="0F6167BF"/>
    <w:rsid w:val="0F617F00"/>
    <w:rsid w:val="0F6204E5"/>
    <w:rsid w:val="0F623902"/>
    <w:rsid w:val="0F6239E3"/>
    <w:rsid w:val="0F627905"/>
    <w:rsid w:val="0F6310DF"/>
    <w:rsid w:val="0F633F41"/>
    <w:rsid w:val="0F635534"/>
    <w:rsid w:val="0F636010"/>
    <w:rsid w:val="0F636D32"/>
    <w:rsid w:val="0F6408BC"/>
    <w:rsid w:val="0F6459AD"/>
    <w:rsid w:val="0F647E30"/>
    <w:rsid w:val="0F6565D0"/>
    <w:rsid w:val="0F657030"/>
    <w:rsid w:val="0F66165C"/>
    <w:rsid w:val="0F661BEE"/>
    <w:rsid w:val="0F672DA8"/>
    <w:rsid w:val="0F6758B8"/>
    <w:rsid w:val="0F6812D4"/>
    <w:rsid w:val="0F6925D8"/>
    <w:rsid w:val="0F6A08B6"/>
    <w:rsid w:val="0F6A0FB2"/>
    <w:rsid w:val="0F6A62E8"/>
    <w:rsid w:val="0F6B0AEA"/>
    <w:rsid w:val="0F6B218F"/>
    <w:rsid w:val="0F6B2258"/>
    <w:rsid w:val="0F6B4D80"/>
    <w:rsid w:val="0F6B5ADC"/>
    <w:rsid w:val="0F6B6D3C"/>
    <w:rsid w:val="0F6C03BE"/>
    <w:rsid w:val="0F6C7F31"/>
    <w:rsid w:val="0F6D4D62"/>
    <w:rsid w:val="0F6E05DA"/>
    <w:rsid w:val="0F6E2388"/>
    <w:rsid w:val="0F6E6B1E"/>
    <w:rsid w:val="0F705A3B"/>
    <w:rsid w:val="0F706100"/>
    <w:rsid w:val="0F711E78"/>
    <w:rsid w:val="0F713C26"/>
    <w:rsid w:val="0F717786"/>
    <w:rsid w:val="0F721DEF"/>
    <w:rsid w:val="0F727F36"/>
    <w:rsid w:val="0F7326D8"/>
    <w:rsid w:val="0F7345F3"/>
    <w:rsid w:val="0F73533B"/>
    <w:rsid w:val="0F737BEB"/>
    <w:rsid w:val="0F742064"/>
    <w:rsid w:val="0F743C24"/>
    <w:rsid w:val="0F751969"/>
    <w:rsid w:val="0F753717"/>
    <w:rsid w:val="0F755445"/>
    <w:rsid w:val="0F7554C5"/>
    <w:rsid w:val="0F7606A8"/>
    <w:rsid w:val="0F761782"/>
    <w:rsid w:val="0F7709E1"/>
    <w:rsid w:val="0F772126"/>
    <w:rsid w:val="0F7729A5"/>
    <w:rsid w:val="0F773359"/>
    <w:rsid w:val="0F773AEC"/>
    <w:rsid w:val="0F781459"/>
    <w:rsid w:val="0F782EBE"/>
    <w:rsid w:val="0F7835B6"/>
    <w:rsid w:val="0F784FB5"/>
    <w:rsid w:val="0F786D63"/>
    <w:rsid w:val="0F794DF1"/>
    <w:rsid w:val="0F7A0392"/>
    <w:rsid w:val="0F7A2DD7"/>
    <w:rsid w:val="0F7A6F7F"/>
    <w:rsid w:val="0F7B3941"/>
    <w:rsid w:val="0F7B6853"/>
    <w:rsid w:val="0F7C297A"/>
    <w:rsid w:val="0F7C6B81"/>
    <w:rsid w:val="0F7D25CB"/>
    <w:rsid w:val="0F7D342F"/>
    <w:rsid w:val="0F7D37F7"/>
    <w:rsid w:val="0F7D5F98"/>
    <w:rsid w:val="0F7D6A6F"/>
    <w:rsid w:val="0F7D7428"/>
    <w:rsid w:val="0F7F5982"/>
    <w:rsid w:val="0F7F6343"/>
    <w:rsid w:val="0F800702"/>
    <w:rsid w:val="0F804919"/>
    <w:rsid w:val="0F813B3F"/>
    <w:rsid w:val="0F822A02"/>
    <w:rsid w:val="0F824086"/>
    <w:rsid w:val="0F82781D"/>
    <w:rsid w:val="0F827BE2"/>
    <w:rsid w:val="0F836C45"/>
    <w:rsid w:val="0F837741"/>
    <w:rsid w:val="0F841BAC"/>
    <w:rsid w:val="0F850FF9"/>
    <w:rsid w:val="0F860714"/>
    <w:rsid w:val="0F8611BD"/>
    <w:rsid w:val="0F87169C"/>
    <w:rsid w:val="0F872AE2"/>
    <w:rsid w:val="0F87344A"/>
    <w:rsid w:val="0F875987"/>
    <w:rsid w:val="0F882D23"/>
    <w:rsid w:val="0F883D87"/>
    <w:rsid w:val="0F88590A"/>
    <w:rsid w:val="0F895414"/>
    <w:rsid w:val="0F8971C2"/>
    <w:rsid w:val="0F8A0F2A"/>
    <w:rsid w:val="0F8A1F4D"/>
    <w:rsid w:val="0F8A6A96"/>
    <w:rsid w:val="0F8B02EB"/>
    <w:rsid w:val="0F8B118C"/>
    <w:rsid w:val="0F8B56A8"/>
    <w:rsid w:val="0F8C6CB2"/>
    <w:rsid w:val="0F8D6B37"/>
    <w:rsid w:val="0F8D7C7A"/>
    <w:rsid w:val="0F8E6586"/>
    <w:rsid w:val="0F8F4094"/>
    <w:rsid w:val="0F8F67C1"/>
    <w:rsid w:val="0F900F5C"/>
    <w:rsid w:val="0F9053CD"/>
    <w:rsid w:val="0F9130CA"/>
    <w:rsid w:val="0F91415D"/>
    <w:rsid w:val="0F915CD1"/>
    <w:rsid w:val="0F915D15"/>
    <w:rsid w:val="0F915DE6"/>
    <w:rsid w:val="0F916077"/>
    <w:rsid w:val="0F917E25"/>
    <w:rsid w:val="0F9206EC"/>
    <w:rsid w:val="0F9255ED"/>
    <w:rsid w:val="0F930041"/>
    <w:rsid w:val="0F93134B"/>
    <w:rsid w:val="0F931A74"/>
    <w:rsid w:val="0F9369F0"/>
    <w:rsid w:val="0F9435CF"/>
    <w:rsid w:val="0F947289"/>
    <w:rsid w:val="0F9473EA"/>
    <w:rsid w:val="0F953DB9"/>
    <w:rsid w:val="0F9542E0"/>
    <w:rsid w:val="0F955833"/>
    <w:rsid w:val="0F955B67"/>
    <w:rsid w:val="0F96368D"/>
    <w:rsid w:val="0F966B3F"/>
    <w:rsid w:val="0F970662"/>
    <w:rsid w:val="0F9718DF"/>
    <w:rsid w:val="0F97238F"/>
    <w:rsid w:val="0F974E23"/>
    <w:rsid w:val="0F97533A"/>
    <w:rsid w:val="0F976436"/>
    <w:rsid w:val="0F976970"/>
    <w:rsid w:val="0F980060"/>
    <w:rsid w:val="0F98082C"/>
    <w:rsid w:val="0F982496"/>
    <w:rsid w:val="0F985657"/>
    <w:rsid w:val="0F99041C"/>
    <w:rsid w:val="0F9A112B"/>
    <w:rsid w:val="0F9A4645"/>
    <w:rsid w:val="0F9A6392"/>
    <w:rsid w:val="0F9A66DE"/>
    <w:rsid w:val="0F9A77CE"/>
    <w:rsid w:val="0F9B0CA3"/>
    <w:rsid w:val="0F9B1F05"/>
    <w:rsid w:val="0F9B519E"/>
    <w:rsid w:val="0F9B6614"/>
    <w:rsid w:val="0F9B7DE0"/>
    <w:rsid w:val="0F9C1270"/>
    <w:rsid w:val="0F9C5147"/>
    <w:rsid w:val="0F9C6EF5"/>
    <w:rsid w:val="0F9C71DC"/>
    <w:rsid w:val="0F9D0EBF"/>
    <w:rsid w:val="0F9D4A1B"/>
    <w:rsid w:val="0F9D599E"/>
    <w:rsid w:val="0F9D6DED"/>
    <w:rsid w:val="0F9E3DFF"/>
    <w:rsid w:val="0F9E51B7"/>
    <w:rsid w:val="0F9F0794"/>
    <w:rsid w:val="0F9F1E8C"/>
    <w:rsid w:val="0F9F69E6"/>
    <w:rsid w:val="0FA04099"/>
    <w:rsid w:val="0FA07BF0"/>
    <w:rsid w:val="0FA10347"/>
    <w:rsid w:val="0FA107A1"/>
    <w:rsid w:val="0FA11C75"/>
    <w:rsid w:val="0FA12C2F"/>
    <w:rsid w:val="0FA1450C"/>
    <w:rsid w:val="0FA1522C"/>
    <w:rsid w:val="0FA15BB7"/>
    <w:rsid w:val="0FA20284"/>
    <w:rsid w:val="0FA20555"/>
    <w:rsid w:val="0FA20F54"/>
    <w:rsid w:val="0FA2614D"/>
    <w:rsid w:val="0FA4042D"/>
    <w:rsid w:val="0FA4224E"/>
    <w:rsid w:val="0FA43FFC"/>
    <w:rsid w:val="0FA47B58"/>
    <w:rsid w:val="0FA53A62"/>
    <w:rsid w:val="0FA61EBB"/>
    <w:rsid w:val="0FA638D0"/>
    <w:rsid w:val="0FA66633"/>
    <w:rsid w:val="0FA719D0"/>
    <w:rsid w:val="0FA83AEC"/>
    <w:rsid w:val="0FA86312"/>
    <w:rsid w:val="0FA91612"/>
    <w:rsid w:val="0FA94FB4"/>
    <w:rsid w:val="0FA97864"/>
    <w:rsid w:val="0FAA7D35"/>
    <w:rsid w:val="0FAB538A"/>
    <w:rsid w:val="0FAB5B16"/>
    <w:rsid w:val="0FAB68C5"/>
    <w:rsid w:val="0FAC192E"/>
    <w:rsid w:val="0FAC49D6"/>
    <w:rsid w:val="0FAD1102"/>
    <w:rsid w:val="0FAD3935"/>
    <w:rsid w:val="0FAD77E2"/>
    <w:rsid w:val="0FAE09D7"/>
    <w:rsid w:val="0FAE176B"/>
    <w:rsid w:val="0FAE4DC5"/>
    <w:rsid w:val="0FAE6989"/>
    <w:rsid w:val="0FAE6C29"/>
    <w:rsid w:val="0FAF0351"/>
    <w:rsid w:val="0FAF253D"/>
    <w:rsid w:val="0FAF276A"/>
    <w:rsid w:val="0FAF3150"/>
    <w:rsid w:val="0FAF76E5"/>
    <w:rsid w:val="0FB029A1"/>
    <w:rsid w:val="0FB0474F"/>
    <w:rsid w:val="0FB047D2"/>
    <w:rsid w:val="0FB104C7"/>
    <w:rsid w:val="0FB277A7"/>
    <w:rsid w:val="0FB308F7"/>
    <w:rsid w:val="0FB32491"/>
    <w:rsid w:val="0FB3423F"/>
    <w:rsid w:val="0FB36066"/>
    <w:rsid w:val="0FB36417"/>
    <w:rsid w:val="0FB36E72"/>
    <w:rsid w:val="0FB4458A"/>
    <w:rsid w:val="0FB474F6"/>
    <w:rsid w:val="0FB548BB"/>
    <w:rsid w:val="0FB67130"/>
    <w:rsid w:val="0FB708D3"/>
    <w:rsid w:val="0FB71264"/>
    <w:rsid w:val="0FB73D2F"/>
    <w:rsid w:val="0FB81855"/>
    <w:rsid w:val="0FB83603"/>
    <w:rsid w:val="0FB83CDB"/>
    <w:rsid w:val="0FB84255"/>
    <w:rsid w:val="0FB94AA9"/>
    <w:rsid w:val="0FBA2391"/>
    <w:rsid w:val="0FBA381F"/>
    <w:rsid w:val="0FBA737B"/>
    <w:rsid w:val="0FBB36C0"/>
    <w:rsid w:val="0FBD0C1A"/>
    <w:rsid w:val="0FBD4482"/>
    <w:rsid w:val="0FBD50BE"/>
    <w:rsid w:val="0FBD6E6C"/>
    <w:rsid w:val="0FBE7460"/>
    <w:rsid w:val="0FBF0E36"/>
    <w:rsid w:val="0FBF11BB"/>
    <w:rsid w:val="0FBF1C60"/>
    <w:rsid w:val="0FBF41C0"/>
    <w:rsid w:val="0FBF4F44"/>
    <w:rsid w:val="0FBF71DA"/>
    <w:rsid w:val="0FC02BC0"/>
    <w:rsid w:val="0FC02EA0"/>
    <w:rsid w:val="0FC07764"/>
    <w:rsid w:val="0FC12515"/>
    <w:rsid w:val="0FC14BAE"/>
    <w:rsid w:val="0FC15ECF"/>
    <w:rsid w:val="0FC16101"/>
    <w:rsid w:val="0FC1695C"/>
    <w:rsid w:val="0FC221F0"/>
    <w:rsid w:val="0FC226D4"/>
    <w:rsid w:val="0FC24482"/>
    <w:rsid w:val="0FC26B0A"/>
    <w:rsid w:val="0FC33449"/>
    <w:rsid w:val="0FC343AC"/>
    <w:rsid w:val="0FC401FA"/>
    <w:rsid w:val="0FC468B7"/>
    <w:rsid w:val="0FC55738"/>
    <w:rsid w:val="0FC63F72"/>
    <w:rsid w:val="0FC642D8"/>
    <w:rsid w:val="0FC71A98"/>
    <w:rsid w:val="0FC76BA3"/>
    <w:rsid w:val="0FC770AD"/>
    <w:rsid w:val="0FC80EC8"/>
    <w:rsid w:val="0FC87CEA"/>
    <w:rsid w:val="0FC93A62"/>
    <w:rsid w:val="0FCA0AED"/>
    <w:rsid w:val="0FCA33AE"/>
    <w:rsid w:val="0FCB1589"/>
    <w:rsid w:val="0FCB3337"/>
    <w:rsid w:val="0FCB3477"/>
    <w:rsid w:val="0FCB433D"/>
    <w:rsid w:val="0FCB59C7"/>
    <w:rsid w:val="0FCB77DB"/>
    <w:rsid w:val="0FCC0FA1"/>
    <w:rsid w:val="0FCC4C46"/>
    <w:rsid w:val="0FCC6B78"/>
    <w:rsid w:val="0FCD026C"/>
    <w:rsid w:val="0FCD17DE"/>
    <w:rsid w:val="0FCD29A5"/>
    <w:rsid w:val="0FCD3553"/>
    <w:rsid w:val="0FCD4873"/>
    <w:rsid w:val="0FCD5301"/>
    <w:rsid w:val="0FCD5B5D"/>
    <w:rsid w:val="0FCE2E27"/>
    <w:rsid w:val="0FCE5CBC"/>
    <w:rsid w:val="0FCF5902"/>
    <w:rsid w:val="0FCF7F93"/>
    <w:rsid w:val="0FD06B9F"/>
    <w:rsid w:val="0FD1323B"/>
    <w:rsid w:val="0FD146C5"/>
    <w:rsid w:val="0FD20DA7"/>
    <w:rsid w:val="0FD2175C"/>
    <w:rsid w:val="0FD22C29"/>
    <w:rsid w:val="0FD241C0"/>
    <w:rsid w:val="0FD26690"/>
    <w:rsid w:val="0FD3043D"/>
    <w:rsid w:val="0FD32875"/>
    <w:rsid w:val="0FD35650"/>
    <w:rsid w:val="0FD36B82"/>
    <w:rsid w:val="0FD409E3"/>
    <w:rsid w:val="0FD4315B"/>
    <w:rsid w:val="0FD4338A"/>
    <w:rsid w:val="0FD44A0C"/>
    <w:rsid w:val="0FD459DE"/>
    <w:rsid w:val="0FD46AE0"/>
    <w:rsid w:val="0FD50659"/>
    <w:rsid w:val="0FD52407"/>
    <w:rsid w:val="0FD54DA0"/>
    <w:rsid w:val="0FD56E0C"/>
    <w:rsid w:val="0FD61CDB"/>
    <w:rsid w:val="0FD66E76"/>
    <w:rsid w:val="0FD8200B"/>
    <w:rsid w:val="0FD91EF8"/>
    <w:rsid w:val="0FD97D81"/>
    <w:rsid w:val="0FDA1211"/>
    <w:rsid w:val="0FDA17CC"/>
    <w:rsid w:val="0FDA5C70"/>
    <w:rsid w:val="0FDA7A1E"/>
    <w:rsid w:val="0FDB3ADD"/>
    <w:rsid w:val="0FDB5A6C"/>
    <w:rsid w:val="0FDC05A2"/>
    <w:rsid w:val="0FDC5544"/>
    <w:rsid w:val="0FDC6A3B"/>
    <w:rsid w:val="0FDE3B2E"/>
    <w:rsid w:val="0FDE5D1F"/>
    <w:rsid w:val="0FDF3286"/>
    <w:rsid w:val="0FDF5034"/>
    <w:rsid w:val="0FDF5CFE"/>
    <w:rsid w:val="0FDF5E68"/>
    <w:rsid w:val="0FE0274F"/>
    <w:rsid w:val="0FE045DC"/>
    <w:rsid w:val="0FE1435F"/>
    <w:rsid w:val="0FE20680"/>
    <w:rsid w:val="0FE22313"/>
    <w:rsid w:val="0FE223C3"/>
    <w:rsid w:val="0FE2587A"/>
    <w:rsid w:val="0FE32AA8"/>
    <w:rsid w:val="0FE32D76"/>
    <w:rsid w:val="0FE36A1F"/>
    <w:rsid w:val="0FE372C7"/>
    <w:rsid w:val="0FE4089C"/>
    <w:rsid w:val="0FE4264A"/>
    <w:rsid w:val="0FE47A65"/>
    <w:rsid w:val="0FE5711A"/>
    <w:rsid w:val="0FE60884"/>
    <w:rsid w:val="0FE64614"/>
    <w:rsid w:val="0FE76C93"/>
    <w:rsid w:val="0FE771C2"/>
    <w:rsid w:val="0FE81739"/>
    <w:rsid w:val="0FE901C9"/>
    <w:rsid w:val="0FE95EB3"/>
    <w:rsid w:val="0FE97C61"/>
    <w:rsid w:val="0FEA04BA"/>
    <w:rsid w:val="0FEA0D06"/>
    <w:rsid w:val="0FEA607D"/>
    <w:rsid w:val="0FEB1C2B"/>
    <w:rsid w:val="0FEB39D9"/>
    <w:rsid w:val="0FED0DC8"/>
    <w:rsid w:val="0FED14FF"/>
    <w:rsid w:val="0FED3C1C"/>
    <w:rsid w:val="0FED53BE"/>
    <w:rsid w:val="0FED5999"/>
    <w:rsid w:val="0FED59A3"/>
    <w:rsid w:val="0FEE013A"/>
    <w:rsid w:val="0FEE318D"/>
    <w:rsid w:val="0FEE5277"/>
    <w:rsid w:val="0FEE6FAE"/>
    <w:rsid w:val="0FEF3109"/>
    <w:rsid w:val="0FEF36E8"/>
    <w:rsid w:val="0FF02831"/>
    <w:rsid w:val="0FF06008"/>
    <w:rsid w:val="0FF07749"/>
    <w:rsid w:val="0FF10C12"/>
    <w:rsid w:val="0FF13CF6"/>
    <w:rsid w:val="0FF14845"/>
    <w:rsid w:val="0FF15705"/>
    <w:rsid w:val="0FF17498"/>
    <w:rsid w:val="0FF22FB9"/>
    <w:rsid w:val="0FF24E0C"/>
    <w:rsid w:val="0FF264C6"/>
    <w:rsid w:val="0FF26C9C"/>
    <w:rsid w:val="0FF30ADF"/>
    <w:rsid w:val="0FF509EA"/>
    <w:rsid w:val="0FF51F28"/>
    <w:rsid w:val="0FF56606"/>
    <w:rsid w:val="0FF67D7F"/>
    <w:rsid w:val="0FF705D0"/>
    <w:rsid w:val="0FF82D10"/>
    <w:rsid w:val="0FF860F6"/>
    <w:rsid w:val="0FF87CC7"/>
    <w:rsid w:val="0FF87EA4"/>
    <w:rsid w:val="0FFA2B8A"/>
    <w:rsid w:val="0FFA6533"/>
    <w:rsid w:val="0FFA6644"/>
    <w:rsid w:val="0FFB6786"/>
    <w:rsid w:val="0FFC0833"/>
    <w:rsid w:val="0FFC1742"/>
    <w:rsid w:val="0FFC2289"/>
    <w:rsid w:val="0FFC2FC3"/>
    <w:rsid w:val="0FFC3E38"/>
    <w:rsid w:val="0FFC5BE6"/>
    <w:rsid w:val="0FFD2754"/>
    <w:rsid w:val="0FFD4DD8"/>
    <w:rsid w:val="0FFD54BA"/>
    <w:rsid w:val="0FFD556D"/>
    <w:rsid w:val="0FFD5E0B"/>
    <w:rsid w:val="0FFE13DA"/>
    <w:rsid w:val="0FFE1D4D"/>
    <w:rsid w:val="0FFE370C"/>
    <w:rsid w:val="0FFE387A"/>
    <w:rsid w:val="0FFE705A"/>
    <w:rsid w:val="0FFF1232"/>
    <w:rsid w:val="0FFF535E"/>
    <w:rsid w:val="0FFF56D6"/>
    <w:rsid w:val="0FFF7484"/>
    <w:rsid w:val="100005AB"/>
    <w:rsid w:val="10000853"/>
    <w:rsid w:val="100044D6"/>
    <w:rsid w:val="100064CC"/>
    <w:rsid w:val="100078B0"/>
    <w:rsid w:val="100106CE"/>
    <w:rsid w:val="1001144E"/>
    <w:rsid w:val="10014FAA"/>
    <w:rsid w:val="10022AD1"/>
    <w:rsid w:val="100250C1"/>
    <w:rsid w:val="10030D22"/>
    <w:rsid w:val="10033443"/>
    <w:rsid w:val="10033D76"/>
    <w:rsid w:val="100438B6"/>
    <w:rsid w:val="1005590E"/>
    <w:rsid w:val="10060813"/>
    <w:rsid w:val="10061A95"/>
    <w:rsid w:val="100646AA"/>
    <w:rsid w:val="10066D9E"/>
    <w:rsid w:val="10067ED8"/>
    <w:rsid w:val="10074984"/>
    <w:rsid w:val="100827DD"/>
    <w:rsid w:val="1008428F"/>
    <w:rsid w:val="10086339"/>
    <w:rsid w:val="10090303"/>
    <w:rsid w:val="10092B35"/>
    <w:rsid w:val="10093E5F"/>
    <w:rsid w:val="100952C7"/>
    <w:rsid w:val="10096E60"/>
    <w:rsid w:val="10097195"/>
    <w:rsid w:val="100B7354"/>
    <w:rsid w:val="100B7BD7"/>
    <w:rsid w:val="100C2F23"/>
    <w:rsid w:val="100D1BA1"/>
    <w:rsid w:val="100D394F"/>
    <w:rsid w:val="100D68F7"/>
    <w:rsid w:val="100E1475"/>
    <w:rsid w:val="100E3CA3"/>
    <w:rsid w:val="100F3B6B"/>
    <w:rsid w:val="100F5919"/>
    <w:rsid w:val="101007A6"/>
    <w:rsid w:val="1010081D"/>
    <w:rsid w:val="10101691"/>
    <w:rsid w:val="1010343F"/>
    <w:rsid w:val="101040FE"/>
    <w:rsid w:val="101128C5"/>
    <w:rsid w:val="10114CD6"/>
    <w:rsid w:val="101216C8"/>
    <w:rsid w:val="10123055"/>
    <w:rsid w:val="10123B62"/>
    <w:rsid w:val="10125409"/>
    <w:rsid w:val="10125B0B"/>
    <w:rsid w:val="101271B8"/>
    <w:rsid w:val="10132C82"/>
    <w:rsid w:val="10135BC4"/>
    <w:rsid w:val="10142F30"/>
    <w:rsid w:val="10143C99"/>
    <w:rsid w:val="10144229"/>
    <w:rsid w:val="10150A56"/>
    <w:rsid w:val="10152804"/>
    <w:rsid w:val="101534DA"/>
    <w:rsid w:val="10161E3A"/>
    <w:rsid w:val="101651E3"/>
    <w:rsid w:val="10171317"/>
    <w:rsid w:val="1017657C"/>
    <w:rsid w:val="101771D8"/>
    <w:rsid w:val="101822F4"/>
    <w:rsid w:val="10190546"/>
    <w:rsid w:val="10190879"/>
    <w:rsid w:val="101910F7"/>
    <w:rsid w:val="10195214"/>
    <w:rsid w:val="101A0EB6"/>
    <w:rsid w:val="101A2892"/>
    <w:rsid w:val="101A606C"/>
    <w:rsid w:val="101A78FF"/>
    <w:rsid w:val="101C0036"/>
    <w:rsid w:val="101C0538"/>
    <w:rsid w:val="101C1DE4"/>
    <w:rsid w:val="101C2AD0"/>
    <w:rsid w:val="101D7C4F"/>
    <w:rsid w:val="101E0D0C"/>
    <w:rsid w:val="101E2F73"/>
    <w:rsid w:val="101E3381"/>
    <w:rsid w:val="101E3493"/>
    <w:rsid w:val="101E3DAE"/>
    <w:rsid w:val="101E7671"/>
    <w:rsid w:val="101F3682"/>
    <w:rsid w:val="10200217"/>
    <w:rsid w:val="10201743"/>
    <w:rsid w:val="10202516"/>
    <w:rsid w:val="10205772"/>
    <w:rsid w:val="1021578A"/>
    <w:rsid w:val="10215CA7"/>
    <w:rsid w:val="10216577"/>
    <w:rsid w:val="10221329"/>
    <w:rsid w:val="10221FFB"/>
    <w:rsid w:val="1023023B"/>
    <w:rsid w:val="102325D8"/>
    <w:rsid w:val="10233E36"/>
    <w:rsid w:val="10240C99"/>
    <w:rsid w:val="10246EEB"/>
    <w:rsid w:val="102472C0"/>
    <w:rsid w:val="1025513D"/>
    <w:rsid w:val="102560B4"/>
    <w:rsid w:val="10260EB5"/>
    <w:rsid w:val="10260F59"/>
    <w:rsid w:val="10262C63"/>
    <w:rsid w:val="10264A11"/>
    <w:rsid w:val="1026584F"/>
    <w:rsid w:val="10265B91"/>
    <w:rsid w:val="10267415"/>
    <w:rsid w:val="10280789"/>
    <w:rsid w:val="10282537"/>
    <w:rsid w:val="10283879"/>
    <w:rsid w:val="10284C2D"/>
    <w:rsid w:val="102868EB"/>
    <w:rsid w:val="102869DB"/>
    <w:rsid w:val="1029611E"/>
    <w:rsid w:val="10297BA7"/>
    <w:rsid w:val="102B4A14"/>
    <w:rsid w:val="102B613C"/>
    <w:rsid w:val="102D02A1"/>
    <w:rsid w:val="102D1D02"/>
    <w:rsid w:val="102D2900"/>
    <w:rsid w:val="102D5D9F"/>
    <w:rsid w:val="102D625B"/>
    <w:rsid w:val="102D7AEA"/>
    <w:rsid w:val="102E172D"/>
    <w:rsid w:val="102E1B18"/>
    <w:rsid w:val="102E242A"/>
    <w:rsid w:val="102F0723"/>
    <w:rsid w:val="10302074"/>
    <w:rsid w:val="10303F3B"/>
    <w:rsid w:val="10306641"/>
    <w:rsid w:val="103163E7"/>
    <w:rsid w:val="103233B6"/>
    <w:rsid w:val="10327C7C"/>
    <w:rsid w:val="10336601"/>
    <w:rsid w:val="10337554"/>
    <w:rsid w:val="10337AA3"/>
    <w:rsid w:val="10341E1C"/>
    <w:rsid w:val="103449ED"/>
    <w:rsid w:val="10352749"/>
    <w:rsid w:val="10352EA6"/>
    <w:rsid w:val="10353461"/>
    <w:rsid w:val="10362C26"/>
    <w:rsid w:val="1036730D"/>
    <w:rsid w:val="103709CC"/>
    <w:rsid w:val="10377F8B"/>
    <w:rsid w:val="103850A1"/>
    <w:rsid w:val="10390BE8"/>
    <w:rsid w:val="103947FE"/>
    <w:rsid w:val="103A0B21"/>
    <w:rsid w:val="103A2FE3"/>
    <w:rsid w:val="103A5C8E"/>
    <w:rsid w:val="103A670E"/>
    <w:rsid w:val="103B594B"/>
    <w:rsid w:val="103B6962"/>
    <w:rsid w:val="103C2486"/>
    <w:rsid w:val="103C2738"/>
    <w:rsid w:val="103C317F"/>
    <w:rsid w:val="103C4234"/>
    <w:rsid w:val="103D57A2"/>
    <w:rsid w:val="103E1BE6"/>
    <w:rsid w:val="103E21D8"/>
    <w:rsid w:val="103E5A9F"/>
    <w:rsid w:val="103E61FE"/>
    <w:rsid w:val="103F3D25"/>
    <w:rsid w:val="103F7C37"/>
    <w:rsid w:val="10402F90"/>
    <w:rsid w:val="104101A4"/>
    <w:rsid w:val="104355C3"/>
    <w:rsid w:val="104430E9"/>
    <w:rsid w:val="10450D06"/>
    <w:rsid w:val="1045632D"/>
    <w:rsid w:val="104565B1"/>
    <w:rsid w:val="1045791B"/>
    <w:rsid w:val="10463305"/>
    <w:rsid w:val="10477B50"/>
    <w:rsid w:val="1048062B"/>
    <w:rsid w:val="10482BD9"/>
    <w:rsid w:val="10484987"/>
    <w:rsid w:val="104906FF"/>
    <w:rsid w:val="104909EE"/>
    <w:rsid w:val="10492BB2"/>
    <w:rsid w:val="104A0510"/>
    <w:rsid w:val="104A36F3"/>
    <w:rsid w:val="104A6ACF"/>
    <w:rsid w:val="104B091B"/>
    <w:rsid w:val="104B4477"/>
    <w:rsid w:val="104C5355"/>
    <w:rsid w:val="104D01F0"/>
    <w:rsid w:val="104D3108"/>
    <w:rsid w:val="104D4694"/>
    <w:rsid w:val="104D6442"/>
    <w:rsid w:val="104E0AF7"/>
    <w:rsid w:val="104F21BA"/>
    <w:rsid w:val="104F3F68"/>
    <w:rsid w:val="10501A8E"/>
    <w:rsid w:val="10507B5C"/>
    <w:rsid w:val="10511AEA"/>
    <w:rsid w:val="10512312"/>
    <w:rsid w:val="10517CB0"/>
    <w:rsid w:val="10520CF7"/>
    <w:rsid w:val="10523A58"/>
    <w:rsid w:val="1052532D"/>
    <w:rsid w:val="10531159"/>
    <w:rsid w:val="1054237C"/>
    <w:rsid w:val="105431A4"/>
    <w:rsid w:val="10545A22"/>
    <w:rsid w:val="10545C59"/>
    <w:rsid w:val="10547C82"/>
    <w:rsid w:val="10550ADA"/>
    <w:rsid w:val="10553B29"/>
    <w:rsid w:val="10554120"/>
    <w:rsid w:val="105570A4"/>
    <w:rsid w:val="10563548"/>
    <w:rsid w:val="10566ADB"/>
    <w:rsid w:val="1057106E"/>
    <w:rsid w:val="10572E1C"/>
    <w:rsid w:val="105730A2"/>
    <w:rsid w:val="10574912"/>
    <w:rsid w:val="10575DB0"/>
    <w:rsid w:val="105772C0"/>
    <w:rsid w:val="10581419"/>
    <w:rsid w:val="10585A23"/>
    <w:rsid w:val="1058777E"/>
    <w:rsid w:val="10594DE6"/>
    <w:rsid w:val="10596B94"/>
    <w:rsid w:val="105A065E"/>
    <w:rsid w:val="105A2DDD"/>
    <w:rsid w:val="105A39FD"/>
    <w:rsid w:val="105A40DF"/>
    <w:rsid w:val="105B0B5E"/>
    <w:rsid w:val="105B2773"/>
    <w:rsid w:val="105B7B98"/>
    <w:rsid w:val="105C0433"/>
    <w:rsid w:val="105C06FC"/>
    <w:rsid w:val="105C584D"/>
    <w:rsid w:val="105C7EC0"/>
    <w:rsid w:val="105D02BD"/>
    <w:rsid w:val="105D24B8"/>
    <w:rsid w:val="105D2FE8"/>
    <w:rsid w:val="105D643B"/>
    <w:rsid w:val="105E176C"/>
    <w:rsid w:val="105E41AB"/>
    <w:rsid w:val="105E4C72"/>
    <w:rsid w:val="105E5705"/>
    <w:rsid w:val="105E63E6"/>
    <w:rsid w:val="105F2CAD"/>
    <w:rsid w:val="105F7F23"/>
    <w:rsid w:val="10611D55"/>
    <w:rsid w:val="10611EED"/>
    <w:rsid w:val="106305DF"/>
    <w:rsid w:val="10636FD9"/>
    <w:rsid w:val="10643F30"/>
    <w:rsid w:val="106442B7"/>
    <w:rsid w:val="10645539"/>
    <w:rsid w:val="106477BA"/>
    <w:rsid w:val="106506C3"/>
    <w:rsid w:val="10650C4A"/>
    <w:rsid w:val="106519DD"/>
    <w:rsid w:val="1065381B"/>
    <w:rsid w:val="106612B1"/>
    <w:rsid w:val="1066305F"/>
    <w:rsid w:val="10667503"/>
    <w:rsid w:val="10675755"/>
    <w:rsid w:val="1067613B"/>
    <w:rsid w:val="1068327B"/>
    <w:rsid w:val="10685029"/>
    <w:rsid w:val="10686DD7"/>
    <w:rsid w:val="10690475"/>
    <w:rsid w:val="10691CB2"/>
    <w:rsid w:val="10694545"/>
    <w:rsid w:val="10694D6D"/>
    <w:rsid w:val="106974DB"/>
    <w:rsid w:val="106A362C"/>
    <w:rsid w:val="106A6FF4"/>
    <w:rsid w:val="106B4B1A"/>
    <w:rsid w:val="106B68C8"/>
    <w:rsid w:val="106C3FDC"/>
    <w:rsid w:val="106C47C7"/>
    <w:rsid w:val="106C6715"/>
    <w:rsid w:val="106D0261"/>
    <w:rsid w:val="106D0892"/>
    <w:rsid w:val="106D0EE8"/>
    <w:rsid w:val="106D2640"/>
    <w:rsid w:val="106D2F64"/>
    <w:rsid w:val="106D36EE"/>
    <w:rsid w:val="106D37AD"/>
    <w:rsid w:val="106D3E50"/>
    <w:rsid w:val="106D43EE"/>
    <w:rsid w:val="106F0166"/>
    <w:rsid w:val="106F27B8"/>
    <w:rsid w:val="106F3425"/>
    <w:rsid w:val="106F460A"/>
    <w:rsid w:val="106F48CD"/>
    <w:rsid w:val="10701672"/>
    <w:rsid w:val="10702130"/>
    <w:rsid w:val="10703DA3"/>
    <w:rsid w:val="10704BE1"/>
    <w:rsid w:val="10710382"/>
    <w:rsid w:val="107149AC"/>
    <w:rsid w:val="107200CE"/>
    <w:rsid w:val="10720D50"/>
    <w:rsid w:val="1072324E"/>
    <w:rsid w:val="107240FA"/>
    <w:rsid w:val="10725EA8"/>
    <w:rsid w:val="10735D59"/>
    <w:rsid w:val="10735E1F"/>
    <w:rsid w:val="10741C20"/>
    <w:rsid w:val="107423E5"/>
    <w:rsid w:val="1074532C"/>
    <w:rsid w:val="10767527"/>
    <w:rsid w:val="107734BE"/>
    <w:rsid w:val="10774631"/>
    <w:rsid w:val="10777F0B"/>
    <w:rsid w:val="10790550"/>
    <w:rsid w:val="1079118D"/>
    <w:rsid w:val="10791C91"/>
    <w:rsid w:val="10792AF0"/>
    <w:rsid w:val="10795489"/>
    <w:rsid w:val="10797237"/>
    <w:rsid w:val="1079731F"/>
    <w:rsid w:val="107A6B0B"/>
    <w:rsid w:val="107B2FAF"/>
    <w:rsid w:val="107B4C3F"/>
    <w:rsid w:val="107C2883"/>
    <w:rsid w:val="107C6D27"/>
    <w:rsid w:val="107D336E"/>
    <w:rsid w:val="107D3B5D"/>
    <w:rsid w:val="107D4891"/>
    <w:rsid w:val="107D6CCB"/>
    <w:rsid w:val="107D78CB"/>
    <w:rsid w:val="107E469F"/>
    <w:rsid w:val="107E484D"/>
    <w:rsid w:val="107E65FB"/>
    <w:rsid w:val="107F5400"/>
    <w:rsid w:val="108005C5"/>
    <w:rsid w:val="10806817"/>
    <w:rsid w:val="108118B3"/>
    <w:rsid w:val="10814FB4"/>
    <w:rsid w:val="108160EB"/>
    <w:rsid w:val="10817E99"/>
    <w:rsid w:val="10823EE3"/>
    <w:rsid w:val="10825D91"/>
    <w:rsid w:val="108300B5"/>
    <w:rsid w:val="108341D3"/>
    <w:rsid w:val="10841404"/>
    <w:rsid w:val="1085184A"/>
    <w:rsid w:val="10852E05"/>
    <w:rsid w:val="10853648"/>
    <w:rsid w:val="10854D04"/>
    <w:rsid w:val="10863702"/>
    <w:rsid w:val="108658D8"/>
    <w:rsid w:val="1087489D"/>
    <w:rsid w:val="108831E9"/>
    <w:rsid w:val="1088747A"/>
    <w:rsid w:val="10887C8C"/>
    <w:rsid w:val="1089162C"/>
    <w:rsid w:val="1089687E"/>
    <w:rsid w:val="108A214C"/>
    <w:rsid w:val="108A31F2"/>
    <w:rsid w:val="108A4FA0"/>
    <w:rsid w:val="108A5D20"/>
    <w:rsid w:val="108B0D18"/>
    <w:rsid w:val="108B7EA7"/>
    <w:rsid w:val="108C6940"/>
    <w:rsid w:val="108C6F6A"/>
    <w:rsid w:val="108D2CE2"/>
    <w:rsid w:val="108D683E"/>
    <w:rsid w:val="108E036B"/>
    <w:rsid w:val="108E5098"/>
    <w:rsid w:val="108F0808"/>
    <w:rsid w:val="108F3B6B"/>
    <w:rsid w:val="108F4D0F"/>
    <w:rsid w:val="108F6A88"/>
    <w:rsid w:val="10901B56"/>
    <w:rsid w:val="1090632E"/>
    <w:rsid w:val="109074FA"/>
    <w:rsid w:val="10907F18"/>
    <w:rsid w:val="109113A8"/>
    <w:rsid w:val="109127D2"/>
    <w:rsid w:val="10914580"/>
    <w:rsid w:val="109202F8"/>
    <w:rsid w:val="1092390C"/>
    <w:rsid w:val="10932E8F"/>
    <w:rsid w:val="1093736D"/>
    <w:rsid w:val="10941366"/>
    <w:rsid w:val="109418C6"/>
    <w:rsid w:val="10945E1E"/>
    <w:rsid w:val="1096334C"/>
    <w:rsid w:val="109635B0"/>
    <w:rsid w:val="10965729"/>
    <w:rsid w:val="10967DE9"/>
    <w:rsid w:val="1097224E"/>
    <w:rsid w:val="10973B61"/>
    <w:rsid w:val="10991687"/>
    <w:rsid w:val="10993435"/>
    <w:rsid w:val="109951E3"/>
    <w:rsid w:val="109A13E3"/>
    <w:rsid w:val="109A4C31"/>
    <w:rsid w:val="109B245A"/>
    <w:rsid w:val="109B53FF"/>
    <w:rsid w:val="109B71AD"/>
    <w:rsid w:val="109C2D65"/>
    <w:rsid w:val="109C31B1"/>
    <w:rsid w:val="109C5BC1"/>
    <w:rsid w:val="109C6380"/>
    <w:rsid w:val="109D50E2"/>
    <w:rsid w:val="109E4CE5"/>
    <w:rsid w:val="109E4EEF"/>
    <w:rsid w:val="109E55F6"/>
    <w:rsid w:val="109E581C"/>
    <w:rsid w:val="109E5D62"/>
    <w:rsid w:val="109F39AC"/>
    <w:rsid w:val="109F7AF5"/>
    <w:rsid w:val="10A06571"/>
    <w:rsid w:val="10A07A93"/>
    <w:rsid w:val="10A12F74"/>
    <w:rsid w:val="10A13A9A"/>
    <w:rsid w:val="10A27929"/>
    <w:rsid w:val="10A30D3B"/>
    <w:rsid w:val="10A342B4"/>
    <w:rsid w:val="10A357D8"/>
    <w:rsid w:val="10A36F71"/>
    <w:rsid w:val="10A42DEA"/>
    <w:rsid w:val="10A43754"/>
    <w:rsid w:val="10A455BA"/>
    <w:rsid w:val="10A4638E"/>
    <w:rsid w:val="10A5049E"/>
    <w:rsid w:val="10A50CAE"/>
    <w:rsid w:val="10A51DDA"/>
    <w:rsid w:val="10A65B52"/>
    <w:rsid w:val="10A65CB3"/>
    <w:rsid w:val="10A6686F"/>
    <w:rsid w:val="10A67900"/>
    <w:rsid w:val="10A8253F"/>
    <w:rsid w:val="10A85396"/>
    <w:rsid w:val="10A86610"/>
    <w:rsid w:val="10A867D5"/>
    <w:rsid w:val="10A87B1C"/>
    <w:rsid w:val="10A92BFD"/>
    <w:rsid w:val="10AA0ABF"/>
    <w:rsid w:val="10AA5642"/>
    <w:rsid w:val="10AB6381"/>
    <w:rsid w:val="10AC760C"/>
    <w:rsid w:val="10AD622C"/>
    <w:rsid w:val="10AD6EE0"/>
    <w:rsid w:val="10AD7440"/>
    <w:rsid w:val="10AE37FB"/>
    <w:rsid w:val="10AF0EAA"/>
    <w:rsid w:val="10AF1D60"/>
    <w:rsid w:val="10AF2C58"/>
    <w:rsid w:val="10AF34A1"/>
    <w:rsid w:val="10AF49DF"/>
    <w:rsid w:val="10B01798"/>
    <w:rsid w:val="10B04A44"/>
    <w:rsid w:val="10B1077E"/>
    <w:rsid w:val="10B12394"/>
    <w:rsid w:val="10B13BFF"/>
    <w:rsid w:val="10B14C22"/>
    <w:rsid w:val="10B169D0"/>
    <w:rsid w:val="10B17F0C"/>
    <w:rsid w:val="10B223C8"/>
    <w:rsid w:val="10B22749"/>
    <w:rsid w:val="10B244F7"/>
    <w:rsid w:val="10B2650A"/>
    <w:rsid w:val="10B332B2"/>
    <w:rsid w:val="10B36439"/>
    <w:rsid w:val="10B372F7"/>
    <w:rsid w:val="10B5402A"/>
    <w:rsid w:val="10B55BD2"/>
    <w:rsid w:val="10B62239"/>
    <w:rsid w:val="10B63710"/>
    <w:rsid w:val="10B63FE7"/>
    <w:rsid w:val="10B64D47"/>
    <w:rsid w:val="10B65B14"/>
    <w:rsid w:val="10B65D95"/>
    <w:rsid w:val="10B87A51"/>
    <w:rsid w:val="10B91988"/>
    <w:rsid w:val="10B9448D"/>
    <w:rsid w:val="10B950F1"/>
    <w:rsid w:val="10B97633"/>
    <w:rsid w:val="10BA1CA7"/>
    <w:rsid w:val="10BA61AE"/>
    <w:rsid w:val="10BB03EE"/>
    <w:rsid w:val="10BB1AAD"/>
    <w:rsid w:val="10BB33AB"/>
    <w:rsid w:val="10BB784F"/>
    <w:rsid w:val="10BC5375"/>
    <w:rsid w:val="10BC5CFC"/>
    <w:rsid w:val="10BC637C"/>
    <w:rsid w:val="10BC69A7"/>
    <w:rsid w:val="10BD25FD"/>
    <w:rsid w:val="10BD35C7"/>
    <w:rsid w:val="10BD3846"/>
    <w:rsid w:val="10BD6D9F"/>
    <w:rsid w:val="10BE10ED"/>
    <w:rsid w:val="10BE56D6"/>
    <w:rsid w:val="10BE733F"/>
    <w:rsid w:val="10BE7D92"/>
    <w:rsid w:val="10C02942"/>
    <w:rsid w:val="10C04E65"/>
    <w:rsid w:val="10C0565B"/>
    <w:rsid w:val="10C06C14"/>
    <w:rsid w:val="10C1089F"/>
    <w:rsid w:val="10C13711"/>
    <w:rsid w:val="10C20BDE"/>
    <w:rsid w:val="10C24E9A"/>
    <w:rsid w:val="10C31312"/>
    <w:rsid w:val="10C36704"/>
    <w:rsid w:val="10C41D51"/>
    <w:rsid w:val="10C50133"/>
    <w:rsid w:val="10C5422A"/>
    <w:rsid w:val="10C54E6C"/>
    <w:rsid w:val="10C556C7"/>
    <w:rsid w:val="10C72751"/>
    <w:rsid w:val="10C7331B"/>
    <w:rsid w:val="10C766C3"/>
    <w:rsid w:val="10C81F6C"/>
    <w:rsid w:val="10C84048"/>
    <w:rsid w:val="10C85AC8"/>
    <w:rsid w:val="10C927A4"/>
    <w:rsid w:val="10C93BE8"/>
    <w:rsid w:val="10C9708B"/>
    <w:rsid w:val="10CA5CE4"/>
    <w:rsid w:val="10CB7A27"/>
    <w:rsid w:val="10CC1DDD"/>
    <w:rsid w:val="10CC380A"/>
    <w:rsid w:val="10CC4527"/>
    <w:rsid w:val="10CC55B8"/>
    <w:rsid w:val="10CC5A9A"/>
    <w:rsid w:val="10CC79BF"/>
    <w:rsid w:val="10CD30DE"/>
    <w:rsid w:val="10CD638F"/>
    <w:rsid w:val="10CE15AA"/>
    <w:rsid w:val="10CE2AEF"/>
    <w:rsid w:val="10CE310C"/>
    <w:rsid w:val="10CE46FA"/>
    <w:rsid w:val="10CF226F"/>
    <w:rsid w:val="10CF32FA"/>
    <w:rsid w:val="10CF50A9"/>
    <w:rsid w:val="10CF7863"/>
    <w:rsid w:val="10D00A9D"/>
    <w:rsid w:val="10D03B48"/>
    <w:rsid w:val="10D048AD"/>
    <w:rsid w:val="10D0497D"/>
    <w:rsid w:val="10D10E21"/>
    <w:rsid w:val="10D32DF6"/>
    <w:rsid w:val="10D37ED3"/>
    <w:rsid w:val="10D426BF"/>
    <w:rsid w:val="10D551BC"/>
    <w:rsid w:val="10D601E5"/>
    <w:rsid w:val="10D6033B"/>
    <w:rsid w:val="10D64689"/>
    <w:rsid w:val="10D66437"/>
    <w:rsid w:val="10D66B74"/>
    <w:rsid w:val="10D6705B"/>
    <w:rsid w:val="10D73F5D"/>
    <w:rsid w:val="10D76F17"/>
    <w:rsid w:val="10D777C0"/>
    <w:rsid w:val="10D80401"/>
    <w:rsid w:val="10D821AF"/>
    <w:rsid w:val="10D94FCD"/>
    <w:rsid w:val="10D95F27"/>
    <w:rsid w:val="10D97CD5"/>
    <w:rsid w:val="10DA459D"/>
    <w:rsid w:val="10DB040A"/>
    <w:rsid w:val="10DB3A4D"/>
    <w:rsid w:val="10DB66E8"/>
    <w:rsid w:val="10DB7339"/>
    <w:rsid w:val="10DC1574"/>
    <w:rsid w:val="10DC3616"/>
    <w:rsid w:val="10DD77C5"/>
    <w:rsid w:val="10DE1E44"/>
    <w:rsid w:val="10DE353E"/>
    <w:rsid w:val="10DE52EC"/>
    <w:rsid w:val="10DF5416"/>
    <w:rsid w:val="10DF593B"/>
    <w:rsid w:val="10DF6F3C"/>
    <w:rsid w:val="10E01064"/>
    <w:rsid w:val="10E02E12"/>
    <w:rsid w:val="10E072B6"/>
    <w:rsid w:val="10E12961"/>
    <w:rsid w:val="10E15F07"/>
    <w:rsid w:val="10E16B8A"/>
    <w:rsid w:val="10E2302E"/>
    <w:rsid w:val="10E24DDC"/>
    <w:rsid w:val="10E30C50"/>
    <w:rsid w:val="10E32902"/>
    <w:rsid w:val="10E35A82"/>
    <w:rsid w:val="10E365F9"/>
    <w:rsid w:val="10E36DA6"/>
    <w:rsid w:val="10E415A3"/>
    <w:rsid w:val="10E43038"/>
    <w:rsid w:val="10E50428"/>
    <w:rsid w:val="10E51BB1"/>
    <w:rsid w:val="10E51F9C"/>
    <w:rsid w:val="10E56319"/>
    <w:rsid w:val="10E5667A"/>
    <w:rsid w:val="10E57CE4"/>
    <w:rsid w:val="10E64B74"/>
    <w:rsid w:val="10E66141"/>
    <w:rsid w:val="10E723F2"/>
    <w:rsid w:val="10E8616A"/>
    <w:rsid w:val="10EA0134"/>
    <w:rsid w:val="10EA1A95"/>
    <w:rsid w:val="10EA1EE2"/>
    <w:rsid w:val="10EA5F52"/>
    <w:rsid w:val="10EB27AF"/>
    <w:rsid w:val="10EB2873"/>
    <w:rsid w:val="10EB6C2E"/>
    <w:rsid w:val="10EB73E2"/>
    <w:rsid w:val="10EC0872"/>
    <w:rsid w:val="10EC3443"/>
    <w:rsid w:val="10EC4AAE"/>
    <w:rsid w:val="10EC53A5"/>
    <w:rsid w:val="10EC7D9E"/>
    <w:rsid w:val="10ED01DA"/>
    <w:rsid w:val="10ED0B53"/>
    <w:rsid w:val="10ED3781"/>
    <w:rsid w:val="10EE19D3"/>
    <w:rsid w:val="10EE37D0"/>
    <w:rsid w:val="10EE5D63"/>
    <w:rsid w:val="10EF0934"/>
    <w:rsid w:val="10EF12A7"/>
    <w:rsid w:val="10EF574B"/>
    <w:rsid w:val="10F01DC4"/>
    <w:rsid w:val="10F04807"/>
    <w:rsid w:val="10F05150"/>
    <w:rsid w:val="10F07EAA"/>
    <w:rsid w:val="10F10820"/>
    <w:rsid w:val="10F13271"/>
    <w:rsid w:val="10F1501F"/>
    <w:rsid w:val="10F21A36"/>
    <w:rsid w:val="10F22B45"/>
    <w:rsid w:val="10F24DC5"/>
    <w:rsid w:val="10F25EEC"/>
    <w:rsid w:val="10F300E6"/>
    <w:rsid w:val="10F35F02"/>
    <w:rsid w:val="10F41EDB"/>
    <w:rsid w:val="10F42D61"/>
    <w:rsid w:val="10F44B0F"/>
    <w:rsid w:val="10F468BD"/>
    <w:rsid w:val="10F4785F"/>
    <w:rsid w:val="10F55C36"/>
    <w:rsid w:val="10F569D8"/>
    <w:rsid w:val="10F62635"/>
    <w:rsid w:val="10F637A5"/>
    <w:rsid w:val="10F658AC"/>
    <w:rsid w:val="10F7109A"/>
    <w:rsid w:val="10F77511"/>
    <w:rsid w:val="10F83188"/>
    <w:rsid w:val="10F90377"/>
    <w:rsid w:val="10F92B8D"/>
    <w:rsid w:val="10FA3D23"/>
    <w:rsid w:val="10FA4B92"/>
    <w:rsid w:val="10FA5A47"/>
    <w:rsid w:val="10FA64D8"/>
    <w:rsid w:val="10FB3FBE"/>
    <w:rsid w:val="10FB5727"/>
    <w:rsid w:val="10FB6ED7"/>
    <w:rsid w:val="10FC5772"/>
    <w:rsid w:val="10FD1FB4"/>
    <w:rsid w:val="10FD39C4"/>
    <w:rsid w:val="10FD63A3"/>
    <w:rsid w:val="10FE14EA"/>
    <w:rsid w:val="10FE1A2B"/>
    <w:rsid w:val="10FE55E4"/>
    <w:rsid w:val="10FF1B93"/>
    <w:rsid w:val="11001706"/>
    <w:rsid w:val="11005262"/>
    <w:rsid w:val="11012F4B"/>
    <w:rsid w:val="11014730"/>
    <w:rsid w:val="1102547E"/>
    <w:rsid w:val="11026C2E"/>
    <w:rsid w:val="11027D30"/>
    <w:rsid w:val="11032FA4"/>
    <w:rsid w:val="1103662E"/>
    <w:rsid w:val="1103791B"/>
    <w:rsid w:val="11037D1A"/>
    <w:rsid w:val="110411F6"/>
    <w:rsid w:val="11046C30"/>
    <w:rsid w:val="11047A69"/>
    <w:rsid w:val="11071E76"/>
    <w:rsid w:val="11072A94"/>
    <w:rsid w:val="11074842"/>
    <w:rsid w:val="11074890"/>
    <w:rsid w:val="1107547A"/>
    <w:rsid w:val="110804ED"/>
    <w:rsid w:val="110805BA"/>
    <w:rsid w:val="110819B2"/>
    <w:rsid w:val="1108690A"/>
    <w:rsid w:val="11087B59"/>
    <w:rsid w:val="110A2003"/>
    <w:rsid w:val="110A4333"/>
    <w:rsid w:val="110A45A1"/>
    <w:rsid w:val="110A5208"/>
    <w:rsid w:val="110A60E1"/>
    <w:rsid w:val="110B36E6"/>
    <w:rsid w:val="110B4B5D"/>
    <w:rsid w:val="110C3C07"/>
    <w:rsid w:val="110D140B"/>
    <w:rsid w:val="110D797F"/>
    <w:rsid w:val="110E0901"/>
    <w:rsid w:val="110E3E23"/>
    <w:rsid w:val="110F3B44"/>
    <w:rsid w:val="110F3D63"/>
    <w:rsid w:val="110F7B9B"/>
    <w:rsid w:val="11102EB9"/>
    <w:rsid w:val="111037C2"/>
    <w:rsid w:val="111156C1"/>
    <w:rsid w:val="1111746F"/>
    <w:rsid w:val="111206C4"/>
    <w:rsid w:val="111207FF"/>
    <w:rsid w:val="1112121F"/>
    <w:rsid w:val="11124F95"/>
    <w:rsid w:val="11131439"/>
    <w:rsid w:val="11136F1B"/>
    <w:rsid w:val="11144272"/>
    <w:rsid w:val="11144B56"/>
    <w:rsid w:val="111470F0"/>
    <w:rsid w:val="1115173F"/>
    <w:rsid w:val="11157F9F"/>
    <w:rsid w:val="11160F29"/>
    <w:rsid w:val="11161147"/>
    <w:rsid w:val="11162CD7"/>
    <w:rsid w:val="11166833"/>
    <w:rsid w:val="11177B40"/>
    <w:rsid w:val="111863FF"/>
    <w:rsid w:val="11186A50"/>
    <w:rsid w:val="11192A6F"/>
    <w:rsid w:val="11193BF1"/>
    <w:rsid w:val="11196324"/>
    <w:rsid w:val="1119735C"/>
    <w:rsid w:val="111A0052"/>
    <w:rsid w:val="111A14A8"/>
    <w:rsid w:val="111A2E4F"/>
    <w:rsid w:val="111A38EF"/>
    <w:rsid w:val="111A451D"/>
    <w:rsid w:val="111B02EE"/>
    <w:rsid w:val="111B030C"/>
    <w:rsid w:val="111B209C"/>
    <w:rsid w:val="111B4D7F"/>
    <w:rsid w:val="111B6540"/>
    <w:rsid w:val="111B6FF8"/>
    <w:rsid w:val="111C0DE0"/>
    <w:rsid w:val="111C2F7A"/>
    <w:rsid w:val="111C3853"/>
    <w:rsid w:val="111D0662"/>
    <w:rsid w:val="111D0CC6"/>
    <w:rsid w:val="111D155B"/>
    <w:rsid w:val="111D394B"/>
    <w:rsid w:val="111D4066"/>
    <w:rsid w:val="111D7BC2"/>
    <w:rsid w:val="111E1B8C"/>
    <w:rsid w:val="111E393A"/>
    <w:rsid w:val="111E4BF9"/>
    <w:rsid w:val="111E6FF9"/>
    <w:rsid w:val="111F4218"/>
    <w:rsid w:val="111F4B90"/>
    <w:rsid w:val="11203487"/>
    <w:rsid w:val="11205904"/>
    <w:rsid w:val="11206B71"/>
    <w:rsid w:val="112151D7"/>
    <w:rsid w:val="11223F8A"/>
    <w:rsid w:val="112241D9"/>
    <w:rsid w:val="11225E68"/>
    <w:rsid w:val="11230F50"/>
    <w:rsid w:val="11233511"/>
    <w:rsid w:val="11241C58"/>
    <w:rsid w:val="11242E03"/>
    <w:rsid w:val="112509F4"/>
    <w:rsid w:val="11254CC9"/>
    <w:rsid w:val="11261E92"/>
    <w:rsid w:val="11265439"/>
    <w:rsid w:val="11267850"/>
    <w:rsid w:val="11274A63"/>
    <w:rsid w:val="11274C21"/>
    <w:rsid w:val="1128513A"/>
    <w:rsid w:val="112877EF"/>
    <w:rsid w:val="11290C5D"/>
    <w:rsid w:val="1129374D"/>
    <w:rsid w:val="112A4DA5"/>
    <w:rsid w:val="112A6783"/>
    <w:rsid w:val="112C4EB8"/>
    <w:rsid w:val="112D0B2B"/>
    <w:rsid w:val="112D2477"/>
    <w:rsid w:val="112E0021"/>
    <w:rsid w:val="112E1DCF"/>
    <w:rsid w:val="112E355B"/>
    <w:rsid w:val="112E375D"/>
    <w:rsid w:val="112E585D"/>
    <w:rsid w:val="112E6273"/>
    <w:rsid w:val="112E6F88"/>
    <w:rsid w:val="112F0E3C"/>
    <w:rsid w:val="11301FEB"/>
    <w:rsid w:val="113109DB"/>
    <w:rsid w:val="11313335"/>
    <w:rsid w:val="11324747"/>
    <w:rsid w:val="11335637"/>
    <w:rsid w:val="11335BD7"/>
    <w:rsid w:val="1133639C"/>
    <w:rsid w:val="113413B0"/>
    <w:rsid w:val="113517AB"/>
    <w:rsid w:val="1136446A"/>
    <w:rsid w:val="11365128"/>
    <w:rsid w:val="1136691D"/>
    <w:rsid w:val="11366ED6"/>
    <w:rsid w:val="11372E17"/>
    <w:rsid w:val="1137439F"/>
    <w:rsid w:val="11375B67"/>
    <w:rsid w:val="11375F1E"/>
    <w:rsid w:val="11380C86"/>
    <w:rsid w:val="11382C4E"/>
    <w:rsid w:val="113874D2"/>
    <w:rsid w:val="11390ABA"/>
    <w:rsid w:val="113B1963"/>
    <w:rsid w:val="113B20A7"/>
    <w:rsid w:val="113B38EB"/>
    <w:rsid w:val="113B44EC"/>
    <w:rsid w:val="113C4031"/>
    <w:rsid w:val="113C7B4E"/>
    <w:rsid w:val="113D2012"/>
    <w:rsid w:val="113D2BAE"/>
    <w:rsid w:val="113D7983"/>
    <w:rsid w:val="113E2CEA"/>
    <w:rsid w:val="113E582B"/>
    <w:rsid w:val="113E5D8A"/>
    <w:rsid w:val="113F0C92"/>
    <w:rsid w:val="11401152"/>
    <w:rsid w:val="1140300E"/>
    <w:rsid w:val="1140565E"/>
    <w:rsid w:val="11405E94"/>
    <w:rsid w:val="11405FA6"/>
    <w:rsid w:val="11407D54"/>
    <w:rsid w:val="114101DB"/>
    <w:rsid w:val="11410FEA"/>
    <w:rsid w:val="114137E2"/>
    <w:rsid w:val="1141525C"/>
    <w:rsid w:val="11416C80"/>
    <w:rsid w:val="11423ACC"/>
    <w:rsid w:val="1142587A"/>
    <w:rsid w:val="11431B6E"/>
    <w:rsid w:val="114333A1"/>
    <w:rsid w:val="11447FEB"/>
    <w:rsid w:val="114535BD"/>
    <w:rsid w:val="1145529D"/>
    <w:rsid w:val="11457119"/>
    <w:rsid w:val="11464A7F"/>
    <w:rsid w:val="114710E3"/>
    <w:rsid w:val="11472E91"/>
    <w:rsid w:val="11474599"/>
    <w:rsid w:val="114754DD"/>
    <w:rsid w:val="11475A92"/>
    <w:rsid w:val="11477335"/>
    <w:rsid w:val="11477F94"/>
    <w:rsid w:val="114809B7"/>
    <w:rsid w:val="11490337"/>
    <w:rsid w:val="11494E5B"/>
    <w:rsid w:val="11496C09"/>
    <w:rsid w:val="114A3956"/>
    <w:rsid w:val="114B6865"/>
    <w:rsid w:val="114C04A7"/>
    <w:rsid w:val="114C242D"/>
    <w:rsid w:val="114C52EE"/>
    <w:rsid w:val="114C66F9"/>
    <w:rsid w:val="114C6755"/>
    <w:rsid w:val="114D0C2C"/>
    <w:rsid w:val="114D19F9"/>
    <w:rsid w:val="114D7A9B"/>
    <w:rsid w:val="114D7C0E"/>
    <w:rsid w:val="114E06C3"/>
    <w:rsid w:val="114E154D"/>
    <w:rsid w:val="114E2471"/>
    <w:rsid w:val="114E27DF"/>
    <w:rsid w:val="114E2A68"/>
    <w:rsid w:val="114F1D45"/>
    <w:rsid w:val="114F4E06"/>
    <w:rsid w:val="114F5934"/>
    <w:rsid w:val="114F61E9"/>
    <w:rsid w:val="114F7F97"/>
    <w:rsid w:val="11515ABE"/>
    <w:rsid w:val="115240D3"/>
    <w:rsid w:val="11531836"/>
    <w:rsid w:val="11540D63"/>
    <w:rsid w:val="11544F18"/>
    <w:rsid w:val="11551A52"/>
    <w:rsid w:val="115530A5"/>
    <w:rsid w:val="115563A0"/>
    <w:rsid w:val="11556783"/>
    <w:rsid w:val="11557AE1"/>
    <w:rsid w:val="11561326"/>
    <w:rsid w:val="11561623"/>
    <w:rsid w:val="115630D4"/>
    <w:rsid w:val="11563A18"/>
    <w:rsid w:val="11567578"/>
    <w:rsid w:val="115714DA"/>
    <w:rsid w:val="11575FD0"/>
    <w:rsid w:val="1157782B"/>
    <w:rsid w:val="11583891"/>
    <w:rsid w:val="115A0E16"/>
    <w:rsid w:val="115A7068"/>
    <w:rsid w:val="115A717E"/>
    <w:rsid w:val="115B008D"/>
    <w:rsid w:val="115B2DE0"/>
    <w:rsid w:val="115B3953"/>
    <w:rsid w:val="115B5D3D"/>
    <w:rsid w:val="115B5F20"/>
    <w:rsid w:val="115C36A2"/>
    <w:rsid w:val="115C6273"/>
    <w:rsid w:val="115D26B4"/>
    <w:rsid w:val="115D4462"/>
    <w:rsid w:val="115D5D52"/>
    <w:rsid w:val="115F09D5"/>
    <w:rsid w:val="115F0C23"/>
    <w:rsid w:val="115F0F5B"/>
    <w:rsid w:val="115F467E"/>
    <w:rsid w:val="115F642C"/>
    <w:rsid w:val="11603F53"/>
    <w:rsid w:val="11605A72"/>
    <w:rsid w:val="11607055"/>
    <w:rsid w:val="116102C2"/>
    <w:rsid w:val="1161107D"/>
    <w:rsid w:val="11621A79"/>
    <w:rsid w:val="116222E8"/>
    <w:rsid w:val="116236E7"/>
    <w:rsid w:val="11625F1D"/>
    <w:rsid w:val="11626185"/>
    <w:rsid w:val="11626289"/>
    <w:rsid w:val="116266B4"/>
    <w:rsid w:val="11627CCB"/>
    <w:rsid w:val="116419C7"/>
    <w:rsid w:val="11641C95"/>
    <w:rsid w:val="11643698"/>
    <w:rsid w:val="116463AA"/>
    <w:rsid w:val="116577BB"/>
    <w:rsid w:val="11663318"/>
    <w:rsid w:val="11665A0D"/>
    <w:rsid w:val="11665CA1"/>
    <w:rsid w:val="116708FA"/>
    <w:rsid w:val="11671785"/>
    <w:rsid w:val="11673533"/>
    <w:rsid w:val="116752E1"/>
    <w:rsid w:val="11680912"/>
    <w:rsid w:val="11692AA3"/>
    <w:rsid w:val="11692E07"/>
    <w:rsid w:val="116978BA"/>
    <w:rsid w:val="116A1DC2"/>
    <w:rsid w:val="116A2657"/>
    <w:rsid w:val="116B3023"/>
    <w:rsid w:val="116C0B49"/>
    <w:rsid w:val="116C28F7"/>
    <w:rsid w:val="116C6D9B"/>
    <w:rsid w:val="116D6449"/>
    <w:rsid w:val="116D76DE"/>
    <w:rsid w:val="116D7C4E"/>
    <w:rsid w:val="116E041E"/>
    <w:rsid w:val="116E2B13"/>
    <w:rsid w:val="116F23E8"/>
    <w:rsid w:val="1170063A"/>
    <w:rsid w:val="11702DF7"/>
    <w:rsid w:val="11714855"/>
    <w:rsid w:val="11715AB9"/>
    <w:rsid w:val="11715B79"/>
    <w:rsid w:val="11716160"/>
    <w:rsid w:val="11716B99"/>
    <w:rsid w:val="11730328"/>
    <w:rsid w:val="11731929"/>
    <w:rsid w:val="11731ED8"/>
    <w:rsid w:val="1173286D"/>
    <w:rsid w:val="11734C31"/>
    <w:rsid w:val="117417AC"/>
    <w:rsid w:val="11741ACD"/>
    <w:rsid w:val="11744246"/>
    <w:rsid w:val="117470BF"/>
    <w:rsid w:val="11756408"/>
    <w:rsid w:val="11760BA1"/>
    <w:rsid w:val="117619C8"/>
    <w:rsid w:val="11763776"/>
    <w:rsid w:val="11764C83"/>
    <w:rsid w:val="11766F5F"/>
    <w:rsid w:val="11767C36"/>
    <w:rsid w:val="117765EA"/>
    <w:rsid w:val="1178129C"/>
    <w:rsid w:val="11785740"/>
    <w:rsid w:val="117874EE"/>
    <w:rsid w:val="11793EC0"/>
    <w:rsid w:val="1179579B"/>
    <w:rsid w:val="1179716D"/>
    <w:rsid w:val="117A3337"/>
    <w:rsid w:val="117A5014"/>
    <w:rsid w:val="117B17FC"/>
    <w:rsid w:val="117B2B3A"/>
    <w:rsid w:val="117B6FDE"/>
    <w:rsid w:val="117C4947"/>
    <w:rsid w:val="117C6429"/>
    <w:rsid w:val="117D4DF7"/>
    <w:rsid w:val="117D5C54"/>
    <w:rsid w:val="117D68B3"/>
    <w:rsid w:val="117E017D"/>
    <w:rsid w:val="117F087D"/>
    <w:rsid w:val="117F1149"/>
    <w:rsid w:val="117F262B"/>
    <w:rsid w:val="11800151"/>
    <w:rsid w:val="118006EF"/>
    <w:rsid w:val="11801CFC"/>
    <w:rsid w:val="11803074"/>
    <w:rsid w:val="118045F5"/>
    <w:rsid w:val="118063A3"/>
    <w:rsid w:val="11821551"/>
    <w:rsid w:val="1182211B"/>
    <w:rsid w:val="11823E86"/>
    <w:rsid w:val="11823EC9"/>
    <w:rsid w:val="118303FD"/>
    <w:rsid w:val="11832AAA"/>
    <w:rsid w:val="11834082"/>
    <w:rsid w:val="11837EB8"/>
    <w:rsid w:val="118412D9"/>
    <w:rsid w:val="11850227"/>
    <w:rsid w:val="11853059"/>
    <w:rsid w:val="118539B9"/>
    <w:rsid w:val="11854932"/>
    <w:rsid w:val="1186189D"/>
    <w:rsid w:val="11861913"/>
    <w:rsid w:val="11867E5D"/>
    <w:rsid w:val="118714DF"/>
    <w:rsid w:val="118857F7"/>
    <w:rsid w:val="118926BF"/>
    <w:rsid w:val="118934A9"/>
    <w:rsid w:val="1189484A"/>
    <w:rsid w:val="118A300B"/>
    <w:rsid w:val="118A4221"/>
    <w:rsid w:val="118A4F32"/>
    <w:rsid w:val="118A50BC"/>
    <w:rsid w:val="118B46B1"/>
    <w:rsid w:val="118B5473"/>
    <w:rsid w:val="118B68A1"/>
    <w:rsid w:val="118C07E6"/>
    <w:rsid w:val="118C37F2"/>
    <w:rsid w:val="118D3C11"/>
    <w:rsid w:val="118E2DF7"/>
    <w:rsid w:val="118E44DC"/>
    <w:rsid w:val="118F009A"/>
    <w:rsid w:val="118F4601"/>
    <w:rsid w:val="118F65E6"/>
    <w:rsid w:val="118F79C1"/>
    <w:rsid w:val="11904645"/>
    <w:rsid w:val="11904838"/>
    <w:rsid w:val="119051EF"/>
    <w:rsid w:val="119079DF"/>
    <w:rsid w:val="119105B0"/>
    <w:rsid w:val="11911E2E"/>
    <w:rsid w:val="1191235E"/>
    <w:rsid w:val="11914EBF"/>
    <w:rsid w:val="11930F13"/>
    <w:rsid w:val="1194242F"/>
    <w:rsid w:val="11943BFC"/>
    <w:rsid w:val="119448B7"/>
    <w:rsid w:val="1194643A"/>
    <w:rsid w:val="119500A0"/>
    <w:rsid w:val="11954F74"/>
    <w:rsid w:val="11963E18"/>
    <w:rsid w:val="11965A12"/>
    <w:rsid w:val="11967974"/>
    <w:rsid w:val="11975A45"/>
    <w:rsid w:val="1197737B"/>
    <w:rsid w:val="119836EC"/>
    <w:rsid w:val="11984DFB"/>
    <w:rsid w:val="11985217"/>
    <w:rsid w:val="11987B90"/>
    <w:rsid w:val="119921B4"/>
    <w:rsid w:val="11994B5D"/>
    <w:rsid w:val="11995894"/>
    <w:rsid w:val="119A08AD"/>
    <w:rsid w:val="119A32C2"/>
    <w:rsid w:val="119A3908"/>
    <w:rsid w:val="119A56B6"/>
    <w:rsid w:val="119A6215"/>
    <w:rsid w:val="119A6CA8"/>
    <w:rsid w:val="119A7465"/>
    <w:rsid w:val="119B0BCD"/>
    <w:rsid w:val="119B31DD"/>
    <w:rsid w:val="119B56ED"/>
    <w:rsid w:val="119B5C5E"/>
    <w:rsid w:val="119B6F59"/>
    <w:rsid w:val="119C0B35"/>
    <w:rsid w:val="119C142F"/>
    <w:rsid w:val="119C7A48"/>
    <w:rsid w:val="119D1FC5"/>
    <w:rsid w:val="119D51A7"/>
    <w:rsid w:val="119D5508"/>
    <w:rsid w:val="119E14A3"/>
    <w:rsid w:val="119E39C9"/>
    <w:rsid w:val="119E6026"/>
    <w:rsid w:val="119F0BF7"/>
    <w:rsid w:val="119F2CCD"/>
    <w:rsid w:val="119F679F"/>
    <w:rsid w:val="11A007F3"/>
    <w:rsid w:val="11A00946"/>
    <w:rsid w:val="11A05BFE"/>
    <w:rsid w:val="11A069C3"/>
    <w:rsid w:val="11A14D6B"/>
    <w:rsid w:val="11A226ED"/>
    <w:rsid w:val="11A24C08"/>
    <w:rsid w:val="11A25693"/>
    <w:rsid w:val="11A26319"/>
    <w:rsid w:val="11A27578"/>
    <w:rsid w:val="11A34242"/>
    <w:rsid w:val="11A3762A"/>
    <w:rsid w:val="11A402E3"/>
    <w:rsid w:val="11A42091"/>
    <w:rsid w:val="11A478D6"/>
    <w:rsid w:val="11A53A2B"/>
    <w:rsid w:val="11A57DC8"/>
    <w:rsid w:val="11A62866"/>
    <w:rsid w:val="11A7392F"/>
    <w:rsid w:val="11A77604"/>
    <w:rsid w:val="11A7793A"/>
    <w:rsid w:val="11A81C51"/>
    <w:rsid w:val="11A81CA9"/>
    <w:rsid w:val="11A84822"/>
    <w:rsid w:val="11A9487A"/>
    <w:rsid w:val="11A958FA"/>
    <w:rsid w:val="11A976A8"/>
    <w:rsid w:val="11AA3781"/>
    <w:rsid w:val="11AA45C9"/>
    <w:rsid w:val="11AA6F59"/>
    <w:rsid w:val="11AB1672"/>
    <w:rsid w:val="11AB4159"/>
    <w:rsid w:val="11AB605E"/>
    <w:rsid w:val="11AB78C4"/>
    <w:rsid w:val="11AC0F46"/>
    <w:rsid w:val="11AC7198"/>
    <w:rsid w:val="11AD1ABA"/>
    <w:rsid w:val="11AD248B"/>
    <w:rsid w:val="11AD363C"/>
    <w:rsid w:val="11AE077D"/>
    <w:rsid w:val="11AE2F10"/>
    <w:rsid w:val="11AE5AEF"/>
    <w:rsid w:val="11AF1928"/>
    <w:rsid w:val="11AF532A"/>
    <w:rsid w:val="11B02249"/>
    <w:rsid w:val="11B0491D"/>
    <w:rsid w:val="11B04EDA"/>
    <w:rsid w:val="11B06FD4"/>
    <w:rsid w:val="11B07930"/>
    <w:rsid w:val="11B12A00"/>
    <w:rsid w:val="11B147AE"/>
    <w:rsid w:val="11B1512C"/>
    <w:rsid w:val="11B15E04"/>
    <w:rsid w:val="11B2001F"/>
    <w:rsid w:val="11B20C52"/>
    <w:rsid w:val="11B2449C"/>
    <w:rsid w:val="11B259F6"/>
    <w:rsid w:val="11B270E2"/>
    <w:rsid w:val="11B322D4"/>
    <w:rsid w:val="11B36778"/>
    <w:rsid w:val="11B36D33"/>
    <w:rsid w:val="11B41034"/>
    <w:rsid w:val="11B423B2"/>
    <w:rsid w:val="11B42DEF"/>
    <w:rsid w:val="11B440C1"/>
    <w:rsid w:val="11B524F0"/>
    <w:rsid w:val="11B55446"/>
    <w:rsid w:val="11B5604C"/>
    <w:rsid w:val="11B60016"/>
    <w:rsid w:val="11B610E1"/>
    <w:rsid w:val="11B61DC5"/>
    <w:rsid w:val="11B66CEB"/>
    <w:rsid w:val="11B6766C"/>
    <w:rsid w:val="11B76268"/>
    <w:rsid w:val="11B8725A"/>
    <w:rsid w:val="11BA192C"/>
    <w:rsid w:val="11BA193F"/>
    <w:rsid w:val="11BA3005"/>
    <w:rsid w:val="11BA3663"/>
    <w:rsid w:val="11BA405D"/>
    <w:rsid w:val="11BA4507"/>
    <w:rsid w:val="11BA57FF"/>
    <w:rsid w:val="11BA5F58"/>
    <w:rsid w:val="11BA6625"/>
    <w:rsid w:val="11BB73DB"/>
    <w:rsid w:val="11BC387F"/>
    <w:rsid w:val="11BD3153"/>
    <w:rsid w:val="11BD75F7"/>
    <w:rsid w:val="11BE0C91"/>
    <w:rsid w:val="11BE3645"/>
    <w:rsid w:val="11BE3AAD"/>
    <w:rsid w:val="11BE7969"/>
    <w:rsid w:val="11BF29F6"/>
    <w:rsid w:val="11BF336F"/>
    <w:rsid w:val="11BF511D"/>
    <w:rsid w:val="11C00173"/>
    <w:rsid w:val="11C00AE1"/>
    <w:rsid w:val="11C04461"/>
    <w:rsid w:val="11C100EB"/>
    <w:rsid w:val="11C20769"/>
    <w:rsid w:val="11C21CCC"/>
    <w:rsid w:val="11C251BE"/>
    <w:rsid w:val="11C273C8"/>
    <w:rsid w:val="11C31AC8"/>
    <w:rsid w:val="11C35F0C"/>
    <w:rsid w:val="11C444E1"/>
    <w:rsid w:val="11C447CC"/>
    <w:rsid w:val="11C4662E"/>
    <w:rsid w:val="11C52008"/>
    <w:rsid w:val="11C52912"/>
    <w:rsid w:val="11C54D5F"/>
    <w:rsid w:val="11C6025A"/>
    <w:rsid w:val="11C63DA2"/>
    <w:rsid w:val="11C646FD"/>
    <w:rsid w:val="11C711BA"/>
    <w:rsid w:val="11C75859"/>
    <w:rsid w:val="11C75D80"/>
    <w:rsid w:val="11C81EC6"/>
    <w:rsid w:val="11C83B3B"/>
    <w:rsid w:val="11C871DE"/>
    <w:rsid w:val="11C95F9C"/>
    <w:rsid w:val="11CA68E9"/>
    <w:rsid w:val="11CA7426"/>
    <w:rsid w:val="11CB1D14"/>
    <w:rsid w:val="11CB1EC9"/>
    <w:rsid w:val="11CB617B"/>
    <w:rsid w:val="11CB7B6F"/>
    <w:rsid w:val="11CC15E8"/>
    <w:rsid w:val="11CC783A"/>
    <w:rsid w:val="11CD4ABF"/>
    <w:rsid w:val="11CD5E73"/>
    <w:rsid w:val="11CD5FFC"/>
    <w:rsid w:val="11CE5105"/>
    <w:rsid w:val="11CE5360"/>
    <w:rsid w:val="11CE710E"/>
    <w:rsid w:val="11CF02A6"/>
    <w:rsid w:val="11D010D8"/>
    <w:rsid w:val="11D02E86"/>
    <w:rsid w:val="11D044F6"/>
    <w:rsid w:val="11D10EB5"/>
    <w:rsid w:val="11D13DD9"/>
    <w:rsid w:val="11D149BE"/>
    <w:rsid w:val="11D156C7"/>
    <w:rsid w:val="11D230A2"/>
    <w:rsid w:val="11D24E50"/>
    <w:rsid w:val="11D26439"/>
    <w:rsid w:val="11D301BE"/>
    <w:rsid w:val="11D30D0A"/>
    <w:rsid w:val="11D337D5"/>
    <w:rsid w:val="11D3453F"/>
    <w:rsid w:val="11D348AC"/>
    <w:rsid w:val="11D363A6"/>
    <w:rsid w:val="11D54704"/>
    <w:rsid w:val="11D54941"/>
    <w:rsid w:val="11D60A04"/>
    <w:rsid w:val="11D63EC7"/>
    <w:rsid w:val="11D65607"/>
    <w:rsid w:val="11D706B9"/>
    <w:rsid w:val="11D81D3B"/>
    <w:rsid w:val="11D84431"/>
    <w:rsid w:val="11D9669F"/>
    <w:rsid w:val="11DA0FC8"/>
    <w:rsid w:val="11DB5907"/>
    <w:rsid w:val="11DB71BA"/>
    <w:rsid w:val="11DC6219"/>
    <w:rsid w:val="11DD1B83"/>
    <w:rsid w:val="11DD7458"/>
    <w:rsid w:val="11DE019B"/>
    <w:rsid w:val="11DE1633"/>
    <w:rsid w:val="11DF131B"/>
    <w:rsid w:val="11DF176A"/>
    <w:rsid w:val="11DF1FF3"/>
    <w:rsid w:val="11DF3526"/>
    <w:rsid w:val="11DF5B8B"/>
    <w:rsid w:val="11DF756D"/>
    <w:rsid w:val="11E0693E"/>
    <w:rsid w:val="11E06E41"/>
    <w:rsid w:val="11E116D4"/>
    <w:rsid w:val="11E13FB1"/>
    <w:rsid w:val="11E17C99"/>
    <w:rsid w:val="11E21E3A"/>
    <w:rsid w:val="11E22BBA"/>
    <w:rsid w:val="11E239D1"/>
    <w:rsid w:val="11E3705D"/>
    <w:rsid w:val="11E46932"/>
    <w:rsid w:val="11E47EE9"/>
    <w:rsid w:val="11E51146"/>
    <w:rsid w:val="11E52FBC"/>
    <w:rsid w:val="11E57464"/>
    <w:rsid w:val="11E608FC"/>
    <w:rsid w:val="11E61C4B"/>
    <w:rsid w:val="11E65A2D"/>
    <w:rsid w:val="11E67008"/>
    <w:rsid w:val="11E701D0"/>
    <w:rsid w:val="11E72F2E"/>
    <w:rsid w:val="11E76422"/>
    <w:rsid w:val="11E84674"/>
    <w:rsid w:val="11E868FC"/>
    <w:rsid w:val="11E903EC"/>
    <w:rsid w:val="11E9219A"/>
    <w:rsid w:val="11E93E2D"/>
    <w:rsid w:val="11EB1910"/>
    <w:rsid w:val="11EB4164"/>
    <w:rsid w:val="11EC351D"/>
    <w:rsid w:val="11EC3A38"/>
    <w:rsid w:val="11ED1C8A"/>
    <w:rsid w:val="11ED5E83"/>
    <w:rsid w:val="11ED6A5F"/>
    <w:rsid w:val="11ED6D26"/>
    <w:rsid w:val="11EE2FAE"/>
    <w:rsid w:val="11EE3F11"/>
    <w:rsid w:val="11EE5A02"/>
    <w:rsid w:val="11EE77B0"/>
    <w:rsid w:val="11EF0A24"/>
    <w:rsid w:val="11EF6908"/>
    <w:rsid w:val="11F03528"/>
    <w:rsid w:val="11F052D6"/>
    <w:rsid w:val="11F1104F"/>
    <w:rsid w:val="11F1131D"/>
    <w:rsid w:val="11F254F3"/>
    <w:rsid w:val="11F2677F"/>
    <w:rsid w:val="11F26A4D"/>
    <w:rsid w:val="11F272A1"/>
    <w:rsid w:val="11F31084"/>
    <w:rsid w:val="11F34B6C"/>
    <w:rsid w:val="11F35990"/>
    <w:rsid w:val="11F40986"/>
    <w:rsid w:val="11F50B3F"/>
    <w:rsid w:val="11F528ED"/>
    <w:rsid w:val="11F56D91"/>
    <w:rsid w:val="11F62163"/>
    <w:rsid w:val="11F63621"/>
    <w:rsid w:val="11F74311"/>
    <w:rsid w:val="11F748B7"/>
    <w:rsid w:val="11F8062F"/>
    <w:rsid w:val="11F85DC9"/>
    <w:rsid w:val="11F86710"/>
    <w:rsid w:val="11F9111A"/>
    <w:rsid w:val="11FA5347"/>
    <w:rsid w:val="11FA5653"/>
    <w:rsid w:val="11FA7A2F"/>
    <w:rsid w:val="11FA7F03"/>
    <w:rsid w:val="11FB2FCF"/>
    <w:rsid w:val="11FB5ED5"/>
    <w:rsid w:val="11FC3C7B"/>
    <w:rsid w:val="11FC3D83"/>
    <w:rsid w:val="11FC3E71"/>
    <w:rsid w:val="11FC4660"/>
    <w:rsid w:val="11FD5C45"/>
    <w:rsid w:val="11FE3E97"/>
    <w:rsid w:val="11FF1362"/>
    <w:rsid w:val="11FF376C"/>
    <w:rsid w:val="11FF4DD1"/>
    <w:rsid w:val="11FF5090"/>
    <w:rsid w:val="11FF551A"/>
    <w:rsid w:val="12001DE2"/>
    <w:rsid w:val="12004523"/>
    <w:rsid w:val="120078B8"/>
    <w:rsid w:val="12011292"/>
    <w:rsid w:val="120174E4"/>
    <w:rsid w:val="12021424"/>
    <w:rsid w:val="12022EDB"/>
    <w:rsid w:val="1202325C"/>
    <w:rsid w:val="1202500A"/>
    <w:rsid w:val="120314AE"/>
    <w:rsid w:val="12031CE0"/>
    <w:rsid w:val="12042B30"/>
    <w:rsid w:val="12045226"/>
    <w:rsid w:val="12046FD4"/>
    <w:rsid w:val="12056664"/>
    <w:rsid w:val="12060ECB"/>
    <w:rsid w:val="12061235"/>
    <w:rsid w:val="12063AE9"/>
    <w:rsid w:val="12064AFA"/>
    <w:rsid w:val="12067C41"/>
    <w:rsid w:val="12070E9F"/>
    <w:rsid w:val="12072620"/>
    <w:rsid w:val="12080872"/>
    <w:rsid w:val="1208381B"/>
    <w:rsid w:val="12083B55"/>
    <w:rsid w:val="1208669F"/>
    <w:rsid w:val="120945EA"/>
    <w:rsid w:val="120950D8"/>
    <w:rsid w:val="120A1364"/>
    <w:rsid w:val="120C25A4"/>
    <w:rsid w:val="120D40DA"/>
    <w:rsid w:val="120D4DF6"/>
    <w:rsid w:val="120D5E88"/>
    <w:rsid w:val="120D5F36"/>
    <w:rsid w:val="120E39AF"/>
    <w:rsid w:val="120E5D7F"/>
    <w:rsid w:val="120E7E53"/>
    <w:rsid w:val="120F13AE"/>
    <w:rsid w:val="120F14ED"/>
    <w:rsid w:val="120F2470"/>
    <w:rsid w:val="120F5E91"/>
    <w:rsid w:val="1210057E"/>
    <w:rsid w:val="12102CFC"/>
    <w:rsid w:val="12105979"/>
    <w:rsid w:val="12107727"/>
    <w:rsid w:val="1210778C"/>
    <w:rsid w:val="1211524D"/>
    <w:rsid w:val="121216F1"/>
    <w:rsid w:val="12121CF5"/>
    <w:rsid w:val="12124046"/>
    <w:rsid w:val="121277D8"/>
    <w:rsid w:val="12134BB3"/>
    <w:rsid w:val="12135469"/>
    <w:rsid w:val="12137217"/>
    <w:rsid w:val="12143DBC"/>
    <w:rsid w:val="1214422A"/>
    <w:rsid w:val="12144C98"/>
    <w:rsid w:val="121511E1"/>
    <w:rsid w:val="12152F8F"/>
    <w:rsid w:val="121530C2"/>
    <w:rsid w:val="12156159"/>
    <w:rsid w:val="12165DB6"/>
    <w:rsid w:val="12166ABE"/>
    <w:rsid w:val="12170AB5"/>
    <w:rsid w:val="1218482D"/>
    <w:rsid w:val="1218513D"/>
    <w:rsid w:val="121875B7"/>
    <w:rsid w:val="12192426"/>
    <w:rsid w:val="12192A7F"/>
    <w:rsid w:val="1219376D"/>
    <w:rsid w:val="121947A2"/>
    <w:rsid w:val="121970EB"/>
    <w:rsid w:val="121A05A5"/>
    <w:rsid w:val="121A67F7"/>
    <w:rsid w:val="121A6B5D"/>
    <w:rsid w:val="121A6EC9"/>
    <w:rsid w:val="121B0746"/>
    <w:rsid w:val="121B0B5B"/>
    <w:rsid w:val="121C431D"/>
    <w:rsid w:val="121D4F17"/>
    <w:rsid w:val="121E1F41"/>
    <w:rsid w:val="121E4F15"/>
    <w:rsid w:val="121E62E8"/>
    <w:rsid w:val="121F1DDC"/>
    <w:rsid w:val="12202107"/>
    <w:rsid w:val="12203087"/>
    <w:rsid w:val="1220343A"/>
    <w:rsid w:val="12205FC9"/>
    <w:rsid w:val="12207C12"/>
    <w:rsid w:val="12211934"/>
    <w:rsid w:val="122146FC"/>
    <w:rsid w:val="12215E3D"/>
    <w:rsid w:val="12217B86"/>
    <w:rsid w:val="12230448"/>
    <w:rsid w:val="1223332E"/>
    <w:rsid w:val="122338FE"/>
    <w:rsid w:val="1223395C"/>
    <w:rsid w:val="12233DA4"/>
    <w:rsid w:val="122356AC"/>
    <w:rsid w:val="12241424"/>
    <w:rsid w:val="12244FC1"/>
    <w:rsid w:val="12255C4E"/>
    <w:rsid w:val="12260CF8"/>
    <w:rsid w:val="12265125"/>
    <w:rsid w:val="1226519C"/>
    <w:rsid w:val="12271CAF"/>
    <w:rsid w:val="12274A70"/>
    <w:rsid w:val="12280F14"/>
    <w:rsid w:val="12282CC2"/>
    <w:rsid w:val="12286540"/>
    <w:rsid w:val="122907E8"/>
    <w:rsid w:val="12290F3C"/>
    <w:rsid w:val="12293956"/>
    <w:rsid w:val="122A2E84"/>
    <w:rsid w:val="122A494A"/>
    <w:rsid w:val="122B1AC0"/>
    <w:rsid w:val="122B4561"/>
    <w:rsid w:val="122B630F"/>
    <w:rsid w:val="122C24B3"/>
    <w:rsid w:val="122C2F50"/>
    <w:rsid w:val="122D02D9"/>
    <w:rsid w:val="122D04F1"/>
    <w:rsid w:val="122D43E0"/>
    <w:rsid w:val="122D652B"/>
    <w:rsid w:val="122E20B3"/>
    <w:rsid w:val="122E3041"/>
    <w:rsid w:val="122E5870"/>
    <w:rsid w:val="122F22A3"/>
    <w:rsid w:val="1230127F"/>
    <w:rsid w:val="12303925"/>
    <w:rsid w:val="1231308E"/>
    <w:rsid w:val="12320320"/>
    <w:rsid w:val="12321F08"/>
    <w:rsid w:val="12326B54"/>
    <w:rsid w:val="1232769D"/>
    <w:rsid w:val="12331667"/>
    <w:rsid w:val="12332A59"/>
    <w:rsid w:val="12333415"/>
    <w:rsid w:val="12341AD6"/>
    <w:rsid w:val="1234281C"/>
    <w:rsid w:val="123478B9"/>
    <w:rsid w:val="123548C2"/>
    <w:rsid w:val="123553DF"/>
    <w:rsid w:val="1235643F"/>
    <w:rsid w:val="12360B6E"/>
    <w:rsid w:val="123627D1"/>
    <w:rsid w:val="12370063"/>
    <w:rsid w:val="1237079B"/>
    <w:rsid w:val="12371157"/>
    <w:rsid w:val="123715CF"/>
    <w:rsid w:val="12372F05"/>
    <w:rsid w:val="12373BDF"/>
    <w:rsid w:val="12380A2C"/>
    <w:rsid w:val="123954C0"/>
    <w:rsid w:val="12395946"/>
    <w:rsid w:val="123A3338"/>
    <w:rsid w:val="123A462D"/>
    <w:rsid w:val="123A67A6"/>
    <w:rsid w:val="123A765A"/>
    <w:rsid w:val="123B15B5"/>
    <w:rsid w:val="123B45F5"/>
    <w:rsid w:val="123B6231"/>
    <w:rsid w:val="123C051C"/>
    <w:rsid w:val="123C49C0"/>
    <w:rsid w:val="123C504F"/>
    <w:rsid w:val="123C626A"/>
    <w:rsid w:val="123C7757"/>
    <w:rsid w:val="123E3133"/>
    <w:rsid w:val="123E4294"/>
    <w:rsid w:val="123F1DBA"/>
    <w:rsid w:val="123F3922"/>
    <w:rsid w:val="123F4F73"/>
    <w:rsid w:val="123F625E"/>
    <w:rsid w:val="123F7110"/>
    <w:rsid w:val="1241001D"/>
    <w:rsid w:val="12411FD6"/>
    <w:rsid w:val="12413CE6"/>
    <w:rsid w:val="12413D84"/>
    <w:rsid w:val="12415B32"/>
    <w:rsid w:val="12415C00"/>
    <w:rsid w:val="12425176"/>
    <w:rsid w:val="124258C9"/>
    <w:rsid w:val="12425B0D"/>
    <w:rsid w:val="12426690"/>
    <w:rsid w:val="12430920"/>
    <w:rsid w:val="1243301E"/>
    <w:rsid w:val="12435BAF"/>
    <w:rsid w:val="12435D4E"/>
    <w:rsid w:val="12436F57"/>
    <w:rsid w:val="1243767B"/>
    <w:rsid w:val="12437CE8"/>
    <w:rsid w:val="124452CB"/>
    <w:rsid w:val="124473D0"/>
    <w:rsid w:val="1245587F"/>
    <w:rsid w:val="1246201D"/>
    <w:rsid w:val="12463148"/>
    <w:rsid w:val="124675EC"/>
    <w:rsid w:val="1247471F"/>
    <w:rsid w:val="12477B58"/>
    <w:rsid w:val="12480FE8"/>
    <w:rsid w:val="12482D3A"/>
    <w:rsid w:val="12485112"/>
    <w:rsid w:val="1248658A"/>
    <w:rsid w:val="12486EC1"/>
    <w:rsid w:val="1249687D"/>
    <w:rsid w:val="124A7050"/>
    <w:rsid w:val="124B075F"/>
    <w:rsid w:val="124B07A4"/>
    <w:rsid w:val="124B399C"/>
    <w:rsid w:val="124B43D8"/>
    <w:rsid w:val="124B510A"/>
    <w:rsid w:val="124B69B1"/>
    <w:rsid w:val="124C2311"/>
    <w:rsid w:val="124C253A"/>
    <w:rsid w:val="124C4C9E"/>
    <w:rsid w:val="124C4DAF"/>
    <w:rsid w:val="124D2729"/>
    <w:rsid w:val="124D44D7"/>
    <w:rsid w:val="124D5E09"/>
    <w:rsid w:val="124D6A70"/>
    <w:rsid w:val="124E024F"/>
    <w:rsid w:val="124E561A"/>
    <w:rsid w:val="124F1E56"/>
    <w:rsid w:val="124F2908"/>
    <w:rsid w:val="124F439E"/>
    <w:rsid w:val="124F46F3"/>
    <w:rsid w:val="12502219"/>
    <w:rsid w:val="12505D75"/>
    <w:rsid w:val="12506F17"/>
    <w:rsid w:val="12512FC6"/>
    <w:rsid w:val="125202F4"/>
    <w:rsid w:val="12524B91"/>
    <w:rsid w:val="12541D09"/>
    <w:rsid w:val="125435C7"/>
    <w:rsid w:val="12545229"/>
    <w:rsid w:val="125515DD"/>
    <w:rsid w:val="12560440"/>
    <w:rsid w:val="1256481E"/>
    <w:rsid w:val="12575356"/>
    <w:rsid w:val="12577104"/>
    <w:rsid w:val="1257764D"/>
    <w:rsid w:val="12577F1C"/>
    <w:rsid w:val="12582425"/>
    <w:rsid w:val="12582E7C"/>
    <w:rsid w:val="12585427"/>
    <w:rsid w:val="12586996"/>
    <w:rsid w:val="125910CE"/>
    <w:rsid w:val="12597428"/>
    <w:rsid w:val="125A3098"/>
    <w:rsid w:val="125A6BF4"/>
    <w:rsid w:val="125B0EB4"/>
    <w:rsid w:val="125B1351"/>
    <w:rsid w:val="125B4B15"/>
    <w:rsid w:val="125B745E"/>
    <w:rsid w:val="125C5801"/>
    <w:rsid w:val="125C6499"/>
    <w:rsid w:val="125D0492"/>
    <w:rsid w:val="125D687D"/>
    <w:rsid w:val="125D727D"/>
    <w:rsid w:val="125E2C10"/>
    <w:rsid w:val="125E4936"/>
    <w:rsid w:val="125E784D"/>
    <w:rsid w:val="125F04F1"/>
    <w:rsid w:val="126006AE"/>
    <w:rsid w:val="126006FF"/>
    <w:rsid w:val="12603115"/>
    <w:rsid w:val="12604A48"/>
    <w:rsid w:val="12613F46"/>
    <w:rsid w:val="12614426"/>
    <w:rsid w:val="126161D4"/>
    <w:rsid w:val="1261643E"/>
    <w:rsid w:val="12617F82"/>
    <w:rsid w:val="12622D86"/>
    <w:rsid w:val="12631F4C"/>
    <w:rsid w:val="12633CFA"/>
    <w:rsid w:val="12635AA8"/>
    <w:rsid w:val="12636C39"/>
    <w:rsid w:val="1263749A"/>
    <w:rsid w:val="12647A72"/>
    <w:rsid w:val="12650E2D"/>
    <w:rsid w:val="12653265"/>
    <w:rsid w:val="12661A3D"/>
    <w:rsid w:val="126637EB"/>
    <w:rsid w:val="12664571"/>
    <w:rsid w:val="12665599"/>
    <w:rsid w:val="12676CEA"/>
    <w:rsid w:val="12692CDC"/>
    <w:rsid w:val="1269692C"/>
    <w:rsid w:val="12696E37"/>
    <w:rsid w:val="126A0813"/>
    <w:rsid w:val="126A098A"/>
    <w:rsid w:val="126A32DB"/>
    <w:rsid w:val="126A3F7C"/>
    <w:rsid w:val="126A42EB"/>
    <w:rsid w:val="126A69AB"/>
    <w:rsid w:val="126A7A8C"/>
    <w:rsid w:val="126B0E01"/>
    <w:rsid w:val="126B1ECE"/>
    <w:rsid w:val="126B3D39"/>
    <w:rsid w:val="126B6286"/>
    <w:rsid w:val="126B7053"/>
    <w:rsid w:val="126C2700"/>
    <w:rsid w:val="126D0C03"/>
    <w:rsid w:val="126D35ED"/>
    <w:rsid w:val="126D4B79"/>
    <w:rsid w:val="126D6927"/>
    <w:rsid w:val="126D7A79"/>
    <w:rsid w:val="126E269F"/>
    <w:rsid w:val="126E76BE"/>
    <w:rsid w:val="126F08F1"/>
    <w:rsid w:val="126F2B23"/>
    <w:rsid w:val="126F6B43"/>
    <w:rsid w:val="12713B08"/>
    <w:rsid w:val="127203E1"/>
    <w:rsid w:val="127203F6"/>
    <w:rsid w:val="1272218F"/>
    <w:rsid w:val="12730A61"/>
    <w:rsid w:val="127313E5"/>
    <w:rsid w:val="12731ABA"/>
    <w:rsid w:val="127347F2"/>
    <w:rsid w:val="127356E5"/>
    <w:rsid w:val="12735E55"/>
    <w:rsid w:val="12741746"/>
    <w:rsid w:val="12742683"/>
    <w:rsid w:val="12746B75"/>
    <w:rsid w:val="12747CB6"/>
    <w:rsid w:val="12750005"/>
    <w:rsid w:val="12751C80"/>
    <w:rsid w:val="12753A2E"/>
    <w:rsid w:val="127557DC"/>
    <w:rsid w:val="12765B34"/>
    <w:rsid w:val="12767ED2"/>
    <w:rsid w:val="12771554"/>
    <w:rsid w:val="12773934"/>
    <w:rsid w:val="127777A6"/>
    <w:rsid w:val="1278671A"/>
    <w:rsid w:val="12791770"/>
    <w:rsid w:val="127917DD"/>
    <w:rsid w:val="127948E3"/>
    <w:rsid w:val="127952CC"/>
    <w:rsid w:val="12795DE7"/>
    <w:rsid w:val="12796494"/>
    <w:rsid w:val="127A1044"/>
    <w:rsid w:val="127A5083"/>
    <w:rsid w:val="127A7296"/>
    <w:rsid w:val="127B54E8"/>
    <w:rsid w:val="127C300E"/>
    <w:rsid w:val="127C6F02"/>
    <w:rsid w:val="127C7ED8"/>
    <w:rsid w:val="127D762D"/>
    <w:rsid w:val="127E0301"/>
    <w:rsid w:val="127E1902"/>
    <w:rsid w:val="127E3214"/>
    <w:rsid w:val="127E48ED"/>
    <w:rsid w:val="127E6754"/>
    <w:rsid w:val="127E6D86"/>
    <w:rsid w:val="127F16A8"/>
    <w:rsid w:val="127F2CC5"/>
    <w:rsid w:val="127F48AC"/>
    <w:rsid w:val="127F5DA5"/>
    <w:rsid w:val="12800C00"/>
    <w:rsid w:val="128017F6"/>
    <w:rsid w:val="12802AFE"/>
    <w:rsid w:val="12816DD3"/>
    <w:rsid w:val="12822609"/>
    <w:rsid w:val="12823D4A"/>
    <w:rsid w:val="12825CC4"/>
    <w:rsid w:val="1283439D"/>
    <w:rsid w:val="12837EF9"/>
    <w:rsid w:val="12843005"/>
    <w:rsid w:val="1284517E"/>
    <w:rsid w:val="12852902"/>
    <w:rsid w:val="12857FB6"/>
    <w:rsid w:val="12861E21"/>
    <w:rsid w:val="12863E8D"/>
    <w:rsid w:val="12864730"/>
    <w:rsid w:val="12865C3B"/>
    <w:rsid w:val="12866648"/>
    <w:rsid w:val="128738AA"/>
    <w:rsid w:val="12874609"/>
    <w:rsid w:val="12883761"/>
    <w:rsid w:val="1289247D"/>
    <w:rsid w:val="128A2A6B"/>
    <w:rsid w:val="128B14A3"/>
    <w:rsid w:val="128B4DFC"/>
    <w:rsid w:val="128C0964"/>
    <w:rsid w:val="128C387E"/>
    <w:rsid w:val="128C5971"/>
    <w:rsid w:val="128D32E9"/>
    <w:rsid w:val="128D521B"/>
    <w:rsid w:val="128D6FC9"/>
    <w:rsid w:val="128E0BAC"/>
    <w:rsid w:val="128E22ED"/>
    <w:rsid w:val="128F04D5"/>
    <w:rsid w:val="128F069C"/>
    <w:rsid w:val="128F377D"/>
    <w:rsid w:val="128F47F4"/>
    <w:rsid w:val="128F52CB"/>
    <w:rsid w:val="128F6342"/>
    <w:rsid w:val="12900868"/>
    <w:rsid w:val="12906AB9"/>
    <w:rsid w:val="1291265A"/>
    <w:rsid w:val="129245E0"/>
    <w:rsid w:val="12933059"/>
    <w:rsid w:val="12940358"/>
    <w:rsid w:val="12941CAC"/>
    <w:rsid w:val="12942106"/>
    <w:rsid w:val="1294457F"/>
    <w:rsid w:val="12944A1D"/>
    <w:rsid w:val="129465AA"/>
    <w:rsid w:val="12950A7E"/>
    <w:rsid w:val="1295443F"/>
    <w:rsid w:val="12955E7E"/>
    <w:rsid w:val="12957C2C"/>
    <w:rsid w:val="12961F0E"/>
    <w:rsid w:val="129701A2"/>
    <w:rsid w:val="12972692"/>
    <w:rsid w:val="12977E48"/>
    <w:rsid w:val="12980212"/>
    <w:rsid w:val="1298264D"/>
    <w:rsid w:val="12985F6F"/>
    <w:rsid w:val="129866B0"/>
    <w:rsid w:val="12990F25"/>
    <w:rsid w:val="1299324F"/>
    <w:rsid w:val="12993BC0"/>
    <w:rsid w:val="1299596E"/>
    <w:rsid w:val="1299771C"/>
    <w:rsid w:val="12997E43"/>
    <w:rsid w:val="129A3460"/>
    <w:rsid w:val="129A6B01"/>
    <w:rsid w:val="129B1F4D"/>
    <w:rsid w:val="129B31AF"/>
    <w:rsid w:val="129C34BC"/>
    <w:rsid w:val="129C5D80"/>
    <w:rsid w:val="129C720C"/>
    <w:rsid w:val="129D4085"/>
    <w:rsid w:val="129D5742"/>
    <w:rsid w:val="129D5F84"/>
    <w:rsid w:val="129D78DE"/>
    <w:rsid w:val="129E11D6"/>
    <w:rsid w:val="129E12A4"/>
    <w:rsid w:val="129E1DE1"/>
    <w:rsid w:val="129E2F84"/>
    <w:rsid w:val="129E4D32"/>
    <w:rsid w:val="129F2254"/>
    <w:rsid w:val="129F429B"/>
    <w:rsid w:val="12A00EE5"/>
    <w:rsid w:val="12A04F4F"/>
    <w:rsid w:val="12A063FC"/>
    <w:rsid w:val="12A06CFD"/>
    <w:rsid w:val="12A10762"/>
    <w:rsid w:val="12A10CC7"/>
    <w:rsid w:val="12A12A75"/>
    <w:rsid w:val="12A137B3"/>
    <w:rsid w:val="12A14823"/>
    <w:rsid w:val="12A165D1"/>
    <w:rsid w:val="12A16C4D"/>
    <w:rsid w:val="12A204B1"/>
    <w:rsid w:val="12A226CF"/>
    <w:rsid w:val="12A27C3B"/>
    <w:rsid w:val="12A3059B"/>
    <w:rsid w:val="12A32DE9"/>
    <w:rsid w:val="12A35E22"/>
    <w:rsid w:val="12A365A3"/>
    <w:rsid w:val="12A418DB"/>
    <w:rsid w:val="12A41AE6"/>
    <w:rsid w:val="12A43584"/>
    <w:rsid w:val="12A44411"/>
    <w:rsid w:val="12A559A2"/>
    <w:rsid w:val="12A6008B"/>
    <w:rsid w:val="12A63CA4"/>
    <w:rsid w:val="12A73420"/>
    <w:rsid w:val="12A76BCC"/>
    <w:rsid w:val="12A85A64"/>
    <w:rsid w:val="12A947CF"/>
    <w:rsid w:val="12A94A2D"/>
    <w:rsid w:val="12AA012C"/>
    <w:rsid w:val="12AA36D7"/>
    <w:rsid w:val="12AA3CD8"/>
    <w:rsid w:val="12AB0654"/>
    <w:rsid w:val="12AB744F"/>
    <w:rsid w:val="12AC25E5"/>
    <w:rsid w:val="12AC38F3"/>
    <w:rsid w:val="12AC4134"/>
    <w:rsid w:val="12AC5CE6"/>
    <w:rsid w:val="12AD1419"/>
    <w:rsid w:val="12AD2BBD"/>
    <w:rsid w:val="12AD31C8"/>
    <w:rsid w:val="12AD5889"/>
    <w:rsid w:val="12AD766B"/>
    <w:rsid w:val="12AE2EB4"/>
    <w:rsid w:val="12AF0CEE"/>
    <w:rsid w:val="12B02CB8"/>
    <w:rsid w:val="12B05686"/>
    <w:rsid w:val="12B16154"/>
    <w:rsid w:val="12B1776A"/>
    <w:rsid w:val="12B207DE"/>
    <w:rsid w:val="12B211FB"/>
    <w:rsid w:val="12B218BD"/>
    <w:rsid w:val="12B31436"/>
    <w:rsid w:val="12B3496F"/>
    <w:rsid w:val="12B36795"/>
    <w:rsid w:val="12B44770"/>
    <w:rsid w:val="12B46304"/>
    <w:rsid w:val="12B47A6C"/>
    <w:rsid w:val="12B502CE"/>
    <w:rsid w:val="12B66146"/>
    <w:rsid w:val="12B66520"/>
    <w:rsid w:val="12B72FCD"/>
    <w:rsid w:val="12B74046"/>
    <w:rsid w:val="12B75243"/>
    <w:rsid w:val="12B80A70"/>
    <w:rsid w:val="12B82CC5"/>
    <w:rsid w:val="12B87C4A"/>
    <w:rsid w:val="12B94A9C"/>
    <w:rsid w:val="12B94B43"/>
    <w:rsid w:val="12B97D8D"/>
    <w:rsid w:val="12BA7DA1"/>
    <w:rsid w:val="12BB0907"/>
    <w:rsid w:val="12BB3B36"/>
    <w:rsid w:val="12BB3CD0"/>
    <w:rsid w:val="12BC165D"/>
    <w:rsid w:val="12BC182A"/>
    <w:rsid w:val="12BC78AF"/>
    <w:rsid w:val="12BD6E34"/>
    <w:rsid w:val="12BD6E6A"/>
    <w:rsid w:val="12BE586F"/>
    <w:rsid w:val="12BE7183"/>
    <w:rsid w:val="12BF0270"/>
    <w:rsid w:val="12BF111A"/>
    <w:rsid w:val="12C01240"/>
    <w:rsid w:val="12C01301"/>
    <w:rsid w:val="12C02EFB"/>
    <w:rsid w:val="12C0739F"/>
    <w:rsid w:val="12C16C73"/>
    <w:rsid w:val="12C21013"/>
    <w:rsid w:val="12C236EA"/>
    <w:rsid w:val="12C24D37"/>
    <w:rsid w:val="12C250B8"/>
    <w:rsid w:val="12C257D3"/>
    <w:rsid w:val="12C30F2B"/>
    <w:rsid w:val="12C341BB"/>
    <w:rsid w:val="12C34799"/>
    <w:rsid w:val="12C40892"/>
    <w:rsid w:val="12C423BB"/>
    <w:rsid w:val="12C43AFC"/>
    <w:rsid w:val="12C51592"/>
    <w:rsid w:val="12C56CED"/>
    <w:rsid w:val="12C60255"/>
    <w:rsid w:val="12C624DB"/>
    <w:rsid w:val="12C66037"/>
    <w:rsid w:val="12C66FB3"/>
    <w:rsid w:val="12C70A4C"/>
    <w:rsid w:val="12C9662F"/>
    <w:rsid w:val="12CA0BDF"/>
    <w:rsid w:val="12CA0DFE"/>
    <w:rsid w:val="12CA1996"/>
    <w:rsid w:val="12CA1FCB"/>
    <w:rsid w:val="12CA2425"/>
    <w:rsid w:val="12CA3D79"/>
    <w:rsid w:val="12CA43B4"/>
    <w:rsid w:val="12CA5A3C"/>
    <w:rsid w:val="12CB228E"/>
    <w:rsid w:val="12CB4F15"/>
    <w:rsid w:val="12CC384C"/>
    <w:rsid w:val="12CC53E9"/>
    <w:rsid w:val="12CC6693"/>
    <w:rsid w:val="12CC676E"/>
    <w:rsid w:val="12CC7AF2"/>
    <w:rsid w:val="12CD1F71"/>
    <w:rsid w:val="12CD2B93"/>
    <w:rsid w:val="12CD5618"/>
    <w:rsid w:val="12CF313E"/>
    <w:rsid w:val="12D025B2"/>
    <w:rsid w:val="12D0352F"/>
    <w:rsid w:val="12D03BE7"/>
    <w:rsid w:val="12D04C70"/>
    <w:rsid w:val="12D06EB6"/>
    <w:rsid w:val="12D1388E"/>
    <w:rsid w:val="12D138EB"/>
    <w:rsid w:val="12D15108"/>
    <w:rsid w:val="12D16100"/>
    <w:rsid w:val="12D16F48"/>
    <w:rsid w:val="12D20E80"/>
    <w:rsid w:val="12D270D2"/>
    <w:rsid w:val="12D316BB"/>
    <w:rsid w:val="12D335F1"/>
    <w:rsid w:val="12D40754"/>
    <w:rsid w:val="12D517AD"/>
    <w:rsid w:val="12D544CC"/>
    <w:rsid w:val="12D61506"/>
    <w:rsid w:val="12D6271E"/>
    <w:rsid w:val="12D71F24"/>
    <w:rsid w:val="12D9220E"/>
    <w:rsid w:val="12D93FBD"/>
    <w:rsid w:val="12DA031E"/>
    <w:rsid w:val="12DA1AE3"/>
    <w:rsid w:val="12DA27D7"/>
    <w:rsid w:val="12DA28E4"/>
    <w:rsid w:val="12DB2590"/>
    <w:rsid w:val="12DB30F2"/>
    <w:rsid w:val="12DC1005"/>
    <w:rsid w:val="12DC3AAD"/>
    <w:rsid w:val="12DD5483"/>
    <w:rsid w:val="12DE5B33"/>
    <w:rsid w:val="12DF05F2"/>
    <w:rsid w:val="12DF0DFB"/>
    <w:rsid w:val="12DF2DED"/>
    <w:rsid w:val="12DF64AC"/>
    <w:rsid w:val="12DF6FC3"/>
    <w:rsid w:val="12E017EF"/>
    <w:rsid w:val="12E04D91"/>
    <w:rsid w:val="12E070F9"/>
    <w:rsid w:val="12E07B83"/>
    <w:rsid w:val="12E110C3"/>
    <w:rsid w:val="12E144B4"/>
    <w:rsid w:val="12E167FC"/>
    <w:rsid w:val="12E26418"/>
    <w:rsid w:val="12E30515"/>
    <w:rsid w:val="12E34E3B"/>
    <w:rsid w:val="12E35130"/>
    <w:rsid w:val="12E36BE9"/>
    <w:rsid w:val="12E41FAB"/>
    <w:rsid w:val="12E42558"/>
    <w:rsid w:val="12E42676"/>
    <w:rsid w:val="12E431C9"/>
    <w:rsid w:val="12E461B6"/>
    <w:rsid w:val="12E50BB3"/>
    <w:rsid w:val="12E514DE"/>
    <w:rsid w:val="12E52961"/>
    <w:rsid w:val="12E5311E"/>
    <w:rsid w:val="12E54A8E"/>
    <w:rsid w:val="12E56CA6"/>
    <w:rsid w:val="12E666D9"/>
    <w:rsid w:val="12E70326"/>
    <w:rsid w:val="12E71948"/>
    <w:rsid w:val="12E73581"/>
    <w:rsid w:val="12E7492B"/>
    <w:rsid w:val="12E80AB0"/>
    <w:rsid w:val="12E84200"/>
    <w:rsid w:val="12E936BC"/>
    <w:rsid w:val="12E94832"/>
    <w:rsid w:val="12EA11ED"/>
    <w:rsid w:val="12EA13BD"/>
    <w:rsid w:val="12EA3259"/>
    <w:rsid w:val="12EB3CF0"/>
    <w:rsid w:val="12EC1F42"/>
    <w:rsid w:val="12EC23AB"/>
    <w:rsid w:val="12ED1179"/>
    <w:rsid w:val="12ED50A3"/>
    <w:rsid w:val="12ED5CBA"/>
    <w:rsid w:val="12ED6F35"/>
    <w:rsid w:val="12ED7A68"/>
    <w:rsid w:val="12EF15FF"/>
    <w:rsid w:val="12EF37E0"/>
    <w:rsid w:val="12EF68D0"/>
    <w:rsid w:val="12F051CD"/>
    <w:rsid w:val="12F11306"/>
    <w:rsid w:val="12F157AA"/>
    <w:rsid w:val="12F17558"/>
    <w:rsid w:val="12F232D0"/>
    <w:rsid w:val="12F26E2C"/>
    <w:rsid w:val="12F31522"/>
    <w:rsid w:val="12F33B67"/>
    <w:rsid w:val="12F36460"/>
    <w:rsid w:val="12F40919"/>
    <w:rsid w:val="12F40DF6"/>
    <w:rsid w:val="12F42BA4"/>
    <w:rsid w:val="12F42CF5"/>
    <w:rsid w:val="12F43019"/>
    <w:rsid w:val="12F43B42"/>
    <w:rsid w:val="12F45F23"/>
    <w:rsid w:val="12F56B01"/>
    <w:rsid w:val="12F62DC0"/>
    <w:rsid w:val="12F64B6E"/>
    <w:rsid w:val="12F72695"/>
    <w:rsid w:val="12F75E83"/>
    <w:rsid w:val="12F76C1F"/>
    <w:rsid w:val="12F801BD"/>
    <w:rsid w:val="12F84115"/>
    <w:rsid w:val="12F843ED"/>
    <w:rsid w:val="12F86B39"/>
    <w:rsid w:val="12F901BB"/>
    <w:rsid w:val="12F9273B"/>
    <w:rsid w:val="12F928B1"/>
    <w:rsid w:val="12F94AA1"/>
    <w:rsid w:val="12F9640D"/>
    <w:rsid w:val="12F969A7"/>
    <w:rsid w:val="12F97F16"/>
    <w:rsid w:val="12FA21F8"/>
    <w:rsid w:val="12FA679C"/>
    <w:rsid w:val="12FB6C31"/>
    <w:rsid w:val="12FC5EFD"/>
    <w:rsid w:val="12FC7CAB"/>
    <w:rsid w:val="12FD1D06"/>
    <w:rsid w:val="12FD3C8D"/>
    <w:rsid w:val="12FD414F"/>
    <w:rsid w:val="12FD5363"/>
    <w:rsid w:val="12FD69C6"/>
    <w:rsid w:val="12FD78C2"/>
    <w:rsid w:val="12FF2F6F"/>
    <w:rsid w:val="12FF3A5D"/>
    <w:rsid w:val="12FF4052"/>
    <w:rsid w:val="12FF62D7"/>
    <w:rsid w:val="1300056D"/>
    <w:rsid w:val="130005D1"/>
    <w:rsid w:val="13001549"/>
    <w:rsid w:val="130059ED"/>
    <w:rsid w:val="13006E2E"/>
    <w:rsid w:val="1300779B"/>
    <w:rsid w:val="130152C1"/>
    <w:rsid w:val="13016352"/>
    <w:rsid w:val="13022C26"/>
    <w:rsid w:val="13022EF3"/>
    <w:rsid w:val="13022F49"/>
    <w:rsid w:val="13023513"/>
    <w:rsid w:val="1302499A"/>
    <w:rsid w:val="13024F2E"/>
    <w:rsid w:val="13031039"/>
    <w:rsid w:val="130372E9"/>
    <w:rsid w:val="13037AFF"/>
    <w:rsid w:val="130407A3"/>
    <w:rsid w:val="1305241F"/>
    <w:rsid w:val="13054DB2"/>
    <w:rsid w:val="13060E96"/>
    <w:rsid w:val="130628D8"/>
    <w:rsid w:val="130630AD"/>
    <w:rsid w:val="13066480"/>
    <w:rsid w:val="13070899"/>
    <w:rsid w:val="13070B2A"/>
    <w:rsid w:val="13082AF4"/>
    <w:rsid w:val="130848A2"/>
    <w:rsid w:val="13092D75"/>
    <w:rsid w:val="13095D8F"/>
    <w:rsid w:val="13096D6A"/>
    <w:rsid w:val="130A061A"/>
    <w:rsid w:val="130A07A3"/>
    <w:rsid w:val="130A23C8"/>
    <w:rsid w:val="130A36C0"/>
    <w:rsid w:val="130A4FFE"/>
    <w:rsid w:val="130C25E4"/>
    <w:rsid w:val="130C2748"/>
    <w:rsid w:val="130C6140"/>
    <w:rsid w:val="130C7ED8"/>
    <w:rsid w:val="130D010A"/>
    <w:rsid w:val="130D0E75"/>
    <w:rsid w:val="130D10CE"/>
    <w:rsid w:val="130D3782"/>
    <w:rsid w:val="130D3C66"/>
    <w:rsid w:val="130D67BC"/>
    <w:rsid w:val="130F2D87"/>
    <w:rsid w:val="130F32F3"/>
    <w:rsid w:val="130F3E82"/>
    <w:rsid w:val="130F5C30"/>
    <w:rsid w:val="13106B72"/>
    <w:rsid w:val="131109C2"/>
    <w:rsid w:val="131119A8"/>
    <w:rsid w:val="13113C1D"/>
    <w:rsid w:val="13115667"/>
    <w:rsid w:val="1311684B"/>
    <w:rsid w:val="13117BFA"/>
    <w:rsid w:val="1312127D"/>
    <w:rsid w:val="13135720"/>
    <w:rsid w:val="131359A0"/>
    <w:rsid w:val="1314034F"/>
    <w:rsid w:val="13140A84"/>
    <w:rsid w:val="13140AA3"/>
    <w:rsid w:val="13143247"/>
    <w:rsid w:val="13143C57"/>
    <w:rsid w:val="131500C1"/>
    <w:rsid w:val="13160D6D"/>
    <w:rsid w:val="13161C63"/>
    <w:rsid w:val="13180F89"/>
    <w:rsid w:val="13182D37"/>
    <w:rsid w:val="13182E8E"/>
    <w:rsid w:val="13183288"/>
    <w:rsid w:val="131905E4"/>
    <w:rsid w:val="1319085D"/>
    <w:rsid w:val="1319644A"/>
    <w:rsid w:val="13196AAF"/>
    <w:rsid w:val="1319710D"/>
    <w:rsid w:val="131B131B"/>
    <w:rsid w:val="131B193F"/>
    <w:rsid w:val="131B45D5"/>
    <w:rsid w:val="131B7216"/>
    <w:rsid w:val="131C03E5"/>
    <w:rsid w:val="131C14D3"/>
    <w:rsid w:val="131C1653"/>
    <w:rsid w:val="131C5AD5"/>
    <w:rsid w:val="131C6F65"/>
    <w:rsid w:val="131D03D4"/>
    <w:rsid w:val="131D16FD"/>
    <w:rsid w:val="131D2971"/>
    <w:rsid w:val="131D3C21"/>
    <w:rsid w:val="131D659F"/>
    <w:rsid w:val="131E2317"/>
    <w:rsid w:val="131E25FC"/>
    <w:rsid w:val="131E30A9"/>
    <w:rsid w:val="131E40C5"/>
    <w:rsid w:val="131E5E73"/>
    <w:rsid w:val="131F0C31"/>
    <w:rsid w:val="131F3B43"/>
    <w:rsid w:val="131F78CA"/>
    <w:rsid w:val="131F7EDE"/>
    <w:rsid w:val="13201BEB"/>
    <w:rsid w:val="13203999"/>
    <w:rsid w:val="13207E3D"/>
    <w:rsid w:val="13215ECA"/>
    <w:rsid w:val="13217712"/>
    <w:rsid w:val="13217AAF"/>
    <w:rsid w:val="13223BB5"/>
    <w:rsid w:val="132267A1"/>
    <w:rsid w:val="1323595E"/>
    <w:rsid w:val="13245A29"/>
    <w:rsid w:val="1324792E"/>
    <w:rsid w:val="13247ACA"/>
    <w:rsid w:val="13250FB0"/>
    <w:rsid w:val="132536A6"/>
    <w:rsid w:val="13262398"/>
    <w:rsid w:val="13262F33"/>
    <w:rsid w:val="13271066"/>
    <w:rsid w:val="13272F7A"/>
    <w:rsid w:val="13274D28"/>
    <w:rsid w:val="132769B4"/>
    <w:rsid w:val="13276B99"/>
    <w:rsid w:val="132803CF"/>
    <w:rsid w:val="13280AA0"/>
    <w:rsid w:val="13280D6A"/>
    <w:rsid w:val="13283492"/>
    <w:rsid w:val="132845CF"/>
    <w:rsid w:val="13286CF2"/>
    <w:rsid w:val="13287FD1"/>
    <w:rsid w:val="1329181A"/>
    <w:rsid w:val="13292778"/>
    <w:rsid w:val="13294F44"/>
    <w:rsid w:val="132A0CBC"/>
    <w:rsid w:val="132A1CFF"/>
    <w:rsid w:val="132A2A6A"/>
    <w:rsid w:val="132A4818"/>
    <w:rsid w:val="132A7323"/>
    <w:rsid w:val="132B5BD5"/>
    <w:rsid w:val="132C019B"/>
    <w:rsid w:val="132C0590"/>
    <w:rsid w:val="132C3004"/>
    <w:rsid w:val="132C3D33"/>
    <w:rsid w:val="132C67E2"/>
    <w:rsid w:val="132D01C2"/>
    <w:rsid w:val="132D06E9"/>
    <w:rsid w:val="132D1F23"/>
    <w:rsid w:val="132D3624"/>
    <w:rsid w:val="132D60B6"/>
    <w:rsid w:val="132D73CF"/>
    <w:rsid w:val="132E00A6"/>
    <w:rsid w:val="132E255A"/>
    <w:rsid w:val="132E62C7"/>
    <w:rsid w:val="132F1E2E"/>
    <w:rsid w:val="13303C8A"/>
    <w:rsid w:val="133074A0"/>
    <w:rsid w:val="1331204B"/>
    <w:rsid w:val="13313DF9"/>
    <w:rsid w:val="1331686B"/>
    <w:rsid w:val="1332191F"/>
    <w:rsid w:val="133228CC"/>
    <w:rsid w:val="1332431E"/>
    <w:rsid w:val="133267BC"/>
    <w:rsid w:val="1333585B"/>
    <w:rsid w:val="13337B71"/>
    <w:rsid w:val="133438E9"/>
    <w:rsid w:val="13345697"/>
    <w:rsid w:val="13353326"/>
    <w:rsid w:val="13353B1B"/>
    <w:rsid w:val="13355E97"/>
    <w:rsid w:val="13357DBD"/>
    <w:rsid w:val="1336140F"/>
    <w:rsid w:val="13362521"/>
    <w:rsid w:val="13367661"/>
    <w:rsid w:val="133723E4"/>
    <w:rsid w:val="133726DD"/>
    <w:rsid w:val="13373B73"/>
    <w:rsid w:val="1337491C"/>
    <w:rsid w:val="13390EFF"/>
    <w:rsid w:val="13392CAD"/>
    <w:rsid w:val="133A407E"/>
    <w:rsid w:val="133A6689"/>
    <w:rsid w:val="133A7BEF"/>
    <w:rsid w:val="133B07D3"/>
    <w:rsid w:val="133B2528"/>
    <w:rsid w:val="133B4C77"/>
    <w:rsid w:val="133C322F"/>
    <w:rsid w:val="133D09EF"/>
    <w:rsid w:val="133D2F1E"/>
    <w:rsid w:val="133D533A"/>
    <w:rsid w:val="133D7B22"/>
    <w:rsid w:val="133E2072"/>
    <w:rsid w:val="133E3124"/>
    <w:rsid w:val="133E4E1D"/>
    <w:rsid w:val="133E773D"/>
    <w:rsid w:val="133E7B9C"/>
    <w:rsid w:val="133E7C41"/>
    <w:rsid w:val="133F302C"/>
    <w:rsid w:val="133F7388"/>
    <w:rsid w:val="1340228E"/>
    <w:rsid w:val="13404ACF"/>
    <w:rsid w:val="13407C4D"/>
    <w:rsid w:val="134104D7"/>
    <w:rsid w:val="13417E62"/>
    <w:rsid w:val="13421B62"/>
    <w:rsid w:val="134272D3"/>
    <w:rsid w:val="134277F0"/>
    <w:rsid w:val="134321CD"/>
    <w:rsid w:val="13433B2C"/>
    <w:rsid w:val="134358DA"/>
    <w:rsid w:val="13440B1A"/>
    <w:rsid w:val="1344197C"/>
    <w:rsid w:val="13441D7E"/>
    <w:rsid w:val="13450BFA"/>
    <w:rsid w:val="134515AF"/>
    <w:rsid w:val="13453400"/>
    <w:rsid w:val="13454EE2"/>
    <w:rsid w:val="13456431"/>
    <w:rsid w:val="134618D8"/>
    <w:rsid w:val="13463279"/>
    <w:rsid w:val="13465EEB"/>
    <w:rsid w:val="1347361C"/>
    <w:rsid w:val="13473662"/>
    <w:rsid w:val="13474B48"/>
    <w:rsid w:val="134753CA"/>
    <w:rsid w:val="134769A9"/>
    <w:rsid w:val="13476BD5"/>
    <w:rsid w:val="1348001E"/>
    <w:rsid w:val="13480553"/>
    <w:rsid w:val="134873D5"/>
    <w:rsid w:val="1349092A"/>
    <w:rsid w:val="13491142"/>
    <w:rsid w:val="134A251E"/>
    <w:rsid w:val="134B05C2"/>
    <w:rsid w:val="134C0C32"/>
    <w:rsid w:val="134C29E0"/>
    <w:rsid w:val="134C478E"/>
    <w:rsid w:val="134D0507"/>
    <w:rsid w:val="134D446E"/>
    <w:rsid w:val="134D71BB"/>
    <w:rsid w:val="134D757D"/>
    <w:rsid w:val="134E17F9"/>
    <w:rsid w:val="134E49AB"/>
    <w:rsid w:val="134E6759"/>
    <w:rsid w:val="134F1839"/>
    <w:rsid w:val="134F24D1"/>
    <w:rsid w:val="135003C6"/>
    <w:rsid w:val="13501728"/>
    <w:rsid w:val="13511304"/>
    <w:rsid w:val="13511DA5"/>
    <w:rsid w:val="13512658"/>
    <w:rsid w:val="13513586"/>
    <w:rsid w:val="13516249"/>
    <w:rsid w:val="135218A6"/>
    <w:rsid w:val="13521DA1"/>
    <w:rsid w:val="135238AC"/>
    <w:rsid w:val="13523EDF"/>
    <w:rsid w:val="13533D6F"/>
    <w:rsid w:val="135400EC"/>
    <w:rsid w:val="13547AE7"/>
    <w:rsid w:val="135532EC"/>
    <w:rsid w:val="1355376B"/>
    <w:rsid w:val="13553BD1"/>
    <w:rsid w:val="13554641"/>
    <w:rsid w:val="13555C66"/>
    <w:rsid w:val="13561AB1"/>
    <w:rsid w:val="13567763"/>
    <w:rsid w:val="13573133"/>
    <w:rsid w:val="13573157"/>
    <w:rsid w:val="13584AE6"/>
    <w:rsid w:val="135875D7"/>
    <w:rsid w:val="1359284E"/>
    <w:rsid w:val="135950FD"/>
    <w:rsid w:val="13595A77"/>
    <w:rsid w:val="13596C9E"/>
    <w:rsid w:val="135A334F"/>
    <w:rsid w:val="135A3C50"/>
    <w:rsid w:val="135A638B"/>
    <w:rsid w:val="135A7434"/>
    <w:rsid w:val="135B6ECE"/>
    <w:rsid w:val="135C36DE"/>
    <w:rsid w:val="135C425F"/>
    <w:rsid w:val="135C7F55"/>
    <w:rsid w:val="135D4802"/>
    <w:rsid w:val="135E10E2"/>
    <w:rsid w:val="135E2714"/>
    <w:rsid w:val="135E3EA3"/>
    <w:rsid w:val="135E44C2"/>
    <w:rsid w:val="135F6DF6"/>
    <w:rsid w:val="1360023A"/>
    <w:rsid w:val="13602DD3"/>
    <w:rsid w:val="136041E5"/>
    <w:rsid w:val="136046DE"/>
    <w:rsid w:val="1360648C"/>
    <w:rsid w:val="13611764"/>
    <w:rsid w:val="136202D6"/>
    <w:rsid w:val="13620456"/>
    <w:rsid w:val="13622204"/>
    <w:rsid w:val="13623FB2"/>
    <w:rsid w:val="1363286A"/>
    <w:rsid w:val="13634743"/>
    <w:rsid w:val="13637D2A"/>
    <w:rsid w:val="13650C7A"/>
    <w:rsid w:val="13651D95"/>
    <w:rsid w:val="1365575B"/>
    <w:rsid w:val="136703AB"/>
    <w:rsid w:val="1367095E"/>
    <w:rsid w:val="136715C8"/>
    <w:rsid w:val="13673837"/>
    <w:rsid w:val="13675A6C"/>
    <w:rsid w:val="1367781A"/>
    <w:rsid w:val="13682790"/>
    <w:rsid w:val="13693592"/>
    <w:rsid w:val="13696CAD"/>
    <w:rsid w:val="136A730B"/>
    <w:rsid w:val="136C14FB"/>
    <w:rsid w:val="136C196B"/>
    <w:rsid w:val="136C3083"/>
    <w:rsid w:val="136C4E31"/>
    <w:rsid w:val="136C5B79"/>
    <w:rsid w:val="136D128D"/>
    <w:rsid w:val="136D6ABE"/>
    <w:rsid w:val="136D6B64"/>
    <w:rsid w:val="136E2957"/>
    <w:rsid w:val="136E6DFB"/>
    <w:rsid w:val="136F13DE"/>
    <w:rsid w:val="136F4921"/>
    <w:rsid w:val="136F4C00"/>
    <w:rsid w:val="136F5E6A"/>
    <w:rsid w:val="136F66CF"/>
    <w:rsid w:val="136F6C40"/>
    <w:rsid w:val="13710699"/>
    <w:rsid w:val="137141F5"/>
    <w:rsid w:val="137159AC"/>
    <w:rsid w:val="13725900"/>
    <w:rsid w:val="13734411"/>
    <w:rsid w:val="137361BF"/>
    <w:rsid w:val="13736B12"/>
    <w:rsid w:val="137372A4"/>
    <w:rsid w:val="13737F6D"/>
    <w:rsid w:val="137419FD"/>
    <w:rsid w:val="13746AFE"/>
    <w:rsid w:val="13767A5D"/>
    <w:rsid w:val="13773B63"/>
    <w:rsid w:val="137805B7"/>
    <w:rsid w:val="13781A27"/>
    <w:rsid w:val="137912FC"/>
    <w:rsid w:val="13792950"/>
    <w:rsid w:val="13795061"/>
    <w:rsid w:val="1379754E"/>
    <w:rsid w:val="137B1518"/>
    <w:rsid w:val="137C0A6C"/>
    <w:rsid w:val="137C2297"/>
    <w:rsid w:val="137C2A62"/>
    <w:rsid w:val="137D1A6C"/>
    <w:rsid w:val="137D70FE"/>
    <w:rsid w:val="137E1C38"/>
    <w:rsid w:val="137E6302"/>
    <w:rsid w:val="137E67C2"/>
    <w:rsid w:val="137E6912"/>
    <w:rsid w:val="137F0ED3"/>
    <w:rsid w:val="137F4B64"/>
    <w:rsid w:val="137F5F6B"/>
    <w:rsid w:val="1380268A"/>
    <w:rsid w:val="13805EA2"/>
    <w:rsid w:val="13806B2E"/>
    <w:rsid w:val="138228A6"/>
    <w:rsid w:val="138336FD"/>
    <w:rsid w:val="13833F28"/>
    <w:rsid w:val="138403CC"/>
    <w:rsid w:val="13845810"/>
    <w:rsid w:val="138470C4"/>
    <w:rsid w:val="13854144"/>
    <w:rsid w:val="13854F5E"/>
    <w:rsid w:val="13855000"/>
    <w:rsid w:val="13855EF2"/>
    <w:rsid w:val="13863B32"/>
    <w:rsid w:val="138670A0"/>
    <w:rsid w:val="13870C3B"/>
    <w:rsid w:val="13873A19"/>
    <w:rsid w:val="138744AC"/>
    <w:rsid w:val="13876C5F"/>
    <w:rsid w:val="138776A1"/>
    <w:rsid w:val="138804BE"/>
    <w:rsid w:val="138862CF"/>
    <w:rsid w:val="13892310"/>
    <w:rsid w:val="13894516"/>
    <w:rsid w:val="138959E3"/>
    <w:rsid w:val="13897791"/>
    <w:rsid w:val="138A0BB7"/>
    <w:rsid w:val="138A175B"/>
    <w:rsid w:val="138A1F63"/>
    <w:rsid w:val="138A3509"/>
    <w:rsid w:val="138A52B7"/>
    <w:rsid w:val="138B1E16"/>
    <w:rsid w:val="138B2047"/>
    <w:rsid w:val="138B4678"/>
    <w:rsid w:val="138C102F"/>
    <w:rsid w:val="138C54D3"/>
    <w:rsid w:val="138C7281"/>
    <w:rsid w:val="138D1D96"/>
    <w:rsid w:val="138D522F"/>
    <w:rsid w:val="138E06DF"/>
    <w:rsid w:val="138E23B0"/>
    <w:rsid w:val="138E3B97"/>
    <w:rsid w:val="138E5DAE"/>
    <w:rsid w:val="138F0B1F"/>
    <w:rsid w:val="138F22EA"/>
    <w:rsid w:val="138F28CD"/>
    <w:rsid w:val="13904FC3"/>
    <w:rsid w:val="13906D71"/>
    <w:rsid w:val="13912AE9"/>
    <w:rsid w:val="13916645"/>
    <w:rsid w:val="13927349"/>
    <w:rsid w:val="139307D9"/>
    <w:rsid w:val="13936861"/>
    <w:rsid w:val="13941600"/>
    <w:rsid w:val="13946135"/>
    <w:rsid w:val="13947F27"/>
    <w:rsid w:val="1395128E"/>
    <w:rsid w:val="13951726"/>
    <w:rsid w:val="13954387"/>
    <w:rsid w:val="139620D0"/>
    <w:rsid w:val="13963C5C"/>
    <w:rsid w:val="13975A19"/>
    <w:rsid w:val="139879D4"/>
    <w:rsid w:val="139A69EF"/>
    <w:rsid w:val="139A7BF0"/>
    <w:rsid w:val="139B3968"/>
    <w:rsid w:val="139B4972"/>
    <w:rsid w:val="139B6F6B"/>
    <w:rsid w:val="139B70F8"/>
    <w:rsid w:val="139C03FB"/>
    <w:rsid w:val="139C56E1"/>
    <w:rsid w:val="139D148E"/>
    <w:rsid w:val="139D323C"/>
    <w:rsid w:val="139D390C"/>
    <w:rsid w:val="139D7DA3"/>
    <w:rsid w:val="139E0D62"/>
    <w:rsid w:val="139E41CE"/>
    <w:rsid w:val="139F3B6A"/>
    <w:rsid w:val="13A02D2C"/>
    <w:rsid w:val="13A06036"/>
    <w:rsid w:val="13A10F7E"/>
    <w:rsid w:val="13A1426D"/>
    <w:rsid w:val="13A23AEB"/>
    <w:rsid w:val="13A24CF6"/>
    <w:rsid w:val="13A256FD"/>
    <w:rsid w:val="13A26E3E"/>
    <w:rsid w:val="13A31AB3"/>
    <w:rsid w:val="13A4175E"/>
    <w:rsid w:val="13A4281C"/>
    <w:rsid w:val="13A4624C"/>
    <w:rsid w:val="13A46379"/>
    <w:rsid w:val="13A50343"/>
    <w:rsid w:val="13A51B3A"/>
    <w:rsid w:val="13A52BEE"/>
    <w:rsid w:val="13A57BF5"/>
    <w:rsid w:val="13A61772"/>
    <w:rsid w:val="13A627E2"/>
    <w:rsid w:val="13A62E2B"/>
    <w:rsid w:val="13A65E7C"/>
    <w:rsid w:val="13A66595"/>
    <w:rsid w:val="13A7230D"/>
    <w:rsid w:val="13A8316E"/>
    <w:rsid w:val="13A837D0"/>
    <w:rsid w:val="13A86A0A"/>
    <w:rsid w:val="13A91302"/>
    <w:rsid w:val="13A919DF"/>
    <w:rsid w:val="13A91BE1"/>
    <w:rsid w:val="13A9398F"/>
    <w:rsid w:val="13A97E33"/>
    <w:rsid w:val="13AA0B6D"/>
    <w:rsid w:val="13AA367F"/>
    <w:rsid w:val="13AA3D12"/>
    <w:rsid w:val="13AA7707"/>
    <w:rsid w:val="13AA7A6C"/>
    <w:rsid w:val="13AB3BAB"/>
    <w:rsid w:val="13AB44CA"/>
    <w:rsid w:val="13AC16D1"/>
    <w:rsid w:val="13AC198C"/>
    <w:rsid w:val="13AC7923"/>
    <w:rsid w:val="13AC7CF5"/>
    <w:rsid w:val="13AD0DD4"/>
    <w:rsid w:val="13AE369B"/>
    <w:rsid w:val="13AE3A83"/>
    <w:rsid w:val="13AE5449"/>
    <w:rsid w:val="13AE71F7"/>
    <w:rsid w:val="13AF3D2C"/>
    <w:rsid w:val="13B02B30"/>
    <w:rsid w:val="13B10A95"/>
    <w:rsid w:val="13B14F39"/>
    <w:rsid w:val="13B1668C"/>
    <w:rsid w:val="13B1756C"/>
    <w:rsid w:val="13B22254"/>
    <w:rsid w:val="13B22621"/>
    <w:rsid w:val="13B26024"/>
    <w:rsid w:val="13B27D10"/>
    <w:rsid w:val="13B30CB1"/>
    <w:rsid w:val="13B3138E"/>
    <w:rsid w:val="13B31B3C"/>
    <w:rsid w:val="13B32A60"/>
    <w:rsid w:val="13B34F3F"/>
    <w:rsid w:val="13B418E5"/>
    <w:rsid w:val="13B41E07"/>
    <w:rsid w:val="13B450C2"/>
    <w:rsid w:val="13B50586"/>
    <w:rsid w:val="13B54A2A"/>
    <w:rsid w:val="13B55673"/>
    <w:rsid w:val="13B567D8"/>
    <w:rsid w:val="13B614C4"/>
    <w:rsid w:val="13B62550"/>
    <w:rsid w:val="13B642FE"/>
    <w:rsid w:val="13B65221"/>
    <w:rsid w:val="13B67A5B"/>
    <w:rsid w:val="13B742B2"/>
    <w:rsid w:val="13B75003"/>
    <w:rsid w:val="13B80076"/>
    <w:rsid w:val="13B8143D"/>
    <w:rsid w:val="13B81E24"/>
    <w:rsid w:val="13B840DB"/>
    <w:rsid w:val="13B8551D"/>
    <w:rsid w:val="13B862C8"/>
    <w:rsid w:val="13B911D2"/>
    <w:rsid w:val="13B964E0"/>
    <w:rsid w:val="13BA2040"/>
    <w:rsid w:val="13BA331B"/>
    <w:rsid w:val="13BA3D5A"/>
    <w:rsid w:val="13BA3DEE"/>
    <w:rsid w:val="13BA5B9C"/>
    <w:rsid w:val="13BB4E14"/>
    <w:rsid w:val="13BB7B66"/>
    <w:rsid w:val="13BC62A4"/>
    <w:rsid w:val="13BC6909"/>
    <w:rsid w:val="13BC732C"/>
    <w:rsid w:val="13BD13B2"/>
    <w:rsid w:val="13BD2868"/>
    <w:rsid w:val="13BD2CF6"/>
    <w:rsid w:val="13BD3541"/>
    <w:rsid w:val="13BD7245"/>
    <w:rsid w:val="13BD743A"/>
    <w:rsid w:val="13BF1ABA"/>
    <w:rsid w:val="13C0085F"/>
    <w:rsid w:val="13C00A21"/>
    <w:rsid w:val="13C02576"/>
    <w:rsid w:val="13C13857"/>
    <w:rsid w:val="13C20672"/>
    <w:rsid w:val="13C20EF5"/>
    <w:rsid w:val="13C219EA"/>
    <w:rsid w:val="13C22CA3"/>
    <w:rsid w:val="13C3540D"/>
    <w:rsid w:val="13C36177"/>
    <w:rsid w:val="13C652E7"/>
    <w:rsid w:val="13C72E82"/>
    <w:rsid w:val="13C7597A"/>
    <w:rsid w:val="13C76CFC"/>
    <w:rsid w:val="13C80904"/>
    <w:rsid w:val="13C838FE"/>
    <w:rsid w:val="13C90009"/>
    <w:rsid w:val="13C94B5C"/>
    <w:rsid w:val="13C95DDF"/>
    <w:rsid w:val="13C9639B"/>
    <w:rsid w:val="13CA3479"/>
    <w:rsid w:val="13CA4FBE"/>
    <w:rsid w:val="13CA5218"/>
    <w:rsid w:val="13CB5445"/>
    <w:rsid w:val="13CB5FFB"/>
    <w:rsid w:val="13CB74DA"/>
    <w:rsid w:val="13CB7DA9"/>
    <w:rsid w:val="13CC096A"/>
    <w:rsid w:val="13CC3B21"/>
    <w:rsid w:val="13CC4A66"/>
    <w:rsid w:val="13CC58CF"/>
    <w:rsid w:val="13CC77E7"/>
    <w:rsid w:val="13CE1647"/>
    <w:rsid w:val="13CE5AEB"/>
    <w:rsid w:val="13CE6CCE"/>
    <w:rsid w:val="13CF28B2"/>
    <w:rsid w:val="13CF716E"/>
    <w:rsid w:val="13D1077B"/>
    <w:rsid w:val="13D11138"/>
    <w:rsid w:val="13D13C8B"/>
    <w:rsid w:val="13D14677"/>
    <w:rsid w:val="13D16EFE"/>
    <w:rsid w:val="13D172F2"/>
    <w:rsid w:val="13D1738A"/>
    <w:rsid w:val="13D17DCB"/>
    <w:rsid w:val="13D34EB0"/>
    <w:rsid w:val="13D35C6C"/>
    <w:rsid w:val="13D36C5E"/>
    <w:rsid w:val="13D44784"/>
    <w:rsid w:val="13D46892"/>
    <w:rsid w:val="13D47C11"/>
    <w:rsid w:val="13D52401"/>
    <w:rsid w:val="13D529D6"/>
    <w:rsid w:val="13D53D9C"/>
    <w:rsid w:val="13D5599D"/>
    <w:rsid w:val="13D6674E"/>
    <w:rsid w:val="13D70146"/>
    <w:rsid w:val="13D84274"/>
    <w:rsid w:val="13D8616E"/>
    <w:rsid w:val="13DA4490"/>
    <w:rsid w:val="13DA5F8A"/>
    <w:rsid w:val="13DA623E"/>
    <w:rsid w:val="13DA7FEC"/>
    <w:rsid w:val="13DC2058"/>
    <w:rsid w:val="13DC26A2"/>
    <w:rsid w:val="13DD5D2E"/>
    <w:rsid w:val="13DD7ADC"/>
    <w:rsid w:val="13DE78C2"/>
    <w:rsid w:val="13DF182E"/>
    <w:rsid w:val="13DF1AA7"/>
    <w:rsid w:val="13DF516A"/>
    <w:rsid w:val="13DF5603"/>
    <w:rsid w:val="13E0137B"/>
    <w:rsid w:val="13E0534B"/>
    <w:rsid w:val="13E10270"/>
    <w:rsid w:val="13E11700"/>
    <w:rsid w:val="13E11E0B"/>
    <w:rsid w:val="13E16B2F"/>
    <w:rsid w:val="13E23345"/>
    <w:rsid w:val="13E239A9"/>
    <w:rsid w:val="13E250F3"/>
    <w:rsid w:val="13E35E18"/>
    <w:rsid w:val="13E3686D"/>
    <w:rsid w:val="13E40E6B"/>
    <w:rsid w:val="13E41912"/>
    <w:rsid w:val="13E45C91"/>
    <w:rsid w:val="13E470BD"/>
    <w:rsid w:val="13E50081"/>
    <w:rsid w:val="13E51902"/>
    <w:rsid w:val="13E6056F"/>
    <w:rsid w:val="13E62580"/>
    <w:rsid w:val="13E65B82"/>
    <w:rsid w:val="13E7095B"/>
    <w:rsid w:val="13E7153A"/>
    <w:rsid w:val="13E86336"/>
    <w:rsid w:val="13E94504"/>
    <w:rsid w:val="13EA1C45"/>
    <w:rsid w:val="13EA20F7"/>
    <w:rsid w:val="13EA360C"/>
    <w:rsid w:val="13EB044B"/>
    <w:rsid w:val="13EB092F"/>
    <w:rsid w:val="13EB2378"/>
    <w:rsid w:val="13EB33F1"/>
    <w:rsid w:val="13EB3FA7"/>
    <w:rsid w:val="13EC0700"/>
    <w:rsid w:val="13EC114B"/>
    <w:rsid w:val="13EC5F71"/>
    <w:rsid w:val="13EC7D20"/>
    <w:rsid w:val="13ED10E4"/>
    <w:rsid w:val="13ED41C3"/>
    <w:rsid w:val="13ED53DF"/>
    <w:rsid w:val="13EE07C7"/>
    <w:rsid w:val="13EE1133"/>
    <w:rsid w:val="13EE1CEA"/>
    <w:rsid w:val="13EE25FB"/>
    <w:rsid w:val="13EE3A98"/>
    <w:rsid w:val="13EE4001"/>
    <w:rsid w:val="13EE5846"/>
    <w:rsid w:val="13EF515E"/>
    <w:rsid w:val="13F00F84"/>
    <w:rsid w:val="13F015BE"/>
    <w:rsid w:val="13F06E13"/>
    <w:rsid w:val="13F07810"/>
    <w:rsid w:val="13F113B8"/>
    <w:rsid w:val="13F11979"/>
    <w:rsid w:val="13F131DC"/>
    <w:rsid w:val="13F136A0"/>
    <w:rsid w:val="13F164E6"/>
    <w:rsid w:val="13F16830"/>
    <w:rsid w:val="13F177A9"/>
    <w:rsid w:val="13F217DA"/>
    <w:rsid w:val="13F2232B"/>
    <w:rsid w:val="13F310AE"/>
    <w:rsid w:val="13F3280A"/>
    <w:rsid w:val="13F3518A"/>
    <w:rsid w:val="13F35552"/>
    <w:rsid w:val="13F5153C"/>
    <w:rsid w:val="13F54158"/>
    <w:rsid w:val="13F55C00"/>
    <w:rsid w:val="13F57B76"/>
    <w:rsid w:val="13F725F5"/>
    <w:rsid w:val="13F76DF0"/>
    <w:rsid w:val="13F8285F"/>
    <w:rsid w:val="13F82B68"/>
    <w:rsid w:val="13F84916"/>
    <w:rsid w:val="13F866C4"/>
    <w:rsid w:val="13F94213"/>
    <w:rsid w:val="13FA065E"/>
    <w:rsid w:val="13FA068E"/>
    <w:rsid w:val="13FA243C"/>
    <w:rsid w:val="13FA41EA"/>
    <w:rsid w:val="13FA68E0"/>
    <w:rsid w:val="13FB28F5"/>
    <w:rsid w:val="13FC1DE2"/>
    <w:rsid w:val="13FC4E78"/>
    <w:rsid w:val="13FD1F2D"/>
    <w:rsid w:val="13FD3F4C"/>
    <w:rsid w:val="13FE0542"/>
    <w:rsid w:val="13FE2ADA"/>
    <w:rsid w:val="13FF7A53"/>
    <w:rsid w:val="140007CA"/>
    <w:rsid w:val="14004C89"/>
    <w:rsid w:val="140101E5"/>
    <w:rsid w:val="14010CEA"/>
    <w:rsid w:val="14011A1D"/>
    <w:rsid w:val="140142DC"/>
    <w:rsid w:val="140212F1"/>
    <w:rsid w:val="14027267"/>
    <w:rsid w:val="14027543"/>
    <w:rsid w:val="14027BD1"/>
    <w:rsid w:val="1404150D"/>
    <w:rsid w:val="14045165"/>
    <w:rsid w:val="14050A90"/>
    <w:rsid w:val="14055F2A"/>
    <w:rsid w:val="14060DE1"/>
    <w:rsid w:val="14064F0C"/>
    <w:rsid w:val="14072DAB"/>
    <w:rsid w:val="14074B59"/>
    <w:rsid w:val="14085946"/>
    <w:rsid w:val="14085FEC"/>
    <w:rsid w:val="14086385"/>
    <w:rsid w:val="14090752"/>
    <w:rsid w:val="140908D1"/>
    <w:rsid w:val="140A4949"/>
    <w:rsid w:val="140A5201"/>
    <w:rsid w:val="140B289C"/>
    <w:rsid w:val="140B63F8"/>
    <w:rsid w:val="140C3903"/>
    <w:rsid w:val="140C5F5F"/>
    <w:rsid w:val="140D022C"/>
    <w:rsid w:val="140E03B2"/>
    <w:rsid w:val="140E269B"/>
    <w:rsid w:val="140E460E"/>
    <w:rsid w:val="140E5EE8"/>
    <w:rsid w:val="14101C60"/>
    <w:rsid w:val="14103A0E"/>
    <w:rsid w:val="14107EB2"/>
    <w:rsid w:val="141136D7"/>
    <w:rsid w:val="14116045"/>
    <w:rsid w:val="14117786"/>
    <w:rsid w:val="14120B35"/>
    <w:rsid w:val="141231C7"/>
    <w:rsid w:val="14123C2A"/>
    <w:rsid w:val="14125495"/>
    <w:rsid w:val="1413052D"/>
    <w:rsid w:val="14131750"/>
    <w:rsid w:val="141319BD"/>
    <w:rsid w:val="14131C05"/>
    <w:rsid w:val="14132975"/>
    <w:rsid w:val="141352AC"/>
    <w:rsid w:val="14136C94"/>
    <w:rsid w:val="14140C27"/>
    <w:rsid w:val="141523B3"/>
    <w:rsid w:val="141554C8"/>
    <w:rsid w:val="14161AF0"/>
    <w:rsid w:val="14167974"/>
    <w:rsid w:val="14171240"/>
    <w:rsid w:val="14171CA3"/>
    <w:rsid w:val="14172FEE"/>
    <w:rsid w:val="14180B15"/>
    <w:rsid w:val="14181D9D"/>
    <w:rsid w:val="14197876"/>
    <w:rsid w:val="141A78FC"/>
    <w:rsid w:val="141C0605"/>
    <w:rsid w:val="141C2D20"/>
    <w:rsid w:val="141C4E05"/>
    <w:rsid w:val="141C6857"/>
    <w:rsid w:val="141D3A6C"/>
    <w:rsid w:val="141D53FC"/>
    <w:rsid w:val="141D5E0F"/>
    <w:rsid w:val="141D612B"/>
    <w:rsid w:val="141E1EF0"/>
    <w:rsid w:val="141E5A17"/>
    <w:rsid w:val="141F00F5"/>
    <w:rsid w:val="141F46D8"/>
    <w:rsid w:val="14201F81"/>
    <w:rsid w:val="1420443E"/>
    <w:rsid w:val="1420576D"/>
    <w:rsid w:val="14207959"/>
    <w:rsid w:val="14215702"/>
    <w:rsid w:val="14215C1B"/>
    <w:rsid w:val="1421783D"/>
    <w:rsid w:val="14221993"/>
    <w:rsid w:val="14221AD5"/>
    <w:rsid w:val="14223210"/>
    <w:rsid w:val="14223741"/>
    <w:rsid w:val="142247D6"/>
    <w:rsid w:val="142314B2"/>
    <w:rsid w:val="14231C9D"/>
    <w:rsid w:val="14232BF3"/>
    <w:rsid w:val="14237BE5"/>
    <w:rsid w:val="14240A78"/>
    <w:rsid w:val="14244923"/>
    <w:rsid w:val="1424570B"/>
    <w:rsid w:val="142474B9"/>
    <w:rsid w:val="14252936"/>
    <w:rsid w:val="142536B4"/>
    <w:rsid w:val="1426088F"/>
    <w:rsid w:val="14261483"/>
    <w:rsid w:val="14263231"/>
    <w:rsid w:val="142633DF"/>
    <w:rsid w:val="142676D5"/>
    <w:rsid w:val="14270100"/>
    <w:rsid w:val="14270D58"/>
    <w:rsid w:val="14274B19"/>
    <w:rsid w:val="14276FAA"/>
    <w:rsid w:val="14277B85"/>
    <w:rsid w:val="14287976"/>
    <w:rsid w:val="14291F60"/>
    <w:rsid w:val="14292D22"/>
    <w:rsid w:val="14294AD0"/>
    <w:rsid w:val="142A0E69"/>
    <w:rsid w:val="142A175F"/>
    <w:rsid w:val="142B0848"/>
    <w:rsid w:val="142B4CEC"/>
    <w:rsid w:val="142B5B3A"/>
    <w:rsid w:val="142B6550"/>
    <w:rsid w:val="142B6A9A"/>
    <w:rsid w:val="142C2815"/>
    <w:rsid w:val="142C636E"/>
    <w:rsid w:val="142D1DF4"/>
    <w:rsid w:val="142D3F8C"/>
    <w:rsid w:val="142D4C8E"/>
    <w:rsid w:val="142E0338"/>
    <w:rsid w:val="142E353F"/>
    <w:rsid w:val="142F2FE9"/>
    <w:rsid w:val="142F70A5"/>
    <w:rsid w:val="142F7384"/>
    <w:rsid w:val="143017A1"/>
    <w:rsid w:val="14302302"/>
    <w:rsid w:val="14302E1C"/>
    <w:rsid w:val="143040B0"/>
    <w:rsid w:val="14305686"/>
    <w:rsid w:val="14305E5E"/>
    <w:rsid w:val="1431787E"/>
    <w:rsid w:val="14327E28"/>
    <w:rsid w:val="14330FA7"/>
    <w:rsid w:val="1433338D"/>
    <w:rsid w:val="14333BA0"/>
    <w:rsid w:val="14334BC8"/>
    <w:rsid w:val="1433594E"/>
    <w:rsid w:val="143405E1"/>
    <w:rsid w:val="14340993"/>
    <w:rsid w:val="1434515B"/>
    <w:rsid w:val="14345380"/>
    <w:rsid w:val="14356FCB"/>
    <w:rsid w:val="14357171"/>
    <w:rsid w:val="143607D6"/>
    <w:rsid w:val="14364E4A"/>
    <w:rsid w:val="14364E4F"/>
    <w:rsid w:val="143724BF"/>
    <w:rsid w:val="1437353C"/>
    <w:rsid w:val="14373691"/>
    <w:rsid w:val="14396509"/>
    <w:rsid w:val="14396FFB"/>
    <w:rsid w:val="143A0A8B"/>
    <w:rsid w:val="143A4C97"/>
    <w:rsid w:val="143A4F2F"/>
    <w:rsid w:val="143A606B"/>
    <w:rsid w:val="143A6CDD"/>
    <w:rsid w:val="143C0BC9"/>
    <w:rsid w:val="143C0CA7"/>
    <w:rsid w:val="143C4803"/>
    <w:rsid w:val="143C7C84"/>
    <w:rsid w:val="143D4E91"/>
    <w:rsid w:val="143D67CD"/>
    <w:rsid w:val="143E08C0"/>
    <w:rsid w:val="143E4A1F"/>
    <w:rsid w:val="143E7539"/>
    <w:rsid w:val="143F0797"/>
    <w:rsid w:val="143F1FA6"/>
    <w:rsid w:val="143F2545"/>
    <w:rsid w:val="143F310F"/>
    <w:rsid w:val="143F42F3"/>
    <w:rsid w:val="143F60A1"/>
    <w:rsid w:val="143F6109"/>
    <w:rsid w:val="143F7359"/>
    <w:rsid w:val="14404CC0"/>
    <w:rsid w:val="144068BA"/>
    <w:rsid w:val="14411AB2"/>
    <w:rsid w:val="14415842"/>
    <w:rsid w:val="14417C2B"/>
    <w:rsid w:val="14417F5A"/>
    <w:rsid w:val="14422DC2"/>
    <w:rsid w:val="14423DE3"/>
    <w:rsid w:val="1442411B"/>
    <w:rsid w:val="14425611"/>
    <w:rsid w:val="1442760C"/>
    <w:rsid w:val="14430A9C"/>
    <w:rsid w:val="14431548"/>
    <w:rsid w:val="14432035"/>
    <w:rsid w:val="14437B33"/>
    <w:rsid w:val="14440597"/>
    <w:rsid w:val="14442847"/>
    <w:rsid w:val="14443AE8"/>
    <w:rsid w:val="14443FFA"/>
    <w:rsid w:val="14445DAD"/>
    <w:rsid w:val="1445127B"/>
    <w:rsid w:val="14451546"/>
    <w:rsid w:val="144622CA"/>
    <w:rsid w:val="144638D4"/>
    <w:rsid w:val="14465682"/>
    <w:rsid w:val="14466C11"/>
    <w:rsid w:val="14480914"/>
    <w:rsid w:val="144825C9"/>
    <w:rsid w:val="1448289C"/>
    <w:rsid w:val="144848D9"/>
    <w:rsid w:val="14486842"/>
    <w:rsid w:val="14487A29"/>
    <w:rsid w:val="14490C3B"/>
    <w:rsid w:val="144953B6"/>
    <w:rsid w:val="14496F20"/>
    <w:rsid w:val="144A4233"/>
    <w:rsid w:val="144A43FD"/>
    <w:rsid w:val="144A7242"/>
    <w:rsid w:val="144B2C98"/>
    <w:rsid w:val="144B2D35"/>
    <w:rsid w:val="144B5C33"/>
    <w:rsid w:val="144D31B9"/>
    <w:rsid w:val="144D4C62"/>
    <w:rsid w:val="144D65A6"/>
    <w:rsid w:val="144D6A10"/>
    <w:rsid w:val="144E2788"/>
    <w:rsid w:val="144E4BC4"/>
    <w:rsid w:val="144E5BAF"/>
    <w:rsid w:val="144E65DE"/>
    <w:rsid w:val="144F21BD"/>
    <w:rsid w:val="144F664E"/>
    <w:rsid w:val="14506500"/>
    <w:rsid w:val="14517E09"/>
    <w:rsid w:val="14522278"/>
    <w:rsid w:val="14524026"/>
    <w:rsid w:val="14525350"/>
    <w:rsid w:val="14530591"/>
    <w:rsid w:val="14530723"/>
    <w:rsid w:val="14531B4D"/>
    <w:rsid w:val="1453207E"/>
    <w:rsid w:val="14535FF1"/>
    <w:rsid w:val="14537D9F"/>
    <w:rsid w:val="14540665"/>
    <w:rsid w:val="14541A21"/>
    <w:rsid w:val="14542E4B"/>
    <w:rsid w:val="14542EB1"/>
    <w:rsid w:val="1454350F"/>
    <w:rsid w:val="14547DF4"/>
    <w:rsid w:val="14551D51"/>
    <w:rsid w:val="14551D69"/>
    <w:rsid w:val="14553B17"/>
    <w:rsid w:val="145558C5"/>
    <w:rsid w:val="145573D0"/>
    <w:rsid w:val="1456135A"/>
    <w:rsid w:val="14570C09"/>
    <w:rsid w:val="14571089"/>
    <w:rsid w:val="1457163D"/>
    <w:rsid w:val="145727CF"/>
    <w:rsid w:val="1457570B"/>
    <w:rsid w:val="1457788F"/>
    <w:rsid w:val="14583DFD"/>
    <w:rsid w:val="14584758"/>
    <w:rsid w:val="145853B5"/>
    <w:rsid w:val="14585FB4"/>
    <w:rsid w:val="14586719"/>
    <w:rsid w:val="14587163"/>
    <w:rsid w:val="14594666"/>
    <w:rsid w:val="14594849"/>
    <w:rsid w:val="145A2EDB"/>
    <w:rsid w:val="145B6770"/>
    <w:rsid w:val="145B6D23"/>
    <w:rsid w:val="145C11AF"/>
    <w:rsid w:val="145C1379"/>
    <w:rsid w:val="145C30F7"/>
    <w:rsid w:val="145C4EA5"/>
    <w:rsid w:val="145D05CD"/>
    <w:rsid w:val="145D1643"/>
    <w:rsid w:val="145D2C72"/>
    <w:rsid w:val="145D4F68"/>
    <w:rsid w:val="145D7B7F"/>
    <w:rsid w:val="145E0C1D"/>
    <w:rsid w:val="145E1926"/>
    <w:rsid w:val="145F6743"/>
    <w:rsid w:val="1460258D"/>
    <w:rsid w:val="14607FC4"/>
    <w:rsid w:val="1461070D"/>
    <w:rsid w:val="14612004"/>
    <w:rsid w:val="14612B95"/>
    <w:rsid w:val="14617E5E"/>
    <w:rsid w:val="14622977"/>
    <w:rsid w:val="14624025"/>
    <w:rsid w:val="14624D7D"/>
    <w:rsid w:val="14626F2F"/>
    <w:rsid w:val="14633D69"/>
    <w:rsid w:val="14635D18"/>
    <w:rsid w:val="14636444"/>
    <w:rsid w:val="14641FAC"/>
    <w:rsid w:val="14642702"/>
    <w:rsid w:val="14643D5A"/>
    <w:rsid w:val="14650B18"/>
    <w:rsid w:val="14650F36"/>
    <w:rsid w:val="146616B7"/>
    <w:rsid w:val="14661880"/>
    <w:rsid w:val="14665826"/>
    <w:rsid w:val="146672AF"/>
    <w:rsid w:val="1468384A"/>
    <w:rsid w:val="1468507E"/>
    <w:rsid w:val="14693246"/>
    <w:rsid w:val="14697BE6"/>
    <w:rsid w:val="146A0DCD"/>
    <w:rsid w:val="146A1067"/>
    <w:rsid w:val="146A3D40"/>
    <w:rsid w:val="146B158C"/>
    <w:rsid w:val="146B469A"/>
    <w:rsid w:val="146B55CD"/>
    <w:rsid w:val="146B56AA"/>
    <w:rsid w:val="146B6E96"/>
    <w:rsid w:val="146B788D"/>
    <w:rsid w:val="146C43F8"/>
    <w:rsid w:val="146C57C9"/>
    <w:rsid w:val="146C725C"/>
    <w:rsid w:val="146D00E6"/>
    <w:rsid w:val="146D2C0E"/>
    <w:rsid w:val="146D4AE0"/>
    <w:rsid w:val="146E25C8"/>
    <w:rsid w:val="146E387D"/>
    <w:rsid w:val="146E3A58"/>
    <w:rsid w:val="146E4BD8"/>
    <w:rsid w:val="146E5199"/>
    <w:rsid w:val="146E6986"/>
    <w:rsid w:val="146F1265"/>
    <w:rsid w:val="146F75AD"/>
    <w:rsid w:val="14700951"/>
    <w:rsid w:val="147026FF"/>
    <w:rsid w:val="14706BA3"/>
    <w:rsid w:val="14713B1A"/>
    <w:rsid w:val="1472287A"/>
    <w:rsid w:val="147233B6"/>
    <w:rsid w:val="147267B6"/>
    <w:rsid w:val="147306A9"/>
    <w:rsid w:val="1473340B"/>
    <w:rsid w:val="14733F9D"/>
    <w:rsid w:val="147541B9"/>
    <w:rsid w:val="14755F67"/>
    <w:rsid w:val="1475773C"/>
    <w:rsid w:val="14761E85"/>
    <w:rsid w:val="1476406D"/>
    <w:rsid w:val="1476585D"/>
    <w:rsid w:val="147748F5"/>
    <w:rsid w:val="14776E6D"/>
    <w:rsid w:val="1478017C"/>
    <w:rsid w:val="147815B3"/>
    <w:rsid w:val="14787805"/>
    <w:rsid w:val="1479369A"/>
    <w:rsid w:val="14794FB3"/>
    <w:rsid w:val="14795A57"/>
    <w:rsid w:val="14797193"/>
    <w:rsid w:val="147A02EE"/>
    <w:rsid w:val="147A357D"/>
    <w:rsid w:val="147B3996"/>
    <w:rsid w:val="147B4B67"/>
    <w:rsid w:val="147C67B9"/>
    <w:rsid w:val="147C72F5"/>
    <w:rsid w:val="147E12BF"/>
    <w:rsid w:val="147E18EF"/>
    <w:rsid w:val="147E306D"/>
    <w:rsid w:val="147E4E1C"/>
    <w:rsid w:val="147E51D2"/>
    <w:rsid w:val="147F0184"/>
    <w:rsid w:val="147F0772"/>
    <w:rsid w:val="147F1737"/>
    <w:rsid w:val="1480500E"/>
    <w:rsid w:val="148122B0"/>
    <w:rsid w:val="148127CB"/>
    <w:rsid w:val="148166BA"/>
    <w:rsid w:val="148237C4"/>
    <w:rsid w:val="14823879"/>
    <w:rsid w:val="148263DD"/>
    <w:rsid w:val="14830684"/>
    <w:rsid w:val="1483335E"/>
    <w:rsid w:val="148368D6"/>
    <w:rsid w:val="148420E0"/>
    <w:rsid w:val="148423D6"/>
    <w:rsid w:val="14847F58"/>
    <w:rsid w:val="14852E5C"/>
    <w:rsid w:val="14863CD0"/>
    <w:rsid w:val="14864B21"/>
    <w:rsid w:val="14870489"/>
    <w:rsid w:val="14872963"/>
    <w:rsid w:val="14876B7F"/>
    <w:rsid w:val="1487745C"/>
    <w:rsid w:val="14881F69"/>
    <w:rsid w:val="14882D7C"/>
    <w:rsid w:val="14883EEC"/>
    <w:rsid w:val="14887A48"/>
    <w:rsid w:val="14887D75"/>
    <w:rsid w:val="14891A12"/>
    <w:rsid w:val="14891CB0"/>
    <w:rsid w:val="148937C0"/>
    <w:rsid w:val="148A3231"/>
    <w:rsid w:val="148B1CC8"/>
    <w:rsid w:val="148C0722"/>
    <w:rsid w:val="148D1503"/>
    <w:rsid w:val="148D2A0E"/>
    <w:rsid w:val="148D5005"/>
    <w:rsid w:val="148D505F"/>
    <w:rsid w:val="148E21BE"/>
    <w:rsid w:val="14902DA1"/>
    <w:rsid w:val="14904B4F"/>
    <w:rsid w:val="149070A3"/>
    <w:rsid w:val="1491368F"/>
    <w:rsid w:val="14916C00"/>
    <w:rsid w:val="149208C7"/>
    <w:rsid w:val="14921A7A"/>
    <w:rsid w:val="14924491"/>
    <w:rsid w:val="14926B19"/>
    <w:rsid w:val="149363ED"/>
    <w:rsid w:val="14942891"/>
    <w:rsid w:val="1494358B"/>
    <w:rsid w:val="14946D7D"/>
    <w:rsid w:val="14947E5E"/>
    <w:rsid w:val="149503B7"/>
    <w:rsid w:val="14954907"/>
    <w:rsid w:val="14955C15"/>
    <w:rsid w:val="14956609"/>
    <w:rsid w:val="14956A87"/>
    <w:rsid w:val="14961286"/>
    <w:rsid w:val="14963F1C"/>
    <w:rsid w:val="14972381"/>
    <w:rsid w:val="14972C64"/>
    <w:rsid w:val="14974BAD"/>
    <w:rsid w:val="14975EDD"/>
    <w:rsid w:val="14977C8B"/>
    <w:rsid w:val="1498392C"/>
    <w:rsid w:val="14983A03"/>
    <w:rsid w:val="149840F4"/>
    <w:rsid w:val="1499098C"/>
    <w:rsid w:val="14991C55"/>
    <w:rsid w:val="14997EA7"/>
    <w:rsid w:val="149A3C1F"/>
    <w:rsid w:val="149A528C"/>
    <w:rsid w:val="149A777C"/>
    <w:rsid w:val="149B20AF"/>
    <w:rsid w:val="149B2FE6"/>
    <w:rsid w:val="149C108E"/>
    <w:rsid w:val="149C1746"/>
    <w:rsid w:val="149C1DA0"/>
    <w:rsid w:val="149C7998"/>
    <w:rsid w:val="149D101A"/>
    <w:rsid w:val="149D16A7"/>
    <w:rsid w:val="149D1D5B"/>
    <w:rsid w:val="149E0D73"/>
    <w:rsid w:val="149E27D4"/>
    <w:rsid w:val="149E54BE"/>
    <w:rsid w:val="149E692A"/>
    <w:rsid w:val="149F3FC7"/>
    <w:rsid w:val="149F4725"/>
    <w:rsid w:val="149F4D92"/>
    <w:rsid w:val="149F56C4"/>
    <w:rsid w:val="14A0243C"/>
    <w:rsid w:val="14A11363"/>
    <w:rsid w:val="14A1142A"/>
    <w:rsid w:val="14A25CC2"/>
    <w:rsid w:val="14A27D77"/>
    <w:rsid w:val="14A34882"/>
    <w:rsid w:val="14A52C6D"/>
    <w:rsid w:val="14A538BB"/>
    <w:rsid w:val="14A55F35"/>
    <w:rsid w:val="14A57E39"/>
    <w:rsid w:val="14A6273C"/>
    <w:rsid w:val="14A72472"/>
    <w:rsid w:val="14A77233"/>
    <w:rsid w:val="14A77EDA"/>
    <w:rsid w:val="14A81E98"/>
    <w:rsid w:val="14A847A8"/>
    <w:rsid w:val="14A9034B"/>
    <w:rsid w:val="14A95C11"/>
    <w:rsid w:val="14A979BF"/>
    <w:rsid w:val="14AA3E63"/>
    <w:rsid w:val="14AB256A"/>
    <w:rsid w:val="14AB3737"/>
    <w:rsid w:val="14AB3CAB"/>
    <w:rsid w:val="14AC39FA"/>
    <w:rsid w:val="14AC5F39"/>
    <w:rsid w:val="14AC667F"/>
    <w:rsid w:val="14AD1E7B"/>
    <w:rsid w:val="14AD3953"/>
    <w:rsid w:val="14AD45A8"/>
    <w:rsid w:val="14AD74AF"/>
    <w:rsid w:val="14AD791F"/>
    <w:rsid w:val="14AE03D2"/>
    <w:rsid w:val="14AE0E8D"/>
    <w:rsid w:val="14AE1E69"/>
    <w:rsid w:val="14AE371B"/>
    <w:rsid w:val="14AF0EEB"/>
    <w:rsid w:val="14AF1479"/>
    <w:rsid w:val="14AF3ABC"/>
    <w:rsid w:val="14B06F9F"/>
    <w:rsid w:val="14B14907"/>
    <w:rsid w:val="14B20F69"/>
    <w:rsid w:val="14B228B3"/>
    <w:rsid w:val="14B2460F"/>
    <w:rsid w:val="14B24AC5"/>
    <w:rsid w:val="14B2509F"/>
    <w:rsid w:val="14B252E6"/>
    <w:rsid w:val="14B26ECB"/>
    <w:rsid w:val="14B2786C"/>
    <w:rsid w:val="14B31B7C"/>
    <w:rsid w:val="14B338CD"/>
    <w:rsid w:val="14B4083D"/>
    <w:rsid w:val="14B435FB"/>
    <w:rsid w:val="14B44CE1"/>
    <w:rsid w:val="14B46A8F"/>
    <w:rsid w:val="14B47DDB"/>
    <w:rsid w:val="14B52807"/>
    <w:rsid w:val="14B545B5"/>
    <w:rsid w:val="14B54D05"/>
    <w:rsid w:val="14B54D9B"/>
    <w:rsid w:val="14B561ED"/>
    <w:rsid w:val="14B606A6"/>
    <w:rsid w:val="14B6220A"/>
    <w:rsid w:val="14B7032D"/>
    <w:rsid w:val="14B71FF4"/>
    <w:rsid w:val="14B720DC"/>
    <w:rsid w:val="14B76E70"/>
    <w:rsid w:val="14B865A8"/>
    <w:rsid w:val="14B87F64"/>
    <w:rsid w:val="14B922F8"/>
    <w:rsid w:val="14B92843"/>
    <w:rsid w:val="14B940A6"/>
    <w:rsid w:val="14B95E54"/>
    <w:rsid w:val="14BA0BCF"/>
    <w:rsid w:val="14BA146A"/>
    <w:rsid w:val="14BA676F"/>
    <w:rsid w:val="14BA6D41"/>
    <w:rsid w:val="14BC5944"/>
    <w:rsid w:val="14BD1E65"/>
    <w:rsid w:val="14BE12CE"/>
    <w:rsid w:val="14BE23A9"/>
    <w:rsid w:val="14BE35AD"/>
    <w:rsid w:val="14BE5E0F"/>
    <w:rsid w:val="14BF1CA7"/>
    <w:rsid w:val="14BF5A4D"/>
    <w:rsid w:val="14C019BC"/>
    <w:rsid w:val="14C0309A"/>
    <w:rsid w:val="14C07545"/>
    <w:rsid w:val="14C12F5A"/>
    <w:rsid w:val="14C173FE"/>
    <w:rsid w:val="14C20792"/>
    <w:rsid w:val="14C2291B"/>
    <w:rsid w:val="14C34F24"/>
    <w:rsid w:val="14C4222A"/>
    <w:rsid w:val="14C45E15"/>
    <w:rsid w:val="14C538C2"/>
    <w:rsid w:val="14C55CE2"/>
    <w:rsid w:val="14C60571"/>
    <w:rsid w:val="14C61455"/>
    <w:rsid w:val="14C636D7"/>
    <w:rsid w:val="14C64A14"/>
    <w:rsid w:val="14C667C2"/>
    <w:rsid w:val="14C70AE5"/>
    <w:rsid w:val="14C71D43"/>
    <w:rsid w:val="14C77C88"/>
    <w:rsid w:val="14C81A92"/>
    <w:rsid w:val="14C91E0F"/>
    <w:rsid w:val="14C94DA1"/>
    <w:rsid w:val="14CB11C3"/>
    <w:rsid w:val="14CB5B87"/>
    <w:rsid w:val="14CB7DCB"/>
    <w:rsid w:val="14CC3DEB"/>
    <w:rsid w:val="14CC45CF"/>
    <w:rsid w:val="14CC6EAC"/>
    <w:rsid w:val="14CD5DA3"/>
    <w:rsid w:val="14CD7045"/>
    <w:rsid w:val="14CE07B2"/>
    <w:rsid w:val="14CE4BA7"/>
    <w:rsid w:val="14CF176B"/>
    <w:rsid w:val="14CF38C9"/>
    <w:rsid w:val="14CF3B54"/>
    <w:rsid w:val="14D06481"/>
    <w:rsid w:val="14D110EA"/>
    <w:rsid w:val="14D12C03"/>
    <w:rsid w:val="14D154C3"/>
    <w:rsid w:val="14D1681B"/>
    <w:rsid w:val="14D25167"/>
    <w:rsid w:val="14D25715"/>
    <w:rsid w:val="14D32865"/>
    <w:rsid w:val="14D32A28"/>
    <w:rsid w:val="14D32B00"/>
    <w:rsid w:val="14D408A1"/>
    <w:rsid w:val="14D40EDF"/>
    <w:rsid w:val="14D432C5"/>
    <w:rsid w:val="14D4354D"/>
    <w:rsid w:val="14D43C4E"/>
    <w:rsid w:val="14D4729B"/>
    <w:rsid w:val="14D507B4"/>
    <w:rsid w:val="14D50998"/>
    <w:rsid w:val="14D52C06"/>
    <w:rsid w:val="14D56A06"/>
    <w:rsid w:val="14D57537"/>
    <w:rsid w:val="14D57906"/>
    <w:rsid w:val="14D64C58"/>
    <w:rsid w:val="14D655F8"/>
    <w:rsid w:val="14D66B64"/>
    <w:rsid w:val="14D700F7"/>
    <w:rsid w:val="14D73DB7"/>
    <w:rsid w:val="14D7452C"/>
    <w:rsid w:val="14D92D34"/>
    <w:rsid w:val="14D94748"/>
    <w:rsid w:val="14D95718"/>
    <w:rsid w:val="14D964F6"/>
    <w:rsid w:val="14DA04D1"/>
    <w:rsid w:val="14DB04C0"/>
    <w:rsid w:val="14DB226E"/>
    <w:rsid w:val="14DB6811"/>
    <w:rsid w:val="14DC2AD9"/>
    <w:rsid w:val="14DD0D3E"/>
    <w:rsid w:val="14DD2C3C"/>
    <w:rsid w:val="14DD70EC"/>
    <w:rsid w:val="14DD7390"/>
    <w:rsid w:val="14DE14F7"/>
    <w:rsid w:val="14DF1632"/>
    <w:rsid w:val="14DF34C0"/>
    <w:rsid w:val="14DF54B4"/>
    <w:rsid w:val="14E05931"/>
    <w:rsid w:val="14E05A45"/>
    <w:rsid w:val="14E05AD6"/>
    <w:rsid w:val="14E135FC"/>
    <w:rsid w:val="14E153AA"/>
    <w:rsid w:val="14E16E52"/>
    <w:rsid w:val="14E23E67"/>
    <w:rsid w:val="14E31122"/>
    <w:rsid w:val="14E37374"/>
    <w:rsid w:val="14E41B6B"/>
    <w:rsid w:val="14E426FB"/>
    <w:rsid w:val="14E433E0"/>
    <w:rsid w:val="14E4459F"/>
    <w:rsid w:val="14E46C49"/>
    <w:rsid w:val="14E530ED"/>
    <w:rsid w:val="14E53B8B"/>
    <w:rsid w:val="14E54E9B"/>
    <w:rsid w:val="14E55C73"/>
    <w:rsid w:val="14E60C13"/>
    <w:rsid w:val="14E776AA"/>
    <w:rsid w:val="14E77BEC"/>
    <w:rsid w:val="14E804E7"/>
    <w:rsid w:val="14E8052F"/>
    <w:rsid w:val="14E82BDD"/>
    <w:rsid w:val="14E94939"/>
    <w:rsid w:val="14E969EF"/>
    <w:rsid w:val="14EA0E2A"/>
    <w:rsid w:val="14EA24B1"/>
    <w:rsid w:val="14EA425F"/>
    <w:rsid w:val="14EA4812"/>
    <w:rsid w:val="14EA4920"/>
    <w:rsid w:val="14EB1960"/>
    <w:rsid w:val="14EB541D"/>
    <w:rsid w:val="14EB703C"/>
    <w:rsid w:val="14EB7FD7"/>
    <w:rsid w:val="14EC331F"/>
    <w:rsid w:val="14EC4D94"/>
    <w:rsid w:val="14ED0AB8"/>
    <w:rsid w:val="14ED1A12"/>
    <w:rsid w:val="14ED3B01"/>
    <w:rsid w:val="14ED3D4F"/>
    <w:rsid w:val="14ED5CFE"/>
    <w:rsid w:val="14ED7DDB"/>
    <w:rsid w:val="14EE3E80"/>
    <w:rsid w:val="14EE5724"/>
    <w:rsid w:val="14EF1875"/>
    <w:rsid w:val="14EF7AC7"/>
    <w:rsid w:val="14F01CFE"/>
    <w:rsid w:val="14F03B81"/>
    <w:rsid w:val="14F055ED"/>
    <w:rsid w:val="14F21366"/>
    <w:rsid w:val="14F238F6"/>
    <w:rsid w:val="14F25EDF"/>
    <w:rsid w:val="14F271DF"/>
    <w:rsid w:val="14F275B8"/>
    <w:rsid w:val="14F322BB"/>
    <w:rsid w:val="14F37F37"/>
    <w:rsid w:val="14F426C3"/>
    <w:rsid w:val="14F50CC4"/>
    <w:rsid w:val="14F50E56"/>
    <w:rsid w:val="14F52C3E"/>
    <w:rsid w:val="14F555C3"/>
    <w:rsid w:val="14F670A8"/>
    <w:rsid w:val="14F74D43"/>
    <w:rsid w:val="14F80B71"/>
    <w:rsid w:val="14F87211"/>
    <w:rsid w:val="14F92001"/>
    <w:rsid w:val="14F95DD5"/>
    <w:rsid w:val="14F96B98"/>
    <w:rsid w:val="14FA14F9"/>
    <w:rsid w:val="14FA29CF"/>
    <w:rsid w:val="14FB46BE"/>
    <w:rsid w:val="14FB646C"/>
    <w:rsid w:val="14FB6BED"/>
    <w:rsid w:val="14FB74F2"/>
    <w:rsid w:val="14FB796C"/>
    <w:rsid w:val="14FC0436"/>
    <w:rsid w:val="14FC3F92"/>
    <w:rsid w:val="14FD70A0"/>
    <w:rsid w:val="14FE041F"/>
    <w:rsid w:val="14FE07EA"/>
    <w:rsid w:val="14FE2897"/>
    <w:rsid w:val="14FE41AE"/>
    <w:rsid w:val="14FE5F5C"/>
    <w:rsid w:val="14FE7294"/>
    <w:rsid w:val="14FE762F"/>
    <w:rsid w:val="14FF2934"/>
    <w:rsid w:val="15006E0A"/>
    <w:rsid w:val="150115A9"/>
    <w:rsid w:val="1501708E"/>
    <w:rsid w:val="15023C9F"/>
    <w:rsid w:val="150247F4"/>
    <w:rsid w:val="1502777C"/>
    <w:rsid w:val="150317C5"/>
    <w:rsid w:val="15033573"/>
    <w:rsid w:val="15033DA0"/>
    <w:rsid w:val="150426E8"/>
    <w:rsid w:val="15045D14"/>
    <w:rsid w:val="150505A4"/>
    <w:rsid w:val="15051C9D"/>
    <w:rsid w:val="15053E8F"/>
    <w:rsid w:val="15054A5F"/>
    <w:rsid w:val="1505553D"/>
    <w:rsid w:val="150557E2"/>
    <w:rsid w:val="150572EB"/>
    <w:rsid w:val="15061529"/>
    <w:rsid w:val="15064558"/>
    <w:rsid w:val="150667B0"/>
    <w:rsid w:val="150712B5"/>
    <w:rsid w:val="15071480"/>
    <w:rsid w:val="15074CE8"/>
    <w:rsid w:val="1507713B"/>
    <w:rsid w:val="15081348"/>
    <w:rsid w:val="15081769"/>
    <w:rsid w:val="15090F10"/>
    <w:rsid w:val="1509266C"/>
    <w:rsid w:val="150972DE"/>
    <w:rsid w:val="15097D38"/>
    <w:rsid w:val="150A1227"/>
    <w:rsid w:val="150A2B53"/>
    <w:rsid w:val="150A4416"/>
    <w:rsid w:val="150A4901"/>
    <w:rsid w:val="150D44D8"/>
    <w:rsid w:val="150E226A"/>
    <w:rsid w:val="150F0169"/>
    <w:rsid w:val="150F6DF8"/>
    <w:rsid w:val="15103477"/>
    <w:rsid w:val="15104C87"/>
    <w:rsid w:val="1510629B"/>
    <w:rsid w:val="15107A3E"/>
    <w:rsid w:val="15113EE2"/>
    <w:rsid w:val="15115C90"/>
    <w:rsid w:val="151212E8"/>
    <w:rsid w:val="15121A08"/>
    <w:rsid w:val="15121A66"/>
    <w:rsid w:val="15122B33"/>
    <w:rsid w:val="1512338B"/>
    <w:rsid w:val="151237B6"/>
    <w:rsid w:val="151242E9"/>
    <w:rsid w:val="15140C5F"/>
    <w:rsid w:val="151417DA"/>
    <w:rsid w:val="15141FD9"/>
    <w:rsid w:val="15142399"/>
    <w:rsid w:val="15145780"/>
    <w:rsid w:val="151535F4"/>
    <w:rsid w:val="151614F8"/>
    <w:rsid w:val="15170DCC"/>
    <w:rsid w:val="151724F4"/>
    <w:rsid w:val="151729C8"/>
    <w:rsid w:val="15174DEE"/>
    <w:rsid w:val="15175270"/>
    <w:rsid w:val="151872A2"/>
    <w:rsid w:val="15190FE8"/>
    <w:rsid w:val="15192D96"/>
    <w:rsid w:val="15194B44"/>
    <w:rsid w:val="15194C23"/>
    <w:rsid w:val="151A1BA8"/>
    <w:rsid w:val="151A401E"/>
    <w:rsid w:val="151A4300"/>
    <w:rsid w:val="151A5B9C"/>
    <w:rsid w:val="151B4D60"/>
    <w:rsid w:val="151B6B0E"/>
    <w:rsid w:val="151C17D3"/>
    <w:rsid w:val="151C212F"/>
    <w:rsid w:val="151D053F"/>
    <w:rsid w:val="151D2886"/>
    <w:rsid w:val="151D29B8"/>
    <w:rsid w:val="151D606D"/>
    <w:rsid w:val="151E03AD"/>
    <w:rsid w:val="151E4C1A"/>
    <w:rsid w:val="151F3D1C"/>
    <w:rsid w:val="151F68ED"/>
    <w:rsid w:val="15204125"/>
    <w:rsid w:val="15223661"/>
    <w:rsid w:val="152471FF"/>
    <w:rsid w:val="1525173B"/>
    <w:rsid w:val="1525577A"/>
    <w:rsid w:val="1526096D"/>
    <w:rsid w:val="15260C77"/>
    <w:rsid w:val="152624AE"/>
    <w:rsid w:val="15263BEF"/>
    <w:rsid w:val="15273705"/>
    <w:rsid w:val="152754B3"/>
    <w:rsid w:val="152814C3"/>
    <w:rsid w:val="15282FD9"/>
    <w:rsid w:val="152858C6"/>
    <w:rsid w:val="15287D4A"/>
    <w:rsid w:val="152961E7"/>
    <w:rsid w:val="152A0AFF"/>
    <w:rsid w:val="152A0E2F"/>
    <w:rsid w:val="152A55D4"/>
    <w:rsid w:val="152B4878"/>
    <w:rsid w:val="152B4E90"/>
    <w:rsid w:val="152C25E6"/>
    <w:rsid w:val="152C2AC9"/>
    <w:rsid w:val="152D05F0"/>
    <w:rsid w:val="152D0EF1"/>
    <w:rsid w:val="152D239E"/>
    <w:rsid w:val="152D31DB"/>
    <w:rsid w:val="152D4A9D"/>
    <w:rsid w:val="152E5B55"/>
    <w:rsid w:val="152F04B3"/>
    <w:rsid w:val="152F318A"/>
    <w:rsid w:val="152F399C"/>
    <w:rsid w:val="152F4368"/>
    <w:rsid w:val="152F6116"/>
    <w:rsid w:val="153054E8"/>
    <w:rsid w:val="15307976"/>
    <w:rsid w:val="153105A1"/>
    <w:rsid w:val="15311F9D"/>
    <w:rsid w:val="15316332"/>
    <w:rsid w:val="153175C1"/>
    <w:rsid w:val="15320570"/>
    <w:rsid w:val="15322E67"/>
    <w:rsid w:val="15324815"/>
    <w:rsid w:val="15325271"/>
    <w:rsid w:val="15325BC7"/>
    <w:rsid w:val="15325E62"/>
    <w:rsid w:val="15330900"/>
    <w:rsid w:val="15332941"/>
    <w:rsid w:val="153361F3"/>
    <w:rsid w:val="15337535"/>
    <w:rsid w:val="1534372C"/>
    <w:rsid w:val="153455CA"/>
    <w:rsid w:val="15347683"/>
    <w:rsid w:val="15350B13"/>
    <w:rsid w:val="15353059"/>
    <w:rsid w:val="15354A2F"/>
    <w:rsid w:val="15363948"/>
    <w:rsid w:val="15364885"/>
    <w:rsid w:val="153656F6"/>
    <w:rsid w:val="15370E21"/>
    <w:rsid w:val="15371D36"/>
    <w:rsid w:val="1537321C"/>
    <w:rsid w:val="153810B2"/>
    <w:rsid w:val="15384792"/>
    <w:rsid w:val="153848C3"/>
    <w:rsid w:val="1539003A"/>
    <w:rsid w:val="15393438"/>
    <w:rsid w:val="153951E6"/>
    <w:rsid w:val="153A0924"/>
    <w:rsid w:val="153A5722"/>
    <w:rsid w:val="153B3244"/>
    <w:rsid w:val="153B4ABB"/>
    <w:rsid w:val="153C04D4"/>
    <w:rsid w:val="153C0833"/>
    <w:rsid w:val="153C4EC9"/>
    <w:rsid w:val="153C6A85"/>
    <w:rsid w:val="153D4CD7"/>
    <w:rsid w:val="153E1E76"/>
    <w:rsid w:val="153F1F3C"/>
    <w:rsid w:val="153F7762"/>
    <w:rsid w:val="15400043"/>
    <w:rsid w:val="15400323"/>
    <w:rsid w:val="1540083C"/>
    <w:rsid w:val="154020D1"/>
    <w:rsid w:val="15406575"/>
    <w:rsid w:val="154102DA"/>
    <w:rsid w:val="15415E49"/>
    <w:rsid w:val="15421EA4"/>
    <w:rsid w:val="1542409B"/>
    <w:rsid w:val="15431D0D"/>
    <w:rsid w:val="15436065"/>
    <w:rsid w:val="154410F5"/>
    <w:rsid w:val="15450608"/>
    <w:rsid w:val="154515D5"/>
    <w:rsid w:val="15455939"/>
    <w:rsid w:val="154565C7"/>
    <w:rsid w:val="1547311C"/>
    <w:rsid w:val="15475B55"/>
    <w:rsid w:val="15476A47"/>
    <w:rsid w:val="15480FC4"/>
    <w:rsid w:val="1548367B"/>
    <w:rsid w:val="15483EE4"/>
    <w:rsid w:val="15495FC7"/>
    <w:rsid w:val="15496650"/>
    <w:rsid w:val="154A11A2"/>
    <w:rsid w:val="154A1C7B"/>
    <w:rsid w:val="154A22DE"/>
    <w:rsid w:val="154A3440"/>
    <w:rsid w:val="154A7039"/>
    <w:rsid w:val="154A73F4"/>
    <w:rsid w:val="154B3FD2"/>
    <w:rsid w:val="154B51FC"/>
    <w:rsid w:val="154B5AC0"/>
    <w:rsid w:val="154C1A4F"/>
    <w:rsid w:val="154C316C"/>
    <w:rsid w:val="154C4BC1"/>
    <w:rsid w:val="154C5095"/>
    <w:rsid w:val="154D055B"/>
    <w:rsid w:val="154D0C92"/>
    <w:rsid w:val="154D2A40"/>
    <w:rsid w:val="154D6B91"/>
    <w:rsid w:val="154D6D9A"/>
    <w:rsid w:val="154D79B0"/>
    <w:rsid w:val="154E022A"/>
    <w:rsid w:val="154E1C63"/>
    <w:rsid w:val="154E527A"/>
    <w:rsid w:val="154E7182"/>
    <w:rsid w:val="154F0566"/>
    <w:rsid w:val="154F31F2"/>
    <w:rsid w:val="1550175D"/>
    <w:rsid w:val="15507EB4"/>
    <w:rsid w:val="155142DE"/>
    <w:rsid w:val="15515133"/>
    <w:rsid w:val="15515829"/>
    <w:rsid w:val="15520056"/>
    <w:rsid w:val="15532C0C"/>
    <w:rsid w:val="155362A8"/>
    <w:rsid w:val="15542A14"/>
    <w:rsid w:val="15543DCE"/>
    <w:rsid w:val="15544682"/>
    <w:rsid w:val="155449C0"/>
    <w:rsid w:val="15545754"/>
    <w:rsid w:val="15545B7C"/>
    <w:rsid w:val="15547382"/>
    <w:rsid w:val="15566E11"/>
    <w:rsid w:val="15566F73"/>
    <w:rsid w:val="15567B46"/>
    <w:rsid w:val="1557566D"/>
    <w:rsid w:val="15581B10"/>
    <w:rsid w:val="155838BF"/>
    <w:rsid w:val="15583EAD"/>
    <w:rsid w:val="15584567"/>
    <w:rsid w:val="15586557"/>
    <w:rsid w:val="155906D5"/>
    <w:rsid w:val="15593ECA"/>
    <w:rsid w:val="15597637"/>
    <w:rsid w:val="15597F0E"/>
    <w:rsid w:val="155A32F7"/>
    <w:rsid w:val="155A6846"/>
    <w:rsid w:val="155B1894"/>
    <w:rsid w:val="155B33AF"/>
    <w:rsid w:val="155B515D"/>
    <w:rsid w:val="155B60F5"/>
    <w:rsid w:val="155D0ED5"/>
    <w:rsid w:val="155E2E9F"/>
    <w:rsid w:val="155E4C4D"/>
    <w:rsid w:val="155F3DBC"/>
    <w:rsid w:val="155F3FC3"/>
    <w:rsid w:val="156009C5"/>
    <w:rsid w:val="1560700C"/>
    <w:rsid w:val="156155D8"/>
    <w:rsid w:val="1562473D"/>
    <w:rsid w:val="156264EB"/>
    <w:rsid w:val="15627740"/>
    <w:rsid w:val="156404B5"/>
    <w:rsid w:val="15642450"/>
    <w:rsid w:val="15655FDB"/>
    <w:rsid w:val="15661082"/>
    <w:rsid w:val="1566362C"/>
    <w:rsid w:val="15664501"/>
    <w:rsid w:val="156673C2"/>
    <w:rsid w:val="15667941"/>
    <w:rsid w:val="15670D38"/>
    <w:rsid w:val="15673B02"/>
    <w:rsid w:val="156758B0"/>
    <w:rsid w:val="15677BE0"/>
    <w:rsid w:val="15681628"/>
    <w:rsid w:val="156839A2"/>
    <w:rsid w:val="15685A05"/>
    <w:rsid w:val="1569307B"/>
    <w:rsid w:val="15695ACC"/>
    <w:rsid w:val="156A1844"/>
    <w:rsid w:val="156A32D0"/>
    <w:rsid w:val="156A35F2"/>
    <w:rsid w:val="156A44DF"/>
    <w:rsid w:val="156A53A0"/>
    <w:rsid w:val="156B1016"/>
    <w:rsid w:val="156C04DD"/>
    <w:rsid w:val="156C1118"/>
    <w:rsid w:val="156C1534"/>
    <w:rsid w:val="156C2EC6"/>
    <w:rsid w:val="156C55BC"/>
    <w:rsid w:val="156C5FB9"/>
    <w:rsid w:val="156C736A"/>
    <w:rsid w:val="156D6C3E"/>
    <w:rsid w:val="156D7E93"/>
    <w:rsid w:val="156E03C8"/>
    <w:rsid w:val="156E1527"/>
    <w:rsid w:val="156E7876"/>
    <w:rsid w:val="156F0CA4"/>
    <w:rsid w:val="156F1840"/>
    <w:rsid w:val="15710B88"/>
    <w:rsid w:val="15714980"/>
    <w:rsid w:val="1571672E"/>
    <w:rsid w:val="157219B4"/>
    <w:rsid w:val="15727625"/>
    <w:rsid w:val="157306F8"/>
    <w:rsid w:val="157307CC"/>
    <w:rsid w:val="1573694A"/>
    <w:rsid w:val="15740153"/>
    <w:rsid w:val="1574621E"/>
    <w:rsid w:val="15747FCD"/>
    <w:rsid w:val="15751305"/>
    <w:rsid w:val="15754D23"/>
    <w:rsid w:val="157601E9"/>
    <w:rsid w:val="157604AF"/>
    <w:rsid w:val="15765F9B"/>
    <w:rsid w:val="15771E22"/>
    <w:rsid w:val="1578002F"/>
    <w:rsid w:val="15787ABD"/>
    <w:rsid w:val="15791A87"/>
    <w:rsid w:val="157955E3"/>
    <w:rsid w:val="15796B4E"/>
    <w:rsid w:val="157A5DB7"/>
    <w:rsid w:val="157B135B"/>
    <w:rsid w:val="157B55CB"/>
    <w:rsid w:val="157B57FF"/>
    <w:rsid w:val="157B59B3"/>
    <w:rsid w:val="157C6AD7"/>
    <w:rsid w:val="157C7AC6"/>
    <w:rsid w:val="157D0B6E"/>
    <w:rsid w:val="157D1577"/>
    <w:rsid w:val="157D16A8"/>
    <w:rsid w:val="157D50D3"/>
    <w:rsid w:val="157E0E4B"/>
    <w:rsid w:val="157E2794"/>
    <w:rsid w:val="157E5FF3"/>
    <w:rsid w:val="157E709D"/>
    <w:rsid w:val="157F07B7"/>
    <w:rsid w:val="157F198C"/>
    <w:rsid w:val="157F2EB9"/>
    <w:rsid w:val="157F52EF"/>
    <w:rsid w:val="1580001E"/>
    <w:rsid w:val="15804BC3"/>
    <w:rsid w:val="1580680F"/>
    <w:rsid w:val="158069A6"/>
    <w:rsid w:val="1582093B"/>
    <w:rsid w:val="158242FE"/>
    <w:rsid w:val="1582506F"/>
    <w:rsid w:val="1582711A"/>
    <w:rsid w:val="158275DE"/>
    <w:rsid w:val="158305E2"/>
    <w:rsid w:val="15831029"/>
    <w:rsid w:val="15831F34"/>
    <w:rsid w:val="15832F7D"/>
    <w:rsid w:val="158346B4"/>
    <w:rsid w:val="15843BA7"/>
    <w:rsid w:val="15851EFE"/>
    <w:rsid w:val="158521DA"/>
    <w:rsid w:val="15853F88"/>
    <w:rsid w:val="15856620"/>
    <w:rsid w:val="15862336"/>
    <w:rsid w:val="158653ED"/>
    <w:rsid w:val="15866F2A"/>
    <w:rsid w:val="158703BA"/>
    <w:rsid w:val="1587456B"/>
    <w:rsid w:val="15875F52"/>
    <w:rsid w:val="158765DA"/>
    <w:rsid w:val="15877D00"/>
    <w:rsid w:val="1588184A"/>
    <w:rsid w:val="15883A78"/>
    <w:rsid w:val="15891CCA"/>
    <w:rsid w:val="15892CDA"/>
    <w:rsid w:val="15893ADE"/>
    <w:rsid w:val="15894CE1"/>
    <w:rsid w:val="15895A18"/>
    <w:rsid w:val="15897F1C"/>
    <w:rsid w:val="158A21C3"/>
    <w:rsid w:val="158A56F8"/>
    <w:rsid w:val="158A5A42"/>
    <w:rsid w:val="158A6DA9"/>
    <w:rsid w:val="158A72E3"/>
    <w:rsid w:val="158B6D3B"/>
    <w:rsid w:val="158B7E6A"/>
    <w:rsid w:val="158C14CB"/>
    <w:rsid w:val="158C2944"/>
    <w:rsid w:val="158C4026"/>
    <w:rsid w:val="158C5316"/>
    <w:rsid w:val="158C7224"/>
    <w:rsid w:val="158D4072"/>
    <w:rsid w:val="158D7B02"/>
    <w:rsid w:val="158E72E0"/>
    <w:rsid w:val="158F33F0"/>
    <w:rsid w:val="158F4E06"/>
    <w:rsid w:val="15904921"/>
    <w:rsid w:val="15910511"/>
    <w:rsid w:val="15910B7E"/>
    <w:rsid w:val="15912056"/>
    <w:rsid w:val="15912809"/>
    <w:rsid w:val="15915EF9"/>
    <w:rsid w:val="15916DD0"/>
    <w:rsid w:val="15923966"/>
    <w:rsid w:val="159254CD"/>
    <w:rsid w:val="159266A5"/>
    <w:rsid w:val="159309F1"/>
    <w:rsid w:val="15934291"/>
    <w:rsid w:val="159349A5"/>
    <w:rsid w:val="15935BAD"/>
    <w:rsid w:val="159468C1"/>
    <w:rsid w:val="15950F4D"/>
    <w:rsid w:val="159529BE"/>
    <w:rsid w:val="15956FA7"/>
    <w:rsid w:val="159643E7"/>
    <w:rsid w:val="15977DC9"/>
    <w:rsid w:val="15977EAF"/>
    <w:rsid w:val="15983066"/>
    <w:rsid w:val="159867DD"/>
    <w:rsid w:val="15987057"/>
    <w:rsid w:val="15987A04"/>
    <w:rsid w:val="159A2A62"/>
    <w:rsid w:val="159A3ED7"/>
    <w:rsid w:val="159A7426"/>
    <w:rsid w:val="159B07F0"/>
    <w:rsid w:val="159B3840"/>
    <w:rsid w:val="159B74FB"/>
    <w:rsid w:val="159B7C4F"/>
    <w:rsid w:val="159C1150"/>
    <w:rsid w:val="159D01CD"/>
    <w:rsid w:val="159D39C7"/>
    <w:rsid w:val="159D3D21"/>
    <w:rsid w:val="159D5775"/>
    <w:rsid w:val="159D650D"/>
    <w:rsid w:val="159E5049"/>
    <w:rsid w:val="159F0F23"/>
    <w:rsid w:val="159F1212"/>
    <w:rsid w:val="159F14ED"/>
    <w:rsid w:val="159F3CD9"/>
    <w:rsid w:val="159F4C86"/>
    <w:rsid w:val="15A003A5"/>
    <w:rsid w:val="15A01A35"/>
    <w:rsid w:val="15A07014"/>
    <w:rsid w:val="15A0752D"/>
    <w:rsid w:val="15A10F61"/>
    <w:rsid w:val="15A12432"/>
    <w:rsid w:val="15A20FDE"/>
    <w:rsid w:val="15A22D8C"/>
    <w:rsid w:val="15A26C83"/>
    <w:rsid w:val="15A32594"/>
    <w:rsid w:val="15A364AC"/>
    <w:rsid w:val="15A36F16"/>
    <w:rsid w:val="15A37B93"/>
    <w:rsid w:val="15A46B2C"/>
    <w:rsid w:val="15A5233F"/>
    <w:rsid w:val="15A524FF"/>
    <w:rsid w:val="15A5287C"/>
    <w:rsid w:val="15A53943"/>
    <w:rsid w:val="15A563D8"/>
    <w:rsid w:val="15A57F42"/>
    <w:rsid w:val="15A664A4"/>
    <w:rsid w:val="15A66514"/>
    <w:rsid w:val="15A76263"/>
    <w:rsid w:val="15A765F4"/>
    <w:rsid w:val="15A77A54"/>
    <w:rsid w:val="15A85EC8"/>
    <w:rsid w:val="15A86B72"/>
    <w:rsid w:val="15A90057"/>
    <w:rsid w:val="15A9236C"/>
    <w:rsid w:val="15A9411A"/>
    <w:rsid w:val="15AA1C40"/>
    <w:rsid w:val="15AA7E92"/>
    <w:rsid w:val="15AB60E4"/>
    <w:rsid w:val="15AC300C"/>
    <w:rsid w:val="15AC6074"/>
    <w:rsid w:val="15AC781F"/>
    <w:rsid w:val="15AD59C7"/>
    <w:rsid w:val="15AD759B"/>
    <w:rsid w:val="15AE0920"/>
    <w:rsid w:val="15AE40EF"/>
    <w:rsid w:val="15AE4CA6"/>
    <w:rsid w:val="15AE69E9"/>
    <w:rsid w:val="15AF134C"/>
    <w:rsid w:val="15AF2E02"/>
    <w:rsid w:val="15AF582F"/>
    <w:rsid w:val="15B036FB"/>
    <w:rsid w:val="15B11221"/>
    <w:rsid w:val="15B11EE6"/>
    <w:rsid w:val="15B12FCF"/>
    <w:rsid w:val="15B23FA1"/>
    <w:rsid w:val="15B33C27"/>
    <w:rsid w:val="15B35346"/>
    <w:rsid w:val="15B4130B"/>
    <w:rsid w:val="15B42ABF"/>
    <w:rsid w:val="15B442A4"/>
    <w:rsid w:val="15B4486D"/>
    <w:rsid w:val="15B50D11"/>
    <w:rsid w:val="15B53438"/>
    <w:rsid w:val="15B569C1"/>
    <w:rsid w:val="15B67531"/>
    <w:rsid w:val="15B7232D"/>
    <w:rsid w:val="15B76850"/>
    <w:rsid w:val="15B77155"/>
    <w:rsid w:val="15B8321D"/>
    <w:rsid w:val="15B8435D"/>
    <w:rsid w:val="15B8610B"/>
    <w:rsid w:val="15B900D5"/>
    <w:rsid w:val="15B905DD"/>
    <w:rsid w:val="15B910B3"/>
    <w:rsid w:val="15B91E83"/>
    <w:rsid w:val="15B934CA"/>
    <w:rsid w:val="15BA32A5"/>
    <w:rsid w:val="15BA3FE9"/>
    <w:rsid w:val="15BA6327"/>
    <w:rsid w:val="15BB209F"/>
    <w:rsid w:val="15BB3E4D"/>
    <w:rsid w:val="15BB5BFB"/>
    <w:rsid w:val="15BB72AA"/>
    <w:rsid w:val="15BC2038"/>
    <w:rsid w:val="15BC304B"/>
    <w:rsid w:val="15BD209B"/>
    <w:rsid w:val="15BD2407"/>
    <w:rsid w:val="15BD5E17"/>
    <w:rsid w:val="15BE1058"/>
    <w:rsid w:val="15BE479B"/>
    <w:rsid w:val="15BE749A"/>
    <w:rsid w:val="15BF44EA"/>
    <w:rsid w:val="15BF56EC"/>
    <w:rsid w:val="15C01464"/>
    <w:rsid w:val="15C02950"/>
    <w:rsid w:val="15C0597A"/>
    <w:rsid w:val="15C076B6"/>
    <w:rsid w:val="15C11E76"/>
    <w:rsid w:val="15C342FB"/>
    <w:rsid w:val="15C34330"/>
    <w:rsid w:val="15C34AB0"/>
    <w:rsid w:val="15C40F54"/>
    <w:rsid w:val="15C41DE9"/>
    <w:rsid w:val="15C42933"/>
    <w:rsid w:val="15C42D02"/>
    <w:rsid w:val="15C43148"/>
    <w:rsid w:val="15C44D18"/>
    <w:rsid w:val="15C46ECC"/>
    <w:rsid w:val="15C50828"/>
    <w:rsid w:val="15C51D27"/>
    <w:rsid w:val="15C52CC8"/>
    <w:rsid w:val="15C52F2D"/>
    <w:rsid w:val="15C54B42"/>
    <w:rsid w:val="15C54CCC"/>
    <w:rsid w:val="15C56A7A"/>
    <w:rsid w:val="15C62AAD"/>
    <w:rsid w:val="15C71C00"/>
    <w:rsid w:val="15C727F2"/>
    <w:rsid w:val="15C72C7C"/>
    <w:rsid w:val="15C745A0"/>
    <w:rsid w:val="15C76172"/>
    <w:rsid w:val="15C76E5F"/>
    <w:rsid w:val="15C80049"/>
    <w:rsid w:val="15C90318"/>
    <w:rsid w:val="15C90FCA"/>
    <w:rsid w:val="15C947BC"/>
    <w:rsid w:val="15C9585D"/>
    <w:rsid w:val="15C9656A"/>
    <w:rsid w:val="15C97ED9"/>
    <w:rsid w:val="15CA0325"/>
    <w:rsid w:val="15CA15FD"/>
    <w:rsid w:val="15CA22E2"/>
    <w:rsid w:val="15CA3C8D"/>
    <w:rsid w:val="15CA4090"/>
    <w:rsid w:val="15CA558E"/>
    <w:rsid w:val="15CA5E3E"/>
    <w:rsid w:val="15CB15BD"/>
    <w:rsid w:val="15CB1982"/>
    <w:rsid w:val="15CB3473"/>
    <w:rsid w:val="15CB5748"/>
    <w:rsid w:val="15CC1496"/>
    <w:rsid w:val="15CC5F69"/>
    <w:rsid w:val="15CC7E09"/>
    <w:rsid w:val="15CD16BF"/>
    <w:rsid w:val="15CD42B1"/>
    <w:rsid w:val="15CD6B5C"/>
    <w:rsid w:val="15CD7F7E"/>
    <w:rsid w:val="15CE086D"/>
    <w:rsid w:val="15CE1DD3"/>
    <w:rsid w:val="15CE26EF"/>
    <w:rsid w:val="15CE45A4"/>
    <w:rsid w:val="15CF16A7"/>
    <w:rsid w:val="15CF2C6D"/>
    <w:rsid w:val="15CF3D61"/>
    <w:rsid w:val="15CF4171"/>
    <w:rsid w:val="15CF6BB0"/>
    <w:rsid w:val="15CF70FB"/>
    <w:rsid w:val="15D05D4D"/>
    <w:rsid w:val="15D078F9"/>
    <w:rsid w:val="15D106EE"/>
    <w:rsid w:val="15D13671"/>
    <w:rsid w:val="15D144C2"/>
    <w:rsid w:val="15D168FF"/>
    <w:rsid w:val="15D32F45"/>
    <w:rsid w:val="15D373E9"/>
    <w:rsid w:val="15D418DD"/>
    <w:rsid w:val="15D45280"/>
    <w:rsid w:val="15D4540B"/>
    <w:rsid w:val="15D46CBD"/>
    <w:rsid w:val="15D51DB2"/>
    <w:rsid w:val="15D612E1"/>
    <w:rsid w:val="15D614F0"/>
    <w:rsid w:val="15D62974"/>
    <w:rsid w:val="15D66ED9"/>
    <w:rsid w:val="15D72771"/>
    <w:rsid w:val="15D73C01"/>
    <w:rsid w:val="15D73C41"/>
    <w:rsid w:val="15D8055B"/>
    <w:rsid w:val="15D83FFD"/>
    <w:rsid w:val="15D849FF"/>
    <w:rsid w:val="15D867AD"/>
    <w:rsid w:val="15D92F1E"/>
    <w:rsid w:val="15D942D4"/>
    <w:rsid w:val="15DA0308"/>
    <w:rsid w:val="15DA10F2"/>
    <w:rsid w:val="15DA15E8"/>
    <w:rsid w:val="15DA2525"/>
    <w:rsid w:val="15DA2833"/>
    <w:rsid w:val="15DA3CC3"/>
    <w:rsid w:val="15DA4B24"/>
    <w:rsid w:val="15DB004C"/>
    <w:rsid w:val="15DB043C"/>
    <w:rsid w:val="15DB5153"/>
    <w:rsid w:val="15DB629E"/>
    <w:rsid w:val="15DB6EBA"/>
    <w:rsid w:val="15DC6341"/>
    <w:rsid w:val="15DD2016"/>
    <w:rsid w:val="15DD5089"/>
    <w:rsid w:val="15DD61BC"/>
    <w:rsid w:val="15DD6FF3"/>
    <w:rsid w:val="15DE0D30"/>
    <w:rsid w:val="15DE2644"/>
    <w:rsid w:val="15DF3AD4"/>
    <w:rsid w:val="15DF3C42"/>
    <w:rsid w:val="15DF6105"/>
    <w:rsid w:val="15DF6A98"/>
    <w:rsid w:val="15DF7233"/>
    <w:rsid w:val="15E00058"/>
    <w:rsid w:val="15E038B4"/>
    <w:rsid w:val="15E11B06"/>
    <w:rsid w:val="15E213DA"/>
    <w:rsid w:val="15E2587E"/>
    <w:rsid w:val="15E2762C"/>
    <w:rsid w:val="15E40B7D"/>
    <w:rsid w:val="15E41CD9"/>
    <w:rsid w:val="15E43504"/>
    <w:rsid w:val="15E44416"/>
    <w:rsid w:val="15E44D75"/>
    <w:rsid w:val="15E46581"/>
    <w:rsid w:val="15E46F00"/>
    <w:rsid w:val="15E5291F"/>
    <w:rsid w:val="15E54B87"/>
    <w:rsid w:val="15E578DB"/>
    <w:rsid w:val="15E6077D"/>
    <w:rsid w:val="15E617D2"/>
    <w:rsid w:val="15E62C91"/>
    <w:rsid w:val="15E66222"/>
    <w:rsid w:val="15E6711C"/>
    <w:rsid w:val="15E71C8C"/>
    <w:rsid w:val="15E74C42"/>
    <w:rsid w:val="15E769F0"/>
    <w:rsid w:val="15E77C5F"/>
    <w:rsid w:val="15E84B86"/>
    <w:rsid w:val="15E909BB"/>
    <w:rsid w:val="15E90F06"/>
    <w:rsid w:val="15E94B74"/>
    <w:rsid w:val="15EA028F"/>
    <w:rsid w:val="15EA37D5"/>
    <w:rsid w:val="15EA64E1"/>
    <w:rsid w:val="15EC2259"/>
    <w:rsid w:val="15EC3507"/>
    <w:rsid w:val="15ED4D6D"/>
    <w:rsid w:val="15ED78FA"/>
    <w:rsid w:val="15EE1CF8"/>
    <w:rsid w:val="15EE5FD1"/>
    <w:rsid w:val="15EE7D7F"/>
    <w:rsid w:val="15EF1E88"/>
    <w:rsid w:val="15EF1FC7"/>
    <w:rsid w:val="15EF7F09"/>
    <w:rsid w:val="15F01D49"/>
    <w:rsid w:val="15F02636"/>
    <w:rsid w:val="15F028DD"/>
    <w:rsid w:val="15F1161D"/>
    <w:rsid w:val="15F132FE"/>
    <w:rsid w:val="15F13975"/>
    <w:rsid w:val="15F1786F"/>
    <w:rsid w:val="15F20809"/>
    <w:rsid w:val="15F26BD7"/>
    <w:rsid w:val="15F27379"/>
    <w:rsid w:val="15F27925"/>
    <w:rsid w:val="15F27A8B"/>
    <w:rsid w:val="15F31839"/>
    <w:rsid w:val="15F35395"/>
    <w:rsid w:val="15F40EBD"/>
    <w:rsid w:val="15F42B67"/>
    <w:rsid w:val="15F47D78"/>
    <w:rsid w:val="15F555B1"/>
    <w:rsid w:val="15F62273"/>
    <w:rsid w:val="15F630D7"/>
    <w:rsid w:val="15F64E85"/>
    <w:rsid w:val="15F66C34"/>
    <w:rsid w:val="15F74CE3"/>
    <w:rsid w:val="15F76B65"/>
    <w:rsid w:val="15F8268C"/>
    <w:rsid w:val="15F829AC"/>
    <w:rsid w:val="15F8467B"/>
    <w:rsid w:val="15F86E50"/>
    <w:rsid w:val="15F9724C"/>
    <w:rsid w:val="15FA1F29"/>
    <w:rsid w:val="15FA4976"/>
    <w:rsid w:val="15FB34E6"/>
    <w:rsid w:val="15FB648E"/>
    <w:rsid w:val="15FB6F59"/>
    <w:rsid w:val="15FD0F81"/>
    <w:rsid w:val="15FD12F7"/>
    <w:rsid w:val="15FD448C"/>
    <w:rsid w:val="15FD6214"/>
    <w:rsid w:val="15FE6594"/>
    <w:rsid w:val="15FF01DE"/>
    <w:rsid w:val="15FF197D"/>
    <w:rsid w:val="15FF1F8C"/>
    <w:rsid w:val="15FF3D3A"/>
    <w:rsid w:val="15FF6A49"/>
    <w:rsid w:val="16005D04"/>
    <w:rsid w:val="16006CAA"/>
    <w:rsid w:val="16010489"/>
    <w:rsid w:val="16013F56"/>
    <w:rsid w:val="160159DE"/>
    <w:rsid w:val="16021642"/>
    <w:rsid w:val="1602382A"/>
    <w:rsid w:val="16023A9F"/>
    <w:rsid w:val="160278E7"/>
    <w:rsid w:val="1603178E"/>
    <w:rsid w:val="16035A40"/>
    <w:rsid w:val="16041350"/>
    <w:rsid w:val="1604435F"/>
    <w:rsid w:val="16044E29"/>
    <w:rsid w:val="16046824"/>
    <w:rsid w:val="16047A19"/>
    <w:rsid w:val="160519BD"/>
    <w:rsid w:val="16061850"/>
    <w:rsid w:val="16073300"/>
    <w:rsid w:val="160752E5"/>
    <w:rsid w:val="16077093"/>
    <w:rsid w:val="16085AC8"/>
    <w:rsid w:val="16085F34"/>
    <w:rsid w:val="16087E1D"/>
    <w:rsid w:val="16093C4C"/>
    <w:rsid w:val="16093EBA"/>
    <w:rsid w:val="16094BB9"/>
    <w:rsid w:val="16096967"/>
    <w:rsid w:val="160A5A9E"/>
    <w:rsid w:val="160B0931"/>
    <w:rsid w:val="160B0D07"/>
    <w:rsid w:val="160C01E7"/>
    <w:rsid w:val="160C28FB"/>
    <w:rsid w:val="160C46A9"/>
    <w:rsid w:val="160C6457"/>
    <w:rsid w:val="160E0421"/>
    <w:rsid w:val="160E074A"/>
    <w:rsid w:val="160E1497"/>
    <w:rsid w:val="160E186A"/>
    <w:rsid w:val="160E6673"/>
    <w:rsid w:val="1610386C"/>
    <w:rsid w:val="16104199"/>
    <w:rsid w:val="16105F47"/>
    <w:rsid w:val="161070B4"/>
    <w:rsid w:val="16111CBF"/>
    <w:rsid w:val="16112265"/>
    <w:rsid w:val="16113A6D"/>
    <w:rsid w:val="16115622"/>
    <w:rsid w:val="16131DA3"/>
    <w:rsid w:val="16132E73"/>
    <w:rsid w:val="16134493"/>
    <w:rsid w:val="161378F5"/>
    <w:rsid w:val="16140C0B"/>
    <w:rsid w:val="16145BEC"/>
    <w:rsid w:val="16151699"/>
    <w:rsid w:val="161517B0"/>
    <w:rsid w:val="1615266D"/>
    <w:rsid w:val="16157D73"/>
    <w:rsid w:val="16161084"/>
    <w:rsid w:val="16163175"/>
    <w:rsid w:val="16163EE7"/>
    <w:rsid w:val="16166EBD"/>
    <w:rsid w:val="161673E2"/>
    <w:rsid w:val="16175528"/>
    <w:rsid w:val="161759C1"/>
    <w:rsid w:val="16181094"/>
    <w:rsid w:val="161810CD"/>
    <w:rsid w:val="161812A0"/>
    <w:rsid w:val="16184DFC"/>
    <w:rsid w:val="16191A21"/>
    <w:rsid w:val="16195129"/>
    <w:rsid w:val="161971DC"/>
    <w:rsid w:val="161A0B74"/>
    <w:rsid w:val="161A0E55"/>
    <w:rsid w:val="161A4DF9"/>
    <w:rsid w:val="161A61B6"/>
    <w:rsid w:val="161B4ED9"/>
    <w:rsid w:val="161B669A"/>
    <w:rsid w:val="161B6918"/>
    <w:rsid w:val="161C0D90"/>
    <w:rsid w:val="161C4127"/>
    <w:rsid w:val="161C7E98"/>
    <w:rsid w:val="161D0664"/>
    <w:rsid w:val="161D1A97"/>
    <w:rsid w:val="161D68B6"/>
    <w:rsid w:val="161E7AD7"/>
    <w:rsid w:val="161E7F96"/>
    <w:rsid w:val="161F262E"/>
    <w:rsid w:val="161F2BA0"/>
    <w:rsid w:val="16201C0D"/>
    <w:rsid w:val="16202DD5"/>
    <w:rsid w:val="16207BE8"/>
    <w:rsid w:val="16215FE2"/>
    <w:rsid w:val="16216458"/>
    <w:rsid w:val="16216B4F"/>
    <w:rsid w:val="16223ECC"/>
    <w:rsid w:val="16225C7A"/>
    <w:rsid w:val="16226043"/>
    <w:rsid w:val="162271C2"/>
    <w:rsid w:val="16231D89"/>
    <w:rsid w:val="16232545"/>
    <w:rsid w:val="16233B1D"/>
    <w:rsid w:val="16233B7E"/>
    <w:rsid w:val="16236789"/>
    <w:rsid w:val="16237A85"/>
    <w:rsid w:val="16237CEE"/>
    <w:rsid w:val="162419F3"/>
    <w:rsid w:val="162438D6"/>
    <w:rsid w:val="16243949"/>
    <w:rsid w:val="162453A5"/>
    <w:rsid w:val="16247C45"/>
    <w:rsid w:val="16250A31"/>
    <w:rsid w:val="162513A1"/>
    <w:rsid w:val="16251C81"/>
    <w:rsid w:val="16257519"/>
    <w:rsid w:val="162639BD"/>
    <w:rsid w:val="1626576B"/>
    <w:rsid w:val="162714E3"/>
    <w:rsid w:val="162753BB"/>
    <w:rsid w:val="16277EAC"/>
    <w:rsid w:val="16282A55"/>
    <w:rsid w:val="16282F80"/>
    <w:rsid w:val="16290DB7"/>
    <w:rsid w:val="162921DF"/>
    <w:rsid w:val="1629525B"/>
    <w:rsid w:val="162A0743"/>
    <w:rsid w:val="162A3258"/>
    <w:rsid w:val="162A3F93"/>
    <w:rsid w:val="162B4B2F"/>
    <w:rsid w:val="162B750A"/>
    <w:rsid w:val="162C103A"/>
    <w:rsid w:val="162C481B"/>
    <w:rsid w:val="162D54BD"/>
    <w:rsid w:val="162E0AC3"/>
    <w:rsid w:val="162E0D26"/>
    <w:rsid w:val="162E461F"/>
    <w:rsid w:val="162E6623"/>
    <w:rsid w:val="162F73A6"/>
    <w:rsid w:val="162F77EC"/>
    <w:rsid w:val="16300397"/>
    <w:rsid w:val="1630114D"/>
    <w:rsid w:val="1630624C"/>
    <w:rsid w:val="1631337C"/>
    <w:rsid w:val="16313542"/>
    <w:rsid w:val="16321ADC"/>
    <w:rsid w:val="16325C9C"/>
    <w:rsid w:val="163321D8"/>
    <w:rsid w:val="163360DA"/>
    <w:rsid w:val="16337E88"/>
    <w:rsid w:val="16351E52"/>
    <w:rsid w:val="1635318D"/>
    <w:rsid w:val="16353C00"/>
    <w:rsid w:val="163559AE"/>
    <w:rsid w:val="1635775C"/>
    <w:rsid w:val="16361726"/>
    <w:rsid w:val="163634D4"/>
    <w:rsid w:val="16367DFF"/>
    <w:rsid w:val="163754EA"/>
    <w:rsid w:val="16377978"/>
    <w:rsid w:val="16394F8A"/>
    <w:rsid w:val="163A1216"/>
    <w:rsid w:val="163A197D"/>
    <w:rsid w:val="163A7468"/>
    <w:rsid w:val="163B0AEA"/>
    <w:rsid w:val="163B3A1D"/>
    <w:rsid w:val="163B40E9"/>
    <w:rsid w:val="163C048F"/>
    <w:rsid w:val="163C2449"/>
    <w:rsid w:val="163C256E"/>
    <w:rsid w:val="163C4F8E"/>
    <w:rsid w:val="163C6BE1"/>
    <w:rsid w:val="163D0D06"/>
    <w:rsid w:val="163D2AB4"/>
    <w:rsid w:val="163D44F0"/>
    <w:rsid w:val="163D5160"/>
    <w:rsid w:val="163D6B2B"/>
    <w:rsid w:val="163E0D83"/>
    <w:rsid w:val="163E7EDD"/>
    <w:rsid w:val="163F05DA"/>
    <w:rsid w:val="163F4A7E"/>
    <w:rsid w:val="163F682C"/>
    <w:rsid w:val="163F7266"/>
    <w:rsid w:val="164002A0"/>
    <w:rsid w:val="164017CB"/>
    <w:rsid w:val="16414301"/>
    <w:rsid w:val="16414353"/>
    <w:rsid w:val="1641719C"/>
    <w:rsid w:val="16421E79"/>
    <w:rsid w:val="16423C7C"/>
    <w:rsid w:val="1642631D"/>
    <w:rsid w:val="16426EAD"/>
    <w:rsid w:val="16431188"/>
    <w:rsid w:val="16442095"/>
    <w:rsid w:val="16443216"/>
    <w:rsid w:val="16443E43"/>
    <w:rsid w:val="16445BF1"/>
    <w:rsid w:val="164478A7"/>
    <w:rsid w:val="16453B74"/>
    <w:rsid w:val="164547A8"/>
    <w:rsid w:val="16461969"/>
    <w:rsid w:val="16462202"/>
    <w:rsid w:val="164641E5"/>
    <w:rsid w:val="16465E0D"/>
    <w:rsid w:val="16473933"/>
    <w:rsid w:val="16474076"/>
    <w:rsid w:val="164751B2"/>
    <w:rsid w:val="164756E1"/>
    <w:rsid w:val="16481B85"/>
    <w:rsid w:val="16486A55"/>
    <w:rsid w:val="16491459"/>
    <w:rsid w:val="164A32EA"/>
    <w:rsid w:val="164A3D82"/>
    <w:rsid w:val="164A3F23"/>
    <w:rsid w:val="164B2D72"/>
    <w:rsid w:val="164B6F7F"/>
    <w:rsid w:val="164C4586"/>
    <w:rsid w:val="164D3E94"/>
    <w:rsid w:val="164D3FE5"/>
    <w:rsid w:val="164D5593"/>
    <w:rsid w:val="164D67B5"/>
    <w:rsid w:val="164E081E"/>
    <w:rsid w:val="164E4CC1"/>
    <w:rsid w:val="164E5A5F"/>
    <w:rsid w:val="164F2F7F"/>
    <w:rsid w:val="16500A3A"/>
    <w:rsid w:val="165016BE"/>
    <w:rsid w:val="165027E8"/>
    <w:rsid w:val="16507496"/>
    <w:rsid w:val="16507D95"/>
    <w:rsid w:val="16511225"/>
    <w:rsid w:val="16514288"/>
    <w:rsid w:val="165145F4"/>
    <w:rsid w:val="165174FC"/>
    <w:rsid w:val="165179EB"/>
    <w:rsid w:val="16517CC2"/>
    <w:rsid w:val="165226B5"/>
    <w:rsid w:val="1652472A"/>
    <w:rsid w:val="165247B2"/>
    <w:rsid w:val="16526560"/>
    <w:rsid w:val="1653052A"/>
    <w:rsid w:val="165322D8"/>
    <w:rsid w:val="165346F7"/>
    <w:rsid w:val="16536E9D"/>
    <w:rsid w:val="165416BD"/>
    <w:rsid w:val="165538C4"/>
    <w:rsid w:val="16553E5F"/>
    <w:rsid w:val="16556050"/>
    <w:rsid w:val="16557DFE"/>
    <w:rsid w:val="16560557"/>
    <w:rsid w:val="16562358"/>
    <w:rsid w:val="16563D5B"/>
    <w:rsid w:val="16565924"/>
    <w:rsid w:val="16573066"/>
    <w:rsid w:val="16583A87"/>
    <w:rsid w:val="16585B40"/>
    <w:rsid w:val="165878EE"/>
    <w:rsid w:val="16592588"/>
    <w:rsid w:val="16594EC1"/>
    <w:rsid w:val="16597D82"/>
    <w:rsid w:val="165A0DC0"/>
    <w:rsid w:val="165A3666"/>
    <w:rsid w:val="165B1830"/>
    <w:rsid w:val="165B2F3A"/>
    <w:rsid w:val="165C0F09"/>
    <w:rsid w:val="165C2036"/>
    <w:rsid w:val="165D17A9"/>
    <w:rsid w:val="165D1A46"/>
    <w:rsid w:val="165D1C2C"/>
    <w:rsid w:val="165D3148"/>
    <w:rsid w:val="165D6CB3"/>
    <w:rsid w:val="165D7FC8"/>
    <w:rsid w:val="165E1842"/>
    <w:rsid w:val="165E3157"/>
    <w:rsid w:val="165E5AB4"/>
    <w:rsid w:val="165F0AD3"/>
    <w:rsid w:val="165F0B46"/>
    <w:rsid w:val="165F10D3"/>
    <w:rsid w:val="165F6DEB"/>
    <w:rsid w:val="16601997"/>
    <w:rsid w:val="16605E4A"/>
    <w:rsid w:val="16610551"/>
    <w:rsid w:val="16612C47"/>
    <w:rsid w:val="166149F5"/>
    <w:rsid w:val="16614DBC"/>
    <w:rsid w:val="166167A3"/>
    <w:rsid w:val="16617C92"/>
    <w:rsid w:val="1662251B"/>
    <w:rsid w:val="166242C9"/>
    <w:rsid w:val="16624D7B"/>
    <w:rsid w:val="1663076D"/>
    <w:rsid w:val="166444E5"/>
    <w:rsid w:val="1664465A"/>
    <w:rsid w:val="16645174"/>
    <w:rsid w:val="16646293"/>
    <w:rsid w:val="166554EE"/>
    <w:rsid w:val="16660FCB"/>
    <w:rsid w:val="1666200B"/>
    <w:rsid w:val="16663DB9"/>
    <w:rsid w:val="166718DF"/>
    <w:rsid w:val="16677B31"/>
    <w:rsid w:val="166821ED"/>
    <w:rsid w:val="16682F08"/>
    <w:rsid w:val="1668352E"/>
    <w:rsid w:val="166874AC"/>
    <w:rsid w:val="16687527"/>
    <w:rsid w:val="16691C3F"/>
    <w:rsid w:val="16691EF3"/>
    <w:rsid w:val="1669207D"/>
    <w:rsid w:val="166A320D"/>
    <w:rsid w:val="166A57D5"/>
    <w:rsid w:val="166B13D0"/>
    <w:rsid w:val="166B2DA1"/>
    <w:rsid w:val="166B5873"/>
    <w:rsid w:val="166B7621"/>
    <w:rsid w:val="166C0A09"/>
    <w:rsid w:val="166C5148"/>
    <w:rsid w:val="166D2E53"/>
    <w:rsid w:val="166D339A"/>
    <w:rsid w:val="166D4BC5"/>
    <w:rsid w:val="166D4CFC"/>
    <w:rsid w:val="166D72BD"/>
    <w:rsid w:val="16701EDB"/>
    <w:rsid w:val="16702E8A"/>
    <w:rsid w:val="16704C38"/>
    <w:rsid w:val="167052BE"/>
    <w:rsid w:val="16713A50"/>
    <w:rsid w:val="167163B7"/>
    <w:rsid w:val="167209B0"/>
    <w:rsid w:val="16730284"/>
    <w:rsid w:val="1673141F"/>
    <w:rsid w:val="16735EC0"/>
    <w:rsid w:val="167364D6"/>
    <w:rsid w:val="167401E9"/>
    <w:rsid w:val="16747190"/>
    <w:rsid w:val="16750620"/>
    <w:rsid w:val="16753FFC"/>
    <w:rsid w:val="16756754"/>
    <w:rsid w:val="167571FB"/>
    <w:rsid w:val="16762E98"/>
    <w:rsid w:val="16766D85"/>
    <w:rsid w:val="16772E31"/>
    <w:rsid w:val="16775FC6"/>
    <w:rsid w:val="16777D74"/>
    <w:rsid w:val="16783AEC"/>
    <w:rsid w:val="16784DFF"/>
    <w:rsid w:val="16786FA1"/>
    <w:rsid w:val="16791B72"/>
    <w:rsid w:val="16795BEF"/>
    <w:rsid w:val="167967B9"/>
    <w:rsid w:val="16797F90"/>
    <w:rsid w:val="167B2B46"/>
    <w:rsid w:val="167B3B97"/>
    <w:rsid w:val="167B494E"/>
    <w:rsid w:val="167C04F3"/>
    <w:rsid w:val="167C5411"/>
    <w:rsid w:val="167D1103"/>
    <w:rsid w:val="167D50DB"/>
    <w:rsid w:val="167D7355"/>
    <w:rsid w:val="167D79B6"/>
    <w:rsid w:val="167E19E8"/>
    <w:rsid w:val="167E20F6"/>
    <w:rsid w:val="167E2662"/>
    <w:rsid w:val="167E55A7"/>
    <w:rsid w:val="167E6551"/>
    <w:rsid w:val="167E748B"/>
    <w:rsid w:val="167F30CD"/>
    <w:rsid w:val="167F4179"/>
    <w:rsid w:val="167F6B76"/>
    <w:rsid w:val="16806469"/>
    <w:rsid w:val="16807582"/>
    <w:rsid w:val="168119AD"/>
    <w:rsid w:val="16821794"/>
    <w:rsid w:val="16822C24"/>
    <w:rsid w:val="16823089"/>
    <w:rsid w:val="16826629"/>
    <w:rsid w:val="16826719"/>
    <w:rsid w:val="16832BBD"/>
    <w:rsid w:val="168406E3"/>
    <w:rsid w:val="16843163"/>
    <w:rsid w:val="168443A1"/>
    <w:rsid w:val="16846935"/>
    <w:rsid w:val="16847857"/>
    <w:rsid w:val="16847CBA"/>
    <w:rsid w:val="1685478E"/>
    <w:rsid w:val="16856425"/>
    <w:rsid w:val="168637CB"/>
    <w:rsid w:val="16873D30"/>
    <w:rsid w:val="168801D3"/>
    <w:rsid w:val="16881F81"/>
    <w:rsid w:val="168919CC"/>
    <w:rsid w:val="16893F4C"/>
    <w:rsid w:val="16895CFA"/>
    <w:rsid w:val="168B1A72"/>
    <w:rsid w:val="168B3452"/>
    <w:rsid w:val="168B4E1F"/>
    <w:rsid w:val="168B4F54"/>
    <w:rsid w:val="168B52D9"/>
    <w:rsid w:val="168B7CC4"/>
    <w:rsid w:val="168D3A3C"/>
    <w:rsid w:val="168D511C"/>
    <w:rsid w:val="168D57EA"/>
    <w:rsid w:val="168D7598"/>
    <w:rsid w:val="168E2908"/>
    <w:rsid w:val="168E3310"/>
    <w:rsid w:val="168F2A73"/>
    <w:rsid w:val="16900E36"/>
    <w:rsid w:val="169023DA"/>
    <w:rsid w:val="169052DA"/>
    <w:rsid w:val="16907088"/>
    <w:rsid w:val="169070D5"/>
    <w:rsid w:val="16907FD6"/>
    <w:rsid w:val="16911661"/>
    <w:rsid w:val="16917DF9"/>
    <w:rsid w:val="16921052"/>
    <w:rsid w:val="16921AD5"/>
    <w:rsid w:val="16922F95"/>
    <w:rsid w:val="169262E6"/>
    <w:rsid w:val="16926DB9"/>
    <w:rsid w:val="16930926"/>
    <w:rsid w:val="16931E45"/>
    <w:rsid w:val="169326D4"/>
    <w:rsid w:val="16947165"/>
    <w:rsid w:val="169528F0"/>
    <w:rsid w:val="1695469E"/>
    <w:rsid w:val="1695713F"/>
    <w:rsid w:val="16962F96"/>
    <w:rsid w:val="169674BB"/>
    <w:rsid w:val="169721C5"/>
    <w:rsid w:val="1697668E"/>
    <w:rsid w:val="16985E4F"/>
    <w:rsid w:val="16992920"/>
    <w:rsid w:val="1699418F"/>
    <w:rsid w:val="169A3A63"/>
    <w:rsid w:val="169A7F44"/>
    <w:rsid w:val="169B3A7C"/>
    <w:rsid w:val="169B7A59"/>
    <w:rsid w:val="169C251E"/>
    <w:rsid w:val="169C26E7"/>
    <w:rsid w:val="169C3C7F"/>
    <w:rsid w:val="169C514E"/>
    <w:rsid w:val="169C5A2D"/>
    <w:rsid w:val="169C7FC3"/>
    <w:rsid w:val="169D36E8"/>
    <w:rsid w:val="169E08C8"/>
    <w:rsid w:val="169E17A5"/>
    <w:rsid w:val="169E262B"/>
    <w:rsid w:val="169F1079"/>
    <w:rsid w:val="169F2BA0"/>
    <w:rsid w:val="169F5898"/>
    <w:rsid w:val="16A0088D"/>
    <w:rsid w:val="16A036C0"/>
    <w:rsid w:val="16A051AF"/>
    <w:rsid w:val="16A10F12"/>
    <w:rsid w:val="16A11295"/>
    <w:rsid w:val="16A15F88"/>
    <w:rsid w:val="16A16E0D"/>
    <w:rsid w:val="16A2220E"/>
    <w:rsid w:val="16A275ED"/>
    <w:rsid w:val="16A30197"/>
    <w:rsid w:val="16A3624D"/>
    <w:rsid w:val="16A36DBB"/>
    <w:rsid w:val="16A3728B"/>
    <w:rsid w:val="16A42650"/>
    <w:rsid w:val="16A43A1B"/>
    <w:rsid w:val="16A54404"/>
    <w:rsid w:val="16A54633"/>
    <w:rsid w:val="16A62408"/>
    <w:rsid w:val="16A656B7"/>
    <w:rsid w:val="16A668AC"/>
    <w:rsid w:val="16A725A1"/>
    <w:rsid w:val="16A765DC"/>
    <w:rsid w:val="16A7711B"/>
    <w:rsid w:val="16A77CB0"/>
    <w:rsid w:val="16A805D8"/>
    <w:rsid w:val="16A82624"/>
    <w:rsid w:val="16A8300B"/>
    <w:rsid w:val="16A83181"/>
    <w:rsid w:val="16A83314"/>
    <w:rsid w:val="16A843D2"/>
    <w:rsid w:val="16A868D8"/>
    <w:rsid w:val="16A91EF8"/>
    <w:rsid w:val="16A92C64"/>
    <w:rsid w:val="16A93347"/>
    <w:rsid w:val="16A95DCF"/>
    <w:rsid w:val="16A9697F"/>
    <w:rsid w:val="16A97F1A"/>
    <w:rsid w:val="16AA0748"/>
    <w:rsid w:val="16AA09A0"/>
    <w:rsid w:val="16AA4EB8"/>
    <w:rsid w:val="16AA5707"/>
    <w:rsid w:val="16AB0E21"/>
    <w:rsid w:val="16AB3EC2"/>
    <w:rsid w:val="16AB4A01"/>
    <w:rsid w:val="16AB7652"/>
    <w:rsid w:val="16AC4F61"/>
    <w:rsid w:val="16AC5485"/>
    <w:rsid w:val="16AD1E4B"/>
    <w:rsid w:val="16AE257F"/>
    <w:rsid w:val="16AE750E"/>
    <w:rsid w:val="16AF2A39"/>
    <w:rsid w:val="16B030D1"/>
    <w:rsid w:val="16B03286"/>
    <w:rsid w:val="16B0772A"/>
    <w:rsid w:val="16B12218"/>
    <w:rsid w:val="16B12BA0"/>
    <w:rsid w:val="16B2163F"/>
    <w:rsid w:val="16B23EE8"/>
    <w:rsid w:val="16B25250"/>
    <w:rsid w:val="16B26FFE"/>
    <w:rsid w:val="16B31A52"/>
    <w:rsid w:val="16B33193"/>
    <w:rsid w:val="16B33784"/>
    <w:rsid w:val="16B34B25"/>
    <w:rsid w:val="16B34D13"/>
    <w:rsid w:val="16B4452E"/>
    <w:rsid w:val="16B51E90"/>
    <w:rsid w:val="16B52116"/>
    <w:rsid w:val="16B54D41"/>
    <w:rsid w:val="16B6711B"/>
    <w:rsid w:val="16B70AB9"/>
    <w:rsid w:val="16B737EA"/>
    <w:rsid w:val="16B81864"/>
    <w:rsid w:val="16B83B8B"/>
    <w:rsid w:val="16B9038D"/>
    <w:rsid w:val="16B9510C"/>
    <w:rsid w:val="16B959CD"/>
    <w:rsid w:val="16B965DF"/>
    <w:rsid w:val="16BA1CAB"/>
    <w:rsid w:val="16BA4F4F"/>
    <w:rsid w:val="16BA5EB3"/>
    <w:rsid w:val="16BA6D54"/>
    <w:rsid w:val="16BB5671"/>
    <w:rsid w:val="16BC365D"/>
    <w:rsid w:val="16BC6035"/>
    <w:rsid w:val="16BC60CF"/>
    <w:rsid w:val="16BC6CA7"/>
    <w:rsid w:val="16BD49D7"/>
    <w:rsid w:val="16BE02A6"/>
    <w:rsid w:val="16BE3BF5"/>
    <w:rsid w:val="16BE50DE"/>
    <w:rsid w:val="16BF2BFA"/>
    <w:rsid w:val="16BF48B5"/>
    <w:rsid w:val="16BF796D"/>
    <w:rsid w:val="16C10514"/>
    <w:rsid w:val="16C14056"/>
    <w:rsid w:val="16C15493"/>
    <w:rsid w:val="16C15CF6"/>
    <w:rsid w:val="16C24BF5"/>
    <w:rsid w:val="16C276D6"/>
    <w:rsid w:val="16C3745D"/>
    <w:rsid w:val="16C44118"/>
    <w:rsid w:val="16C531D6"/>
    <w:rsid w:val="16C5620B"/>
    <w:rsid w:val="16C60CFC"/>
    <w:rsid w:val="16C62640"/>
    <w:rsid w:val="16C62AAA"/>
    <w:rsid w:val="16C6430F"/>
    <w:rsid w:val="16C64523"/>
    <w:rsid w:val="16C65A83"/>
    <w:rsid w:val="16C70D00"/>
    <w:rsid w:val="16C7156D"/>
    <w:rsid w:val="16C72A99"/>
    <w:rsid w:val="16C73497"/>
    <w:rsid w:val="16C75AA6"/>
    <w:rsid w:val="16C76EDA"/>
    <w:rsid w:val="16C86822"/>
    <w:rsid w:val="16C927E8"/>
    <w:rsid w:val="16C9404B"/>
    <w:rsid w:val="16C947EA"/>
    <w:rsid w:val="16CA259A"/>
    <w:rsid w:val="16CA5949"/>
    <w:rsid w:val="16CA7F8A"/>
    <w:rsid w:val="16CB00C0"/>
    <w:rsid w:val="16CB1E6E"/>
    <w:rsid w:val="16CB4564"/>
    <w:rsid w:val="16CB45DD"/>
    <w:rsid w:val="16CC0BA3"/>
    <w:rsid w:val="16CC28AA"/>
    <w:rsid w:val="16CC585D"/>
    <w:rsid w:val="16CC6DC0"/>
    <w:rsid w:val="16CD3E38"/>
    <w:rsid w:val="16CD5BE6"/>
    <w:rsid w:val="16CE0D48"/>
    <w:rsid w:val="16CE195E"/>
    <w:rsid w:val="16CE51CA"/>
    <w:rsid w:val="16CF40B0"/>
    <w:rsid w:val="16CF5B22"/>
    <w:rsid w:val="16CF5F7B"/>
    <w:rsid w:val="16CF6227"/>
    <w:rsid w:val="16CF7AEA"/>
    <w:rsid w:val="16D03928"/>
    <w:rsid w:val="16D056D6"/>
    <w:rsid w:val="16D07F50"/>
    <w:rsid w:val="16D1014C"/>
    <w:rsid w:val="16D12A09"/>
    <w:rsid w:val="16D2144F"/>
    <w:rsid w:val="16D231FD"/>
    <w:rsid w:val="16D23900"/>
    <w:rsid w:val="16D276A1"/>
    <w:rsid w:val="16D27EEF"/>
    <w:rsid w:val="16D30431"/>
    <w:rsid w:val="16D32875"/>
    <w:rsid w:val="16D36371"/>
    <w:rsid w:val="16D36F75"/>
    <w:rsid w:val="16D43419"/>
    <w:rsid w:val="16D472FE"/>
    <w:rsid w:val="16D517D7"/>
    <w:rsid w:val="16D52CED"/>
    <w:rsid w:val="16D54D55"/>
    <w:rsid w:val="16D62785"/>
    <w:rsid w:val="16D6361F"/>
    <w:rsid w:val="16D63AE8"/>
    <w:rsid w:val="16D64DEC"/>
    <w:rsid w:val="16D72F09"/>
    <w:rsid w:val="16D73437"/>
    <w:rsid w:val="16D7443F"/>
    <w:rsid w:val="16D74CB7"/>
    <w:rsid w:val="16D779BD"/>
    <w:rsid w:val="16D80E4D"/>
    <w:rsid w:val="16D81BDC"/>
    <w:rsid w:val="16D82A55"/>
    <w:rsid w:val="16D83079"/>
    <w:rsid w:val="16D83F7A"/>
    <w:rsid w:val="16D871B4"/>
    <w:rsid w:val="16D904AD"/>
    <w:rsid w:val="16D95DFB"/>
    <w:rsid w:val="16DA44F4"/>
    <w:rsid w:val="16DA4EE2"/>
    <w:rsid w:val="16DA633E"/>
    <w:rsid w:val="16DB068B"/>
    <w:rsid w:val="16DB286B"/>
    <w:rsid w:val="16DB3747"/>
    <w:rsid w:val="16DB6C0C"/>
    <w:rsid w:val="16DB7B82"/>
    <w:rsid w:val="16DC407B"/>
    <w:rsid w:val="16DD2110"/>
    <w:rsid w:val="16DD2C80"/>
    <w:rsid w:val="16DD6A2B"/>
    <w:rsid w:val="16DE1179"/>
    <w:rsid w:val="16DE1BA1"/>
    <w:rsid w:val="16DE7DF3"/>
    <w:rsid w:val="16DF0C12"/>
    <w:rsid w:val="16DF0D20"/>
    <w:rsid w:val="16DF3883"/>
    <w:rsid w:val="16DF591A"/>
    <w:rsid w:val="16E1319C"/>
    <w:rsid w:val="16E143B6"/>
    <w:rsid w:val="16E14913"/>
    <w:rsid w:val="16E15B36"/>
    <w:rsid w:val="16E1638B"/>
    <w:rsid w:val="16E167EF"/>
    <w:rsid w:val="16E178E4"/>
    <w:rsid w:val="16E2350D"/>
    <w:rsid w:val="16E305F3"/>
    <w:rsid w:val="16E318AE"/>
    <w:rsid w:val="16E31F33"/>
    <w:rsid w:val="16E3273B"/>
    <w:rsid w:val="16E3365C"/>
    <w:rsid w:val="16E41182"/>
    <w:rsid w:val="16E42F30"/>
    <w:rsid w:val="16E44AE6"/>
    <w:rsid w:val="16E44C4A"/>
    <w:rsid w:val="16E511B1"/>
    <w:rsid w:val="16E51390"/>
    <w:rsid w:val="16E573D4"/>
    <w:rsid w:val="16E577C2"/>
    <w:rsid w:val="16E57F6D"/>
    <w:rsid w:val="16E64975"/>
    <w:rsid w:val="16E64EFA"/>
    <w:rsid w:val="16E66CA8"/>
    <w:rsid w:val="16E80C72"/>
    <w:rsid w:val="16E82ACE"/>
    <w:rsid w:val="16E86EC4"/>
    <w:rsid w:val="16E949A3"/>
    <w:rsid w:val="16E96798"/>
    <w:rsid w:val="16EA2314"/>
    <w:rsid w:val="16EA3E0B"/>
    <w:rsid w:val="16EA49EA"/>
    <w:rsid w:val="16EB0E31"/>
    <w:rsid w:val="16EB25B6"/>
    <w:rsid w:val="16EC1269"/>
    <w:rsid w:val="16EC37B8"/>
    <w:rsid w:val="16EC6900"/>
    <w:rsid w:val="16ED6288"/>
    <w:rsid w:val="16ED74A8"/>
    <w:rsid w:val="16EE08B7"/>
    <w:rsid w:val="16EE25B0"/>
    <w:rsid w:val="16EE5F57"/>
    <w:rsid w:val="16EE6D27"/>
    <w:rsid w:val="16F07B27"/>
    <w:rsid w:val="16F11148"/>
    <w:rsid w:val="16F119F4"/>
    <w:rsid w:val="16F13FCB"/>
    <w:rsid w:val="16F14633"/>
    <w:rsid w:val="16F2389F"/>
    <w:rsid w:val="16F25ECA"/>
    <w:rsid w:val="16F33FFF"/>
    <w:rsid w:val="16F41155"/>
    <w:rsid w:val="16F413C5"/>
    <w:rsid w:val="16F41D35"/>
    <w:rsid w:val="16F459BF"/>
    <w:rsid w:val="16F471EA"/>
    <w:rsid w:val="16F5513D"/>
    <w:rsid w:val="16F56020"/>
    <w:rsid w:val="16F57E68"/>
    <w:rsid w:val="16F605F8"/>
    <w:rsid w:val="16F615E1"/>
    <w:rsid w:val="16F63F87"/>
    <w:rsid w:val="16F6423D"/>
    <w:rsid w:val="16F66D7B"/>
    <w:rsid w:val="16F70EB5"/>
    <w:rsid w:val="16F71843"/>
    <w:rsid w:val="16F72C63"/>
    <w:rsid w:val="16F733EF"/>
    <w:rsid w:val="16F75574"/>
    <w:rsid w:val="16F83F95"/>
    <w:rsid w:val="16F841BE"/>
    <w:rsid w:val="16F94C2D"/>
    <w:rsid w:val="16F94D19"/>
    <w:rsid w:val="16F969DB"/>
    <w:rsid w:val="16F9783A"/>
    <w:rsid w:val="16FA09A5"/>
    <w:rsid w:val="16FA0DAA"/>
    <w:rsid w:val="16FA2753"/>
    <w:rsid w:val="16FA75F3"/>
    <w:rsid w:val="16FC0247"/>
    <w:rsid w:val="16FC1965"/>
    <w:rsid w:val="16FC296F"/>
    <w:rsid w:val="16FD0020"/>
    <w:rsid w:val="16FD42A8"/>
    <w:rsid w:val="16FD6039"/>
    <w:rsid w:val="16FD6C24"/>
    <w:rsid w:val="16FE1105"/>
    <w:rsid w:val="16FE2244"/>
    <w:rsid w:val="16FE2E79"/>
    <w:rsid w:val="16FE3FF2"/>
    <w:rsid w:val="16FF3FF7"/>
    <w:rsid w:val="170008B5"/>
    <w:rsid w:val="17001B84"/>
    <w:rsid w:val="170065A6"/>
    <w:rsid w:val="17007A40"/>
    <w:rsid w:val="17011D34"/>
    <w:rsid w:val="17013AE2"/>
    <w:rsid w:val="17017F86"/>
    <w:rsid w:val="1702247C"/>
    <w:rsid w:val="1702272B"/>
    <w:rsid w:val="170228F8"/>
    <w:rsid w:val="1702478C"/>
    <w:rsid w:val="170253F0"/>
    <w:rsid w:val="17035549"/>
    <w:rsid w:val="17036EB0"/>
    <w:rsid w:val="17045380"/>
    <w:rsid w:val="170511A4"/>
    <w:rsid w:val="17052001"/>
    <w:rsid w:val="1706308B"/>
    <w:rsid w:val="17067826"/>
    <w:rsid w:val="17072E15"/>
    <w:rsid w:val="17074A52"/>
    <w:rsid w:val="17075AC8"/>
    <w:rsid w:val="17075B7B"/>
    <w:rsid w:val="17076710"/>
    <w:rsid w:val="17081314"/>
    <w:rsid w:val="17084E70"/>
    <w:rsid w:val="17092996"/>
    <w:rsid w:val="170A0BE8"/>
    <w:rsid w:val="170A28A0"/>
    <w:rsid w:val="170A6E3A"/>
    <w:rsid w:val="170A7566"/>
    <w:rsid w:val="170B2BB3"/>
    <w:rsid w:val="170B670F"/>
    <w:rsid w:val="170C1FCB"/>
    <w:rsid w:val="170C321C"/>
    <w:rsid w:val="170C3EE6"/>
    <w:rsid w:val="170C6666"/>
    <w:rsid w:val="170D2487"/>
    <w:rsid w:val="170D36D3"/>
    <w:rsid w:val="170D5337"/>
    <w:rsid w:val="170D692B"/>
    <w:rsid w:val="170D7784"/>
    <w:rsid w:val="170E0516"/>
    <w:rsid w:val="170E2CC7"/>
    <w:rsid w:val="170E2E8E"/>
    <w:rsid w:val="170E3922"/>
    <w:rsid w:val="170F3598"/>
    <w:rsid w:val="170F4451"/>
    <w:rsid w:val="170F44C1"/>
    <w:rsid w:val="171005AA"/>
    <w:rsid w:val="171171F2"/>
    <w:rsid w:val="17124A88"/>
    <w:rsid w:val="17127A9D"/>
    <w:rsid w:val="171308DB"/>
    <w:rsid w:val="171338FD"/>
    <w:rsid w:val="171364BC"/>
    <w:rsid w:val="17141A67"/>
    <w:rsid w:val="17143815"/>
    <w:rsid w:val="17147CB9"/>
    <w:rsid w:val="171510CA"/>
    <w:rsid w:val="17155133"/>
    <w:rsid w:val="1715758D"/>
    <w:rsid w:val="17162855"/>
    <w:rsid w:val="171661B7"/>
    <w:rsid w:val="1716696A"/>
    <w:rsid w:val="17167DB6"/>
    <w:rsid w:val="1717080E"/>
    <w:rsid w:val="171730D7"/>
    <w:rsid w:val="17173305"/>
    <w:rsid w:val="171760A6"/>
    <w:rsid w:val="171903EA"/>
    <w:rsid w:val="17190E2C"/>
    <w:rsid w:val="171971D9"/>
    <w:rsid w:val="171A2AB6"/>
    <w:rsid w:val="171A4BA4"/>
    <w:rsid w:val="171B1048"/>
    <w:rsid w:val="171B2CD5"/>
    <w:rsid w:val="171B2DF6"/>
    <w:rsid w:val="171B63AE"/>
    <w:rsid w:val="171C4DC0"/>
    <w:rsid w:val="171C60F0"/>
    <w:rsid w:val="171D090F"/>
    <w:rsid w:val="171D5AFD"/>
    <w:rsid w:val="171D637C"/>
    <w:rsid w:val="171E28E6"/>
    <w:rsid w:val="171F3E7E"/>
    <w:rsid w:val="1720040C"/>
    <w:rsid w:val="172008B9"/>
    <w:rsid w:val="172032D1"/>
    <w:rsid w:val="17204051"/>
    <w:rsid w:val="17205453"/>
    <w:rsid w:val="1720665E"/>
    <w:rsid w:val="17207642"/>
    <w:rsid w:val="17214184"/>
    <w:rsid w:val="17214CC9"/>
    <w:rsid w:val="17214EDB"/>
    <w:rsid w:val="17215F32"/>
    <w:rsid w:val="172271DD"/>
    <w:rsid w:val="17227CBD"/>
    <w:rsid w:val="17231CAA"/>
    <w:rsid w:val="17233A58"/>
    <w:rsid w:val="172364D9"/>
    <w:rsid w:val="17237EFC"/>
    <w:rsid w:val="1724264B"/>
    <w:rsid w:val="17250842"/>
    <w:rsid w:val="172508E3"/>
    <w:rsid w:val="17255A22"/>
    <w:rsid w:val="1726179A"/>
    <w:rsid w:val="17264599"/>
    <w:rsid w:val="172662DB"/>
    <w:rsid w:val="17271411"/>
    <w:rsid w:val="17273821"/>
    <w:rsid w:val="172779EC"/>
    <w:rsid w:val="17281B9E"/>
    <w:rsid w:val="17283764"/>
    <w:rsid w:val="17283774"/>
    <w:rsid w:val="17284467"/>
    <w:rsid w:val="17285513"/>
    <w:rsid w:val="17287EA8"/>
    <w:rsid w:val="17294D2C"/>
    <w:rsid w:val="17294E2D"/>
    <w:rsid w:val="17297264"/>
    <w:rsid w:val="17297B96"/>
    <w:rsid w:val="172A128B"/>
    <w:rsid w:val="172A294C"/>
    <w:rsid w:val="172A4DE7"/>
    <w:rsid w:val="172B0B5F"/>
    <w:rsid w:val="172B157D"/>
    <w:rsid w:val="172B5E0C"/>
    <w:rsid w:val="172B5F11"/>
    <w:rsid w:val="172B6DB1"/>
    <w:rsid w:val="172B745A"/>
    <w:rsid w:val="172C5003"/>
    <w:rsid w:val="172D0D7B"/>
    <w:rsid w:val="172D2B29"/>
    <w:rsid w:val="172D54A8"/>
    <w:rsid w:val="172D7E5C"/>
    <w:rsid w:val="172E029F"/>
    <w:rsid w:val="172E7EC2"/>
    <w:rsid w:val="172F68A1"/>
    <w:rsid w:val="17306175"/>
    <w:rsid w:val="17314406"/>
    <w:rsid w:val="17316FFB"/>
    <w:rsid w:val="1732013F"/>
    <w:rsid w:val="17325DB2"/>
    <w:rsid w:val="17326391"/>
    <w:rsid w:val="1733209D"/>
    <w:rsid w:val="17342109"/>
    <w:rsid w:val="17343219"/>
    <w:rsid w:val="17343EB7"/>
    <w:rsid w:val="17353482"/>
    <w:rsid w:val="173619DD"/>
    <w:rsid w:val="17364B64"/>
    <w:rsid w:val="17367C2F"/>
    <w:rsid w:val="173726FA"/>
    <w:rsid w:val="17377504"/>
    <w:rsid w:val="173777F4"/>
    <w:rsid w:val="17384188"/>
    <w:rsid w:val="17384FC3"/>
    <w:rsid w:val="17386125"/>
    <w:rsid w:val="17386D59"/>
    <w:rsid w:val="173914CE"/>
    <w:rsid w:val="17392CA2"/>
    <w:rsid w:val="1739327C"/>
    <w:rsid w:val="17397720"/>
    <w:rsid w:val="173A3527"/>
    <w:rsid w:val="173B2312"/>
    <w:rsid w:val="173B5246"/>
    <w:rsid w:val="173C0838"/>
    <w:rsid w:val="173C2D6C"/>
    <w:rsid w:val="173C4B1A"/>
    <w:rsid w:val="173D2349"/>
    <w:rsid w:val="173D297C"/>
    <w:rsid w:val="173D6011"/>
    <w:rsid w:val="173D60A6"/>
    <w:rsid w:val="173D6340"/>
    <w:rsid w:val="173E116F"/>
    <w:rsid w:val="173E4D36"/>
    <w:rsid w:val="173E6AE4"/>
    <w:rsid w:val="173F2A93"/>
    <w:rsid w:val="173F2EF8"/>
    <w:rsid w:val="17400AAE"/>
    <w:rsid w:val="174030BA"/>
    <w:rsid w:val="1740460A"/>
    <w:rsid w:val="174100BC"/>
    <w:rsid w:val="17412CAA"/>
    <w:rsid w:val="174165D4"/>
    <w:rsid w:val="174204F9"/>
    <w:rsid w:val="1742154C"/>
    <w:rsid w:val="174260F1"/>
    <w:rsid w:val="17441CCB"/>
    <w:rsid w:val="174451A9"/>
    <w:rsid w:val="17445BDB"/>
    <w:rsid w:val="17450DCD"/>
    <w:rsid w:val="17451C21"/>
    <w:rsid w:val="17451ECC"/>
    <w:rsid w:val="174560C4"/>
    <w:rsid w:val="174576E9"/>
    <w:rsid w:val="17457E73"/>
    <w:rsid w:val="17464B06"/>
    <w:rsid w:val="17465999"/>
    <w:rsid w:val="17473065"/>
    <w:rsid w:val="1747497F"/>
    <w:rsid w:val="17481711"/>
    <w:rsid w:val="17487963"/>
    <w:rsid w:val="1749510D"/>
    <w:rsid w:val="174973F8"/>
    <w:rsid w:val="174A04D5"/>
    <w:rsid w:val="174A36DB"/>
    <w:rsid w:val="174A5489"/>
    <w:rsid w:val="174A5FA3"/>
    <w:rsid w:val="174A65BC"/>
    <w:rsid w:val="174A7237"/>
    <w:rsid w:val="174A754F"/>
    <w:rsid w:val="174B0689"/>
    <w:rsid w:val="174C7453"/>
    <w:rsid w:val="174D25E4"/>
    <w:rsid w:val="174D4F79"/>
    <w:rsid w:val="174E00A5"/>
    <w:rsid w:val="174F0CF1"/>
    <w:rsid w:val="174F3B50"/>
    <w:rsid w:val="174F484D"/>
    <w:rsid w:val="174F508E"/>
    <w:rsid w:val="175005C5"/>
    <w:rsid w:val="175119BF"/>
    <w:rsid w:val="175145D2"/>
    <w:rsid w:val="17516470"/>
    <w:rsid w:val="17516817"/>
    <w:rsid w:val="1752258F"/>
    <w:rsid w:val="17533961"/>
    <w:rsid w:val="17540505"/>
    <w:rsid w:val="17542682"/>
    <w:rsid w:val="175429EC"/>
    <w:rsid w:val="17544351"/>
    <w:rsid w:val="17552BB9"/>
    <w:rsid w:val="17553C2D"/>
    <w:rsid w:val="175633F2"/>
    <w:rsid w:val="17563628"/>
    <w:rsid w:val="17563E2E"/>
    <w:rsid w:val="175668D5"/>
    <w:rsid w:val="17570F7A"/>
    <w:rsid w:val="17571954"/>
    <w:rsid w:val="17571D62"/>
    <w:rsid w:val="17573012"/>
    <w:rsid w:val="17577A43"/>
    <w:rsid w:val="175842DA"/>
    <w:rsid w:val="17592699"/>
    <w:rsid w:val="17592EC6"/>
    <w:rsid w:val="175A3E17"/>
    <w:rsid w:val="175A6092"/>
    <w:rsid w:val="175B0C2B"/>
    <w:rsid w:val="175B1444"/>
    <w:rsid w:val="175B58E8"/>
    <w:rsid w:val="175C04E3"/>
    <w:rsid w:val="175C0E06"/>
    <w:rsid w:val="175C273E"/>
    <w:rsid w:val="175C2B21"/>
    <w:rsid w:val="175C3583"/>
    <w:rsid w:val="175C3EA0"/>
    <w:rsid w:val="175C5B53"/>
    <w:rsid w:val="175C6F6A"/>
    <w:rsid w:val="175D4391"/>
    <w:rsid w:val="175D7C2B"/>
    <w:rsid w:val="175E0F34"/>
    <w:rsid w:val="175E2CE2"/>
    <w:rsid w:val="175E7186"/>
    <w:rsid w:val="175F1F04"/>
    <w:rsid w:val="175F5AE9"/>
    <w:rsid w:val="17602EFE"/>
    <w:rsid w:val="17606A5A"/>
    <w:rsid w:val="176127D3"/>
    <w:rsid w:val="17614824"/>
    <w:rsid w:val="17616FCF"/>
    <w:rsid w:val="17620A24"/>
    <w:rsid w:val="176302F9"/>
    <w:rsid w:val="17631EA2"/>
    <w:rsid w:val="176335E0"/>
    <w:rsid w:val="1763562D"/>
    <w:rsid w:val="1763654B"/>
    <w:rsid w:val="1763740F"/>
    <w:rsid w:val="176448E6"/>
    <w:rsid w:val="17647D58"/>
    <w:rsid w:val="176500D0"/>
    <w:rsid w:val="17650515"/>
    <w:rsid w:val="176522C3"/>
    <w:rsid w:val="17670696"/>
    <w:rsid w:val="1767603B"/>
    <w:rsid w:val="17680EFE"/>
    <w:rsid w:val="176952B1"/>
    <w:rsid w:val="17695FB7"/>
    <w:rsid w:val="176A1687"/>
    <w:rsid w:val="176A78D9"/>
    <w:rsid w:val="176B3494"/>
    <w:rsid w:val="176B35B8"/>
    <w:rsid w:val="176B57FE"/>
    <w:rsid w:val="176C18A3"/>
    <w:rsid w:val="176C7710"/>
    <w:rsid w:val="176D5FB9"/>
    <w:rsid w:val="176D6419"/>
    <w:rsid w:val="176D73C9"/>
    <w:rsid w:val="176E0569"/>
    <w:rsid w:val="176E3311"/>
    <w:rsid w:val="176F4EEF"/>
    <w:rsid w:val="176F6C9D"/>
    <w:rsid w:val="177017A1"/>
    <w:rsid w:val="17701D14"/>
    <w:rsid w:val="17702576"/>
    <w:rsid w:val="17704CBF"/>
    <w:rsid w:val="17705AC2"/>
    <w:rsid w:val="17710C68"/>
    <w:rsid w:val="17710FCB"/>
    <w:rsid w:val="17712A16"/>
    <w:rsid w:val="17714319"/>
    <w:rsid w:val="1771774B"/>
    <w:rsid w:val="177249E0"/>
    <w:rsid w:val="1772678E"/>
    <w:rsid w:val="17732F8D"/>
    <w:rsid w:val="17735226"/>
    <w:rsid w:val="1774130F"/>
    <w:rsid w:val="17741943"/>
    <w:rsid w:val="17742506"/>
    <w:rsid w:val="177469AA"/>
    <w:rsid w:val="17750C2C"/>
    <w:rsid w:val="17750E5A"/>
    <w:rsid w:val="17754337"/>
    <w:rsid w:val="177625A5"/>
    <w:rsid w:val="17763A34"/>
    <w:rsid w:val="17765BE8"/>
    <w:rsid w:val="17766159"/>
    <w:rsid w:val="17771FF6"/>
    <w:rsid w:val="17773DA4"/>
    <w:rsid w:val="1778273A"/>
    <w:rsid w:val="177834A0"/>
    <w:rsid w:val="17793FC0"/>
    <w:rsid w:val="17795D6E"/>
    <w:rsid w:val="17796EB8"/>
    <w:rsid w:val="177B16DD"/>
    <w:rsid w:val="177B3894"/>
    <w:rsid w:val="177B7D38"/>
    <w:rsid w:val="177C760C"/>
    <w:rsid w:val="177D1261"/>
    <w:rsid w:val="177D585E"/>
    <w:rsid w:val="177E2F9C"/>
    <w:rsid w:val="177E3384"/>
    <w:rsid w:val="177E5132"/>
    <w:rsid w:val="17812A7A"/>
    <w:rsid w:val="178269DF"/>
    <w:rsid w:val="1783099B"/>
    <w:rsid w:val="17832749"/>
    <w:rsid w:val="17835AB1"/>
    <w:rsid w:val="17840ED9"/>
    <w:rsid w:val="178412FF"/>
    <w:rsid w:val="17850E01"/>
    <w:rsid w:val="178523D7"/>
    <w:rsid w:val="17854713"/>
    <w:rsid w:val="17855360"/>
    <w:rsid w:val="1787048B"/>
    <w:rsid w:val="178716A9"/>
    <w:rsid w:val="17873DE0"/>
    <w:rsid w:val="17873DE5"/>
    <w:rsid w:val="178766DD"/>
    <w:rsid w:val="17882D86"/>
    <w:rsid w:val="17884203"/>
    <w:rsid w:val="17885FB1"/>
    <w:rsid w:val="17887D5F"/>
    <w:rsid w:val="17890919"/>
    <w:rsid w:val="178932DE"/>
    <w:rsid w:val="178939FF"/>
    <w:rsid w:val="17894A12"/>
    <w:rsid w:val="178A1D29"/>
    <w:rsid w:val="178A3AD0"/>
    <w:rsid w:val="178A48C6"/>
    <w:rsid w:val="178A4CBF"/>
    <w:rsid w:val="178B38D2"/>
    <w:rsid w:val="178C14E5"/>
    <w:rsid w:val="178C3CF3"/>
    <w:rsid w:val="178C784F"/>
    <w:rsid w:val="178C7E66"/>
    <w:rsid w:val="178D36E3"/>
    <w:rsid w:val="178D5001"/>
    <w:rsid w:val="178D5376"/>
    <w:rsid w:val="178E125F"/>
    <w:rsid w:val="178E4F82"/>
    <w:rsid w:val="178E7A6B"/>
    <w:rsid w:val="178F58F0"/>
    <w:rsid w:val="178F7340"/>
    <w:rsid w:val="17905FBE"/>
    <w:rsid w:val="179130B8"/>
    <w:rsid w:val="17913903"/>
    <w:rsid w:val="17917419"/>
    <w:rsid w:val="17930754"/>
    <w:rsid w:val="17930F2A"/>
    <w:rsid w:val="179336CD"/>
    <w:rsid w:val="17936D72"/>
    <w:rsid w:val="17936E30"/>
    <w:rsid w:val="17942BA8"/>
    <w:rsid w:val="17944956"/>
    <w:rsid w:val="17946704"/>
    <w:rsid w:val="17953714"/>
    <w:rsid w:val="1796247C"/>
    <w:rsid w:val="1796523D"/>
    <w:rsid w:val="179720A3"/>
    <w:rsid w:val="179761F4"/>
    <w:rsid w:val="17980C05"/>
    <w:rsid w:val="17982698"/>
    <w:rsid w:val="17994C66"/>
    <w:rsid w:val="17996410"/>
    <w:rsid w:val="179A367E"/>
    <w:rsid w:val="179B0D27"/>
    <w:rsid w:val="179B1408"/>
    <w:rsid w:val="179B337D"/>
    <w:rsid w:val="179B3A20"/>
    <w:rsid w:val="179B3B6B"/>
    <w:rsid w:val="179B5CE4"/>
    <w:rsid w:val="179B5E06"/>
    <w:rsid w:val="179B7A92"/>
    <w:rsid w:val="179C18C4"/>
    <w:rsid w:val="179C1A62"/>
    <w:rsid w:val="179C380B"/>
    <w:rsid w:val="179C471A"/>
    <w:rsid w:val="179D054D"/>
    <w:rsid w:val="179E1A05"/>
    <w:rsid w:val="179E3336"/>
    <w:rsid w:val="179E40F1"/>
    <w:rsid w:val="179E7583"/>
    <w:rsid w:val="179F2333"/>
    <w:rsid w:val="179F2B60"/>
    <w:rsid w:val="179F59F7"/>
    <w:rsid w:val="17A00827"/>
    <w:rsid w:val="17A032FB"/>
    <w:rsid w:val="17A0513C"/>
    <w:rsid w:val="17A0746F"/>
    <w:rsid w:val="17A10196"/>
    <w:rsid w:val="17A10E21"/>
    <w:rsid w:val="17A17C1F"/>
    <w:rsid w:val="17A32BF3"/>
    <w:rsid w:val="17A32DEB"/>
    <w:rsid w:val="17A4103D"/>
    <w:rsid w:val="17A45B86"/>
    <w:rsid w:val="17A503C1"/>
    <w:rsid w:val="17A54DB5"/>
    <w:rsid w:val="17A555DA"/>
    <w:rsid w:val="17A6096F"/>
    <w:rsid w:val="17A728DB"/>
    <w:rsid w:val="17A74476"/>
    <w:rsid w:val="17A76437"/>
    <w:rsid w:val="17A80401"/>
    <w:rsid w:val="17A821AF"/>
    <w:rsid w:val="17A8226F"/>
    <w:rsid w:val="17A96653"/>
    <w:rsid w:val="17AA211F"/>
    <w:rsid w:val="17AA23CB"/>
    <w:rsid w:val="17AA301A"/>
    <w:rsid w:val="17AA3930"/>
    <w:rsid w:val="17AA4B17"/>
    <w:rsid w:val="17AB593A"/>
    <w:rsid w:val="17AC08B4"/>
    <w:rsid w:val="17AC6144"/>
    <w:rsid w:val="17AC6BE0"/>
    <w:rsid w:val="17AD0655"/>
    <w:rsid w:val="17AD49E8"/>
    <w:rsid w:val="17AD77C6"/>
    <w:rsid w:val="17AE128A"/>
    <w:rsid w:val="17AE27A6"/>
    <w:rsid w:val="17AE7721"/>
    <w:rsid w:val="17AF0B55"/>
    <w:rsid w:val="17AF4B65"/>
    <w:rsid w:val="17AF6E8C"/>
    <w:rsid w:val="17AF71A4"/>
    <w:rsid w:val="17AF79E2"/>
    <w:rsid w:val="17B02286"/>
    <w:rsid w:val="17B10BE3"/>
    <w:rsid w:val="17B117AC"/>
    <w:rsid w:val="17B1375A"/>
    <w:rsid w:val="17B15508"/>
    <w:rsid w:val="17B211DA"/>
    <w:rsid w:val="17B23538"/>
    <w:rsid w:val="17B24D9C"/>
    <w:rsid w:val="17B257DE"/>
    <w:rsid w:val="17B3096F"/>
    <w:rsid w:val="17B31280"/>
    <w:rsid w:val="17B31FB9"/>
    <w:rsid w:val="17B33BE2"/>
    <w:rsid w:val="17B374D2"/>
    <w:rsid w:val="17B40B54"/>
    <w:rsid w:val="17B40D82"/>
    <w:rsid w:val="17B434B7"/>
    <w:rsid w:val="17B4366F"/>
    <w:rsid w:val="17B46C9D"/>
    <w:rsid w:val="17B5064C"/>
    <w:rsid w:val="17B60D70"/>
    <w:rsid w:val="17B61082"/>
    <w:rsid w:val="17B61287"/>
    <w:rsid w:val="17B62B1E"/>
    <w:rsid w:val="17B640FC"/>
    <w:rsid w:val="17B648CC"/>
    <w:rsid w:val="17B65676"/>
    <w:rsid w:val="17B67245"/>
    <w:rsid w:val="17B67EA8"/>
    <w:rsid w:val="17B80644"/>
    <w:rsid w:val="17B829D8"/>
    <w:rsid w:val="17B84AE8"/>
    <w:rsid w:val="17B86896"/>
    <w:rsid w:val="17B9167F"/>
    <w:rsid w:val="17B9260F"/>
    <w:rsid w:val="17B943BD"/>
    <w:rsid w:val="17B9616B"/>
    <w:rsid w:val="17BA15CD"/>
    <w:rsid w:val="17BA19BD"/>
    <w:rsid w:val="17BA4E9E"/>
    <w:rsid w:val="17BA5999"/>
    <w:rsid w:val="17BB0135"/>
    <w:rsid w:val="17BB2EC8"/>
    <w:rsid w:val="17BB542F"/>
    <w:rsid w:val="17BB6B70"/>
    <w:rsid w:val="17BB6D25"/>
    <w:rsid w:val="17BC0000"/>
    <w:rsid w:val="17BC5193"/>
    <w:rsid w:val="17BC71D1"/>
    <w:rsid w:val="17BC7F8F"/>
    <w:rsid w:val="17BD20FF"/>
    <w:rsid w:val="17BD7C2F"/>
    <w:rsid w:val="17BE3FBA"/>
    <w:rsid w:val="17BE79E5"/>
    <w:rsid w:val="17BE7C25"/>
    <w:rsid w:val="17BF3DB0"/>
    <w:rsid w:val="17BF4EB7"/>
    <w:rsid w:val="17BF5581"/>
    <w:rsid w:val="17C0085B"/>
    <w:rsid w:val="17C0133A"/>
    <w:rsid w:val="17C01B82"/>
    <w:rsid w:val="17C0399D"/>
    <w:rsid w:val="17C0574B"/>
    <w:rsid w:val="17C074F9"/>
    <w:rsid w:val="17C13539"/>
    <w:rsid w:val="17C20428"/>
    <w:rsid w:val="17C21324"/>
    <w:rsid w:val="17C24EBC"/>
    <w:rsid w:val="17C27106"/>
    <w:rsid w:val="17C35302"/>
    <w:rsid w:val="17C36DF2"/>
    <w:rsid w:val="17C374A7"/>
    <w:rsid w:val="17C444C1"/>
    <w:rsid w:val="17C454A4"/>
    <w:rsid w:val="17C474EA"/>
    <w:rsid w:val="17C50FB3"/>
    <w:rsid w:val="17C53F8C"/>
    <w:rsid w:val="17C57205"/>
    <w:rsid w:val="17C62C67"/>
    <w:rsid w:val="17C63C83"/>
    <w:rsid w:val="17C77CFD"/>
    <w:rsid w:val="17C84600"/>
    <w:rsid w:val="17C85410"/>
    <w:rsid w:val="17C87E9B"/>
    <w:rsid w:val="17C918B5"/>
    <w:rsid w:val="17C92852"/>
    <w:rsid w:val="17CA481C"/>
    <w:rsid w:val="17CB6BE3"/>
    <w:rsid w:val="17CC0594"/>
    <w:rsid w:val="17CC2342"/>
    <w:rsid w:val="17CC40F0"/>
    <w:rsid w:val="17CC7AF5"/>
    <w:rsid w:val="17CD1C16"/>
    <w:rsid w:val="17CF293E"/>
    <w:rsid w:val="17D04D35"/>
    <w:rsid w:val="17D11706"/>
    <w:rsid w:val="17D11723"/>
    <w:rsid w:val="17D14752"/>
    <w:rsid w:val="17D1503E"/>
    <w:rsid w:val="17D16B75"/>
    <w:rsid w:val="17D226D6"/>
    <w:rsid w:val="17D248BB"/>
    <w:rsid w:val="17D265B8"/>
    <w:rsid w:val="17D336D0"/>
    <w:rsid w:val="17D47448"/>
    <w:rsid w:val="17D55132"/>
    <w:rsid w:val="17D613B4"/>
    <w:rsid w:val="17D61A3D"/>
    <w:rsid w:val="17D631C0"/>
    <w:rsid w:val="17D64B12"/>
    <w:rsid w:val="17D65C63"/>
    <w:rsid w:val="17D66994"/>
    <w:rsid w:val="17D66D1D"/>
    <w:rsid w:val="17D6716D"/>
    <w:rsid w:val="17D72300"/>
    <w:rsid w:val="17D734C7"/>
    <w:rsid w:val="17D754AF"/>
    <w:rsid w:val="17D759BC"/>
    <w:rsid w:val="17D80CE7"/>
    <w:rsid w:val="17D86F39"/>
    <w:rsid w:val="17D905BB"/>
    <w:rsid w:val="17D9680D"/>
    <w:rsid w:val="17D9783E"/>
    <w:rsid w:val="17DA3589"/>
    <w:rsid w:val="17DA4A73"/>
    <w:rsid w:val="17DA6F0B"/>
    <w:rsid w:val="17DA74F0"/>
    <w:rsid w:val="17DB07D7"/>
    <w:rsid w:val="17DB194C"/>
    <w:rsid w:val="17DB33B5"/>
    <w:rsid w:val="17DC32D8"/>
    <w:rsid w:val="17DC7D23"/>
    <w:rsid w:val="17DD0A7A"/>
    <w:rsid w:val="17DD1E75"/>
    <w:rsid w:val="17DD454F"/>
    <w:rsid w:val="17DD49B3"/>
    <w:rsid w:val="17DD52E9"/>
    <w:rsid w:val="17DD62FD"/>
    <w:rsid w:val="17DD7339"/>
    <w:rsid w:val="17DE3E23"/>
    <w:rsid w:val="17DF2075"/>
    <w:rsid w:val="17DF689D"/>
    <w:rsid w:val="17DF69FB"/>
    <w:rsid w:val="17E01BA6"/>
    <w:rsid w:val="17E03EAC"/>
    <w:rsid w:val="17E04C00"/>
    <w:rsid w:val="17E05DED"/>
    <w:rsid w:val="17E13F3C"/>
    <w:rsid w:val="17E14679"/>
    <w:rsid w:val="17E217ED"/>
    <w:rsid w:val="17E21B65"/>
    <w:rsid w:val="17E26EB7"/>
    <w:rsid w:val="17E2796B"/>
    <w:rsid w:val="17E30878"/>
    <w:rsid w:val="17E331AB"/>
    <w:rsid w:val="17E34892"/>
    <w:rsid w:val="17E400D2"/>
    <w:rsid w:val="17E4768B"/>
    <w:rsid w:val="17E52D7B"/>
    <w:rsid w:val="17E53404"/>
    <w:rsid w:val="17E551B2"/>
    <w:rsid w:val="17E5581B"/>
    <w:rsid w:val="17E57B3C"/>
    <w:rsid w:val="17E614DA"/>
    <w:rsid w:val="17E66F5B"/>
    <w:rsid w:val="17E775B0"/>
    <w:rsid w:val="17E92EF4"/>
    <w:rsid w:val="17E96131"/>
    <w:rsid w:val="17EA04AD"/>
    <w:rsid w:val="17EA0D30"/>
    <w:rsid w:val="17EA49E5"/>
    <w:rsid w:val="17EB030A"/>
    <w:rsid w:val="17EB12D7"/>
    <w:rsid w:val="17EB5FA5"/>
    <w:rsid w:val="17EB6C6C"/>
    <w:rsid w:val="17EC02EE"/>
    <w:rsid w:val="17EC0DE7"/>
    <w:rsid w:val="17EC425D"/>
    <w:rsid w:val="17EC4792"/>
    <w:rsid w:val="17EC6540"/>
    <w:rsid w:val="17ED0C0C"/>
    <w:rsid w:val="17ED473A"/>
    <w:rsid w:val="17EE02BE"/>
    <w:rsid w:val="17EE050A"/>
    <w:rsid w:val="17EE2E8F"/>
    <w:rsid w:val="17EE37CB"/>
    <w:rsid w:val="17EE4314"/>
    <w:rsid w:val="17EE4D55"/>
    <w:rsid w:val="17EF174E"/>
    <w:rsid w:val="17EF1998"/>
    <w:rsid w:val="17EF431F"/>
    <w:rsid w:val="17F02BDE"/>
    <w:rsid w:val="17F02ED1"/>
    <w:rsid w:val="17F06B5A"/>
    <w:rsid w:val="17F16C3F"/>
    <w:rsid w:val="17F17594"/>
    <w:rsid w:val="17F21810"/>
    <w:rsid w:val="17F22727"/>
    <w:rsid w:val="17F23070"/>
    <w:rsid w:val="17F26500"/>
    <w:rsid w:val="17F30F66"/>
    <w:rsid w:val="17F31328"/>
    <w:rsid w:val="17F3155F"/>
    <w:rsid w:val="17F35B20"/>
    <w:rsid w:val="17F36D55"/>
    <w:rsid w:val="17F451EC"/>
    <w:rsid w:val="17F453F5"/>
    <w:rsid w:val="17F50191"/>
    <w:rsid w:val="17F5162F"/>
    <w:rsid w:val="17F559D0"/>
    <w:rsid w:val="17F6116D"/>
    <w:rsid w:val="17F628BC"/>
    <w:rsid w:val="17F70E60"/>
    <w:rsid w:val="17F76BC6"/>
    <w:rsid w:val="17F81389"/>
    <w:rsid w:val="17F83F41"/>
    <w:rsid w:val="17F875CE"/>
    <w:rsid w:val="17F914AE"/>
    <w:rsid w:val="17F97E31"/>
    <w:rsid w:val="17FA4F19"/>
    <w:rsid w:val="17FA5F7E"/>
    <w:rsid w:val="17FA6B9B"/>
    <w:rsid w:val="17FB2C27"/>
    <w:rsid w:val="17FB49D5"/>
    <w:rsid w:val="17FC425C"/>
    <w:rsid w:val="17FD51E2"/>
    <w:rsid w:val="17FD5F3A"/>
    <w:rsid w:val="17FD6923"/>
    <w:rsid w:val="17FE052C"/>
    <w:rsid w:val="17FF1243"/>
    <w:rsid w:val="17FF44C5"/>
    <w:rsid w:val="17FF5CE4"/>
    <w:rsid w:val="17FF70E2"/>
    <w:rsid w:val="18001F45"/>
    <w:rsid w:val="18004B6B"/>
    <w:rsid w:val="180052A4"/>
    <w:rsid w:val="18017B76"/>
    <w:rsid w:val="18022BD4"/>
    <w:rsid w:val="18025D64"/>
    <w:rsid w:val="18027B12"/>
    <w:rsid w:val="18027DD3"/>
    <w:rsid w:val="18034982"/>
    <w:rsid w:val="180359CC"/>
    <w:rsid w:val="18041ADC"/>
    <w:rsid w:val="18045F94"/>
    <w:rsid w:val="18051D3C"/>
    <w:rsid w:val="180550B5"/>
    <w:rsid w:val="18056910"/>
    <w:rsid w:val="18056C31"/>
    <w:rsid w:val="180607D9"/>
    <w:rsid w:val="18061B86"/>
    <w:rsid w:val="18064908"/>
    <w:rsid w:val="18065016"/>
    <w:rsid w:val="180728B7"/>
    <w:rsid w:val="18083A36"/>
    <w:rsid w:val="180903C7"/>
    <w:rsid w:val="18090EA0"/>
    <w:rsid w:val="18091BD0"/>
    <w:rsid w:val="18094EC6"/>
    <w:rsid w:val="18094F0A"/>
    <w:rsid w:val="180970F2"/>
    <w:rsid w:val="180A0F27"/>
    <w:rsid w:val="180A2E6A"/>
    <w:rsid w:val="180B10BC"/>
    <w:rsid w:val="180B1CEE"/>
    <w:rsid w:val="180B3AAE"/>
    <w:rsid w:val="180B77E6"/>
    <w:rsid w:val="180C273E"/>
    <w:rsid w:val="180C6BE2"/>
    <w:rsid w:val="180F1EA1"/>
    <w:rsid w:val="180F5184"/>
    <w:rsid w:val="181066D2"/>
    <w:rsid w:val="18113A03"/>
    <w:rsid w:val="181141F9"/>
    <w:rsid w:val="18115FA7"/>
    <w:rsid w:val="18117D55"/>
    <w:rsid w:val="1812314D"/>
    <w:rsid w:val="18131D1F"/>
    <w:rsid w:val="18133700"/>
    <w:rsid w:val="18141649"/>
    <w:rsid w:val="18153CE9"/>
    <w:rsid w:val="1816180F"/>
    <w:rsid w:val="18162DE7"/>
    <w:rsid w:val="181635BD"/>
    <w:rsid w:val="1816603C"/>
    <w:rsid w:val="18166A0A"/>
    <w:rsid w:val="18167A61"/>
    <w:rsid w:val="1817209B"/>
    <w:rsid w:val="18180161"/>
    <w:rsid w:val="181810E3"/>
    <w:rsid w:val="18184D2A"/>
    <w:rsid w:val="18185587"/>
    <w:rsid w:val="181874C4"/>
    <w:rsid w:val="181906D1"/>
    <w:rsid w:val="181916B9"/>
    <w:rsid w:val="18193E43"/>
    <w:rsid w:val="18194090"/>
    <w:rsid w:val="181A12FF"/>
    <w:rsid w:val="181A26E5"/>
    <w:rsid w:val="181A30AD"/>
    <w:rsid w:val="181A7D48"/>
    <w:rsid w:val="181A7E71"/>
    <w:rsid w:val="181B0739"/>
    <w:rsid w:val="181B0BD3"/>
    <w:rsid w:val="181B28AB"/>
    <w:rsid w:val="181B6E25"/>
    <w:rsid w:val="181C6B43"/>
    <w:rsid w:val="181D0DEF"/>
    <w:rsid w:val="181D2723"/>
    <w:rsid w:val="181E52EC"/>
    <w:rsid w:val="181E57E2"/>
    <w:rsid w:val="181F09F4"/>
    <w:rsid w:val="181F31B6"/>
    <w:rsid w:val="181F6915"/>
    <w:rsid w:val="182061EA"/>
    <w:rsid w:val="18215CD3"/>
    <w:rsid w:val="182208D1"/>
    <w:rsid w:val="18221F62"/>
    <w:rsid w:val="18226406"/>
    <w:rsid w:val="18226971"/>
    <w:rsid w:val="1824217E"/>
    <w:rsid w:val="182452DC"/>
    <w:rsid w:val="18245CDA"/>
    <w:rsid w:val="18247658"/>
    <w:rsid w:val="18252FB3"/>
    <w:rsid w:val="18253800"/>
    <w:rsid w:val="1825759A"/>
    <w:rsid w:val="18273A1C"/>
    <w:rsid w:val="18277578"/>
    <w:rsid w:val="182818DF"/>
    <w:rsid w:val="182874A2"/>
    <w:rsid w:val="18291542"/>
    <w:rsid w:val="182932F0"/>
    <w:rsid w:val="18295214"/>
    <w:rsid w:val="182A7068"/>
    <w:rsid w:val="182B19A1"/>
    <w:rsid w:val="182B52BA"/>
    <w:rsid w:val="182B7976"/>
    <w:rsid w:val="182C1032"/>
    <w:rsid w:val="182D42C1"/>
    <w:rsid w:val="182D53CA"/>
    <w:rsid w:val="182E15D8"/>
    <w:rsid w:val="182E41DB"/>
    <w:rsid w:val="182E62CB"/>
    <w:rsid w:val="182F1355"/>
    <w:rsid w:val="182F13A1"/>
    <w:rsid w:val="182F467F"/>
    <w:rsid w:val="18300B23"/>
    <w:rsid w:val="18301222"/>
    <w:rsid w:val="183028D1"/>
    <w:rsid w:val="18302C42"/>
    <w:rsid w:val="18303023"/>
    <w:rsid w:val="183103F7"/>
    <w:rsid w:val="18311EA3"/>
    <w:rsid w:val="183121A5"/>
    <w:rsid w:val="183140D2"/>
    <w:rsid w:val="18322520"/>
    <w:rsid w:val="18323544"/>
    <w:rsid w:val="18326CA3"/>
    <w:rsid w:val="18330D36"/>
    <w:rsid w:val="18333A1E"/>
    <w:rsid w:val="1833416F"/>
    <w:rsid w:val="18335F1D"/>
    <w:rsid w:val="18341C27"/>
    <w:rsid w:val="18343965"/>
    <w:rsid w:val="18351C95"/>
    <w:rsid w:val="183526D1"/>
    <w:rsid w:val="18355624"/>
    <w:rsid w:val="183577C0"/>
    <w:rsid w:val="18357EE7"/>
    <w:rsid w:val="18363C5F"/>
    <w:rsid w:val="18363EE3"/>
    <w:rsid w:val="18365A0D"/>
    <w:rsid w:val="18366AB4"/>
    <w:rsid w:val="183716CD"/>
    <w:rsid w:val="18371EB1"/>
    <w:rsid w:val="18372B89"/>
    <w:rsid w:val="18375D2F"/>
    <w:rsid w:val="183768D2"/>
    <w:rsid w:val="18381785"/>
    <w:rsid w:val="1838681C"/>
    <w:rsid w:val="183879D7"/>
    <w:rsid w:val="18392864"/>
    <w:rsid w:val="183A374F"/>
    <w:rsid w:val="183A54FD"/>
    <w:rsid w:val="183A68C5"/>
    <w:rsid w:val="183A72AB"/>
    <w:rsid w:val="183B3351"/>
    <w:rsid w:val="183C74C7"/>
    <w:rsid w:val="183D0B4A"/>
    <w:rsid w:val="183D1830"/>
    <w:rsid w:val="183D75D9"/>
    <w:rsid w:val="183D7AE9"/>
    <w:rsid w:val="183E1537"/>
    <w:rsid w:val="183E3DD2"/>
    <w:rsid w:val="183E5BC7"/>
    <w:rsid w:val="183F0D66"/>
    <w:rsid w:val="183F210C"/>
    <w:rsid w:val="183F4732"/>
    <w:rsid w:val="183F5BC2"/>
    <w:rsid w:val="184100B4"/>
    <w:rsid w:val="18411293"/>
    <w:rsid w:val="184113B2"/>
    <w:rsid w:val="18413DC1"/>
    <w:rsid w:val="18423938"/>
    <w:rsid w:val="184243B2"/>
    <w:rsid w:val="1844012A"/>
    <w:rsid w:val="18441ED8"/>
    <w:rsid w:val="1844304E"/>
    <w:rsid w:val="184455BA"/>
    <w:rsid w:val="18446B32"/>
    <w:rsid w:val="184639D8"/>
    <w:rsid w:val="18463EA2"/>
    <w:rsid w:val="18472255"/>
    <w:rsid w:val="18472E5D"/>
    <w:rsid w:val="18475E6C"/>
    <w:rsid w:val="18484DE1"/>
    <w:rsid w:val="18487794"/>
    <w:rsid w:val="184951C2"/>
    <w:rsid w:val="18495740"/>
    <w:rsid w:val="184A2CBD"/>
    <w:rsid w:val="184A63BA"/>
    <w:rsid w:val="184B14B9"/>
    <w:rsid w:val="184B3D94"/>
    <w:rsid w:val="184B4C79"/>
    <w:rsid w:val="184B784A"/>
    <w:rsid w:val="184C4E1D"/>
    <w:rsid w:val="184D216A"/>
    <w:rsid w:val="184D72C9"/>
    <w:rsid w:val="184E0FA9"/>
    <w:rsid w:val="184E196A"/>
    <w:rsid w:val="184E2EA9"/>
    <w:rsid w:val="184E35FA"/>
    <w:rsid w:val="184E6F70"/>
    <w:rsid w:val="184F5808"/>
    <w:rsid w:val="18504760"/>
    <w:rsid w:val="18510A99"/>
    <w:rsid w:val="1851250D"/>
    <w:rsid w:val="185127E1"/>
    <w:rsid w:val="18512847"/>
    <w:rsid w:val="185136BC"/>
    <w:rsid w:val="185145F5"/>
    <w:rsid w:val="18517A73"/>
    <w:rsid w:val="185214D4"/>
    <w:rsid w:val="185220A2"/>
    <w:rsid w:val="1853117B"/>
    <w:rsid w:val="18534811"/>
    <w:rsid w:val="185356B4"/>
    <w:rsid w:val="185409A2"/>
    <w:rsid w:val="185426A5"/>
    <w:rsid w:val="185605B5"/>
    <w:rsid w:val="18560743"/>
    <w:rsid w:val="18561C0B"/>
    <w:rsid w:val="18581E27"/>
    <w:rsid w:val="18583BD5"/>
    <w:rsid w:val="185A50EC"/>
    <w:rsid w:val="185A5BA0"/>
    <w:rsid w:val="185B5474"/>
    <w:rsid w:val="185C1CEE"/>
    <w:rsid w:val="185C36C6"/>
    <w:rsid w:val="185C39A9"/>
    <w:rsid w:val="185C58A7"/>
    <w:rsid w:val="185C63F4"/>
    <w:rsid w:val="185C6545"/>
    <w:rsid w:val="185D11EC"/>
    <w:rsid w:val="185D1C5F"/>
    <w:rsid w:val="185D708E"/>
    <w:rsid w:val="185E032D"/>
    <w:rsid w:val="185E6EB6"/>
    <w:rsid w:val="185E7EF7"/>
    <w:rsid w:val="185F30CB"/>
    <w:rsid w:val="185F31B6"/>
    <w:rsid w:val="185F6D12"/>
    <w:rsid w:val="18616F2E"/>
    <w:rsid w:val="18622CA6"/>
    <w:rsid w:val="18627299"/>
    <w:rsid w:val="18630328"/>
    <w:rsid w:val="186373DD"/>
    <w:rsid w:val="186407CC"/>
    <w:rsid w:val="18646F61"/>
    <w:rsid w:val="186503F1"/>
    <w:rsid w:val="18661881"/>
    <w:rsid w:val="18662FC4"/>
    <w:rsid w:val="18664452"/>
    <w:rsid w:val="1866533A"/>
    <w:rsid w:val="18672D11"/>
    <w:rsid w:val="18673B8C"/>
    <w:rsid w:val="1867479D"/>
    <w:rsid w:val="186926D0"/>
    <w:rsid w:val="1869488E"/>
    <w:rsid w:val="186A1F63"/>
    <w:rsid w:val="186B1B5B"/>
    <w:rsid w:val="186B56B7"/>
    <w:rsid w:val="186C1C57"/>
    <w:rsid w:val="186D087B"/>
    <w:rsid w:val="186D6D64"/>
    <w:rsid w:val="186E158B"/>
    <w:rsid w:val="186E164B"/>
    <w:rsid w:val="186E33F9"/>
    <w:rsid w:val="186E6F98"/>
    <w:rsid w:val="186F07CA"/>
    <w:rsid w:val="186F0EA3"/>
    <w:rsid w:val="186F61D1"/>
    <w:rsid w:val="186F7922"/>
    <w:rsid w:val="18702CCD"/>
    <w:rsid w:val="18706DAC"/>
    <w:rsid w:val="1871061F"/>
    <w:rsid w:val="18714C97"/>
    <w:rsid w:val="18715799"/>
    <w:rsid w:val="187209AD"/>
    <w:rsid w:val="187229F5"/>
    <w:rsid w:val="18722EE9"/>
    <w:rsid w:val="18726B84"/>
    <w:rsid w:val="18733E84"/>
    <w:rsid w:val="18736C61"/>
    <w:rsid w:val="1875158C"/>
    <w:rsid w:val="187529D9"/>
    <w:rsid w:val="18753216"/>
    <w:rsid w:val="18756535"/>
    <w:rsid w:val="18757EE5"/>
    <w:rsid w:val="187622AE"/>
    <w:rsid w:val="1876405C"/>
    <w:rsid w:val="18764293"/>
    <w:rsid w:val="1876610B"/>
    <w:rsid w:val="18770500"/>
    <w:rsid w:val="1877066F"/>
    <w:rsid w:val="18771873"/>
    <w:rsid w:val="187720F7"/>
    <w:rsid w:val="18775797"/>
    <w:rsid w:val="187831B6"/>
    <w:rsid w:val="187870D9"/>
    <w:rsid w:val="18792F1B"/>
    <w:rsid w:val="18794569"/>
    <w:rsid w:val="18797CF6"/>
    <w:rsid w:val="187A1D9E"/>
    <w:rsid w:val="187A28C7"/>
    <w:rsid w:val="187A3B4C"/>
    <w:rsid w:val="187A732E"/>
    <w:rsid w:val="187B2371"/>
    <w:rsid w:val="187B2616"/>
    <w:rsid w:val="187B2D75"/>
    <w:rsid w:val="187C3D68"/>
    <w:rsid w:val="187C6165"/>
    <w:rsid w:val="187C6677"/>
    <w:rsid w:val="187D188E"/>
    <w:rsid w:val="187D363C"/>
    <w:rsid w:val="187D53EA"/>
    <w:rsid w:val="187E0A4E"/>
    <w:rsid w:val="187E1393"/>
    <w:rsid w:val="187E1568"/>
    <w:rsid w:val="187E2D48"/>
    <w:rsid w:val="187E4816"/>
    <w:rsid w:val="187F1162"/>
    <w:rsid w:val="18804FF8"/>
    <w:rsid w:val="1881137E"/>
    <w:rsid w:val="1881312C"/>
    <w:rsid w:val="18816044"/>
    <w:rsid w:val="18816B6E"/>
    <w:rsid w:val="18820C52"/>
    <w:rsid w:val="18826EA4"/>
    <w:rsid w:val="1883299C"/>
    <w:rsid w:val="188350F6"/>
    <w:rsid w:val="18835F56"/>
    <w:rsid w:val="18842C1C"/>
    <w:rsid w:val="188438A5"/>
    <w:rsid w:val="18845EA4"/>
    <w:rsid w:val="188517E2"/>
    <w:rsid w:val="18853937"/>
    <w:rsid w:val="1885413C"/>
    <w:rsid w:val="18856299"/>
    <w:rsid w:val="18860743"/>
    <w:rsid w:val="188624F1"/>
    <w:rsid w:val="18862819"/>
    <w:rsid w:val="188632B3"/>
    <w:rsid w:val="18866BFC"/>
    <w:rsid w:val="188726CB"/>
    <w:rsid w:val="188745DB"/>
    <w:rsid w:val="18877806"/>
    <w:rsid w:val="18887276"/>
    <w:rsid w:val="18890233"/>
    <w:rsid w:val="18893D8F"/>
    <w:rsid w:val="188A6578"/>
    <w:rsid w:val="188B1E10"/>
    <w:rsid w:val="188B3FAB"/>
    <w:rsid w:val="188B5D59"/>
    <w:rsid w:val="188B6107"/>
    <w:rsid w:val="188B6ED2"/>
    <w:rsid w:val="188B7B07"/>
    <w:rsid w:val="188C1683"/>
    <w:rsid w:val="188C359B"/>
    <w:rsid w:val="188C387F"/>
    <w:rsid w:val="188C4D77"/>
    <w:rsid w:val="188D0D10"/>
    <w:rsid w:val="188D1AD1"/>
    <w:rsid w:val="188D75FC"/>
    <w:rsid w:val="188E3A9B"/>
    <w:rsid w:val="188F3456"/>
    <w:rsid w:val="188F43BF"/>
    <w:rsid w:val="188F4753"/>
    <w:rsid w:val="188F4EA9"/>
    <w:rsid w:val="1890085C"/>
    <w:rsid w:val="189015C1"/>
    <w:rsid w:val="1890185D"/>
    <w:rsid w:val="18902C8D"/>
    <w:rsid w:val="1890336F"/>
    <w:rsid w:val="1890511D"/>
    <w:rsid w:val="18910E95"/>
    <w:rsid w:val="18911306"/>
    <w:rsid w:val="18911E8C"/>
    <w:rsid w:val="18915F7D"/>
    <w:rsid w:val="18920416"/>
    <w:rsid w:val="1892089D"/>
    <w:rsid w:val="18921FDE"/>
    <w:rsid w:val="18922FF6"/>
    <w:rsid w:val="189239B0"/>
    <w:rsid w:val="18926908"/>
    <w:rsid w:val="18932E60"/>
    <w:rsid w:val="18934153"/>
    <w:rsid w:val="18934C0E"/>
    <w:rsid w:val="18934C96"/>
    <w:rsid w:val="18936755"/>
    <w:rsid w:val="18944412"/>
    <w:rsid w:val="18950986"/>
    <w:rsid w:val="18952734"/>
    <w:rsid w:val="18954E2A"/>
    <w:rsid w:val="189574CF"/>
    <w:rsid w:val="189637E0"/>
    <w:rsid w:val="18965180"/>
    <w:rsid w:val="18967E22"/>
    <w:rsid w:val="18972950"/>
    <w:rsid w:val="18973E04"/>
    <w:rsid w:val="189746FE"/>
    <w:rsid w:val="18980476"/>
    <w:rsid w:val="1898193F"/>
    <w:rsid w:val="189866C8"/>
    <w:rsid w:val="18996497"/>
    <w:rsid w:val="189967BF"/>
    <w:rsid w:val="189967D5"/>
    <w:rsid w:val="189A0770"/>
    <w:rsid w:val="189A2440"/>
    <w:rsid w:val="189A6D45"/>
    <w:rsid w:val="189B0DBC"/>
    <w:rsid w:val="189B21BD"/>
    <w:rsid w:val="189B74D4"/>
    <w:rsid w:val="189C111D"/>
    <w:rsid w:val="189C1D14"/>
    <w:rsid w:val="189C6E39"/>
    <w:rsid w:val="189D5A8C"/>
    <w:rsid w:val="189D7825"/>
    <w:rsid w:val="189D783A"/>
    <w:rsid w:val="189E3CDE"/>
    <w:rsid w:val="189E6867"/>
    <w:rsid w:val="189F0346"/>
    <w:rsid w:val="189F1804"/>
    <w:rsid w:val="189F35B2"/>
    <w:rsid w:val="189F624C"/>
    <w:rsid w:val="189F7A56"/>
    <w:rsid w:val="18A04F4F"/>
    <w:rsid w:val="18A11A07"/>
    <w:rsid w:val="18A12789"/>
    <w:rsid w:val="18A1557C"/>
    <w:rsid w:val="18A1732B"/>
    <w:rsid w:val="18A215FB"/>
    <w:rsid w:val="18A230A3"/>
    <w:rsid w:val="18A24C0F"/>
    <w:rsid w:val="18A312F5"/>
    <w:rsid w:val="18A4506D"/>
    <w:rsid w:val="18A45A76"/>
    <w:rsid w:val="18A46EA0"/>
    <w:rsid w:val="18A52747"/>
    <w:rsid w:val="18A5444C"/>
    <w:rsid w:val="18A54EAF"/>
    <w:rsid w:val="18A569F6"/>
    <w:rsid w:val="18A623BB"/>
    <w:rsid w:val="18A907FB"/>
    <w:rsid w:val="18A92F62"/>
    <w:rsid w:val="18AB1F57"/>
    <w:rsid w:val="18AB63FB"/>
    <w:rsid w:val="18AC14B5"/>
    <w:rsid w:val="18AC5B89"/>
    <w:rsid w:val="18AC5CCF"/>
    <w:rsid w:val="18AD2173"/>
    <w:rsid w:val="18AD6841"/>
    <w:rsid w:val="18AE1092"/>
    <w:rsid w:val="18AE37F5"/>
    <w:rsid w:val="18AE4370"/>
    <w:rsid w:val="18AE5D72"/>
    <w:rsid w:val="18AE6318"/>
    <w:rsid w:val="18AE6D77"/>
    <w:rsid w:val="18AE7C99"/>
    <w:rsid w:val="18AE7FF4"/>
    <w:rsid w:val="18AF5EEB"/>
    <w:rsid w:val="18B05567"/>
    <w:rsid w:val="18B0786E"/>
    <w:rsid w:val="18B1543D"/>
    <w:rsid w:val="18B1793B"/>
    <w:rsid w:val="18B21538"/>
    <w:rsid w:val="18B25370"/>
    <w:rsid w:val="18B261A0"/>
    <w:rsid w:val="18B2778A"/>
    <w:rsid w:val="18B316B0"/>
    <w:rsid w:val="18B33A9F"/>
    <w:rsid w:val="18B35178"/>
    <w:rsid w:val="18B3705E"/>
    <w:rsid w:val="18B46E37"/>
    <w:rsid w:val="18B505CE"/>
    <w:rsid w:val="18B537BD"/>
    <w:rsid w:val="18B54B84"/>
    <w:rsid w:val="18B55378"/>
    <w:rsid w:val="18B57567"/>
    <w:rsid w:val="18B61461"/>
    <w:rsid w:val="18B62FB1"/>
    <w:rsid w:val="18B63AD9"/>
    <w:rsid w:val="18B66474"/>
    <w:rsid w:val="18B70546"/>
    <w:rsid w:val="18B72869"/>
    <w:rsid w:val="18B73242"/>
    <w:rsid w:val="18B74E99"/>
    <w:rsid w:val="18B766ED"/>
    <w:rsid w:val="18B81D45"/>
    <w:rsid w:val="18B828C6"/>
    <w:rsid w:val="18B857A3"/>
    <w:rsid w:val="18B8791A"/>
    <w:rsid w:val="18B90B18"/>
    <w:rsid w:val="18B9226D"/>
    <w:rsid w:val="18B94660"/>
    <w:rsid w:val="18B95189"/>
    <w:rsid w:val="18B95C95"/>
    <w:rsid w:val="18BA4890"/>
    <w:rsid w:val="18BB267A"/>
    <w:rsid w:val="18BB53A4"/>
    <w:rsid w:val="18BC4164"/>
    <w:rsid w:val="18BC66A7"/>
    <w:rsid w:val="18BD1C8B"/>
    <w:rsid w:val="18BD27C6"/>
    <w:rsid w:val="18BD4AD1"/>
    <w:rsid w:val="18BD7EDC"/>
    <w:rsid w:val="18BE612E"/>
    <w:rsid w:val="18BE635D"/>
    <w:rsid w:val="18BE7B6B"/>
    <w:rsid w:val="18BF4679"/>
    <w:rsid w:val="18C00FA3"/>
    <w:rsid w:val="18C0586E"/>
    <w:rsid w:val="18C06AD9"/>
    <w:rsid w:val="18C1177B"/>
    <w:rsid w:val="18C11CD8"/>
    <w:rsid w:val="18C13529"/>
    <w:rsid w:val="18C2797C"/>
    <w:rsid w:val="18C27C08"/>
    <w:rsid w:val="18C27DA5"/>
    <w:rsid w:val="18C43019"/>
    <w:rsid w:val="18C474BD"/>
    <w:rsid w:val="18C53092"/>
    <w:rsid w:val="18C568B2"/>
    <w:rsid w:val="18C64FE3"/>
    <w:rsid w:val="18C66D91"/>
    <w:rsid w:val="18C66E3C"/>
    <w:rsid w:val="18C7128B"/>
    <w:rsid w:val="18C71707"/>
    <w:rsid w:val="18C77BE2"/>
    <w:rsid w:val="18C80D5B"/>
    <w:rsid w:val="18C846D0"/>
    <w:rsid w:val="18C871E5"/>
    <w:rsid w:val="18C9062F"/>
    <w:rsid w:val="18C94C7E"/>
    <w:rsid w:val="18C974F0"/>
    <w:rsid w:val="18CA193F"/>
    <w:rsid w:val="18CA3317"/>
    <w:rsid w:val="18CA4118"/>
    <w:rsid w:val="18CB25F9"/>
    <w:rsid w:val="18CB3086"/>
    <w:rsid w:val="18CB43A7"/>
    <w:rsid w:val="18CD002B"/>
    <w:rsid w:val="18CD0120"/>
    <w:rsid w:val="18CD45C3"/>
    <w:rsid w:val="18CD5678"/>
    <w:rsid w:val="18CD6371"/>
    <w:rsid w:val="18CD66CB"/>
    <w:rsid w:val="18CE0FC1"/>
    <w:rsid w:val="18CE20EA"/>
    <w:rsid w:val="18CE3E98"/>
    <w:rsid w:val="18CE5689"/>
    <w:rsid w:val="18CE5C46"/>
    <w:rsid w:val="18CF2AD2"/>
    <w:rsid w:val="18CF4021"/>
    <w:rsid w:val="18CF73AF"/>
    <w:rsid w:val="18CF7498"/>
    <w:rsid w:val="18D04BF7"/>
    <w:rsid w:val="18D128E3"/>
    <w:rsid w:val="18D22DD2"/>
    <w:rsid w:val="18D248A0"/>
    <w:rsid w:val="18D27CC9"/>
    <w:rsid w:val="18D315B4"/>
    <w:rsid w:val="18D47700"/>
    <w:rsid w:val="18D47C79"/>
    <w:rsid w:val="18D51F31"/>
    <w:rsid w:val="18D52320"/>
    <w:rsid w:val="18D53478"/>
    <w:rsid w:val="18D55226"/>
    <w:rsid w:val="18D60035"/>
    <w:rsid w:val="18D61409"/>
    <w:rsid w:val="18D70F9E"/>
    <w:rsid w:val="18D72D4C"/>
    <w:rsid w:val="18D73EF4"/>
    <w:rsid w:val="18D81BA2"/>
    <w:rsid w:val="18D85FF0"/>
    <w:rsid w:val="18D93032"/>
    <w:rsid w:val="18D94773"/>
    <w:rsid w:val="18D94D16"/>
    <w:rsid w:val="18DA0472"/>
    <w:rsid w:val="18DA45EA"/>
    <w:rsid w:val="18DA586E"/>
    <w:rsid w:val="18DA7D2D"/>
    <w:rsid w:val="18DC2865"/>
    <w:rsid w:val="18DC4807"/>
    <w:rsid w:val="18DC53F4"/>
    <w:rsid w:val="18DD126C"/>
    <w:rsid w:val="18DD40DB"/>
    <w:rsid w:val="18DE057F"/>
    <w:rsid w:val="18DE232D"/>
    <w:rsid w:val="18DE2E43"/>
    <w:rsid w:val="18DE53D5"/>
    <w:rsid w:val="18DF05E5"/>
    <w:rsid w:val="18DF0B3E"/>
    <w:rsid w:val="18DF419B"/>
    <w:rsid w:val="18E05436"/>
    <w:rsid w:val="18E07450"/>
    <w:rsid w:val="18E12F05"/>
    <w:rsid w:val="18E13BCB"/>
    <w:rsid w:val="18E15979"/>
    <w:rsid w:val="18E250C6"/>
    <w:rsid w:val="18E2612F"/>
    <w:rsid w:val="18E26F66"/>
    <w:rsid w:val="18E31223"/>
    <w:rsid w:val="18E32930"/>
    <w:rsid w:val="18E36CB5"/>
    <w:rsid w:val="18E4169E"/>
    <w:rsid w:val="18E436BB"/>
    <w:rsid w:val="18E45469"/>
    <w:rsid w:val="18E5190D"/>
    <w:rsid w:val="18E611E1"/>
    <w:rsid w:val="18E62627"/>
    <w:rsid w:val="18E64975"/>
    <w:rsid w:val="18E67433"/>
    <w:rsid w:val="18E827ED"/>
    <w:rsid w:val="18E831AB"/>
    <w:rsid w:val="18E855D7"/>
    <w:rsid w:val="18E90CD1"/>
    <w:rsid w:val="18E92A80"/>
    <w:rsid w:val="18E92B27"/>
    <w:rsid w:val="18E95AF3"/>
    <w:rsid w:val="18E977B9"/>
    <w:rsid w:val="18EA3ECD"/>
    <w:rsid w:val="18EA6F23"/>
    <w:rsid w:val="18EB2C9C"/>
    <w:rsid w:val="18EB50DF"/>
    <w:rsid w:val="18EB67F8"/>
    <w:rsid w:val="18EC1BB1"/>
    <w:rsid w:val="18EC4086"/>
    <w:rsid w:val="18ED14A8"/>
    <w:rsid w:val="18ED2570"/>
    <w:rsid w:val="18ED3876"/>
    <w:rsid w:val="18ED431E"/>
    <w:rsid w:val="18ED5B3E"/>
    <w:rsid w:val="18EE0096"/>
    <w:rsid w:val="18EE316B"/>
    <w:rsid w:val="18EE4ED2"/>
    <w:rsid w:val="18EF453A"/>
    <w:rsid w:val="18F0453E"/>
    <w:rsid w:val="18F11D87"/>
    <w:rsid w:val="18F2531A"/>
    <w:rsid w:val="18F25DD8"/>
    <w:rsid w:val="18F32A38"/>
    <w:rsid w:val="18F356AC"/>
    <w:rsid w:val="18F41011"/>
    <w:rsid w:val="18F41B50"/>
    <w:rsid w:val="18F51424"/>
    <w:rsid w:val="18F52481"/>
    <w:rsid w:val="18F539BB"/>
    <w:rsid w:val="18F6109B"/>
    <w:rsid w:val="18F62D49"/>
    <w:rsid w:val="18F71640"/>
    <w:rsid w:val="18F733EE"/>
    <w:rsid w:val="18F7512B"/>
    <w:rsid w:val="18F7519C"/>
    <w:rsid w:val="18F809C5"/>
    <w:rsid w:val="18F8118C"/>
    <w:rsid w:val="18F81745"/>
    <w:rsid w:val="18F83D2E"/>
    <w:rsid w:val="18F942CE"/>
    <w:rsid w:val="18F953B8"/>
    <w:rsid w:val="18F97A4B"/>
    <w:rsid w:val="18FA4C8D"/>
    <w:rsid w:val="18FA6A3B"/>
    <w:rsid w:val="18FC0A05"/>
    <w:rsid w:val="18FC1E99"/>
    <w:rsid w:val="18FC63CC"/>
    <w:rsid w:val="18FD14B0"/>
    <w:rsid w:val="18FD340F"/>
    <w:rsid w:val="18FD6700"/>
    <w:rsid w:val="18FE0E90"/>
    <w:rsid w:val="18FE2B77"/>
    <w:rsid w:val="18FE652B"/>
    <w:rsid w:val="18FE6F25"/>
    <w:rsid w:val="18FF04F5"/>
    <w:rsid w:val="18FF1CAF"/>
    <w:rsid w:val="18FF22A3"/>
    <w:rsid w:val="18FF4051"/>
    <w:rsid w:val="18FF456A"/>
    <w:rsid w:val="18FF4D4D"/>
    <w:rsid w:val="19000B10"/>
    <w:rsid w:val="190037EE"/>
    <w:rsid w:val="19003B7E"/>
    <w:rsid w:val="19006747"/>
    <w:rsid w:val="1900791E"/>
    <w:rsid w:val="1901426D"/>
    <w:rsid w:val="19017DC9"/>
    <w:rsid w:val="19024E0F"/>
    <w:rsid w:val="1902611F"/>
    <w:rsid w:val="1903629F"/>
    <w:rsid w:val="19037A4A"/>
    <w:rsid w:val="19037FE5"/>
    <w:rsid w:val="19043BA7"/>
    <w:rsid w:val="19044F98"/>
    <w:rsid w:val="19045B0B"/>
    <w:rsid w:val="190478B9"/>
    <w:rsid w:val="1905076C"/>
    <w:rsid w:val="19050838"/>
    <w:rsid w:val="19052300"/>
    <w:rsid w:val="190537BB"/>
    <w:rsid w:val="19053D5D"/>
    <w:rsid w:val="19061883"/>
    <w:rsid w:val="190653E0"/>
    <w:rsid w:val="19066D08"/>
    <w:rsid w:val="19072AFA"/>
    <w:rsid w:val="19081158"/>
    <w:rsid w:val="1908290E"/>
    <w:rsid w:val="190855FC"/>
    <w:rsid w:val="190873AA"/>
    <w:rsid w:val="19087540"/>
    <w:rsid w:val="190909D0"/>
    <w:rsid w:val="19094ED0"/>
    <w:rsid w:val="190A1044"/>
    <w:rsid w:val="190A1374"/>
    <w:rsid w:val="190A5796"/>
    <w:rsid w:val="190B4403"/>
    <w:rsid w:val="190B4AAB"/>
    <w:rsid w:val="190B65F7"/>
    <w:rsid w:val="190B6E9A"/>
    <w:rsid w:val="190D2C12"/>
    <w:rsid w:val="190D581C"/>
    <w:rsid w:val="190D676E"/>
    <w:rsid w:val="190E1495"/>
    <w:rsid w:val="190E4A3F"/>
    <w:rsid w:val="190F0738"/>
    <w:rsid w:val="190F698A"/>
    <w:rsid w:val="19100498"/>
    <w:rsid w:val="191018E5"/>
    <w:rsid w:val="191044B0"/>
    <w:rsid w:val="19113F8C"/>
    <w:rsid w:val="19116265"/>
    <w:rsid w:val="19120228"/>
    <w:rsid w:val="1912195F"/>
    <w:rsid w:val="19121FD6"/>
    <w:rsid w:val="191252F7"/>
    <w:rsid w:val="1912647A"/>
    <w:rsid w:val="19140A77"/>
    <w:rsid w:val="19144C80"/>
    <w:rsid w:val="19145D4E"/>
    <w:rsid w:val="19151AC7"/>
    <w:rsid w:val="19153875"/>
    <w:rsid w:val="191600EC"/>
    <w:rsid w:val="19170336"/>
    <w:rsid w:val="19175BA5"/>
    <w:rsid w:val="1917711C"/>
    <w:rsid w:val="191A0BE6"/>
    <w:rsid w:val="191A1FCA"/>
    <w:rsid w:val="191A5CD6"/>
    <w:rsid w:val="191A7680"/>
    <w:rsid w:val="191B0FB9"/>
    <w:rsid w:val="191B3625"/>
    <w:rsid w:val="191B532F"/>
    <w:rsid w:val="191C4C03"/>
    <w:rsid w:val="191D0AA3"/>
    <w:rsid w:val="191D1D6A"/>
    <w:rsid w:val="191D4896"/>
    <w:rsid w:val="191E6248"/>
    <w:rsid w:val="191F46F3"/>
    <w:rsid w:val="191F64A1"/>
    <w:rsid w:val="19202945"/>
    <w:rsid w:val="1920440C"/>
    <w:rsid w:val="19210184"/>
    <w:rsid w:val="19212219"/>
    <w:rsid w:val="19213FBB"/>
    <w:rsid w:val="19215B13"/>
    <w:rsid w:val="19216C57"/>
    <w:rsid w:val="192235B3"/>
    <w:rsid w:val="19232435"/>
    <w:rsid w:val="19233A4C"/>
    <w:rsid w:val="19235F91"/>
    <w:rsid w:val="192548D2"/>
    <w:rsid w:val="192566F4"/>
    <w:rsid w:val="192576BB"/>
    <w:rsid w:val="192636EB"/>
    <w:rsid w:val="1926420A"/>
    <w:rsid w:val="19267830"/>
    <w:rsid w:val="19274689"/>
    <w:rsid w:val="192817FA"/>
    <w:rsid w:val="19282605"/>
    <w:rsid w:val="19297320"/>
    <w:rsid w:val="192A330C"/>
    <w:rsid w:val="192A37C4"/>
    <w:rsid w:val="192A3D9C"/>
    <w:rsid w:val="192A5572"/>
    <w:rsid w:val="192A697E"/>
    <w:rsid w:val="192A7204"/>
    <w:rsid w:val="192B12EA"/>
    <w:rsid w:val="192B3098"/>
    <w:rsid w:val="192B4E46"/>
    <w:rsid w:val="192C06DE"/>
    <w:rsid w:val="192C2F95"/>
    <w:rsid w:val="192C3F9E"/>
    <w:rsid w:val="192C753C"/>
    <w:rsid w:val="192D1FBE"/>
    <w:rsid w:val="192D492D"/>
    <w:rsid w:val="192D647D"/>
    <w:rsid w:val="192E125B"/>
    <w:rsid w:val="192E1843"/>
    <w:rsid w:val="192F0DDA"/>
    <w:rsid w:val="192F3E2C"/>
    <w:rsid w:val="192F4936"/>
    <w:rsid w:val="192F7D76"/>
    <w:rsid w:val="193052BC"/>
    <w:rsid w:val="1931131D"/>
    <w:rsid w:val="193122C9"/>
    <w:rsid w:val="1931674C"/>
    <w:rsid w:val="193208CA"/>
    <w:rsid w:val="193261D5"/>
    <w:rsid w:val="19327BDC"/>
    <w:rsid w:val="193308A4"/>
    <w:rsid w:val="193427AD"/>
    <w:rsid w:val="193442F8"/>
    <w:rsid w:val="193450CD"/>
    <w:rsid w:val="193463F1"/>
    <w:rsid w:val="19353F17"/>
    <w:rsid w:val="19355CC5"/>
    <w:rsid w:val="19375EE1"/>
    <w:rsid w:val="19376894"/>
    <w:rsid w:val="19383A4E"/>
    <w:rsid w:val="19394EDE"/>
    <w:rsid w:val="19397AAF"/>
    <w:rsid w:val="193A5701"/>
    <w:rsid w:val="193A6246"/>
    <w:rsid w:val="193B4AC7"/>
    <w:rsid w:val="193C34F7"/>
    <w:rsid w:val="193C7053"/>
    <w:rsid w:val="193D247E"/>
    <w:rsid w:val="193D2C8B"/>
    <w:rsid w:val="193D63F7"/>
    <w:rsid w:val="193D662C"/>
    <w:rsid w:val="193E0E70"/>
    <w:rsid w:val="193E101D"/>
    <w:rsid w:val="193E2DCB"/>
    <w:rsid w:val="193F08F1"/>
    <w:rsid w:val="193F2B96"/>
    <w:rsid w:val="19404D95"/>
    <w:rsid w:val="19406B43"/>
    <w:rsid w:val="19410B0E"/>
    <w:rsid w:val="194113A8"/>
    <w:rsid w:val="194128BC"/>
    <w:rsid w:val="194235E6"/>
    <w:rsid w:val="19424BBB"/>
    <w:rsid w:val="194303E2"/>
    <w:rsid w:val="19435E6A"/>
    <w:rsid w:val="194453EB"/>
    <w:rsid w:val="1945415A"/>
    <w:rsid w:val="1946357A"/>
    <w:rsid w:val="19466124"/>
    <w:rsid w:val="19466D10"/>
    <w:rsid w:val="19467ED2"/>
    <w:rsid w:val="194739EB"/>
    <w:rsid w:val="19485580"/>
    <w:rsid w:val="1949654C"/>
    <w:rsid w:val="19497888"/>
    <w:rsid w:val="194A117D"/>
    <w:rsid w:val="194A76E4"/>
    <w:rsid w:val="194A782E"/>
    <w:rsid w:val="194A79C2"/>
    <w:rsid w:val="194B1AC6"/>
    <w:rsid w:val="194B408E"/>
    <w:rsid w:val="194B4A95"/>
    <w:rsid w:val="194B54E8"/>
    <w:rsid w:val="194C3354"/>
    <w:rsid w:val="194C66FC"/>
    <w:rsid w:val="194D0CA7"/>
    <w:rsid w:val="194D1260"/>
    <w:rsid w:val="194D1D56"/>
    <w:rsid w:val="194D2160"/>
    <w:rsid w:val="194D21DF"/>
    <w:rsid w:val="194D259F"/>
    <w:rsid w:val="194D2CE1"/>
    <w:rsid w:val="194D300E"/>
    <w:rsid w:val="194D6A6D"/>
    <w:rsid w:val="194D74B2"/>
    <w:rsid w:val="194E1D0A"/>
    <w:rsid w:val="194E371B"/>
    <w:rsid w:val="194F1CD5"/>
    <w:rsid w:val="194F322A"/>
    <w:rsid w:val="194F4FD8"/>
    <w:rsid w:val="1951370D"/>
    <w:rsid w:val="19515C6B"/>
    <w:rsid w:val="19516FA3"/>
    <w:rsid w:val="19520625"/>
    <w:rsid w:val="19524AC9"/>
    <w:rsid w:val="19533227"/>
    <w:rsid w:val="195425EF"/>
    <w:rsid w:val="1954439D"/>
    <w:rsid w:val="195446B7"/>
    <w:rsid w:val="19547594"/>
    <w:rsid w:val="19550115"/>
    <w:rsid w:val="19552687"/>
    <w:rsid w:val="19560256"/>
    <w:rsid w:val="19560718"/>
    <w:rsid w:val="1956311E"/>
    <w:rsid w:val="19564CC5"/>
    <w:rsid w:val="19566FD7"/>
    <w:rsid w:val="19567394"/>
    <w:rsid w:val="19570331"/>
    <w:rsid w:val="19571E4D"/>
    <w:rsid w:val="195720DF"/>
    <w:rsid w:val="19572BCC"/>
    <w:rsid w:val="19573E8D"/>
    <w:rsid w:val="19575C3B"/>
    <w:rsid w:val="19586B57"/>
    <w:rsid w:val="1959041F"/>
    <w:rsid w:val="195919B3"/>
    <w:rsid w:val="195924A3"/>
    <w:rsid w:val="19595E57"/>
    <w:rsid w:val="19597099"/>
    <w:rsid w:val="19597C05"/>
    <w:rsid w:val="195A1DB5"/>
    <w:rsid w:val="195A2BE7"/>
    <w:rsid w:val="195A572B"/>
    <w:rsid w:val="195A6DE8"/>
    <w:rsid w:val="195B19B9"/>
    <w:rsid w:val="195B1BCF"/>
    <w:rsid w:val="195B45A7"/>
    <w:rsid w:val="195C14A3"/>
    <w:rsid w:val="195C5947"/>
    <w:rsid w:val="195C5A1A"/>
    <w:rsid w:val="195C5CE6"/>
    <w:rsid w:val="195D02A8"/>
    <w:rsid w:val="195D3698"/>
    <w:rsid w:val="195D58FE"/>
    <w:rsid w:val="195D63DC"/>
    <w:rsid w:val="195E346D"/>
    <w:rsid w:val="195E521C"/>
    <w:rsid w:val="195E5769"/>
    <w:rsid w:val="195F095D"/>
    <w:rsid w:val="195F43AD"/>
    <w:rsid w:val="195F6DCC"/>
    <w:rsid w:val="19600F94"/>
    <w:rsid w:val="19602C5A"/>
    <w:rsid w:val="196071E6"/>
    <w:rsid w:val="1961582B"/>
    <w:rsid w:val="19615DE5"/>
    <w:rsid w:val="19616590"/>
    <w:rsid w:val="1962479C"/>
    <w:rsid w:val="19625ED7"/>
    <w:rsid w:val="19630AA2"/>
    <w:rsid w:val="19632260"/>
    <w:rsid w:val="1963712C"/>
    <w:rsid w:val="19644B1B"/>
    <w:rsid w:val="19650358"/>
    <w:rsid w:val="19653EFB"/>
    <w:rsid w:val="19653F51"/>
    <w:rsid w:val="1965563C"/>
    <w:rsid w:val="196565AA"/>
    <w:rsid w:val="196600CC"/>
    <w:rsid w:val="19666C1D"/>
    <w:rsid w:val="1967459C"/>
    <w:rsid w:val="19680638"/>
    <w:rsid w:val="19683FBD"/>
    <w:rsid w:val="1968609A"/>
    <w:rsid w:val="1968700C"/>
    <w:rsid w:val="19687E48"/>
    <w:rsid w:val="1969228A"/>
    <w:rsid w:val="1969306C"/>
    <w:rsid w:val="196A55E9"/>
    <w:rsid w:val="196A7CCD"/>
    <w:rsid w:val="196B44CE"/>
    <w:rsid w:val="196C353E"/>
    <w:rsid w:val="196C5B8A"/>
    <w:rsid w:val="196C6C98"/>
    <w:rsid w:val="196D1903"/>
    <w:rsid w:val="196D34BC"/>
    <w:rsid w:val="196D3DCE"/>
    <w:rsid w:val="196D545F"/>
    <w:rsid w:val="196E66EE"/>
    <w:rsid w:val="196F12BF"/>
    <w:rsid w:val="196F16CC"/>
    <w:rsid w:val="196F567B"/>
    <w:rsid w:val="19700883"/>
    <w:rsid w:val="197017F8"/>
    <w:rsid w:val="19704FBA"/>
    <w:rsid w:val="19706CFD"/>
    <w:rsid w:val="19710D6D"/>
    <w:rsid w:val="19715320"/>
    <w:rsid w:val="19721AA5"/>
    <w:rsid w:val="19722A69"/>
    <w:rsid w:val="19722A75"/>
    <w:rsid w:val="197267B0"/>
    <w:rsid w:val="19726F19"/>
    <w:rsid w:val="1973301A"/>
    <w:rsid w:val="19735B53"/>
    <w:rsid w:val="19737498"/>
    <w:rsid w:val="197418C8"/>
    <w:rsid w:val="19742560"/>
    <w:rsid w:val="19742C91"/>
    <w:rsid w:val="19744A12"/>
    <w:rsid w:val="1975273A"/>
    <w:rsid w:val="19752D31"/>
    <w:rsid w:val="197561B3"/>
    <w:rsid w:val="197607B7"/>
    <w:rsid w:val="19765307"/>
    <w:rsid w:val="19774C2F"/>
    <w:rsid w:val="197773B8"/>
    <w:rsid w:val="19777A51"/>
    <w:rsid w:val="19781E82"/>
    <w:rsid w:val="19782558"/>
    <w:rsid w:val="19782D4B"/>
    <w:rsid w:val="19783AB2"/>
    <w:rsid w:val="19787B3F"/>
    <w:rsid w:val="197B1276"/>
    <w:rsid w:val="197B401F"/>
    <w:rsid w:val="197B7E54"/>
    <w:rsid w:val="197D44B3"/>
    <w:rsid w:val="197D73FC"/>
    <w:rsid w:val="197D7D98"/>
    <w:rsid w:val="197E010A"/>
    <w:rsid w:val="197E141A"/>
    <w:rsid w:val="197F24DA"/>
    <w:rsid w:val="197F2A15"/>
    <w:rsid w:val="197F5BD3"/>
    <w:rsid w:val="19801636"/>
    <w:rsid w:val="19801D7F"/>
    <w:rsid w:val="198033E4"/>
    <w:rsid w:val="19810284"/>
    <w:rsid w:val="198136D4"/>
    <w:rsid w:val="19816293"/>
    <w:rsid w:val="1981715C"/>
    <w:rsid w:val="198253AE"/>
    <w:rsid w:val="19826F89"/>
    <w:rsid w:val="19827735"/>
    <w:rsid w:val="19830BC5"/>
    <w:rsid w:val="19831126"/>
    <w:rsid w:val="19832ED4"/>
    <w:rsid w:val="19834C82"/>
    <w:rsid w:val="19834F42"/>
    <w:rsid w:val="198509FA"/>
    <w:rsid w:val="19866520"/>
    <w:rsid w:val="19872BA6"/>
    <w:rsid w:val="19875E05"/>
    <w:rsid w:val="1988007E"/>
    <w:rsid w:val="198804EA"/>
    <w:rsid w:val="198805C0"/>
    <w:rsid w:val="19884C9C"/>
    <w:rsid w:val="198905E6"/>
    <w:rsid w:val="198932F6"/>
    <w:rsid w:val="198A0E38"/>
    <w:rsid w:val="198A4263"/>
    <w:rsid w:val="198A5A5A"/>
    <w:rsid w:val="198A6011"/>
    <w:rsid w:val="198A64FD"/>
    <w:rsid w:val="198B3B37"/>
    <w:rsid w:val="198B41CF"/>
    <w:rsid w:val="198C31BC"/>
    <w:rsid w:val="198C7FDB"/>
    <w:rsid w:val="198D3D53"/>
    <w:rsid w:val="198D5B01"/>
    <w:rsid w:val="198E3107"/>
    <w:rsid w:val="198E3900"/>
    <w:rsid w:val="198F1090"/>
    <w:rsid w:val="198F1879"/>
    <w:rsid w:val="198F3627"/>
    <w:rsid w:val="198F7ACB"/>
    <w:rsid w:val="19906B90"/>
    <w:rsid w:val="1990749F"/>
    <w:rsid w:val="19912A2F"/>
    <w:rsid w:val="199155F1"/>
    <w:rsid w:val="1991739F"/>
    <w:rsid w:val="19921369"/>
    <w:rsid w:val="19921BF7"/>
    <w:rsid w:val="19922838"/>
    <w:rsid w:val="19923117"/>
    <w:rsid w:val="19923DBD"/>
    <w:rsid w:val="19924F17"/>
    <w:rsid w:val="19927D75"/>
    <w:rsid w:val="19933157"/>
    <w:rsid w:val="19935BF6"/>
    <w:rsid w:val="19937797"/>
    <w:rsid w:val="19942753"/>
    <w:rsid w:val="199450E1"/>
    <w:rsid w:val="19946E8F"/>
    <w:rsid w:val="199471BC"/>
    <w:rsid w:val="19960E59"/>
    <w:rsid w:val="199639A9"/>
    <w:rsid w:val="19964054"/>
    <w:rsid w:val="199649B5"/>
    <w:rsid w:val="1996643A"/>
    <w:rsid w:val="19966E04"/>
    <w:rsid w:val="1997072D"/>
    <w:rsid w:val="199724DC"/>
    <w:rsid w:val="19972F54"/>
    <w:rsid w:val="199810E1"/>
    <w:rsid w:val="199846DF"/>
    <w:rsid w:val="199871CC"/>
    <w:rsid w:val="19990EDC"/>
    <w:rsid w:val="199A0116"/>
    <w:rsid w:val="199A0578"/>
    <w:rsid w:val="199A427B"/>
    <w:rsid w:val="199A58F5"/>
    <w:rsid w:val="199B021E"/>
    <w:rsid w:val="199B06F7"/>
    <w:rsid w:val="199B26B3"/>
    <w:rsid w:val="199B47EC"/>
    <w:rsid w:val="199C77FC"/>
    <w:rsid w:val="199D5B88"/>
    <w:rsid w:val="199E7A0E"/>
    <w:rsid w:val="199F0208"/>
    <w:rsid w:val="199F1B1E"/>
    <w:rsid w:val="199F6C5D"/>
    <w:rsid w:val="19A000ED"/>
    <w:rsid w:val="19A0261D"/>
    <w:rsid w:val="19A03A86"/>
    <w:rsid w:val="19A13010"/>
    <w:rsid w:val="19A1335A"/>
    <w:rsid w:val="19A1471B"/>
    <w:rsid w:val="19A15038"/>
    <w:rsid w:val="19A215AC"/>
    <w:rsid w:val="19A277FE"/>
    <w:rsid w:val="19A312AE"/>
    <w:rsid w:val="19A35324"/>
    <w:rsid w:val="19A370D2"/>
    <w:rsid w:val="19A3765E"/>
    <w:rsid w:val="19A5109C"/>
    <w:rsid w:val="19A53FC1"/>
    <w:rsid w:val="19A5499B"/>
    <w:rsid w:val="19A60023"/>
    <w:rsid w:val="19A60971"/>
    <w:rsid w:val="19A63631"/>
    <w:rsid w:val="19A63BAC"/>
    <w:rsid w:val="19A6781B"/>
    <w:rsid w:val="19A71C72"/>
    <w:rsid w:val="19A74D13"/>
    <w:rsid w:val="19A74E14"/>
    <w:rsid w:val="19A85BCA"/>
    <w:rsid w:val="19A8687F"/>
    <w:rsid w:val="19A968F2"/>
    <w:rsid w:val="19AA220F"/>
    <w:rsid w:val="19AA66B3"/>
    <w:rsid w:val="19AA6881"/>
    <w:rsid w:val="19AB373B"/>
    <w:rsid w:val="19AC41D9"/>
    <w:rsid w:val="19AC48DE"/>
    <w:rsid w:val="19AC4964"/>
    <w:rsid w:val="19AC5F87"/>
    <w:rsid w:val="19AC6483"/>
    <w:rsid w:val="19AC7DD1"/>
    <w:rsid w:val="19AD1261"/>
    <w:rsid w:val="19AD12FB"/>
    <w:rsid w:val="19AD1F2E"/>
    <w:rsid w:val="19AD7F51"/>
    <w:rsid w:val="19AE18B8"/>
    <w:rsid w:val="19AE687B"/>
    <w:rsid w:val="19AF3EE3"/>
    <w:rsid w:val="19AF7825"/>
    <w:rsid w:val="19B02B50"/>
    <w:rsid w:val="19B117EF"/>
    <w:rsid w:val="19B1359D"/>
    <w:rsid w:val="19B17A41"/>
    <w:rsid w:val="19B23C43"/>
    <w:rsid w:val="19B27315"/>
    <w:rsid w:val="19B2755B"/>
    <w:rsid w:val="19B3654F"/>
    <w:rsid w:val="19B36873"/>
    <w:rsid w:val="19B402F5"/>
    <w:rsid w:val="19B412DF"/>
    <w:rsid w:val="19B60BB4"/>
    <w:rsid w:val="19B65058"/>
    <w:rsid w:val="19B671F2"/>
    <w:rsid w:val="19B71F4B"/>
    <w:rsid w:val="19B72B7E"/>
    <w:rsid w:val="19B74524"/>
    <w:rsid w:val="19B74EE4"/>
    <w:rsid w:val="19B75189"/>
    <w:rsid w:val="19B76A79"/>
    <w:rsid w:val="19B80DD0"/>
    <w:rsid w:val="19B80F45"/>
    <w:rsid w:val="19B85081"/>
    <w:rsid w:val="19B90068"/>
    <w:rsid w:val="19B906A4"/>
    <w:rsid w:val="19B94B48"/>
    <w:rsid w:val="19B968F6"/>
    <w:rsid w:val="19BA24FC"/>
    <w:rsid w:val="19BA25CE"/>
    <w:rsid w:val="19BA5A77"/>
    <w:rsid w:val="19BA6EB0"/>
    <w:rsid w:val="19BB04E7"/>
    <w:rsid w:val="19BB08C0"/>
    <w:rsid w:val="19BB1149"/>
    <w:rsid w:val="19BB7EF0"/>
    <w:rsid w:val="19BC2583"/>
    <w:rsid w:val="19BD0194"/>
    <w:rsid w:val="19BD0252"/>
    <w:rsid w:val="19BD040B"/>
    <w:rsid w:val="19BD1406"/>
    <w:rsid w:val="19BD177A"/>
    <w:rsid w:val="19BD53D0"/>
    <w:rsid w:val="19BD63AB"/>
    <w:rsid w:val="19BD675E"/>
    <w:rsid w:val="19BD742A"/>
    <w:rsid w:val="19BE4718"/>
    <w:rsid w:val="19BE5083"/>
    <w:rsid w:val="19BE56E4"/>
    <w:rsid w:val="19BE5969"/>
    <w:rsid w:val="19C02112"/>
    <w:rsid w:val="19C03A03"/>
    <w:rsid w:val="19C05ED6"/>
    <w:rsid w:val="19C10B67"/>
    <w:rsid w:val="19C12F42"/>
    <w:rsid w:val="19C13A48"/>
    <w:rsid w:val="19C21C4E"/>
    <w:rsid w:val="19C239FC"/>
    <w:rsid w:val="19C2790A"/>
    <w:rsid w:val="19C3097F"/>
    <w:rsid w:val="19C31DC3"/>
    <w:rsid w:val="19C36A9E"/>
    <w:rsid w:val="19C4040F"/>
    <w:rsid w:val="19C444F8"/>
    <w:rsid w:val="19C5529B"/>
    <w:rsid w:val="19C5698C"/>
    <w:rsid w:val="19C57518"/>
    <w:rsid w:val="19C61A23"/>
    <w:rsid w:val="19C707F4"/>
    <w:rsid w:val="19C708B2"/>
    <w:rsid w:val="19C71013"/>
    <w:rsid w:val="19C74CC1"/>
    <w:rsid w:val="19C75B25"/>
    <w:rsid w:val="19C77265"/>
    <w:rsid w:val="19C7789E"/>
    <w:rsid w:val="19C77DED"/>
    <w:rsid w:val="19C8263F"/>
    <w:rsid w:val="19C84D8B"/>
    <w:rsid w:val="19C91587"/>
    <w:rsid w:val="19C968DF"/>
    <w:rsid w:val="19C972F9"/>
    <w:rsid w:val="19CA0B03"/>
    <w:rsid w:val="19CA28B1"/>
    <w:rsid w:val="19CA465F"/>
    <w:rsid w:val="19CB52FF"/>
    <w:rsid w:val="19CD38CF"/>
    <w:rsid w:val="19CD6136"/>
    <w:rsid w:val="19CE05F3"/>
    <w:rsid w:val="19CE111B"/>
    <w:rsid w:val="19CE12D1"/>
    <w:rsid w:val="19CE23A1"/>
    <w:rsid w:val="19CF4BC1"/>
    <w:rsid w:val="19CF5505"/>
    <w:rsid w:val="19CF7EC7"/>
    <w:rsid w:val="19D007C9"/>
    <w:rsid w:val="19D1155D"/>
    <w:rsid w:val="19D13E2D"/>
    <w:rsid w:val="19D16F1B"/>
    <w:rsid w:val="19D21766"/>
    <w:rsid w:val="19D252BE"/>
    <w:rsid w:val="19D302DD"/>
    <w:rsid w:val="19D379B8"/>
    <w:rsid w:val="19D37F20"/>
    <w:rsid w:val="19D40EC1"/>
    <w:rsid w:val="19D4363A"/>
    <w:rsid w:val="19D43C03"/>
    <w:rsid w:val="19D43D14"/>
    <w:rsid w:val="19D53AC2"/>
    <w:rsid w:val="19D5428A"/>
    <w:rsid w:val="19D56C0A"/>
    <w:rsid w:val="19D61256"/>
    <w:rsid w:val="19D6357C"/>
    <w:rsid w:val="19D674A8"/>
    <w:rsid w:val="19D76D7C"/>
    <w:rsid w:val="19D8595E"/>
    <w:rsid w:val="19D920C7"/>
    <w:rsid w:val="19D93B69"/>
    <w:rsid w:val="19D96F98"/>
    <w:rsid w:val="19DB061A"/>
    <w:rsid w:val="19DB686C"/>
    <w:rsid w:val="19DC2507"/>
    <w:rsid w:val="19DC4392"/>
    <w:rsid w:val="19DC503E"/>
    <w:rsid w:val="19DD0836"/>
    <w:rsid w:val="19DE010A"/>
    <w:rsid w:val="19DE5C32"/>
    <w:rsid w:val="19DE635C"/>
    <w:rsid w:val="19E074FE"/>
    <w:rsid w:val="19E102D1"/>
    <w:rsid w:val="19E215E1"/>
    <w:rsid w:val="19E219A9"/>
    <w:rsid w:val="19E23912"/>
    <w:rsid w:val="19E25607"/>
    <w:rsid w:val="19E406AB"/>
    <w:rsid w:val="19E4219C"/>
    <w:rsid w:val="19E46183"/>
    <w:rsid w:val="19E52ADB"/>
    <w:rsid w:val="19E52F4F"/>
    <w:rsid w:val="19E5593D"/>
    <w:rsid w:val="19E56DD6"/>
    <w:rsid w:val="19E7102E"/>
    <w:rsid w:val="19E71922"/>
    <w:rsid w:val="19E73463"/>
    <w:rsid w:val="19E74944"/>
    <w:rsid w:val="19E76139"/>
    <w:rsid w:val="19E801A2"/>
    <w:rsid w:val="19E81DB9"/>
    <w:rsid w:val="19E82A2B"/>
    <w:rsid w:val="19E83D12"/>
    <w:rsid w:val="19E83E62"/>
    <w:rsid w:val="19E90B64"/>
    <w:rsid w:val="19E971DB"/>
    <w:rsid w:val="19EA1203"/>
    <w:rsid w:val="19EA6AAF"/>
    <w:rsid w:val="19EA6B9E"/>
    <w:rsid w:val="19EB57EB"/>
    <w:rsid w:val="19EB72CE"/>
    <w:rsid w:val="19EB7914"/>
    <w:rsid w:val="19EB7CFB"/>
    <w:rsid w:val="19EC0223"/>
    <w:rsid w:val="19EC0AFA"/>
    <w:rsid w:val="19EC2827"/>
    <w:rsid w:val="19EC4E33"/>
    <w:rsid w:val="19EC524C"/>
    <w:rsid w:val="19EC6D02"/>
    <w:rsid w:val="19ED7866"/>
    <w:rsid w:val="19EE2F83"/>
    <w:rsid w:val="19EE3705"/>
    <w:rsid w:val="19EE47F1"/>
    <w:rsid w:val="19EF056A"/>
    <w:rsid w:val="19EF3BE4"/>
    <w:rsid w:val="19EF40C6"/>
    <w:rsid w:val="19EF63F5"/>
    <w:rsid w:val="19EF65D1"/>
    <w:rsid w:val="19F02EFF"/>
    <w:rsid w:val="19F03191"/>
    <w:rsid w:val="19F032AD"/>
    <w:rsid w:val="19F133E1"/>
    <w:rsid w:val="19F16090"/>
    <w:rsid w:val="19F17E3E"/>
    <w:rsid w:val="19F23A54"/>
    <w:rsid w:val="19F27296"/>
    <w:rsid w:val="19F3005A"/>
    <w:rsid w:val="19F31E08"/>
    <w:rsid w:val="19F33FAB"/>
    <w:rsid w:val="19F416DC"/>
    <w:rsid w:val="19F44E85"/>
    <w:rsid w:val="19F46294"/>
    <w:rsid w:val="19F4792E"/>
    <w:rsid w:val="19F6034A"/>
    <w:rsid w:val="19F618F8"/>
    <w:rsid w:val="19F636A6"/>
    <w:rsid w:val="19F65454"/>
    <w:rsid w:val="19F6753E"/>
    <w:rsid w:val="19F679A0"/>
    <w:rsid w:val="19F70334"/>
    <w:rsid w:val="19F718A8"/>
    <w:rsid w:val="19F72376"/>
    <w:rsid w:val="19F85670"/>
    <w:rsid w:val="19F8741E"/>
    <w:rsid w:val="19F95136"/>
    <w:rsid w:val="19F952DC"/>
    <w:rsid w:val="19F95FB9"/>
    <w:rsid w:val="19F97FE0"/>
    <w:rsid w:val="19FA13E8"/>
    <w:rsid w:val="19FA6325"/>
    <w:rsid w:val="19FA71CE"/>
    <w:rsid w:val="19FB1FA5"/>
    <w:rsid w:val="19FB5E42"/>
    <w:rsid w:val="19FB6F0E"/>
    <w:rsid w:val="19FC10BC"/>
    <w:rsid w:val="19FD117E"/>
    <w:rsid w:val="19FD3D59"/>
    <w:rsid w:val="19FD4362"/>
    <w:rsid w:val="19FD67E3"/>
    <w:rsid w:val="19FE07AD"/>
    <w:rsid w:val="19FE1815"/>
    <w:rsid w:val="19FE340E"/>
    <w:rsid w:val="19FF2820"/>
    <w:rsid w:val="19FF5095"/>
    <w:rsid w:val="19FF7A86"/>
    <w:rsid w:val="1A002777"/>
    <w:rsid w:val="1A02029D"/>
    <w:rsid w:val="1A02050B"/>
    <w:rsid w:val="1A02204B"/>
    <w:rsid w:val="1A0248F8"/>
    <w:rsid w:val="1A025026"/>
    <w:rsid w:val="1A027489"/>
    <w:rsid w:val="1A037DE9"/>
    <w:rsid w:val="1A037DFC"/>
    <w:rsid w:val="1A0418B7"/>
    <w:rsid w:val="1A041EE5"/>
    <w:rsid w:val="1A042CCB"/>
    <w:rsid w:val="1A04497A"/>
    <w:rsid w:val="1A051B3B"/>
    <w:rsid w:val="1A0538E9"/>
    <w:rsid w:val="1A061AE9"/>
    <w:rsid w:val="1A065BBA"/>
    <w:rsid w:val="1A07140F"/>
    <w:rsid w:val="1A0758B3"/>
    <w:rsid w:val="1A0822E3"/>
    <w:rsid w:val="1A084EB9"/>
    <w:rsid w:val="1A085187"/>
    <w:rsid w:val="1A085D62"/>
    <w:rsid w:val="1A09162B"/>
    <w:rsid w:val="1A0933D9"/>
    <w:rsid w:val="1A095C36"/>
    <w:rsid w:val="1A09753A"/>
    <w:rsid w:val="1A0A07EC"/>
    <w:rsid w:val="1A0A10F0"/>
    <w:rsid w:val="1A0A196E"/>
    <w:rsid w:val="1A0B053B"/>
    <w:rsid w:val="1A0B58C4"/>
    <w:rsid w:val="1A0B6CD8"/>
    <w:rsid w:val="1A0C2E9D"/>
    <w:rsid w:val="1A0C2EC9"/>
    <w:rsid w:val="1A0C4C78"/>
    <w:rsid w:val="1A0D279E"/>
    <w:rsid w:val="1A0D2C56"/>
    <w:rsid w:val="1A0D459C"/>
    <w:rsid w:val="1A0E05FD"/>
    <w:rsid w:val="1A0E09F0"/>
    <w:rsid w:val="1A0E211B"/>
    <w:rsid w:val="1A101A3F"/>
    <w:rsid w:val="1A101FD2"/>
    <w:rsid w:val="1A116B7E"/>
    <w:rsid w:val="1A116EBC"/>
    <w:rsid w:val="1A121912"/>
    <w:rsid w:val="1A135C0D"/>
    <w:rsid w:val="1A14189E"/>
    <w:rsid w:val="1A147FD0"/>
    <w:rsid w:val="1A152C42"/>
    <w:rsid w:val="1A152D2E"/>
    <w:rsid w:val="1A153894"/>
    <w:rsid w:val="1A160337"/>
    <w:rsid w:val="1A1641BE"/>
    <w:rsid w:val="1A165AF6"/>
    <w:rsid w:val="1A17021F"/>
    <w:rsid w:val="1A1739FB"/>
    <w:rsid w:val="1A173F76"/>
    <w:rsid w:val="1A176F07"/>
    <w:rsid w:val="1A1816AF"/>
    <w:rsid w:val="1A18186E"/>
    <w:rsid w:val="1A1839A8"/>
    <w:rsid w:val="1A18483E"/>
    <w:rsid w:val="1A186D43"/>
    <w:rsid w:val="1A187AC0"/>
    <w:rsid w:val="1A187FBB"/>
    <w:rsid w:val="1A1928E2"/>
    <w:rsid w:val="1A195710"/>
    <w:rsid w:val="1A1A3838"/>
    <w:rsid w:val="1A1A3C2D"/>
    <w:rsid w:val="1A1B135F"/>
    <w:rsid w:val="1A1B4A74"/>
    <w:rsid w:val="1A1B77BE"/>
    <w:rsid w:val="1A1C2C01"/>
    <w:rsid w:val="1A1C5BD7"/>
    <w:rsid w:val="1A1C66C0"/>
    <w:rsid w:val="1A1C7BFC"/>
    <w:rsid w:val="1A1D0C33"/>
    <w:rsid w:val="1A1D6E85"/>
    <w:rsid w:val="1A1E7372"/>
    <w:rsid w:val="1A1F0E4F"/>
    <w:rsid w:val="1A1F1582"/>
    <w:rsid w:val="1A1F2877"/>
    <w:rsid w:val="1A200723"/>
    <w:rsid w:val="1A206975"/>
    <w:rsid w:val="1A2226ED"/>
    <w:rsid w:val="1A223AD6"/>
    <w:rsid w:val="1A22449B"/>
    <w:rsid w:val="1A225515"/>
    <w:rsid w:val="1A226F49"/>
    <w:rsid w:val="1A22749D"/>
    <w:rsid w:val="1A231FC1"/>
    <w:rsid w:val="1A236C5D"/>
    <w:rsid w:val="1A237635"/>
    <w:rsid w:val="1A24147C"/>
    <w:rsid w:val="1A242823"/>
    <w:rsid w:val="1A2453EF"/>
    <w:rsid w:val="1A2457AB"/>
    <w:rsid w:val="1A251630"/>
    <w:rsid w:val="1A253454"/>
    <w:rsid w:val="1A253E58"/>
    <w:rsid w:val="1A255D39"/>
    <w:rsid w:val="1A256E93"/>
    <w:rsid w:val="1A257CDF"/>
    <w:rsid w:val="1A271AB1"/>
    <w:rsid w:val="1A27385F"/>
    <w:rsid w:val="1A273FAA"/>
    <w:rsid w:val="1A274AE2"/>
    <w:rsid w:val="1A277D14"/>
    <w:rsid w:val="1A2801B7"/>
    <w:rsid w:val="1A286D3B"/>
    <w:rsid w:val="1A290EDC"/>
    <w:rsid w:val="1A29304B"/>
    <w:rsid w:val="1A293A7B"/>
    <w:rsid w:val="1A296CF8"/>
    <w:rsid w:val="1A2A15A2"/>
    <w:rsid w:val="1A2A3B33"/>
    <w:rsid w:val="1A2A6F75"/>
    <w:rsid w:val="1A2B2090"/>
    <w:rsid w:val="1A2B706F"/>
    <w:rsid w:val="1A2B77F4"/>
    <w:rsid w:val="1A2C04F0"/>
    <w:rsid w:val="1A2C26F6"/>
    <w:rsid w:val="1A2C531A"/>
    <w:rsid w:val="1A2D11DE"/>
    <w:rsid w:val="1A2E2E40"/>
    <w:rsid w:val="1A2F1077"/>
    <w:rsid w:val="1A2F4DD2"/>
    <w:rsid w:val="1A2F57A0"/>
    <w:rsid w:val="1A2F64A6"/>
    <w:rsid w:val="1A2F6BB8"/>
    <w:rsid w:val="1A2F7C4C"/>
    <w:rsid w:val="1A3027EC"/>
    <w:rsid w:val="1A304E0A"/>
    <w:rsid w:val="1A310B82"/>
    <w:rsid w:val="1A312930"/>
    <w:rsid w:val="1A31606B"/>
    <w:rsid w:val="1A326F78"/>
    <w:rsid w:val="1A327BC9"/>
    <w:rsid w:val="1A330456"/>
    <w:rsid w:val="1A3327FD"/>
    <w:rsid w:val="1A3366A8"/>
    <w:rsid w:val="1A341039"/>
    <w:rsid w:val="1A341B51"/>
    <w:rsid w:val="1A342318"/>
    <w:rsid w:val="1A352A06"/>
    <w:rsid w:val="1A37176E"/>
    <w:rsid w:val="1A37660E"/>
    <w:rsid w:val="1A377809"/>
    <w:rsid w:val="1A382FAC"/>
    <w:rsid w:val="1A386DBC"/>
    <w:rsid w:val="1A3930EE"/>
    <w:rsid w:val="1A393593"/>
    <w:rsid w:val="1A395B47"/>
    <w:rsid w:val="1A3A0E9F"/>
    <w:rsid w:val="1A3A17E5"/>
    <w:rsid w:val="1A3A7A37"/>
    <w:rsid w:val="1A3B37AF"/>
    <w:rsid w:val="1A3B555D"/>
    <w:rsid w:val="1A3C140F"/>
    <w:rsid w:val="1A3C637F"/>
    <w:rsid w:val="1A3D12D5"/>
    <w:rsid w:val="1A3D2181"/>
    <w:rsid w:val="1A3D3083"/>
    <w:rsid w:val="1A3D4B32"/>
    <w:rsid w:val="1A3D7527"/>
    <w:rsid w:val="1A3F46F0"/>
    <w:rsid w:val="1A3F504D"/>
    <w:rsid w:val="1A3F577B"/>
    <w:rsid w:val="1A400DC5"/>
    <w:rsid w:val="1A40267A"/>
    <w:rsid w:val="1A402B73"/>
    <w:rsid w:val="1A40444E"/>
    <w:rsid w:val="1A404921"/>
    <w:rsid w:val="1A4118FC"/>
    <w:rsid w:val="1A4131B9"/>
    <w:rsid w:val="1A41348C"/>
    <w:rsid w:val="1A415956"/>
    <w:rsid w:val="1A417179"/>
    <w:rsid w:val="1A420699"/>
    <w:rsid w:val="1A42393B"/>
    <w:rsid w:val="1A42491C"/>
    <w:rsid w:val="1A4268EB"/>
    <w:rsid w:val="1A4404B8"/>
    <w:rsid w:val="1A441E72"/>
    <w:rsid w:val="1A442663"/>
    <w:rsid w:val="1A46462D"/>
    <w:rsid w:val="1A47158D"/>
    <w:rsid w:val="1A472154"/>
    <w:rsid w:val="1A473F02"/>
    <w:rsid w:val="1A4745EF"/>
    <w:rsid w:val="1A475BBD"/>
    <w:rsid w:val="1A475CB0"/>
    <w:rsid w:val="1A476A74"/>
    <w:rsid w:val="1A48704D"/>
    <w:rsid w:val="1A491A28"/>
    <w:rsid w:val="1A4933A9"/>
    <w:rsid w:val="1A495ECC"/>
    <w:rsid w:val="1A497C7A"/>
    <w:rsid w:val="1A4A39F2"/>
    <w:rsid w:val="1A4A57A0"/>
    <w:rsid w:val="1A4B589F"/>
    <w:rsid w:val="1A4B7978"/>
    <w:rsid w:val="1A4C1518"/>
    <w:rsid w:val="1A4C776A"/>
    <w:rsid w:val="1A4E34E2"/>
    <w:rsid w:val="1A4E44C3"/>
    <w:rsid w:val="1A4E4600"/>
    <w:rsid w:val="1A4E7FDF"/>
    <w:rsid w:val="1A4F0D02"/>
    <w:rsid w:val="1A4F2DB6"/>
    <w:rsid w:val="1A4F3B53"/>
    <w:rsid w:val="1A5012F9"/>
    <w:rsid w:val="1A512B3C"/>
    <w:rsid w:val="1A512FD2"/>
    <w:rsid w:val="1A5228C8"/>
    <w:rsid w:val="1A530AF8"/>
    <w:rsid w:val="1A530E12"/>
    <w:rsid w:val="1A5328A6"/>
    <w:rsid w:val="1A53362E"/>
    <w:rsid w:val="1A5358A1"/>
    <w:rsid w:val="1A5403CD"/>
    <w:rsid w:val="1A55089C"/>
    <w:rsid w:val="1A551B7D"/>
    <w:rsid w:val="1A55661F"/>
    <w:rsid w:val="1A5605E9"/>
    <w:rsid w:val="1A562397"/>
    <w:rsid w:val="1A5627F0"/>
    <w:rsid w:val="1A564145"/>
    <w:rsid w:val="1A565E7D"/>
    <w:rsid w:val="1A581025"/>
    <w:rsid w:val="1A584361"/>
    <w:rsid w:val="1A586B42"/>
    <w:rsid w:val="1A587EBD"/>
    <w:rsid w:val="1A59000E"/>
    <w:rsid w:val="1A59108D"/>
    <w:rsid w:val="1A592BA3"/>
    <w:rsid w:val="1A597561"/>
    <w:rsid w:val="1A5A0E9C"/>
    <w:rsid w:val="1A5A1E87"/>
    <w:rsid w:val="1A5B22AE"/>
    <w:rsid w:val="1A5B4C15"/>
    <w:rsid w:val="1A5B5C36"/>
    <w:rsid w:val="1A5B79AD"/>
    <w:rsid w:val="1A5C0094"/>
    <w:rsid w:val="1A5C0E74"/>
    <w:rsid w:val="1A5C382D"/>
    <w:rsid w:val="1A5D0F8B"/>
    <w:rsid w:val="1A5D1977"/>
    <w:rsid w:val="1A5D3430"/>
    <w:rsid w:val="1A5F0CF1"/>
    <w:rsid w:val="1A5F2142"/>
    <w:rsid w:val="1A5F2FF9"/>
    <w:rsid w:val="1A5F6A15"/>
    <w:rsid w:val="1A5F749D"/>
    <w:rsid w:val="1A604FC3"/>
    <w:rsid w:val="1A607EA5"/>
    <w:rsid w:val="1A613215"/>
    <w:rsid w:val="1A6138D3"/>
    <w:rsid w:val="1A61648E"/>
    <w:rsid w:val="1A62088D"/>
    <w:rsid w:val="1A620D3B"/>
    <w:rsid w:val="1A6220C1"/>
    <w:rsid w:val="1A622AE9"/>
    <w:rsid w:val="1A626F8D"/>
    <w:rsid w:val="1A626FD4"/>
    <w:rsid w:val="1A633C09"/>
    <w:rsid w:val="1A644AB4"/>
    <w:rsid w:val="1A644B2C"/>
    <w:rsid w:val="1A646862"/>
    <w:rsid w:val="1A650A3E"/>
    <w:rsid w:val="1A651146"/>
    <w:rsid w:val="1A652345"/>
    <w:rsid w:val="1A652887"/>
    <w:rsid w:val="1A654388"/>
    <w:rsid w:val="1A655D2E"/>
    <w:rsid w:val="1A65739F"/>
    <w:rsid w:val="1A66082C"/>
    <w:rsid w:val="1A667DED"/>
    <w:rsid w:val="1A670176"/>
    <w:rsid w:val="1A673855"/>
    <w:rsid w:val="1A676352"/>
    <w:rsid w:val="1A686E3E"/>
    <w:rsid w:val="1A6908C4"/>
    <w:rsid w:val="1A6936B1"/>
    <w:rsid w:val="1A693BC4"/>
    <w:rsid w:val="1A694137"/>
    <w:rsid w:val="1A6A0A07"/>
    <w:rsid w:val="1A6A34A6"/>
    <w:rsid w:val="1A6A7BF0"/>
    <w:rsid w:val="1A6B2BD5"/>
    <w:rsid w:val="1A6B4094"/>
    <w:rsid w:val="1A6C1BBA"/>
    <w:rsid w:val="1A6C46BD"/>
    <w:rsid w:val="1A6C47C5"/>
    <w:rsid w:val="1A6D5380"/>
    <w:rsid w:val="1A6D777D"/>
    <w:rsid w:val="1A6E1333"/>
    <w:rsid w:val="1A6E148E"/>
    <w:rsid w:val="1A6E1A80"/>
    <w:rsid w:val="1A6F5CF5"/>
    <w:rsid w:val="1A703458"/>
    <w:rsid w:val="1A7035BC"/>
    <w:rsid w:val="1A704ADF"/>
    <w:rsid w:val="1A710D5C"/>
    <w:rsid w:val="1A710F7F"/>
    <w:rsid w:val="1A720819"/>
    <w:rsid w:val="1A7222BA"/>
    <w:rsid w:val="1A736AA5"/>
    <w:rsid w:val="1A7379BC"/>
    <w:rsid w:val="1A741289"/>
    <w:rsid w:val="1A744BDA"/>
    <w:rsid w:val="1A75281D"/>
    <w:rsid w:val="1A755E4C"/>
    <w:rsid w:val="1A756CC1"/>
    <w:rsid w:val="1A76621B"/>
    <w:rsid w:val="1A766950"/>
    <w:rsid w:val="1A7731BB"/>
    <w:rsid w:val="1A77355B"/>
    <w:rsid w:val="1A780447"/>
    <w:rsid w:val="1A78230D"/>
    <w:rsid w:val="1A7840BB"/>
    <w:rsid w:val="1A7867B1"/>
    <w:rsid w:val="1A787243"/>
    <w:rsid w:val="1A7874C0"/>
    <w:rsid w:val="1A7B19AE"/>
    <w:rsid w:val="1A7B1DFD"/>
    <w:rsid w:val="1A7C004F"/>
    <w:rsid w:val="1A7C0DA2"/>
    <w:rsid w:val="1A7C143C"/>
    <w:rsid w:val="1A7C336C"/>
    <w:rsid w:val="1A7D3DC7"/>
    <w:rsid w:val="1A7D4911"/>
    <w:rsid w:val="1A7D73CD"/>
    <w:rsid w:val="1A7E0512"/>
    <w:rsid w:val="1A7E36B1"/>
    <w:rsid w:val="1A7F18ED"/>
    <w:rsid w:val="1A7F1CED"/>
    <w:rsid w:val="1A7F31E2"/>
    <w:rsid w:val="1A7F5553"/>
    <w:rsid w:val="1A7F685C"/>
    <w:rsid w:val="1A8020BF"/>
    <w:rsid w:val="1A807414"/>
    <w:rsid w:val="1A815666"/>
    <w:rsid w:val="1A8213DE"/>
    <w:rsid w:val="1A825EC0"/>
    <w:rsid w:val="1A831C80"/>
    <w:rsid w:val="1A83719D"/>
    <w:rsid w:val="1A840CB2"/>
    <w:rsid w:val="1A844FA1"/>
    <w:rsid w:val="1A845156"/>
    <w:rsid w:val="1A846F04"/>
    <w:rsid w:val="1A85772F"/>
    <w:rsid w:val="1A86006F"/>
    <w:rsid w:val="1A861B61"/>
    <w:rsid w:val="1A861BC0"/>
    <w:rsid w:val="1A864952"/>
    <w:rsid w:val="1A864A2A"/>
    <w:rsid w:val="1A873F68"/>
    <w:rsid w:val="1A87580C"/>
    <w:rsid w:val="1A880339"/>
    <w:rsid w:val="1A8852EE"/>
    <w:rsid w:val="1A886EFD"/>
    <w:rsid w:val="1A89276C"/>
    <w:rsid w:val="1A892BA4"/>
    <w:rsid w:val="1A8962C8"/>
    <w:rsid w:val="1A8B01B1"/>
    <w:rsid w:val="1A8B2040"/>
    <w:rsid w:val="1A8B4DD7"/>
    <w:rsid w:val="1A8B4E5B"/>
    <w:rsid w:val="1A8B4F03"/>
    <w:rsid w:val="1A8B6479"/>
    <w:rsid w:val="1A8B7E79"/>
    <w:rsid w:val="1A8C400A"/>
    <w:rsid w:val="1A8C42F1"/>
    <w:rsid w:val="1A8E1B30"/>
    <w:rsid w:val="1A8E7D82"/>
    <w:rsid w:val="1A8F3C86"/>
    <w:rsid w:val="1A9016E4"/>
    <w:rsid w:val="1A901BB1"/>
    <w:rsid w:val="1A9024A7"/>
    <w:rsid w:val="1A903AFB"/>
    <w:rsid w:val="1A910ABC"/>
    <w:rsid w:val="1A9133CF"/>
    <w:rsid w:val="1A91414C"/>
    <w:rsid w:val="1A914F07"/>
    <w:rsid w:val="1A91517D"/>
    <w:rsid w:val="1A920163"/>
    <w:rsid w:val="1A92388D"/>
    <w:rsid w:val="1A924232"/>
    <w:rsid w:val="1A930146"/>
    <w:rsid w:val="1A930F26"/>
    <w:rsid w:val="1A9315F3"/>
    <w:rsid w:val="1A935399"/>
    <w:rsid w:val="1A93629F"/>
    <w:rsid w:val="1A937313"/>
    <w:rsid w:val="1A9424AE"/>
    <w:rsid w:val="1A94409D"/>
    <w:rsid w:val="1A9441C4"/>
    <w:rsid w:val="1A95088B"/>
    <w:rsid w:val="1A952EBF"/>
    <w:rsid w:val="1A954C6D"/>
    <w:rsid w:val="1A9557EC"/>
    <w:rsid w:val="1A9676B7"/>
    <w:rsid w:val="1A97051A"/>
    <w:rsid w:val="1A97307B"/>
    <w:rsid w:val="1A9742EA"/>
    <w:rsid w:val="1A975E3B"/>
    <w:rsid w:val="1A976E5F"/>
    <w:rsid w:val="1A9776FB"/>
    <w:rsid w:val="1A983FD5"/>
    <w:rsid w:val="1A98475D"/>
    <w:rsid w:val="1A9908E0"/>
    <w:rsid w:val="1A993244"/>
    <w:rsid w:val="1A995465"/>
    <w:rsid w:val="1A99589A"/>
    <w:rsid w:val="1A997B74"/>
    <w:rsid w:val="1A9A04D5"/>
    <w:rsid w:val="1A9A2283"/>
    <w:rsid w:val="1A9A5CB7"/>
    <w:rsid w:val="1A9A648B"/>
    <w:rsid w:val="1A9A6727"/>
    <w:rsid w:val="1A9B20BC"/>
    <w:rsid w:val="1A9B5FFB"/>
    <w:rsid w:val="1A9B61D0"/>
    <w:rsid w:val="1A9C3DE6"/>
    <w:rsid w:val="1A9C424D"/>
    <w:rsid w:val="1A9C48B3"/>
    <w:rsid w:val="1A9C5F4B"/>
    <w:rsid w:val="1A9C7758"/>
    <w:rsid w:val="1A9D0B3C"/>
    <w:rsid w:val="1A9D6217"/>
    <w:rsid w:val="1A9D70AA"/>
    <w:rsid w:val="1A9E2025"/>
    <w:rsid w:val="1A9E2B3B"/>
    <w:rsid w:val="1A9E3580"/>
    <w:rsid w:val="1A9F379B"/>
    <w:rsid w:val="1AA03612"/>
    <w:rsid w:val="1AA060F9"/>
    <w:rsid w:val="1AA15FAD"/>
    <w:rsid w:val="1AA20C5D"/>
    <w:rsid w:val="1AA3373F"/>
    <w:rsid w:val="1AA35A1E"/>
    <w:rsid w:val="1AA41354"/>
    <w:rsid w:val="1AA43102"/>
    <w:rsid w:val="1AA475A6"/>
    <w:rsid w:val="1AA64D8C"/>
    <w:rsid w:val="1AA650CC"/>
    <w:rsid w:val="1AA66E7A"/>
    <w:rsid w:val="1AA72BF2"/>
    <w:rsid w:val="1AA749A0"/>
    <w:rsid w:val="1AA80E44"/>
    <w:rsid w:val="1AA90718"/>
    <w:rsid w:val="1AA907A3"/>
    <w:rsid w:val="1AA90BE8"/>
    <w:rsid w:val="1AA91385"/>
    <w:rsid w:val="1AA94BBC"/>
    <w:rsid w:val="1AA9696A"/>
    <w:rsid w:val="1AA97B2B"/>
    <w:rsid w:val="1AAA4EC5"/>
    <w:rsid w:val="1AAB2075"/>
    <w:rsid w:val="1AAB26E2"/>
    <w:rsid w:val="1AAB43CE"/>
    <w:rsid w:val="1AAC3990"/>
    <w:rsid w:val="1AAD303C"/>
    <w:rsid w:val="1AAD45DE"/>
    <w:rsid w:val="1AAD4D6B"/>
    <w:rsid w:val="1AAD5756"/>
    <w:rsid w:val="1AAD645B"/>
    <w:rsid w:val="1AAE1582"/>
    <w:rsid w:val="1AAE21D3"/>
    <w:rsid w:val="1AAE3F81"/>
    <w:rsid w:val="1AAF11C7"/>
    <w:rsid w:val="1AB01AA7"/>
    <w:rsid w:val="1AB037F9"/>
    <w:rsid w:val="1AB07CF9"/>
    <w:rsid w:val="1AB1581F"/>
    <w:rsid w:val="1AB16D8D"/>
    <w:rsid w:val="1AB204E9"/>
    <w:rsid w:val="1AB2774D"/>
    <w:rsid w:val="1AB31597"/>
    <w:rsid w:val="1AB36D20"/>
    <w:rsid w:val="1AB43742"/>
    <w:rsid w:val="1AB448C1"/>
    <w:rsid w:val="1AB44FF3"/>
    <w:rsid w:val="1AB535CF"/>
    <w:rsid w:val="1AB55005"/>
    <w:rsid w:val="1AB5530F"/>
    <w:rsid w:val="1AB64BE3"/>
    <w:rsid w:val="1AB76358"/>
    <w:rsid w:val="1AB772D9"/>
    <w:rsid w:val="1AB8095B"/>
    <w:rsid w:val="1AB83388"/>
    <w:rsid w:val="1AB84A57"/>
    <w:rsid w:val="1AB85342"/>
    <w:rsid w:val="1AB86BAD"/>
    <w:rsid w:val="1AB879F4"/>
    <w:rsid w:val="1AB92E2D"/>
    <w:rsid w:val="1AB93B37"/>
    <w:rsid w:val="1AB9743E"/>
    <w:rsid w:val="1ABA46D4"/>
    <w:rsid w:val="1ABA59B3"/>
    <w:rsid w:val="1ABB236E"/>
    <w:rsid w:val="1ABB7006"/>
    <w:rsid w:val="1ABB7A27"/>
    <w:rsid w:val="1ABC0E77"/>
    <w:rsid w:val="1ABC33D0"/>
    <w:rsid w:val="1ABC48F0"/>
    <w:rsid w:val="1ABD2416"/>
    <w:rsid w:val="1ABD2AC6"/>
    <w:rsid w:val="1ABD3C70"/>
    <w:rsid w:val="1ABD4218"/>
    <w:rsid w:val="1ABD518E"/>
    <w:rsid w:val="1ABD78F1"/>
    <w:rsid w:val="1ABE18FF"/>
    <w:rsid w:val="1ABF1CEA"/>
    <w:rsid w:val="1ABF6AA2"/>
    <w:rsid w:val="1ABF7F3C"/>
    <w:rsid w:val="1AC01327"/>
    <w:rsid w:val="1AC03B72"/>
    <w:rsid w:val="1AC04F2C"/>
    <w:rsid w:val="1AC10464"/>
    <w:rsid w:val="1AC1096A"/>
    <w:rsid w:val="1AC11F06"/>
    <w:rsid w:val="1AC13CB4"/>
    <w:rsid w:val="1AC15A62"/>
    <w:rsid w:val="1AC217DA"/>
    <w:rsid w:val="1AC27242"/>
    <w:rsid w:val="1AC31AA4"/>
    <w:rsid w:val="1AC35C7E"/>
    <w:rsid w:val="1AC45B3E"/>
    <w:rsid w:val="1AC47300"/>
    <w:rsid w:val="1AC5064D"/>
    <w:rsid w:val="1AC5699F"/>
    <w:rsid w:val="1AC612CA"/>
    <w:rsid w:val="1AC63907"/>
    <w:rsid w:val="1AC6751C"/>
    <w:rsid w:val="1AC814A0"/>
    <w:rsid w:val="1AC83294"/>
    <w:rsid w:val="1AC90DBB"/>
    <w:rsid w:val="1AC92B69"/>
    <w:rsid w:val="1AC94917"/>
    <w:rsid w:val="1AC976AA"/>
    <w:rsid w:val="1ACA4321"/>
    <w:rsid w:val="1ACB1CBF"/>
    <w:rsid w:val="1ACB4B33"/>
    <w:rsid w:val="1ACB7BBE"/>
    <w:rsid w:val="1ACC13EB"/>
    <w:rsid w:val="1ACC2805"/>
    <w:rsid w:val="1ACC4407"/>
    <w:rsid w:val="1ACD039F"/>
    <w:rsid w:val="1ACD08AB"/>
    <w:rsid w:val="1ACE017F"/>
    <w:rsid w:val="1ACE4623"/>
    <w:rsid w:val="1ACE63D1"/>
    <w:rsid w:val="1ACF00F1"/>
    <w:rsid w:val="1ACF1846"/>
    <w:rsid w:val="1ACF194E"/>
    <w:rsid w:val="1AD0039B"/>
    <w:rsid w:val="1AD02149"/>
    <w:rsid w:val="1AD03EF7"/>
    <w:rsid w:val="1AD04576"/>
    <w:rsid w:val="1AD04D80"/>
    <w:rsid w:val="1AD220F1"/>
    <w:rsid w:val="1AD25EC1"/>
    <w:rsid w:val="1AD3124A"/>
    <w:rsid w:val="1AD33D36"/>
    <w:rsid w:val="1AD42D15"/>
    <w:rsid w:val="1AD55213"/>
    <w:rsid w:val="1AD5775F"/>
    <w:rsid w:val="1AD64983"/>
    <w:rsid w:val="1AD6553D"/>
    <w:rsid w:val="1AD734D7"/>
    <w:rsid w:val="1AD758DA"/>
    <w:rsid w:val="1AD80DDB"/>
    <w:rsid w:val="1AD81CC7"/>
    <w:rsid w:val="1AD9291B"/>
    <w:rsid w:val="1AD93C60"/>
    <w:rsid w:val="1ADA2AFB"/>
    <w:rsid w:val="1ADA2FC8"/>
    <w:rsid w:val="1ADA4D76"/>
    <w:rsid w:val="1ADA712F"/>
    <w:rsid w:val="1ADB573D"/>
    <w:rsid w:val="1ADC0AEE"/>
    <w:rsid w:val="1ADC1524"/>
    <w:rsid w:val="1ADD0C53"/>
    <w:rsid w:val="1ADE0138"/>
    <w:rsid w:val="1ADE4ADC"/>
    <w:rsid w:val="1AE00FF5"/>
    <w:rsid w:val="1AE01AEC"/>
    <w:rsid w:val="1AE02CDB"/>
    <w:rsid w:val="1AE04070"/>
    <w:rsid w:val="1AE0635C"/>
    <w:rsid w:val="1AE14356"/>
    <w:rsid w:val="1AE154DB"/>
    <w:rsid w:val="1AE17EB2"/>
    <w:rsid w:val="1AE23C2A"/>
    <w:rsid w:val="1AE25190"/>
    <w:rsid w:val="1AE25978"/>
    <w:rsid w:val="1AE44BBE"/>
    <w:rsid w:val="1AE45BF4"/>
    <w:rsid w:val="1AE52032"/>
    <w:rsid w:val="1AE57172"/>
    <w:rsid w:val="1AE6371B"/>
    <w:rsid w:val="1AE654C9"/>
    <w:rsid w:val="1AE6663D"/>
    <w:rsid w:val="1AE74C34"/>
    <w:rsid w:val="1AE82DEB"/>
    <w:rsid w:val="1AE8530A"/>
    <w:rsid w:val="1AE86002"/>
    <w:rsid w:val="1AE86DD2"/>
    <w:rsid w:val="1AEA3365"/>
    <w:rsid w:val="1AEA67C3"/>
    <w:rsid w:val="1AEB0D31"/>
    <w:rsid w:val="1AEB3644"/>
    <w:rsid w:val="1AEB5005"/>
    <w:rsid w:val="1AEB6F83"/>
    <w:rsid w:val="1AEC11F3"/>
    <w:rsid w:val="1AEC507F"/>
    <w:rsid w:val="1AEC6857"/>
    <w:rsid w:val="1AED2CFB"/>
    <w:rsid w:val="1AEE25CF"/>
    <w:rsid w:val="1AEF03DC"/>
    <w:rsid w:val="1AEF625F"/>
    <w:rsid w:val="1AF078D3"/>
    <w:rsid w:val="1AF07ABE"/>
    <w:rsid w:val="1AF10A0C"/>
    <w:rsid w:val="1AF16C4B"/>
    <w:rsid w:val="1AF20311"/>
    <w:rsid w:val="1AF22894"/>
    <w:rsid w:val="1AF23B08"/>
    <w:rsid w:val="1AF23E6D"/>
    <w:rsid w:val="1AF304D3"/>
    <w:rsid w:val="1AF374CF"/>
    <w:rsid w:val="1AF37BE5"/>
    <w:rsid w:val="1AF40915"/>
    <w:rsid w:val="1AF40C41"/>
    <w:rsid w:val="1AF44089"/>
    <w:rsid w:val="1AF46464"/>
    <w:rsid w:val="1AF46C60"/>
    <w:rsid w:val="1AF53561"/>
    <w:rsid w:val="1AF53BB6"/>
    <w:rsid w:val="1AF5570C"/>
    <w:rsid w:val="1AF5638A"/>
    <w:rsid w:val="1AF57E02"/>
    <w:rsid w:val="1AF61E20"/>
    <w:rsid w:val="1AF644B1"/>
    <w:rsid w:val="1AF701B2"/>
    <w:rsid w:val="1AF82BB8"/>
    <w:rsid w:val="1AF8344E"/>
    <w:rsid w:val="1AF844CE"/>
    <w:rsid w:val="1AF851FC"/>
    <w:rsid w:val="1AF87C2B"/>
    <w:rsid w:val="1AF914CD"/>
    <w:rsid w:val="1AF91F50"/>
    <w:rsid w:val="1AFA31C6"/>
    <w:rsid w:val="1AFA71C6"/>
    <w:rsid w:val="1AFB0442"/>
    <w:rsid w:val="1AFB257B"/>
    <w:rsid w:val="1AFC2F3E"/>
    <w:rsid w:val="1AFC4063"/>
    <w:rsid w:val="1AFC5C92"/>
    <w:rsid w:val="1AFC5F8D"/>
    <w:rsid w:val="1AFD0A64"/>
    <w:rsid w:val="1AFD2812"/>
    <w:rsid w:val="1AFD320E"/>
    <w:rsid w:val="1AFE514C"/>
    <w:rsid w:val="1AFF1EC8"/>
    <w:rsid w:val="1AFF2A2E"/>
    <w:rsid w:val="1AFF4613"/>
    <w:rsid w:val="1AFF47DC"/>
    <w:rsid w:val="1AFF658A"/>
    <w:rsid w:val="1B000E30"/>
    <w:rsid w:val="1B012302"/>
    <w:rsid w:val="1B014DDE"/>
    <w:rsid w:val="1B021A9D"/>
    <w:rsid w:val="1B02588B"/>
    <w:rsid w:val="1B027E29"/>
    <w:rsid w:val="1B03607B"/>
    <w:rsid w:val="1B040045"/>
    <w:rsid w:val="1B041DF3"/>
    <w:rsid w:val="1B0428B0"/>
    <w:rsid w:val="1B043BA1"/>
    <w:rsid w:val="1B046F80"/>
    <w:rsid w:val="1B0475B6"/>
    <w:rsid w:val="1B063DBD"/>
    <w:rsid w:val="1B065B6B"/>
    <w:rsid w:val="1B0662C1"/>
    <w:rsid w:val="1B067919"/>
    <w:rsid w:val="1B0720FE"/>
    <w:rsid w:val="1B080547"/>
    <w:rsid w:val="1B0818E3"/>
    <w:rsid w:val="1B086E06"/>
    <w:rsid w:val="1B087B35"/>
    <w:rsid w:val="1B0911B7"/>
    <w:rsid w:val="1B0A1726"/>
    <w:rsid w:val="1B0A7C6C"/>
    <w:rsid w:val="1B0B4F2F"/>
    <w:rsid w:val="1B0B609D"/>
    <w:rsid w:val="1B0D514B"/>
    <w:rsid w:val="1B0D60A4"/>
    <w:rsid w:val="1B0D6265"/>
    <w:rsid w:val="1B0D75A0"/>
    <w:rsid w:val="1B0E67CD"/>
    <w:rsid w:val="1B0F15F1"/>
    <w:rsid w:val="1B0F22CF"/>
    <w:rsid w:val="1B0F27A4"/>
    <w:rsid w:val="1B102545"/>
    <w:rsid w:val="1B114159"/>
    <w:rsid w:val="1B114C59"/>
    <w:rsid w:val="1B122866"/>
    <w:rsid w:val="1B124510"/>
    <w:rsid w:val="1B1262BE"/>
    <w:rsid w:val="1B126F6B"/>
    <w:rsid w:val="1B127E3F"/>
    <w:rsid w:val="1B132036"/>
    <w:rsid w:val="1B13717E"/>
    <w:rsid w:val="1B140288"/>
    <w:rsid w:val="1B1431CA"/>
    <w:rsid w:val="1B1453A9"/>
    <w:rsid w:val="1B14771A"/>
    <w:rsid w:val="1B147FDB"/>
    <w:rsid w:val="1B15199C"/>
    <w:rsid w:val="1B155DAE"/>
    <w:rsid w:val="1B15756B"/>
    <w:rsid w:val="1B157B5C"/>
    <w:rsid w:val="1B16537B"/>
    <w:rsid w:val="1B166B07"/>
    <w:rsid w:val="1B17289A"/>
    <w:rsid w:val="1B176E1F"/>
    <w:rsid w:val="1B17784B"/>
    <w:rsid w:val="1B177D78"/>
    <w:rsid w:val="1B18509C"/>
    <w:rsid w:val="1B1A1616"/>
    <w:rsid w:val="1B1A4EED"/>
    <w:rsid w:val="1B1A7868"/>
    <w:rsid w:val="1B1B25B9"/>
    <w:rsid w:val="1B1B4B0C"/>
    <w:rsid w:val="1B1B56F9"/>
    <w:rsid w:val="1B1B7367"/>
    <w:rsid w:val="1B1C3CF0"/>
    <w:rsid w:val="1B1C538E"/>
    <w:rsid w:val="1B1D12DD"/>
    <w:rsid w:val="1B1D6651"/>
    <w:rsid w:val="1B1E0159"/>
    <w:rsid w:val="1B1E28B3"/>
    <w:rsid w:val="1B1F35B3"/>
    <w:rsid w:val="1B1F3BFD"/>
    <w:rsid w:val="1B1F4796"/>
    <w:rsid w:val="1B1F4E7E"/>
    <w:rsid w:val="1B206E1A"/>
    <w:rsid w:val="1B216501"/>
    <w:rsid w:val="1B222279"/>
    <w:rsid w:val="1B2304CB"/>
    <w:rsid w:val="1B230958"/>
    <w:rsid w:val="1B23671D"/>
    <w:rsid w:val="1B247501"/>
    <w:rsid w:val="1B252495"/>
    <w:rsid w:val="1B257A6F"/>
    <w:rsid w:val="1B263D34"/>
    <w:rsid w:val="1B26620D"/>
    <w:rsid w:val="1B267FBB"/>
    <w:rsid w:val="1B2735BA"/>
    <w:rsid w:val="1B277B2E"/>
    <w:rsid w:val="1B285AE1"/>
    <w:rsid w:val="1B286473"/>
    <w:rsid w:val="1B29134E"/>
    <w:rsid w:val="1B291859"/>
    <w:rsid w:val="1B2A3848"/>
    <w:rsid w:val="1B2A7AAB"/>
    <w:rsid w:val="1B2A7DD7"/>
    <w:rsid w:val="1B2A7E54"/>
    <w:rsid w:val="1B2B3823"/>
    <w:rsid w:val="1B2B737F"/>
    <w:rsid w:val="1B2C2D07"/>
    <w:rsid w:val="1B2C54CB"/>
    <w:rsid w:val="1B2D30F7"/>
    <w:rsid w:val="1B2D40BD"/>
    <w:rsid w:val="1B2D544E"/>
    <w:rsid w:val="1B2D759B"/>
    <w:rsid w:val="1B2E0B21"/>
    <w:rsid w:val="1B2E15A1"/>
    <w:rsid w:val="1B2E7C06"/>
    <w:rsid w:val="1B2F1FB1"/>
    <w:rsid w:val="1B2F4801"/>
    <w:rsid w:val="1B2F5FEF"/>
    <w:rsid w:val="1B2F75DB"/>
    <w:rsid w:val="1B304996"/>
    <w:rsid w:val="1B30756F"/>
    <w:rsid w:val="1B3106CA"/>
    <w:rsid w:val="1B310BE3"/>
    <w:rsid w:val="1B3115B8"/>
    <w:rsid w:val="1B312E97"/>
    <w:rsid w:val="1B314F5F"/>
    <w:rsid w:val="1B3163D1"/>
    <w:rsid w:val="1B324BB2"/>
    <w:rsid w:val="1B325260"/>
    <w:rsid w:val="1B3267B5"/>
    <w:rsid w:val="1B331F53"/>
    <w:rsid w:val="1B334486"/>
    <w:rsid w:val="1B334C93"/>
    <w:rsid w:val="1B34092A"/>
    <w:rsid w:val="1B344143"/>
    <w:rsid w:val="1B346FAA"/>
    <w:rsid w:val="1B3501FE"/>
    <w:rsid w:val="1B350BCC"/>
    <w:rsid w:val="1B351FAC"/>
    <w:rsid w:val="1B3821FE"/>
    <w:rsid w:val="1B3919A8"/>
    <w:rsid w:val="1B391A9C"/>
    <w:rsid w:val="1B395F40"/>
    <w:rsid w:val="1B3976F8"/>
    <w:rsid w:val="1B397CEE"/>
    <w:rsid w:val="1B3A0805"/>
    <w:rsid w:val="1B3A3A66"/>
    <w:rsid w:val="1B3A5096"/>
    <w:rsid w:val="1B3A6979"/>
    <w:rsid w:val="1B3A75C2"/>
    <w:rsid w:val="1B3B4866"/>
    <w:rsid w:val="1B3B4AA5"/>
    <w:rsid w:val="1B3C158C"/>
    <w:rsid w:val="1B3C3125"/>
    <w:rsid w:val="1B3C333B"/>
    <w:rsid w:val="1B3D69DC"/>
    <w:rsid w:val="1B3D7186"/>
    <w:rsid w:val="1B3E2542"/>
    <w:rsid w:val="1B3E3557"/>
    <w:rsid w:val="1B3E5305"/>
    <w:rsid w:val="1B3E70B3"/>
    <w:rsid w:val="1B3F00C0"/>
    <w:rsid w:val="1B40161D"/>
    <w:rsid w:val="1B4072CF"/>
    <w:rsid w:val="1B411F3B"/>
    <w:rsid w:val="1B415FDD"/>
    <w:rsid w:val="1B430B6D"/>
    <w:rsid w:val="1B43291B"/>
    <w:rsid w:val="1B437A96"/>
    <w:rsid w:val="1B440A6E"/>
    <w:rsid w:val="1B440BFE"/>
    <w:rsid w:val="1B441859"/>
    <w:rsid w:val="1B44394F"/>
    <w:rsid w:val="1B44560F"/>
    <w:rsid w:val="1B446693"/>
    <w:rsid w:val="1B446B4C"/>
    <w:rsid w:val="1B447BC4"/>
    <w:rsid w:val="1B453DD4"/>
    <w:rsid w:val="1B4548E5"/>
    <w:rsid w:val="1B455918"/>
    <w:rsid w:val="1B460455"/>
    <w:rsid w:val="1B46240B"/>
    <w:rsid w:val="1B462E4A"/>
    <w:rsid w:val="1B4641B9"/>
    <w:rsid w:val="1B474289"/>
    <w:rsid w:val="1B474FB9"/>
    <w:rsid w:val="1B477B17"/>
    <w:rsid w:val="1B4818AB"/>
    <w:rsid w:val="1B481CDF"/>
    <w:rsid w:val="1B484299"/>
    <w:rsid w:val="1B4914E9"/>
    <w:rsid w:val="1B492FD4"/>
    <w:rsid w:val="1B496E6A"/>
    <w:rsid w:val="1B4A4141"/>
    <w:rsid w:val="1B4A6562"/>
    <w:rsid w:val="1B4A7657"/>
    <w:rsid w:val="1B4B17D0"/>
    <w:rsid w:val="1B4B5C73"/>
    <w:rsid w:val="1B4B7F39"/>
    <w:rsid w:val="1B4C2C1A"/>
    <w:rsid w:val="1B4D0DC9"/>
    <w:rsid w:val="1B4D19EC"/>
    <w:rsid w:val="1B4D28CD"/>
    <w:rsid w:val="1B4D5548"/>
    <w:rsid w:val="1B4E09AA"/>
    <w:rsid w:val="1B4E1FD5"/>
    <w:rsid w:val="1B4E63FB"/>
    <w:rsid w:val="1B4E6A4E"/>
    <w:rsid w:val="1B4F12C0"/>
    <w:rsid w:val="1B4F1F42"/>
    <w:rsid w:val="1B4F48C3"/>
    <w:rsid w:val="1B4F7512"/>
    <w:rsid w:val="1B5017BE"/>
    <w:rsid w:val="1B501AD4"/>
    <w:rsid w:val="1B502EFC"/>
    <w:rsid w:val="1B50491E"/>
    <w:rsid w:val="1B505038"/>
    <w:rsid w:val="1B506993"/>
    <w:rsid w:val="1B5101ED"/>
    <w:rsid w:val="1B516A8C"/>
    <w:rsid w:val="1B520013"/>
    <w:rsid w:val="1B520060"/>
    <w:rsid w:val="1B521314"/>
    <w:rsid w:val="1B52244E"/>
    <w:rsid w:val="1B523035"/>
    <w:rsid w:val="1B532AED"/>
    <w:rsid w:val="1B54283C"/>
    <w:rsid w:val="1B543F7D"/>
    <w:rsid w:val="1B5508A0"/>
    <w:rsid w:val="1B55264E"/>
    <w:rsid w:val="1B5544D0"/>
    <w:rsid w:val="1B555B8D"/>
    <w:rsid w:val="1B5602C2"/>
    <w:rsid w:val="1B5621D1"/>
    <w:rsid w:val="1B565EE4"/>
    <w:rsid w:val="1B571195"/>
    <w:rsid w:val="1B572326"/>
    <w:rsid w:val="1B5728FE"/>
    <w:rsid w:val="1B574618"/>
    <w:rsid w:val="1B574A9A"/>
    <w:rsid w:val="1B5775A5"/>
    <w:rsid w:val="1B5777F7"/>
    <w:rsid w:val="1B584038"/>
    <w:rsid w:val="1B5866A0"/>
    <w:rsid w:val="1B590390"/>
    <w:rsid w:val="1B597458"/>
    <w:rsid w:val="1B5A3F64"/>
    <w:rsid w:val="1B5A7F07"/>
    <w:rsid w:val="1B5B12DF"/>
    <w:rsid w:val="1B5B387B"/>
    <w:rsid w:val="1B5B67BF"/>
    <w:rsid w:val="1B5C578B"/>
    <w:rsid w:val="1B5E3183"/>
    <w:rsid w:val="1B5E59A7"/>
    <w:rsid w:val="1B5F1090"/>
    <w:rsid w:val="1B60171F"/>
    <w:rsid w:val="1B6019DE"/>
    <w:rsid w:val="1B602520"/>
    <w:rsid w:val="1B6034CD"/>
    <w:rsid w:val="1B613EDB"/>
    <w:rsid w:val="1B61671A"/>
    <w:rsid w:val="1B62334C"/>
    <w:rsid w:val="1B624E40"/>
    <w:rsid w:val="1B627A11"/>
    <w:rsid w:val="1B632FBD"/>
    <w:rsid w:val="1B634D6B"/>
    <w:rsid w:val="1B636B19"/>
    <w:rsid w:val="1B640F2A"/>
    <w:rsid w:val="1B642891"/>
    <w:rsid w:val="1B652590"/>
    <w:rsid w:val="1B6603B7"/>
    <w:rsid w:val="1B6606B1"/>
    <w:rsid w:val="1B6610C1"/>
    <w:rsid w:val="1B666391"/>
    <w:rsid w:val="1B666609"/>
    <w:rsid w:val="1B667B96"/>
    <w:rsid w:val="1B670421"/>
    <w:rsid w:val="1B674310"/>
    <w:rsid w:val="1B674CBA"/>
    <w:rsid w:val="1B67781F"/>
    <w:rsid w:val="1B682CFE"/>
    <w:rsid w:val="1B6875F7"/>
    <w:rsid w:val="1B6953AA"/>
    <w:rsid w:val="1B697EA8"/>
    <w:rsid w:val="1B6A2D00"/>
    <w:rsid w:val="1B6A434C"/>
    <w:rsid w:val="1B6A5222"/>
    <w:rsid w:val="1B6A60FA"/>
    <w:rsid w:val="1B6C4F0A"/>
    <w:rsid w:val="1B6D5A44"/>
    <w:rsid w:val="1B6D759C"/>
    <w:rsid w:val="1B6D7998"/>
    <w:rsid w:val="1B6E6171"/>
    <w:rsid w:val="1B6F3710"/>
    <w:rsid w:val="1B6F387E"/>
    <w:rsid w:val="1B6F54BE"/>
    <w:rsid w:val="1B6F5FBB"/>
    <w:rsid w:val="1B6F7658"/>
    <w:rsid w:val="1B704AAB"/>
    <w:rsid w:val="1B70593E"/>
    <w:rsid w:val="1B707488"/>
    <w:rsid w:val="1B707CC1"/>
    <w:rsid w:val="1B7156DA"/>
    <w:rsid w:val="1B721452"/>
    <w:rsid w:val="1B7251BD"/>
    <w:rsid w:val="1B7312FC"/>
    <w:rsid w:val="1B7374FE"/>
    <w:rsid w:val="1B742AD4"/>
    <w:rsid w:val="1B743976"/>
    <w:rsid w:val="1B746F78"/>
    <w:rsid w:val="1B747804"/>
    <w:rsid w:val="1B752A01"/>
    <w:rsid w:val="1B755A8E"/>
    <w:rsid w:val="1B75684C"/>
    <w:rsid w:val="1B757110"/>
    <w:rsid w:val="1B761C0E"/>
    <w:rsid w:val="1B762CF0"/>
    <w:rsid w:val="1B764745"/>
    <w:rsid w:val="1B765E86"/>
    <w:rsid w:val="1B770817"/>
    <w:rsid w:val="1B7725C5"/>
    <w:rsid w:val="1B776A68"/>
    <w:rsid w:val="1B7827E5"/>
    <w:rsid w:val="1B7872FA"/>
    <w:rsid w:val="1B7927E1"/>
    <w:rsid w:val="1B79458F"/>
    <w:rsid w:val="1B794807"/>
    <w:rsid w:val="1B7959DE"/>
    <w:rsid w:val="1B7A3A97"/>
    <w:rsid w:val="1B7A4599"/>
    <w:rsid w:val="1B7A7D7F"/>
    <w:rsid w:val="1B7B0489"/>
    <w:rsid w:val="1B7B258A"/>
    <w:rsid w:val="1B7B70E3"/>
    <w:rsid w:val="1B7C7BDB"/>
    <w:rsid w:val="1B7D0858"/>
    <w:rsid w:val="1B7D0A1D"/>
    <w:rsid w:val="1B7D7315"/>
    <w:rsid w:val="1B7D7960"/>
    <w:rsid w:val="1B7E7DF7"/>
    <w:rsid w:val="1B7F0146"/>
    <w:rsid w:val="1B7F0577"/>
    <w:rsid w:val="1B7F0679"/>
    <w:rsid w:val="1B7F1479"/>
    <w:rsid w:val="1B7F7FCA"/>
    <w:rsid w:val="1B8003C8"/>
    <w:rsid w:val="1B80591D"/>
    <w:rsid w:val="1B8076CB"/>
    <w:rsid w:val="1B811695"/>
    <w:rsid w:val="1B813443"/>
    <w:rsid w:val="1B815460"/>
    <w:rsid w:val="1B8232C1"/>
    <w:rsid w:val="1B8258B9"/>
    <w:rsid w:val="1B830F69"/>
    <w:rsid w:val="1B832531"/>
    <w:rsid w:val="1B83540D"/>
    <w:rsid w:val="1B8371BB"/>
    <w:rsid w:val="1B8401D9"/>
    <w:rsid w:val="1B845637"/>
    <w:rsid w:val="1B854CE1"/>
    <w:rsid w:val="1B862799"/>
    <w:rsid w:val="1B862808"/>
    <w:rsid w:val="1B866CAC"/>
    <w:rsid w:val="1B866E0B"/>
    <w:rsid w:val="1B870938"/>
    <w:rsid w:val="1B873225"/>
    <w:rsid w:val="1B873788"/>
    <w:rsid w:val="1B886580"/>
    <w:rsid w:val="1B886B5A"/>
    <w:rsid w:val="1B8922A0"/>
    <w:rsid w:val="1B896AEA"/>
    <w:rsid w:val="1B8A0099"/>
    <w:rsid w:val="1B8A054A"/>
    <w:rsid w:val="1B8A3290"/>
    <w:rsid w:val="1B8A5572"/>
    <w:rsid w:val="1B8B0EE2"/>
    <w:rsid w:val="1B8B14AB"/>
    <w:rsid w:val="1B8B3939"/>
    <w:rsid w:val="1B8B42C2"/>
    <w:rsid w:val="1B8D3B96"/>
    <w:rsid w:val="1B8E559D"/>
    <w:rsid w:val="1B8E5A25"/>
    <w:rsid w:val="1B8F5B60"/>
    <w:rsid w:val="1B8F67F8"/>
    <w:rsid w:val="1B8F72BD"/>
    <w:rsid w:val="1B8F790E"/>
    <w:rsid w:val="1B902585"/>
    <w:rsid w:val="1B90504E"/>
    <w:rsid w:val="1B906E7B"/>
    <w:rsid w:val="1B912A8E"/>
    <w:rsid w:val="1B920007"/>
    <w:rsid w:val="1B921996"/>
    <w:rsid w:val="1B927013"/>
    <w:rsid w:val="1B9326C6"/>
    <w:rsid w:val="1B935091"/>
    <w:rsid w:val="1B9363EE"/>
    <w:rsid w:val="1B936470"/>
    <w:rsid w:val="1B9370A5"/>
    <w:rsid w:val="1B937A0D"/>
    <w:rsid w:val="1B943177"/>
    <w:rsid w:val="1B94321A"/>
    <w:rsid w:val="1B944F25"/>
    <w:rsid w:val="1B946797"/>
    <w:rsid w:val="1B94797C"/>
    <w:rsid w:val="1B951893"/>
    <w:rsid w:val="1B953C80"/>
    <w:rsid w:val="1B960842"/>
    <w:rsid w:val="1B960DBE"/>
    <w:rsid w:val="1B961746"/>
    <w:rsid w:val="1B972C67"/>
    <w:rsid w:val="1B975401"/>
    <w:rsid w:val="1B977781"/>
    <w:rsid w:val="1B980B29"/>
    <w:rsid w:val="1B986767"/>
    <w:rsid w:val="1B99078D"/>
    <w:rsid w:val="1B9907D4"/>
    <w:rsid w:val="1B990A4B"/>
    <w:rsid w:val="1B99136E"/>
    <w:rsid w:val="1B992D65"/>
    <w:rsid w:val="1B997728"/>
    <w:rsid w:val="1B9B2757"/>
    <w:rsid w:val="1B9B2D86"/>
    <w:rsid w:val="1B9B38DD"/>
    <w:rsid w:val="1B9C1031"/>
    <w:rsid w:val="1B9C202B"/>
    <w:rsid w:val="1B9C30EB"/>
    <w:rsid w:val="1B9C337D"/>
    <w:rsid w:val="1B9C57F6"/>
    <w:rsid w:val="1B9C5B8F"/>
    <w:rsid w:val="1B9C64CF"/>
    <w:rsid w:val="1B9C7BA1"/>
    <w:rsid w:val="1B9D763C"/>
    <w:rsid w:val="1B9E1012"/>
    <w:rsid w:val="1B9E2247"/>
    <w:rsid w:val="1B9E5DA3"/>
    <w:rsid w:val="1B9F1114"/>
    <w:rsid w:val="1B9F1C9B"/>
    <w:rsid w:val="1B9F38C9"/>
    <w:rsid w:val="1B9F4351"/>
    <w:rsid w:val="1BA0121F"/>
    <w:rsid w:val="1BA01B1B"/>
    <w:rsid w:val="1BA07D6D"/>
    <w:rsid w:val="1BA15893"/>
    <w:rsid w:val="1BA22221"/>
    <w:rsid w:val="1BA23B9B"/>
    <w:rsid w:val="1BA24915"/>
    <w:rsid w:val="1BA3160C"/>
    <w:rsid w:val="1BA33440"/>
    <w:rsid w:val="1BA33762"/>
    <w:rsid w:val="1BA3609A"/>
    <w:rsid w:val="1BA37F34"/>
    <w:rsid w:val="1BA50EE0"/>
    <w:rsid w:val="1BA530B2"/>
    <w:rsid w:val="1BA535D6"/>
    <w:rsid w:val="1BA55384"/>
    <w:rsid w:val="1BA60290"/>
    <w:rsid w:val="1BA62EAA"/>
    <w:rsid w:val="1BA64C58"/>
    <w:rsid w:val="1BA70AA5"/>
    <w:rsid w:val="1BA710FC"/>
    <w:rsid w:val="1BA72E6B"/>
    <w:rsid w:val="1BA77E0C"/>
    <w:rsid w:val="1BA809D0"/>
    <w:rsid w:val="1BA82A49"/>
    <w:rsid w:val="1BA90A64"/>
    <w:rsid w:val="1BA91B8C"/>
    <w:rsid w:val="1BA93859"/>
    <w:rsid w:val="1BA97A82"/>
    <w:rsid w:val="1BAA4748"/>
    <w:rsid w:val="1BAB04C0"/>
    <w:rsid w:val="1BAB226E"/>
    <w:rsid w:val="1BAB4E27"/>
    <w:rsid w:val="1BAB64B2"/>
    <w:rsid w:val="1BAC26C9"/>
    <w:rsid w:val="1BAC2926"/>
    <w:rsid w:val="1BAD248A"/>
    <w:rsid w:val="1BAD291D"/>
    <w:rsid w:val="1BAD73E5"/>
    <w:rsid w:val="1BAF018A"/>
    <w:rsid w:val="1BAF1D5E"/>
    <w:rsid w:val="1BAF6202"/>
    <w:rsid w:val="1BAF7FB0"/>
    <w:rsid w:val="1BB05AD7"/>
    <w:rsid w:val="1BB07532"/>
    <w:rsid w:val="1BB11F7A"/>
    <w:rsid w:val="1BB13D28"/>
    <w:rsid w:val="1BB2184F"/>
    <w:rsid w:val="1BB235FD"/>
    <w:rsid w:val="1BB27AA1"/>
    <w:rsid w:val="1BB31283"/>
    <w:rsid w:val="1BB33257"/>
    <w:rsid w:val="1BB3358F"/>
    <w:rsid w:val="1BB36608"/>
    <w:rsid w:val="1BB43819"/>
    <w:rsid w:val="1BB446E7"/>
    <w:rsid w:val="1BB4571C"/>
    <w:rsid w:val="1BB47375"/>
    <w:rsid w:val="1BB477F2"/>
    <w:rsid w:val="1BB51F5F"/>
    <w:rsid w:val="1BB5399E"/>
    <w:rsid w:val="1BB55A38"/>
    <w:rsid w:val="1BB56A8F"/>
    <w:rsid w:val="1BB6133F"/>
    <w:rsid w:val="1BB61785"/>
    <w:rsid w:val="1BB63319"/>
    <w:rsid w:val="1BB65D15"/>
    <w:rsid w:val="1BB67591"/>
    <w:rsid w:val="1BB71FAD"/>
    <w:rsid w:val="1BB72C99"/>
    <w:rsid w:val="1BB750B7"/>
    <w:rsid w:val="1BB7679E"/>
    <w:rsid w:val="1BB769A8"/>
    <w:rsid w:val="1BB90E2F"/>
    <w:rsid w:val="1BB92FF8"/>
    <w:rsid w:val="1BB9498B"/>
    <w:rsid w:val="1BB96ABD"/>
    <w:rsid w:val="1BBB3B4D"/>
    <w:rsid w:val="1BBB45BA"/>
    <w:rsid w:val="1BBB45C6"/>
    <w:rsid w:val="1BBC26CD"/>
    <w:rsid w:val="1BBD05EC"/>
    <w:rsid w:val="1BBD091F"/>
    <w:rsid w:val="1BBE01F3"/>
    <w:rsid w:val="1BBE16D8"/>
    <w:rsid w:val="1BBE2B10"/>
    <w:rsid w:val="1BBE2F3B"/>
    <w:rsid w:val="1BBE56A7"/>
    <w:rsid w:val="1BBF402D"/>
    <w:rsid w:val="1BC0585B"/>
    <w:rsid w:val="1BC066D3"/>
    <w:rsid w:val="1BC111DD"/>
    <w:rsid w:val="1BC12219"/>
    <w:rsid w:val="1BC16CEB"/>
    <w:rsid w:val="1BC16E8C"/>
    <w:rsid w:val="1BC218BC"/>
    <w:rsid w:val="1BC22888"/>
    <w:rsid w:val="1BC24148"/>
    <w:rsid w:val="1BC25F36"/>
    <w:rsid w:val="1BC263C8"/>
    <w:rsid w:val="1BC3580A"/>
    <w:rsid w:val="1BC378AD"/>
    <w:rsid w:val="1BC4017A"/>
    <w:rsid w:val="1BC4351D"/>
    <w:rsid w:val="1BC45252"/>
    <w:rsid w:val="1BC51582"/>
    <w:rsid w:val="1BC51676"/>
    <w:rsid w:val="1BC5242A"/>
    <w:rsid w:val="1BC53330"/>
    <w:rsid w:val="1BC558B7"/>
    <w:rsid w:val="1BC56A32"/>
    <w:rsid w:val="1BC603E1"/>
    <w:rsid w:val="1BC626E4"/>
    <w:rsid w:val="1BC63880"/>
    <w:rsid w:val="1BC6658C"/>
    <w:rsid w:val="1BC670A8"/>
    <w:rsid w:val="1BC74505"/>
    <w:rsid w:val="1BC82E20"/>
    <w:rsid w:val="1BC85DE4"/>
    <w:rsid w:val="1BCA2929"/>
    <w:rsid w:val="1BCB46BE"/>
    <w:rsid w:val="1BCC11CE"/>
    <w:rsid w:val="1BCC2A84"/>
    <w:rsid w:val="1BCD0437"/>
    <w:rsid w:val="1BCE4B75"/>
    <w:rsid w:val="1BCF1B55"/>
    <w:rsid w:val="1BD01FD6"/>
    <w:rsid w:val="1BD143CB"/>
    <w:rsid w:val="1BD16179"/>
    <w:rsid w:val="1BD21EF1"/>
    <w:rsid w:val="1BD27C70"/>
    <w:rsid w:val="1BD32089"/>
    <w:rsid w:val="1BD33CD1"/>
    <w:rsid w:val="1BD4591C"/>
    <w:rsid w:val="1BD52AC6"/>
    <w:rsid w:val="1BD565F1"/>
    <w:rsid w:val="1BD573F6"/>
    <w:rsid w:val="1BD57725"/>
    <w:rsid w:val="1BD619E1"/>
    <w:rsid w:val="1BD6378F"/>
    <w:rsid w:val="1BD6553D"/>
    <w:rsid w:val="1BD73063"/>
    <w:rsid w:val="1BD87507"/>
    <w:rsid w:val="1BD92E02"/>
    <w:rsid w:val="1BD93979"/>
    <w:rsid w:val="1BD9502D"/>
    <w:rsid w:val="1BD97114"/>
    <w:rsid w:val="1BDA5C83"/>
    <w:rsid w:val="1BDA74D2"/>
    <w:rsid w:val="1BDB0DA5"/>
    <w:rsid w:val="1BDB2656"/>
    <w:rsid w:val="1BDB2B53"/>
    <w:rsid w:val="1BDB6FF7"/>
    <w:rsid w:val="1BDC2527"/>
    <w:rsid w:val="1BDC38F3"/>
    <w:rsid w:val="1BDC68CC"/>
    <w:rsid w:val="1BDC7BC5"/>
    <w:rsid w:val="1BDD08C4"/>
    <w:rsid w:val="1BDD2D6F"/>
    <w:rsid w:val="1BDE01B7"/>
    <w:rsid w:val="1BDE11CE"/>
    <w:rsid w:val="1BDE2644"/>
    <w:rsid w:val="1BDE43F2"/>
    <w:rsid w:val="1BE0016A"/>
    <w:rsid w:val="1BE01AFD"/>
    <w:rsid w:val="1BE0460E"/>
    <w:rsid w:val="1BE04E86"/>
    <w:rsid w:val="1BE0555A"/>
    <w:rsid w:val="1BE137C9"/>
    <w:rsid w:val="1BE13EE2"/>
    <w:rsid w:val="1BE21ECD"/>
    <w:rsid w:val="1BE258FF"/>
    <w:rsid w:val="1BE3371C"/>
    <w:rsid w:val="1BE337C6"/>
    <w:rsid w:val="1BE340FE"/>
    <w:rsid w:val="1BE35DC2"/>
    <w:rsid w:val="1BE376E3"/>
    <w:rsid w:val="1BE37C5A"/>
    <w:rsid w:val="1BE44C56"/>
    <w:rsid w:val="1BE46C49"/>
    <w:rsid w:val="1BE47C13"/>
    <w:rsid w:val="1BE50115"/>
    <w:rsid w:val="1BE539D2"/>
    <w:rsid w:val="1BE614F8"/>
    <w:rsid w:val="1BE6598A"/>
    <w:rsid w:val="1BE66E73"/>
    <w:rsid w:val="1BE67CAF"/>
    <w:rsid w:val="1BE72147"/>
    <w:rsid w:val="1BE74617"/>
    <w:rsid w:val="1BE7599C"/>
    <w:rsid w:val="1BE7774A"/>
    <w:rsid w:val="1BE77B2D"/>
    <w:rsid w:val="1BE834C2"/>
    <w:rsid w:val="1BE835D7"/>
    <w:rsid w:val="1BE86C4A"/>
    <w:rsid w:val="1BE91714"/>
    <w:rsid w:val="1BE952E1"/>
    <w:rsid w:val="1BE95673"/>
    <w:rsid w:val="1BE96EEF"/>
    <w:rsid w:val="1BEA0FE8"/>
    <w:rsid w:val="1BEA2D97"/>
    <w:rsid w:val="1BEA44C8"/>
    <w:rsid w:val="1BEA548C"/>
    <w:rsid w:val="1BEA723A"/>
    <w:rsid w:val="1BEA7B4F"/>
    <w:rsid w:val="1BEB1F26"/>
    <w:rsid w:val="1BEC2FB3"/>
    <w:rsid w:val="1BEC4D61"/>
    <w:rsid w:val="1BEC5FB9"/>
    <w:rsid w:val="1BEC6B0F"/>
    <w:rsid w:val="1BED2887"/>
    <w:rsid w:val="1BED30CC"/>
    <w:rsid w:val="1BED38F0"/>
    <w:rsid w:val="1BEE1A69"/>
    <w:rsid w:val="1BEE3761"/>
    <w:rsid w:val="1BEE6D2B"/>
    <w:rsid w:val="1BEF055C"/>
    <w:rsid w:val="1BEF1167"/>
    <w:rsid w:val="1BF105C9"/>
    <w:rsid w:val="1BF12377"/>
    <w:rsid w:val="1BF14125"/>
    <w:rsid w:val="1BF14E36"/>
    <w:rsid w:val="1BF21E2B"/>
    <w:rsid w:val="1BF26033"/>
    <w:rsid w:val="1BF27E04"/>
    <w:rsid w:val="1BF27E9D"/>
    <w:rsid w:val="1BF34341"/>
    <w:rsid w:val="1BF400B9"/>
    <w:rsid w:val="1BF409BA"/>
    <w:rsid w:val="1BF41064"/>
    <w:rsid w:val="1BF4474B"/>
    <w:rsid w:val="1BF52034"/>
    <w:rsid w:val="1BF54CE8"/>
    <w:rsid w:val="1BF62DFB"/>
    <w:rsid w:val="1BF65E1C"/>
    <w:rsid w:val="1BF6798D"/>
    <w:rsid w:val="1BF704FB"/>
    <w:rsid w:val="1BF710A2"/>
    <w:rsid w:val="1BF7343A"/>
    <w:rsid w:val="1BF74BB1"/>
    <w:rsid w:val="1BF754B3"/>
    <w:rsid w:val="1BF779AD"/>
    <w:rsid w:val="1BF812E1"/>
    <w:rsid w:val="1BF81957"/>
    <w:rsid w:val="1BF81B66"/>
    <w:rsid w:val="1BF84BCE"/>
    <w:rsid w:val="1BF857E4"/>
    <w:rsid w:val="1BF85C20"/>
    <w:rsid w:val="1BF865FC"/>
    <w:rsid w:val="1BF91102"/>
    <w:rsid w:val="1BF9122C"/>
    <w:rsid w:val="1BF97562"/>
    <w:rsid w:val="1BFA0945"/>
    <w:rsid w:val="1BFA1224"/>
    <w:rsid w:val="1BFA69AF"/>
    <w:rsid w:val="1BFB1448"/>
    <w:rsid w:val="1BFB31F6"/>
    <w:rsid w:val="1BFB3860"/>
    <w:rsid w:val="1BFB4FA4"/>
    <w:rsid w:val="1BFC1BAE"/>
    <w:rsid w:val="1BFC2ACA"/>
    <w:rsid w:val="1BFC5AAE"/>
    <w:rsid w:val="1BFD5A01"/>
    <w:rsid w:val="1BFD7D6F"/>
    <w:rsid w:val="1BFE0DA6"/>
    <w:rsid w:val="1BFE261B"/>
    <w:rsid w:val="1BFE4D79"/>
    <w:rsid w:val="1BFF185E"/>
    <w:rsid w:val="1BFF7AE7"/>
    <w:rsid w:val="1C00080C"/>
    <w:rsid w:val="1C0058A1"/>
    <w:rsid w:val="1C006A5E"/>
    <w:rsid w:val="1C010CAE"/>
    <w:rsid w:val="1C01417E"/>
    <w:rsid w:val="1C014F3D"/>
    <w:rsid w:val="1C0211D5"/>
    <w:rsid w:val="1C0247F5"/>
    <w:rsid w:val="1C026113"/>
    <w:rsid w:val="1C0302FC"/>
    <w:rsid w:val="1C033E58"/>
    <w:rsid w:val="1C03796F"/>
    <w:rsid w:val="1C043AC0"/>
    <w:rsid w:val="1C043CB3"/>
    <w:rsid w:val="1C0521F4"/>
    <w:rsid w:val="1C053B91"/>
    <w:rsid w:val="1C053F8F"/>
    <w:rsid w:val="1C066879"/>
    <w:rsid w:val="1C066B60"/>
    <w:rsid w:val="1C071B9A"/>
    <w:rsid w:val="1C07266C"/>
    <w:rsid w:val="1C087134"/>
    <w:rsid w:val="1C0876C1"/>
    <w:rsid w:val="1C093B64"/>
    <w:rsid w:val="1C094248"/>
    <w:rsid w:val="1C0A168B"/>
    <w:rsid w:val="1C0A45FF"/>
    <w:rsid w:val="1C0B5693"/>
    <w:rsid w:val="1C0B71C8"/>
    <w:rsid w:val="1C0C29D2"/>
    <w:rsid w:val="1C0C71B1"/>
    <w:rsid w:val="1C0C7829"/>
    <w:rsid w:val="1C0D32DB"/>
    <w:rsid w:val="1C0D4CD7"/>
    <w:rsid w:val="1C0D6A33"/>
    <w:rsid w:val="1C0E117B"/>
    <w:rsid w:val="1C0E6E9C"/>
    <w:rsid w:val="1C0E7EC3"/>
    <w:rsid w:val="1C0F4EF3"/>
    <w:rsid w:val="1C0F6851"/>
    <w:rsid w:val="1C1147C7"/>
    <w:rsid w:val="1C121E20"/>
    <w:rsid w:val="1C12344F"/>
    <w:rsid w:val="1C1238BF"/>
    <w:rsid w:val="1C13053F"/>
    <w:rsid w:val="1C146065"/>
    <w:rsid w:val="1C1551C5"/>
    <w:rsid w:val="1C155BE2"/>
    <w:rsid w:val="1C156DF0"/>
    <w:rsid w:val="1C1575B8"/>
    <w:rsid w:val="1C161DDD"/>
    <w:rsid w:val="1C163B8C"/>
    <w:rsid w:val="1C166281"/>
    <w:rsid w:val="1C1726B6"/>
    <w:rsid w:val="1C172DF3"/>
    <w:rsid w:val="1C173660"/>
    <w:rsid w:val="1C177904"/>
    <w:rsid w:val="1C180F75"/>
    <w:rsid w:val="1C183DA8"/>
    <w:rsid w:val="1C19367C"/>
    <w:rsid w:val="1C1A356B"/>
    <w:rsid w:val="1C1B04C5"/>
    <w:rsid w:val="1C1B5646"/>
    <w:rsid w:val="1C1B6232"/>
    <w:rsid w:val="1C1B73F4"/>
    <w:rsid w:val="1C1C4F1A"/>
    <w:rsid w:val="1C1D13BE"/>
    <w:rsid w:val="1C1D180C"/>
    <w:rsid w:val="1C1D3098"/>
    <w:rsid w:val="1C1D316C"/>
    <w:rsid w:val="1C1D4DE7"/>
    <w:rsid w:val="1C1D6CDF"/>
    <w:rsid w:val="1C1E0C92"/>
    <w:rsid w:val="1C1E6B01"/>
    <w:rsid w:val="1C1E6EE4"/>
    <w:rsid w:val="1C1F5BFB"/>
    <w:rsid w:val="1C200B97"/>
    <w:rsid w:val="1C200EAE"/>
    <w:rsid w:val="1C200F44"/>
    <w:rsid w:val="1C202C5C"/>
    <w:rsid w:val="1C2045CA"/>
    <w:rsid w:val="1C204608"/>
    <w:rsid w:val="1C204E6B"/>
    <w:rsid w:val="1C213768"/>
    <w:rsid w:val="1C2179A2"/>
    <w:rsid w:val="1C220989"/>
    <w:rsid w:val="1C224C26"/>
    <w:rsid w:val="1C2269D4"/>
    <w:rsid w:val="1C226D8F"/>
    <w:rsid w:val="1C230CA1"/>
    <w:rsid w:val="1C2362A8"/>
    <w:rsid w:val="1C23676C"/>
    <w:rsid w:val="1C24274C"/>
    <w:rsid w:val="1C2479B4"/>
    <w:rsid w:val="1C247BF6"/>
    <w:rsid w:val="1C250273"/>
    <w:rsid w:val="1C250E5C"/>
    <w:rsid w:val="1C252021"/>
    <w:rsid w:val="1C253579"/>
    <w:rsid w:val="1C2564C4"/>
    <w:rsid w:val="1C257E23"/>
    <w:rsid w:val="1C260E2E"/>
    <w:rsid w:val="1C26385D"/>
    <w:rsid w:val="1C264522"/>
    <w:rsid w:val="1C26614A"/>
    <w:rsid w:val="1C266A76"/>
    <w:rsid w:val="1C2705D0"/>
    <w:rsid w:val="1C2707CC"/>
    <w:rsid w:val="1C2775A9"/>
    <w:rsid w:val="1C282B8D"/>
    <w:rsid w:val="1C2838BF"/>
    <w:rsid w:val="1C290A43"/>
    <w:rsid w:val="1C291CA4"/>
    <w:rsid w:val="1C291EFA"/>
    <w:rsid w:val="1C29338A"/>
    <w:rsid w:val="1C295FB5"/>
    <w:rsid w:val="1C297D63"/>
    <w:rsid w:val="1C2A0ACE"/>
    <w:rsid w:val="1C2A22C1"/>
    <w:rsid w:val="1C2A3ADB"/>
    <w:rsid w:val="1C2A5889"/>
    <w:rsid w:val="1C2A5F5B"/>
    <w:rsid w:val="1C2A72A6"/>
    <w:rsid w:val="1C2A7770"/>
    <w:rsid w:val="1C2B0A0C"/>
    <w:rsid w:val="1C2B12CA"/>
    <w:rsid w:val="1C2B13CA"/>
    <w:rsid w:val="1C2B1DDC"/>
    <w:rsid w:val="1C2B663D"/>
    <w:rsid w:val="1C2C1601"/>
    <w:rsid w:val="1C2C57C5"/>
    <w:rsid w:val="1C2C63B2"/>
    <w:rsid w:val="1C2D5567"/>
    <w:rsid w:val="1C2D63ED"/>
    <w:rsid w:val="1C2E137E"/>
    <w:rsid w:val="1C2E1509"/>
    <w:rsid w:val="1C2E35CB"/>
    <w:rsid w:val="1C2E5379"/>
    <w:rsid w:val="1C2E5CAA"/>
    <w:rsid w:val="1C2F10F1"/>
    <w:rsid w:val="1C2F794E"/>
    <w:rsid w:val="1C2F7D03"/>
    <w:rsid w:val="1C301642"/>
    <w:rsid w:val="1C301DCD"/>
    <w:rsid w:val="1C30475F"/>
    <w:rsid w:val="1C305FA2"/>
    <w:rsid w:val="1C3130DC"/>
    <w:rsid w:val="1C313639"/>
    <w:rsid w:val="1C314E69"/>
    <w:rsid w:val="1C317BCF"/>
    <w:rsid w:val="1C317DAA"/>
    <w:rsid w:val="1C321384"/>
    <w:rsid w:val="1C325E28"/>
    <w:rsid w:val="1C327026"/>
    <w:rsid w:val="1C333E2F"/>
    <w:rsid w:val="1C334008"/>
    <w:rsid w:val="1C33473D"/>
    <w:rsid w:val="1C3404B6"/>
    <w:rsid w:val="1C346708"/>
    <w:rsid w:val="1C3533F3"/>
    <w:rsid w:val="1C35495A"/>
    <w:rsid w:val="1C35754A"/>
    <w:rsid w:val="1C357D5D"/>
    <w:rsid w:val="1C362480"/>
    <w:rsid w:val="1C365FDC"/>
    <w:rsid w:val="1C3770CF"/>
    <w:rsid w:val="1C381D54"/>
    <w:rsid w:val="1C3852D9"/>
    <w:rsid w:val="1C3861F8"/>
    <w:rsid w:val="1C386E1E"/>
    <w:rsid w:val="1C387FA6"/>
    <w:rsid w:val="1C391D5F"/>
    <w:rsid w:val="1C393D1E"/>
    <w:rsid w:val="1C395ACC"/>
    <w:rsid w:val="1C3A08A1"/>
    <w:rsid w:val="1C3A1C5A"/>
    <w:rsid w:val="1C3B5CE8"/>
    <w:rsid w:val="1C3B7AB2"/>
    <w:rsid w:val="1C3C4445"/>
    <w:rsid w:val="1C3C73CE"/>
    <w:rsid w:val="1C3D2FDD"/>
    <w:rsid w:val="1C3D380E"/>
    <w:rsid w:val="1C3D55BC"/>
    <w:rsid w:val="1C3E5861"/>
    <w:rsid w:val="1C3E5A5B"/>
    <w:rsid w:val="1C3E71CC"/>
    <w:rsid w:val="1C3F07E7"/>
    <w:rsid w:val="1C3F38DA"/>
    <w:rsid w:val="1C4050AC"/>
    <w:rsid w:val="1C406BD8"/>
    <w:rsid w:val="1C411B36"/>
    <w:rsid w:val="1C413D24"/>
    <w:rsid w:val="1C414032"/>
    <w:rsid w:val="1C420C2C"/>
    <w:rsid w:val="1C420E24"/>
    <w:rsid w:val="1C422BD3"/>
    <w:rsid w:val="1C424981"/>
    <w:rsid w:val="1C427076"/>
    <w:rsid w:val="1C43132C"/>
    <w:rsid w:val="1C440896"/>
    <w:rsid w:val="1C441207"/>
    <w:rsid w:val="1C4416D3"/>
    <w:rsid w:val="1C4429AF"/>
    <w:rsid w:val="1C4477C7"/>
    <w:rsid w:val="1C452525"/>
    <w:rsid w:val="1C4526C3"/>
    <w:rsid w:val="1C454033"/>
    <w:rsid w:val="1C454471"/>
    <w:rsid w:val="1C455095"/>
    <w:rsid w:val="1C4701E9"/>
    <w:rsid w:val="1C47643B"/>
    <w:rsid w:val="1C480C1B"/>
    <w:rsid w:val="1C48160C"/>
    <w:rsid w:val="1C4832CF"/>
    <w:rsid w:val="1C487B04"/>
    <w:rsid w:val="1C492D6C"/>
    <w:rsid w:val="1C493F61"/>
    <w:rsid w:val="1C49697C"/>
    <w:rsid w:val="1C4A101B"/>
    <w:rsid w:val="1C4A1BC6"/>
    <w:rsid w:val="1C4A1FB8"/>
    <w:rsid w:val="1C4A3C27"/>
    <w:rsid w:val="1C4A728A"/>
    <w:rsid w:val="1C4A7417"/>
    <w:rsid w:val="1C4B1399"/>
    <w:rsid w:val="1C4B5D35"/>
    <w:rsid w:val="1C4C07B0"/>
    <w:rsid w:val="1C4C1CA3"/>
    <w:rsid w:val="1C4C57FF"/>
    <w:rsid w:val="1C4C6724"/>
    <w:rsid w:val="1C4E1AC2"/>
    <w:rsid w:val="1C4E1D5C"/>
    <w:rsid w:val="1C4E5C24"/>
    <w:rsid w:val="1C4E5D33"/>
    <w:rsid w:val="1C4E76C8"/>
    <w:rsid w:val="1C4F22FA"/>
    <w:rsid w:val="1C5037C9"/>
    <w:rsid w:val="1C5045D2"/>
    <w:rsid w:val="1C511068"/>
    <w:rsid w:val="1C512E16"/>
    <w:rsid w:val="1C51457D"/>
    <w:rsid w:val="1C5172BA"/>
    <w:rsid w:val="1C521F14"/>
    <w:rsid w:val="1C52434B"/>
    <w:rsid w:val="1C527EEE"/>
    <w:rsid w:val="1C530401"/>
    <w:rsid w:val="1C53255D"/>
    <w:rsid w:val="1C533032"/>
    <w:rsid w:val="1C5341C9"/>
    <w:rsid w:val="1C534DE0"/>
    <w:rsid w:val="1C542906"/>
    <w:rsid w:val="1C547A87"/>
    <w:rsid w:val="1C5503E6"/>
    <w:rsid w:val="1C550B37"/>
    <w:rsid w:val="1C550B58"/>
    <w:rsid w:val="1C552658"/>
    <w:rsid w:val="1C556815"/>
    <w:rsid w:val="1C556DAA"/>
    <w:rsid w:val="1C56042C"/>
    <w:rsid w:val="1C56667E"/>
    <w:rsid w:val="1C576E7E"/>
    <w:rsid w:val="1C580648"/>
    <w:rsid w:val="1C59151D"/>
    <w:rsid w:val="1C5969C2"/>
    <w:rsid w:val="1C5A4EFE"/>
    <w:rsid w:val="1C5A616E"/>
    <w:rsid w:val="1C5B3C94"/>
    <w:rsid w:val="1C5D01D2"/>
    <w:rsid w:val="1C5D1C3C"/>
    <w:rsid w:val="1C5D3EB1"/>
    <w:rsid w:val="1C5D7A0C"/>
    <w:rsid w:val="1C5E353A"/>
    <w:rsid w:val="1C5E547B"/>
    <w:rsid w:val="1C5E5533"/>
    <w:rsid w:val="1C5E7925"/>
    <w:rsid w:val="1C5F19D6"/>
    <w:rsid w:val="1C5F3505"/>
    <w:rsid w:val="1C5F3BAF"/>
    <w:rsid w:val="1C5F61F1"/>
    <w:rsid w:val="1C5F6B98"/>
    <w:rsid w:val="1C600946"/>
    <w:rsid w:val="1C6012AB"/>
    <w:rsid w:val="1C601B99"/>
    <w:rsid w:val="1C60574F"/>
    <w:rsid w:val="1C6074FD"/>
    <w:rsid w:val="1C60776B"/>
    <w:rsid w:val="1C62177B"/>
    <w:rsid w:val="1C624C5C"/>
    <w:rsid w:val="1C626DD1"/>
    <w:rsid w:val="1C6332CB"/>
    <w:rsid w:val="1C633C5C"/>
    <w:rsid w:val="1C635866"/>
    <w:rsid w:val="1C635A3C"/>
    <w:rsid w:val="1C640D9B"/>
    <w:rsid w:val="1C64490D"/>
    <w:rsid w:val="1C646FED"/>
    <w:rsid w:val="1C6568C1"/>
    <w:rsid w:val="1C65754E"/>
    <w:rsid w:val="1C662D65"/>
    <w:rsid w:val="1C67088B"/>
    <w:rsid w:val="1C672639"/>
    <w:rsid w:val="1C6727CD"/>
    <w:rsid w:val="1C673203"/>
    <w:rsid w:val="1C676ADD"/>
    <w:rsid w:val="1C680D07"/>
    <w:rsid w:val="1C684352"/>
    <w:rsid w:val="1C69015F"/>
    <w:rsid w:val="1C694092"/>
    <w:rsid w:val="1C694EC9"/>
    <w:rsid w:val="1C6973F4"/>
    <w:rsid w:val="1C6A3ED7"/>
    <w:rsid w:val="1C6B1F5C"/>
    <w:rsid w:val="1C6B3DC5"/>
    <w:rsid w:val="1C6B7F03"/>
    <w:rsid w:val="1C6C33DE"/>
    <w:rsid w:val="1C6C40F3"/>
    <w:rsid w:val="1C6D06B1"/>
    <w:rsid w:val="1C6D719E"/>
    <w:rsid w:val="1C6E7E08"/>
    <w:rsid w:val="1C6F468F"/>
    <w:rsid w:val="1C7036CC"/>
    <w:rsid w:val="1C7067AD"/>
    <w:rsid w:val="1C7106F0"/>
    <w:rsid w:val="1C7134B8"/>
    <w:rsid w:val="1C715266"/>
    <w:rsid w:val="1C7178FA"/>
    <w:rsid w:val="1C72156B"/>
    <w:rsid w:val="1C727939"/>
    <w:rsid w:val="1C731143"/>
    <w:rsid w:val="1C7318A2"/>
    <w:rsid w:val="1C735482"/>
    <w:rsid w:val="1C7410D7"/>
    <w:rsid w:val="1C7444A0"/>
    <w:rsid w:val="1C75033B"/>
    <w:rsid w:val="1C750AE8"/>
    <w:rsid w:val="1C752FA8"/>
    <w:rsid w:val="1C754C65"/>
    <w:rsid w:val="1C755930"/>
    <w:rsid w:val="1C76037F"/>
    <w:rsid w:val="1C760ACE"/>
    <w:rsid w:val="1C7657B7"/>
    <w:rsid w:val="1C766D20"/>
    <w:rsid w:val="1C7749E3"/>
    <w:rsid w:val="1C781A8A"/>
    <w:rsid w:val="1C782A98"/>
    <w:rsid w:val="1C784846"/>
    <w:rsid w:val="1C7871AE"/>
    <w:rsid w:val="1C7958C4"/>
    <w:rsid w:val="1C797F26"/>
    <w:rsid w:val="1C7A6484"/>
    <w:rsid w:val="1C7A6810"/>
    <w:rsid w:val="1C7B4336"/>
    <w:rsid w:val="1C7C30D0"/>
    <w:rsid w:val="1C7C667B"/>
    <w:rsid w:val="1C7D378F"/>
    <w:rsid w:val="1C7E2CF4"/>
    <w:rsid w:val="1C7F15B3"/>
    <w:rsid w:val="1C7F3E27"/>
    <w:rsid w:val="1C800088"/>
    <w:rsid w:val="1C803E14"/>
    <w:rsid w:val="1C805D87"/>
    <w:rsid w:val="1C805DE3"/>
    <w:rsid w:val="1C812015"/>
    <w:rsid w:val="1C817B9F"/>
    <w:rsid w:val="1C821221"/>
    <w:rsid w:val="1C82354E"/>
    <w:rsid w:val="1C824218"/>
    <w:rsid w:val="1C8256C5"/>
    <w:rsid w:val="1C8401AD"/>
    <w:rsid w:val="1C84143D"/>
    <w:rsid w:val="1C843F95"/>
    <w:rsid w:val="1C845425"/>
    <w:rsid w:val="1C845937"/>
    <w:rsid w:val="1C850D11"/>
    <w:rsid w:val="1C8568B5"/>
    <w:rsid w:val="1C86394C"/>
    <w:rsid w:val="1C8724BA"/>
    <w:rsid w:val="1C872916"/>
    <w:rsid w:val="1C872925"/>
    <w:rsid w:val="1C872CDB"/>
    <w:rsid w:val="1C876837"/>
    <w:rsid w:val="1C894FDC"/>
    <w:rsid w:val="1C895D91"/>
    <w:rsid w:val="1C896A53"/>
    <w:rsid w:val="1C89750E"/>
    <w:rsid w:val="1C8A763E"/>
    <w:rsid w:val="1C8B0D12"/>
    <w:rsid w:val="1C8B27CB"/>
    <w:rsid w:val="1C8B3224"/>
    <w:rsid w:val="1C8B457A"/>
    <w:rsid w:val="1C8B6CB4"/>
    <w:rsid w:val="1C8C02F2"/>
    <w:rsid w:val="1C8C20A0"/>
    <w:rsid w:val="1C8C3534"/>
    <w:rsid w:val="1C8C3BB7"/>
    <w:rsid w:val="1C8D2BE4"/>
    <w:rsid w:val="1C8D5047"/>
    <w:rsid w:val="1C8D6788"/>
    <w:rsid w:val="1C8D6789"/>
    <w:rsid w:val="1C8D7DE8"/>
    <w:rsid w:val="1C8E3E97"/>
    <w:rsid w:val="1C8E5E18"/>
    <w:rsid w:val="1C8E7BC6"/>
    <w:rsid w:val="1C8F189F"/>
    <w:rsid w:val="1C8F3C79"/>
    <w:rsid w:val="1C8F409E"/>
    <w:rsid w:val="1C900E6F"/>
    <w:rsid w:val="1C905296"/>
    <w:rsid w:val="1C9054E9"/>
    <w:rsid w:val="1C9074FE"/>
    <w:rsid w:val="1C91118D"/>
    <w:rsid w:val="1C915908"/>
    <w:rsid w:val="1C91695D"/>
    <w:rsid w:val="1C927A29"/>
    <w:rsid w:val="1C9325FA"/>
    <w:rsid w:val="1C93342E"/>
    <w:rsid w:val="1C933A8A"/>
    <w:rsid w:val="1C9363D4"/>
    <w:rsid w:val="1C9378D2"/>
    <w:rsid w:val="1C940F54"/>
    <w:rsid w:val="1C9416F4"/>
    <w:rsid w:val="1C9466D2"/>
    <w:rsid w:val="1C95279F"/>
    <w:rsid w:val="1C9532F1"/>
    <w:rsid w:val="1C9538CE"/>
    <w:rsid w:val="1C9553F8"/>
    <w:rsid w:val="1C9571A6"/>
    <w:rsid w:val="1C961170"/>
    <w:rsid w:val="1C962F1E"/>
    <w:rsid w:val="1C964CCC"/>
    <w:rsid w:val="1C96783A"/>
    <w:rsid w:val="1C970611"/>
    <w:rsid w:val="1C9761DD"/>
    <w:rsid w:val="1C9865D5"/>
    <w:rsid w:val="1C986C96"/>
    <w:rsid w:val="1C991496"/>
    <w:rsid w:val="1C992912"/>
    <w:rsid w:val="1C9930D4"/>
    <w:rsid w:val="1C99656B"/>
    <w:rsid w:val="1C9A167C"/>
    <w:rsid w:val="1C9A47BD"/>
    <w:rsid w:val="1C9B0812"/>
    <w:rsid w:val="1C9B3EAC"/>
    <w:rsid w:val="1C9B55BD"/>
    <w:rsid w:val="1C9C2C85"/>
    <w:rsid w:val="1C9C2ED5"/>
    <w:rsid w:val="1C9C6787"/>
    <w:rsid w:val="1C9D301D"/>
    <w:rsid w:val="1C9D3091"/>
    <w:rsid w:val="1C9D4E8A"/>
    <w:rsid w:val="1C9D5736"/>
    <w:rsid w:val="1C9D605B"/>
    <w:rsid w:val="1C9F0B9D"/>
    <w:rsid w:val="1C9F5DD9"/>
    <w:rsid w:val="1CA0178F"/>
    <w:rsid w:val="1CA03591"/>
    <w:rsid w:val="1CA14636"/>
    <w:rsid w:val="1CA203C6"/>
    <w:rsid w:val="1CA218C3"/>
    <w:rsid w:val="1CA21A6F"/>
    <w:rsid w:val="1CA2247B"/>
    <w:rsid w:val="1CA27B15"/>
    <w:rsid w:val="1CA30706"/>
    <w:rsid w:val="1CA40C0C"/>
    <w:rsid w:val="1CA4388D"/>
    <w:rsid w:val="1CA473E9"/>
    <w:rsid w:val="1CA5120B"/>
    <w:rsid w:val="1CA53072"/>
    <w:rsid w:val="1CA53161"/>
    <w:rsid w:val="1CA613B3"/>
    <w:rsid w:val="1CA67605"/>
    <w:rsid w:val="1CA70C88"/>
    <w:rsid w:val="1CA7512B"/>
    <w:rsid w:val="1CA76EDA"/>
    <w:rsid w:val="1CA83640"/>
    <w:rsid w:val="1CA90EA4"/>
    <w:rsid w:val="1CA94A00"/>
    <w:rsid w:val="1CA96A15"/>
    <w:rsid w:val="1CA96E0C"/>
    <w:rsid w:val="1CAA5CB0"/>
    <w:rsid w:val="1CAB3108"/>
    <w:rsid w:val="1CAC31A1"/>
    <w:rsid w:val="1CAD4FF6"/>
    <w:rsid w:val="1CAD79FF"/>
    <w:rsid w:val="1CAE0268"/>
    <w:rsid w:val="1CAE508E"/>
    <w:rsid w:val="1CAE5755"/>
    <w:rsid w:val="1CAE5842"/>
    <w:rsid w:val="1CAF0DD6"/>
    <w:rsid w:val="1CAF1B22"/>
    <w:rsid w:val="1CAF6F51"/>
    <w:rsid w:val="1CB06A41"/>
    <w:rsid w:val="1CB139AE"/>
    <w:rsid w:val="1CB14442"/>
    <w:rsid w:val="1CB15B83"/>
    <w:rsid w:val="1CB226F7"/>
    <w:rsid w:val="1CB258D2"/>
    <w:rsid w:val="1CB27054"/>
    <w:rsid w:val="1CB315A0"/>
    <w:rsid w:val="1CB32810"/>
    <w:rsid w:val="1CB3587E"/>
    <w:rsid w:val="1CB416A2"/>
    <w:rsid w:val="1CB52A5D"/>
    <w:rsid w:val="1CB55994"/>
    <w:rsid w:val="1CB5767A"/>
    <w:rsid w:val="1CB57848"/>
    <w:rsid w:val="1CB63965"/>
    <w:rsid w:val="1CB6536F"/>
    <w:rsid w:val="1CB661B7"/>
    <w:rsid w:val="1CB6681F"/>
    <w:rsid w:val="1CB6711D"/>
    <w:rsid w:val="1CB70FD5"/>
    <w:rsid w:val="1CB735C0"/>
    <w:rsid w:val="1CB73D95"/>
    <w:rsid w:val="1CB82E95"/>
    <w:rsid w:val="1CB84BDC"/>
    <w:rsid w:val="1CB87339"/>
    <w:rsid w:val="1CB8776E"/>
    <w:rsid w:val="1CB87EE5"/>
    <w:rsid w:val="1CB90BA6"/>
    <w:rsid w:val="1CBA40B3"/>
    <w:rsid w:val="1CBA4E5F"/>
    <w:rsid w:val="1CBB0B6E"/>
    <w:rsid w:val="1CBB4733"/>
    <w:rsid w:val="1CBC0BD7"/>
    <w:rsid w:val="1CBC22EE"/>
    <w:rsid w:val="1CBC361C"/>
    <w:rsid w:val="1CBC619A"/>
    <w:rsid w:val="1CBD18D7"/>
    <w:rsid w:val="1CBD3874"/>
    <w:rsid w:val="1CBD7DD6"/>
    <w:rsid w:val="1CBE55B6"/>
    <w:rsid w:val="1CBF31C6"/>
    <w:rsid w:val="1CBF46CE"/>
    <w:rsid w:val="1CBF6A46"/>
    <w:rsid w:val="1CC00D13"/>
    <w:rsid w:val="1CC07862"/>
    <w:rsid w:val="1CC173C7"/>
    <w:rsid w:val="1CC21F65"/>
    <w:rsid w:val="1CC22173"/>
    <w:rsid w:val="1CC23D13"/>
    <w:rsid w:val="1CC25AC1"/>
    <w:rsid w:val="1CC26C07"/>
    <w:rsid w:val="1CC36857"/>
    <w:rsid w:val="1CC37B90"/>
    <w:rsid w:val="1CC41428"/>
    <w:rsid w:val="1CC41839"/>
    <w:rsid w:val="1CC41A4E"/>
    <w:rsid w:val="1CC428AD"/>
    <w:rsid w:val="1CC47A8B"/>
    <w:rsid w:val="1CC57360"/>
    <w:rsid w:val="1CC63804"/>
    <w:rsid w:val="1CC67A6B"/>
    <w:rsid w:val="1CC761CC"/>
    <w:rsid w:val="1CC7757C"/>
    <w:rsid w:val="1CC8040E"/>
    <w:rsid w:val="1CC81239"/>
    <w:rsid w:val="1CC8318C"/>
    <w:rsid w:val="1CC94AAB"/>
    <w:rsid w:val="1CC950A2"/>
    <w:rsid w:val="1CC96CF2"/>
    <w:rsid w:val="1CC96E50"/>
    <w:rsid w:val="1CCA0FFC"/>
    <w:rsid w:val="1CCA1DE9"/>
    <w:rsid w:val="1CCA5E18"/>
    <w:rsid w:val="1CCB0E1A"/>
    <w:rsid w:val="1CCB4390"/>
    <w:rsid w:val="1CCB4CFF"/>
    <w:rsid w:val="1CCB706C"/>
    <w:rsid w:val="1CCC6940"/>
    <w:rsid w:val="1CCC6FD1"/>
    <w:rsid w:val="1CCD2299"/>
    <w:rsid w:val="1CCE4466"/>
    <w:rsid w:val="1CCF0851"/>
    <w:rsid w:val="1CCF110C"/>
    <w:rsid w:val="1CCF4996"/>
    <w:rsid w:val="1CCF6BE6"/>
    <w:rsid w:val="1CD008A6"/>
    <w:rsid w:val="1CD13F56"/>
    <w:rsid w:val="1CD209BC"/>
    <w:rsid w:val="1CD20EA3"/>
    <w:rsid w:val="1CD221A8"/>
    <w:rsid w:val="1CD22318"/>
    <w:rsid w:val="1CD31A7D"/>
    <w:rsid w:val="1CD35F20"/>
    <w:rsid w:val="1CD37684"/>
    <w:rsid w:val="1CD37940"/>
    <w:rsid w:val="1CD37CCF"/>
    <w:rsid w:val="1CD37F35"/>
    <w:rsid w:val="1CD40050"/>
    <w:rsid w:val="1CD41FE7"/>
    <w:rsid w:val="1CD50E8C"/>
    <w:rsid w:val="1CD51C99"/>
    <w:rsid w:val="1CD53A47"/>
    <w:rsid w:val="1CD612FF"/>
    <w:rsid w:val="1CD623B4"/>
    <w:rsid w:val="1CD62C7D"/>
    <w:rsid w:val="1CD64CCD"/>
    <w:rsid w:val="1CD700C4"/>
    <w:rsid w:val="1CD707D9"/>
    <w:rsid w:val="1CD72153"/>
    <w:rsid w:val="1CD724C7"/>
    <w:rsid w:val="1CD75A11"/>
    <w:rsid w:val="1CD81789"/>
    <w:rsid w:val="1CD83537"/>
    <w:rsid w:val="1CD852E5"/>
    <w:rsid w:val="1CD949E4"/>
    <w:rsid w:val="1CD963B0"/>
    <w:rsid w:val="1CDA069D"/>
    <w:rsid w:val="1CDA105D"/>
    <w:rsid w:val="1CDA2E0B"/>
    <w:rsid w:val="1CDA4102"/>
    <w:rsid w:val="1CDA72AF"/>
    <w:rsid w:val="1CDB20E5"/>
    <w:rsid w:val="1CDB2F4B"/>
    <w:rsid w:val="1CDC0905"/>
    <w:rsid w:val="1CDC12CF"/>
    <w:rsid w:val="1CDC18F9"/>
    <w:rsid w:val="1CDD28FB"/>
    <w:rsid w:val="1CDD2960"/>
    <w:rsid w:val="1CDD3710"/>
    <w:rsid w:val="1CDE345E"/>
    <w:rsid w:val="1CDE4685"/>
    <w:rsid w:val="1CDF0421"/>
    <w:rsid w:val="1CDF6673"/>
    <w:rsid w:val="1CDF74BF"/>
    <w:rsid w:val="1CE005AE"/>
    <w:rsid w:val="1CE03BBE"/>
    <w:rsid w:val="1CE249B0"/>
    <w:rsid w:val="1CE25726"/>
    <w:rsid w:val="1CE343B6"/>
    <w:rsid w:val="1CE43C8A"/>
    <w:rsid w:val="1CE472D0"/>
    <w:rsid w:val="1CE51164"/>
    <w:rsid w:val="1CE523E9"/>
    <w:rsid w:val="1CE54AF5"/>
    <w:rsid w:val="1CE56C8D"/>
    <w:rsid w:val="1CE61322"/>
    <w:rsid w:val="1CE617B0"/>
    <w:rsid w:val="1CE647C1"/>
    <w:rsid w:val="1CE67A02"/>
    <w:rsid w:val="1CE7330D"/>
    <w:rsid w:val="1CE7377A"/>
    <w:rsid w:val="1CE86FA4"/>
    <w:rsid w:val="1CE870E1"/>
    <w:rsid w:val="1CE912A0"/>
    <w:rsid w:val="1CE974F2"/>
    <w:rsid w:val="1CEA2700"/>
    <w:rsid w:val="1CEB5A62"/>
    <w:rsid w:val="1CEC1A8F"/>
    <w:rsid w:val="1CEC2B3E"/>
    <w:rsid w:val="1CED3BA2"/>
    <w:rsid w:val="1CED7C1A"/>
    <w:rsid w:val="1CEE2F53"/>
    <w:rsid w:val="1CEE500F"/>
    <w:rsid w:val="1CEE7D71"/>
    <w:rsid w:val="1CEF5BC0"/>
    <w:rsid w:val="1CF06752"/>
    <w:rsid w:val="1CF06AD2"/>
    <w:rsid w:val="1CF074F6"/>
    <w:rsid w:val="1CF101B8"/>
    <w:rsid w:val="1CF14417"/>
    <w:rsid w:val="1CF15F84"/>
    <w:rsid w:val="1CF163A7"/>
    <w:rsid w:val="1CF167DB"/>
    <w:rsid w:val="1CF16BA7"/>
    <w:rsid w:val="1CF2284B"/>
    <w:rsid w:val="1CF31A3E"/>
    <w:rsid w:val="1CF33ECD"/>
    <w:rsid w:val="1CF34BCB"/>
    <w:rsid w:val="1CF436AF"/>
    <w:rsid w:val="1CF46060"/>
    <w:rsid w:val="1CF466F3"/>
    <w:rsid w:val="1CF4752C"/>
    <w:rsid w:val="1CF50255"/>
    <w:rsid w:val="1CF52E26"/>
    <w:rsid w:val="1CF547D5"/>
    <w:rsid w:val="1CF55E97"/>
    <w:rsid w:val="1CF56195"/>
    <w:rsid w:val="1CF60711"/>
    <w:rsid w:val="1CF653C3"/>
    <w:rsid w:val="1CF67CC9"/>
    <w:rsid w:val="1CF75746"/>
    <w:rsid w:val="1CF7709A"/>
    <w:rsid w:val="1CF77E61"/>
    <w:rsid w:val="1CF814E3"/>
    <w:rsid w:val="1CF85987"/>
    <w:rsid w:val="1CF86BD6"/>
    <w:rsid w:val="1CF87735"/>
    <w:rsid w:val="1CF920A7"/>
    <w:rsid w:val="1CF9444B"/>
    <w:rsid w:val="1CF94D1C"/>
    <w:rsid w:val="1CF9552A"/>
    <w:rsid w:val="1CFA0A5E"/>
    <w:rsid w:val="1CFA3491"/>
    <w:rsid w:val="1CFA525B"/>
    <w:rsid w:val="1CFB1B4E"/>
    <w:rsid w:val="1CFC037B"/>
    <w:rsid w:val="1CFC56E0"/>
    <w:rsid w:val="1CFC7225"/>
    <w:rsid w:val="1CFD070F"/>
    <w:rsid w:val="1CFD1CD4"/>
    <w:rsid w:val="1CFD2F9D"/>
    <w:rsid w:val="1CFD4D4B"/>
    <w:rsid w:val="1CFE011A"/>
    <w:rsid w:val="1CFE11EF"/>
    <w:rsid w:val="1CFE13A1"/>
    <w:rsid w:val="1CFE572E"/>
    <w:rsid w:val="1CFE70FF"/>
    <w:rsid w:val="1CFF0AC4"/>
    <w:rsid w:val="1CFF0C80"/>
    <w:rsid w:val="1CFF25BD"/>
    <w:rsid w:val="1CFF3ED8"/>
    <w:rsid w:val="1CFF47B3"/>
    <w:rsid w:val="1CFF56E8"/>
    <w:rsid w:val="1CFF6AA9"/>
    <w:rsid w:val="1D005142"/>
    <w:rsid w:val="1D01156B"/>
    <w:rsid w:val="1D012A8E"/>
    <w:rsid w:val="1D0205B4"/>
    <w:rsid w:val="1D020935"/>
    <w:rsid w:val="1D035E33"/>
    <w:rsid w:val="1D041A1B"/>
    <w:rsid w:val="1D043F56"/>
    <w:rsid w:val="1D0449F7"/>
    <w:rsid w:val="1D0460DA"/>
    <w:rsid w:val="1D046572"/>
    <w:rsid w:val="1D0468BA"/>
    <w:rsid w:val="1D04722A"/>
    <w:rsid w:val="1D0600A4"/>
    <w:rsid w:val="1D0710C2"/>
    <w:rsid w:val="1D08159A"/>
    <w:rsid w:val="1D083E1C"/>
    <w:rsid w:val="1D085312"/>
    <w:rsid w:val="1D085BCA"/>
    <w:rsid w:val="1D0861E8"/>
    <w:rsid w:val="1D094EA4"/>
    <w:rsid w:val="1D0A1D59"/>
    <w:rsid w:val="1D0B56BA"/>
    <w:rsid w:val="1D0B5FA6"/>
    <w:rsid w:val="1D0C47AC"/>
    <w:rsid w:val="1D0C4F8F"/>
    <w:rsid w:val="1D0C5C34"/>
    <w:rsid w:val="1D0D26D5"/>
    <w:rsid w:val="1D0D30FE"/>
    <w:rsid w:val="1D0D31E0"/>
    <w:rsid w:val="1D0E1D11"/>
    <w:rsid w:val="1D0E253D"/>
    <w:rsid w:val="1D0E51AB"/>
    <w:rsid w:val="1D0E5B6B"/>
    <w:rsid w:val="1D0E7780"/>
    <w:rsid w:val="1D0F1F45"/>
    <w:rsid w:val="1D0F25F5"/>
    <w:rsid w:val="1D100149"/>
    <w:rsid w:val="1D100F23"/>
    <w:rsid w:val="1D102CD1"/>
    <w:rsid w:val="1D103862"/>
    <w:rsid w:val="1D104A7F"/>
    <w:rsid w:val="1D1053D6"/>
    <w:rsid w:val="1D110AE1"/>
    <w:rsid w:val="1D1125A5"/>
    <w:rsid w:val="1D11777D"/>
    <w:rsid w:val="1D122DA1"/>
    <w:rsid w:val="1D1246B6"/>
    <w:rsid w:val="1D124A7B"/>
    <w:rsid w:val="1D1279D5"/>
    <w:rsid w:val="1D127A69"/>
    <w:rsid w:val="1D130756"/>
    <w:rsid w:val="1D132287"/>
    <w:rsid w:val="1D133527"/>
    <w:rsid w:val="1D1337DE"/>
    <w:rsid w:val="1D13631D"/>
    <w:rsid w:val="1D137488"/>
    <w:rsid w:val="1D1414AB"/>
    <w:rsid w:val="1D144528"/>
    <w:rsid w:val="1D144537"/>
    <w:rsid w:val="1D1502E7"/>
    <w:rsid w:val="1D151EF2"/>
    <w:rsid w:val="1D152951"/>
    <w:rsid w:val="1D156539"/>
    <w:rsid w:val="1D1577FB"/>
    <w:rsid w:val="1D170CCE"/>
    <w:rsid w:val="1D1722B1"/>
    <w:rsid w:val="1D17405F"/>
    <w:rsid w:val="1D181B85"/>
    <w:rsid w:val="1D183933"/>
    <w:rsid w:val="1D194868"/>
    <w:rsid w:val="1D1A495A"/>
    <w:rsid w:val="1D1B34DC"/>
    <w:rsid w:val="1D1B4E63"/>
    <w:rsid w:val="1D1C1667"/>
    <w:rsid w:val="1D1C1676"/>
    <w:rsid w:val="1D1C1EC5"/>
    <w:rsid w:val="1D1C2534"/>
    <w:rsid w:val="1D1C5FD1"/>
    <w:rsid w:val="1D1D0F4A"/>
    <w:rsid w:val="1D1D565E"/>
    <w:rsid w:val="1D1D719C"/>
    <w:rsid w:val="1D1E0415"/>
    <w:rsid w:val="1D1E3640"/>
    <w:rsid w:val="1D1F0795"/>
    <w:rsid w:val="1D1F1D81"/>
    <w:rsid w:val="1D1F34C2"/>
    <w:rsid w:val="1D204A78"/>
    <w:rsid w:val="1D210A3A"/>
    <w:rsid w:val="1D211272"/>
    <w:rsid w:val="1D211953"/>
    <w:rsid w:val="1D216C8C"/>
    <w:rsid w:val="1D226055"/>
    <w:rsid w:val="1D227206"/>
    <w:rsid w:val="1D232A04"/>
    <w:rsid w:val="1D233D7E"/>
    <w:rsid w:val="1D23441E"/>
    <w:rsid w:val="1D24052A"/>
    <w:rsid w:val="1D2422D8"/>
    <w:rsid w:val="1D246249"/>
    <w:rsid w:val="1D247334"/>
    <w:rsid w:val="1D2507C4"/>
    <w:rsid w:val="1D256673"/>
    <w:rsid w:val="1D260D82"/>
    <w:rsid w:val="1D266050"/>
    <w:rsid w:val="1D266C03"/>
    <w:rsid w:val="1D26718E"/>
    <w:rsid w:val="1D271DC8"/>
    <w:rsid w:val="1D274825"/>
    <w:rsid w:val="1D277A9E"/>
    <w:rsid w:val="1D277B49"/>
    <w:rsid w:val="1D28001A"/>
    <w:rsid w:val="1D291FE4"/>
    <w:rsid w:val="1D292920"/>
    <w:rsid w:val="1D292EB6"/>
    <w:rsid w:val="1D294450"/>
    <w:rsid w:val="1D2A2740"/>
    <w:rsid w:val="1D2A61E1"/>
    <w:rsid w:val="1D2B18B9"/>
    <w:rsid w:val="1D2B1A65"/>
    <w:rsid w:val="1D2B4636"/>
    <w:rsid w:val="1D2B7DA0"/>
    <w:rsid w:val="1D2C49BB"/>
    <w:rsid w:val="1D2D0F85"/>
    <w:rsid w:val="1D2D29F2"/>
    <w:rsid w:val="1D2D45F5"/>
    <w:rsid w:val="1D2D6A81"/>
    <w:rsid w:val="1D2D73DF"/>
    <w:rsid w:val="1D2D74FA"/>
    <w:rsid w:val="1D2E0F82"/>
    <w:rsid w:val="1D2E3157"/>
    <w:rsid w:val="1D2E3C2C"/>
    <w:rsid w:val="1D2E6D07"/>
    <w:rsid w:val="1D2F2FB7"/>
    <w:rsid w:val="1D2F75FB"/>
    <w:rsid w:val="1D2F788C"/>
    <w:rsid w:val="1D30031E"/>
    <w:rsid w:val="1D300C7D"/>
    <w:rsid w:val="1D304F34"/>
    <w:rsid w:val="1D306ECF"/>
    <w:rsid w:val="1D313E2D"/>
    <w:rsid w:val="1D316BEE"/>
    <w:rsid w:val="1D3203DE"/>
    <w:rsid w:val="1D321938"/>
    <w:rsid w:val="1D322AF4"/>
    <w:rsid w:val="1D3249F5"/>
    <w:rsid w:val="1D33076D"/>
    <w:rsid w:val="1D332DC8"/>
    <w:rsid w:val="1D344AD1"/>
    <w:rsid w:val="1D344C11"/>
    <w:rsid w:val="1D3558A2"/>
    <w:rsid w:val="1D366B78"/>
    <w:rsid w:val="1D37025D"/>
    <w:rsid w:val="1D3743EF"/>
    <w:rsid w:val="1D3764AF"/>
    <w:rsid w:val="1D3807C1"/>
    <w:rsid w:val="1D382FC3"/>
    <w:rsid w:val="1D383FD6"/>
    <w:rsid w:val="1D385D84"/>
    <w:rsid w:val="1D392227"/>
    <w:rsid w:val="1D393E0D"/>
    <w:rsid w:val="1D394750"/>
    <w:rsid w:val="1D3A1AFC"/>
    <w:rsid w:val="1D3A5F55"/>
    <w:rsid w:val="1D3A5FA0"/>
    <w:rsid w:val="1D3A7D4E"/>
    <w:rsid w:val="1D3B125C"/>
    <w:rsid w:val="1D3B3B59"/>
    <w:rsid w:val="1D3B5FEF"/>
    <w:rsid w:val="1D3B67AE"/>
    <w:rsid w:val="1D3B6F7E"/>
    <w:rsid w:val="1D3B7C6D"/>
    <w:rsid w:val="1D3C1D18"/>
    <w:rsid w:val="1D3C3AC6"/>
    <w:rsid w:val="1D3C5038"/>
    <w:rsid w:val="1D3E783E"/>
    <w:rsid w:val="1D3F30C1"/>
    <w:rsid w:val="1D3F7112"/>
    <w:rsid w:val="1D401CFC"/>
    <w:rsid w:val="1D4029A2"/>
    <w:rsid w:val="1D4044BA"/>
    <w:rsid w:val="1D4110DC"/>
    <w:rsid w:val="1D412E8A"/>
    <w:rsid w:val="1D413C8B"/>
    <w:rsid w:val="1D414A32"/>
    <w:rsid w:val="1D41732E"/>
    <w:rsid w:val="1D421B0E"/>
    <w:rsid w:val="1D422837"/>
    <w:rsid w:val="1D427438"/>
    <w:rsid w:val="1D431530"/>
    <w:rsid w:val="1D4328BD"/>
    <w:rsid w:val="1D4330A6"/>
    <w:rsid w:val="1D441525"/>
    <w:rsid w:val="1D445A97"/>
    <w:rsid w:val="1D453826"/>
    <w:rsid w:val="1D454838"/>
    <w:rsid w:val="1D4561E5"/>
    <w:rsid w:val="1D460A14"/>
    <w:rsid w:val="1D463CB8"/>
    <w:rsid w:val="1D463EBA"/>
    <w:rsid w:val="1D4666F2"/>
    <w:rsid w:val="1D470F8D"/>
    <w:rsid w:val="1D4806BC"/>
    <w:rsid w:val="1D480A72"/>
    <w:rsid w:val="1D48246B"/>
    <w:rsid w:val="1D483E66"/>
    <w:rsid w:val="1D484219"/>
    <w:rsid w:val="1D4961E3"/>
    <w:rsid w:val="1D4A604E"/>
    <w:rsid w:val="1D4B1A1A"/>
    <w:rsid w:val="1D4B3D09"/>
    <w:rsid w:val="1D4C6A9F"/>
    <w:rsid w:val="1D4C6E7B"/>
    <w:rsid w:val="1D4D182F"/>
    <w:rsid w:val="1D4D24F3"/>
    <w:rsid w:val="1D4D3A48"/>
    <w:rsid w:val="1D4D4BCA"/>
    <w:rsid w:val="1D4D5CD3"/>
    <w:rsid w:val="1D4D69B7"/>
    <w:rsid w:val="1D4D7F40"/>
    <w:rsid w:val="1D4E37F9"/>
    <w:rsid w:val="1D4E496C"/>
    <w:rsid w:val="1D4E55A7"/>
    <w:rsid w:val="1D4F1A4B"/>
    <w:rsid w:val="1D5006E2"/>
    <w:rsid w:val="1D50131F"/>
    <w:rsid w:val="1D507571"/>
    <w:rsid w:val="1D51180E"/>
    <w:rsid w:val="1D512FC9"/>
    <w:rsid w:val="1D51468C"/>
    <w:rsid w:val="1D5150BC"/>
    <w:rsid w:val="1D5159CD"/>
    <w:rsid w:val="1D51673F"/>
    <w:rsid w:val="1D5178C8"/>
    <w:rsid w:val="1D523031"/>
    <w:rsid w:val="1D5232E9"/>
    <w:rsid w:val="1D526D63"/>
    <w:rsid w:val="1D531D19"/>
    <w:rsid w:val="1D532BBD"/>
    <w:rsid w:val="1D545C24"/>
    <w:rsid w:val="1D552FB7"/>
    <w:rsid w:val="1D553591"/>
    <w:rsid w:val="1D55493B"/>
    <w:rsid w:val="1D554B87"/>
    <w:rsid w:val="1D554CD2"/>
    <w:rsid w:val="1D556162"/>
    <w:rsid w:val="1D570900"/>
    <w:rsid w:val="1D5726AE"/>
    <w:rsid w:val="1D572F5F"/>
    <w:rsid w:val="1D57445C"/>
    <w:rsid w:val="1D575B20"/>
    <w:rsid w:val="1D5801D4"/>
    <w:rsid w:val="1D5807C7"/>
    <w:rsid w:val="1D594AE3"/>
    <w:rsid w:val="1D597DB2"/>
    <w:rsid w:val="1D5A219E"/>
    <w:rsid w:val="1D5A3F4C"/>
    <w:rsid w:val="1D5B46B4"/>
    <w:rsid w:val="1D5B7403"/>
    <w:rsid w:val="1D5C1A72"/>
    <w:rsid w:val="1D5C2CE1"/>
    <w:rsid w:val="1D5C3F0D"/>
    <w:rsid w:val="1D5C4948"/>
    <w:rsid w:val="1D5C678A"/>
    <w:rsid w:val="1D5C6F31"/>
    <w:rsid w:val="1D5D57EA"/>
    <w:rsid w:val="1D5E0F41"/>
    <w:rsid w:val="1D5E1C8E"/>
    <w:rsid w:val="1D5E364A"/>
    <w:rsid w:val="1D5F1D99"/>
    <w:rsid w:val="1D5F3957"/>
    <w:rsid w:val="1D5F6196"/>
    <w:rsid w:val="1D5F77B4"/>
    <w:rsid w:val="1D603275"/>
    <w:rsid w:val="1D61177E"/>
    <w:rsid w:val="1D6132A5"/>
    <w:rsid w:val="1D614705"/>
    <w:rsid w:val="1D622524"/>
    <w:rsid w:val="1D623CE6"/>
    <w:rsid w:val="1D633565"/>
    <w:rsid w:val="1D6368CB"/>
    <w:rsid w:val="1D640046"/>
    <w:rsid w:val="1D646CF8"/>
    <w:rsid w:val="1D65301C"/>
    <w:rsid w:val="1D655AFD"/>
    <w:rsid w:val="1D656883"/>
    <w:rsid w:val="1D660B43"/>
    <w:rsid w:val="1D6643BF"/>
    <w:rsid w:val="1D6713CB"/>
    <w:rsid w:val="1D671E67"/>
    <w:rsid w:val="1D6758EF"/>
    <w:rsid w:val="1D6800AF"/>
    <w:rsid w:val="1D682FCE"/>
    <w:rsid w:val="1D6848BB"/>
    <w:rsid w:val="1D684F0D"/>
    <w:rsid w:val="1D685CB5"/>
    <w:rsid w:val="1D687CDB"/>
    <w:rsid w:val="1D691882"/>
    <w:rsid w:val="1D69418F"/>
    <w:rsid w:val="1D6945D8"/>
    <w:rsid w:val="1D6950EF"/>
    <w:rsid w:val="1D697180"/>
    <w:rsid w:val="1D6A0633"/>
    <w:rsid w:val="1D6A0723"/>
    <w:rsid w:val="1D6A107B"/>
    <w:rsid w:val="1D6B43AB"/>
    <w:rsid w:val="1D6B7532"/>
    <w:rsid w:val="1D6B7F07"/>
    <w:rsid w:val="1D6C0388"/>
    <w:rsid w:val="1D6C19D4"/>
    <w:rsid w:val="1D6D1ED1"/>
    <w:rsid w:val="1D6D4311"/>
    <w:rsid w:val="1D6F3E9B"/>
    <w:rsid w:val="1D6F5B4D"/>
    <w:rsid w:val="1D6F5C49"/>
    <w:rsid w:val="1D701EDA"/>
    <w:rsid w:val="1D702D6A"/>
    <w:rsid w:val="1D70376F"/>
    <w:rsid w:val="1D70603C"/>
    <w:rsid w:val="1D706292"/>
    <w:rsid w:val="1D706691"/>
    <w:rsid w:val="1D7222B5"/>
    <w:rsid w:val="1D725739"/>
    <w:rsid w:val="1D726DCB"/>
    <w:rsid w:val="1D73011D"/>
    <w:rsid w:val="1D7312A3"/>
    <w:rsid w:val="1D7377B8"/>
    <w:rsid w:val="1D7414B2"/>
    <w:rsid w:val="1D743C34"/>
    <w:rsid w:val="1D74633E"/>
    <w:rsid w:val="1D750D86"/>
    <w:rsid w:val="1D752B34"/>
    <w:rsid w:val="1D753B25"/>
    <w:rsid w:val="1D754D15"/>
    <w:rsid w:val="1D756FD8"/>
    <w:rsid w:val="1D764FB6"/>
    <w:rsid w:val="1D76522A"/>
    <w:rsid w:val="1D77483C"/>
    <w:rsid w:val="1D7768AC"/>
    <w:rsid w:val="1D7773D1"/>
    <w:rsid w:val="1D786FCF"/>
    <w:rsid w:val="1D792624"/>
    <w:rsid w:val="1D7926C1"/>
    <w:rsid w:val="1D7940CD"/>
    <w:rsid w:val="1D796AC8"/>
    <w:rsid w:val="1D7A1153"/>
    <w:rsid w:val="1D7A639C"/>
    <w:rsid w:val="1D7A7C9C"/>
    <w:rsid w:val="1D7B1EA5"/>
    <w:rsid w:val="1D7B793B"/>
    <w:rsid w:val="1D7C2114"/>
    <w:rsid w:val="1D7C3EC2"/>
    <w:rsid w:val="1D7D20BC"/>
    <w:rsid w:val="1D7D7138"/>
    <w:rsid w:val="1D7E40DE"/>
    <w:rsid w:val="1D7E6968"/>
    <w:rsid w:val="1D7E73A5"/>
    <w:rsid w:val="1D7F13CF"/>
    <w:rsid w:val="1D7F17EA"/>
    <w:rsid w:val="1D7F1C04"/>
    <w:rsid w:val="1D803319"/>
    <w:rsid w:val="1D804F3C"/>
    <w:rsid w:val="1D807CA4"/>
    <w:rsid w:val="1D81597C"/>
    <w:rsid w:val="1D826E1D"/>
    <w:rsid w:val="1D833FD6"/>
    <w:rsid w:val="1D837D50"/>
    <w:rsid w:val="1D8423B0"/>
    <w:rsid w:val="1D842994"/>
    <w:rsid w:val="1D843F44"/>
    <w:rsid w:val="1D844FBF"/>
    <w:rsid w:val="1D8471AE"/>
    <w:rsid w:val="1D84721B"/>
    <w:rsid w:val="1D85546D"/>
    <w:rsid w:val="1D85779E"/>
    <w:rsid w:val="1D8611E5"/>
    <w:rsid w:val="1D861FDE"/>
    <w:rsid w:val="1D863B00"/>
    <w:rsid w:val="1D86733C"/>
    <w:rsid w:val="1D874CC9"/>
    <w:rsid w:val="1D87623D"/>
    <w:rsid w:val="1D880AB9"/>
    <w:rsid w:val="1D88562B"/>
    <w:rsid w:val="1D886D0B"/>
    <w:rsid w:val="1D887DB3"/>
    <w:rsid w:val="1D890D99"/>
    <w:rsid w:val="1D8951D4"/>
    <w:rsid w:val="1D8A0486"/>
    <w:rsid w:val="1D8A24FF"/>
    <w:rsid w:val="1D8A5EA2"/>
    <w:rsid w:val="1D8A64E2"/>
    <w:rsid w:val="1D8B2357"/>
    <w:rsid w:val="1D8B4DA1"/>
    <w:rsid w:val="1D8C1861"/>
    <w:rsid w:val="1D8C664E"/>
    <w:rsid w:val="1D8C7807"/>
    <w:rsid w:val="1D8D2292"/>
    <w:rsid w:val="1D8D2573"/>
    <w:rsid w:val="1D8D2D14"/>
    <w:rsid w:val="1D8E56D5"/>
    <w:rsid w:val="1D8F0099"/>
    <w:rsid w:val="1D8F1E47"/>
    <w:rsid w:val="1D8F3D10"/>
    <w:rsid w:val="1D8F64BD"/>
    <w:rsid w:val="1D902354"/>
    <w:rsid w:val="1D903B1C"/>
    <w:rsid w:val="1D904A93"/>
    <w:rsid w:val="1D904DBD"/>
    <w:rsid w:val="1D90796E"/>
    <w:rsid w:val="1D9146CB"/>
    <w:rsid w:val="1D917D8C"/>
    <w:rsid w:val="1D9220A3"/>
    <w:rsid w:val="1D923073"/>
    <w:rsid w:val="1D9236E6"/>
    <w:rsid w:val="1D930B0E"/>
    <w:rsid w:val="1D932D6E"/>
    <w:rsid w:val="1D945988"/>
    <w:rsid w:val="1D954F84"/>
    <w:rsid w:val="1D95788F"/>
    <w:rsid w:val="1D962FA8"/>
    <w:rsid w:val="1D964A85"/>
    <w:rsid w:val="1D971E99"/>
    <w:rsid w:val="1D983533"/>
    <w:rsid w:val="1D98582F"/>
    <w:rsid w:val="1D990F18"/>
    <w:rsid w:val="1D9A16EA"/>
    <w:rsid w:val="1D9A1EEE"/>
    <w:rsid w:val="1D9A6C42"/>
    <w:rsid w:val="1D9B6A3E"/>
    <w:rsid w:val="1D9C63A4"/>
    <w:rsid w:val="1D9D32A1"/>
    <w:rsid w:val="1D9D7070"/>
    <w:rsid w:val="1D9E02DC"/>
    <w:rsid w:val="1D9E19D0"/>
    <w:rsid w:val="1D9E208B"/>
    <w:rsid w:val="1D9F1E99"/>
    <w:rsid w:val="1D9F3834"/>
    <w:rsid w:val="1D9F616B"/>
    <w:rsid w:val="1DA022A7"/>
    <w:rsid w:val="1DA04055"/>
    <w:rsid w:val="1DA148A4"/>
    <w:rsid w:val="1DA1570C"/>
    <w:rsid w:val="1DA17DCD"/>
    <w:rsid w:val="1DA222B3"/>
    <w:rsid w:val="1DA23028"/>
    <w:rsid w:val="1DA33641"/>
    <w:rsid w:val="1DA4002F"/>
    <w:rsid w:val="1DA41B2E"/>
    <w:rsid w:val="1DA43419"/>
    <w:rsid w:val="1DA5166B"/>
    <w:rsid w:val="1DA52E4D"/>
    <w:rsid w:val="1DA6052E"/>
    <w:rsid w:val="1DA63635"/>
    <w:rsid w:val="1DA6627E"/>
    <w:rsid w:val="1DA67191"/>
    <w:rsid w:val="1DA75D06"/>
    <w:rsid w:val="1DA819EC"/>
    <w:rsid w:val="1DA82846"/>
    <w:rsid w:val="1DA82F09"/>
    <w:rsid w:val="1DA84CB7"/>
    <w:rsid w:val="1DA85754"/>
    <w:rsid w:val="1DA90A2F"/>
    <w:rsid w:val="1DA94B37"/>
    <w:rsid w:val="1DA96A6F"/>
    <w:rsid w:val="1DAA1327"/>
    <w:rsid w:val="1DAB2808"/>
    <w:rsid w:val="1DAB283C"/>
    <w:rsid w:val="1DAB47A7"/>
    <w:rsid w:val="1DAB4D3C"/>
    <w:rsid w:val="1DAB77B7"/>
    <w:rsid w:val="1DAB7F33"/>
    <w:rsid w:val="1DAC0C4B"/>
    <w:rsid w:val="1DAC581B"/>
    <w:rsid w:val="1DAC66AD"/>
    <w:rsid w:val="1DAD2CAB"/>
    <w:rsid w:val="1DAD49C3"/>
    <w:rsid w:val="1DAD6772"/>
    <w:rsid w:val="1DAE320C"/>
    <w:rsid w:val="1DAF2452"/>
    <w:rsid w:val="1DAF24EA"/>
    <w:rsid w:val="1DAF45F9"/>
    <w:rsid w:val="1DAF6046"/>
    <w:rsid w:val="1DB00002"/>
    <w:rsid w:val="1DB06ACF"/>
    <w:rsid w:val="1DB06D6D"/>
    <w:rsid w:val="1DB07C40"/>
    <w:rsid w:val="1DB1168D"/>
    <w:rsid w:val="1DB124D1"/>
    <w:rsid w:val="1DB22A46"/>
    <w:rsid w:val="1DB23D88"/>
    <w:rsid w:val="1DB244E3"/>
    <w:rsid w:val="1DB34226"/>
    <w:rsid w:val="1DB4543D"/>
    <w:rsid w:val="1DB47B00"/>
    <w:rsid w:val="1DB55626"/>
    <w:rsid w:val="1DB605AC"/>
    <w:rsid w:val="1DB63878"/>
    <w:rsid w:val="1DB63F0D"/>
    <w:rsid w:val="1DB7139E"/>
    <w:rsid w:val="1DB775F0"/>
    <w:rsid w:val="1DB81C3A"/>
    <w:rsid w:val="1DB83DBE"/>
    <w:rsid w:val="1DB8700D"/>
    <w:rsid w:val="1DB92444"/>
    <w:rsid w:val="1DB93368"/>
    <w:rsid w:val="1DB95116"/>
    <w:rsid w:val="1DB96250"/>
    <w:rsid w:val="1DB96EC4"/>
    <w:rsid w:val="1DBA0B1F"/>
    <w:rsid w:val="1DBA24F8"/>
    <w:rsid w:val="1DBA26EF"/>
    <w:rsid w:val="1DBA2C3C"/>
    <w:rsid w:val="1DBA3E76"/>
    <w:rsid w:val="1DBA49EB"/>
    <w:rsid w:val="1DBA4A40"/>
    <w:rsid w:val="1DBB279E"/>
    <w:rsid w:val="1DBC10C3"/>
    <w:rsid w:val="1DBC67A0"/>
    <w:rsid w:val="1DBD7C30"/>
    <w:rsid w:val="1DBE10C0"/>
    <w:rsid w:val="1DBE44DB"/>
    <w:rsid w:val="1DBE5D48"/>
    <w:rsid w:val="1DBF46E8"/>
    <w:rsid w:val="1DBF493B"/>
    <w:rsid w:val="1DBF57F9"/>
    <w:rsid w:val="1DC06213"/>
    <w:rsid w:val="1DC12D91"/>
    <w:rsid w:val="1DC13FCB"/>
    <w:rsid w:val="1DC15D79"/>
    <w:rsid w:val="1DC32259"/>
    <w:rsid w:val="1DC332DD"/>
    <w:rsid w:val="1DC37BB2"/>
    <w:rsid w:val="1DC51D0D"/>
    <w:rsid w:val="1DC55869"/>
    <w:rsid w:val="1DC615E1"/>
    <w:rsid w:val="1DC67833"/>
    <w:rsid w:val="1DC74FF4"/>
    <w:rsid w:val="1DC863CF"/>
    <w:rsid w:val="1DC936E2"/>
    <w:rsid w:val="1DCA10D2"/>
    <w:rsid w:val="1DCA412E"/>
    <w:rsid w:val="1DCA52F7"/>
    <w:rsid w:val="1DCA7323"/>
    <w:rsid w:val="1DCB2234"/>
    <w:rsid w:val="1DCC0473"/>
    <w:rsid w:val="1DCC1FFE"/>
    <w:rsid w:val="1DCC2569"/>
    <w:rsid w:val="1DCC4043"/>
    <w:rsid w:val="1DCC4533"/>
    <w:rsid w:val="1DCC72F7"/>
    <w:rsid w:val="1DCC7928"/>
    <w:rsid w:val="1DCD02A0"/>
    <w:rsid w:val="1DCD0BC2"/>
    <w:rsid w:val="1DCD2970"/>
    <w:rsid w:val="1DCF1687"/>
    <w:rsid w:val="1DCF201B"/>
    <w:rsid w:val="1DCF493A"/>
    <w:rsid w:val="1DCF66E8"/>
    <w:rsid w:val="1DD0085C"/>
    <w:rsid w:val="1DD04C16"/>
    <w:rsid w:val="1DD106B2"/>
    <w:rsid w:val="1DD11374"/>
    <w:rsid w:val="1DD12460"/>
    <w:rsid w:val="1DD176BC"/>
    <w:rsid w:val="1DD21403"/>
    <w:rsid w:val="1DD23657"/>
    <w:rsid w:val="1DD25099"/>
    <w:rsid w:val="1DD27F86"/>
    <w:rsid w:val="1DD343A3"/>
    <w:rsid w:val="1DD34B1E"/>
    <w:rsid w:val="1DD34F82"/>
    <w:rsid w:val="1DD41F3C"/>
    <w:rsid w:val="1DD41F50"/>
    <w:rsid w:val="1DD43CFE"/>
    <w:rsid w:val="1DD45AAC"/>
    <w:rsid w:val="1DD50CF7"/>
    <w:rsid w:val="1DD563AA"/>
    <w:rsid w:val="1DD64B1F"/>
    <w:rsid w:val="1DD65CC8"/>
    <w:rsid w:val="1DD67347"/>
    <w:rsid w:val="1DD67B31"/>
    <w:rsid w:val="1DD71A40"/>
    <w:rsid w:val="1DD737EE"/>
    <w:rsid w:val="1DD75116"/>
    <w:rsid w:val="1DD75AD9"/>
    <w:rsid w:val="1DD92B8A"/>
    <w:rsid w:val="1DD942EA"/>
    <w:rsid w:val="1DD957B9"/>
    <w:rsid w:val="1DD97567"/>
    <w:rsid w:val="1DDA3171"/>
    <w:rsid w:val="1DDA5751"/>
    <w:rsid w:val="1DDA5FEB"/>
    <w:rsid w:val="1DDB36B3"/>
    <w:rsid w:val="1DDB508D"/>
    <w:rsid w:val="1DDB605C"/>
    <w:rsid w:val="1DDC0E05"/>
    <w:rsid w:val="1DDC0EF0"/>
    <w:rsid w:val="1DDC3559"/>
    <w:rsid w:val="1DDC7057"/>
    <w:rsid w:val="1DDD5774"/>
    <w:rsid w:val="1DDD721A"/>
    <w:rsid w:val="1DDE06AA"/>
    <w:rsid w:val="1DDE4B7D"/>
    <w:rsid w:val="1DDF327B"/>
    <w:rsid w:val="1DDF4451"/>
    <w:rsid w:val="1DDF7CA6"/>
    <w:rsid w:val="1DE008F5"/>
    <w:rsid w:val="1DE01651"/>
    <w:rsid w:val="1DE026A3"/>
    <w:rsid w:val="1DE02FCA"/>
    <w:rsid w:val="1DE07480"/>
    <w:rsid w:val="1DE10BC6"/>
    <w:rsid w:val="1DE1641B"/>
    <w:rsid w:val="1DE17F63"/>
    <w:rsid w:val="1DE207AB"/>
    <w:rsid w:val="1DE23EBF"/>
    <w:rsid w:val="1DE2466D"/>
    <w:rsid w:val="1DE2702B"/>
    <w:rsid w:val="1DE30791"/>
    <w:rsid w:val="1DE32193"/>
    <w:rsid w:val="1DE3280C"/>
    <w:rsid w:val="1DE33F41"/>
    <w:rsid w:val="1DE3706E"/>
    <w:rsid w:val="1DE42AF6"/>
    <w:rsid w:val="1DE43269"/>
    <w:rsid w:val="1DE50CF7"/>
    <w:rsid w:val="1DE53B7D"/>
    <w:rsid w:val="1DE56157"/>
    <w:rsid w:val="1DE57CF3"/>
    <w:rsid w:val="1DE63A32"/>
    <w:rsid w:val="1DE657E0"/>
    <w:rsid w:val="1DE65D97"/>
    <w:rsid w:val="1DE675CD"/>
    <w:rsid w:val="1DE71436"/>
    <w:rsid w:val="1DE801A3"/>
    <w:rsid w:val="1DE81558"/>
    <w:rsid w:val="1DE859FC"/>
    <w:rsid w:val="1DE877AA"/>
    <w:rsid w:val="1DE957BD"/>
    <w:rsid w:val="1DEA1774"/>
    <w:rsid w:val="1DEA4172"/>
    <w:rsid w:val="1DEA5721"/>
    <w:rsid w:val="1DEA7F90"/>
    <w:rsid w:val="1DEB1048"/>
    <w:rsid w:val="1DEB6E0B"/>
    <w:rsid w:val="1DEC26CB"/>
    <w:rsid w:val="1DEC3186"/>
    <w:rsid w:val="1DEC54EC"/>
    <w:rsid w:val="1DED0A78"/>
    <w:rsid w:val="1DED0EED"/>
    <w:rsid w:val="1DED0FD0"/>
    <w:rsid w:val="1DED29EB"/>
    <w:rsid w:val="1DED413E"/>
    <w:rsid w:val="1DED6B6E"/>
    <w:rsid w:val="1DEE2B54"/>
    <w:rsid w:val="1DEE7EB0"/>
    <w:rsid w:val="1DEF0B38"/>
    <w:rsid w:val="1DF034A2"/>
    <w:rsid w:val="1DF12B02"/>
    <w:rsid w:val="1DF148B0"/>
    <w:rsid w:val="1DF24184"/>
    <w:rsid w:val="1DF32B31"/>
    <w:rsid w:val="1DF3360C"/>
    <w:rsid w:val="1DF35130"/>
    <w:rsid w:val="1DF428D0"/>
    <w:rsid w:val="1DF42DFE"/>
    <w:rsid w:val="1DF443A0"/>
    <w:rsid w:val="1DF46C22"/>
    <w:rsid w:val="1DF47EFC"/>
    <w:rsid w:val="1DF57F41"/>
    <w:rsid w:val="1DF60118"/>
    <w:rsid w:val="1DF66C74"/>
    <w:rsid w:val="1DF75C3F"/>
    <w:rsid w:val="1DF81251"/>
    <w:rsid w:val="1DF82B3E"/>
    <w:rsid w:val="1DF85C28"/>
    <w:rsid w:val="1DF93765"/>
    <w:rsid w:val="1DF970BD"/>
    <w:rsid w:val="1DFA7E83"/>
    <w:rsid w:val="1DFB572F"/>
    <w:rsid w:val="1DFB69D8"/>
    <w:rsid w:val="1DFC00B5"/>
    <w:rsid w:val="1DFC27A3"/>
    <w:rsid w:val="1DFC3255"/>
    <w:rsid w:val="1DFC3830"/>
    <w:rsid w:val="1DFC5003"/>
    <w:rsid w:val="1DFD14A7"/>
    <w:rsid w:val="1DFD3589"/>
    <w:rsid w:val="1DFD506D"/>
    <w:rsid w:val="1DFD6804"/>
    <w:rsid w:val="1DFE0C9B"/>
    <w:rsid w:val="1DFE1E76"/>
    <w:rsid w:val="1DFE3B5C"/>
    <w:rsid w:val="1DFE6FCD"/>
    <w:rsid w:val="1DFF0A28"/>
    <w:rsid w:val="1DFF1124"/>
    <w:rsid w:val="1DFF7416"/>
    <w:rsid w:val="1E003D01"/>
    <w:rsid w:val="1E0068A1"/>
    <w:rsid w:val="1E01086B"/>
    <w:rsid w:val="1E011EFE"/>
    <w:rsid w:val="1E013A44"/>
    <w:rsid w:val="1E015A5E"/>
    <w:rsid w:val="1E016246"/>
    <w:rsid w:val="1E032835"/>
    <w:rsid w:val="1E0345E3"/>
    <w:rsid w:val="1E04324C"/>
    <w:rsid w:val="1E04636E"/>
    <w:rsid w:val="1E046E4D"/>
    <w:rsid w:val="1E05035C"/>
    <w:rsid w:val="1E05210A"/>
    <w:rsid w:val="1E05462A"/>
    <w:rsid w:val="1E0565AE"/>
    <w:rsid w:val="1E056BD5"/>
    <w:rsid w:val="1E057A6F"/>
    <w:rsid w:val="1E0647C5"/>
    <w:rsid w:val="1E0652D0"/>
    <w:rsid w:val="1E073016"/>
    <w:rsid w:val="1E074A41"/>
    <w:rsid w:val="1E0756AE"/>
    <w:rsid w:val="1E075E82"/>
    <w:rsid w:val="1E083917"/>
    <w:rsid w:val="1E0839A8"/>
    <w:rsid w:val="1E084B89"/>
    <w:rsid w:val="1E087AB6"/>
    <w:rsid w:val="1E087C14"/>
    <w:rsid w:val="1E087E4C"/>
    <w:rsid w:val="1E090D49"/>
    <w:rsid w:val="1E09287F"/>
    <w:rsid w:val="1E097A28"/>
    <w:rsid w:val="1E0A3BC4"/>
    <w:rsid w:val="1E0B10EA"/>
    <w:rsid w:val="1E0B33FB"/>
    <w:rsid w:val="1E0B3E66"/>
    <w:rsid w:val="1E0B45F4"/>
    <w:rsid w:val="1E0B5246"/>
    <w:rsid w:val="1E0C16EA"/>
    <w:rsid w:val="1E0C2885"/>
    <w:rsid w:val="1E0C49BE"/>
    <w:rsid w:val="1E0C5B33"/>
    <w:rsid w:val="1E0C793C"/>
    <w:rsid w:val="1E0C7FC9"/>
    <w:rsid w:val="1E0D743F"/>
    <w:rsid w:val="1E0E2B0F"/>
    <w:rsid w:val="1E0F11DA"/>
    <w:rsid w:val="1E0F2F88"/>
    <w:rsid w:val="1E0F4D36"/>
    <w:rsid w:val="1E100DC3"/>
    <w:rsid w:val="1E106E48"/>
    <w:rsid w:val="1E111A10"/>
    <w:rsid w:val="1E114F52"/>
    <w:rsid w:val="1E116D00"/>
    <w:rsid w:val="1E122143"/>
    <w:rsid w:val="1E122A78"/>
    <w:rsid w:val="1E1251AF"/>
    <w:rsid w:val="1E135B88"/>
    <w:rsid w:val="1E14053A"/>
    <w:rsid w:val="1E146FDE"/>
    <w:rsid w:val="1E16147F"/>
    <w:rsid w:val="1E162569"/>
    <w:rsid w:val="1E1660C5"/>
    <w:rsid w:val="1E167A40"/>
    <w:rsid w:val="1E171CE7"/>
    <w:rsid w:val="1E185311"/>
    <w:rsid w:val="1E1862E1"/>
    <w:rsid w:val="1E1923DB"/>
    <w:rsid w:val="1E19297F"/>
    <w:rsid w:val="1E19315B"/>
    <w:rsid w:val="1E193E07"/>
    <w:rsid w:val="1E197963"/>
    <w:rsid w:val="1E1B192D"/>
    <w:rsid w:val="1E1B36DB"/>
    <w:rsid w:val="1E1B7B7F"/>
    <w:rsid w:val="1E1C7453"/>
    <w:rsid w:val="1E1D38F7"/>
    <w:rsid w:val="1E1D4912"/>
    <w:rsid w:val="1E1E141D"/>
    <w:rsid w:val="1E1E6BD4"/>
    <w:rsid w:val="1E2030CD"/>
    <w:rsid w:val="1E203378"/>
    <w:rsid w:val="1E20679B"/>
    <w:rsid w:val="1E214557"/>
    <w:rsid w:val="1E2162F9"/>
    <w:rsid w:val="1E217CEA"/>
    <w:rsid w:val="1E22594E"/>
    <w:rsid w:val="1E2307E2"/>
    <w:rsid w:val="1E230866"/>
    <w:rsid w:val="1E23366E"/>
    <w:rsid w:val="1E234C86"/>
    <w:rsid w:val="1E236A34"/>
    <w:rsid w:val="1E2504BC"/>
    <w:rsid w:val="1E2527AC"/>
    <w:rsid w:val="1E256308"/>
    <w:rsid w:val="1E2660A9"/>
    <w:rsid w:val="1E266EA0"/>
    <w:rsid w:val="1E267A75"/>
    <w:rsid w:val="1E2702D2"/>
    <w:rsid w:val="1E270B19"/>
    <w:rsid w:val="1E27575F"/>
    <w:rsid w:val="1E276524"/>
    <w:rsid w:val="1E28666F"/>
    <w:rsid w:val="1E286BEF"/>
    <w:rsid w:val="1E290094"/>
    <w:rsid w:val="1E29229C"/>
    <w:rsid w:val="1E293041"/>
    <w:rsid w:val="1E293BEA"/>
    <w:rsid w:val="1E2950A8"/>
    <w:rsid w:val="1E2A1B70"/>
    <w:rsid w:val="1E2A28EC"/>
    <w:rsid w:val="1E2A40E0"/>
    <w:rsid w:val="1E2A476E"/>
    <w:rsid w:val="1E2B48DF"/>
    <w:rsid w:val="1E2B5570"/>
    <w:rsid w:val="1E2C0141"/>
    <w:rsid w:val="1E2C1658"/>
    <w:rsid w:val="1E2C3B3A"/>
    <w:rsid w:val="1E2C4390"/>
    <w:rsid w:val="1E2C69EF"/>
    <w:rsid w:val="1E2D1660"/>
    <w:rsid w:val="1E2D4515"/>
    <w:rsid w:val="1E2D476D"/>
    <w:rsid w:val="1E2E2158"/>
    <w:rsid w:val="1E2E65A9"/>
    <w:rsid w:val="1E2E78B2"/>
    <w:rsid w:val="1E2F53D8"/>
    <w:rsid w:val="1E2F7187"/>
    <w:rsid w:val="1E302C66"/>
    <w:rsid w:val="1E304463"/>
    <w:rsid w:val="1E305155"/>
    <w:rsid w:val="1E30674D"/>
    <w:rsid w:val="1E306949"/>
    <w:rsid w:val="1E312EFF"/>
    <w:rsid w:val="1E31403C"/>
    <w:rsid w:val="1E315AF1"/>
    <w:rsid w:val="1E3173A3"/>
    <w:rsid w:val="1E320A25"/>
    <w:rsid w:val="1E324B5C"/>
    <w:rsid w:val="1E326C77"/>
    <w:rsid w:val="1E330808"/>
    <w:rsid w:val="1E340C41"/>
    <w:rsid w:val="1E3443C3"/>
    <w:rsid w:val="1E3450BD"/>
    <w:rsid w:val="1E350253"/>
    <w:rsid w:val="1E360515"/>
    <w:rsid w:val="1E365FB3"/>
    <w:rsid w:val="1E366086"/>
    <w:rsid w:val="1E367C9E"/>
    <w:rsid w:val="1E370B06"/>
    <w:rsid w:val="1E37428D"/>
    <w:rsid w:val="1E375461"/>
    <w:rsid w:val="1E380731"/>
    <w:rsid w:val="1E3824DF"/>
    <w:rsid w:val="1E386D1B"/>
    <w:rsid w:val="1E386D3D"/>
    <w:rsid w:val="1E391DB3"/>
    <w:rsid w:val="1E39597F"/>
    <w:rsid w:val="1E3A658A"/>
    <w:rsid w:val="1E3B1FCF"/>
    <w:rsid w:val="1E3B3D7D"/>
    <w:rsid w:val="1E3B4FF2"/>
    <w:rsid w:val="1E3B5B2B"/>
    <w:rsid w:val="1E3B6737"/>
    <w:rsid w:val="1E3B6FE1"/>
    <w:rsid w:val="1E3D23BC"/>
    <w:rsid w:val="1E3D7AF5"/>
    <w:rsid w:val="1E3E561C"/>
    <w:rsid w:val="1E3E68F9"/>
    <w:rsid w:val="1E3E73CA"/>
    <w:rsid w:val="1E3F0B27"/>
    <w:rsid w:val="1E3F4E76"/>
    <w:rsid w:val="1E3F65B7"/>
    <w:rsid w:val="1E4075E6"/>
    <w:rsid w:val="1E4127BB"/>
    <w:rsid w:val="1E412917"/>
    <w:rsid w:val="1E42510C"/>
    <w:rsid w:val="1E426EBA"/>
    <w:rsid w:val="1E42774E"/>
    <w:rsid w:val="1E430E84"/>
    <w:rsid w:val="1E4361E1"/>
    <w:rsid w:val="1E4363C8"/>
    <w:rsid w:val="1E44449D"/>
    <w:rsid w:val="1E44628E"/>
    <w:rsid w:val="1E450758"/>
    <w:rsid w:val="1E454BFC"/>
    <w:rsid w:val="1E4569AA"/>
    <w:rsid w:val="1E456D71"/>
    <w:rsid w:val="1E464CD0"/>
    <w:rsid w:val="1E46641D"/>
    <w:rsid w:val="1E470974"/>
    <w:rsid w:val="1E47263C"/>
    <w:rsid w:val="1E47675D"/>
    <w:rsid w:val="1E480DAA"/>
    <w:rsid w:val="1E485D91"/>
    <w:rsid w:val="1E4946EC"/>
    <w:rsid w:val="1E4A0464"/>
    <w:rsid w:val="1E4A12EB"/>
    <w:rsid w:val="1E4A5D6E"/>
    <w:rsid w:val="1E4A674A"/>
    <w:rsid w:val="1E4A6953"/>
    <w:rsid w:val="1E4A76D4"/>
    <w:rsid w:val="1E4C627E"/>
    <w:rsid w:val="1E4C7D38"/>
    <w:rsid w:val="1E4D204B"/>
    <w:rsid w:val="1E4D585F"/>
    <w:rsid w:val="1E4D747A"/>
    <w:rsid w:val="1E4E19BD"/>
    <w:rsid w:val="1E4E1D03"/>
    <w:rsid w:val="1E4E376C"/>
    <w:rsid w:val="1E4E3AB1"/>
    <w:rsid w:val="1E4E521C"/>
    <w:rsid w:val="1E4E67B2"/>
    <w:rsid w:val="1E4E70A8"/>
    <w:rsid w:val="1E4F217A"/>
    <w:rsid w:val="1E4F5417"/>
    <w:rsid w:val="1E4F5A7B"/>
    <w:rsid w:val="1E4F5B7B"/>
    <w:rsid w:val="1E51534F"/>
    <w:rsid w:val="1E5170FD"/>
    <w:rsid w:val="1E522E0D"/>
    <w:rsid w:val="1E524A2D"/>
    <w:rsid w:val="1E526564"/>
    <w:rsid w:val="1E537319"/>
    <w:rsid w:val="1E546BED"/>
    <w:rsid w:val="1E547096"/>
    <w:rsid w:val="1E54734D"/>
    <w:rsid w:val="1E56072B"/>
    <w:rsid w:val="1E560BB7"/>
    <w:rsid w:val="1E562965"/>
    <w:rsid w:val="1E566E09"/>
    <w:rsid w:val="1E567BD2"/>
    <w:rsid w:val="1E57048B"/>
    <w:rsid w:val="1E572FAE"/>
    <w:rsid w:val="1E573315"/>
    <w:rsid w:val="1E57604D"/>
    <w:rsid w:val="1E581723"/>
    <w:rsid w:val="1E58492F"/>
    <w:rsid w:val="1E5866DD"/>
    <w:rsid w:val="1E586C33"/>
    <w:rsid w:val="1E590BE7"/>
    <w:rsid w:val="1E5927A7"/>
    <w:rsid w:val="1E5A1293"/>
    <w:rsid w:val="1E5A1702"/>
    <w:rsid w:val="1E5A5FC8"/>
    <w:rsid w:val="1E5B441F"/>
    <w:rsid w:val="1E5B48A1"/>
    <w:rsid w:val="1E5B4960"/>
    <w:rsid w:val="1E5B5204"/>
    <w:rsid w:val="1E5B61CE"/>
    <w:rsid w:val="1E5C4551"/>
    <w:rsid w:val="1E5D1B3F"/>
    <w:rsid w:val="1E5D3B6B"/>
    <w:rsid w:val="1E5D4E9A"/>
    <w:rsid w:val="1E5E0599"/>
    <w:rsid w:val="1E5E1E02"/>
    <w:rsid w:val="1E5E2FCF"/>
    <w:rsid w:val="1E5E5050"/>
    <w:rsid w:val="1E5F445F"/>
    <w:rsid w:val="1E5F5CBE"/>
    <w:rsid w:val="1E5F5E96"/>
    <w:rsid w:val="1E601A36"/>
    <w:rsid w:val="1E6037E4"/>
    <w:rsid w:val="1E605592"/>
    <w:rsid w:val="1E6058EF"/>
    <w:rsid w:val="1E6104C0"/>
    <w:rsid w:val="1E6167B4"/>
    <w:rsid w:val="1E62318F"/>
    <w:rsid w:val="1E624F8E"/>
    <w:rsid w:val="1E635082"/>
    <w:rsid w:val="1E641526"/>
    <w:rsid w:val="1E641E2B"/>
    <w:rsid w:val="1E6502D1"/>
    <w:rsid w:val="1E650DFA"/>
    <w:rsid w:val="1E6517B1"/>
    <w:rsid w:val="1E655BBE"/>
    <w:rsid w:val="1E65704C"/>
    <w:rsid w:val="1E6615A9"/>
    <w:rsid w:val="1E672DC4"/>
    <w:rsid w:val="1E6757C2"/>
    <w:rsid w:val="1E676920"/>
    <w:rsid w:val="1E682698"/>
    <w:rsid w:val="1E696B3C"/>
    <w:rsid w:val="1E6A4663"/>
    <w:rsid w:val="1E6A4B1A"/>
    <w:rsid w:val="1E6B02B1"/>
    <w:rsid w:val="1E6B4B5A"/>
    <w:rsid w:val="1E6C0941"/>
    <w:rsid w:val="1E6C3F37"/>
    <w:rsid w:val="1E6D567C"/>
    <w:rsid w:val="1E6E4153"/>
    <w:rsid w:val="1E6E5400"/>
    <w:rsid w:val="1E6E5F01"/>
    <w:rsid w:val="1E6F3F54"/>
    <w:rsid w:val="1E707FA7"/>
    <w:rsid w:val="1E711139"/>
    <w:rsid w:val="1E71154D"/>
    <w:rsid w:val="1E711CB2"/>
    <w:rsid w:val="1E7159F1"/>
    <w:rsid w:val="1E71779F"/>
    <w:rsid w:val="1E721445"/>
    <w:rsid w:val="1E731769"/>
    <w:rsid w:val="1E734C4A"/>
    <w:rsid w:val="1E7352C5"/>
    <w:rsid w:val="1E74103D"/>
    <w:rsid w:val="1E7421DE"/>
    <w:rsid w:val="1E742AAA"/>
    <w:rsid w:val="1E7430A4"/>
    <w:rsid w:val="1E7440CE"/>
    <w:rsid w:val="1E7458AC"/>
    <w:rsid w:val="1E74604F"/>
    <w:rsid w:val="1E7554E1"/>
    <w:rsid w:val="1E756A19"/>
    <w:rsid w:val="1E757DC6"/>
    <w:rsid w:val="1E761259"/>
    <w:rsid w:val="1E763007"/>
    <w:rsid w:val="1E763BFC"/>
    <w:rsid w:val="1E7749BC"/>
    <w:rsid w:val="1E786D7F"/>
    <w:rsid w:val="1E7966D4"/>
    <w:rsid w:val="1E7A43DA"/>
    <w:rsid w:val="1E7A5E10"/>
    <w:rsid w:val="1E7C7851"/>
    <w:rsid w:val="1E7D1075"/>
    <w:rsid w:val="1E7D4396"/>
    <w:rsid w:val="1E7D79C5"/>
    <w:rsid w:val="1E7D7D6D"/>
    <w:rsid w:val="1E7E0E78"/>
    <w:rsid w:val="1E7E1948"/>
    <w:rsid w:val="1E7E1F44"/>
    <w:rsid w:val="1E7E22AB"/>
    <w:rsid w:val="1E7E2B16"/>
    <w:rsid w:val="1E7E3C6A"/>
    <w:rsid w:val="1E7F010E"/>
    <w:rsid w:val="1E7F4C67"/>
    <w:rsid w:val="1E801F9C"/>
    <w:rsid w:val="1E803E86"/>
    <w:rsid w:val="1E805C34"/>
    <w:rsid w:val="1E8068F9"/>
    <w:rsid w:val="1E8079E2"/>
    <w:rsid w:val="1E816369"/>
    <w:rsid w:val="1E8219AC"/>
    <w:rsid w:val="1E825D72"/>
    <w:rsid w:val="1E826933"/>
    <w:rsid w:val="1E830C01"/>
    <w:rsid w:val="1E831280"/>
    <w:rsid w:val="1E835366"/>
    <w:rsid w:val="1E8367F7"/>
    <w:rsid w:val="1E840A3C"/>
    <w:rsid w:val="1E8474D2"/>
    <w:rsid w:val="1E8512FD"/>
    <w:rsid w:val="1E85324A"/>
    <w:rsid w:val="1E8558BB"/>
    <w:rsid w:val="1E855AEA"/>
    <w:rsid w:val="1E8578BB"/>
    <w:rsid w:val="1E860B31"/>
    <w:rsid w:val="1E870EAF"/>
    <w:rsid w:val="1E8717F3"/>
    <w:rsid w:val="1E872CDC"/>
    <w:rsid w:val="1E876D42"/>
    <w:rsid w:val="1E876FC3"/>
    <w:rsid w:val="1E877AD1"/>
    <w:rsid w:val="1E88623C"/>
    <w:rsid w:val="1E890F8D"/>
    <w:rsid w:val="1E89227A"/>
    <w:rsid w:val="1E892D3B"/>
    <w:rsid w:val="1E894640"/>
    <w:rsid w:val="1E8A158E"/>
    <w:rsid w:val="1E8A260F"/>
    <w:rsid w:val="1E8A32F0"/>
    <w:rsid w:val="1E8A4F0A"/>
    <w:rsid w:val="1E8A6AB3"/>
    <w:rsid w:val="1E8A779D"/>
    <w:rsid w:val="1E8B12D8"/>
    <w:rsid w:val="1E8B1411"/>
    <w:rsid w:val="1E8B60C1"/>
    <w:rsid w:val="1E8B632B"/>
    <w:rsid w:val="1E8C282B"/>
    <w:rsid w:val="1E8D3FC1"/>
    <w:rsid w:val="1E8E0351"/>
    <w:rsid w:val="1E8E0B45"/>
    <w:rsid w:val="1E8E325B"/>
    <w:rsid w:val="1E8E4B87"/>
    <w:rsid w:val="1E8E65A3"/>
    <w:rsid w:val="1E8F1F8A"/>
    <w:rsid w:val="1E8F353E"/>
    <w:rsid w:val="1E8F5E77"/>
    <w:rsid w:val="1E8F661D"/>
    <w:rsid w:val="1E900239"/>
    <w:rsid w:val="1E902CFD"/>
    <w:rsid w:val="1E9109A5"/>
    <w:rsid w:val="1E913C15"/>
    <w:rsid w:val="1E915E5E"/>
    <w:rsid w:val="1E917E41"/>
    <w:rsid w:val="1E92303D"/>
    <w:rsid w:val="1E927D98"/>
    <w:rsid w:val="1E933BB9"/>
    <w:rsid w:val="1E936385"/>
    <w:rsid w:val="1E937715"/>
    <w:rsid w:val="1E94348E"/>
    <w:rsid w:val="1E9447DF"/>
    <w:rsid w:val="1E953EAA"/>
    <w:rsid w:val="1E95450A"/>
    <w:rsid w:val="1E954756"/>
    <w:rsid w:val="1E955C6F"/>
    <w:rsid w:val="1E957931"/>
    <w:rsid w:val="1E960FB4"/>
    <w:rsid w:val="1E9664E3"/>
    <w:rsid w:val="1E9671D5"/>
    <w:rsid w:val="1E9676DF"/>
    <w:rsid w:val="1E967FEE"/>
    <w:rsid w:val="1E9718F5"/>
    <w:rsid w:val="1E9811D0"/>
    <w:rsid w:val="1E9A0220"/>
    <w:rsid w:val="1E9A378C"/>
    <w:rsid w:val="1E9A4F48"/>
    <w:rsid w:val="1E9B0CC0"/>
    <w:rsid w:val="1E9B2A6E"/>
    <w:rsid w:val="1E9B2E83"/>
    <w:rsid w:val="1E9D2342"/>
    <w:rsid w:val="1E9E0462"/>
    <w:rsid w:val="1E9E11CF"/>
    <w:rsid w:val="1E9E60BA"/>
    <w:rsid w:val="1E9F0C26"/>
    <w:rsid w:val="1E9F55B3"/>
    <w:rsid w:val="1EA01228"/>
    <w:rsid w:val="1EA044C3"/>
    <w:rsid w:val="1EA05AAF"/>
    <w:rsid w:val="1EA10EDE"/>
    <w:rsid w:val="1EA2204E"/>
    <w:rsid w:val="1EA25BAA"/>
    <w:rsid w:val="1EA27958"/>
    <w:rsid w:val="1EA336D1"/>
    <w:rsid w:val="1EA35B1D"/>
    <w:rsid w:val="1EA35E34"/>
    <w:rsid w:val="1EA442D4"/>
    <w:rsid w:val="1EA45923"/>
    <w:rsid w:val="1EA47B9E"/>
    <w:rsid w:val="1EA52C82"/>
    <w:rsid w:val="1EA5569B"/>
    <w:rsid w:val="1EA56C09"/>
    <w:rsid w:val="1EA56C6A"/>
    <w:rsid w:val="1EA56D4C"/>
    <w:rsid w:val="1EA57B4B"/>
    <w:rsid w:val="1EA638ED"/>
    <w:rsid w:val="1EA64965"/>
    <w:rsid w:val="1EA71413"/>
    <w:rsid w:val="1EA731C1"/>
    <w:rsid w:val="1EA77173"/>
    <w:rsid w:val="1EA77665"/>
    <w:rsid w:val="1EA81DF2"/>
    <w:rsid w:val="1EA84017"/>
    <w:rsid w:val="1EA86119"/>
    <w:rsid w:val="1EA8656B"/>
    <w:rsid w:val="1EA94287"/>
    <w:rsid w:val="1EA95575"/>
    <w:rsid w:val="1EAA0A15"/>
    <w:rsid w:val="1EAA4A5F"/>
    <w:rsid w:val="1EAA7B96"/>
    <w:rsid w:val="1EAB0F03"/>
    <w:rsid w:val="1EAB15D6"/>
    <w:rsid w:val="1EAB258F"/>
    <w:rsid w:val="1EAC04C3"/>
    <w:rsid w:val="1EAC07D7"/>
    <w:rsid w:val="1EAC2A66"/>
    <w:rsid w:val="1EAC4C7B"/>
    <w:rsid w:val="1EAC6A29"/>
    <w:rsid w:val="1EAD1969"/>
    <w:rsid w:val="1EAE00DE"/>
    <w:rsid w:val="1EAE27A1"/>
    <w:rsid w:val="1EAE454F"/>
    <w:rsid w:val="1EAE7AE7"/>
    <w:rsid w:val="1EAE7F57"/>
    <w:rsid w:val="1EAF004C"/>
    <w:rsid w:val="1EAF233F"/>
    <w:rsid w:val="1EAF2557"/>
    <w:rsid w:val="1EAF32E5"/>
    <w:rsid w:val="1EB12291"/>
    <w:rsid w:val="1EB1373C"/>
    <w:rsid w:val="1EB17799"/>
    <w:rsid w:val="1EB24F08"/>
    <w:rsid w:val="1EB27D68"/>
    <w:rsid w:val="1EB311F8"/>
    <w:rsid w:val="1EB32B92"/>
    <w:rsid w:val="1EB33C0A"/>
    <w:rsid w:val="1EB34A6E"/>
    <w:rsid w:val="1EB3600A"/>
    <w:rsid w:val="1EB36627"/>
    <w:rsid w:val="1EB44C3A"/>
    <w:rsid w:val="1EB458DE"/>
    <w:rsid w:val="1EB45A4D"/>
    <w:rsid w:val="1EB4768C"/>
    <w:rsid w:val="1EB51D82"/>
    <w:rsid w:val="1EB53B30"/>
    <w:rsid w:val="1EB56555"/>
    <w:rsid w:val="1EB568C0"/>
    <w:rsid w:val="1EB61656"/>
    <w:rsid w:val="1EB61BB2"/>
    <w:rsid w:val="1EB65147"/>
    <w:rsid w:val="1EB659EE"/>
    <w:rsid w:val="1EB853CE"/>
    <w:rsid w:val="1EB9078D"/>
    <w:rsid w:val="1EB9506A"/>
    <w:rsid w:val="1EB96347"/>
    <w:rsid w:val="1EBA0569"/>
    <w:rsid w:val="1EBB4EBE"/>
    <w:rsid w:val="1EBB6772"/>
    <w:rsid w:val="1EBC3344"/>
    <w:rsid w:val="1EBD0C36"/>
    <w:rsid w:val="1EBD29E4"/>
    <w:rsid w:val="1EBD459D"/>
    <w:rsid w:val="1EBE54DD"/>
    <w:rsid w:val="1EBF050A"/>
    <w:rsid w:val="1EBF6202"/>
    <w:rsid w:val="1EBF675C"/>
    <w:rsid w:val="1EC0236C"/>
    <w:rsid w:val="1EC03BB7"/>
    <w:rsid w:val="1EC04283"/>
    <w:rsid w:val="1EC10F60"/>
    <w:rsid w:val="1EC11B21"/>
    <w:rsid w:val="1EC15808"/>
    <w:rsid w:val="1EC2011E"/>
    <w:rsid w:val="1EC21DA9"/>
    <w:rsid w:val="1EC24C8C"/>
    <w:rsid w:val="1EC2580E"/>
    <w:rsid w:val="1EC2785D"/>
    <w:rsid w:val="1EC4076B"/>
    <w:rsid w:val="1EC41FC5"/>
    <w:rsid w:val="1EC45B21"/>
    <w:rsid w:val="1EC60A42"/>
    <w:rsid w:val="1EC65D3D"/>
    <w:rsid w:val="1EC70B5D"/>
    <w:rsid w:val="1EC71AB5"/>
    <w:rsid w:val="1EC73863"/>
    <w:rsid w:val="1EC82232"/>
    <w:rsid w:val="1EC91389"/>
    <w:rsid w:val="1EC9257D"/>
    <w:rsid w:val="1EC94C84"/>
    <w:rsid w:val="1EC975DB"/>
    <w:rsid w:val="1EC9797A"/>
    <w:rsid w:val="1ECA29DE"/>
    <w:rsid w:val="1ECA6AF9"/>
    <w:rsid w:val="1ECA6EAF"/>
    <w:rsid w:val="1ECB2E05"/>
    <w:rsid w:val="1ECD34E0"/>
    <w:rsid w:val="1ECD4970"/>
    <w:rsid w:val="1ECF35D3"/>
    <w:rsid w:val="1ECF44C6"/>
    <w:rsid w:val="1ECF5222"/>
    <w:rsid w:val="1ED0096A"/>
    <w:rsid w:val="1ED16490"/>
    <w:rsid w:val="1ED2063C"/>
    <w:rsid w:val="1ED23537"/>
    <w:rsid w:val="1ED23E85"/>
    <w:rsid w:val="1ED25922"/>
    <w:rsid w:val="1ED33FB6"/>
    <w:rsid w:val="1ED41ADC"/>
    <w:rsid w:val="1ED41C72"/>
    <w:rsid w:val="1ED45A31"/>
    <w:rsid w:val="1ED50EF6"/>
    <w:rsid w:val="1ED526B1"/>
    <w:rsid w:val="1ED54A6D"/>
    <w:rsid w:val="1ED63AA6"/>
    <w:rsid w:val="1ED6433B"/>
    <w:rsid w:val="1ED712AC"/>
    <w:rsid w:val="1ED74AFA"/>
    <w:rsid w:val="1ED7641F"/>
    <w:rsid w:val="1ED76F10"/>
    <w:rsid w:val="1ED77163"/>
    <w:rsid w:val="1ED77B8A"/>
    <w:rsid w:val="1ED805F3"/>
    <w:rsid w:val="1ED82DCC"/>
    <w:rsid w:val="1ED85A70"/>
    <w:rsid w:val="1ED8781E"/>
    <w:rsid w:val="1ED90599"/>
    <w:rsid w:val="1ED979AD"/>
    <w:rsid w:val="1EDA6661"/>
    <w:rsid w:val="1EDB1CB7"/>
    <w:rsid w:val="1EDB51FA"/>
    <w:rsid w:val="1EDB5833"/>
    <w:rsid w:val="1EDC3211"/>
    <w:rsid w:val="1EDC36A6"/>
    <w:rsid w:val="1EDC403A"/>
    <w:rsid w:val="1EDC62DD"/>
    <w:rsid w:val="1EDD03A5"/>
    <w:rsid w:val="1EDD3086"/>
    <w:rsid w:val="1EDD4E34"/>
    <w:rsid w:val="1EDD6BE3"/>
    <w:rsid w:val="1EDE1F51"/>
    <w:rsid w:val="1EDE299A"/>
    <w:rsid w:val="1EDE2D24"/>
    <w:rsid w:val="1EDE6770"/>
    <w:rsid w:val="1EDF295B"/>
    <w:rsid w:val="1EDF41B4"/>
    <w:rsid w:val="1EE01FD6"/>
    <w:rsid w:val="1EE03162"/>
    <w:rsid w:val="1EE03439"/>
    <w:rsid w:val="1EE055DB"/>
    <w:rsid w:val="1EE05627"/>
    <w:rsid w:val="1EE066D3"/>
    <w:rsid w:val="1EE12B77"/>
    <w:rsid w:val="1EE2069D"/>
    <w:rsid w:val="1EE2244B"/>
    <w:rsid w:val="1EE26412"/>
    <w:rsid w:val="1EE2660B"/>
    <w:rsid w:val="1EE27045"/>
    <w:rsid w:val="1EE35706"/>
    <w:rsid w:val="1EE36C03"/>
    <w:rsid w:val="1EE4107F"/>
    <w:rsid w:val="1EE4349E"/>
    <w:rsid w:val="1EE44415"/>
    <w:rsid w:val="1EE47F71"/>
    <w:rsid w:val="1EE514B6"/>
    <w:rsid w:val="1EE53F7A"/>
    <w:rsid w:val="1EE6018D"/>
    <w:rsid w:val="1EE610FD"/>
    <w:rsid w:val="1EE61F3B"/>
    <w:rsid w:val="1EE64702"/>
    <w:rsid w:val="1EE65E08"/>
    <w:rsid w:val="1EE700E8"/>
    <w:rsid w:val="1EE7180F"/>
    <w:rsid w:val="1EE7254A"/>
    <w:rsid w:val="1EE73F05"/>
    <w:rsid w:val="1EE75B81"/>
    <w:rsid w:val="1EE75CB3"/>
    <w:rsid w:val="1EE830BB"/>
    <w:rsid w:val="1EE90857"/>
    <w:rsid w:val="1EE91A2B"/>
    <w:rsid w:val="1EEB3383"/>
    <w:rsid w:val="1EEC0F4D"/>
    <w:rsid w:val="1EEC5078"/>
    <w:rsid w:val="1EEE2B9E"/>
    <w:rsid w:val="1EEE4DCC"/>
    <w:rsid w:val="1EEF3CA9"/>
    <w:rsid w:val="1EEF4894"/>
    <w:rsid w:val="1EF01CAB"/>
    <w:rsid w:val="1EF02DBA"/>
    <w:rsid w:val="1EF04B68"/>
    <w:rsid w:val="1EF1268E"/>
    <w:rsid w:val="1EF15EF1"/>
    <w:rsid w:val="1EF1701D"/>
    <w:rsid w:val="1EF2138D"/>
    <w:rsid w:val="1EF351FB"/>
    <w:rsid w:val="1EF3668B"/>
    <w:rsid w:val="1EF47B1B"/>
    <w:rsid w:val="1EF5217E"/>
    <w:rsid w:val="1EF53F2C"/>
    <w:rsid w:val="1EF54DE2"/>
    <w:rsid w:val="1EF5763B"/>
    <w:rsid w:val="1EF6573A"/>
    <w:rsid w:val="1EF65EF6"/>
    <w:rsid w:val="1EF67D14"/>
    <w:rsid w:val="1EF74148"/>
    <w:rsid w:val="1EF83A1C"/>
    <w:rsid w:val="1EF93823"/>
    <w:rsid w:val="1EF962D9"/>
    <w:rsid w:val="1EF9792C"/>
    <w:rsid w:val="1EFA1CE8"/>
    <w:rsid w:val="1EFA3F74"/>
    <w:rsid w:val="1EFA7825"/>
    <w:rsid w:val="1EFB099A"/>
    <w:rsid w:val="1EFB350D"/>
    <w:rsid w:val="1EFB52BB"/>
    <w:rsid w:val="1EFC1441"/>
    <w:rsid w:val="1EFC175F"/>
    <w:rsid w:val="1EFC5204"/>
    <w:rsid w:val="1EFD1033"/>
    <w:rsid w:val="1EFD2328"/>
    <w:rsid w:val="1EFD609C"/>
    <w:rsid w:val="1EFD7285"/>
    <w:rsid w:val="1EFF2FFD"/>
    <w:rsid w:val="1EFF4DAB"/>
    <w:rsid w:val="1EFF5708"/>
    <w:rsid w:val="1EFF6848"/>
    <w:rsid w:val="1F0020BC"/>
    <w:rsid w:val="1F007353"/>
    <w:rsid w:val="1F010B23"/>
    <w:rsid w:val="1F010C8F"/>
    <w:rsid w:val="1F014CC6"/>
    <w:rsid w:val="1F022AED"/>
    <w:rsid w:val="1F02489B"/>
    <w:rsid w:val="1F026649"/>
    <w:rsid w:val="1F037907"/>
    <w:rsid w:val="1F040613"/>
    <w:rsid w:val="1F0423C1"/>
    <w:rsid w:val="1F046865"/>
    <w:rsid w:val="1F05003D"/>
    <w:rsid w:val="1F0625DD"/>
    <w:rsid w:val="1F0629FB"/>
    <w:rsid w:val="1F06438B"/>
    <w:rsid w:val="1F066139"/>
    <w:rsid w:val="1F067B74"/>
    <w:rsid w:val="1F070B67"/>
    <w:rsid w:val="1F071EB1"/>
    <w:rsid w:val="1F0720F7"/>
    <w:rsid w:val="1F073C5F"/>
    <w:rsid w:val="1F081417"/>
    <w:rsid w:val="1F095C2A"/>
    <w:rsid w:val="1F09720F"/>
    <w:rsid w:val="1F097421"/>
    <w:rsid w:val="1F0A08B1"/>
    <w:rsid w:val="1F0A2599"/>
    <w:rsid w:val="1F0B7256"/>
    <w:rsid w:val="1F0C20CC"/>
    <w:rsid w:val="1F0C322D"/>
    <w:rsid w:val="1F0D1E03"/>
    <w:rsid w:val="1F0D396C"/>
    <w:rsid w:val="1F0D3E1B"/>
    <w:rsid w:val="1F0D4502"/>
    <w:rsid w:val="1F0E1492"/>
    <w:rsid w:val="1F0E3240"/>
    <w:rsid w:val="1F0E4FEE"/>
    <w:rsid w:val="1F100D66"/>
    <w:rsid w:val="1F10520A"/>
    <w:rsid w:val="1F105E2D"/>
    <w:rsid w:val="1F114ADE"/>
    <w:rsid w:val="1F122D30"/>
    <w:rsid w:val="1F124910"/>
    <w:rsid w:val="1F125493"/>
    <w:rsid w:val="1F126501"/>
    <w:rsid w:val="1F1279FF"/>
    <w:rsid w:val="1F131EFA"/>
    <w:rsid w:val="1F132604"/>
    <w:rsid w:val="1F136AA8"/>
    <w:rsid w:val="1F144534"/>
    <w:rsid w:val="1F14460C"/>
    <w:rsid w:val="1F146188"/>
    <w:rsid w:val="1F150595"/>
    <w:rsid w:val="1F152820"/>
    <w:rsid w:val="1F1545CE"/>
    <w:rsid w:val="1F154762"/>
    <w:rsid w:val="1F1563B3"/>
    <w:rsid w:val="1F160813"/>
    <w:rsid w:val="1F160FB7"/>
    <w:rsid w:val="1F170346"/>
    <w:rsid w:val="1F175906"/>
    <w:rsid w:val="1F176598"/>
    <w:rsid w:val="1F176B6B"/>
    <w:rsid w:val="1F18105D"/>
    <w:rsid w:val="1F1840BF"/>
    <w:rsid w:val="1F18583A"/>
    <w:rsid w:val="1F187F9D"/>
    <w:rsid w:val="1F19038F"/>
    <w:rsid w:val="1F1A1BE5"/>
    <w:rsid w:val="1F1B26E3"/>
    <w:rsid w:val="1F1B2CC6"/>
    <w:rsid w:val="1F1B4407"/>
    <w:rsid w:val="1F1C3BAF"/>
    <w:rsid w:val="1F1C4DA5"/>
    <w:rsid w:val="1F1D10EC"/>
    <w:rsid w:val="1F1D3483"/>
    <w:rsid w:val="1F1D4603"/>
    <w:rsid w:val="1F1E6AC8"/>
    <w:rsid w:val="1F1F702C"/>
    <w:rsid w:val="1F1F71FB"/>
    <w:rsid w:val="1F200E52"/>
    <w:rsid w:val="1F2030DD"/>
    <w:rsid w:val="1F206FB1"/>
    <w:rsid w:val="1F2111C5"/>
    <w:rsid w:val="1F211C1E"/>
    <w:rsid w:val="1F212F73"/>
    <w:rsid w:val="1F2160E0"/>
    <w:rsid w:val="1F2170C9"/>
    <w:rsid w:val="1F226397"/>
    <w:rsid w:val="1F226CEB"/>
    <w:rsid w:val="1F234F3D"/>
    <w:rsid w:val="1F240CB5"/>
    <w:rsid w:val="1F2419A1"/>
    <w:rsid w:val="1F242A63"/>
    <w:rsid w:val="1F2446C8"/>
    <w:rsid w:val="1F244B90"/>
    <w:rsid w:val="1F2534F3"/>
    <w:rsid w:val="1F2562A9"/>
    <w:rsid w:val="1F26058A"/>
    <w:rsid w:val="1F262338"/>
    <w:rsid w:val="1F2667DB"/>
    <w:rsid w:val="1F273CC8"/>
    <w:rsid w:val="1F274302"/>
    <w:rsid w:val="1F2801AD"/>
    <w:rsid w:val="1F2835BA"/>
    <w:rsid w:val="1F284C6B"/>
    <w:rsid w:val="1F29007A"/>
    <w:rsid w:val="1F291E28"/>
    <w:rsid w:val="1F292C10"/>
    <w:rsid w:val="1F2962CC"/>
    <w:rsid w:val="1F296D77"/>
    <w:rsid w:val="1F2A1C1E"/>
    <w:rsid w:val="1F2A5125"/>
    <w:rsid w:val="1F2B1086"/>
    <w:rsid w:val="1F2B1096"/>
    <w:rsid w:val="1F2B3DF2"/>
    <w:rsid w:val="1F2B3EFC"/>
    <w:rsid w:val="1F2B5BA0"/>
    <w:rsid w:val="1F2B666B"/>
    <w:rsid w:val="1F2B7FF6"/>
    <w:rsid w:val="1F2C1918"/>
    <w:rsid w:val="1F2C3F22"/>
    <w:rsid w:val="1F2C5DD9"/>
    <w:rsid w:val="1F2D2A0E"/>
    <w:rsid w:val="1F2D681C"/>
    <w:rsid w:val="1F2D7B6A"/>
    <w:rsid w:val="1F2E5690"/>
    <w:rsid w:val="1F2F02C6"/>
    <w:rsid w:val="1F2F1C82"/>
    <w:rsid w:val="1F2F3BF4"/>
    <w:rsid w:val="1F301408"/>
    <w:rsid w:val="1F3025CC"/>
    <w:rsid w:val="1F3056CD"/>
    <w:rsid w:val="1F314CE2"/>
    <w:rsid w:val="1F31662D"/>
    <w:rsid w:val="1F3209DC"/>
    <w:rsid w:val="1F3211FE"/>
    <w:rsid w:val="1F3233D2"/>
    <w:rsid w:val="1F325180"/>
    <w:rsid w:val="1F327C3B"/>
    <w:rsid w:val="1F330341"/>
    <w:rsid w:val="1F330EF8"/>
    <w:rsid w:val="1F330F4D"/>
    <w:rsid w:val="1F333C41"/>
    <w:rsid w:val="1F337125"/>
    <w:rsid w:val="1F344FAE"/>
    <w:rsid w:val="1F3507CD"/>
    <w:rsid w:val="1F356A1F"/>
    <w:rsid w:val="1F357B7F"/>
    <w:rsid w:val="1F364BB7"/>
    <w:rsid w:val="1F372797"/>
    <w:rsid w:val="1F376F23"/>
    <w:rsid w:val="1F3802BD"/>
    <w:rsid w:val="1F380E7F"/>
    <w:rsid w:val="1F3816E3"/>
    <w:rsid w:val="1F386500"/>
    <w:rsid w:val="1F386FFD"/>
    <w:rsid w:val="1F394761"/>
    <w:rsid w:val="1F39499A"/>
    <w:rsid w:val="1F397990"/>
    <w:rsid w:val="1F3A3060"/>
    <w:rsid w:val="1F3A5164"/>
    <w:rsid w:val="1F3A55EB"/>
    <w:rsid w:val="1F3A669C"/>
    <w:rsid w:val="1F3B7729"/>
    <w:rsid w:val="1F3C1B5B"/>
    <w:rsid w:val="1F3C4E81"/>
    <w:rsid w:val="1F3D58D3"/>
    <w:rsid w:val="1F3E1D77"/>
    <w:rsid w:val="1F3F0B98"/>
    <w:rsid w:val="1F3F20C1"/>
    <w:rsid w:val="1F3F2AA7"/>
    <w:rsid w:val="1F3F5AEF"/>
    <w:rsid w:val="1F3F789D"/>
    <w:rsid w:val="1F403B0D"/>
    <w:rsid w:val="1F413615"/>
    <w:rsid w:val="1F4153C3"/>
    <w:rsid w:val="1F4211C0"/>
    <w:rsid w:val="1F4310FD"/>
    <w:rsid w:val="1F4379B3"/>
    <w:rsid w:val="1F441CDA"/>
    <w:rsid w:val="1F444EB4"/>
    <w:rsid w:val="1F445C6E"/>
    <w:rsid w:val="1F455F33"/>
    <w:rsid w:val="1F45754D"/>
    <w:rsid w:val="1F457A09"/>
    <w:rsid w:val="1F460376"/>
    <w:rsid w:val="1F470500"/>
    <w:rsid w:val="1F486AD9"/>
    <w:rsid w:val="1F49071C"/>
    <w:rsid w:val="1F4924CA"/>
    <w:rsid w:val="1F492BEB"/>
    <w:rsid w:val="1F4A0F65"/>
    <w:rsid w:val="1F4A4AD3"/>
    <w:rsid w:val="1F4A5D44"/>
    <w:rsid w:val="1F4B1523"/>
    <w:rsid w:val="1F4B1DA5"/>
    <w:rsid w:val="1F4B4494"/>
    <w:rsid w:val="1F4C5B16"/>
    <w:rsid w:val="1F4D1FBA"/>
    <w:rsid w:val="1F4E0726"/>
    <w:rsid w:val="1F4E188E"/>
    <w:rsid w:val="1F4F1797"/>
    <w:rsid w:val="1F4F1A7A"/>
    <w:rsid w:val="1F502D95"/>
    <w:rsid w:val="1F5056F1"/>
    <w:rsid w:val="1F510404"/>
    <w:rsid w:val="1F512E32"/>
    <w:rsid w:val="1F517F3C"/>
    <w:rsid w:val="1F520570"/>
    <w:rsid w:val="1F523BEB"/>
    <w:rsid w:val="1F5275D0"/>
    <w:rsid w:val="1F5321E4"/>
    <w:rsid w:val="1F5350F7"/>
    <w:rsid w:val="1F535879"/>
    <w:rsid w:val="1F546283"/>
    <w:rsid w:val="1F552779"/>
    <w:rsid w:val="1F553D69"/>
    <w:rsid w:val="1F555A28"/>
    <w:rsid w:val="1F5565FE"/>
    <w:rsid w:val="1F564C1F"/>
    <w:rsid w:val="1F572E39"/>
    <w:rsid w:val="1F574BE7"/>
    <w:rsid w:val="1F576995"/>
    <w:rsid w:val="1F5817D8"/>
    <w:rsid w:val="1F583DAF"/>
    <w:rsid w:val="1F5844BB"/>
    <w:rsid w:val="1F5943A9"/>
    <w:rsid w:val="1F5A46D7"/>
    <w:rsid w:val="1F5A5233"/>
    <w:rsid w:val="1F5A6485"/>
    <w:rsid w:val="1F5B189A"/>
    <w:rsid w:val="1F5C21FD"/>
    <w:rsid w:val="1F5C3959"/>
    <w:rsid w:val="1F5C51C2"/>
    <w:rsid w:val="1F5D28B6"/>
    <w:rsid w:val="1F5D53A5"/>
    <w:rsid w:val="1F5D7D23"/>
    <w:rsid w:val="1F5D7ED9"/>
    <w:rsid w:val="1F5E73A9"/>
    <w:rsid w:val="1F5F1CED"/>
    <w:rsid w:val="1F5F1D72"/>
    <w:rsid w:val="1F5F1E04"/>
    <w:rsid w:val="1F5F1EF7"/>
    <w:rsid w:val="1F5F44D0"/>
    <w:rsid w:val="1F5F5F93"/>
    <w:rsid w:val="1F6074F8"/>
    <w:rsid w:val="1F607F6A"/>
    <w:rsid w:val="1F615A66"/>
    <w:rsid w:val="1F61776F"/>
    <w:rsid w:val="1F62533A"/>
    <w:rsid w:val="1F63035D"/>
    <w:rsid w:val="1F6379FE"/>
    <w:rsid w:val="1F645556"/>
    <w:rsid w:val="1F6456B2"/>
    <w:rsid w:val="1F6501F2"/>
    <w:rsid w:val="1F6514E8"/>
    <w:rsid w:val="1F65294C"/>
    <w:rsid w:val="1F6605CA"/>
    <w:rsid w:val="1F664A44"/>
    <w:rsid w:val="1F6669AD"/>
    <w:rsid w:val="1F67061F"/>
    <w:rsid w:val="1F672DAF"/>
    <w:rsid w:val="1F677E3D"/>
    <w:rsid w:val="1F69491A"/>
    <w:rsid w:val="1F6949B7"/>
    <w:rsid w:val="1F6966C8"/>
    <w:rsid w:val="1F6A2267"/>
    <w:rsid w:val="1F6A372E"/>
    <w:rsid w:val="1F6A67BE"/>
    <w:rsid w:val="1F6B39D9"/>
    <w:rsid w:val="1F6C21DC"/>
    <w:rsid w:val="1F6C499D"/>
    <w:rsid w:val="1F6D440A"/>
    <w:rsid w:val="1F6D61B8"/>
    <w:rsid w:val="1F6D7EB8"/>
    <w:rsid w:val="1F6D7F66"/>
    <w:rsid w:val="1F6E6BD1"/>
    <w:rsid w:val="1F6E7EA0"/>
    <w:rsid w:val="1F6F0182"/>
    <w:rsid w:val="1F703746"/>
    <w:rsid w:val="1F703EFB"/>
    <w:rsid w:val="1F705CA9"/>
    <w:rsid w:val="1F707970"/>
    <w:rsid w:val="1F711D7F"/>
    <w:rsid w:val="1F712DC2"/>
    <w:rsid w:val="1F713AC0"/>
    <w:rsid w:val="1F721A21"/>
    <w:rsid w:val="1F722321"/>
    <w:rsid w:val="1F7245D7"/>
    <w:rsid w:val="1F724F50"/>
    <w:rsid w:val="1F7363E0"/>
    <w:rsid w:val="1F74414D"/>
    <w:rsid w:val="1F7507FB"/>
    <w:rsid w:val="1F7515EA"/>
    <w:rsid w:val="1F7532BF"/>
    <w:rsid w:val="1F760B9D"/>
    <w:rsid w:val="1F770DE5"/>
    <w:rsid w:val="1F775289"/>
    <w:rsid w:val="1F7761F1"/>
    <w:rsid w:val="1F7762D0"/>
    <w:rsid w:val="1F777130"/>
    <w:rsid w:val="1F777932"/>
    <w:rsid w:val="1F781499"/>
    <w:rsid w:val="1F786EE7"/>
    <w:rsid w:val="1F7A08D5"/>
    <w:rsid w:val="1F7A3CB3"/>
    <w:rsid w:val="1F7B4B72"/>
    <w:rsid w:val="1F7C464D"/>
    <w:rsid w:val="1F7C63FB"/>
    <w:rsid w:val="1F7D1F78"/>
    <w:rsid w:val="1F7D3F22"/>
    <w:rsid w:val="1F7E03C6"/>
    <w:rsid w:val="1F7E2174"/>
    <w:rsid w:val="1F7E2ADC"/>
    <w:rsid w:val="1F7E34F3"/>
    <w:rsid w:val="1F7E4C34"/>
    <w:rsid w:val="1F7F6C18"/>
    <w:rsid w:val="1F7F7C9A"/>
    <w:rsid w:val="1F800AB9"/>
    <w:rsid w:val="1F806099"/>
    <w:rsid w:val="1F811C64"/>
    <w:rsid w:val="1F817EB6"/>
    <w:rsid w:val="1F82379E"/>
    <w:rsid w:val="1F826828"/>
    <w:rsid w:val="1F833C2E"/>
    <w:rsid w:val="1F835CF5"/>
    <w:rsid w:val="1F83778A"/>
    <w:rsid w:val="1F841754"/>
    <w:rsid w:val="1F8452B0"/>
    <w:rsid w:val="1F846FD8"/>
    <w:rsid w:val="1F861028"/>
    <w:rsid w:val="1F8654CC"/>
    <w:rsid w:val="1F865547"/>
    <w:rsid w:val="1F866656"/>
    <w:rsid w:val="1F87465B"/>
    <w:rsid w:val="1F877427"/>
    <w:rsid w:val="1F882FF2"/>
    <w:rsid w:val="1F883238"/>
    <w:rsid w:val="1F884DA0"/>
    <w:rsid w:val="1F890B18"/>
    <w:rsid w:val="1F891D47"/>
    <w:rsid w:val="1F893859"/>
    <w:rsid w:val="1F89461B"/>
    <w:rsid w:val="1F896A4A"/>
    <w:rsid w:val="1F8A2241"/>
    <w:rsid w:val="1F8B1D63"/>
    <w:rsid w:val="1F8B2AE2"/>
    <w:rsid w:val="1F8B4667"/>
    <w:rsid w:val="1F8C0209"/>
    <w:rsid w:val="1F8C3691"/>
    <w:rsid w:val="1F8D0609"/>
    <w:rsid w:val="1F8D23B7"/>
    <w:rsid w:val="1F8D56F4"/>
    <w:rsid w:val="1F8E0EBD"/>
    <w:rsid w:val="1F8E5BB9"/>
    <w:rsid w:val="1F8F25D3"/>
    <w:rsid w:val="1F8F34D6"/>
    <w:rsid w:val="1F903714"/>
    <w:rsid w:val="1F903C55"/>
    <w:rsid w:val="1F905AFE"/>
    <w:rsid w:val="1F90634B"/>
    <w:rsid w:val="1F9065D5"/>
    <w:rsid w:val="1F922CB9"/>
    <w:rsid w:val="1F925C1F"/>
    <w:rsid w:val="1F927B6B"/>
    <w:rsid w:val="1F932DF6"/>
    <w:rsid w:val="1F941997"/>
    <w:rsid w:val="1F9460CE"/>
    <w:rsid w:val="1F950812"/>
    <w:rsid w:val="1F953832"/>
    <w:rsid w:val="1F9574BD"/>
    <w:rsid w:val="1F9579A8"/>
    <w:rsid w:val="1F966AD9"/>
    <w:rsid w:val="1F971487"/>
    <w:rsid w:val="1F974FE3"/>
    <w:rsid w:val="1F987162"/>
    <w:rsid w:val="1F991801"/>
    <w:rsid w:val="1F99183C"/>
    <w:rsid w:val="1F99651E"/>
    <w:rsid w:val="1F99698C"/>
    <w:rsid w:val="1F9A2D6F"/>
    <w:rsid w:val="1F9A73AA"/>
    <w:rsid w:val="1F9B0686"/>
    <w:rsid w:val="1F9C6A9E"/>
    <w:rsid w:val="1F9D6549"/>
    <w:rsid w:val="1F9D6F56"/>
    <w:rsid w:val="1F9D6FD9"/>
    <w:rsid w:val="1F9E2ADD"/>
    <w:rsid w:val="1F9E45C4"/>
    <w:rsid w:val="1F9F3C4B"/>
    <w:rsid w:val="1F9F3F6D"/>
    <w:rsid w:val="1F9F7A11"/>
    <w:rsid w:val="1FA023CA"/>
    <w:rsid w:val="1FA06825"/>
    <w:rsid w:val="1FA1145E"/>
    <w:rsid w:val="1FA12306"/>
    <w:rsid w:val="1FA140B4"/>
    <w:rsid w:val="1FA1632D"/>
    <w:rsid w:val="1FA2252F"/>
    <w:rsid w:val="1FA32BE8"/>
    <w:rsid w:val="1FA36BBF"/>
    <w:rsid w:val="1FA631AA"/>
    <w:rsid w:val="1FA6791C"/>
    <w:rsid w:val="1FA7254E"/>
    <w:rsid w:val="1FA77DFF"/>
    <w:rsid w:val="1FA80B40"/>
    <w:rsid w:val="1FA81635"/>
    <w:rsid w:val="1FA81665"/>
    <w:rsid w:val="1FA83694"/>
    <w:rsid w:val="1FA83722"/>
    <w:rsid w:val="1FAB15B6"/>
    <w:rsid w:val="1FAB4F33"/>
    <w:rsid w:val="1FAC33E4"/>
    <w:rsid w:val="1FAC53D6"/>
    <w:rsid w:val="1FAD0CAB"/>
    <w:rsid w:val="1FAD2A59"/>
    <w:rsid w:val="1FAF1A54"/>
    <w:rsid w:val="1FAF3818"/>
    <w:rsid w:val="1FAF3ACC"/>
    <w:rsid w:val="1FAF4A23"/>
    <w:rsid w:val="1FB001A8"/>
    <w:rsid w:val="1FB03E76"/>
    <w:rsid w:val="1FB042F7"/>
    <w:rsid w:val="1FB07190"/>
    <w:rsid w:val="1FB139AC"/>
    <w:rsid w:val="1FB14CCA"/>
    <w:rsid w:val="1FB16382"/>
    <w:rsid w:val="1FB1687F"/>
    <w:rsid w:val="1FB179C6"/>
    <w:rsid w:val="1FB2006F"/>
    <w:rsid w:val="1FB223E3"/>
    <w:rsid w:val="1FB232D7"/>
    <w:rsid w:val="1FB262C1"/>
    <w:rsid w:val="1FB34FB4"/>
    <w:rsid w:val="1FB35F68"/>
    <w:rsid w:val="1FB36C7F"/>
    <w:rsid w:val="1FB42039"/>
    <w:rsid w:val="1FB4550E"/>
    <w:rsid w:val="1FB45F02"/>
    <w:rsid w:val="1FB46AA4"/>
    <w:rsid w:val="1FB50D64"/>
    <w:rsid w:val="1FB5190D"/>
    <w:rsid w:val="1FB5412E"/>
    <w:rsid w:val="1FB5467F"/>
    <w:rsid w:val="1FB55268"/>
    <w:rsid w:val="1FB57B5F"/>
    <w:rsid w:val="1FB63935"/>
    <w:rsid w:val="1FB65DB1"/>
    <w:rsid w:val="1FB738D7"/>
    <w:rsid w:val="1FB76625"/>
    <w:rsid w:val="1FB9100C"/>
    <w:rsid w:val="1FB913FE"/>
    <w:rsid w:val="1FB93013"/>
    <w:rsid w:val="1FB94DE9"/>
    <w:rsid w:val="1FBA5176"/>
    <w:rsid w:val="1FBB41F8"/>
    <w:rsid w:val="1FBB5E2A"/>
    <w:rsid w:val="1FBC6CA8"/>
    <w:rsid w:val="1FBC7140"/>
    <w:rsid w:val="1FBD222D"/>
    <w:rsid w:val="1FBD74F6"/>
    <w:rsid w:val="1FBE07C2"/>
    <w:rsid w:val="1FBE0EA2"/>
    <w:rsid w:val="1FBE1CDA"/>
    <w:rsid w:val="1FBE5ABB"/>
    <w:rsid w:val="1FBE630D"/>
    <w:rsid w:val="1FBE6DAC"/>
    <w:rsid w:val="1FBF0AB8"/>
    <w:rsid w:val="1FBF1ABC"/>
    <w:rsid w:val="1FBF453A"/>
    <w:rsid w:val="1FC009DE"/>
    <w:rsid w:val="1FC02C5A"/>
    <w:rsid w:val="1FC11EA9"/>
    <w:rsid w:val="1FC131F6"/>
    <w:rsid w:val="1FC15FC2"/>
    <w:rsid w:val="1FC16504"/>
    <w:rsid w:val="1FC2709D"/>
    <w:rsid w:val="1FC30B43"/>
    <w:rsid w:val="1FC310F5"/>
    <w:rsid w:val="1FC3227C"/>
    <w:rsid w:val="1FC33104"/>
    <w:rsid w:val="1FC35DD8"/>
    <w:rsid w:val="1FC37245"/>
    <w:rsid w:val="1FC41B50"/>
    <w:rsid w:val="1FC43B21"/>
    <w:rsid w:val="1FC447F8"/>
    <w:rsid w:val="1FC44D9A"/>
    <w:rsid w:val="1FC4514A"/>
    <w:rsid w:val="1FC5460C"/>
    <w:rsid w:val="1FC55FF4"/>
    <w:rsid w:val="1FC56C02"/>
    <w:rsid w:val="1FC63B1B"/>
    <w:rsid w:val="1FC658C9"/>
    <w:rsid w:val="1FC67130"/>
    <w:rsid w:val="1FC81692"/>
    <w:rsid w:val="1FC84345"/>
    <w:rsid w:val="1FC85AE5"/>
    <w:rsid w:val="1FC9040F"/>
    <w:rsid w:val="1FC906EB"/>
    <w:rsid w:val="1FC91A5B"/>
    <w:rsid w:val="1FC93A5C"/>
    <w:rsid w:val="1FC971DA"/>
    <w:rsid w:val="1FCA323B"/>
    <w:rsid w:val="1FCA360B"/>
    <w:rsid w:val="1FCA4916"/>
    <w:rsid w:val="1FCA5A43"/>
    <w:rsid w:val="1FCB1AFA"/>
    <w:rsid w:val="1FCB49B6"/>
    <w:rsid w:val="1FCB7383"/>
    <w:rsid w:val="1FCC1B4B"/>
    <w:rsid w:val="1FCC5D6A"/>
    <w:rsid w:val="1FCC7ADD"/>
    <w:rsid w:val="1FCD0842"/>
    <w:rsid w:val="1FCD30FB"/>
    <w:rsid w:val="1FCD4EA9"/>
    <w:rsid w:val="1FCD6C57"/>
    <w:rsid w:val="1FCE078F"/>
    <w:rsid w:val="1FCF29CF"/>
    <w:rsid w:val="1FCF6E73"/>
    <w:rsid w:val="1FD004F5"/>
    <w:rsid w:val="1FD02D9A"/>
    <w:rsid w:val="1FD0596B"/>
    <w:rsid w:val="1FD05D91"/>
    <w:rsid w:val="1FD14BE2"/>
    <w:rsid w:val="1FD16DFB"/>
    <w:rsid w:val="1FD224BF"/>
    <w:rsid w:val="1FD27E93"/>
    <w:rsid w:val="1FD308B3"/>
    <w:rsid w:val="1FD3171B"/>
    <w:rsid w:val="1FD42832"/>
    <w:rsid w:val="1FD44489"/>
    <w:rsid w:val="1FD53473"/>
    <w:rsid w:val="1FD573AF"/>
    <w:rsid w:val="1FD6163B"/>
    <w:rsid w:val="1FD6186F"/>
    <w:rsid w:val="1FD7009C"/>
    <w:rsid w:val="1FD71884"/>
    <w:rsid w:val="1FD81096"/>
    <w:rsid w:val="1FD91AA0"/>
    <w:rsid w:val="1FD955FC"/>
    <w:rsid w:val="1FD96CCE"/>
    <w:rsid w:val="1FDA015E"/>
    <w:rsid w:val="1FDA1374"/>
    <w:rsid w:val="1FDB17ED"/>
    <w:rsid w:val="1FDB75C6"/>
    <w:rsid w:val="1FDC030D"/>
    <w:rsid w:val="1FDC333E"/>
    <w:rsid w:val="1FDC50EC"/>
    <w:rsid w:val="1FDC64B6"/>
    <w:rsid w:val="1FDD4838"/>
    <w:rsid w:val="1FDD5294"/>
    <w:rsid w:val="1FDD694B"/>
    <w:rsid w:val="1FDE359C"/>
    <w:rsid w:val="1FDE458D"/>
    <w:rsid w:val="1FDE7F5E"/>
    <w:rsid w:val="1FDF0D24"/>
    <w:rsid w:val="1FDF7F9B"/>
    <w:rsid w:val="1FE02579"/>
    <w:rsid w:val="1FE02E2E"/>
    <w:rsid w:val="1FE0375E"/>
    <w:rsid w:val="1FE06C87"/>
    <w:rsid w:val="1FE10954"/>
    <w:rsid w:val="1FE10CC3"/>
    <w:rsid w:val="1FE126E5"/>
    <w:rsid w:val="1FE25607"/>
    <w:rsid w:val="1FE31210"/>
    <w:rsid w:val="1FE3647B"/>
    <w:rsid w:val="1FE50158"/>
    <w:rsid w:val="1FE50445"/>
    <w:rsid w:val="1FE618BE"/>
    <w:rsid w:val="1FE65F6B"/>
    <w:rsid w:val="1FE665C2"/>
    <w:rsid w:val="1FE67D19"/>
    <w:rsid w:val="1FE67F31"/>
    <w:rsid w:val="1FE73E1F"/>
    <w:rsid w:val="1FE741BD"/>
    <w:rsid w:val="1FE7457E"/>
    <w:rsid w:val="1FE7539E"/>
    <w:rsid w:val="1FE77A03"/>
    <w:rsid w:val="1FE81CE3"/>
    <w:rsid w:val="1FE83A91"/>
    <w:rsid w:val="1FE8583F"/>
    <w:rsid w:val="1FE86C28"/>
    <w:rsid w:val="1FE94E8A"/>
    <w:rsid w:val="1FEA07EB"/>
    <w:rsid w:val="1FEA15B7"/>
    <w:rsid w:val="1FEA46F5"/>
    <w:rsid w:val="1FEA5A5B"/>
    <w:rsid w:val="1FEA6512"/>
    <w:rsid w:val="1FEB79A2"/>
    <w:rsid w:val="1FEC17D3"/>
    <w:rsid w:val="1FED72F9"/>
    <w:rsid w:val="1FEE048D"/>
    <w:rsid w:val="1FEE7A64"/>
    <w:rsid w:val="1FEE7E1C"/>
    <w:rsid w:val="1FEF3071"/>
    <w:rsid w:val="1FEF47C7"/>
    <w:rsid w:val="1FEF6BCD"/>
    <w:rsid w:val="1FF01789"/>
    <w:rsid w:val="1FF02384"/>
    <w:rsid w:val="1FF119C4"/>
    <w:rsid w:val="1FF12270"/>
    <w:rsid w:val="1FF13AB4"/>
    <w:rsid w:val="1FF1533F"/>
    <w:rsid w:val="1FF1600F"/>
    <w:rsid w:val="1FF16DE9"/>
    <w:rsid w:val="1FF22794"/>
    <w:rsid w:val="1FF22B62"/>
    <w:rsid w:val="1FF266BE"/>
    <w:rsid w:val="1FF269E9"/>
    <w:rsid w:val="1FF35F64"/>
    <w:rsid w:val="1FF3689D"/>
    <w:rsid w:val="1FF40688"/>
    <w:rsid w:val="1FF41699"/>
    <w:rsid w:val="1FF42436"/>
    <w:rsid w:val="1FF51F8F"/>
    <w:rsid w:val="1FF54C72"/>
    <w:rsid w:val="1FF56CB3"/>
    <w:rsid w:val="1FF56E68"/>
    <w:rsid w:val="1FF61C0D"/>
    <w:rsid w:val="1FF64400"/>
    <w:rsid w:val="1FF70178"/>
    <w:rsid w:val="1FF71F26"/>
    <w:rsid w:val="1FF7502E"/>
    <w:rsid w:val="1FF75123"/>
    <w:rsid w:val="1FF7664E"/>
    <w:rsid w:val="1FF80096"/>
    <w:rsid w:val="1FF93EF0"/>
    <w:rsid w:val="1FF95C9E"/>
    <w:rsid w:val="1FF97A4C"/>
    <w:rsid w:val="1FFA316D"/>
    <w:rsid w:val="1FFA46CE"/>
    <w:rsid w:val="1FFB7C68"/>
    <w:rsid w:val="1FFC3756"/>
    <w:rsid w:val="1FFC578E"/>
    <w:rsid w:val="1FFC696C"/>
    <w:rsid w:val="1FFD0343"/>
    <w:rsid w:val="1FFD6432"/>
    <w:rsid w:val="1FFD7BAE"/>
    <w:rsid w:val="1FFE2C96"/>
    <w:rsid w:val="1FFE3BBA"/>
    <w:rsid w:val="1FFE5062"/>
    <w:rsid w:val="1FFE7559"/>
    <w:rsid w:val="1FFF5A80"/>
    <w:rsid w:val="1FFF6D8A"/>
    <w:rsid w:val="1FFF7BF0"/>
    <w:rsid w:val="20000DDB"/>
    <w:rsid w:val="2000453B"/>
    <w:rsid w:val="2000527E"/>
    <w:rsid w:val="2000702C"/>
    <w:rsid w:val="20012DA5"/>
    <w:rsid w:val="20014B53"/>
    <w:rsid w:val="200159CF"/>
    <w:rsid w:val="20015EDA"/>
    <w:rsid w:val="200207B9"/>
    <w:rsid w:val="20025260"/>
    <w:rsid w:val="200308CB"/>
    <w:rsid w:val="20032E44"/>
    <w:rsid w:val="200334C8"/>
    <w:rsid w:val="20042508"/>
    <w:rsid w:val="20046ACE"/>
    <w:rsid w:val="20052498"/>
    <w:rsid w:val="200563F1"/>
    <w:rsid w:val="20056E08"/>
    <w:rsid w:val="200603BB"/>
    <w:rsid w:val="20061F7F"/>
    <w:rsid w:val="20062169"/>
    <w:rsid w:val="20064EC7"/>
    <w:rsid w:val="2006717B"/>
    <w:rsid w:val="20071859"/>
    <w:rsid w:val="20074CBE"/>
    <w:rsid w:val="20085EE1"/>
    <w:rsid w:val="20091827"/>
    <w:rsid w:val="2009466C"/>
    <w:rsid w:val="200A1C59"/>
    <w:rsid w:val="200A5AFC"/>
    <w:rsid w:val="200A614B"/>
    <w:rsid w:val="200B1B5D"/>
    <w:rsid w:val="200B777F"/>
    <w:rsid w:val="200C3C23"/>
    <w:rsid w:val="200C41CE"/>
    <w:rsid w:val="200C5F1E"/>
    <w:rsid w:val="200C6AA5"/>
    <w:rsid w:val="200C7108"/>
    <w:rsid w:val="200D4854"/>
    <w:rsid w:val="200F04DE"/>
    <w:rsid w:val="200F101E"/>
    <w:rsid w:val="200F41A6"/>
    <w:rsid w:val="201013CA"/>
    <w:rsid w:val="20104D96"/>
    <w:rsid w:val="20110CB2"/>
    <w:rsid w:val="20113546"/>
    <w:rsid w:val="201148E1"/>
    <w:rsid w:val="20116EAF"/>
    <w:rsid w:val="201209AE"/>
    <w:rsid w:val="2012261C"/>
    <w:rsid w:val="201237BF"/>
    <w:rsid w:val="2012495D"/>
    <w:rsid w:val="20126932"/>
    <w:rsid w:val="20130094"/>
    <w:rsid w:val="20133365"/>
    <w:rsid w:val="20140D2A"/>
    <w:rsid w:val="201441BB"/>
    <w:rsid w:val="20144886"/>
    <w:rsid w:val="20146634"/>
    <w:rsid w:val="201477F8"/>
    <w:rsid w:val="20155297"/>
    <w:rsid w:val="201605FE"/>
    <w:rsid w:val="201612E1"/>
    <w:rsid w:val="20166850"/>
    <w:rsid w:val="20170100"/>
    <w:rsid w:val="20170DC5"/>
    <w:rsid w:val="201725C8"/>
    <w:rsid w:val="201767DE"/>
    <w:rsid w:val="20185789"/>
    <w:rsid w:val="20187034"/>
    <w:rsid w:val="20191E9C"/>
    <w:rsid w:val="201924B3"/>
    <w:rsid w:val="20196340"/>
    <w:rsid w:val="201A54F1"/>
    <w:rsid w:val="201B060B"/>
    <w:rsid w:val="201B0F76"/>
    <w:rsid w:val="201B1B3C"/>
    <w:rsid w:val="201B28D7"/>
    <w:rsid w:val="201B3E66"/>
    <w:rsid w:val="201B5C14"/>
    <w:rsid w:val="201C198C"/>
    <w:rsid w:val="201C4CC4"/>
    <w:rsid w:val="201D018C"/>
    <w:rsid w:val="201D063C"/>
    <w:rsid w:val="201D2529"/>
    <w:rsid w:val="201D4D1C"/>
    <w:rsid w:val="201E2258"/>
    <w:rsid w:val="201E3957"/>
    <w:rsid w:val="201E74B3"/>
    <w:rsid w:val="201F596A"/>
    <w:rsid w:val="201F62E6"/>
    <w:rsid w:val="201F6D62"/>
    <w:rsid w:val="2020147D"/>
    <w:rsid w:val="20201BE6"/>
    <w:rsid w:val="2020322B"/>
    <w:rsid w:val="202034E4"/>
    <w:rsid w:val="20206F49"/>
    <w:rsid w:val="20207D22"/>
    <w:rsid w:val="20210D51"/>
    <w:rsid w:val="2021790A"/>
    <w:rsid w:val="20220C48"/>
    <w:rsid w:val="202251F5"/>
    <w:rsid w:val="20232D1B"/>
    <w:rsid w:val="20234AC9"/>
    <w:rsid w:val="2024037B"/>
    <w:rsid w:val="20241274"/>
    <w:rsid w:val="20241570"/>
    <w:rsid w:val="20252AFD"/>
    <w:rsid w:val="20254CE5"/>
    <w:rsid w:val="20256A93"/>
    <w:rsid w:val="202645B9"/>
    <w:rsid w:val="20265102"/>
    <w:rsid w:val="20266BC2"/>
    <w:rsid w:val="20277A00"/>
    <w:rsid w:val="20277BF5"/>
    <w:rsid w:val="20280331"/>
    <w:rsid w:val="20280798"/>
    <w:rsid w:val="20290F38"/>
    <w:rsid w:val="202A0901"/>
    <w:rsid w:val="202A40A9"/>
    <w:rsid w:val="202B1BD0"/>
    <w:rsid w:val="202C0E96"/>
    <w:rsid w:val="202C6C23"/>
    <w:rsid w:val="202C6F6E"/>
    <w:rsid w:val="202C7E22"/>
    <w:rsid w:val="202D1E43"/>
    <w:rsid w:val="202D5948"/>
    <w:rsid w:val="202D76F6"/>
    <w:rsid w:val="202E1F15"/>
    <w:rsid w:val="202E4EE0"/>
    <w:rsid w:val="202E4EF7"/>
    <w:rsid w:val="202F6387"/>
    <w:rsid w:val="2030109A"/>
    <w:rsid w:val="2030283D"/>
    <w:rsid w:val="2030652F"/>
    <w:rsid w:val="2031104E"/>
    <w:rsid w:val="20315438"/>
    <w:rsid w:val="203171E6"/>
    <w:rsid w:val="2031721D"/>
    <w:rsid w:val="20322137"/>
    <w:rsid w:val="20327004"/>
    <w:rsid w:val="20333841"/>
    <w:rsid w:val="20337402"/>
    <w:rsid w:val="2034408C"/>
    <w:rsid w:val="20346CD6"/>
    <w:rsid w:val="203506F4"/>
    <w:rsid w:val="20355D0E"/>
    <w:rsid w:val="20360CA0"/>
    <w:rsid w:val="2036506B"/>
    <w:rsid w:val="203675A1"/>
    <w:rsid w:val="20370539"/>
    <w:rsid w:val="203741D2"/>
    <w:rsid w:val="20384A18"/>
    <w:rsid w:val="20384F7D"/>
    <w:rsid w:val="20390B9D"/>
    <w:rsid w:val="203953C1"/>
    <w:rsid w:val="203A0E96"/>
    <w:rsid w:val="203A349A"/>
    <w:rsid w:val="203A4BB0"/>
    <w:rsid w:val="203B0065"/>
    <w:rsid w:val="203B1E13"/>
    <w:rsid w:val="203B62B7"/>
    <w:rsid w:val="203B7610"/>
    <w:rsid w:val="203C2883"/>
    <w:rsid w:val="203C2A71"/>
    <w:rsid w:val="203C3DDD"/>
    <w:rsid w:val="203C52EF"/>
    <w:rsid w:val="203C5789"/>
    <w:rsid w:val="203C66A6"/>
    <w:rsid w:val="203D1B42"/>
    <w:rsid w:val="203D1BBB"/>
    <w:rsid w:val="203D31A7"/>
    <w:rsid w:val="203D456C"/>
    <w:rsid w:val="203E1903"/>
    <w:rsid w:val="203E76A0"/>
    <w:rsid w:val="203E7B33"/>
    <w:rsid w:val="203F2061"/>
    <w:rsid w:val="20401B1F"/>
    <w:rsid w:val="204038CD"/>
    <w:rsid w:val="20405BCB"/>
    <w:rsid w:val="20407429"/>
    <w:rsid w:val="20411C85"/>
    <w:rsid w:val="20422F13"/>
    <w:rsid w:val="2042411F"/>
    <w:rsid w:val="204247FD"/>
    <w:rsid w:val="20427645"/>
    <w:rsid w:val="204431AA"/>
    <w:rsid w:val="20447548"/>
    <w:rsid w:val="20450EE3"/>
    <w:rsid w:val="20452C91"/>
    <w:rsid w:val="20457135"/>
    <w:rsid w:val="204607B7"/>
    <w:rsid w:val="204620FB"/>
    <w:rsid w:val="2046441B"/>
    <w:rsid w:val="204679CD"/>
    <w:rsid w:val="20474A01"/>
    <w:rsid w:val="20475E9C"/>
    <w:rsid w:val="20476A09"/>
    <w:rsid w:val="20480339"/>
    <w:rsid w:val="204840CC"/>
    <w:rsid w:val="20484530"/>
    <w:rsid w:val="20487A67"/>
    <w:rsid w:val="20487ABD"/>
    <w:rsid w:val="20490F2F"/>
    <w:rsid w:val="20491AFF"/>
    <w:rsid w:val="20494CD2"/>
    <w:rsid w:val="204A02A8"/>
    <w:rsid w:val="204A1CCE"/>
    <w:rsid w:val="204A21EF"/>
    <w:rsid w:val="204A7D65"/>
    <w:rsid w:val="204C04C4"/>
    <w:rsid w:val="204C14D6"/>
    <w:rsid w:val="204C2272"/>
    <w:rsid w:val="204C4020"/>
    <w:rsid w:val="204C6E14"/>
    <w:rsid w:val="204C7D55"/>
    <w:rsid w:val="204C7FA5"/>
    <w:rsid w:val="204D1A8C"/>
    <w:rsid w:val="204D1B46"/>
    <w:rsid w:val="204D5FEA"/>
    <w:rsid w:val="204D7367"/>
    <w:rsid w:val="204E15E1"/>
    <w:rsid w:val="204E1EBD"/>
    <w:rsid w:val="204E3D7D"/>
    <w:rsid w:val="204F3B10"/>
    <w:rsid w:val="204F4230"/>
    <w:rsid w:val="20501CCD"/>
    <w:rsid w:val="2050480F"/>
    <w:rsid w:val="20506E01"/>
    <w:rsid w:val="20507AC6"/>
    <w:rsid w:val="20510059"/>
    <w:rsid w:val="20511636"/>
    <w:rsid w:val="20514F88"/>
    <w:rsid w:val="20515ADA"/>
    <w:rsid w:val="20515FF4"/>
    <w:rsid w:val="20517888"/>
    <w:rsid w:val="2052068F"/>
    <w:rsid w:val="20523600"/>
    <w:rsid w:val="2052380D"/>
    <w:rsid w:val="205242F2"/>
    <w:rsid w:val="20531852"/>
    <w:rsid w:val="2053237A"/>
    <w:rsid w:val="20533B97"/>
    <w:rsid w:val="20535782"/>
    <w:rsid w:val="20541126"/>
    <w:rsid w:val="20544E21"/>
    <w:rsid w:val="2054554F"/>
    <w:rsid w:val="20546C12"/>
    <w:rsid w:val="20547BCC"/>
    <w:rsid w:val="20552401"/>
    <w:rsid w:val="20554DBD"/>
    <w:rsid w:val="20555FD1"/>
    <w:rsid w:val="205630F0"/>
    <w:rsid w:val="205634B0"/>
    <w:rsid w:val="205645BD"/>
    <w:rsid w:val="20564718"/>
    <w:rsid w:val="20564E9E"/>
    <w:rsid w:val="2056753A"/>
    <w:rsid w:val="20575593"/>
    <w:rsid w:val="20580C17"/>
    <w:rsid w:val="20586E69"/>
    <w:rsid w:val="205904EB"/>
    <w:rsid w:val="20592F93"/>
    <w:rsid w:val="2059422E"/>
    <w:rsid w:val="2059673D"/>
    <w:rsid w:val="20597DA6"/>
    <w:rsid w:val="205A01D9"/>
    <w:rsid w:val="205A0DA2"/>
    <w:rsid w:val="205A1343"/>
    <w:rsid w:val="205A1583"/>
    <w:rsid w:val="205A1E29"/>
    <w:rsid w:val="205B0FB8"/>
    <w:rsid w:val="205B24B5"/>
    <w:rsid w:val="205B27D3"/>
    <w:rsid w:val="205B4263"/>
    <w:rsid w:val="205C0E8A"/>
    <w:rsid w:val="205C22E1"/>
    <w:rsid w:val="205C6F44"/>
    <w:rsid w:val="205C7FDB"/>
    <w:rsid w:val="205D1ED7"/>
    <w:rsid w:val="205D24AF"/>
    <w:rsid w:val="205D33EC"/>
    <w:rsid w:val="205D364A"/>
    <w:rsid w:val="205D447F"/>
    <w:rsid w:val="205D4DC1"/>
    <w:rsid w:val="205D622D"/>
    <w:rsid w:val="205E1FA5"/>
    <w:rsid w:val="205E3D53"/>
    <w:rsid w:val="205E6DED"/>
    <w:rsid w:val="205F0E28"/>
    <w:rsid w:val="205F2E5C"/>
    <w:rsid w:val="205F2EEE"/>
    <w:rsid w:val="205F4DDA"/>
    <w:rsid w:val="20601879"/>
    <w:rsid w:val="20602450"/>
    <w:rsid w:val="20602E5A"/>
    <w:rsid w:val="20605D1D"/>
    <w:rsid w:val="20607ACB"/>
    <w:rsid w:val="20607EA0"/>
    <w:rsid w:val="2061413D"/>
    <w:rsid w:val="20620EE2"/>
    <w:rsid w:val="20627DAA"/>
    <w:rsid w:val="2063580D"/>
    <w:rsid w:val="20635C11"/>
    <w:rsid w:val="20636D33"/>
    <w:rsid w:val="2063739B"/>
    <w:rsid w:val="20637614"/>
    <w:rsid w:val="20637792"/>
    <w:rsid w:val="20650270"/>
    <w:rsid w:val="20650485"/>
    <w:rsid w:val="20651585"/>
    <w:rsid w:val="20652652"/>
    <w:rsid w:val="20653333"/>
    <w:rsid w:val="206550E2"/>
    <w:rsid w:val="20657133"/>
    <w:rsid w:val="2066447E"/>
    <w:rsid w:val="20670766"/>
    <w:rsid w:val="20670E5A"/>
    <w:rsid w:val="20671BE0"/>
    <w:rsid w:val="20672C61"/>
    <w:rsid w:val="20675141"/>
    <w:rsid w:val="20677837"/>
    <w:rsid w:val="206802DA"/>
    <w:rsid w:val="20684BD2"/>
    <w:rsid w:val="20686980"/>
    <w:rsid w:val="20691FCA"/>
    <w:rsid w:val="206967F2"/>
    <w:rsid w:val="206A094A"/>
    <w:rsid w:val="206A26F8"/>
    <w:rsid w:val="206B1EF8"/>
    <w:rsid w:val="206B3A09"/>
    <w:rsid w:val="206B4E99"/>
    <w:rsid w:val="206C021E"/>
    <w:rsid w:val="206C121D"/>
    <w:rsid w:val="206C3DE5"/>
    <w:rsid w:val="206C408B"/>
    <w:rsid w:val="206C46C2"/>
    <w:rsid w:val="206D3F96"/>
    <w:rsid w:val="206D452E"/>
    <w:rsid w:val="206D4E8F"/>
    <w:rsid w:val="206E05E3"/>
    <w:rsid w:val="206F058A"/>
    <w:rsid w:val="206F5F60"/>
    <w:rsid w:val="206F7D0E"/>
    <w:rsid w:val="20704FCC"/>
    <w:rsid w:val="20712604"/>
    <w:rsid w:val="20716881"/>
    <w:rsid w:val="20717F2A"/>
    <w:rsid w:val="2072219B"/>
    <w:rsid w:val="20723415"/>
    <w:rsid w:val="2072424B"/>
    <w:rsid w:val="20724DA3"/>
    <w:rsid w:val="207277FE"/>
    <w:rsid w:val="20735759"/>
    <w:rsid w:val="2074095B"/>
    <w:rsid w:val="207417C9"/>
    <w:rsid w:val="20743577"/>
    <w:rsid w:val="2075366A"/>
    <w:rsid w:val="20753F4B"/>
    <w:rsid w:val="20757B2D"/>
    <w:rsid w:val="207633E4"/>
    <w:rsid w:val="20763B8A"/>
    <w:rsid w:val="207672EF"/>
    <w:rsid w:val="20772662"/>
    <w:rsid w:val="207812B9"/>
    <w:rsid w:val="207812FE"/>
    <w:rsid w:val="2078418F"/>
    <w:rsid w:val="207848CC"/>
    <w:rsid w:val="20790B8D"/>
    <w:rsid w:val="20791BF6"/>
    <w:rsid w:val="2079264D"/>
    <w:rsid w:val="2079293B"/>
    <w:rsid w:val="20796DDF"/>
    <w:rsid w:val="207A271F"/>
    <w:rsid w:val="207A5ED6"/>
    <w:rsid w:val="207A62DC"/>
    <w:rsid w:val="207A7564"/>
    <w:rsid w:val="207B1BB0"/>
    <w:rsid w:val="207B4905"/>
    <w:rsid w:val="207B66B3"/>
    <w:rsid w:val="207B6FD9"/>
    <w:rsid w:val="207C452B"/>
    <w:rsid w:val="207C5BCE"/>
    <w:rsid w:val="207C5E1E"/>
    <w:rsid w:val="207D282B"/>
    <w:rsid w:val="207D68CF"/>
    <w:rsid w:val="207D72AE"/>
    <w:rsid w:val="207D75FE"/>
    <w:rsid w:val="207E43F5"/>
    <w:rsid w:val="207E61A3"/>
    <w:rsid w:val="207E7A89"/>
    <w:rsid w:val="207F2647"/>
    <w:rsid w:val="207F4FEB"/>
    <w:rsid w:val="2080016D"/>
    <w:rsid w:val="20801662"/>
    <w:rsid w:val="20801F1B"/>
    <w:rsid w:val="2080305E"/>
    <w:rsid w:val="2080704E"/>
    <w:rsid w:val="20815C2F"/>
    <w:rsid w:val="20820341"/>
    <w:rsid w:val="20822381"/>
    <w:rsid w:val="20823EE5"/>
    <w:rsid w:val="20825806"/>
    <w:rsid w:val="20825C93"/>
    <w:rsid w:val="20826F69"/>
    <w:rsid w:val="20830551"/>
    <w:rsid w:val="20831A0C"/>
    <w:rsid w:val="208400B9"/>
    <w:rsid w:val="208440A8"/>
    <w:rsid w:val="20847C5E"/>
    <w:rsid w:val="208512E0"/>
    <w:rsid w:val="208539D6"/>
    <w:rsid w:val="2086254D"/>
    <w:rsid w:val="20880DD0"/>
    <w:rsid w:val="20890483"/>
    <w:rsid w:val="2089061C"/>
    <w:rsid w:val="208909C1"/>
    <w:rsid w:val="20894729"/>
    <w:rsid w:val="20895851"/>
    <w:rsid w:val="208960F5"/>
    <w:rsid w:val="208A2D9A"/>
    <w:rsid w:val="208A37E2"/>
    <w:rsid w:val="208A3AF0"/>
    <w:rsid w:val="208A3FC9"/>
    <w:rsid w:val="208A42B8"/>
    <w:rsid w:val="208B0BAA"/>
    <w:rsid w:val="208C08C0"/>
    <w:rsid w:val="208C0EFF"/>
    <w:rsid w:val="208C266E"/>
    <w:rsid w:val="208D0F7E"/>
    <w:rsid w:val="208E28AB"/>
    <w:rsid w:val="208F215E"/>
    <w:rsid w:val="20901942"/>
    <w:rsid w:val="209122FD"/>
    <w:rsid w:val="20914128"/>
    <w:rsid w:val="20915724"/>
    <w:rsid w:val="209249D8"/>
    <w:rsid w:val="20925403"/>
    <w:rsid w:val="20927DA8"/>
    <w:rsid w:val="20932183"/>
    <w:rsid w:val="20932C15"/>
    <w:rsid w:val="2093407F"/>
    <w:rsid w:val="20937887"/>
    <w:rsid w:val="209440AA"/>
    <w:rsid w:val="20945561"/>
    <w:rsid w:val="20947775"/>
    <w:rsid w:val="20947DAF"/>
    <w:rsid w:val="20951A8F"/>
    <w:rsid w:val="209634ED"/>
    <w:rsid w:val="20963CB8"/>
    <w:rsid w:val="20967991"/>
    <w:rsid w:val="20980FAB"/>
    <w:rsid w:val="20981039"/>
    <w:rsid w:val="20983709"/>
    <w:rsid w:val="209854B7"/>
    <w:rsid w:val="20990887"/>
    <w:rsid w:val="2099122F"/>
    <w:rsid w:val="20992A79"/>
    <w:rsid w:val="20994503"/>
    <w:rsid w:val="209946C3"/>
    <w:rsid w:val="20994D8B"/>
    <w:rsid w:val="20996B07"/>
    <w:rsid w:val="20996FB4"/>
    <w:rsid w:val="209A090E"/>
    <w:rsid w:val="209B094F"/>
    <w:rsid w:val="209B4FA7"/>
    <w:rsid w:val="209B7606"/>
    <w:rsid w:val="209C0D97"/>
    <w:rsid w:val="209C2837"/>
    <w:rsid w:val="209D055F"/>
    <w:rsid w:val="209D14B7"/>
    <w:rsid w:val="209D2ACD"/>
    <w:rsid w:val="209D4A29"/>
    <w:rsid w:val="209D641A"/>
    <w:rsid w:val="209E05F3"/>
    <w:rsid w:val="209E0FCB"/>
    <w:rsid w:val="209E1AB3"/>
    <w:rsid w:val="209E2529"/>
    <w:rsid w:val="209F3E7A"/>
    <w:rsid w:val="209F6845"/>
    <w:rsid w:val="20A0245C"/>
    <w:rsid w:val="20A03A95"/>
    <w:rsid w:val="20A126CD"/>
    <w:rsid w:val="20A13FF5"/>
    <w:rsid w:val="20A166D4"/>
    <w:rsid w:val="20A200E4"/>
    <w:rsid w:val="20A21E92"/>
    <w:rsid w:val="20A24CF7"/>
    <w:rsid w:val="20A26336"/>
    <w:rsid w:val="20A309B0"/>
    <w:rsid w:val="20A30C25"/>
    <w:rsid w:val="20A44004"/>
    <w:rsid w:val="20A507D9"/>
    <w:rsid w:val="20A53730"/>
    <w:rsid w:val="20A568E6"/>
    <w:rsid w:val="20A57BD4"/>
    <w:rsid w:val="20A602EA"/>
    <w:rsid w:val="20A637C9"/>
    <w:rsid w:val="20A64348"/>
    <w:rsid w:val="20A64877"/>
    <w:rsid w:val="20A67094"/>
    <w:rsid w:val="20A71B49"/>
    <w:rsid w:val="20A756FA"/>
    <w:rsid w:val="20A76F0C"/>
    <w:rsid w:val="20A774A8"/>
    <w:rsid w:val="20A80DDA"/>
    <w:rsid w:val="20A81A1B"/>
    <w:rsid w:val="20A83220"/>
    <w:rsid w:val="20A85157"/>
    <w:rsid w:val="20A91472"/>
    <w:rsid w:val="20A951E7"/>
    <w:rsid w:val="20A976C4"/>
    <w:rsid w:val="20AA6F98"/>
    <w:rsid w:val="20AB0DA3"/>
    <w:rsid w:val="20AC6A7E"/>
    <w:rsid w:val="20AD0837"/>
    <w:rsid w:val="20AD412B"/>
    <w:rsid w:val="20AD4C4C"/>
    <w:rsid w:val="20AE4CDA"/>
    <w:rsid w:val="20AE5E6F"/>
    <w:rsid w:val="20AE60DC"/>
    <w:rsid w:val="20AE781D"/>
    <w:rsid w:val="20AF0142"/>
    <w:rsid w:val="20AF16D9"/>
    <w:rsid w:val="20AF2801"/>
    <w:rsid w:val="20B00A53"/>
    <w:rsid w:val="20B073BB"/>
    <w:rsid w:val="20B07FB6"/>
    <w:rsid w:val="20B1619E"/>
    <w:rsid w:val="20B17012"/>
    <w:rsid w:val="20B2762E"/>
    <w:rsid w:val="20B32C96"/>
    <w:rsid w:val="20B3409F"/>
    <w:rsid w:val="20B34AA7"/>
    <w:rsid w:val="20B3595C"/>
    <w:rsid w:val="20B35E4D"/>
    <w:rsid w:val="20B41BC5"/>
    <w:rsid w:val="20B44B02"/>
    <w:rsid w:val="20B475D9"/>
    <w:rsid w:val="20B47E17"/>
    <w:rsid w:val="20B50777"/>
    <w:rsid w:val="20B55C0F"/>
    <w:rsid w:val="20B56069"/>
    <w:rsid w:val="20B57B58"/>
    <w:rsid w:val="20B61DE1"/>
    <w:rsid w:val="20B62501"/>
    <w:rsid w:val="20B64159"/>
    <w:rsid w:val="20B646FB"/>
    <w:rsid w:val="20B65A27"/>
    <w:rsid w:val="20B6755A"/>
    <w:rsid w:val="20B708CF"/>
    <w:rsid w:val="20B816B5"/>
    <w:rsid w:val="20B81D5F"/>
    <w:rsid w:val="20B83463"/>
    <w:rsid w:val="20B83E3C"/>
    <w:rsid w:val="20B8425B"/>
    <w:rsid w:val="20B84EDD"/>
    <w:rsid w:val="20B9542D"/>
    <w:rsid w:val="20B971DB"/>
    <w:rsid w:val="20B97FD9"/>
    <w:rsid w:val="20BA2AE8"/>
    <w:rsid w:val="20BB11A5"/>
    <w:rsid w:val="20BB2F53"/>
    <w:rsid w:val="20BB7035"/>
    <w:rsid w:val="20BB73F7"/>
    <w:rsid w:val="20BC32B1"/>
    <w:rsid w:val="20BD316F"/>
    <w:rsid w:val="20BE0AC7"/>
    <w:rsid w:val="20BE2A44"/>
    <w:rsid w:val="20BE47F2"/>
    <w:rsid w:val="20BF0C96"/>
    <w:rsid w:val="20BF110E"/>
    <w:rsid w:val="20BF540A"/>
    <w:rsid w:val="20BF6076"/>
    <w:rsid w:val="20BF76FF"/>
    <w:rsid w:val="20C01C32"/>
    <w:rsid w:val="20C141D6"/>
    <w:rsid w:val="20C22534"/>
    <w:rsid w:val="20C305B3"/>
    <w:rsid w:val="20C337AE"/>
    <w:rsid w:val="20C438DB"/>
    <w:rsid w:val="20C444FE"/>
    <w:rsid w:val="20C52024"/>
    <w:rsid w:val="20C53424"/>
    <w:rsid w:val="20C53DD2"/>
    <w:rsid w:val="20C5553B"/>
    <w:rsid w:val="20C55B80"/>
    <w:rsid w:val="20C55CEA"/>
    <w:rsid w:val="20C64363"/>
    <w:rsid w:val="20C70FBF"/>
    <w:rsid w:val="20C757F3"/>
    <w:rsid w:val="20C77B4A"/>
    <w:rsid w:val="20C81C32"/>
    <w:rsid w:val="20C84B7B"/>
    <w:rsid w:val="20C91B14"/>
    <w:rsid w:val="20C938C2"/>
    <w:rsid w:val="20C97B52"/>
    <w:rsid w:val="20CA1365"/>
    <w:rsid w:val="20CA3197"/>
    <w:rsid w:val="20CA6FA5"/>
    <w:rsid w:val="20CA721E"/>
    <w:rsid w:val="20CA723A"/>
    <w:rsid w:val="20CA763A"/>
    <w:rsid w:val="20CB5604"/>
    <w:rsid w:val="20CB6693"/>
    <w:rsid w:val="20CB6F22"/>
    <w:rsid w:val="20CC33B3"/>
    <w:rsid w:val="20CC62D2"/>
    <w:rsid w:val="20CD04A5"/>
    <w:rsid w:val="20CD64B8"/>
    <w:rsid w:val="20CE3F85"/>
    <w:rsid w:val="20CE6D11"/>
    <w:rsid w:val="20CE712B"/>
    <w:rsid w:val="20CF1592"/>
    <w:rsid w:val="20CF2D5D"/>
    <w:rsid w:val="20CF69FF"/>
    <w:rsid w:val="20CF6B56"/>
    <w:rsid w:val="20D02EA3"/>
    <w:rsid w:val="20D12777"/>
    <w:rsid w:val="20D12E2D"/>
    <w:rsid w:val="20D14525"/>
    <w:rsid w:val="20D22906"/>
    <w:rsid w:val="20D3029D"/>
    <w:rsid w:val="20D34741"/>
    <w:rsid w:val="20D3486B"/>
    <w:rsid w:val="20D3568F"/>
    <w:rsid w:val="20D364EF"/>
    <w:rsid w:val="20D40D3D"/>
    <w:rsid w:val="20D41538"/>
    <w:rsid w:val="20D44015"/>
    <w:rsid w:val="20D45DBA"/>
    <w:rsid w:val="20D504B9"/>
    <w:rsid w:val="20D61B3B"/>
    <w:rsid w:val="20D67D8D"/>
    <w:rsid w:val="20D72F1D"/>
    <w:rsid w:val="20D74E08"/>
    <w:rsid w:val="20D77EB9"/>
    <w:rsid w:val="20D81349"/>
    <w:rsid w:val="20D81D57"/>
    <w:rsid w:val="20D858B3"/>
    <w:rsid w:val="20D86778"/>
    <w:rsid w:val="20DA4E1E"/>
    <w:rsid w:val="20DB2702"/>
    <w:rsid w:val="20DB35F6"/>
    <w:rsid w:val="20DB686C"/>
    <w:rsid w:val="20DC29E7"/>
    <w:rsid w:val="20DC2EC0"/>
    <w:rsid w:val="20DC5E15"/>
    <w:rsid w:val="20DC6589"/>
    <w:rsid w:val="20DC7F63"/>
    <w:rsid w:val="20DD111C"/>
    <w:rsid w:val="20DD115A"/>
    <w:rsid w:val="20DD5AF8"/>
    <w:rsid w:val="20DD7234"/>
    <w:rsid w:val="20DD736E"/>
    <w:rsid w:val="20DE3074"/>
    <w:rsid w:val="20DE37A6"/>
    <w:rsid w:val="20E007BD"/>
    <w:rsid w:val="20E029BA"/>
    <w:rsid w:val="20E05C6E"/>
    <w:rsid w:val="20E06E5E"/>
    <w:rsid w:val="20E10F6B"/>
    <w:rsid w:val="20E11235"/>
    <w:rsid w:val="20E119DF"/>
    <w:rsid w:val="20E16B40"/>
    <w:rsid w:val="20E22BD6"/>
    <w:rsid w:val="20E26732"/>
    <w:rsid w:val="20E274CA"/>
    <w:rsid w:val="20E27EA4"/>
    <w:rsid w:val="20E32222"/>
    <w:rsid w:val="20E32E40"/>
    <w:rsid w:val="20E34BC3"/>
    <w:rsid w:val="20E411AA"/>
    <w:rsid w:val="20E51D80"/>
    <w:rsid w:val="20E56222"/>
    <w:rsid w:val="20E60919"/>
    <w:rsid w:val="20E73D48"/>
    <w:rsid w:val="20E74192"/>
    <w:rsid w:val="20E74DDD"/>
    <w:rsid w:val="20E80CE2"/>
    <w:rsid w:val="20E82650"/>
    <w:rsid w:val="20E95D13"/>
    <w:rsid w:val="20E976FD"/>
    <w:rsid w:val="20E97AC1"/>
    <w:rsid w:val="20EA2A65"/>
    <w:rsid w:val="20EA3839"/>
    <w:rsid w:val="20EA55E7"/>
    <w:rsid w:val="20EA5EE4"/>
    <w:rsid w:val="20EA68E4"/>
    <w:rsid w:val="20EA713E"/>
    <w:rsid w:val="20EB2829"/>
    <w:rsid w:val="20EB4BEE"/>
    <w:rsid w:val="20EB574C"/>
    <w:rsid w:val="20EB6EAE"/>
    <w:rsid w:val="20EC1616"/>
    <w:rsid w:val="20EC22DE"/>
    <w:rsid w:val="20EC5803"/>
    <w:rsid w:val="20EC5ACC"/>
    <w:rsid w:val="20ED19C7"/>
    <w:rsid w:val="20ED1B43"/>
    <w:rsid w:val="20ED7EFF"/>
    <w:rsid w:val="20EE157B"/>
    <w:rsid w:val="20EF0E4F"/>
    <w:rsid w:val="20EF2BFD"/>
    <w:rsid w:val="20F055B7"/>
    <w:rsid w:val="20F06D17"/>
    <w:rsid w:val="20F12E19"/>
    <w:rsid w:val="20F14BC7"/>
    <w:rsid w:val="20F2115F"/>
    <w:rsid w:val="20F24AC1"/>
    <w:rsid w:val="20F326ED"/>
    <w:rsid w:val="20F33BFB"/>
    <w:rsid w:val="20F43A19"/>
    <w:rsid w:val="20F46465"/>
    <w:rsid w:val="20F54406"/>
    <w:rsid w:val="20F546B7"/>
    <w:rsid w:val="20F6042F"/>
    <w:rsid w:val="20F616B2"/>
    <w:rsid w:val="20F621DE"/>
    <w:rsid w:val="20F63442"/>
    <w:rsid w:val="20F748D2"/>
    <w:rsid w:val="20F823F0"/>
    <w:rsid w:val="20F841A8"/>
    <w:rsid w:val="20F876CC"/>
    <w:rsid w:val="20F90ADD"/>
    <w:rsid w:val="20FA116C"/>
    <w:rsid w:val="20FA3A7C"/>
    <w:rsid w:val="20FA7627"/>
    <w:rsid w:val="20FB4A47"/>
    <w:rsid w:val="20FB5A46"/>
    <w:rsid w:val="20FC0744"/>
    <w:rsid w:val="20FC69FD"/>
    <w:rsid w:val="20FD094E"/>
    <w:rsid w:val="20FD2C47"/>
    <w:rsid w:val="20FD356C"/>
    <w:rsid w:val="20FD531A"/>
    <w:rsid w:val="20FE0C1C"/>
    <w:rsid w:val="20FF1092"/>
    <w:rsid w:val="20FF5536"/>
    <w:rsid w:val="20FF72E4"/>
    <w:rsid w:val="2100305C"/>
    <w:rsid w:val="21007A18"/>
    <w:rsid w:val="21010555"/>
    <w:rsid w:val="21016E14"/>
    <w:rsid w:val="21022930"/>
    <w:rsid w:val="2102352F"/>
    <w:rsid w:val="21026DD4"/>
    <w:rsid w:val="21027031"/>
    <w:rsid w:val="21042B4C"/>
    <w:rsid w:val="210448FA"/>
    <w:rsid w:val="210466A8"/>
    <w:rsid w:val="21050673"/>
    <w:rsid w:val="21051455"/>
    <w:rsid w:val="21056DDA"/>
    <w:rsid w:val="21064A21"/>
    <w:rsid w:val="21066D51"/>
    <w:rsid w:val="21072BF9"/>
    <w:rsid w:val="210743EB"/>
    <w:rsid w:val="21076199"/>
    <w:rsid w:val="2107657B"/>
    <w:rsid w:val="21077565"/>
    <w:rsid w:val="210804F6"/>
    <w:rsid w:val="21080AD4"/>
    <w:rsid w:val="21090163"/>
    <w:rsid w:val="21090177"/>
    <w:rsid w:val="21093CBF"/>
    <w:rsid w:val="21094E58"/>
    <w:rsid w:val="210A1607"/>
    <w:rsid w:val="210B3EDB"/>
    <w:rsid w:val="210C1A01"/>
    <w:rsid w:val="210C371F"/>
    <w:rsid w:val="210C5668"/>
    <w:rsid w:val="210C6EE3"/>
    <w:rsid w:val="210C78BE"/>
    <w:rsid w:val="210D16C9"/>
    <w:rsid w:val="210E5779"/>
    <w:rsid w:val="210E70E0"/>
    <w:rsid w:val="210E7527"/>
    <w:rsid w:val="210F1F55"/>
    <w:rsid w:val="210F2C8F"/>
    <w:rsid w:val="210F3F89"/>
    <w:rsid w:val="210F504D"/>
    <w:rsid w:val="210F6F63"/>
    <w:rsid w:val="211014F1"/>
    <w:rsid w:val="21107582"/>
    <w:rsid w:val="21115269"/>
    <w:rsid w:val="21117017"/>
    <w:rsid w:val="21122BBE"/>
    <w:rsid w:val="21124EAE"/>
    <w:rsid w:val="21125DCE"/>
    <w:rsid w:val="21130FE1"/>
    <w:rsid w:val="21132D8F"/>
    <w:rsid w:val="21133DFA"/>
    <w:rsid w:val="21134B3E"/>
    <w:rsid w:val="21137A4A"/>
    <w:rsid w:val="211422E8"/>
    <w:rsid w:val="211431D7"/>
    <w:rsid w:val="21154D5A"/>
    <w:rsid w:val="21162880"/>
    <w:rsid w:val="21170CAE"/>
    <w:rsid w:val="21170D43"/>
    <w:rsid w:val="21180095"/>
    <w:rsid w:val="2118037E"/>
    <w:rsid w:val="2118076D"/>
    <w:rsid w:val="21180F60"/>
    <w:rsid w:val="21182154"/>
    <w:rsid w:val="21183C0B"/>
    <w:rsid w:val="21183C64"/>
    <w:rsid w:val="2118531C"/>
    <w:rsid w:val="2118585A"/>
    <w:rsid w:val="211865F8"/>
    <w:rsid w:val="21186EF7"/>
    <w:rsid w:val="21187826"/>
    <w:rsid w:val="21192572"/>
    <w:rsid w:val="211A62D4"/>
    <w:rsid w:val="211B62B4"/>
    <w:rsid w:val="211C2AD5"/>
    <w:rsid w:val="211C515D"/>
    <w:rsid w:val="211C60E8"/>
    <w:rsid w:val="211C6679"/>
    <w:rsid w:val="211C7E84"/>
    <w:rsid w:val="211D2CCE"/>
    <w:rsid w:val="211D2FA2"/>
    <w:rsid w:val="211D3C0E"/>
    <w:rsid w:val="211D4C01"/>
    <w:rsid w:val="211D6CC1"/>
    <w:rsid w:val="211D6F29"/>
    <w:rsid w:val="211E23D3"/>
    <w:rsid w:val="211E5DCE"/>
    <w:rsid w:val="211F1734"/>
    <w:rsid w:val="21205EB9"/>
    <w:rsid w:val="21207A5E"/>
    <w:rsid w:val="212136FE"/>
    <w:rsid w:val="21214847"/>
    <w:rsid w:val="21221B4A"/>
    <w:rsid w:val="21224D81"/>
    <w:rsid w:val="21230D1E"/>
    <w:rsid w:val="2123321B"/>
    <w:rsid w:val="21235149"/>
    <w:rsid w:val="2124157C"/>
    <w:rsid w:val="21246401"/>
    <w:rsid w:val="2126035D"/>
    <w:rsid w:val="21266726"/>
    <w:rsid w:val="21272270"/>
    <w:rsid w:val="2127363D"/>
    <w:rsid w:val="2127467F"/>
    <w:rsid w:val="2127683B"/>
    <w:rsid w:val="212810D7"/>
    <w:rsid w:val="21290029"/>
    <w:rsid w:val="212925B3"/>
    <w:rsid w:val="21294361"/>
    <w:rsid w:val="2129610F"/>
    <w:rsid w:val="212A3C0D"/>
    <w:rsid w:val="212A6A7B"/>
    <w:rsid w:val="212A7E4C"/>
    <w:rsid w:val="212B00D9"/>
    <w:rsid w:val="212B632B"/>
    <w:rsid w:val="212C3222"/>
    <w:rsid w:val="212C3E51"/>
    <w:rsid w:val="212C4C52"/>
    <w:rsid w:val="212D28F4"/>
    <w:rsid w:val="212D2AB8"/>
    <w:rsid w:val="212D4F3B"/>
    <w:rsid w:val="212D7038"/>
    <w:rsid w:val="212D7572"/>
    <w:rsid w:val="212E3725"/>
    <w:rsid w:val="212E5E1B"/>
    <w:rsid w:val="21303941"/>
    <w:rsid w:val="213056EF"/>
    <w:rsid w:val="21305AE2"/>
    <w:rsid w:val="2130749E"/>
    <w:rsid w:val="21313216"/>
    <w:rsid w:val="213136D4"/>
    <w:rsid w:val="21313FB2"/>
    <w:rsid w:val="213157A2"/>
    <w:rsid w:val="2132135A"/>
    <w:rsid w:val="2132633C"/>
    <w:rsid w:val="21327383"/>
    <w:rsid w:val="213274AB"/>
    <w:rsid w:val="213276BA"/>
    <w:rsid w:val="213315F2"/>
    <w:rsid w:val="213351E0"/>
    <w:rsid w:val="21335A88"/>
    <w:rsid w:val="2133779E"/>
    <w:rsid w:val="21340F55"/>
    <w:rsid w:val="21343328"/>
    <w:rsid w:val="21350851"/>
    <w:rsid w:val="21352D06"/>
    <w:rsid w:val="21353243"/>
    <w:rsid w:val="21354AB4"/>
    <w:rsid w:val="213571AA"/>
    <w:rsid w:val="2136082C"/>
    <w:rsid w:val="2136500C"/>
    <w:rsid w:val="21371494"/>
    <w:rsid w:val="213760C2"/>
    <w:rsid w:val="213762C4"/>
    <w:rsid w:val="21380A48"/>
    <w:rsid w:val="213827F6"/>
    <w:rsid w:val="213845A4"/>
    <w:rsid w:val="21385F34"/>
    <w:rsid w:val="21386DF3"/>
    <w:rsid w:val="21395B15"/>
    <w:rsid w:val="213A031C"/>
    <w:rsid w:val="213A747F"/>
    <w:rsid w:val="213B4094"/>
    <w:rsid w:val="213B74B1"/>
    <w:rsid w:val="213C22E6"/>
    <w:rsid w:val="213D1BBA"/>
    <w:rsid w:val="213D5465"/>
    <w:rsid w:val="213D764D"/>
    <w:rsid w:val="213E279A"/>
    <w:rsid w:val="213E7A82"/>
    <w:rsid w:val="213F5933"/>
    <w:rsid w:val="214037E5"/>
    <w:rsid w:val="21405039"/>
    <w:rsid w:val="2140670A"/>
    <w:rsid w:val="214142A7"/>
    <w:rsid w:val="2141536D"/>
    <w:rsid w:val="21415B4F"/>
    <w:rsid w:val="21417877"/>
    <w:rsid w:val="21425898"/>
    <w:rsid w:val="21426520"/>
    <w:rsid w:val="214271D1"/>
    <w:rsid w:val="21433B0C"/>
    <w:rsid w:val="2144119B"/>
    <w:rsid w:val="21447AE5"/>
    <w:rsid w:val="21464F13"/>
    <w:rsid w:val="21470119"/>
    <w:rsid w:val="21470C8B"/>
    <w:rsid w:val="21472CE9"/>
    <w:rsid w:val="214747E7"/>
    <w:rsid w:val="21477FCA"/>
    <w:rsid w:val="2149055F"/>
    <w:rsid w:val="21494A03"/>
    <w:rsid w:val="21495670"/>
    <w:rsid w:val="214B03E8"/>
    <w:rsid w:val="214B077B"/>
    <w:rsid w:val="214B2529"/>
    <w:rsid w:val="214B42D7"/>
    <w:rsid w:val="214C62A1"/>
    <w:rsid w:val="214D3C2D"/>
    <w:rsid w:val="214D4C03"/>
    <w:rsid w:val="214E117C"/>
    <w:rsid w:val="214E39D9"/>
    <w:rsid w:val="214F19B1"/>
    <w:rsid w:val="214F6F9D"/>
    <w:rsid w:val="21506DAC"/>
    <w:rsid w:val="21513D9B"/>
    <w:rsid w:val="21515666"/>
    <w:rsid w:val="2151654D"/>
    <w:rsid w:val="2152133A"/>
    <w:rsid w:val="21521B0A"/>
    <w:rsid w:val="215238B8"/>
    <w:rsid w:val="21534A92"/>
    <w:rsid w:val="21534B33"/>
    <w:rsid w:val="21534BB8"/>
    <w:rsid w:val="21535882"/>
    <w:rsid w:val="215373B5"/>
    <w:rsid w:val="21551108"/>
    <w:rsid w:val="21555156"/>
    <w:rsid w:val="21556F04"/>
    <w:rsid w:val="21562C7C"/>
    <w:rsid w:val="21562FAF"/>
    <w:rsid w:val="215674A9"/>
    <w:rsid w:val="2157060A"/>
    <w:rsid w:val="21570ECE"/>
    <w:rsid w:val="21571AD7"/>
    <w:rsid w:val="21577120"/>
    <w:rsid w:val="2158070A"/>
    <w:rsid w:val="215869F4"/>
    <w:rsid w:val="215950FE"/>
    <w:rsid w:val="2159718F"/>
    <w:rsid w:val="215A0430"/>
    <w:rsid w:val="215A2310"/>
    <w:rsid w:val="215A2592"/>
    <w:rsid w:val="215A3097"/>
    <w:rsid w:val="215A451A"/>
    <w:rsid w:val="215A475A"/>
    <w:rsid w:val="215A658E"/>
    <w:rsid w:val="215A6C10"/>
    <w:rsid w:val="215C1096"/>
    <w:rsid w:val="215C4E0D"/>
    <w:rsid w:val="215C7CDE"/>
    <w:rsid w:val="215D0D52"/>
    <w:rsid w:val="215D18EC"/>
    <w:rsid w:val="215D225D"/>
    <w:rsid w:val="215D400B"/>
    <w:rsid w:val="215D5774"/>
    <w:rsid w:val="215D72BB"/>
    <w:rsid w:val="215F0F70"/>
    <w:rsid w:val="215F4227"/>
    <w:rsid w:val="215F5FD5"/>
    <w:rsid w:val="21605D66"/>
    <w:rsid w:val="21613AFB"/>
    <w:rsid w:val="21616458"/>
    <w:rsid w:val="21617836"/>
    <w:rsid w:val="21617F9F"/>
    <w:rsid w:val="21621431"/>
    <w:rsid w:val="21621621"/>
    <w:rsid w:val="21624696"/>
    <w:rsid w:val="21627838"/>
    <w:rsid w:val="21627873"/>
    <w:rsid w:val="216278F1"/>
    <w:rsid w:val="21631505"/>
    <w:rsid w:val="21635AC5"/>
    <w:rsid w:val="21636259"/>
    <w:rsid w:val="216435EB"/>
    <w:rsid w:val="21655700"/>
    <w:rsid w:val="21655BB1"/>
    <w:rsid w:val="216600BB"/>
    <w:rsid w:val="21661111"/>
    <w:rsid w:val="216655B5"/>
    <w:rsid w:val="21675FC1"/>
    <w:rsid w:val="21676C37"/>
    <w:rsid w:val="21680B92"/>
    <w:rsid w:val="21680FDF"/>
    <w:rsid w:val="21692022"/>
    <w:rsid w:val="216929AF"/>
    <w:rsid w:val="216940ED"/>
    <w:rsid w:val="21696E53"/>
    <w:rsid w:val="216A323B"/>
    <w:rsid w:val="216B02BD"/>
    <w:rsid w:val="216B1CE4"/>
    <w:rsid w:val="216B551D"/>
    <w:rsid w:val="216C3C7F"/>
    <w:rsid w:val="216C556D"/>
    <w:rsid w:val="216C7F09"/>
    <w:rsid w:val="216D3574"/>
    <w:rsid w:val="216D4A04"/>
    <w:rsid w:val="216D7A19"/>
    <w:rsid w:val="216E446A"/>
    <w:rsid w:val="216E6218"/>
    <w:rsid w:val="216F2348"/>
    <w:rsid w:val="216F4B4A"/>
    <w:rsid w:val="21701F90"/>
    <w:rsid w:val="21706052"/>
    <w:rsid w:val="21713385"/>
    <w:rsid w:val="21713CFB"/>
    <w:rsid w:val="21715D40"/>
    <w:rsid w:val="21717B2E"/>
    <w:rsid w:val="21723F5A"/>
    <w:rsid w:val="21724024"/>
    <w:rsid w:val="21724815"/>
    <w:rsid w:val="21725D08"/>
    <w:rsid w:val="21727D80"/>
    <w:rsid w:val="21731A80"/>
    <w:rsid w:val="21732E92"/>
    <w:rsid w:val="217355DC"/>
    <w:rsid w:val="21735CA5"/>
    <w:rsid w:val="21736F40"/>
    <w:rsid w:val="21742705"/>
    <w:rsid w:val="2174620A"/>
    <w:rsid w:val="21747CD2"/>
    <w:rsid w:val="217505C5"/>
    <w:rsid w:val="217553E2"/>
    <w:rsid w:val="217575A6"/>
    <w:rsid w:val="2175763B"/>
    <w:rsid w:val="217605A2"/>
    <w:rsid w:val="21761FCB"/>
    <w:rsid w:val="21762D01"/>
    <w:rsid w:val="21767881"/>
    <w:rsid w:val="2177331E"/>
    <w:rsid w:val="21775AB6"/>
    <w:rsid w:val="21780E44"/>
    <w:rsid w:val="21783778"/>
    <w:rsid w:val="21787758"/>
    <w:rsid w:val="217952E8"/>
    <w:rsid w:val="217953A0"/>
    <w:rsid w:val="2179563C"/>
    <w:rsid w:val="217961A0"/>
    <w:rsid w:val="2179624A"/>
    <w:rsid w:val="217A2E0F"/>
    <w:rsid w:val="217A33F8"/>
    <w:rsid w:val="217B0E7A"/>
    <w:rsid w:val="217B16B2"/>
    <w:rsid w:val="217C0935"/>
    <w:rsid w:val="217D1928"/>
    <w:rsid w:val="217D3D7E"/>
    <w:rsid w:val="217D4371"/>
    <w:rsid w:val="217E28FF"/>
    <w:rsid w:val="217E4497"/>
    <w:rsid w:val="217F2120"/>
    <w:rsid w:val="217F21D3"/>
    <w:rsid w:val="217F30C7"/>
    <w:rsid w:val="218003A4"/>
    <w:rsid w:val="21811739"/>
    <w:rsid w:val="218125A1"/>
    <w:rsid w:val="2181419D"/>
    <w:rsid w:val="21817CF9"/>
    <w:rsid w:val="21821CC3"/>
    <w:rsid w:val="21822ADA"/>
    <w:rsid w:val="21823A71"/>
    <w:rsid w:val="21832B8D"/>
    <w:rsid w:val="218332CE"/>
    <w:rsid w:val="21833821"/>
    <w:rsid w:val="218400BA"/>
    <w:rsid w:val="218454ED"/>
    <w:rsid w:val="21850130"/>
    <w:rsid w:val="21863561"/>
    <w:rsid w:val="218705D8"/>
    <w:rsid w:val="21871088"/>
    <w:rsid w:val="2187228F"/>
    <w:rsid w:val="21877B70"/>
    <w:rsid w:val="218802D5"/>
    <w:rsid w:val="218826E5"/>
    <w:rsid w:val="21884874"/>
    <w:rsid w:val="2188552B"/>
    <w:rsid w:val="21886A3B"/>
    <w:rsid w:val="21892D14"/>
    <w:rsid w:val="2189381D"/>
    <w:rsid w:val="218A3A0E"/>
    <w:rsid w:val="218B62E9"/>
    <w:rsid w:val="218B6AFD"/>
    <w:rsid w:val="218C6BD3"/>
    <w:rsid w:val="218D2B42"/>
    <w:rsid w:val="218D4927"/>
    <w:rsid w:val="218E2416"/>
    <w:rsid w:val="218F339D"/>
    <w:rsid w:val="219043E0"/>
    <w:rsid w:val="2190618E"/>
    <w:rsid w:val="219062E0"/>
    <w:rsid w:val="21913937"/>
    <w:rsid w:val="2191623E"/>
    <w:rsid w:val="21925323"/>
    <w:rsid w:val="21932C04"/>
    <w:rsid w:val="21933ED0"/>
    <w:rsid w:val="21934EB6"/>
    <w:rsid w:val="2193671F"/>
    <w:rsid w:val="21945185"/>
    <w:rsid w:val="2194572D"/>
    <w:rsid w:val="2195103F"/>
    <w:rsid w:val="2195301A"/>
    <w:rsid w:val="219530A8"/>
    <w:rsid w:val="21957C48"/>
    <w:rsid w:val="219624CF"/>
    <w:rsid w:val="21962EE4"/>
    <w:rsid w:val="2197751D"/>
    <w:rsid w:val="21986850"/>
    <w:rsid w:val="219914E7"/>
    <w:rsid w:val="21992D5D"/>
    <w:rsid w:val="21994065"/>
    <w:rsid w:val="21996A45"/>
    <w:rsid w:val="219A525F"/>
    <w:rsid w:val="219A57D9"/>
    <w:rsid w:val="219A700D"/>
    <w:rsid w:val="219B527C"/>
    <w:rsid w:val="219C2D85"/>
    <w:rsid w:val="219D08AB"/>
    <w:rsid w:val="219D4853"/>
    <w:rsid w:val="219E0C7B"/>
    <w:rsid w:val="219E2A00"/>
    <w:rsid w:val="219E4D4F"/>
    <w:rsid w:val="219F0AC7"/>
    <w:rsid w:val="219F1CE3"/>
    <w:rsid w:val="219F426A"/>
    <w:rsid w:val="219F4623"/>
    <w:rsid w:val="219F63D1"/>
    <w:rsid w:val="21A0497B"/>
    <w:rsid w:val="21A1168B"/>
    <w:rsid w:val="21A12149"/>
    <w:rsid w:val="21A1249A"/>
    <w:rsid w:val="21A165ED"/>
    <w:rsid w:val="21A22604"/>
    <w:rsid w:val="21A22F19"/>
    <w:rsid w:val="21A25EC1"/>
    <w:rsid w:val="21A32365"/>
    <w:rsid w:val="21A47E8B"/>
    <w:rsid w:val="21A502FB"/>
    <w:rsid w:val="21A67760"/>
    <w:rsid w:val="21A7594B"/>
    <w:rsid w:val="21A97250"/>
    <w:rsid w:val="21A97696"/>
    <w:rsid w:val="21AA19C9"/>
    <w:rsid w:val="21AA3700"/>
    <w:rsid w:val="21AB1710"/>
    <w:rsid w:val="21AB2FC8"/>
    <w:rsid w:val="21AB746C"/>
    <w:rsid w:val="21AD0AEE"/>
    <w:rsid w:val="21AD4F92"/>
    <w:rsid w:val="21AD63CE"/>
    <w:rsid w:val="21AD6D40"/>
    <w:rsid w:val="21AE1E97"/>
    <w:rsid w:val="21AE2AB8"/>
    <w:rsid w:val="21AE4866"/>
    <w:rsid w:val="21AF0D0A"/>
    <w:rsid w:val="21AF59CF"/>
    <w:rsid w:val="21B07388"/>
    <w:rsid w:val="21B115E6"/>
    <w:rsid w:val="21B170D7"/>
    <w:rsid w:val="21B207FA"/>
    <w:rsid w:val="21B225A8"/>
    <w:rsid w:val="21B24356"/>
    <w:rsid w:val="21B26104"/>
    <w:rsid w:val="21B26EA7"/>
    <w:rsid w:val="21B31E7D"/>
    <w:rsid w:val="21B32569"/>
    <w:rsid w:val="21B33A59"/>
    <w:rsid w:val="21B42009"/>
    <w:rsid w:val="21B45880"/>
    <w:rsid w:val="21B45A7D"/>
    <w:rsid w:val="21B46321"/>
    <w:rsid w:val="21B7196D"/>
    <w:rsid w:val="21B75E11"/>
    <w:rsid w:val="21B764BA"/>
    <w:rsid w:val="21B77BBF"/>
    <w:rsid w:val="21B81511"/>
    <w:rsid w:val="21B856E5"/>
    <w:rsid w:val="21B91B40"/>
    <w:rsid w:val="21B92ABB"/>
    <w:rsid w:val="21B93339"/>
    <w:rsid w:val="21B97BDA"/>
    <w:rsid w:val="21BA145D"/>
    <w:rsid w:val="21BA76AF"/>
    <w:rsid w:val="21BB02FB"/>
    <w:rsid w:val="21BC3427"/>
    <w:rsid w:val="21BC592B"/>
    <w:rsid w:val="21BC5949"/>
    <w:rsid w:val="21BD3E4B"/>
    <w:rsid w:val="21BD58BA"/>
    <w:rsid w:val="21BD66B9"/>
    <w:rsid w:val="21BD75D2"/>
    <w:rsid w:val="21BE0F4D"/>
    <w:rsid w:val="21BE2CFB"/>
    <w:rsid w:val="21BE2E1C"/>
    <w:rsid w:val="21BF0856"/>
    <w:rsid w:val="21BF4A89"/>
    <w:rsid w:val="21BF4CC5"/>
    <w:rsid w:val="21BF5804"/>
    <w:rsid w:val="21BF7911"/>
    <w:rsid w:val="21C01F8C"/>
    <w:rsid w:val="21C06266"/>
    <w:rsid w:val="21C07A42"/>
    <w:rsid w:val="21C1113B"/>
    <w:rsid w:val="21C30312"/>
    <w:rsid w:val="21C317BD"/>
    <w:rsid w:val="21C347B6"/>
    <w:rsid w:val="21C359FD"/>
    <w:rsid w:val="21C36564"/>
    <w:rsid w:val="21C370CD"/>
    <w:rsid w:val="21C422DC"/>
    <w:rsid w:val="21C4408A"/>
    <w:rsid w:val="21C5554D"/>
    <w:rsid w:val="21C665E1"/>
    <w:rsid w:val="21C709E5"/>
    <w:rsid w:val="21C72A3E"/>
    <w:rsid w:val="21C75F73"/>
    <w:rsid w:val="21C76D7B"/>
    <w:rsid w:val="21C80E27"/>
    <w:rsid w:val="21C80E83"/>
    <w:rsid w:val="21C978F2"/>
    <w:rsid w:val="21CB284F"/>
    <w:rsid w:val="21CB5418"/>
    <w:rsid w:val="21CE0AA4"/>
    <w:rsid w:val="21CE1695"/>
    <w:rsid w:val="21CE4B81"/>
    <w:rsid w:val="21CE5A42"/>
    <w:rsid w:val="21CE62D5"/>
    <w:rsid w:val="21CF11D0"/>
    <w:rsid w:val="21CF271E"/>
    <w:rsid w:val="21CF315A"/>
    <w:rsid w:val="21CF4A58"/>
    <w:rsid w:val="21CF4F08"/>
    <w:rsid w:val="21CF55C0"/>
    <w:rsid w:val="21D02A2F"/>
    <w:rsid w:val="21D10A55"/>
    <w:rsid w:val="21D14AB0"/>
    <w:rsid w:val="21D20555"/>
    <w:rsid w:val="21D3094F"/>
    <w:rsid w:val="21D342CD"/>
    <w:rsid w:val="21D34E7A"/>
    <w:rsid w:val="21D34ECD"/>
    <w:rsid w:val="21D365DE"/>
    <w:rsid w:val="21D50045"/>
    <w:rsid w:val="21D52124"/>
    <w:rsid w:val="21D54C21"/>
    <w:rsid w:val="21D56297"/>
    <w:rsid w:val="21D64782"/>
    <w:rsid w:val="21D70261"/>
    <w:rsid w:val="21D70DF2"/>
    <w:rsid w:val="21D72FF7"/>
    <w:rsid w:val="21D7311F"/>
    <w:rsid w:val="21D744CA"/>
    <w:rsid w:val="21D934E8"/>
    <w:rsid w:val="21D95D87"/>
    <w:rsid w:val="21DA1AFF"/>
    <w:rsid w:val="21DA38AD"/>
    <w:rsid w:val="21DA63BD"/>
    <w:rsid w:val="21DA73FB"/>
    <w:rsid w:val="21DB2344"/>
    <w:rsid w:val="21DC5877"/>
    <w:rsid w:val="21DC7625"/>
    <w:rsid w:val="21DC7840"/>
    <w:rsid w:val="21DD0B6E"/>
    <w:rsid w:val="21DD116A"/>
    <w:rsid w:val="21DE15EF"/>
    <w:rsid w:val="21DE318A"/>
    <w:rsid w:val="21DE339D"/>
    <w:rsid w:val="21DE44CE"/>
    <w:rsid w:val="21DE514B"/>
    <w:rsid w:val="21DE7835"/>
    <w:rsid w:val="21DF2C72"/>
    <w:rsid w:val="21DF374C"/>
    <w:rsid w:val="21E01462"/>
    <w:rsid w:val="21E0244A"/>
    <w:rsid w:val="21E0307B"/>
    <w:rsid w:val="21E040E6"/>
    <w:rsid w:val="21E075A7"/>
    <w:rsid w:val="21E11163"/>
    <w:rsid w:val="21E12E8E"/>
    <w:rsid w:val="21E15391"/>
    <w:rsid w:val="21E21C07"/>
    <w:rsid w:val="21E22735"/>
    <w:rsid w:val="21E309B4"/>
    <w:rsid w:val="21E332A1"/>
    <w:rsid w:val="21E336A7"/>
    <w:rsid w:val="21E41A30"/>
    <w:rsid w:val="21E457BF"/>
    <w:rsid w:val="21E46311"/>
    <w:rsid w:val="21E50699"/>
    <w:rsid w:val="21E533F6"/>
    <w:rsid w:val="21E5472C"/>
    <w:rsid w:val="21E604A4"/>
    <w:rsid w:val="21E64897"/>
    <w:rsid w:val="21E70203"/>
    <w:rsid w:val="21E81D77"/>
    <w:rsid w:val="21E8421C"/>
    <w:rsid w:val="21E85FCA"/>
    <w:rsid w:val="21E87D78"/>
    <w:rsid w:val="21E96E3C"/>
    <w:rsid w:val="21E9722F"/>
    <w:rsid w:val="21EA1C0A"/>
    <w:rsid w:val="21EA1D42"/>
    <w:rsid w:val="21EA47D1"/>
    <w:rsid w:val="21EB1616"/>
    <w:rsid w:val="21EB1C9F"/>
    <w:rsid w:val="21EB3785"/>
    <w:rsid w:val="21EB3CD2"/>
    <w:rsid w:val="21EB5ABA"/>
    <w:rsid w:val="21EB5EAC"/>
    <w:rsid w:val="21EC2233"/>
    <w:rsid w:val="21EC32C9"/>
    <w:rsid w:val="21ED1832"/>
    <w:rsid w:val="21ED35E0"/>
    <w:rsid w:val="21ED3E28"/>
    <w:rsid w:val="21ED4759"/>
    <w:rsid w:val="21EE1107"/>
    <w:rsid w:val="21EE3754"/>
    <w:rsid w:val="21EE5BE9"/>
    <w:rsid w:val="21EF55AB"/>
    <w:rsid w:val="21EF5B80"/>
    <w:rsid w:val="21F030D1"/>
    <w:rsid w:val="21F030F9"/>
    <w:rsid w:val="21F04BD0"/>
    <w:rsid w:val="21F05E3F"/>
    <w:rsid w:val="21F20BF7"/>
    <w:rsid w:val="21F229A5"/>
    <w:rsid w:val="21F23D4A"/>
    <w:rsid w:val="21F25750"/>
    <w:rsid w:val="21F26040"/>
    <w:rsid w:val="21F26E49"/>
    <w:rsid w:val="21F30AC0"/>
    <w:rsid w:val="21F35EBD"/>
    <w:rsid w:val="21F4176C"/>
    <w:rsid w:val="21F42F2A"/>
    <w:rsid w:val="21F4331D"/>
    <w:rsid w:val="21F4496F"/>
    <w:rsid w:val="21F506E7"/>
    <w:rsid w:val="21F561B6"/>
    <w:rsid w:val="21F70E9A"/>
    <w:rsid w:val="21F7113B"/>
    <w:rsid w:val="21F71AC8"/>
    <w:rsid w:val="21F72B7B"/>
    <w:rsid w:val="21F7445F"/>
    <w:rsid w:val="21F75899"/>
    <w:rsid w:val="21F7620D"/>
    <w:rsid w:val="21F901D7"/>
    <w:rsid w:val="21F9081D"/>
    <w:rsid w:val="21F91F85"/>
    <w:rsid w:val="21F93950"/>
    <w:rsid w:val="21FA01C9"/>
    <w:rsid w:val="21FA022C"/>
    <w:rsid w:val="21FA1F19"/>
    <w:rsid w:val="21FA3F89"/>
    <w:rsid w:val="21FA5CFD"/>
    <w:rsid w:val="21FA7AAB"/>
    <w:rsid w:val="21FB02E8"/>
    <w:rsid w:val="21FB2BEC"/>
    <w:rsid w:val="21FB39B1"/>
    <w:rsid w:val="21FB3F4F"/>
    <w:rsid w:val="21FB5C14"/>
    <w:rsid w:val="21FC3824"/>
    <w:rsid w:val="21FC4843"/>
    <w:rsid w:val="21FD0C6F"/>
    <w:rsid w:val="21FD591D"/>
    <w:rsid w:val="21FD71C6"/>
    <w:rsid w:val="21FE33DB"/>
    <w:rsid w:val="21FE3DF5"/>
    <w:rsid w:val="21FE57EE"/>
    <w:rsid w:val="21FE759C"/>
    <w:rsid w:val="21FF5B54"/>
    <w:rsid w:val="22010E3A"/>
    <w:rsid w:val="220113F0"/>
    <w:rsid w:val="22012756"/>
    <w:rsid w:val="2201740A"/>
    <w:rsid w:val="220210E1"/>
    <w:rsid w:val="220254EF"/>
    <w:rsid w:val="22026C30"/>
    <w:rsid w:val="22031056"/>
    <w:rsid w:val="22032E04"/>
    <w:rsid w:val="22043CE7"/>
    <w:rsid w:val="22045388"/>
    <w:rsid w:val="2204653F"/>
    <w:rsid w:val="22052944"/>
    <w:rsid w:val="220628F4"/>
    <w:rsid w:val="22066450"/>
    <w:rsid w:val="220670D9"/>
    <w:rsid w:val="22073C60"/>
    <w:rsid w:val="220837FD"/>
    <w:rsid w:val="2208666C"/>
    <w:rsid w:val="22092ECD"/>
    <w:rsid w:val="220A5F40"/>
    <w:rsid w:val="220B1D86"/>
    <w:rsid w:val="220B5253"/>
    <w:rsid w:val="220B7F0B"/>
    <w:rsid w:val="220C57E0"/>
    <w:rsid w:val="220D1CC2"/>
    <w:rsid w:val="220D2D7A"/>
    <w:rsid w:val="220D3C83"/>
    <w:rsid w:val="220D5A31"/>
    <w:rsid w:val="220D77DF"/>
    <w:rsid w:val="220F17A9"/>
    <w:rsid w:val="220F79FB"/>
    <w:rsid w:val="2210107D"/>
    <w:rsid w:val="22101BA0"/>
    <w:rsid w:val="221026C4"/>
    <w:rsid w:val="22106B73"/>
    <w:rsid w:val="22107AF3"/>
    <w:rsid w:val="22113B54"/>
    <w:rsid w:val="2211698F"/>
    <w:rsid w:val="22121299"/>
    <w:rsid w:val="22124DF5"/>
    <w:rsid w:val="22124FE4"/>
    <w:rsid w:val="22140999"/>
    <w:rsid w:val="22140B6D"/>
    <w:rsid w:val="2214507F"/>
    <w:rsid w:val="22162B37"/>
    <w:rsid w:val="2216323B"/>
    <w:rsid w:val="22164061"/>
    <w:rsid w:val="22166788"/>
    <w:rsid w:val="221674FF"/>
    <w:rsid w:val="22167BA9"/>
    <w:rsid w:val="22171B1D"/>
    <w:rsid w:val="22176285"/>
    <w:rsid w:val="221943D6"/>
    <w:rsid w:val="22194943"/>
    <w:rsid w:val="22194949"/>
    <w:rsid w:val="22194F87"/>
    <w:rsid w:val="22196184"/>
    <w:rsid w:val="221A6CAF"/>
    <w:rsid w:val="221B63A0"/>
    <w:rsid w:val="221B718B"/>
    <w:rsid w:val="221B77D7"/>
    <w:rsid w:val="221C1D1E"/>
    <w:rsid w:val="221C2118"/>
    <w:rsid w:val="221C4D78"/>
    <w:rsid w:val="221C4F27"/>
    <w:rsid w:val="221D329C"/>
    <w:rsid w:val="221D3C39"/>
    <w:rsid w:val="221D5D7D"/>
    <w:rsid w:val="221E19EC"/>
    <w:rsid w:val="221E2665"/>
    <w:rsid w:val="221E4CC8"/>
    <w:rsid w:val="221E7FA7"/>
    <w:rsid w:val="221F0C35"/>
    <w:rsid w:val="221F7512"/>
    <w:rsid w:val="222043B9"/>
    <w:rsid w:val="22205764"/>
    <w:rsid w:val="222075E8"/>
    <w:rsid w:val="222122BA"/>
    <w:rsid w:val="2221328A"/>
    <w:rsid w:val="2221772E"/>
    <w:rsid w:val="22230B3A"/>
    <w:rsid w:val="22230DB0"/>
    <w:rsid w:val="222324C0"/>
    <w:rsid w:val="222334A6"/>
    <w:rsid w:val="22235254"/>
    <w:rsid w:val="22236DE5"/>
    <w:rsid w:val="22244C5B"/>
    <w:rsid w:val="22246C24"/>
    <w:rsid w:val="22253B4C"/>
    <w:rsid w:val="22254C50"/>
    <w:rsid w:val="222556C6"/>
    <w:rsid w:val="222608A0"/>
    <w:rsid w:val="222648EA"/>
    <w:rsid w:val="22266AF2"/>
    <w:rsid w:val="22266E34"/>
    <w:rsid w:val="22266E90"/>
    <w:rsid w:val="22274D44"/>
    <w:rsid w:val="22275D7A"/>
    <w:rsid w:val="22281DE3"/>
    <w:rsid w:val="22282762"/>
    <w:rsid w:val="22284619"/>
    <w:rsid w:val="222911D9"/>
    <w:rsid w:val="222921D7"/>
    <w:rsid w:val="222946EC"/>
    <w:rsid w:val="22295471"/>
    <w:rsid w:val="222965C2"/>
    <w:rsid w:val="22296857"/>
    <w:rsid w:val="222A0391"/>
    <w:rsid w:val="222A326B"/>
    <w:rsid w:val="222A3D92"/>
    <w:rsid w:val="222B5EB7"/>
    <w:rsid w:val="222B72CC"/>
    <w:rsid w:val="222C01C5"/>
    <w:rsid w:val="222C235B"/>
    <w:rsid w:val="222D1BEC"/>
    <w:rsid w:val="222D1C2F"/>
    <w:rsid w:val="222D6B02"/>
    <w:rsid w:val="222E2E69"/>
    <w:rsid w:val="222F1E4B"/>
    <w:rsid w:val="222F3BF9"/>
    <w:rsid w:val="2230056D"/>
    <w:rsid w:val="223034CD"/>
    <w:rsid w:val="2231310E"/>
    <w:rsid w:val="2232524E"/>
    <w:rsid w:val="22325497"/>
    <w:rsid w:val="2232642A"/>
    <w:rsid w:val="22333AC4"/>
    <w:rsid w:val="22342FBD"/>
    <w:rsid w:val="22356D36"/>
    <w:rsid w:val="223614B1"/>
    <w:rsid w:val="22363BC8"/>
    <w:rsid w:val="22364F87"/>
    <w:rsid w:val="2237194C"/>
    <w:rsid w:val="2237485C"/>
    <w:rsid w:val="223903FC"/>
    <w:rsid w:val="223905D4"/>
    <w:rsid w:val="223918D0"/>
    <w:rsid w:val="22396826"/>
    <w:rsid w:val="223A2D60"/>
    <w:rsid w:val="223B259E"/>
    <w:rsid w:val="223B2978"/>
    <w:rsid w:val="223B54DF"/>
    <w:rsid w:val="223B5680"/>
    <w:rsid w:val="223C763B"/>
    <w:rsid w:val="223D0FAA"/>
    <w:rsid w:val="223D16E1"/>
    <w:rsid w:val="223D1FC4"/>
    <w:rsid w:val="223E05AA"/>
    <w:rsid w:val="223E11A4"/>
    <w:rsid w:val="223E140F"/>
    <w:rsid w:val="223E1D90"/>
    <w:rsid w:val="223E3EBD"/>
    <w:rsid w:val="223E5BEA"/>
    <w:rsid w:val="223F3F39"/>
    <w:rsid w:val="223F6BD2"/>
    <w:rsid w:val="22401962"/>
    <w:rsid w:val="22405491"/>
    <w:rsid w:val="22407560"/>
    <w:rsid w:val="22411B47"/>
    <w:rsid w:val="2241392C"/>
    <w:rsid w:val="224145BE"/>
    <w:rsid w:val="224156DA"/>
    <w:rsid w:val="22417039"/>
    <w:rsid w:val="2242144D"/>
    <w:rsid w:val="22421B7E"/>
    <w:rsid w:val="22433F97"/>
    <w:rsid w:val="224551CB"/>
    <w:rsid w:val="22457E73"/>
    <w:rsid w:val="22460F43"/>
    <w:rsid w:val="22461303"/>
    <w:rsid w:val="22467EF6"/>
    <w:rsid w:val="22470981"/>
    <w:rsid w:val="2248030A"/>
    <w:rsid w:val="22486A69"/>
    <w:rsid w:val="22486DF5"/>
    <w:rsid w:val="22490EC1"/>
    <w:rsid w:val="22496632"/>
    <w:rsid w:val="22496E75"/>
    <w:rsid w:val="224A005A"/>
    <w:rsid w:val="224A1114"/>
    <w:rsid w:val="224A27E1"/>
    <w:rsid w:val="224A34FE"/>
    <w:rsid w:val="224A3AD1"/>
    <w:rsid w:val="224A3FBB"/>
    <w:rsid w:val="224B0307"/>
    <w:rsid w:val="224B4799"/>
    <w:rsid w:val="224C12BE"/>
    <w:rsid w:val="224C2ACA"/>
    <w:rsid w:val="224C2F91"/>
    <w:rsid w:val="224C3750"/>
    <w:rsid w:val="224C6FD4"/>
    <w:rsid w:val="224C7902"/>
    <w:rsid w:val="224C7D46"/>
    <w:rsid w:val="224D0523"/>
    <w:rsid w:val="224D0AFC"/>
    <w:rsid w:val="224D22D1"/>
    <w:rsid w:val="224D407F"/>
    <w:rsid w:val="224D67B5"/>
    <w:rsid w:val="224E4D71"/>
    <w:rsid w:val="224E5C78"/>
    <w:rsid w:val="224F1BA5"/>
    <w:rsid w:val="224F6049"/>
    <w:rsid w:val="225035B1"/>
    <w:rsid w:val="22504F86"/>
    <w:rsid w:val="22510FE7"/>
    <w:rsid w:val="22512D93"/>
    <w:rsid w:val="22513887"/>
    <w:rsid w:val="22513B6F"/>
    <w:rsid w:val="22516221"/>
    <w:rsid w:val="22525B39"/>
    <w:rsid w:val="225278E7"/>
    <w:rsid w:val="22532499"/>
    <w:rsid w:val="22535F44"/>
    <w:rsid w:val="2254540E"/>
    <w:rsid w:val="22552F34"/>
    <w:rsid w:val="2255395F"/>
    <w:rsid w:val="225551E9"/>
    <w:rsid w:val="22571B1C"/>
    <w:rsid w:val="22574EFE"/>
    <w:rsid w:val="22576990"/>
    <w:rsid w:val="22585FDB"/>
    <w:rsid w:val="225862E9"/>
    <w:rsid w:val="22592A24"/>
    <w:rsid w:val="22597779"/>
    <w:rsid w:val="22597E34"/>
    <w:rsid w:val="225A323F"/>
    <w:rsid w:val="225A482A"/>
    <w:rsid w:val="225B0AD7"/>
    <w:rsid w:val="225B3B4D"/>
    <w:rsid w:val="225B3B4F"/>
    <w:rsid w:val="225B49EE"/>
    <w:rsid w:val="225B4C6A"/>
    <w:rsid w:val="225C20EF"/>
    <w:rsid w:val="225C7C4B"/>
    <w:rsid w:val="225D0766"/>
    <w:rsid w:val="225D758A"/>
    <w:rsid w:val="225E008D"/>
    <w:rsid w:val="225E08CC"/>
    <w:rsid w:val="225E628C"/>
    <w:rsid w:val="225F3D71"/>
    <w:rsid w:val="22600026"/>
    <w:rsid w:val="22600256"/>
    <w:rsid w:val="22603DB2"/>
    <w:rsid w:val="226118D9"/>
    <w:rsid w:val="22615F0B"/>
    <w:rsid w:val="22617B2B"/>
    <w:rsid w:val="2262082B"/>
    <w:rsid w:val="22625D7D"/>
    <w:rsid w:val="22626661"/>
    <w:rsid w:val="22627437"/>
    <w:rsid w:val="226313BF"/>
    <w:rsid w:val="22631AF5"/>
    <w:rsid w:val="22637523"/>
    <w:rsid w:val="226378A8"/>
    <w:rsid w:val="226513C9"/>
    <w:rsid w:val="22654D47"/>
    <w:rsid w:val="2265586D"/>
    <w:rsid w:val="22665141"/>
    <w:rsid w:val="22670ED9"/>
    <w:rsid w:val="22673393"/>
    <w:rsid w:val="22674648"/>
    <w:rsid w:val="22676592"/>
    <w:rsid w:val="22680EB9"/>
    <w:rsid w:val="2268469D"/>
    <w:rsid w:val="2268710B"/>
    <w:rsid w:val="226A166A"/>
    <w:rsid w:val="226A32CF"/>
    <w:rsid w:val="226A4C31"/>
    <w:rsid w:val="226A7D59"/>
    <w:rsid w:val="226B25DA"/>
    <w:rsid w:val="226B2757"/>
    <w:rsid w:val="226B7536"/>
    <w:rsid w:val="226C25E6"/>
    <w:rsid w:val="226C5BEF"/>
    <w:rsid w:val="226C6BFB"/>
    <w:rsid w:val="226D41DE"/>
    <w:rsid w:val="226D4721"/>
    <w:rsid w:val="226D64CF"/>
    <w:rsid w:val="226E089E"/>
    <w:rsid w:val="226E415E"/>
    <w:rsid w:val="226F0499"/>
    <w:rsid w:val="226F1B0F"/>
    <w:rsid w:val="226F2247"/>
    <w:rsid w:val="22702E2F"/>
    <w:rsid w:val="22704C12"/>
    <w:rsid w:val="2270529F"/>
    <w:rsid w:val="227117A8"/>
    <w:rsid w:val="227143BA"/>
    <w:rsid w:val="22714AF6"/>
    <w:rsid w:val="22715CC4"/>
    <w:rsid w:val="22721D38"/>
    <w:rsid w:val="2272371A"/>
    <w:rsid w:val="227410C5"/>
    <w:rsid w:val="22743D02"/>
    <w:rsid w:val="22744312"/>
    <w:rsid w:val="22744381"/>
    <w:rsid w:val="22745AB0"/>
    <w:rsid w:val="2274785E"/>
    <w:rsid w:val="22747AED"/>
    <w:rsid w:val="22750C92"/>
    <w:rsid w:val="227635D6"/>
    <w:rsid w:val="22765384"/>
    <w:rsid w:val="22766CA1"/>
    <w:rsid w:val="227679FA"/>
    <w:rsid w:val="2277734E"/>
    <w:rsid w:val="22783A51"/>
    <w:rsid w:val="22791318"/>
    <w:rsid w:val="22797DB7"/>
    <w:rsid w:val="227A1485"/>
    <w:rsid w:val="227A6AB2"/>
    <w:rsid w:val="227B0BEC"/>
    <w:rsid w:val="227B5090"/>
    <w:rsid w:val="227B5B3E"/>
    <w:rsid w:val="227B69C9"/>
    <w:rsid w:val="227B6E3E"/>
    <w:rsid w:val="227C0C9A"/>
    <w:rsid w:val="227C1DE0"/>
    <w:rsid w:val="227C2F06"/>
    <w:rsid w:val="227C4964"/>
    <w:rsid w:val="227D7E1D"/>
    <w:rsid w:val="227E0610"/>
    <w:rsid w:val="227E06DD"/>
    <w:rsid w:val="227E248B"/>
    <w:rsid w:val="227F1F30"/>
    <w:rsid w:val="227F4065"/>
    <w:rsid w:val="227F6592"/>
    <w:rsid w:val="228026A7"/>
    <w:rsid w:val="22802924"/>
    <w:rsid w:val="228043A6"/>
    <w:rsid w:val="22804455"/>
    <w:rsid w:val="22813CB8"/>
    <w:rsid w:val="22816411"/>
    <w:rsid w:val="2281775C"/>
    <w:rsid w:val="22817846"/>
    <w:rsid w:val="22832ED4"/>
    <w:rsid w:val="22833F45"/>
    <w:rsid w:val="22835CF3"/>
    <w:rsid w:val="22842644"/>
    <w:rsid w:val="228435DF"/>
    <w:rsid w:val="22850E66"/>
    <w:rsid w:val="22853819"/>
    <w:rsid w:val="22860272"/>
    <w:rsid w:val="22861AB5"/>
    <w:rsid w:val="22866796"/>
    <w:rsid w:val="22867E03"/>
    <w:rsid w:val="228710B6"/>
    <w:rsid w:val="22872693"/>
    <w:rsid w:val="22872B48"/>
    <w:rsid w:val="228736BD"/>
    <w:rsid w:val="22873A35"/>
    <w:rsid w:val="22873C4F"/>
    <w:rsid w:val="2287472B"/>
    <w:rsid w:val="228768B2"/>
    <w:rsid w:val="22877591"/>
    <w:rsid w:val="22883434"/>
    <w:rsid w:val="22883ECC"/>
    <w:rsid w:val="2288435D"/>
    <w:rsid w:val="2288532F"/>
    <w:rsid w:val="22890736"/>
    <w:rsid w:val="22892FBC"/>
    <w:rsid w:val="22895117"/>
    <w:rsid w:val="22897F2E"/>
    <w:rsid w:val="228A0E2F"/>
    <w:rsid w:val="228A1214"/>
    <w:rsid w:val="228A52D3"/>
    <w:rsid w:val="228A65A7"/>
    <w:rsid w:val="228A7081"/>
    <w:rsid w:val="228A7F53"/>
    <w:rsid w:val="228C104B"/>
    <w:rsid w:val="228C2DF9"/>
    <w:rsid w:val="228C4BA7"/>
    <w:rsid w:val="228C599D"/>
    <w:rsid w:val="228D0920"/>
    <w:rsid w:val="228D26CE"/>
    <w:rsid w:val="228D4F28"/>
    <w:rsid w:val="228D5DB4"/>
    <w:rsid w:val="228E1B8D"/>
    <w:rsid w:val="228E4FC1"/>
    <w:rsid w:val="228E7279"/>
    <w:rsid w:val="228F4698"/>
    <w:rsid w:val="22906C1A"/>
    <w:rsid w:val="229121BE"/>
    <w:rsid w:val="229214E1"/>
    <w:rsid w:val="229254B9"/>
    <w:rsid w:val="22927FCB"/>
    <w:rsid w:val="22934EEF"/>
    <w:rsid w:val="22940F07"/>
    <w:rsid w:val="22941CAE"/>
    <w:rsid w:val="22942FD8"/>
    <w:rsid w:val="2294396B"/>
    <w:rsid w:val="22943A5C"/>
    <w:rsid w:val="22945B6B"/>
    <w:rsid w:val="22947141"/>
    <w:rsid w:val="22947F00"/>
    <w:rsid w:val="229551C0"/>
    <w:rsid w:val="22963C78"/>
    <w:rsid w:val="22965DA5"/>
    <w:rsid w:val="2296771B"/>
    <w:rsid w:val="22967C38"/>
    <w:rsid w:val="229722EC"/>
    <w:rsid w:val="22974E00"/>
    <w:rsid w:val="22975836"/>
    <w:rsid w:val="22982F20"/>
    <w:rsid w:val="229879F0"/>
    <w:rsid w:val="229916C0"/>
    <w:rsid w:val="22991C34"/>
    <w:rsid w:val="22991C66"/>
    <w:rsid w:val="22993768"/>
    <w:rsid w:val="22994063"/>
    <w:rsid w:val="22995516"/>
    <w:rsid w:val="229972C4"/>
    <w:rsid w:val="229A0FED"/>
    <w:rsid w:val="229A609C"/>
    <w:rsid w:val="229B128E"/>
    <w:rsid w:val="229C0B63"/>
    <w:rsid w:val="229C358D"/>
    <w:rsid w:val="229D0946"/>
    <w:rsid w:val="229D423F"/>
    <w:rsid w:val="229D5007"/>
    <w:rsid w:val="229E2B2D"/>
    <w:rsid w:val="229E3576"/>
    <w:rsid w:val="229E48DB"/>
    <w:rsid w:val="229E631A"/>
    <w:rsid w:val="229F1B2B"/>
    <w:rsid w:val="229F2CE2"/>
    <w:rsid w:val="229F3FA5"/>
    <w:rsid w:val="22A02719"/>
    <w:rsid w:val="22A02D28"/>
    <w:rsid w:val="22A03DBF"/>
    <w:rsid w:val="22A0641E"/>
    <w:rsid w:val="22A068A5"/>
    <w:rsid w:val="22A10069"/>
    <w:rsid w:val="22A13DF7"/>
    <w:rsid w:val="22A16179"/>
    <w:rsid w:val="22A169EB"/>
    <w:rsid w:val="22A201E4"/>
    <w:rsid w:val="22A203A0"/>
    <w:rsid w:val="22A213EB"/>
    <w:rsid w:val="22A243CB"/>
    <w:rsid w:val="22A27603"/>
    <w:rsid w:val="22A30143"/>
    <w:rsid w:val="22A316B7"/>
    <w:rsid w:val="22A31E55"/>
    <w:rsid w:val="22A32073"/>
    <w:rsid w:val="22A4060D"/>
    <w:rsid w:val="22A46395"/>
    <w:rsid w:val="22A4734F"/>
    <w:rsid w:val="22A47F40"/>
    <w:rsid w:val="22A52EE6"/>
    <w:rsid w:val="22A53EBB"/>
    <w:rsid w:val="22A6087B"/>
    <w:rsid w:val="22A6327C"/>
    <w:rsid w:val="22A638EF"/>
    <w:rsid w:val="22A6463F"/>
    <w:rsid w:val="22A67075"/>
    <w:rsid w:val="22A719E1"/>
    <w:rsid w:val="22A748BB"/>
    <w:rsid w:val="22A75E85"/>
    <w:rsid w:val="22A85759"/>
    <w:rsid w:val="22A87507"/>
    <w:rsid w:val="22A90801"/>
    <w:rsid w:val="22A945AB"/>
    <w:rsid w:val="22AA3280"/>
    <w:rsid w:val="22AB06E9"/>
    <w:rsid w:val="22AB1BF2"/>
    <w:rsid w:val="22AC2323"/>
    <w:rsid w:val="22AC27F1"/>
    <w:rsid w:val="22AC7C48"/>
    <w:rsid w:val="22AD085E"/>
    <w:rsid w:val="22AD54C3"/>
    <w:rsid w:val="22AF4D3A"/>
    <w:rsid w:val="22AF6AE8"/>
    <w:rsid w:val="22B02FD8"/>
    <w:rsid w:val="22B052A0"/>
    <w:rsid w:val="22B06FCC"/>
    <w:rsid w:val="22B12048"/>
    <w:rsid w:val="22B12860"/>
    <w:rsid w:val="22B135B1"/>
    <w:rsid w:val="22B1460E"/>
    <w:rsid w:val="22B20386"/>
    <w:rsid w:val="22B242BA"/>
    <w:rsid w:val="22B257B3"/>
    <w:rsid w:val="22B279B0"/>
    <w:rsid w:val="22B365D8"/>
    <w:rsid w:val="22B41814"/>
    <w:rsid w:val="22B453D8"/>
    <w:rsid w:val="22B46246"/>
    <w:rsid w:val="22B51882"/>
    <w:rsid w:val="22B52113"/>
    <w:rsid w:val="22B52CA4"/>
    <w:rsid w:val="22B53579"/>
    <w:rsid w:val="22B573FA"/>
    <w:rsid w:val="22B57CB9"/>
    <w:rsid w:val="22B629AE"/>
    <w:rsid w:val="22B63A87"/>
    <w:rsid w:val="22B64EE9"/>
    <w:rsid w:val="22B671CE"/>
    <w:rsid w:val="22B73A65"/>
    <w:rsid w:val="22B83BEE"/>
    <w:rsid w:val="22B91715"/>
    <w:rsid w:val="22B934C3"/>
    <w:rsid w:val="22B97967"/>
    <w:rsid w:val="22BA78FE"/>
    <w:rsid w:val="22BB6B16"/>
    <w:rsid w:val="22BB723B"/>
    <w:rsid w:val="22BC3AAB"/>
    <w:rsid w:val="22BC6389"/>
    <w:rsid w:val="22BD1205"/>
    <w:rsid w:val="22BE02E1"/>
    <w:rsid w:val="22BE1BCC"/>
    <w:rsid w:val="22BE3845"/>
    <w:rsid w:val="22BE4F7D"/>
    <w:rsid w:val="22BE5497"/>
    <w:rsid w:val="22BE5AA8"/>
    <w:rsid w:val="22BE6D2B"/>
    <w:rsid w:val="22BE7E7A"/>
    <w:rsid w:val="22BF1DDF"/>
    <w:rsid w:val="22BF31CF"/>
    <w:rsid w:val="22C00CF5"/>
    <w:rsid w:val="22C03AF4"/>
    <w:rsid w:val="22C04851"/>
    <w:rsid w:val="22C239D3"/>
    <w:rsid w:val="22C2681B"/>
    <w:rsid w:val="22C32593"/>
    <w:rsid w:val="22C34341"/>
    <w:rsid w:val="22C357EB"/>
    <w:rsid w:val="22C37100"/>
    <w:rsid w:val="22C4036A"/>
    <w:rsid w:val="22C407E5"/>
    <w:rsid w:val="22C41787"/>
    <w:rsid w:val="22C45A5A"/>
    <w:rsid w:val="22C57C45"/>
    <w:rsid w:val="22C63C28"/>
    <w:rsid w:val="22C73E32"/>
    <w:rsid w:val="22C75BE0"/>
    <w:rsid w:val="22C81958"/>
    <w:rsid w:val="22C9291E"/>
    <w:rsid w:val="22C95DFC"/>
    <w:rsid w:val="22CA1B74"/>
    <w:rsid w:val="22CA517A"/>
    <w:rsid w:val="22CA76EB"/>
    <w:rsid w:val="22CB58FB"/>
    <w:rsid w:val="22CC0DAF"/>
    <w:rsid w:val="22CC31F6"/>
    <w:rsid w:val="22CC6838"/>
    <w:rsid w:val="22CD74AF"/>
    <w:rsid w:val="22CE1F27"/>
    <w:rsid w:val="22CE51C0"/>
    <w:rsid w:val="22CF646D"/>
    <w:rsid w:val="22CF6F17"/>
    <w:rsid w:val="22D030C2"/>
    <w:rsid w:val="22D12F02"/>
    <w:rsid w:val="22D14FE7"/>
    <w:rsid w:val="22D16A5E"/>
    <w:rsid w:val="22D327D6"/>
    <w:rsid w:val="22D36C7A"/>
    <w:rsid w:val="22D4654E"/>
    <w:rsid w:val="22D518A9"/>
    <w:rsid w:val="22D52341"/>
    <w:rsid w:val="22D534C5"/>
    <w:rsid w:val="22D60519"/>
    <w:rsid w:val="22D622C7"/>
    <w:rsid w:val="22D63328"/>
    <w:rsid w:val="22D71C21"/>
    <w:rsid w:val="22D77A01"/>
    <w:rsid w:val="22D8100F"/>
    <w:rsid w:val="22D84291"/>
    <w:rsid w:val="22D84C1F"/>
    <w:rsid w:val="22D86743"/>
    <w:rsid w:val="22D93B65"/>
    <w:rsid w:val="22D95913"/>
    <w:rsid w:val="22DA1DB7"/>
    <w:rsid w:val="22DA20BB"/>
    <w:rsid w:val="22DA2789"/>
    <w:rsid w:val="22DB168B"/>
    <w:rsid w:val="22DB1AD2"/>
    <w:rsid w:val="22DB48AD"/>
    <w:rsid w:val="22DB758F"/>
    <w:rsid w:val="22DC0A1F"/>
    <w:rsid w:val="22DC6444"/>
    <w:rsid w:val="22DD0C7B"/>
    <w:rsid w:val="22DD5403"/>
    <w:rsid w:val="22DD64F3"/>
    <w:rsid w:val="22DD6545"/>
    <w:rsid w:val="22DE117B"/>
    <w:rsid w:val="22DE22BE"/>
    <w:rsid w:val="22DE2ECD"/>
    <w:rsid w:val="22DE4A80"/>
    <w:rsid w:val="22DF561F"/>
    <w:rsid w:val="22DF6273"/>
    <w:rsid w:val="22E024C5"/>
    <w:rsid w:val="22E02553"/>
    <w:rsid w:val="22E04EF3"/>
    <w:rsid w:val="22E10B03"/>
    <w:rsid w:val="22E15D96"/>
    <w:rsid w:val="22E16A62"/>
    <w:rsid w:val="22E20981"/>
    <w:rsid w:val="22E22A19"/>
    <w:rsid w:val="22E23150"/>
    <w:rsid w:val="22E26EBD"/>
    <w:rsid w:val="22E30BB5"/>
    <w:rsid w:val="22E320C7"/>
    <w:rsid w:val="22E362F8"/>
    <w:rsid w:val="22E405B5"/>
    <w:rsid w:val="22E4175C"/>
    <w:rsid w:val="22E449E3"/>
    <w:rsid w:val="22E5030E"/>
    <w:rsid w:val="22E5075C"/>
    <w:rsid w:val="22E526F0"/>
    <w:rsid w:val="22E55FC1"/>
    <w:rsid w:val="22E569AE"/>
    <w:rsid w:val="22E61AD1"/>
    <w:rsid w:val="22E62B4F"/>
    <w:rsid w:val="22E70030"/>
    <w:rsid w:val="22E744D4"/>
    <w:rsid w:val="22E770E1"/>
    <w:rsid w:val="22E7730A"/>
    <w:rsid w:val="22E80103"/>
    <w:rsid w:val="22E813DE"/>
    <w:rsid w:val="22E83907"/>
    <w:rsid w:val="22E83DA8"/>
    <w:rsid w:val="22E85DAF"/>
    <w:rsid w:val="22E9024C"/>
    <w:rsid w:val="22E91B93"/>
    <w:rsid w:val="22E91FFA"/>
    <w:rsid w:val="22EA03CB"/>
    <w:rsid w:val="22EA3023"/>
    <w:rsid w:val="22EA4E5A"/>
    <w:rsid w:val="22EA7B20"/>
    <w:rsid w:val="22EB411E"/>
    <w:rsid w:val="22EB5E41"/>
    <w:rsid w:val="22ED7C9F"/>
    <w:rsid w:val="22EE4221"/>
    <w:rsid w:val="22EF1233"/>
    <w:rsid w:val="22EF5136"/>
    <w:rsid w:val="22EF61DC"/>
    <w:rsid w:val="22F015DA"/>
    <w:rsid w:val="22F03CE2"/>
    <w:rsid w:val="22F133E6"/>
    <w:rsid w:val="22F15C66"/>
    <w:rsid w:val="22F1611C"/>
    <w:rsid w:val="22F17100"/>
    <w:rsid w:val="22F1771B"/>
    <w:rsid w:val="22F2262E"/>
    <w:rsid w:val="22F22FE5"/>
    <w:rsid w:val="22F25CAA"/>
    <w:rsid w:val="22F26581"/>
    <w:rsid w:val="22F32E79"/>
    <w:rsid w:val="22F34C27"/>
    <w:rsid w:val="22F36574"/>
    <w:rsid w:val="22F3720D"/>
    <w:rsid w:val="22F37619"/>
    <w:rsid w:val="22F4126A"/>
    <w:rsid w:val="22F416F4"/>
    <w:rsid w:val="22F4274D"/>
    <w:rsid w:val="22F444A7"/>
    <w:rsid w:val="22F45565"/>
    <w:rsid w:val="22F47480"/>
    <w:rsid w:val="22F51FF0"/>
    <w:rsid w:val="22F56BF1"/>
    <w:rsid w:val="22F60C69"/>
    <w:rsid w:val="22F61887"/>
    <w:rsid w:val="22F62969"/>
    <w:rsid w:val="22F653D0"/>
    <w:rsid w:val="22F65750"/>
    <w:rsid w:val="22F677FE"/>
    <w:rsid w:val="22F67FFE"/>
    <w:rsid w:val="22F71194"/>
    <w:rsid w:val="22F71CC2"/>
    <w:rsid w:val="22F72FB9"/>
    <w:rsid w:val="22F75627"/>
    <w:rsid w:val="22F8048F"/>
    <w:rsid w:val="22F8223D"/>
    <w:rsid w:val="22F823A0"/>
    <w:rsid w:val="22F8413B"/>
    <w:rsid w:val="22F866E1"/>
    <w:rsid w:val="22F870EC"/>
    <w:rsid w:val="22F97D63"/>
    <w:rsid w:val="22FA4207"/>
    <w:rsid w:val="22FA779A"/>
    <w:rsid w:val="22FB3ADB"/>
    <w:rsid w:val="22FB3FA8"/>
    <w:rsid w:val="22FD3CF7"/>
    <w:rsid w:val="22FD610A"/>
    <w:rsid w:val="22FD7397"/>
    <w:rsid w:val="22FE11E8"/>
    <w:rsid w:val="22FE4C82"/>
    <w:rsid w:val="22FF181D"/>
    <w:rsid w:val="22FF35CB"/>
    <w:rsid w:val="230010F2"/>
    <w:rsid w:val="230052ED"/>
    <w:rsid w:val="23011DCB"/>
    <w:rsid w:val="23024E6A"/>
    <w:rsid w:val="2302660E"/>
    <w:rsid w:val="230275B5"/>
    <w:rsid w:val="23030B29"/>
    <w:rsid w:val="23035E73"/>
    <w:rsid w:val="23040BE2"/>
    <w:rsid w:val="23046121"/>
    <w:rsid w:val="2304679B"/>
    <w:rsid w:val="23046E34"/>
    <w:rsid w:val="230473E9"/>
    <w:rsid w:val="2305495A"/>
    <w:rsid w:val="23056708"/>
    <w:rsid w:val="23057C2B"/>
    <w:rsid w:val="23063A86"/>
    <w:rsid w:val="230648F3"/>
    <w:rsid w:val="23072480"/>
    <w:rsid w:val="2307368E"/>
    <w:rsid w:val="23077290"/>
    <w:rsid w:val="23077E3B"/>
    <w:rsid w:val="230824DE"/>
    <w:rsid w:val="23085524"/>
    <w:rsid w:val="23087526"/>
    <w:rsid w:val="23091C40"/>
    <w:rsid w:val="230961F8"/>
    <w:rsid w:val="230A0ECC"/>
    <w:rsid w:val="230A413B"/>
    <w:rsid w:val="230A444A"/>
    <w:rsid w:val="230A4A59"/>
    <w:rsid w:val="230B1774"/>
    <w:rsid w:val="230B4AB0"/>
    <w:rsid w:val="230B4F2D"/>
    <w:rsid w:val="230B6414"/>
    <w:rsid w:val="230B683A"/>
    <w:rsid w:val="230D4226"/>
    <w:rsid w:val="230D52E5"/>
    <w:rsid w:val="230D7D07"/>
    <w:rsid w:val="230E15AE"/>
    <w:rsid w:val="230E1A60"/>
    <w:rsid w:val="230E316B"/>
    <w:rsid w:val="230E485F"/>
    <w:rsid w:val="230F38AE"/>
    <w:rsid w:val="230F63B4"/>
    <w:rsid w:val="230F7587"/>
    <w:rsid w:val="231057D9"/>
    <w:rsid w:val="23111551"/>
    <w:rsid w:val="231132FF"/>
    <w:rsid w:val="231150AD"/>
    <w:rsid w:val="231161CE"/>
    <w:rsid w:val="23121440"/>
    <w:rsid w:val="231227F8"/>
    <w:rsid w:val="23130100"/>
    <w:rsid w:val="23130E25"/>
    <w:rsid w:val="23131DB1"/>
    <w:rsid w:val="23137077"/>
    <w:rsid w:val="23137110"/>
    <w:rsid w:val="231401EA"/>
    <w:rsid w:val="23152DEF"/>
    <w:rsid w:val="23155FDF"/>
    <w:rsid w:val="23157720"/>
    <w:rsid w:val="23160915"/>
    <w:rsid w:val="23162DCF"/>
    <w:rsid w:val="2316317B"/>
    <w:rsid w:val="2316320E"/>
    <w:rsid w:val="23164DB9"/>
    <w:rsid w:val="23166B67"/>
    <w:rsid w:val="23166D34"/>
    <w:rsid w:val="231710FF"/>
    <w:rsid w:val="23171276"/>
    <w:rsid w:val="23171A19"/>
    <w:rsid w:val="23172410"/>
    <w:rsid w:val="23174EDD"/>
    <w:rsid w:val="231828DF"/>
    <w:rsid w:val="23184960"/>
    <w:rsid w:val="231921B3"/>
    <w:rsid w:val="231949E5"/>
    <w:rsid w:val="231A0405"/>
    <w:rsid w:val="231A5F07"/>
    <w:rsid w:val="231B1E43"/>
    <w:rsid w:val="231B23CF"/>
    <w:rsid w:val="231B417D"/>
    <w:rsid w:val="231C015F"/>
    <w:rsid w:val="231C42BB"/>
    <w:rsid w:val="231C657D"/>
    <w:rsid w:val="231D3230"/>
    <w:rsid w:val="231E67DF"/>
    <w:rsid w:val="231F33A3"/>
    <w:rsid w:val="231F3C6E"/>
    <w:rsid w:val="231F5A1C"/>
    <w:rsid w:val="23203542"/>
    <w:rsid w:val="2322375E"/>
    <w:rsid w:val="23224EA4"/>
    <w:rsid w:val="23231797"/>
    <w:rsid w:val="232329AD"/>
    <w:rsid w:val="23233F9F"/>
    <w:rsid w:val="23234FFC"/>
    <w:rsid w:val="2324723B"/>
    <w:rsid w:val="232474D6"/>
    <w:rsid w:val="23250B58"/>
    <w:rsid w:val="23251BD8"/>
    <w:rsid w:val="23254DF5"/>
    <w:rsid w:val="23256DAA"/>
    <w:rsid w:val="23264FFC"/>
    <w:rsid w:val="23265579"/>
    <w:rsid w:val="23267848"/>
    <w:rsid w:val="23267A27"/>
    <w:rsid w:val="232703F4"/>
    <w:rsid w:val="23272B22"/>
    <w:rsid w:val="23273348"/>
    <w:rsid w:val="232748D0"/>
    <w:rsid w:val="23284455"/>
    <w:rsid w:val="23287981"/>
    <w:rsid w:val="23290648"/>
    <w:rsid w:val="23294AEC"/>
    <w:rsid w:val="2329689A"/>
    <w:rsid w:val="232A142B"/>
    <w:rsid w:val="232A3179"/>
    <w:rsid w:val="232A3B63"/>
    <w:rsid w:val="232A43C0"/>
    <w:rsid w:val="232A616E"/>
    <w:rsid w:val="232A7663"/>
    <w:rsid w:val="232B147F"/>
    <w:rsid w:val="232B3A0B"/>
    <w:rsid w:val="232C0139"/>
    <w:rsid w:val="232C2037"/>
    <w:rsid w:val="232C7CCA"/>
    <w:rsid w:val="232D6E37"/>
    <w:rsid w:val="232E2103"/>
    <w:rsid w:val="232E3EB1"/>
    <w:rsid w:val="232E4E2E"/>
    <w:rsid w:val="232E5A1F"/>
    <w:rsid w:val="232F151C"/>
    <w:rsid w:val="232F71A8"/>
    <w:rsid w:val="232F7A4C"/>
    <w:rsid w:val="23302E78"/>
    <w:rsid w:val="233035C8"/>
    <w:rsid w:val="23312EF1"/>
    <w:rsid w:val="2331574F"/>
    <w:rsid w:val="23316C48"/>
    <w:rsid w:val="23331568"/>
    <w:rsid w:val="233444F5"/>
    <w:rsid w:val="23344885"/>
    <w:rsid w:val="23345B43"/>
    <w:rsid w:val="23346F67"/>
    <w:rsid w:val="23353C0B"/>
    <w:rsid w:val="23360FB7"/>
    <w:rsid w:val="23362D65"/>
    <w:rsid w:val="23367EF4"/>
    <w:rsid w:val="23371F11"/>
    <w:rsid w:val="23376CAD"/>
    <w:rsid w:val="23386ADD"/>
    <w:rsid w:val="23395BAF"/>
    <w:rsid w:val="233A4603"/>
    <w:rsid w:val="233B0D40"/>
    <w:rsid w:val="233B57DA"/>
    <w:rsid w:val="233C03FA"/>
    <w:rsid w:val="233C28CB"/>
    <w:rsid w:val="233C42B1"/>
    <w:rsid w:val="233D0598"/>
    <w:rsid w:val="233D1441"/>
    <w:rsid w:val="233D4342"/>
    <w:rsid w:val="233D4A23"/>
    <w:rsid w:val="233D5994"/>
    <w:rsid w:val="233D5EA2"/>
    <w:rsid w:val="233E0016"/>
    <w:rsid w:val="233E7DBC"/>
    <w:rsid w:val="233F39AC"/>
    <w:rsid w:val="233F4FE5"/>
    <w:rsid w:val="233F6FAA"/>
    <w:rsid w:val="233F75F6"/>
    <w:rsid w:val="233F7E6C"/>
    <w:rsid w:val="23402943"/>
    <w:rsid w:val="23403315"/>
    <w:rsid w:val="23403BE4"/>
    <w:rsid w:val="23411EA5"/>
    <w:rsid w:val="23412D55"/>
    <w:rsid w:val="23422FB2"/>
    <w:rsid w:val="23425BAE"/>
    <w:rsid w:val="2342795C"/>
    <w:rsid w:val="23430A9A"/>
    <w:rsid w:val="2343105D"/>
    <w:rsid w:val="23437EA5"/>
    <w:rsid w:val="234436D4"/>
    <w:rsid w:val="23443D08"/>
    <w:rsid w:val="234550BE"/>
    <w:rsid w:val="23455200"/>
    <w:rsid w:val="23457A9C"/>
    <w:rsid w:val="234611FA"/>
    <w:rsid w:val="234623F1"/>
    <w:rsid w:val="23463F15"/>
    <w:rsid w:val="23464D26"/>
    <w:rsid w:val="2346744C"/>
    <w:rsid w:val="234731C4"/>
    <w:rsid w:val="234751B6"/>
    <w:rsid w:val="23482267"/>
    <w:rsid w:val="23490CEA"/>
    <w:rsid w:val="23494ECF"/>
    <w:rsid w:val="234965C1"/>
    <w:rsid w:val="234A05BF"/>
    <w:rsid w:val="234A635F"/>
    <w:rsid w:val="234B4A63"/>
    <w:rsid w:val="234B6811"/>
    <w:rsid w:val="234B77EF"/>
    <w:rsid w:val="234C3850"/>
    <w:rsid w:val="234C4337"/>
    <w:rsid w:val="234C4621"/>
    <w:rsid w:val="234C7156"/>
    <w:rsid w:val="234D1354"/>
    <w:rsid w:val="234D23D0"/>
    <w:rsid w:val="234D33B5"/>
    <w:rsid w:val="234E00AF"/>
    <w:rsid w:val="234E4553"/>
    <w:rsid w:val="234E4D5F"/>
    <w:rsid w:val="234E6170"/>
    <w:rsid w:val="234F09B4"/>
    <w:rsid w:val="234F5BD5"/>
    <w:rsid w:val="23502079"/>
    <w:rsid w:val="235021D1"/>
    <w:rsid w:val="23503E27"/>
    <w:rsid w:val="235056E3"/>
    <w:rsid w:val="23507B91"/>
    <w:rsid w:val="23513661"/>
    <w:rsid w:val="23513C34"/>
    <w:rsid w:val="23515643"/>
    <w:rsid w:val="235174BE"/>
    <w:rsid w:val="23517B9F"/>
    <w:rsid w:val="2352122E"/>
    <w:rsid w:val="23527A67"/>
    <w:rsid w:val="23530B52"/>
    <w:rsid w:val="235356C5"/>
    <w:rsid w:val="2354369B"/>
    <w:rsid w:val="23544746"/>
    <w:rsid w:val="23544E06"/>
    <w:rsid w:val="2355143D"/>
    <w:rsid w:val="23551A56"/>
    <w:rsid w:val="235558E1"/>
    <w:rsid w:val="2355768F"/>
    <w:rsid w:val="23562D09"/>
    <w:rsid w:val="23563407"/>
    <w:rsid w:val="2356451C"/>
    <w:rsid w:val="23566F63"/>
    <w:rsid w:val="23581391"/>
    <w:rsid w:val="23582CDC"/>
    <w:rsid w:val="2359200C"/>
    <w:rsid w:val="235A2EF8"/>
    <w:rsid w:val="235A4CA6"/>
    <w:rsid w:val="235A78FF"/>
    <w:rsid w:val="235A7987"/>
    <w:rsid w:val="235B12EC"/>
    <w:rsid w:val="235B7191"/>
    <w:rsid w:val="235C0A1E"/>
    <w:rsid w:val="235C6C70"/>
    <w:rsid w:val="235D6544"/>
    <w:rsid w:val="235E3DED"/>
    <w:rsid w:val="235F0D81"/>
    <w:rsid w:val="235F406A"/>
    <w:rsid w:val="235F6687"/>
    <w:rsid w:val="23600585"/>
    <w:rsid w:val="23604207"/>
    <w:rsid w:val="23614286"/>
    <w:rsid w:val="23616034"/>
    <w:rsid w:val="23621DAC"/>
    <w:rsid w:val="236245E6"/>
    <w:rsid w:val="23626E91"/>
    <w:rsid w:val="23626F93"/>
    <w:rsid w:val="23627FFE"/>
    <w:rsid w:val="236317C0"/>
    <w:rsid w:val="236336A4"/>
    <w:rsid w:val="236339A5"/>
    <w:rsid w:val="23636F06"/>
    <w:rsid w:val="23643B7B"/>
    <w:rsid w:val="23645B24"/>
    <w:rsid w:val="23651AF0"/>
    <w:rsid w:val="2366189C"/>
    <w:rsid w:val="2366364A"/>
    <w:rsid w:val="23672234"/>
    <w:rsid w:val="23675887"/>
    <w:rsid w:val="236812D2"/>
    <w:rsid w:val="2369071C"/>
    <w:rsid w:val="23693C6E"/>
    <w:rsid w:val="23694C50"/>
    <w:rsid w:val="23696C97"/>
    <w:rsid w:val="236A6589"/>
    <w:rsid w:val="236A722B"/>
    <w:rsid w:val="236A7B6D"/>
    <w:rsid w:val="236B0A7D"/>
    <w:rsid w:val="236B0C61"/>
    <w:rsid w:val="236B2A0F"/>
    <w:rsid w:val="236B6DD9"/>
    <w:rsid w:val="236B7B73"/>
    <w:rsid w:val="236C49D9"/>
    <w:rsid w:val="236E0751"/>
    <w:rsid w:val="236E24FF"/>
    <w:rsid w:val="236F1622"/>
    <w:rsid w:val="236F1A45"/>
    <w:rsid w:val="236F202C"/>
    <w:rsid w:val="23700025"/>
    <w:rsid w:val="2370223B"/>
    <w:rsid w:val="23706277"/>
    <w:rsid w:val="23711FEF"/>
    <w:rsid w:val="237176C2"/>
    <w:rsid w:val="23720241"/>
    <w:rsid w:val="23721086"/>
    <w:rsid w:val="237224E0"/>
    <w:rsid w:val="23727B8C"/>
    <w:rsid w:val="23731EDA"/>
    <w:rsid w:val="23735D67"/>
    <w:rsid w:val="237361FE"/>
    <w:rsid w:val="23736C25"/>
    <w:rsid w:val="23737B15"/>
    <w:rsid w:val="237415CC"/>
    <w:rsid w:val="23757C61"/>
    <w:rsid w:val="23767606"/>
    <w:rsid w:val="237737AA"/>
    <w:rsid w:val="237815D0"/>
    <w:rsid w:val="2378337E"/>
    <w:rsid w:val="23784F3B"/>
    <w:rsid w:val="23785419"/>
    <w:rsid w:val="237868DC"/>
    <w:rsid w:val="23791DFB"/>
    <w:rsid w:val="237A503B"/>
    <w:rsid w:val="237A5348"/>
    <w:rsid w:val="237A65BE"/>
    <w:rsid w:val="237B5992"/>
    <w:rsid w:val="237C10C0"/>
    <w:rsid w:val="237C18C4"/>
    <w:rsid w:val="237C2E6E"/>
    <w:rsid w:val="237C4C1C"/>
    <w:rsid w:val="237C7AAB"/>
    <w:rsid w:val="237D090B"/>
    <w:rsid w:val="237D0994"/>
    <w:rsid w:val="237E0765"/>
    <w:rsid w:val="237E2F2D"/>
    <w:rsid w:val="237E49F4"/>
    <w:rsid w:val="237F21BD"/>
    <w:rsid w:val="237F312B"/>
    <w:rsid w:val="237F4744"/>
    <w:rsid w:val="237F5607"/>
    <w:rsid w:val="237F64BA"/>
    <w:rsid w:val="2380250D"/>
    <w:rsid w:val="23805B67"/>
    <w:rsid w:val="23810484"/>
    <w:rsid w:val="23810FFF"/>
    <w:rsid w:val="23812232"/>
    <w:rsid w:val="2381228C"/>
    <w:rsid w:val="23813BD0"/>
    <w:rsid w:val="23815D4C"/>
    <w:rsid w:val="2381607B"/>
    <w:rsid w:val="238241FC"/>
    <w:rsid w:val="2382592A"/>
    <w:rsid w:val="23825FAA"/>
    <w:rsid w:val="23826F3B"/>
    <w:rsid w:val="23827D58"/>
    <w:rsid w:val="2383244E"/>
    <w:rsid w:val="23834CE9"/>
    <w:rsid w:val="23847980"/>
    <w:rsid w:val="23852551"/>
    <w:rsid w:val="23860F70"/>
    <w:rsid w:val="23863CED"/>
    <w:rsid w:val="238665D1"/>
    <w:rsid w:val="23871813"/>
    <w:rsid w:val="23874C53"/>
    <w:rsid w:val="238762A5"/>
    <w:rsid w:val="238869EC"/>
    <w:rsid w:val="23887E17"/>
    <w:rsid w:val="23894BE4"/>
    <w:rsid w:val="2389558B"/>
    <w:rsid w:val="23897339"/>
    <w:rsid w:val="238A37F2"/>
    <w:rsid w:val="238A4DDF"/>
    <w:rsid w:val="238B1303"/>
    <w:rsid w:val="238B30B1"/>
    <w:rsid w:val="238C0BD7"/>
    <w:rsid w:val="238C41FE"/>
    <w:rsid w:val="238C6112"/>
    <w:rsid w:val="238D675B"/>
    <w:rsid w:val="238E0DF3"/>
    <w:rsid w:val="238E1BDE"/>
    <w:rsid w:val="238E494F"/>
    <w:rsid w:val="238F2921"/>
    <w:rsid w:val="238F7AE0"/>
    <w:rsid w:val="23906919"/>
    <w:rsid w:val="23906FA0"/>
    <w:rsid w:val="239072E6"/>
    <w:rsid w:val="23914961"/>
    <w:rsid w:val="239161EE"/>
    <w:rsid w:val="239202E0"/>
    <w:rsid w:val="239221F2"/>
    <w:rsid w:val="23930C1F"/>
    <w:rsid w:val="23932557"/>
    <w:rsid w:val="2393471F"/>
    <w:rsid w:val="2393640A"/>
    <w:rsid w:val="23947504"/>
    <w:rsid w:val="239506C2"/>
    <w:rsid w:val="23953040"/>
    <w:rsid w:val="23953F30"/>
    <w:rsid w:val="23955CDE"/>
    <w:rsid w:val="23957A8C"/>
    <w:rsid w:val="23963804"/>
    <w:rsid w:val="239674A8"/>
    <w:rsid w:val="23973225"/>
    <w:rsid w:val="23984C30"/>
    <w:rsid w:val="239857CE"/>
    <w:rsid w:val="23985DF6"/>
    <w:rsid w:val="2399524F"/>
    <w:rsid w:val="239A1546"/>
    <w:rsid w:val="239A32E7"/>
    <w:rsid w:val="239B5A21"/>
    <w:rsid w:val="239C07D8"/>
    <w:rsid w:val="239C0EDA"/>
    <w:rsid w:val="239C46B7"/>
    <w:rsid w:val="239C52BE"/>
    <w:rsid w:val="239D2DE4"/>
    <w:rsid w:val="239D4C6A"/>
    <w:rsid w:val="239D778E"/>
    <w:rsid w:val="239E13A3"/>
    <w:rsid w:val="239E4078"/>
    <w:rsid w:val="239E4EE9"/>
    <w:rsid w:val="239E6BF2"/>
    <w:rsid w:val="239F090A"/>
    <w:rsid w:val="239F2441"/>
    <w:rsid w:val="23A0428C"/>
    <w:rsid w:val="23A05A18"/>
    <w:rsid w:val="23A107AC"/>
    <w:rsid w:val="23A128D5"/>
    <w:rsid w:val="23A14683"/>
    <w:rsid w:val="23A14F0C"/>
    <w:rsid w:val="23A16C40"/>
    <w:rsid w:val="23A221A9"/>
    <w:rsid w:val="23A27E04"/>
    <w:rsid w:val="23A32D3D"/>
    <w:rsid w:val="23A3664D"/>
    <w:rsid w:val="23A40072"/>
    <w:rsid w:val="23A40321"/>
    <w:rsid w:val="23A44173"/>
    <w:rsid w:val="23A45F21"/>
    <w:rsid w:val="23A503FA"/>
    <w:rsid w:val="23A52CF7"/>
    <w:rsid w:val="23A61C99"/>
    <w:rsid w:val="23A6613D"/>
    <w:rsid w:val="23A70596"/>
    <w:rsid w:val="23A711B6"/>
    <w:rsid w:val="23A73CF3"/>
    <w:rsid w:val="23A75A11"/>
    <w:rsid w:val="23A77962"/>
    <w:rsid w:val="23A83C63"/>
    <w:rsid w:val="23A83F33"/>
    <w:rsid w:val="23A929AA"/>
    <w:rsid w:val="23A93537"/>
    <w:rsid w:val="23AA2DDC"/>
    <w:rsid w:val="23AA7E0D"/>
    <w:rsid w:val="23AB0D52"/>
    <w:rsid w:val="23AB23C9"/>
    <w:rsid w:val="23AB2B2B"/>
    <w:rsid w:val="23AB426C"/>
    <w:rsid w:val="23AC3027"/>
    <w:rsid w:val="23AC5FEC"/>
    <w:rsid w:val="23AD7B35"/>
    <w:rsid w:val="23AE0B4E"/>
    <w:rsid w:val="23AE4FF1"/>
    <w:rsid w:val="23AE6990"/>
    <w:rsid w:val="23AF245C"/>
    <w:rsid w:val="23AF3398"/>
    <w:rsid w:val="23AF6323"/>
    <w:rsid w:val="23B00D6A"/>
    <w:rsid w:val="23B02B18"/>
    <w:rsid w:val="23B04775"/>
    <w:rsid w:val="23B048B1"/>
    <w:rsid w:val="23B048C6"/>
    <w:rsid w:val="23B07801"/>
    <w:rsid w:val="23B100DE"/>
    <w:rsid w:val="23B2156E"/>
    <w:rsid w:val="23B24AE2"/>
    <w:rsid w:val="23B24D6E"/>
    <w:rsid w:val="23B31FBC"/>
    <w:rsid w:val="23B343B6"/>
    <w:rsid w:val="23B3515A"/>
    <w:rsid w:val="23B44B6D"/>
    <w:rsid w:val="23B45F70"/>
    <w:rsid w:val="23B5012E"/>
    <w:rsid w:val="23B52198"/>
    <w:rsid w:val="23B56380"/>
    <w:rsid w:val="23B6137F"/>
    <w:rsid w:val="23B62BED"/>
    <w:rsid w:val="23B720F8"/>
    <w:rsid w:val="23B75C54"/>
    <w:rsid w:val="23B80E02"/>
    <w:rsid w:val="23B81166"/>
    <w:rsid w:val="23B819CC"/>
    <w:rsid w:val="23B86302"/>
    <w:rsid w:val="23B86870"/>
    <w:rsid w:val="23B87AF9"/>
    <w:rsid w:val="23BA3996"/>
    <w:rsid w:val="23BA4C4A"/>
    <w:rsid w:val="23BA5744"/>
    <w:rsid w:val="23BB2B38"/>
    <w:rsid w:val="23BB34F9"/>
    <w:rsid w:val="23BB3D61"/>
    <w:rsid w:val="23BC03CF"/>
    <w:rsid w:val="23BC1AE2"/>
    <w:rsid w:val="23BC3477"/>
    <w:rsid w:val="23BC3AB0"/>
    <w:rsid w:val="23BD5235"/>
    <w:rsid w:val="23BD6681"/>
    <w:rsid w:val="23BE0FA1"/>
    <w:rsid w:val="23BE5A1F"/>
    <w:rsid w:val="23BF1BBE"/>
    <w:rsid w:val="23C00415"/>
    <w:rsid w:val="23C10881"/>
    <w:rsid w:val="23C12F77"/>
    <w:rsid w:val="23C15745"/>
    <w:rsid w:val="23C21E3A"/>
    <w:rsid w:val="23C2284B"/>
    <w:rsid w:val="23C30B15"/>
    <w:rsid w:val="23C334D5"/>
    <w:rsid w:val="23C44815"/>
    <w:rsid w:val="23C50DFE"/>
    <w:rsid w:val="23C562A3"/>
    <w:rsid w:val="23C6058D"/>
    <w:rsid w:val="23C62FBD"/>
    <w:rsid w:val="23C6758F"/>
    <w:rsid w:val="23C70C7F"/>
    <w:rsid w:val="23C72304"/>
    <w:rsid w:val="23C734A3"/>
    <w:rsid w:val="23C76570"/>
    <w:rsid w:val="23C85900"/>
    <w:rsid w:val="23C86365"/>
    <w:rsid w:val="23C929CA"/>
    <w:rsid w:val="23C93BD9"/>
    <w:rsid w:val="23C94C24"/>
    <w:rsid w:val="23C969CE"/>
    <w:rsid w:val="23C977F5"/>
    <w:rsid w:val="23CB16FF"/>
    <w:rsid w:val="23CB4497"/>
    <w:rsid w:val="23CB47D0"/>
    <w:rsid w:val="23CB4D3A"/>
    <w:rsid w:val="23CB5BA3"/>
    <w:rsid w:val="23CB69AD"/>
    <w:rsid w:val="23CB7951"/>
    <w:rsid w:val="23CD304C"/>
    <w:rsid w:val="23CD5478"/>
    <w:rsid w:val="23CD77C3"/>
    <w:rsid w:val="23CE155A"/>
    <w:rsid w:val="23CE2F9E"/>
    <w:rsid w:val="23CF04B6"/>
    <w:rsid w:val="23CF0B19"/>
    <w:rsid w:val="23CF2712"/>
    <w:rsid w:val="23CF72BD"/>
    <w:rsid w:val="23D02D31"/>
    <w:rsid w:val="23D031BA"/>
    <w:rsid w:val="23D04F68"/>
    <w:rsid w:val="23D06D16"/>
    <w:rsid w:val="23D15728"/>
    <w:rsid w:val="23D15E6F"/>
    <w:rsid w:val="23D16A12"/>
    <w:rsid w:val="23D16F16"/>
    <w:rsid w:val="23D20B18"/>
    <w:rsid w:val="23D20CE0"/>
    <w:rsid w:val="23D23F7E"/>
    <w:rsid w:val="23D305B4"/>
    <w:rsid w:val="23D30ED7"/>
    <w:rsid w:val="23D36811"/>
    <w:rsid w:val="23D370D1"/>
    <w:rsid w:val="23D41BB8"/>
    <w:rsid w:val="23D42CAA"/>
    <w:rsid w:val="23D50239"/>
    <w:rsid w:val="23D55D98"/>
    <w:rsid w:val="23D55E5B"/>
    <w:rsid w:val="23D613D8"/>
    <w:rsid w:val="23D6170C"/>
    <w:rsid w:val="23D63C5E"/>
    <w:rsid w:val="23D671A6"/>
    <w:rsid w:val="23D700A4"/>
    <w:rsid w:val="23D808C2"/>
    <w:rsid w:val="23D83E1C"/>
    <w:rsid w:val="23D96B4E"/>
    <w:rsid w:val="23DA1DD3"/>
    <w:rsid w:val="23DA58AD"/>
    <w:rsid w:val="23DA7B95"/>
    <w:rsid w:val="23DB1EE7"/>
    <w:rsid w:val="23DB41D1"/>
    <w:rsid w:val="23DB7146"/>
    <w:rsid w:val="23DC1E90"/>
    <w:rsid w:val="23DC390D"/>
    <w:rsid w:val="23DC4E0C"/>
    <w:rsid w:val="23DD70FB"/>
    <w:rsid w:val="23DE1C48"/>
    <w:rsid w:val="23DE2F0E"/>
    <w:rsid w:val="23DE58D7"/>
    <w:rsid w:val="23DE5A83"/>
    <w:rsid w:val="23DF164F"/>
    <w:rsid w:val="23DF295E"/>
    <w:rsid w:val="23DF51AB"/>
    <w:rsid w:val="23E00285"/>
    <w:rsid w:val="23E01B49"/>
    <w:rsid w:val="23E031DB"/>
    <w:rsid w:val="23E15A7C"/>
    <w:rsid w:val="23E31058"/>
    <w:rsid w:val="23E32F6D"/>
    <w:rsid w:val="23E356EC"/>
    <w:rsid w:val="23E40A13"/>
    <w:rsid w:val="23E40B36"/>
    <w:rsid w:val="23E443FD"/>
    <w:rsid w:val="23E46C65"/>
    <w:rsid w:val="23E57478"/>
    <w:rsid w:val="23E57F40"/>
    <w:rsid w:val="23E6129C"/>
    <w:rsid w:val="23E6478B"/>
    <w:rsid w:val="23E72982"/>
    <w:rsid w:val="23E72D7E"/>
    <w:rsid w:val="23E7405F"/>
    <w:rsid w:val="23E813A3"/>
    <w:rsid w:val="23E97DD8"/>
    <w:rsid w:val="23EA026F"/>
    <w:rsid w:val="23EA6B2E"/>
    <w:rsid w:val="23EB0A99"/>
    <w:rsid w:val="23EB3B50"/>
    <w:rsid w:val="23EB7FF4"/>
    <w:rsid w:val="23EC1509"/>
    <w:rsid w:val="23EC3090"/>
    <w:rsid w:val="23EC420C"/>
    <w:rsid w:val="23EC7600"/>
    <w:rsid w:val="23ED1676"/>
    <w:rsid w:val="23ED396D"/>
    <w:rsid w:val="23ED46EB"/>
    <w:rsid w:val="23ED5B1A"/>
    <w:rsid w:val="23EE2706"/>
    <w:rsid w:val="23EE53EE"/>
    <w:rsid w:val="23EF1510"/>
    <w:rsid w:val="23EF1892"/>
    <w:rsid w:val="23EF1939"/>
    <w:rsid w:val="23F01166"/>
    <w:rsid w:val="23F0560A"/>
    <w:rsid w:val="23F17782"/>
    <w:rsid w:val="23F32A04"/>
    <w:rsid w:val="23F35236"/>
    <w:rsid w:val="23F44CC2"/>
    <w:rsid w:val="23F50DC1"/>
    <w:rsid w:val="23F517A7"/>
    <w:rsid w:val="23F52C20"/>
    <w:rsid w:val="23F549CE"/>
    <w:rsid w:val="23F65C81"/>
    <w:rsid w:val="23F70B0A"/>
    <w:rsid w:val="23F76998"/>
    <w:rsid w:val="23F8016D"/>
    <w:rsid w:val="23F8076A"/>
    <w:rsid w:val="23F95193"/>
    <w:rsid w:val="23F97302"/>
    <w:rsid w:val="23FA0237"/>
    <w:rsid w:val="23FA2D00"/>
    <w:rsid w:val="23FA3D93"/>
    <w:rsid w:val="23FA6C47"/>
    <w:rsid w:val="23FB1052"/>
    <w:rsid w:val="23FB633D"/>
    <w:rsid w:val="23FC34CB"/>
    <w:rsid w:val="23FC5D5D"/>
    <w:rsid w:val="23FC6C82"/>
    <w:rsid w:val="23FD1ABA"/>
    <w:rsid w:val="23FE0CE8"/>
    <w:rsid w:val="23FE188A"/>
    <w:rsid w:val="23FE1AD5"/>
    <w:rsid w:val="23FE3883"/>
    <w:rsid w:val="23FE7D27"/>
    <w:rsid w:val="23FF13A9"/>
    <w:rsid w:val="23FF2D74"/>
    <w:rsid w:val="23FF35A8"/>
    <w:rsid w:val="23FF452C"/>
    <w:rsid w:val="23FF584D"/>
    <w:rsid w:val="23FF5990"/>
    <w:rsid w:val="23FF6CAD"/>
    <w:rsid w:val="23FF7543"/>
    <w:rsid w:val="24000D54"/>
    <w:rsid w:val="24002495"/>
    <w:rsid w:val="24004006"/>
    <w:rsid w:val="2401106B"/>
    <w:rsid w:val="240210CD"/>
    <w:rsid w:val="240264F6"/>
    <w:rsid w:val="24030E99"/>
    <w:rsid w:val="24030FFE"/>
    <w:rsid w:val="240349F6"/>
    <w:rsid w:val="2403533D"/>
    <w:rsid w:val="24037600"/>
    <w:rsid w:val="24037792"/>
    <w:rsid w:val="24037BE3"/>
    <w:rsid w:val="2405172C"/>
    <w:rsid w:val="240544D6"/>
    <w:rsid w:val="24054C81"/>
    <w:rsid w:val="24056855"/>
    <w:rsid w:val="24056A11"/>
    <w:rsid w:val="240607D0"/>
    <w:rsid w:val="24060DA7"/>
    <w:rsid w:val="24064BC6"/>
    <w:rsid w:val="24066C85"/>
    <w:rsid w:val="240729FD"/>
    <w:rsid w:val="2407361F"/>
    <w:rsid w:val="24083684"/>
    <w:rsid w:val="240853F4"/>
    <w:rsid w:val="240861CC"/>
    <w:rsid w:val="2409047A"/>
    <w:rsid w:val="24091B16"/>
    <w:rsid w:val="24095906"/>
    <w:rsid w:val="24097F11"/>
    <w:rsid w:val="240B2444"/>
    <w:rsid w:val="240B41F2"/>
    <w:rsid w:val="240B5FA0"/>
    <w:rsid w:val="240C7DD7"/>
    <w:rsid w:val="240D1079"/>
    <w:rsid w:val="240D1D18"/>
    <w:rsid w:val="240F21AB"/>
    <w:rsid w:val="240F5A90"/>
    <w:rsid w:val="241006B3"/>
    <w:rsid w:val="24100849"/>
    <w:rsid w:val="24102138"/>
    <w:rsid w:val="241067BA"/>
    <w:rsid w:val="24107B4C"/>
    <w:rsid w:val="24115A88"/>
    <w:rsid w:val="2411700A"/>
    <w:rsid w:val="24124D7F"/>
    <w:rsid w:val="24125580"/>
    <w:rsid w:val="24132953"/>
    <w:rsid w:val="24134E54"/>
    <w:rsid w:val="241412F8"/>
    <w:rsid w:val="24146C39"/>
    <w:rsid w:val="2415065A"/>
    <w:rsid w:val="2415200F"/>
    <w:rsid w:val="24155071"/>
    <w:rsid w:val="2416438A"/>
    <w:rsid w:val="241659F9"/>
    <w:rsid w:val="24172A1B"/>
    <w:rsid w:val="2417728C"/>
    <w:rsid w:val="24180CBD"/>
    <w:rsid w:val="24181984"/>
    <w:rsid w:val="2418246B"/>
    <w:rsid w:val="24185E45"/>
    <w:rsid w:val="24186FDB"/>
    <w:rsid w:val="241906BD"/>
    <w:rsid w:val="24194B61"/>
    <w:rsid w:val="2419690F"/>
    <w:rsid w:val="241A2687"/>
    <w:rsid w:val="241A2DD3"/>
    <w:rsid w:val="241A7148"/>
    <w:rsid w:val="241C5C3D"/>
    <w:rsid w:val="241C67DD"/>
    <w:rsid w:val="241D19BD"/>
    <w:rsid w:val="241D2C4B"/>
    <w:rsid w:val="241E2177"/>
    <w:rsid w:val="241E3D49"/>
    <w:rsid w:val="241E5CD3"/>
    <w:rsid w:val="241E5D9A"/>
    <w:rsid w:val="241F37F9"/>
    <w:rsid w:val="241F3DFA"/>
    <w:rsid w:val="241F799A"/>
    <w:rsid w:val="2420033E"/>
    <w:rsid w:val="2420217D"/>
    <w:rsid w:val="24206C18"/>
    <w:rsid w:val="24207C9D"/>
    <w:rsid w:val="242202A4"/>
    <w:rsid w:val="2422439F"/>
    <w:rsid w:val="24226165"/>
    <w:rsid w:val="2423153B"/>
    <w:rsid w:val="24234632"/>
    <w:rsid w:val="2423778D"/>
    <w:rsid w:val="2425014F"/>
    <w:rsid w:val="24253506"/>
    <w:rsid w:val="242552B4"/>
    <w:rsid w:val="2425650F"/>
    <w:rsid w:val="2427341B"/>
    <w:rsid w:val="242735EE"/>
    <w:rsid w:val="24276354"/>
    <w:rsid w:val="24280900"/>
    <w:rsid w:val="2428336C"/>
    <w:rsid w:val="24284949"/>
    <w:rsid w:val="24284DA4"/>
    <w:rsid w:val="24285695"/>
    <w:rsid w:val="24286B52"/>
    <w:rsid w:val="24293423"/>
    <w:rsid w:val="24294678"/>
    <w:rsid w:val="24297F60"/>
    <w:rsid w:val="242A0B1C"/>
    <w:rsid w:val="242A3FC1"/>
    <w:rsid w:val="242B1E47"/>
    <w:rsid w:val="242B219E"/>
    <w:rsid w:val="242C6DFF"/>
    <w:rsid w:val="242D23BA"/>
    <w:rsid w:val="242E1BAC"/>
    <w:rsid w:val="242E2942"/>
    <w:rsid w:val="242F4D8B"/>
    <w:rsid w:val="242F67D5"/>
    <w:rsid w:val="242F69A3"/>
    <w:rsid w:val="24301E0F"/>
    <w:rsid w:val="24303C58"/>
    <w:rsid w:val="243050F2"/>
    <w:rsid w:val="24306B58"/>
    <w:rsid w:val="24311EAA"/>
    <w:rsid w:val="24320144"/>
    <w:rsid w:val="24320BF2"/>
    <w:rsid w:val="2432352D"/>
    <w:rsid w:val="243279D1"/>
    <w:rsid w:val="24333CAB"/>
    <w:rsid w:val="24335324"/>
    <w:rsid w:val="24343533"/>
    <w:rsid w:val="243454F7"/>
    <w:rsid w:val="243472A5"/>
    <w:rsid w:val="2435360E"/>
    <w:rsid w:val="24364810"/>
    <w:rsid w:val="243674C1"/>
    <w:rsid w:val="24372971"/>
    <w:rsid w:val="24373239"/>
    <w:rsid w:val="24373C1E"/>
    <w:rsid w:val="24374FE7"/>
    <w:rsid w:val="243763C9"/>
    <w:rsid w:val="243807CB"/>
    <w:rsid w:val="2438146A"/>
    <w:rsid w:val="243865C5"/>
    <w:rsid w:val="24390D5F"/>
    <w:rsid w:val="24392B0D"/>
    <w:rsid w:val="243948BB"/>
    <w:rsid w:val="2439706A"/>
    <w:rsid w:val="24397AB2"/>
    <w:rsid w:val="243A34A9"/>
    <w:rsid w:val="243A6885"/>
    <w:rsid w:val="243B00F9"/>
    <w:rsid w:val="243B4AD7"/>
    <w:rsid w:val="243C25FD"/>
    <w:rsid w:val="243C43AB"/>
    <w:rsid w:val="243E0123"/>
    <w:rsid w:val="243E45C7"/>
    <w:rsid w:val="243E6375"/>
    <w:rsid w:val="243F5C4A"/>
    <w:rsid w:val="244035FB"/>
    <w:rsid w:val="24405610"/>
    <w:rsid w:val="244119C2"/>
    <w:rsid w:val="24413553"/>
    <w:rsid w:val="24416F07"/>
    <w:rsid w:val="24417C14"/>
    <w:rsid w:val="24422C3A"/>
    <w:rsid w:val="24432AED"/>
    <w:rsid w:val="24435FDA"/>
    <w:rsid w:val="24445438"/>
    <w:rsid w:val="24447738"/>
    <w:rsid w:val="24460E5F"/>
    <w:rsid w:val="2446522A"/>
    <w:rsid w:val="24466A0F"/>
    <w:rsid w:val="24480FA2"/>
    <w:rsid w:val="24482291"/>
    <w:rsid w:val="244860B9"/>
    <w:rsid w:val="24487692"/>
    <w:rsid w:val="2449211A"/>
    <w:rsid w:val="244A1B0D"/>
    <w:rsid w:val="244A2F6C"/>
    <w:rsid w:val="244B2840"/>
    <w:rsid w:val="244B45EE"/>
    <w:rsid w:val="244B7021"/>
    <w:rsid w:val="244B7CEF"/>
    <w:rsid w:val="244D0366"/>
    <w:rsid w:val="244D65B8"/>
    <w:rsid w:val="244E32A7"/>
    <w:rsid w:val="244E793D"/>
    <w:rsid w:val="244F0582"/>
    <w:rsid w:val="244F2331"/>
    <w:rsid w:val="244F252C"/>
    <w:rsid w:val="244F5A79"/>
    <w:rsid w:val="244F6D8A"/>
    <w:rsid w:val="24503469"/>
    <w:rsid w:val="2450363A"/>
    <w:rsid w:val="24505CDB"/>
    <w:rsid w:val="245069C9"/>
    <w:rsid w:val="24507E57"/>
    <w:rsid w:val="24513CB5"/>
    <w:rsid w:val="24513CEA"/>
    <w:rsid w:val="245142FB"/>
    <w:rsid w:val="245143AD"/>
    <w:rsid w:val="245177B4"/>
    <w:rsid w:val="245178E2"/>
    <w:rsid w:val="24523BCF"/>
    <w:rsid w:val="2452597D"/>
    <w:rsid w:val="24537E8A"/>
    <w:rsid w:val="24547947"/>
    <w:rsid w:val="2455546D"/>
    <w:rsid w:val="24555ADB"/>
    <w:rsid w:val="2456072D"/>
    <w:rsid w:val="245636BF"/>
    <w:rsid w:val="24572F93"/>
    <w:rsid w:val="245731AB"/>
    <w:rsid w:val="245739FD"/>
    <w:rsid w:val="2457471E"/>
    <w:rsid w:val="245748E0"/>
    <w:rsid w:val="2457550E"/>
    <w:rsid w:val="245931AF"/>
    <w:rsid w:val="24594F5D"/>
    <w:rsid w:val="24596D0B"/>
    <w:rsid w:val="245A6B46"/>
    <w:rsid w:val="245B2AA2"/>
    <w:rsid w:val="245B2DEE"/>
    <w:rsid w:val="245B4119"/>
    <w:rsid w:val="245B61C4"/>
    <w:rsid w:val="245B6F27"/>
    <w:rsid w:val="245C2357"/>
    <w:rsid w:val="245C2C9F"/>
    <w:rsid w:val="245C4A4D"/>
    <w:rsid w:val="245C5E57"/>
    <w:rsid w:val="245C6C04"/>
    <w:rsid w:val="245D000B"/>
    <w:rsid w:val="245E07C6"/>
    <w:rsid w:val="245E2574"/>
    <w:rsid w:val="245E2E5F"/>
    <w:rsid w:val="245E4322"/>
    <w:rsid w:val="245F0EEB"/>
    <w:rsid w:val="245F4681"/>
    <w:rsid w:val="245F66E0"/>
    <w:rsid w:val="2460453E"/>
    <w:rsid w:val="246052F7"/>
    <w:rsid w:val="24613E12"/>
    <w:rsid w:val="24624982"/>
    <w:rsid w:val="24635DDC"/>
    <w:rsid w:val="24642A53"/>
    <w:rsid w:val="24646D22"/>
    <w:rsid w:val="24652FBD"/>
    <w:rsid w:val="2465328A"/>
    <w:rsid w:val="24653902"/>
    <w:rsid w:val="24665940"/>
    <w:rsid w:val="24672836"/>
    <w:rsid w:val="246758CC"/>
    <w:rsid w:val="24681644"/>
    <w:rsid w:val="246833F2"/>
    <w:rsid w:val="24683BCD"/>
    <w:rsid w:val="246840C4"/>
    <w:rsid w:val="246851A0"/>
    <w:rsid w:val="246853BA"/>
    <w:rsid w:val="246856A3"/>
    <w:rsid w:val="2468605A"/>
    <w:rsid w:val="246905D0"/>
    <w:rsid w:val="246953F2"/>
    <w:rsid w:val="246A1453"/>
    <w:rsid w:val="246A53BC"/>
    <w:rsid w:val="246B6A3F"/>
    <w:rsid w:val="246C147E"/>
    <w:rsid w:val="246C3D73"/>
    <w:rsid w:val="246C54B4"/>
    <w:rsid w:val="246C5502"/>
    <w:rsid w:val="246D27B7"/>
    <w:rsid w:val="246D3861"/>
    <w:rsid w:val="246E0168"/>
    <w:rsid w:val="246E0249"/>
    <w:rsid w:val="246E106A"/>
    <w:rsid w:val="246E4997"/>
    <w:rsid w:val="246E6609"/>
    <w:rsid w:val="246F2A3C"/>
    <w:rsid w:val="246F4B0D"/>
    <w:rsid w:val="246F652F"/>
    <w:rsid w:val="2470008C"/>
    <w:rsid w:val="247022A7"/>
    <w:rsid w:val="24705813"/>
    <w:rsid w:val="24710AA3"/>
    <w:rsid w:val="24723F26"/>
    <w:rsid w:val="24724271"/>
    <w:rsid w:val="2472495D"/>
    <w:rsid w:val="24726FC7"/>
    <w:rsid w:val="24727DCD"/>
    <w:rsid w:val="24731075"/>
    <w:rsid w:val="24741D97"/>
    <w:rsid w:val="24743B45"/>
    <w:rsid w:val="24747FE9"/>
    <w:rsid w:val="24756566"/>
    <w:rsid w:val="24757CA7"/>
    <w:rsid w:val="24765B0F"/>
    <w:rsid w:val="24770F7C"/>
    <w:rsid w:val="24771887"/>
    <w:rsid w:val="24773635"/>
    <w:rsid w:val="247753E3"/>
    <w:rsid w:val="24775FC4"/>
    <w:rsid w:val="247833D0"/>
    <w:rsid w:val="24785961"/>
    <w:rsid w:val="247862F9"/>
    <w:rsid w:val="24792817"/>
    <w:rsid w:val="247A388C"/>
    <w:rsid w:val="247B3126"/>
    <w:rsid w:val="247B4ED4"/>
    <w:rsid w:val="247C0C4C"/>
    <w:rsid w:val="247C5D7F"/>
    <w:rsid w:val="247C68F3"/>
    <w:rsid w:val="247D2F13"/>
    <w:rsid w:val="247D33FB"/>
    <w:rsid w:val="247D49BE"/>
    <w:rsid w:val="247D50F0"/>
    <w:rsid w:val="247E480D"/>
    <w:rsid w:val="247E6772"/>
    <w:rsid w:val="247E7AD8"/>
    <w:rsid w:val="247F06FE"/>
    <w:rsid w:val="247F3158"/>
    <w:rsid w:val="247F6844"/>
    <w:rsid w:val="2480215C"/>
    <w:rsid w:val="248024EA"/>
    <w:rsid w:val="2480528F"/>
    <w:rsid w:val="24805C6E"/>
    <w:rsid w:val="24815A71"/>
    <w:rsid w:val="24816CC7"/>
    <w:rsid w:val="24822095"/>
    <w:rsid w:val="24822706"/>
    <w:rsid w:val="24831243"/>
    <w:rsid w:val="24831832"/>
    <w:rsid w:val="248322AB"/>
    <w:rsid w:val="24841378"/>
    <w:rsid w:val="24844413"/>
    <w:rsid w:val="248471A4"/>
    <w:rsid w:val="2485792E"/>
    <w:rsid w:val="24866D29"/>
    <w:rsid w:val="24870270"/>
    <w:rsid w:val="248741BC"/>
    <w:rsid w:val="24874423"/>
    <w:rsid w:val="24874831"/>
    <w:rsid w:val="248765BF"/>
    <w:rsid w:val="24880887"/>
    <w:rsid w:val="2488352F"/>
    <w:rsid w:val="24883A75"/>
    <w:rsid w:val="24891ED5"/>
    <w:rsid w:val="248921C0"/>
    <w:rsid w:val="2489439D"/>
    <w:rsid w:val="24896341"/>
    <w:rsid w:val="248A3369"/>
    <w:rsid w:val="248A5E6C"/>
    <w:rsid w:val="248B63B2"/>
    <w:rsid w:val="248B7965"/>
    <w:rsid w:val="248C335D"/>
    <w:rsid w:val="248C6B1F"/>
    <w:rsid w:val="248D02B0"/>
    <w:rsid w:val="248D10AB"/>
    <w:rsid w:val="248D4C07"/>
    <w:rsid w:val="248E5098"/>
    <w:rsid w:val="248F097F"/>
    <w:rsid w:val="248F4E0C"/>
    <w:rsid w:val="248F4E23"/>
    <w:rsid w:val="248F558F"/>
    <w:rsid w:val="2490316E"/>
    <w:rsid w:val="249037E0"/>
    <w:rsid w:val="24912949"/>
    <w:rsid w:val="2491532A"/>
    <w:rsid w:val="24915D3F"/>
    <w:rsid w:val="2492424B"/>
    <w:rsid w:val="249302D2"/>
    <w:rsid w:val="2493065F"/>
    <w:rsid w:val="24934BD0"/>
    <w:rsid w:val="249366D3"/>
    <w:rsid w:val="249509BD"/>
    <w:rsid w:val="24952229"/>
    <w:rsid w:val="24962290"/>
    <w:rsid w:val="2496440F"/>
    <w:rsid w:val="249661B1"/>
    <w:rsid w:val="24967E12"/>
    <w:rsid w:val="24967F5F"/>
    <w:rsid w:val="2497247B"/>
    <w:rsid w:val="24975A76"/>
    <w:rsid w:val="2497667E"/>
    <w:rsid w:val="24977834"/>
    <w:rsid w:val="24980A26"/>
    <w:rsid w:val="24980BC0"/>
    <w:rsid w:val="24981271"/>
    <w:rsid w:val="249917FE"/>
    <w:rsid w:val="249944D1"/>
    <w:rsid w:val="24994742"/>
    <w:rsid w:val="24994A97"/>
    <w:rsid w:val="24997A50"/>
    <w:rsid w:val="249A0C51"/>
    <w:rsid w:val="249A0E95"/>
    <w:rsid w:val="249A0EF7"/>
    <w:rsid w:val="249B16EF"/>
    <w:rsid w:val="249B2C9D"/>
    <w:rsid w:val="249B37C8"/>
    <w:rsid w:val="249C1522"/>
    <w:rsid w:val="249C1C32"/>
    <w:rsid w:val="249C4A19"/>
    <w:rsid w:val="249C4E4A"/>
    <w:rsid w:val="249C6803"/>
    <w:rsid w:val="249C782B"/>
    <w:rsid w:val="249D7540"/>
    <w:rsid w:val="249E0BC2"/>
    <w:rsid w:val="249E2CA0"/>
    <w:rsid w:val="249E5066"/>
    <w:rsid w:val="249E5772"/>
    <w:rsid w:val="249E6E14"/>
    <w:rsid w:val="249F2657"/>
    <w:rsid w:val="249F53F6"/>
    <w:rsid w:val="24A02ABB"/>
    <w:rsid w:val="24A02B8C"/>
    <w:rsid w:val="24A0493A"/>
    <w:rsid w:val="24A106B2"/>
    <w:rsid w:val="24A16714"/>
    <w:rsid w:val="24A24B56"/>
    <w:rsid w:val="24A25AA4"/>
    <w:rsid w:val="24A26904"/>
    <w:rsid w:val="24A3267C"/>
    <w:rsid w:val="24A34F2A"/>
    <w:rsid w:val="24A415E4"/>
    <w:rsid w:val="24A465FD"/>
    <w:rsid w:val="24A47BD1"/>
    <w:rsid w:val="24A5122F"/>
    <w:rsid w:val="24A575E0"/>
    <w:rsid w:val="24A63957"/>
    <w:rsid w:val="24A64F52"/>
    <w:rsid w:val="24A65D1A"/>
    <w:rsid w:val="24A7216D"/>
    <w:rsid w:val="24A80AA9"/>
    <w:rsid w:val="24A85EE5"/>
    <w:rsid w:val="24A87C93"/>
    <w:rsid w:val="24A932B1"/>
    <w:rsid w:val="24A939DB"/>
    <w:rsid w:val="24A96724"/>
    <w:rsid w:val="24AA31AC"/>
    <w:rsid w:val="24AA68E6"/>
    <w:rsid w:val="24AA7099"/>
    <w:rsid w:val="24AA7567"/>
    <w:rsid w:val="24AB32DF"/>
    <w:rsid w:val="24AB6318"/>
    <w:rsid w:val="24AC106B"/>
    <w:rsid w:val="24AC1531"/>
    <w:rsid w:val="24AD3DD7"/>
    <w:rsid w:val="24AD52A9"/>
    <w:rsid w:val="24AE0E9A"/>
    <w:rsid w:val="24AF1021"/>
    <w:rsid w:val="24AF12C8"/>
    <w:rsid w:val="24AF2DCF"/>
    <w:rsid w:val="24AF4B7D"/>
    <w:rsid w:val="24AF7273"/>
    <w:rsid w:val="24B00C44"/>
    <w:rsid w:val="24B046AB"/>
    <w:rsid w:val="24B06AE2"/>
    <w:rsid w:val="24B1010E"/>
    <w:rsid w:val="24B107CA"/>
    <w:rsid w:val="24B1183B"/>
    <w:rsid w:val="24B166C8"/>
    <w:rsid w:val="24B16B47"/>
    <w:rsid w:val="24B34642"/>
    <w:rsid w:val="24B4543E"/>
    <w:rsid w:val="24B45F55"/>
    <w:rsid w:val="24B46637"/>
    <w:rsid w:val="24B50519"/>
    <w:rsid w:val="24B623B0"/>
    <w:rsid w:val="24B6415E"/>
    <w:rsid w:val="24B6591B"/>
    <w:rsid w:val="24B65F0C"/>
    <w:rsid w:val="24B740BF"/>
    <w:rsid w:val="24B774FB"/>
    <w:rsid w:val="24B77ED6"/>
    <w:rsid w:val="24B80EEA"/>
    <w:rsid w:val="24B83315"/>
    <w:rsid w:val="24B84555"/>
    <w:rsid w:val="24B86128"/>
    <w:rsid w:val="24B91939"/>
    <w:rsid w:val="24B93C4E"/>
    <w:rsid w:val="24B96126"/>
    <w:rsid w:val="24B96F50"/>
    <w:rsid w:val="24BA4B4F"/>
    <w:rsid w:val="24BA5D18"/>
    <w:rsid w:val="24BA63DB"/>
    <w:rsid w:val="24BB1774"/>
    <w:rsid w:val="24BB37D4"/>
    <w:rsid w:val="24BB3FBB"/>
    <w:rsid w:val="24BB4BCA"/>
    <w:rsid w:val="24BB4C9A"/>
    <w:rsid w:val="24BB77DD"/>
    <w:rsid w:val="24BB786B"/>
    <w:rsid w:val="24BC54EC"/>
    <w:rsid w:val="24BC5D8B"/>
    <w:rsid w:val="24BE4D5C"/>
    <w:rsid w:val="24BE74B6"/>
    <w:rsid w:val="24BF09F7"/>
    <w:rsid w:val="24BF0AEA"/>
    <w:rsid w:val="24BF2D29"/>
    <w:rsid w:val="24BF6222"/>
    <w:rsid w:val="24C00B0C"/>
    <w:rsid w:val="24C0272A"/>
    <w:rsid w:val="24C063FD"/>
    <w:rsid w:val="24C06D8A"/>
    <w:rsid w:val="24C13568"/>
    <w:rsid w:val="24C1359F"/>
    <w:rsid w:val="24C148B0"/>
    <w:rsid w:val="24C2136D"/>
    <w:rsid w:val="24C22B02"/>
    <w:rsid w:val="24C257C0"/>
    <w:rsid w:val="24C30629"/>
    <w:rsid w:val="24C3089C"/>
    <w:rsid w:val="24C31BF0"/>
    <w:rsid w:val="24C31F83"/>
    <w:rsid w:val="24C3312C"/>
    <w:rsid w:val="24C35FFD"/>
    <w:rsid w:val="24C37B5D"/>
    <w:rsid w:val="24C45946"/>
    <w:rsid w:val="24C4697F"/>
    <w:rsid w:val="24C543A1"/>
    <w:rsid w:val="24C57FA9"/>
    <w:rsid w:val="24C630CC"/>
    <w:rsid w:val="24C65372"/>
    <w:rsid w:val="24C70119"/>
    <w:rsid w:val="24C745BD"/>
    <w:rsid w:val="24C81068"/>
    <w:rsid w:val="24C83E91"/>
    <w:rsid w:val="24C84B79"/>
    <w:rsid w:val="24C86268"/>
    <w:rsid w:val="24C86644"/>
    <w:rsid w:val="24C90335"/>
    <w:rsid w:val="24C92677"/>
    <w:rsid w:val="24CA3262"/>
    <w:rsid w:val="24CA5E5B"/>
    <w:rsid w:val="24CB12EC"/>
    <w:rsid w:val="24CB34B1"/>
    <w:rsid w:val="24CC3981"/>
    <w:rsid w:val="24CC572F"/>
    <w:rsid w:val="24CD0A8F"/>
    <w:rsid w:val="24CD14A7"/>
    <w:rsid w:val="24CF19BC"/>
    <w:rsid w:val="24CF3999"/>
    <w:rsid w:val="24CF4762"/>
    <w:rsid w:val="24CF521F"/>
    <w:rsid w:val="24D00DA8"/>
    <w:rsid w:val="24D07F8B"/>
    <w:rsid w:val="24D12D46"/>
    <w:rsid w:val="24D1483D"/>
    <w:rsid w:val="24D171E9"/>
    <w:rsid w:val="24D21D46"/>
    <w:rsid w:val="24D32F62"/>
    <w:rsid w:val="24D373EF"/>
    <w:rsid w:val="24D40EDE"/>
    <w:rsid w:val="24D46CDA"/>
    <w:rsid w:val="24D50412"/>
    <w:rsid w:val="24D545CC"/>
    <w:rsid w:val="24D54E6B"/>
    <w:rsid w:val="24D54EEA"/>
    <w:rsid w:val="24D6035C"/>
    <w:rsid w:val="24D64800"/>
    <w:rsid w:val="24D665AE"/>
    <w:rsid w:val="24D67B63"/>
    <w:rsid w:val="24D726DF"/>
    <w:rsid w:val="24D739F5"/>
    <w:rsid w:val="24D740D4"/>
    <w:rsid w:val="24D749CA"/>
    <w:rsid w:val="24D804D4"/>
    <w:rsid w:val="24D80578"/>
    <w:rsid w:val="24D87DB1"/>
    <w:rsid w:val="24D942F0"/>
    <w:rsid w:val="24D9609E"/>
    <w:rsid w:val="24DA2DF4"/>
    <w:rsid w:val="24DB1E16"/>
    <w:rsid w:val="24DB298B"/>
    <w:rsid w:val="24DB3BC4"/>
    <w:rsid w:val="24DB4284"/>
    <w:rsid w:val="24DB5972"/>
    <w:rsid w:val="24DC7CF1"/>
    <w:rsid w:val="24DD0075"/>
    <w:rsid w:val="24DD00DF"/>
    <w:rsid w:val="24DD2294"/>
    <w:rsid w:val="24DD3289"/>
    <w:rsid w:val="24DD793C"/>
    <w:rsid w:val="24DE0291"/>
    <w:rsid w:val="24DE1906"/>
    <w:rsid w:val="24DE36B4"/>
    <w:rsid w:val="24E011DB"/>
    <w:rsid w:val="24E01DC6"/>
    <w:rsid w:val="24E044D2"/>
    <w:rsid w:val="24E0742D"/>
    <w:rsid w:val="24E10292"/>
    <w:rsid w:val="24E16D01"/>
    <w:rsid w:val="24E22A16"/>
    <w:rsid w:val="24E231A5"/>
    <w:rsid w:val="24E23B68"/>
    <w:rsid w:val="24E24F53"/>
    <w:rsid w:val="24E32A79"/>
    <w:rsid w:val="24E35063"/>
    <w:rsid w:val="24E40E30"/>
    <w:rsid w:val="24E46F1D"/>
    <w:rsid w:val="24E4735D"/>
    <w:rsid w:val="24E52C95"/>
    <w:rsid w:val="24E54A43"/>
    <w:rsid w:val="24E567F1"/>
    <w:rsid w:val="24E71634"/>
    <w:rsid w:val="24E72569"/>
    <w:rsid w:val="24E72EEB"/>
    <w:rsid w:val="24E733C6"/>
    <w:rsid w:val="24E744EC"/>
    <w:rsid w:val="24E753F8"/>
    <w:rsid w:val="24E75BE3"/>
    <w:rsid w:val="24E7671C"/>
    <w:rsid w:val="24E8121A"/>
    <w:rsid w:val="24E8332D"/>
    <w:rsid w:val="24E862E1"/>
    <w:rsid w:val="24E87B40"/>
    <w:rsid w:val="24E94533"/>
    <w:rsid w:val="24EA32DC"/>
    <w:rsid w:val="24EB6C2C"/>
    <w:rsid w:val="24EB6F36"/>
    <w:rsid w:val="24EC5DD1"/>
    <w:rsid w:val="24ED190D"/>
    <w:rsid w:val="24ED2D10"/>
    <w:rsid w:val="24ED45C1"/>
    <w:rsid w:val="24ED56A6"/>
    <w:rsid w:val="24EF2C61"/>
    <w:rsid w:val="24EF58C2"/>
    <w:rsid w:val="24EF7588"/>
    <w:rsid w:val="24EF7670"/>
    <w:rsid w:val="24F02E15"/>
    <w:rsid w:val="24F10D26"/>
    <w:rsid w:val="24F1163A"/>
    <w:rsid w:val="24F1229D"/>
    <w:rsid w:val="24F15196"/>
    <w:rsid w:val="24F2052C"/>
    <w:rsid w:val="24F2280F"/>
    <w:rsid w:val="24F353B2"/>
    <w:rsid w:val="24F37160"/>
    <w:rsid w:val="24F42ED8"/>
    <w:rsid w:val="24F44C86"/>
    <w:rsid w:val="24F44E2B"/>
    <w:rsid w:val="24F4656C"/>
    <w:rsid w:val="24F46A34"/>
    <w:rsid w:val="24F508DE"/>
    <w:rsid w:val="24F53F45"/>
    <w:rsid w:val="24F63A5D"/>
    <w:rsid w:val="24F65CD0"/>
    <w:rsid w:val="24F674E5"/>
    <w:rsid w:val="24F71BF0"/>
    <w:rsid w:val="24F72AFC"/>
    <w:rsid w:val="24F76B35"/>
    <w:rsid w:val="24F806C0"/>
    <w:rsid w:val="24F80BA9"/>
    <w:rsid w:val="24F828E9"/>
    <w:rsid w:val="24F86524"/>
    <w:rsid w:val="24F9229C"/>
    <w:rsid w:val="24FB4266"/>
    <w:rsid w:val="24FB6014"/>
    <w:rsid w:val="24FB7DC2"/>
    <w:rsid w:val="24FC224D"/>
    <w:rsid w:val="24FD1D8D"/>
    <w:rsid w:val="24FD1EF8"/>
    <w:rsid w:val="24FD3288"/>
    <w:rsid w:val="24FE78B3"/>
    <w:rsid w:val="24FE7E03"/>
    <w:rsid w:val="24FF195F"/>
    <w:rsid w:val="24FF73CB"/>
    <w:rsid w:val="25001901"/>
    <w:rsid w:val="2500245D"/>
    <w:rsid w:val="2500362B"/>
    <w:rsid w:val="250052AB"/>
    <w:rsid w:val="25007546"/>
    <w:rsid w:val="2501052C"/>
    <w:rsid w:val="25010B70"/>
    <w:rsid w:val="25011C53"/>
    <w:rsid w:val="2502111B"/>
    <w:rsid w:val="25021EB4"/>
    <w:rsid w:val="25024C03"/>
    <w:rsid w:val="250255F5"/>
    <w:rsid w:val="250273A3"/>
    <w:rsid w:val="250318FA"/>
    <w:rsid w:val="2503311B"/>
    <w:rsid w:val="25034EC9"/>
    <w:rsid w:val="25040928"/>
    <w:rsid w:val="2504136D"/>
    <w:rsid w:val="25050C41"/>
    <w:rsid w:val="25056E93"/>
    <w:rsid w:val="25062115"/>
    <w:rsid w:val="250665DE"/>
    <w:rsid w:val="25070E5D"/>
    <w:rsid w:val="25072C0B"/>
    <w:rsid w:val="2507531F"/>
    <w:rsid w:val="25075E65"/>
    <w:rsid w:val="25086C8D"/>
    <w:rsid w:val="25090731"/>
    <w:rsid w:val="250927FD"/>
    <w:rsid w:val="25094FEB"/>
    <w:rsid w:val="250A108A"/>
    <w:rsid w:val="250A111B"/>
    <w:rsid w:val="250A2633"/>
    <w:rsid w:val="250A426C"/>
    <w:rsid w:val="250A6257"/>
    <w:rsid w:val="250C0222"/>
    <w:rsid w:val="250C1FD0"/>
    <w:rsid w:val="250D3731"/>
    <w:rsid w:val="250D4D13"/>
    <w:rsid w:val="250D7AF6"/>
    <w:rsid w:val="250E05A3"/>
    <w:rsid w:val="250E0B4C"/>
    <w:rsid w:val="250E726B"/>
    <w:rsid w:val="250F5E26"/>
    <w:rsid w:val="250F7D12"/>
    <w:rsid w:val="25104604"/>
    <w:rsid w:val="25110665"/>
    <w:rsid w:val="25112E5F"/>
    <w:rsid w:val="25113A8A"/>
    <w:rsid w:val="25121795"/>
    <w:rsid w:val="251315B0"/>
    <w:rsid w:val="25132F85"/>
    <w:rsid w:val="2513335E"/>
    <w:rsid w:val="2513397F"/>
    <w:rsid w:val="25140E84"/>
    <w:rsid w:val="25145328"/>
    <w:rsid w:val="251470D6"/>
    <w:rsid w:val="2515148A"/>
    <w:rsid w:val="2516076E"/>
    <w:rsid w:val="251610A0"/>
    <w:rsid w:val="25162E4E"/>
    <w:rsid w:val="25163E64"/>
    <w:rsid w:val="25164BFC"/>
    <w:rsid w:val="25171955"/>
    <w:rsid w:val="25177A1A"/>
    <w:rsid w:val="25180974"/>
    <w:rsid w:val="2518625E"/>
    <w:rsid w:val="25186BC6"/>
    <w:rsid w:val="251952CD"/>
    <w:rsid w:val="2519649B"/>
    <w:rsid w:val="25196DF7"/>
    <w:rsid w:val="251A2D39"/>
    <w:rsid w:val="251A2D4A"/>
    <w:rsid w:val="251A3E89"/>
    <w:rsid w:val="251A4A2E"/>
    <w:rsid w:val="251B0400"/>
    <w:rsid w:val="251B0465"/>
    <w:rsid w:val="251B2213"/>
    <w:rsid w:val="251B73A3"/>
    <w:rsid w:val="251D242F"/>
    <w:rsid w:val="251E2AD6"/>
    <w:rsid w:val="251E3693"/>
    <w:rsid w:val="251E5675"/>
    <w:rsid w:val="251E6B93"/>
    <w:rsid w:val="251F61A7"/>
    <w:rsid w:val="25201F1F"/>
    <w:rsid w:val="25203CCD"/>
    <w:rsid w:val="2520440C"/>
    <w:rsid w:val="25207829"/>
    <w:rsid w:val="25210108"/>
    <w:rsid w:val="25227A45"/>
    <w:rsid w:val="25231339"/>
    <w:rsid w:val="252427C9"/>
    <w:rsid w:val="2524556B"/>
    <w:rsid w:val="25245AA6"/>
    <w:rsid w:val="252512E3"/>
    <w:rsid w:val="2525539A"/>
    <w:rsid w:val="25256813"/>
    <w:rsid w:val="2526030B"/>
    <w:rsid w:val="2526151C"/>
    <w:rsid w:val="25264EFD"/>
    <w:rsid w:val="25283070"/>
    <w:rsid w:val="25283750"/>
    <w:rsid w:val="25290DD3"/>
    <w:rsid w:val="25291246"/>
    <w:rsid w:val="25293FDD"/>
    <w:rsid w:val="252A0156"/>
    <w:rsid w:val="252A033C"/>
    <w:rsid w:val="252A06A8"/>
    <w:rsid w:val="252A68FA"/>
    <w:rsid w:val="252A7D7C"/>
    <w:rsid w:val="252B363B"/>
    <w:rsid w:val="252B68D5"/>
    <w:rsid w:val="252C08C4"/>
    <w:rsid w:val="252C2672"/>
    <w:rsid w:val="252C4420"/>
    <w:rsid w:val="252D4FBC"/>
    <w:rsid w:val="252D53FE"/>
    <w:rsid w:val="252D66FD"/>
    <w:rsid w:val="252E2709"/>
    <w:rsid w:val="252F0929"/>
    <w:rsid w:val="252F26B7"/>
    <w:rsid w:val="252F3087"/>
    <w:rsid w:val="252F3F10"/>
    <w:rsid w:val="252F5CBE"/>
    <w:rsid w:val="25302162"/>
    <w:rsid w:val="25302876"/>
    <w:rsid w:val="25303BE6"/>
    <w:rsid w:val="2530507E"/>
    <w:rsid w:val="25306B73"/>
    <w:rsid w:val="2531310B"/>
    <w:rsid w:val="25315EDA"/>
    <w:rsid w:val="2531650E"/>
    <w:rsid w:val="25331202"/>
    <w:rsid w:val="2533308F"/>
    <w:rsid w:val="2533461C"/>
    <w:rsid w:val="2533755C"/>
    <w:rsid w:val="253421B0"/>
    <w:rsid w:val="25352B7D"/>
    <w:rsid w:val="2536529E"/>
    <w:rsid w:val="2536704D"/>
    <w:rsid w:val="25367417"/>
    <w:rsid w:val="253725AB"/>
    <w:rsid w:val="253773FA"/>
    <w:rsid w:val="25377B02"/>
    <w:rsid w:val="25382DC5"/>
    <w:rsid w:val="25385294"/>
    <w:rsid w:val="25387269"/>
    <w:rsid w:val="25396B3D"/>
    <w:rsid w:val="25397112"/>
    <w:rsid w:val="253B2830"/>
    <w:rsid w:val="253B2878"/>
    <w:rsid w:val="253B3824"/>
    <w:rsid w:val="253B4663"/>
    <w:rsid w:val="253D03DB"/>
    <w:rsid w:val="253D07AE"/>
    <w:rsid w:val="253D5AEE"/>
    <w:rsid w:val="253F05F7"/>
    <w:rsid w:val="253F4153"/>
    <w:rsid w:val="253F73D1"/>
    <w:rsid w:val="25404172"/>
    <w:rsid w:val="254060AD"/>
    <w:rsid w:val="2540611D"/>
    <w:rsid w:val="25407ECB"/>
    <w:rsid w:val="25413432"/>
    <w:rsid w:val="25413497"/>
    <w:rsid w:val="25422098"/>
    <w:rsid w:val="254256CA"/>
    <w:rsid w:val="25427493"/>
    <w:rsid w:val="2543788F"/>
    <w:rsid w:val="25441769"/>
    <w:rsid w:val="25450940"/>
    <w:rsid w:val="2545304D"/>
    <w:rsid w:val="25453733"/>
    <w:rsid w:val="254554E2"/>
    <w:rsid w:val="25457290"/>
    <w:rsid w:val="2547125A"/>
    <w:rsid w:val="25472F43"/>
    <w:rsid w:val="25473008"/>
    <w:rsid w:val="254774AC"/>
    <w:rsid w:val="25477544"/>
    <w:rsid w:val="25481BC4"/>
    <w:rsid w:val="25493224"/>
    <w:rsid w:val="254933EC"/>
    <w:rsid w:val="254A0D4A"/>
    <w:rsid w:val="254A305F"/>
    <w:rsid w:val="254B1C86"/>
    <w:rsid w:val="254B6F49"/>
    <w:rsid w:val="254C061E"/>
    <w:rsid w:val="254C2D14"/>
    <w:rsid w:val="254C6870"/>
    <w:rsid w:val="254D45A6"/>
    <w:rsid w:val="254D4A63"/>
    <w:rsid w:val="254E06EB"/>
    <w:rsid w:val="254E083A"/>
    <w:rsid w:val="254F010E"/>
    <w:rsid w:val="254F41BD"/>
    <w:rsid w:val="25501A97"/>
    <w:rsid w:val="255045B2"/>
    <w:rsid w:val="25506360"/>
    <w:rsid w:val="2551032A"/>
    <w:rsid w:val="25513E86"/>
    <w:rsid w:val="255201FC"/>
    <w:rsid w:val="255209ED"/>
    <w:rsid w:val="2552184A"/>
    <w:rsid w:val="25526F88"/>
    <w:rsid w:val="25535E50"/>
    <w:rsid w:val="25536832"/>
    <w:rsid w:val="255445EA"/>
    <w:rsid w:val="25546684"/>
    <w:rsid w:val="25550FED"/>
    <w:rsid w:val="25553977"/>
    <w:rsid w:val="25555F05"/>
    <w:rsid w:val="2556149D"/>
    <w:rsid w:val="25565941"/>
    <w:rsid w:val="255676EF"/>
    <w:rsid w:val="255816B9"/>
    <w:rsid w:val="25585215"/>
    <w:rsid w:val="255869C1"/>
    <w:rsid w:val="25592D3B"/>
    <w:rsid w:val="25594A65"/>
    <w:rsid w:val="25594F9F"/>
    <w:rsid w:val="25596D92"/>
    <w:rsid w:val="255A0F8D"/>
    <w:rsid w:val="255A175D"/>
    <w:rsid w:val="255A71DF"/>
    <w:rsid w:val="255B2F57"/>
    <w:rsid w:val="255B4CEF"/>
    <w:rsid w:val="255C003A"/>
    <w:rsid w:val="255D1541"/>
    <w:rsid w:val="255D2751"/>
    <w:rsid w:val="255D3037"/>
    <w:rsid w:val="255D6CCF"/>
    <w:rsid w:val="255E2196"/>
    <w:rsid w:val="255E552B"/>
    <w:rsid w:val="255F47F5"/>
    <w:rsid w:val="255F68A1"/>
    <w:rsid w:val="25606344"/>
    <w:rsid w:val="2561056D"/>
    <w:rsid w:val="2561102C"/>
    <w:rsid w:val="256261AB"/>
    <w:rsid w:val="25627259"/>
    <w:rsid w:val="25627E42"/>
    <w:rsid w:val="2563247C"/>
    <w:rsid w:val="256342BF"/>
    <w:rsid w:val="256367CC"/>
    <w:rsid w:val="2564005E"/>
    <w:rsid w:val="25641112"/>
    <w:rsid w:val="25642005"/>
    <w:rsid w:val="25643BBA"/>
    <w:rsid w:val="256516E0"/>
    <w:rsid w:val="256537C5"/>
    <w:rsid w:val="2565387F"/>
    <w:rsid w:val="256745E4"/>
    <w:rsid w:val="25675458"/>
    <w:rsid w:val="25675748"/>
    <w:rsid w:val="25677D1E"/>
    <w:rsid w:val="256811AE"/>
    <w:rsid w:val="25682745"/>
    <w:rsid w:val="256908D9"/>
    <w:rsid w:val="256911D0"/>
    <w:rsid w:val="25695674"/>
    <w:rsid w:val="25695993"/>
    <w:rsid w:val="25697422"/>
    <w:rsid w:val="25697998"/>
    <w:rsid w:val="256A244C"/>
    <w:rsid w:val="256A4F48"/>
    <w:rsid w:val="256A61E3"/>
    <w:rsid w:val="256B1D08"/>
    <w:rsid w:val="256B319A"/>
    <w:rsid w:val="256B7F46"/>
    <w:rsid w:val="256C0CC0"/>
    <w:rsid w:val="256C7D65"/>
    <w:rsid w:val="256D201E"/>
    <w:rsid w:val="256D2A5A"/>
    <w:rsid w:val="256D3EE4"/>
    <w:rsid w:val="256D5CC5"/>
    <w:rsid w:val="256E4A38"/>
    <w:rsid w:val="256E4B60"/>
    <w:rsid w:val="256E67E6"/>
    <w:rsid w:val="256E7960"/>
    <w:rsid w:val="256F470B"/>
    <w:rsid w:val="257007B0"/>
    <w:rsid w:val="25701708"/>
    <w:rsid w:val="25706A02"/>
    <w:rsid w:val="257160DE"/>
    <w:rsid w:val="25722280"/>
    <w:rsid w:val="2572277A"/>
    <w:rsid w:val="25750D2C"/>
    <w:rsid w:val="257531E6"/>
    <w:rsid w:val="257539AC"/>
    <w:rsid w:val="25754019"/>
    <w:rsid w:val="25756071"/>
    <w:rsid w:val="25757B75"/>
    <w:rsid w:val="25761B3F"/>
    <w:rsid w:val="257637B2"/>
    <w:rsid w:val="2576468E"/>
    <w:rsid w:val="257752D1"/>
    <w:rsid w:val="25776A69"/>
    <w:rsid w:val="25776B77"/>
    <w:rsid w:val="25780CA3"/>
    <w:rsid w:val="25781413"/>
    <w:rsid w:val="257833A7"/>
    <w:rsid w:val="25783B09"/>
    <w:rsid w:val="257842C5"/>
    <w:rsid w:val="257858B7"/>
    <w:rsid w:val="25786102"/>
    <w:rsid w:val="25787665"/>
    <w:rsid w:val="25792133"/>
    <w:rsid w:val="257A162F"/>
    <w:rsid w:val="257B385C"/>
    <w:rsid w:val="257B7155"/>
    <w:rsid w:val="257C53A7"/>
    <w:rsid w:val="257D111F"/>
    <w:rsid w:val="257D1F44"/>
    <w:rsid w:val="257D2ECD"/>
    <w:rsid w:val="257D4C7B"/>
    <w:rsid w:val="257E4755"/>
    <w:rsid w:val="257E748B"/>
    <w:rsid w:val="257F09F3"/>
    <w:rsid w:val="257F27A2"/>
    <w:rsid w:val="257F2DC4"/>
    <w:rsid w:val="257F77D2"/>
    <w:rsid w:val="258016E4"/>
    <w:rsid w:val="25801CC6"/>
    <w:rsid w:val="2580476C"/>
    <w:rsid w:val="25806D42"/>
    <w:rsid w:val="258108C5"/>
    <w:rsid w:val="25822292"/>
    <w:rsid w:val="25823163"/>
    <w:rsid w:val="258231E5"/>
    <w:rsid w:val="25826736"/>
    <w:rsid w:val="25832E07"/>
    <w:rsid w:val="258355DC"/>
    <w:rsid w:val="258424AE"/>
    <w:rsid w:val="258425A7"/>
    <w:rsid w:val="2584351E"/>
    <w:rsid w:val="2584600A"/>
    <w:rsid w:val="2584689F"/>
    <w:rsid w:val="25847708"/>
    <w:rsid w:val="25852DBB"/>
    <w:rsid w:val="25853B30"/>
    <w:rsid w:val="25854B6C"/>
    <w:rsid w:val="25857006"/>
    <w:rsid w:val="25857E7B"/>
    <w:rsid w:val="25861B66"/>
    <w:rsid w:val="25861D82"/>
    <w:rsid w:val="25867FD4"/>
    <w:rsid w:val="25871783"/>
    <w:rsid w:val="258723DB"/>
    <w:rsid w:val="25873000"/>
    <w:rsid w:val="25876F14"/>
    <w:rsid w:val="2588020F"/>
    <w:rsid w:val="25880798"/>
    <w:rsid w:val="25885131"/>
    <w:rsid w:val="258904E7"/>
    <w:rsid w:val="25890B8B"/>
    <w:rsid w:val="25891872"/>
    <w:rsid w:val="25893620"/>
    <w:rsid w:val="25895706"/>
    <w:rsid w:val="25896D09"/>
    <w:rsid w:val="258B27FF"/>
    <w:rsid w:val="258B55EA"/>
    <w:rsid w:val="258B7398"/>
    <w:rsid w:val="258C1362"/>
    <w:rsid w:val="258D24BC"/>
    <w:rsid w:val="258D56DA"/>
    <w:rsid w:val="258E02F8"/>
    <w:rsid w:val="258E0C37"/>
    <w:rsid w:val="258E0E11"/>
    <w:rsid w:val="258F4359"/>
    <w:rsid w:val="258F6E4A"/>
    <w:rsid w:val="25900E53"/>
    <w:rsid w:val="25902941"/>
    <w:rsid w:val="259049AF"/>
    <w:rsid w:val="2591055E"/>
    <w:rsid w:val="25910727"/>
    <w:rsid w:val="259124D5"/>
    <w:rsid w:val="25914D4F"/>
    <w:rsid w:val="259167C1"/>
    <w:rsid w:val="25916979"/>
    <w:rsid w:val="25916C79"/>
    <w:rsid w:val="259207B1"/>
    <w:rsid w:val="25921364"/>
    <w:rsid w:val="25923B47"/>
    <w:rsid w:val="259315DE"/>
    <w:rsid w:val="2593416A"/>
    <w:rsid w:val="259358AB"/>
    <w:rsid w:val="2593624D"/>
    <w:rsid w:val="25937077"/>
    <w:rsid w:val="25944AA9"/>
    <w:rsid w:val="25946B13"/>
    <w:rsid w:val="25946D3B"/>
    <w:rsid w:val="25963238"/>
    <w:rsid w:val="2596403B"/>
    <w:rsid w:val="25965D3D"/>
    <w:rsid w:val="25971900"/>
    <w:rsid w:val="25983276"/>
    <w:rsid w:val="25983F78"/>
    <w:rsid w:val="25990713"/>
    <w:rsid w:val="25997DE6"/>
    <w:rsid w:val="259A519A"/>
    <w:rsid w:val="259A582D"/>
    <w:rsid w:val="259A75DB"/>
    <w:rsid w:val="259B4462"/>
    <w:rsid w:val="259C15A5"/>
    <w:rsid w:val="259C7AF4"/>
    <w:rsid w:val="259D08E8"/>
    <w:rsid w:val="259D0A97"/>
    <w:rsid w:val="259D3570"/>
    <w:rsid w:val="259D3753"/>
    <w:rsid w:val="259D531E"/>
    <w:rsid w:val="259D5973"/>
    <w:rsid w:val="259D70CC"/>
    <w:rsid w:val="259E29BE"/>
    <w:rsid w:val="259F4BF2"/>
    <w:rsid w:val="25A0096A"/>
    <w:rsid w:val="25A0296A"/>
    <w:rsid w:val="25A0633E"/>
    <w:rsid w:val="25A14E0E"/>
    <w:rsid w:val="25A161CA"/>
    <w:rsid w:val="25A16BBC"/>
    <w:rsid w:val="25A20E20"/>
    <w:rsid w:val="25A227CF"/>
    <w:rsid w:val="25A22934"/>
    <w:rsid w:val="25A4112A"/>
    <w:rsid w:val="25A466AC"/>
    <w:rsid w:val="25A477D9"/>
    <w:rsid w:val="25A50D72"/>
    <w:rsid w:val="25A53741"/>
    <w:rsid w:val="25A548A1"/>
    <w:rsid w:val="25A549AF"/>
    <w:rsid w:val="25A55F80"/>
    <w:rsid w:val="25A6086F"/>
    <w:rsid w:val="25A61150"/>
    <w:rsid w:val="25A6206F"/>
    <w:rsid w:val="25A62FF3"/>
    <w:rsid w:val="25A641D2"/>
    <w:rsid w:val="25A751B1"/>
    <w:rsid w:val="25A76296"/>
    <w:rsid w:val="25A77F4A"/>
    <w:rsid w:val="25A83A70"/>
    <w:rsid w:val="25A84F00"/>
    <w:rsid w:val="25A9081D"/>
    <w:rsid w:val="25A91F14"/>
    <w:rsid w:val="25A945FB"/>
    <w:rsid w:val="25A95A70"/>
    <w:rsid w:val="25AA7F8B"/>
    <w:rsid w:val="25AB04FD"/>
    <w:rsid w:val="25AB0B9A"/>
    <w:rsid w:val="25AB3597"/>
    <w:rsid w:val="25AB3B32"/>
    <w:rsid w:val="25AB47DA"/>
    <w:rsid w:val="25AB4FC2"/>
    <w:rsid w:val="25AC5561"/>
    <w:rsid w:val="25AD74DE"/>
    <w:rsid w:val="25AE12D9"/>
    <w:rsid w:val="25AE2268"/>
    <w:rsid w:val="25AF4181"/>
    <w:rsid w:val="25AF4FA3"/>
    <w:rsid w:val="25AF6769"/>
    <w:rsid w:val="25AF7183"/>
    <w:rsid w:val="25B03E1C"/>
    <w:rsid w:val="25B06DFF"/>
    <w:rsid w:val="25B12B77"/>
    <w:rsid w:val="25B14925"/>
    <w:rsid w:val="25B14F6A"/>
    <w:rsid w:val="25B20DC9"/>
    <w:rsid w:val="25B22918"/>
    <w:rsid w:val="25B243B6"/>
    <w:rsid w:val="25B30B82"/>
    <w:rsid w:val="25B34B41"/>
    <w:rsid w:val="25B368EF"/>
    <w:rsid w:val="25B44DBE"/>
    <w:rsid w:val="25B461E6"/>
    <w:rsid w:val="25B508B9"/>
    <w:rsid w:val="25B5286F"/>
    <w:rsid w:val="25B6018D"/>
    <w:rsid w:val="25B65A2A"/>
    <w:rsid w:val="25B71472"/>
    <w:rsid w:val="25B763DF"/>
    <w:rsid w:val="25B85CB3"/>
    <w:rsid w:val="25B86135"/>
    <w:rsid w:val="25B975C5"/>
    <w:rsid w:val="25BA096E"/>
    <w:rsid w:val="25BA1A2C"/>
    <w:rsid w:val="25BA5ED0"/>
    <w:rsid w:val="25BB1ED6"/>
    <w:rsid w:val="25BB1EE5"/>
    <w:rsid w:val="25BB437F"/>
    <w:rsid w:val="25BB5B26"/>
    <w:rsid w:val="25BB5E41"/>
    <w:rsid w:val="25BC3375"/>
    <w:rsid w:val="25BC3478"/>
    <w:rsid w:val="25BC57A4"/>
    <w:rsid w:val="25BC5F46"/>
    <w:rsid w:val="25BD0595"/>
    <w:rsid w:val="25BD151C"/>
    <w:rsid w:val="25BD73D6"/>
    <w:rsid w:val="25BF1403"/>
    <w:rsid w:val="25BF395F"/>
    <w:rsid w:val="25BF7042"/>
    <w:rsid w:val="25BF79C0"/>
    <w:rsid w:val="25C02188"/>
    <w:rsid w:val="25C03186"/>
    <w:rsid w:val="25C0542F"/>
    <w:rsid w:val="25C1100C"/>
    <w:rsid w:val="25C12DBA"/>
    <w:rsid w:val="25C2078C"/>
    <w:rsid w:val="25C2471A"/>
    <w:rsid w:val="25C26B32"/>
    <w:rsid w:val="25C30F87"/>
    <w:rsid w:val="25C428AA"/>
    <w:rsid w:val="25C42A83"/>
    <w:rsid w:val="25C44658"/>
    <w:rsid w:val="25C52620"/>
    <w:rsid w:val="25C5343E"/>
    <w:rsid w:val="25C61B54"/>
    <w:rsid w:val="25C64874"/>
    <w:rsid w:val="25C670D8"/>
    <w:rsid w:val="25C718A8"/>
    <w:rsid w:val="25C7239A"/>
    <w:rsid w:val="25C73059"/>
    <w:rsid w:val="25C805EC"/>
    <w:rsid w:val="25C8287A"/>
    <w:rsid w:val="25C844E9"/>
    <w:rsid w:val="25C84BEB"/>
    <w:rsid w:val="25C94365"/>
    <w:rsid w:val="25C95221"/>
    <w:rsid w:val="25C96113"/>
    <w:rsid w:val="25C97EC1"/>
    <w:rsid w:val="25CA2A79"/>
    <w:rsid w:val="25CA74FD"/>
    <w:rsid w:val="25CB0181"/>
    <w:rsid w:val="25CB1E8B"/>
    <w:rsid w:val="25CB3C39"/>
    <w:rsid w:val="25CB681C"/>
    <w:rsid w:val="25CC2D39"/>
    <w:rsid w:val="25CC3CA9"/>
    <w:rsid w:val="25CD22A1"/>
    <w:rsid w:val="25CD79B1"/>
    <w:rsid w:val="25CE197B"/>
    <w:rsid w:val="25CE4BCE"/>
    <w:rsid w:val="25CE54D7"/>
    <w:rsid w:val="25CE7E17"/>
    <w:rsid w:val="25CF13FB"/>
    <w:rsid w:val="25CF17EB"/>
    <w:rsid w:val="25CF6D19"/>
    <w:rsid w:val="25D02C7B"/>
    <w:rsid w:val="25D02FFD"/>
    <w:rsid w:val="25D04A91"/>
    <w:rsid w:val="25D05E7A"/>
    <w:rsid w:val="25D06913"/>
    <w:rsid w:val="25D16D75"/>
    <w:rsid w:val="25D2070A"/>
    <w:rsid w:val="25D24FC7"/>
    <w:rsid w:val="25D32AED"/>
    <w:rsid w:val="25D32D3D"/>
    <w:rsid w:val="25D36F91"/>
    <w:rsid w:val="25D3781C"/>
    <w:rsid w:val="25D52D09"/>
    <w:rsid w:val="25D54AB7"/>
    <w:rsid w:val="25D56865"/>
    <w:rsid w:val="25D56FD7"/>
    <w:rsid w:val="25D616BE"/>
    <w:rsid w:val="25D63B72"/>
    <w:rsid w:val="25D6438C"/>
    <w:rsid w:val="25D64C34"/>
    <w:rsid w:val="25D664C0"/>
    <w:rsid w:val="25D7082F"/>
    <w:rsid w:val="25D7522B"/>
    <w:rsid w:val="25D77156"/>
    <w:rsid w:val="25D77F7D"/>
    <w:rsid w:val="25DA0320"/>
    <w:rsid w:val="25DA3763"/>
    <w:rsid w:val="25DA3E7C"/>
    <w:rsid w:val="25DA427B"/>
    <w:rsid w:val="25DA6DC1"/>
    <w:rsid w:val="25DA6FFE"/>
    <w:rsid w:val="25DA7469"/>
    <w:rsid w:val="25DA7899"/>
    <w:rsid w:val="25DC0129"/>
    <w:rsid w:val="25DC097F"/>
    <w:rsid w:val="25DC4098"/>
    <w:rsid w:val="25DC73F0"/>
    <w:rsid w:val="25DC7BF4"/>
    <w:rsid w:val="25DC7D36"/>
    <w:rsid w:val="25DD02A2"/>
    <w:rsid w:val="25DD265C"/>
    <w:rsid w:val="25DD571A"/>
    <w:rsid w:val="25DD79DB"/>
    <w:rsid w:val="25DE50CD"/>
    <w:rsid w:val="25DF12E0"/>
    <w:rsid w:val="25DF1492"/>
    <w:rsid w:val="25DF397B"/>
    <w:rsid w:val="25DF5936"/>
    <w:rsid w:val="25DF76E4"/>
    <w:rsid w:val="25E010B2"/>
    <w:rsid w:val="25E06519"/>
    <w:rsid w:val="25E1096F"/>
    <w:rsid w:val="25E1243F"/>
    <w:rsid w:val="25E1345C"/>
    <w:rsid w:val="25E167D1"/>
    <w:rsid w:val="25E20F82"/>
    <w:rsid w:val="25E30E0B"/>
    <w:rsid w:val="25E33EBB"/>
    <w:rsid w:val="25E3730F"/>
    <w:rsid w:val="25E436E6"/>
    <w:rsid w:val="25E43CC2"/>
    <w:rsid w:val="25E46AA9"/>
    <w:rsid w:val="25E51D67"/>
    <w:rsid w:val="25E531A1"/>
    <w:rsid w:val="25E60A73"/>
    <w:rsid w:val="25E62821"/>
    <w:rsid w:val="25E71D87"/>
    <w:rsid w:val="25E7558E"/>
    <w:rsid w:val="25E847EB"/>
    <w:rsid w:val="25E87216"/>
    <w:rsid w:val="25E92311"/>
    <w:rsid w:val="25E92392"/>
    <w:rsid w:val="25E93187"/>
    <w:rsid w:val="25E940BF"/>
    <w:rsid w:val="25EB1622"/>
    <w:rsid w:val="25EB3977"/>
    <w:rsid w:val="25EB3D47"/>
    <w:rsid w:val="25EC2D81"/>
    <w:rsid w:val="25EC4439"/>
    <w:rsid w:val="25EE0CCD"/>
    <w:rsid w:val="25EE6204"/>
    <w:rsid w:val="25EE7927"/>
    <w:rsid w:val="25F018F1"/>
    <w:rsid w:val="25F0369F"/>
    <w:rsid w:val="25F04BCC"/>
    <w:rsid w:val="25F0544D"/>
    <w:rsid w:val="25F15F86"/>
    <w:rsid w:val="25F162C6"/>
    <w:rsid w:val="25F200CF"/>
    <w:rsid w:val="25F211C5"/>
    <w:rsid w:val="25F25669"/>
    <w:rsid w:val="25F26F7B"/>
    <w:rsid w:val="25F27417"/>
    <w:rsid w:val="25F30BE6"/>
    <w:rsid w:val="25F30E53"/>
    <w:rsid w:val="25F31A45"/>
    <w:rsid w:val="25F31E7F"/>
    <w:rsid w:val="25F3318F"/>
    <w:rsid w:val="25F333E4"/>
    <w:rsid w:val="25F413E1"/>
    <w:rsid w:val="25F52A64"/>
    <w:rsid w:val="25F52C11"/>
    <w:rsid w:val="25F56F08"/>
    <w:rsid w:val="25F600BD"/>
    <w:rsid w:val="25F72C80"/>
    <w:rsid w:val="25F74A2E"/>
    <w:rsid w:val="25F767DC"/>
    <w:rsid w:val="25F80884"/>
    <w:rsid w:val="25F809F7"/>
    <w:rsid w:val="25F81C56"/>
    <w:rsid w:val="25F82554"/>
    <w:rsid w:val="25F93B8C"/>
    <w:rsid w:val="25F969F8"/>
    <w:rsid w:val="25FA00A6"/>
    <w:rsid w:val="25FA0251"/>
    <w:rsid w:val="25FA451E"/>
    <w:rsid w:val="25FA62CC"/>
    <w:rsid w:val="25FB44EA"/>
    <w:rsid w:val="25FC0296"/>
    <w:rsid w:val="25FC3DF2"/>
    <w:rsid w:val="25FC42D7"/>
    <w:rsid w:val="25FD4D49"/>
    <w:rsid w:val="25FD5DBC"/>
    <w:rsid w:val="25FD7B6A"/>
    <w:rsid w:val="25FE06EA"/>
    <w:rsid w:val="25FE3A4B"/>
    <w:rsid w:val="25FE400E"/>
    <w:rsid w:val="25FE4A18"/>
    <w:rsid w:val="25FF38E2"/>
    <w:rsid w:val="25FF7D86"/>
    <w:rsid w:val="260019FC"/>
    <w:rsid w:val="26001D5A"/>
    <w:rsid w:val="26001DB7"/>
    <w:rsid w:val="260025FE"/>
    <w:rsid w:val="26007228"/>
    <w:rsid w:val="260158AC"/>
    <w:rsid w:val="260225A7"/>
    <w:rsid w:val="26025181"/>
    <w:rsid w:val="26031625"/>
    <w:rsid w:val="26031CEA"/>
    <w:rsid w:val="26035EB0"/>
    <w:rsid w:val="26036CE4"/>
    <w:rsid w:val="26040EF9"/>
    <w:rsid w:val="26041B6B"/>
    <w:rsid w:val="2604637D"/>
    <w:rsid w:val="26052FFB"/>
    <w:rsid w:val="26057CF0"/>
    <w:rsid w:val="26064C71"/>
    <w:rsid w:val="260662B7"/>
    <w:rsid w:val="260700C6"/>
    <w:rsid w:val="2608023E"/>
    <w:rsid w:val="260809E9"/>
    <w:rsid w:val="26094761"/>
    <w:rsid w:val="260A14DE"/>
    <w:rsid w:val="260A3F14"/>
    <w:rsid w:val="260A7643"/>
    <w:rsid w:val="260B04D9"/>
    <w:rsid w:val="260B65ED"/>
    <w:rsid w:val="260B672B"/>
    <w:rsid w:val="260B6BBB"/>
    <w:rsid w:val="260C4791"/>
    <w:rsid w:val="260C6665"/>
    <w:rsid w:val="260D14E7"/>
    <w:rsid w:val="260D2697"/>
    <w:rsid w:val="260D4251"/>
    <w:rsid w:val="260D4E12"/>
    <w:rsid w:val="260D5C5B"/>
    <w:rsid w:val="260D5FFF"/>
    <w:rsid w:val="260E2C1D"/>
    <w:rsid w:val="260E3B25"/>
    <w:rsid w:val="260E6D6F"/>
    <w:rsid w:val="260E7FC9"/>
    <w:rsid w:val="260F35F4"/>
    <w:rsid w:val="260F40AD"/>
    <w:rsid w:val="260F621B"/>
    <w:rsid w:val="2610010E"/>
    <w:rsid w:val="261034D2"/>
    <w:rsid w:val="26103D41"/>
    <w:rsid w:val="26105AEF"/>
    <w:rsid w:val="2610789E"/>
    <w:rsid w:val="26111E0A"/>
    <w:rsid w:val="2611255C"/>
    <w:rsid w:val="26113BA0"/>
    <w:rsid w:val="26121868"/>
    <w:rsid w:val="26124153"/>
    <w:rsid w:val="261255FF"/>
    <w:rsid w:val="26127ABA"/>
    <w:rsid w:val="261343AE"/>
    <w:rsid w:val="261403D4"/>
    <w:rsid w:val="26140F51"/>
    <w:rsid w:val="26143832"/>
    <w:rsid w:val="26147F1F"/>
    <w:rsid w:val="26151358"/>
    <w:rsid w:val="26153106"/>
    <w:rsid w:val="26163176"/>
    <w:rsid w:val="26164A75"/>
    <w:rsid w:val="26172DBA"/>
    <w:rsid w:val="26174684"/>
    <w:rsid w:val="26175410"/>
    <w:rsid w:val="26176E7E"/>
    <w:rsid w:val="26177A08"/>
    <w:rsid w:val="261854C9"/>
    <w:rsid w:val="2619025D"/>
    <w:rsid w:val="26190E48"/>
    <w:rsid w:val="26192BF6"/>
    <w:rsid w:val="261A071C"/>
    <w:rsid w:val="261A4BC0"/>
    <w:rsid w:val="261A7BD1"/>
    <w:rsid w:val="261B1912"/>
    <w:rsid w:val="261B23B1"/>
    <w:rsid w:val="261B2DD7"/>
    <w:rsid w:val="261B5E2B"/>
    <w:rsid w:val="261C0A8D"/>
    <w:rsid w:val="261C6242"/>
    <w:rsid w:val="261C69CC"/>
    <w:rsid w:val="261D07A4"/>
    <w:rsid w:val="261D1FBA"/>
    <w:rsid w:val="261D37EF"/>
    <w:rsid w:val="261E5E0D"/>
    <w:rsid w:val="261F21D6"/>
    <w:rsid w:val="261F3F85"/>
    <w:rsid w:val="262011CB"/>
    <w:rsid w:val="26203922"/>
    <w:rsid w:val="26211AAB"/>
    <w:rsid w:val="26213859"/>
    <w:rsid w:val="26213C64"/>
    <w:rsid w:val="26217CFD"/>
    <w:rsid w:val="262214E2"/>
    <w:rsid w:val="262250F4"/>
    <w:rsid w:val="26226403"/>
    <w:rsid w:val="262275D1"/>
    <w:rsid w:val="262339B3"/>
    <w:rsid w:val="26233A75"/>
    <w:rsid w:val="26234121"/>
    <w:rsid w:val="26234D89"/>
    <w:rsid w:val="26235823"/>
    <w:rsid w:val="262422AD"/>
    <w:rsid w:val="26243349"/>
    <w:rsid w:val="262446E1"/>
    <w:rsid w:val="262477ED"/>
    <w:rsid w:val="262537C6"/>
    <w:rsid w:val="26257FE8"/>
    <w:rsid w:val="26262914"/>
    <w:rsid w:val="262670C1"/>
    <w:rsid w:val="26280F66"/>
    <w:rsid w:val="2628108B"/>
    <w:rsid w:val="26284BE7"/>
    <w:rsid w:val="26291F16"/>
    <w:rsid w:val="26296B8D"/>
    <w:rsid w:val="26296BB1"/>
    <w:rsid w:val="262A4E03"/>
    <w:rsid w:val="262B2929"/>
    <w:rsid w:val="262B2F0B"/>
    <w:rsid w:val="262B46D7"/>
    <w:rsid w:val="262C0632"/>
    <w:rsid w:val="262C10B7"/>
    <w:rsid w:val="262C420B"/>
    <w:rsid w:val="262C5394"/>
    <w:rsid w:val="262C682A"/>
    <w:rsid w:val="262D044F"/>
    <w:rsid w:val="262D2207"/>
    <w:rsid w:val="262D48F3"/>
    <w:rsid w:val="262D78EB"/>
    <w:rsid w:val="262D7E77"/>
    <w:rsid w:val="262E0EDA"/>
    <w:rsid w:val="262E3DD7"/>
    <w:rsid w:val="262E5F76"/>
    <w:rsid w:val="262F14EE"/>
    <w:rsid w:val="262F241A"/>
    <w:rsid w:val="262F6268"/>
    <w:rsid w:val="262F6908"/>
    <w:rsid w:val="262F71C5"/>
    <w:rsid w:val="26301CEE"/>
    <w:rsid w:val="26306192"/>
    <w:rsid w:val="26321F0A"/>
    <w:rsid w:val="26323CB8"/>
    <w:rsid w:val="26324BE9"/>
    <w:rsid w:val="26324D1C"/>
    <w:rsid w:val="263317DE"/>
    <w:rsid w:val="26333491"/>
    <w:rsid w:val="263376C3"/>
    <w:rsid w:val="263419A5"/>
    <w:rsid w:val="26344938"/>
    <w:rsid w:val="26345C82"/>
    <w:rsid w:val="263537A8"/>
    <w:rsid w:val="26355556"/>
    <w:rsid w:val="26367BD9"/>
    <w:rsid w:val="26370303"/>
    <w:rsid w:val="2637307C"/>
    <w:rsid w:val="26376000"/>
    <w:rsid w:val="26376791"/>
    <w:rsid w:val="26377520"/>
    <w:rsid w:val="26377824"/>
    <w:rsid w:val="263877F8"/>
    <w:rsid w:val="26393298"/>
    <w:rsid w:val="26395046"/>
    <w:rsid w:val="26397485"/>
    <w:rsid w:val="26397917"/>
    <w:rsid w:val="263A1741"/>
    <w:rsid w:val="263A2B6C"/>
    <w:rsid w:val="263A337B"/>
    <w:rsid w:val="263A52EF"/>
    <w:rsid w:val="263B5AF2"/>
    <w:rsid w:val="263B7010"/>
    <w:rsid w:val="263C0693"/>
    <w:rsid w:val="263C4B36"/>
    <w:rsid w:val="263C68E5"/>
    <w:rsid w:val="263C7CAD"/>
    <w:rsid w:val="263D105D"/>
    <w:rsid w:val="263D1C5C"/>
    <w:rsid w:val="263E08AF"/>
    <w:rsid w:val="263E265D"/>
    <w:rsid w:val="263F0183"/>
    <w:rsid w:val="263F14EC"/>
    <w:rsid w:val="263F63D5"/>
    <w:rsid w:val="26404627"/>
    <w:rsid w:val="264052DC"/>
    <w:rsid w:val="26405AAC"/>
    <w:rsid w:val="2641214D"/>
    <w:rsid w:val="26416A95"/>
    <w:rsid w:val="26421195"/>
    <w:rsid w:val="26421B0D"/>
    <w:rsid w:val="26422509"/>
    <w:rsid w:val="26431A21"/>
    <w:rsid w:val="26433204"/>
    <w:rsid w:val="2644165A"/>
    <w:rsid w:val="26442D7E"/>
    <w:rsid w:val="264439EB"/>
    <w:rsid w:val="2644442D"/>
    <w:rsid w:val="264535B2"/>
    <w:rsid w:val="26462B66"/>
    <w:rsid w:val="264639C2"/>
    <w:rsid w:val="2646427B"/>
    <w:rsid w:val="264659B5"/>
    <w:rsid w:val="26467763"/>
    <w:rsid w:val="26487037"/>
    <w:rsid w:val="26493DA0"/>
    <w:rsid w:val="2649680B"/>
    <w:rsid w:val="264A1001"/>
    <w:rsid w:val="264A15BB"/>
    <w:rsid w:val="264A4933"/>
    <w:rsid w:val="264B280F"/>
    <w:rsid w:val="264B4D7A"/>
    <w:rsid w:val="264B6B28"/>
    <w:rsid w:val="264D0AF2"/>
    <w:rsid w:val="264D156F"/>
    <w:rsid w:val="264D17F1"/>
    <w:rsid w:val="264D464E"/>
    <w:rsid w:val="264D6D44"/>
    <w:rsid w:val="264F4111"/>
    <w:rsid w:val="264F52E3"/>
    <w:rsid w:val="264F6618"/>
    <w:rsid w:val="264F7989"/>
    <w:rsid w:val="265005E2"/>
    <w:rsid w:val="26502390"/>
    <w:rsid w:val="26503E0F"/>
    <w:rsid w:val="26517A93"/>
    <w:rsid w:val="2652135E"/>
    <w:rsid w:val="2652217A"/>
    <w:rsid w:val="265321BC"/>
    <w:rsid w:val="26532CE7"/>
    <w:rsid w:val="26533F22"/>
    <w:rsid w:val="26543C2E"/>
    <w:rsid w:val="26544F07"/>
    <w:rsid w:val="26551754"/>
    <w:rsid w:val="2655616E"/>
    <w:rsid w:val="26562AEF"/>
    <w:rsid w:val="265645F5"/>
    <w:rsid w:val="26564F48"/>
    <w:rsid w:val="26566A86"/>
    <w:rsid w:val="26567AD0"/>
    <w:rsid w:val="26571970"/>
    <w:rsid w:val="265728A3"/>
    <w:rsid w:val="2657371E"/>
    <w:rsid w:val="265740AF"/>
    <w:rsid w:val="265754CC"/>
    <w:rsid w:val="265920E0"/>
    <w:rsid w:val="26593477"/>
    <w:rsid w:val="26597496"/>
    <w:rsid w:val="26597D94"/>
    <w:rsid w:val="265A29F4"/>
    <w:rsid w:val="265A320F"/>
    <w:rsid w:val="265B30F0"/>
    <w:rsid w:val="265B6D19"/>
    <w:rsid w:val="265C2AE3"/>
    <w:rsid w:val="265D403A"/>
    <w:rsid w:val="265E391C"/>
    <w:rsid w:val="265E47A1"/>
    <w:rsid w:val="266100F9"/>
    <w:rsid w:val="2661284D"/>
    <w:rsid w:val="26612A02"/>
    <w:rsid w:val="26630315"/>
    <w:rsid w:val="2663162B"/>
    <w:rsid w:val="26633E71"/>
    <w:rsid w:val="26635059"/>
    <w:rsid w:val="26636438"/>
    <w:rsid w:val="2664166E"/>
    <w:rsid w:val="2664209E"/>
    <w:rsid w:val="26642959"/>
    <w:rsid w:val="2665408D"/>
    <w:rsid w:val="2666570F"/>
    <w:rsid w:val="266669EE"/>
    <w:rsid w:val="26667E05"/>
    <w:rsid w:val="26681488"/>
    <w:rsid w:val="26684E72"/>
    <w:rsid w:val="26687169"/>
    <w:rsid w:val="2669305E"/>
    <w:rsid w:val="26695200"/>
    <w:rsid w:val="26697889"/>
    <w:rsid w:val="266A3CEA"/>
    <w:rsid w:val="266B176E"/>
    <w:rsid w:val="266B6B78"/>
    <w:rsid w:val="266C1B15"/>
    <w:rsid w:val="266C1C6A"/>
    <w:rsid w:val="266D4CF0"/>
    <w:rsid w:val="266D6982"/>
    <w:rsid w:val="266D6A9E"/>
    <w:rsid w:val="266E2CA6"/>
    <w:rsid w:val="266E5FB0"/>
    <w:rsid w:val="266F0A68"/>
    <w:rsid w:val="266F1DA1"/>
    <w:rsid w:val="266F2E08"/>
    <w:rsid w:val="267047E0"/>
    <w:rsid w:val="26704B8B"/>
    <w:rsid w:val="2670658E"/>
    <w:rsid w:val="26712A32"/>
    <w:rsid w:val="26722306"/>
    <w:rsid w:val="26723BCD"/>
    <w:rsid w:val="26723C36"/>
    <w:rsid w:val="267247B8"/>
    <w:rsid w:val="267267AA"/>
    <w:rsid w:val="2673093B"/>
    <w:rsid w:val="26735D21"/>
    <w:rsid w:val="267442D0"/>
    <w:rsid w:val="267450E2"/>
    <w:rsid w:val="2674607E"/>
    <w:rsid w:val="26751DF6"/>
    <w:rsid w:val="26753BA5"/>
    <w:rsid w:val="267570D2"/>
    <w:rsid w:val="26760048"/>
    <w:rsid w:val="26772B1B"/>
    <w:rsid w:val="2678416E"/>
    <w:rsid w:val="267918E7"/>
    <w:rsid w:val="26793695"/>
    <w:rsid w:val="26795443"/>
    <w:rsid w:val="2679746A"/>
    <w:rsid w:val="26797B39"/>
    <w:rsid w:val="267A11BB"/>
    <w:rsid w:val="267A5A56"/>
    <w:rsid w:val="267A740D"/>
    <w:rsid w:val="267A78CA"/>
    <w:rsid w:val="267B1637"/>
    <w:rsid w:val="267B47E5"/>
    <w:rsid w:val="267B565F"/>
    <w:rsid w:val="267B7769"/>
    <w:rsid w:val="267C13D7"/>
    <w:rsid w:val="267C3185"/>
    <w:rsid w:val="267C3ECB"/>
    <w:rsid w:val="267C4F33"/>
    <w:rsid w:val="267D1B27"/>
    <w:rsid w:val="267D5DA7"/>
    <w:rsid w:val="267D718F"/>
    <w:rsid w:val="267D7E99"/>
    <w:rsid w:val="267E0CAB"/>
    <w:rsid w:val="267F570C"/>
    <w:rsid w:val="267F5B9A"/>
    <w:rsid w:val="267F65F6"/>
    <w:rsid w:val="26800B2C"/>
    <w:rsid w:val="26804680"/>
    <w:rsid w:val="26804A23"/>
    <w:rsid w:val="26807DDA"/>
    <w:rsid w:val="2681079B"/>
    <w:rsid w:val="268143CF"/>
    <w:rsid w:val="26832765"/>
    <w:rsid w:val="2683377C"/>
    <w:rsid w:val="268339C8"/>
    <w:rsid w:val="268362C1"/>
    <w:rsid w:val="26837C22"/>
    <w:rsid w:val="268445FA"/>
    <w:rsid w:val="26847829"/>
    <w:rsid w:val="26851DE7"/>
    <w:rsid w:val="26855C00"/>
    <w:rsid w:val="26856A14"/>
    <w:rsid w:val="26864004"/>
    <w:rsid w:val="26865DB2"/>
    <w:rsid w:val="26867B60"/>
    <w:rsid w:val="26870BCA"/>
    <w:rsid w:val="2687553F"/>
    <w:rsid w:val="26875DD9"/>
    <w:rsid w:val="268853A2"/>
    <w:rsid w:val="268950F8"/>
    <w:rsid w:val="268A5BE1"/>
    <w:rsid w:val="268A6BC2"/>
    <w:rsid w:val="268A7650"/>
    <w:rsid w:val="268A7A48"/>
    <w:rsid w:val="268B0B38"/>
    <w:rsid w:val="268B161A"/>
    <w:rsid w:val="268B33C8"/>
    <w:rsid w:val="268D5392"/>
    <w:rsid w:val="268D6098"/>
    <w:rsid w:val="268D7140"/>
    <w:rsid w:val="268E681E"/>
    <w:rsid w:val="268F0A8E"/>
    <w:rsid w:val="268F110A"/>
    <w:rsid w:val="268F4C66"/>
    <w:rsid w:val="268F52E3"/>
    <w:rsid w:val="2690545A"/>
    <w:rsid w:val="26906C30"/>
    <w:rsid w:val="269119CA"/>
    <w:rsid w:val="2691462A"/>
    <w:rsid w:val="26914E82"/>
    <w:rsid w:val="269229A8"/>
    <w:rsid w:val="26924756"/>
    <w:rsid w:val="269254DA"/>
    <w:rsid w:val="26926505"/>
    <w:rsid w:val="26926A95"/>
    <w:rsid w:val="26946305"/>
    <w:rsid w:val="269516C8"/>
    <w:rsid w:val="269566F2"/>
    <w:rsid w:val="2696295E"/>
    <w:rsid w:val="269629DC"/>
    <w:rsid w:val="269668A6"/>
    <w:rsid w:val="26972725"/>
    <w:rsid w:val="26977D36"/>
    <w:rsid w:val="26984D6C"/>
    <w:rsid w:val="26993D37"/>
    <w:rsid w:val="269957F4"/>
    <w:rsid w:val="26995AE5"/>
    <w:rsid w:val="269A1837"/>
    <w:rsid w:val="269B2AE6"/>
    <w:rsid w:val="269B7263"/>
    <w:rsid w:val="269B7AAF"/>
    <w:rsid w:val="269C2851"/>
    <w:rsid w:val="269C7383"/>
    <w:rsid w:val="269E52EC"/>
    <w:rsid w:val="269E5B3B"/>
    <w:rsid w:val="269E759F"/>
    <w:rsid w:val="269F0C21"/>
    <w:rsid w:val="269F3CA3"/>
    <w:rsid w:val="269F7E5B"/>
    <w:rsid w:val="26A06E73"/>
    <w:rsid w:val="26A12BEB"/>
    <w:rsid w:val="26A139B9"/>
    <w:rsid w:val="26A1499A"/>
    <w:rsid w:val="26A22CAD"/>
    <w:rsid w:val="26A30712"/>
    <w:rsid w:val="26A307CD"/>
    <w:rsid w:val="26A30EAA"/>
    <w:rsid w:val="26A36964"/>
    <w:rsid w:val="26A457A4"/>
    <w:rsid w:val="26A50A6A"/>
    <w:rsid w:val="26A526DC"/>
    <w:rsid w:val="26A5448A"/>
    <w:rsid w:val="26A54C67"/>
    <w:rsid w:val="26A54F0B"/>
    <w:rsid w:val="26A60202"/>
    <w:rsid w:val="26A631F3"/>
    <w:rsid w:val="26A64C5A"/>
    <w:rsid w:val="26A64D45"/>
    <w:rsid w:val="26A662B4"/>
    <w:rsid w:val="26A7181B"/>
    <w:rsid w:val="26A73923"/>
    <w:rsid w:val="26A760EA"/>
    <w:rsid w:val="26A7782B"/>
    <w:rsid w:val="26A821CC"/>
    <w:rsid w:val="26A86847"/>
    <w:rsid w:val="26AA1AA0"/>
    <w:rsid w:val="26AA4A6B"/>
    <w:rsid w:val="26AA61AC"/>
    <w:rsid w:val="26AB25E8"/>
    <w:rsid w:val="26AB5818"/>
    <w:rsid w:val="26AC3A6A"/>
    <w:rsid w:val="26AC477F"/>
    <w:rsid w:val="26AD1590"/>
    <w:rsid w:val="26AD333E"/>
    <w:rsid w:val="26AD6D16"/>
    <w:rsid w:val="26AD77E2"/>
    <w:rsid w:val="26AD7DAB"/>
    <w:rsid w:val="26AE0625"/>
    <w:rsid w:val="26AE4545"/>
    <w:rsid w:val="26AF5308"/>
    <w:rsid w:val="26AF70B6"/>
    <w:rsid w:val="26B115F0"/>
    <w:rsid w:val="26B22148"/>
    <w:rsid w:val="26B2493E"/>
    <w:rsid w:val="26B24DF9"/>
    <w:rsid w:val="26B3046B"/>
    <w:rsid w:val="26B40B71"/>
    <w:rsid w:val="26B43C52"/>
    <w:rsid w:val="26B446CD"/>
    <w:rsid w:val="26B54824"/>
    <w:rsid w:val="26B54902"/>
    <w:rsid w:val="26B6391A"/>
    <w:rsid w:val="26B648E9"/>
    <w:rsid w:val="26B64F4F"/>
    <w:rsid w:val="26B6662A"/>
    <w:rsid w:val="26B70619"/>
    <w:rsid w:val="26B70D36"/>
    <w:rsid w:val="26B718C0"/>
    <w:rsid w:val="26B71E93"/>
    <w:rsid w:val="26B749D1"/>
    <w:rsid w:val="26B75F6B"/>
    <w:rsid w:val="26B80661"/>
    <w:rsid w:val="26B81276"/>
    <w:rsid w:val="26B86DC0"/>
    <w:rsid w:val="26B87ECC"/>
    <w:rsid w:val="26B9266D"/>
    <w:rsid w:val="26B92E82"/>
    <w:rsid w:val="26B953CA"/>
    <w:rsid w:val="26B96AF1"/>
    <w:rsid w:val="26B96F61"/>
    <w:rsid w:val="26BA3FBB"/>
    <w:rsid w:val="26BB1EFF"/>
    <w:rsid w:val="26BB5A5B"/>
    <w:rsid w:val="26BC17D3"/>
    <w:rsid w:val="26BC301B"/>
    <w:rsid w:val="26BC7A25"/>
    <w:rsid w:val="26BD0503"/>
    <w:rsid w:val="26BD063A"/>
    <w:rsid w:val="26BD490E"/>
    <w:rsid w:val="26BD7CAA"/>
    <w:rsid w:val="26BE19EF"/>
    <w:rsid w:val="26BE379D"/>
    <w:rsid w:val="26BE554B"/>
    <w:rsid w:val="26BE72FA"/>
    <w:rsid w:val="26BF222E"/>
    <w:rsid w:val="26BF2A05"/>
    <w:rsid w:val="26BF7CDE"/>
    <w:rsid w:val="26C03E10"/>
    <w:rsid w:val="26C11C17"/>
    <w:rsid w:val="26C11D23"/>
    <w:rsid w:val="26C1383B"/>
    <w:rsid w:val="26C1503C"/>
    <w:rsid w:val="26C16DEA"/>
    <w:rsid w:val="26C16F44"/>
    <w:rsid w:val="26C21459"/>
    <w:rsid w:val="26C2328E"/>
    <w:rsid w:val="26C338D2"/>
    <w:rsid w:val="26C34DB4"/>
    <w:rsid w:val="26C46226"/>
    <w:rsid w:val="26C50688"/>
    <w:rsid w:val="26C545BB"/>
    <w:rsid w:val="26C568DA"/>
    <w:rsid w:val="26C60C4E"/>
    <w:rsid w:val="26C62652"/>
    <w:rsid w:val="26C64400"/>
    <w:rsid w:val="26C64605"/>
    <w:rsid w:val="26C656E7"/>
    <w:rsid w:val="26C708A4"/>
    <w:rsid w:val="26C81735"/>
    <w:rsid w:val="26C8461C"/>
    <w:rsid w:val="26C857B1"/>
    <w:rsid w:val="26C857DD"/>
    <w:rsid w:val="26C863CA"/>
    <w:rsid w:val="26C86B64"/>
    <w:rsid w:val="26C872BD"/>
    <w:rsid w:val="26C909C7"/>
    <w:rsid w:val="26C925E5"/>
    <w:rsid w:val="26C97FF4"/>
    <w:rsid w:val="26CA2142"/>
    <w:rsid w:val="26CA4055"/>
    <w:rsid w:val="26CA483E"/>
    <w:rsid w:val="26CB3A94"/>
    <w:rsid w:val="26CC7BB9"/>
    <w:rsid w:val="26CD1C32"/>
    <w:rsid w:val="26CD578F"/>
    <w:rsid w:val="26CE5111"/>
    <w:rsid w:val="26CF1507"/>
    <w:rsid w:val="26CF21AD"/>
    <w:rsid w:val="26CF59AB"/>
    <w:rsid w:val="26CF7759"/>
    <w:rsid w:val="26D008AE"/>
    <w:rsid w:val="26D018DD"/>
    <w:rsid w:val="26D0702D"/>
    <w:rsid w:val="26D11357"/>
    <w:rsid w:val="26D12FC0"/>
    <w:rsid w:val="26D13174"/>
    <w:rsid w:val="26D134D1"/>
    <w:rsid w:val="26D1527F"/>
    <w:rsid w:val="26D15A11"/>
    <w:rsid w:val="26D219F9"/>
    <w:rsid w:val="26D22DA5"/>
    <w:rsid w:val="26D3351B"/>
    <w:rsid w:val="26D4022A"/>
    <w:rsid w:val="26D42FC1"/>
    <w:rsid w:val="26D46B1D"/>
    <w:rsid w:val="26D47CD8"/>
    <w:rsid w:val="26D579ED"/>
    <w:rsid w:val="26D60AE7"/>
    <w:rsid w:val="26D625F8"/>
    <w:rsid w:val="26D66D39"/>
    <w:rsid w:val="26D6703A"/>
    <w:rsid w:val="26D677B6"/>
    <w:rsid w:val="26D703BB"/>
    <w:rsid w:val="26D7281C"/>
    <w:rsid w:val="26D7660D"/>
    <w:rsid w:val="26D77A4E"/>
    <w:rsid w:val="26D8294B"/>
    <w:rsid w:val="26D859C8"/>
    <w:rsid w:val="26D86BF8"/>
    <w:rsid w:val="26D905D7"/>
    <w:rsid w:val="26D92385"/>
    <w:rsid w:val="26D926BA"/>
    <w:rsid w:val="26DA06A7"/>
    <w:rsid w:val="26DA25CB"/>
    <w:rsid w:val="26DA29BF"/>
    <w:rsid w:val="26DB434F"/>
    <w:rsid w:val="26DB4B7E"/>
    <w:rsid w:val="26DB55D3"/>
    <w:rsid w:val="26DB7EAB"/>
    <w:rsid w:val="26DC2347"/>
    <w:rsid w:val="26DC3466"/>
    <w:rsid w:val="26DC35DF"/>
    <w:rsid w:val="26DC48C5"/>
    <w:rsid w:val="26DD084F"/>
    <w:rsid w:val="26DD1E76"/>
    <w:rsid w:val="26DF638E"/>
    <w:rsid w:val="26DF652C"/>
    <w:rsid w:val="26DF6985"/>
    <w:rsid w:val="26E010E3"/>
    <w:rsid w:val="26E02504"/>
    <w:rsid w:val="26E03714"/>
    <w:rsid w:val="26E07478"/>
    <w:rsid w:val="26E1123A"/>
    <w:rsid w:val="26E17B69"/>
    <w:rsid w:val="26E21714"/>
    <w:rsid w:val="26E2660B"/>
    <w:rsid w:val="26E2748C"/>
    <w:rsid w:val="26E31456"/>
    <w:rsid w:val="26E34FB2"/>
    <w:rsid w:val="26E47B75"/>
    <w:rsid w:val="26E52AD8"/>
    <w:rsid w:val="26E56F7C"/>
    <w:rsid w:val="26E62B73"/>
    <w:rsid w:val="26E641FB"/>
    <w:rsid w:val="26E66850"/>
    <w:rsid w:val="26E712EE"/>
    <w:rsid w:val="26E718E0"/>
    <w:rsid w:val="26E72B21"/>
    <w:rsid w:val="26E74AA2"/>
    <w:rsid w:val="26E74BC0"/>
    <w:rsid w:val="26E765DD"/>
    <w:rsid w:val="26E8081A"/>
    <w:rsid w:val="26E8098A"/>
    <w:rsid w:val="26E82C56"/>
    <w:rsid w:val="26E860A8"/>
    <w:rsid w:val="26E86A6C"/>
    <w:rsid w:val="26E91AA5"/>
    <w:rsid w:val="26E93EDC"/>
    <w:rsid w:val="26E975DE"/>
    <w:rsid w:val="26EA00EF"/>
    <w:rsid w:val="26EA27E4"/>
    <w:rsid w:val="26EA363F"/>
    <w:rsid w:val="26EA56B0"/>
    <w:rsid w:val="26EB3E67"/>
    <w:rsid w:val="26EC030B"/>
    <w:rsid w:val="26ED0DA0"/>
    <w:rsid w:val="26ED5E31"/>
    <w:rsid w:val="26EE13D9"/>
    <w:rsid w:val="26EE2F4B"/>
    <w:rsid w:val="26EF05EC"/>
    <w:rsid w:val="26EF1BA9"/>
    <w:rsid w:val="26EF48E0"/>
    <w:rsid w:val="26EF759A"/>
    <w:rsid w:val="26F10A7B"/>
    <w:rsid w:val="26F1147D"/>
    <w:rsid w:val="26F12ADB"/>
    <w:rsid w:val="26F15921"/>
    <w:rsid w:val="26F21DE5"/>
    <w:rsid w:val="26F251F5"/>
    <w:rsid w:val="26F253EA"/>
    <w:rsid w:val="26F361DC"/>
    <w:rsid w:val="26F40F6D"/>
    <w:rsid w:val="26F44E5A"/>
    <w:rsid w:val="26F45411"/>
    <w:rsid w:val="26F45733"/>
    <w:rsid w:val="26F471BF"/>
    <w:rsid w:val="26F521EF"/>
    <w:rsid w:val="26F52461"/>
    <w:rsid w:val="26F56860"/>
    <w:rsid w:val="26F62F37"/>
    <w:rsid w:val="26F64CE5"/>
    <w:rsid w:val="26F70A5D"/>
    <w:rsid w:val="26F71413"/>
    <w:rsid w:val="26F7280B"/>
    <w:rsid w:val="26F85EB9"/>
    <w:rsid w:val="26F86CAF"/>
    <w:rsid w:val="26F92A28"/>
    <w:rsid w:val="26F92AB1"/>
    <w:rsid w:val="26FA3134"/>
    <w:rsid w:val="26FB054E"/>
    <w:rsid w:val="26FB4A31"/>
    <w:rsid w:val="26FC3074"/>
    <w:rsid w:val="26FC559D"/>
    <w:rsid w:val="26FC6074"/>
    <w:rsid w:val="26FC7E22"/>
    <w:rsid w:val="26FD42C6"/>
    <w:rsid w:val="26FD5BC2"/>
    <w:rsid w:val="26FD5FB8"/>
    <w:rsid w:val="26FE0D12"/>
    <w:rsid w:val="26FE1DEC"/>
    <w:rsid w:val="26FE3B12"/>
    <w:rsid w:val="26FE3B9A"/>
    <w:rsid w:val="26FF791D"/>
    <w:rsid w:val="270005DA"/>
    <w:rsid w:val="27003DB6"/>
    <w:rsid w:val="27005865"/>
    <w:rsid w:val="27007912"/>
    <w:rsid w:val="27017BC1"/>
    <w:rsid w:val="27020DAE"/>
    <w:rsid w:val="270253D8"/>
    <w:rsid w:val="270311B0"/>
    <w:rsid w:val="27032D56"/>
    <w:rsid w:val="27037402"/>
    <w:rsid w:val="27047274"/>
    <w:rsid w:val="270513CC"/>
    <w:rsid w:val="2705317A"/>
    <w:rsid w:val="27066B06"/>
    <w:rsid w:val="27074267"/>
    <w:rsid w:val="27075F11"/>
    <w:rsid w:val="27077F58"/>
    <w:rsid w:val="27084A19"/>
    <w:rsid w:val="2708710F"/>
    <w:rsid w:val="27090058"/>
    <w:rsid w:val="27090EBD"/>
    <w:rsid w:val="270928A4"/>
    <w:rsid w:val="2709311A"/>
    <w:rsid w:val="27096287"/>
    <w:rsid w:val="270A01FA"/>
    <w:rsid w:val="270A0791"/>
    <w:rsid w:val="270A34D9"/>
    <w:rsid w:val="270B6250"/>
    <w:rsid w:val="270C03E2"/>
    <w:rsid w:val="270C0B22"/>
    <w:rsid w:val="270C275B"/>
    <w:rsid w:val="270C62B7"/>
    <w:rsid w:val="270D0281"/>
    <w:rsid w:val="270D57BC"/>
    <w:rsid w:val="270E1B1F"/>
    <w:rsid w:val="270E5617"/>
    <w:rsid w:val="270E64D3"/>
    <w:rsid w:val="270E7E69"/>
    <w:rsid w:val="270F224B"/>
    <w:rsid w:val="270F3FF9"/>
    <w:rsid w:val="270F5DA7"/>
    <w:rsid w:val="270F7BF6"/>
    <w:rsid w:val="2710495C"/>
    <w:rsid w:val="27111B1F"/>
    <w:rsid w:val="27113153"/>
    <w:rsid w:val="27115187"/>
    <w:rsid w:val="271177EE"/>
    <w:rsid w:val="27117D71"/>
    <w:rsid w:val="27126DD3"/>
    <w:rsid w:val="271311AB"/>
    <w:rsid w:val="27133AE9"/>
    <w:rsid w:val="271433BD"/>
    <w:rsid w:val="27147861"/>
    <w:rsid w:val="2715029F"/>
    <w:rsid w:val="2715299D"/>
    <w:rsid w:val="27153D5B"/>
    <w:rsid w:val="271635D9"/>
    <w:rsid w:val="27165388"/>
    <w:rsid w:val="27165DF1"/>
    <w:rsid w:val="27165EAB"/>
    <w:rsid w:val="271665F6"/>
    <w:rsid w:val="27176B34"/>
    <w:rsid w:val="271810F5"/>
    <w:rsid w:val="27181100"/>
    <w:rsid w:val="27182EAE"/>
    <w:rsid w:val="27184F20"/>
    <w:rsid w:val="271909D4"/>
    <w:rsid w:val="27193C93"/>
    <w:rsid w:val="27194E78"/>
    <w:rsid w:val="271A0416"/>
    <w:rsid w:val="271A726D"/>
    <w:rsid w:val="271B299E"/>
    <w:rsid w:val="271B318F"/>
    <w:rsid w:val="271B3787"/>
    <w:rsid w:val="271B474C"/>
    <w:rsid w:val="271C12F6"/>
    <w:rsid w:val="271D04C4"/>
    <w:rsid w:val="271D1173"/>
    <w:rsid w:val="271D4B63"/>
    <w:rsid w:val="271E248E"/>
    <w:rsid w:val="271E274A"/>
    <w:rsid w:val="271E423C"/>
    <w:rsid w:val="271E5FEA"/>
    <w:rsid w:val="271E761A"/>
    <w:rsid w:val="271E795E"/>
    <w:rsid w:val="271F694F"/>
    <w:rsid w:val="2720211D"/>
    <w:rsid w:val="2720227E"/>
    <w:rsid w:val="27204802"/>
    <w:rsid w:val="27206206"/>
    <w:rsid w:val="27206337"/>
    <w:rsid w:val="27212DF2"/>
    <w:rsid w:val="27213CBD"/>
    <w:rsid w:val="27217B11"/>
    <w:rsid w:val="27221F7E"/>
    <w:rsid w:val="27223D2C"/>
    <w:rsid w:val="27225ADA"/>
    <w:rsid w:val="272337D0"/>
    <w:rsid w:val="272338CB"/>
    <w:rsid w:val="272357DE"/>
    <w:rsid w:val="27244C60"/>
    <w:rsid w:val="27247AA4"/>
    <w:rsid w:val="27252C52"/>
    <w:rsid w:val="2725381D"/>
    <w:rsid w:val="272560F0"/>
    <w:rsid w:val="27257379"/>
    <w:rsid w:val="27260CC1"/>
    <w:rsid w:val="27263E01"/>
    <w:rsid w:val="27267580"/>
    <w:rsid w:val="27272151"/>
    <w:rsid w:val="272735B8"/>
    <w:rsid w:val="2727376E"/>
    <w:rsid w:val="27283403"/>
    <w:rsid w:val="272864AD"/>
    <w:rsid w:val="27286E69"/>
    <w:rsid w:val="2729330D"/>
    <w:rsid w:val="272950BB"/>
    <w:rsid w:val="272967B6"/>
    <w:rsid w:val="272A0AD1"/>
    <w:rsid w:val="272A5D82"/>
    <w:rsid w:val="272A7058"/>
    <w:rsid w:val="272B290F"/>
    <w:rsid w:val="272C0707"/>
    <w:rsid w:val="272C4BAB"/>
    <w:rsid w:val="272C6959"/>
    <w:rsid w:val="272C6E61"/>
    <w:rsid w:val="272D7221"/>
    <w:rsid w:val="272E0923"/>
    <w:rsid w:val="272E70DE"/>
    <w:rsid w:val="272F45A5"/>
    <w:rsid w:val="272F6449"/>
    <w:rsid w:val="273017C0"/>
    <w:rsid w:val="27305B5F"/>
    <w:rsid w:val="27315D1D"/>
    <w:rsid w:val="273332C4"/>
    <w:rsid w:val="273342ED"/>
    <w:rsid w:val="27335A7A"/>
    <w:rsid w:val="27335F39"/>
    <w:rsid w:val="27351CB2"/>
    <w:rsid w:val="2736516F"/>
    <w:rsid w:val="27367355"/>
    <w:rsid w:val="273714DE"/>
    <w:rsid w:val="27382668"/>
    <w:rsid w:val="27383550"/>
    <w:rsid w:val="27390587"/>
    <w:rsid w:val="2739230E"/>
    <w:rsid w:val="27392A8D"/>
    <w:rsid w:val="273A0EC4"/>
    <w:rsid w:val="273A7E19"/>
    <w:rsid w:val="273B0315"/>
    <w:rsid w:val="273B08EE"/>
    <w:rsid w:val="273B3040"/>
    <w:rsid w:val="273B4DEE"/>
    <w:rsid w:val="273B5DD0"/>
    <w:rsid w:val="273B6968"/>
    <w:rsid w:val="273B6B9C"/>
    <w:rsid w:val="273C266F"/>
    <w:rsid w:val="273D2914"/>
    <w:rsid w:val="273D57D8"/>
    <w:rsid w:val="273D7373"/>
    <w:rsid w:val="273E03D7"/>
    <w:rsid w:val="273E043A"/>
    <w:rsid w:val="273E17AC"/>
    <w:rsid w:val="273E536D"/>
    <w:rsid w:val="273E668C"/>
    <w:rsid w:val="273E71E2"/>
    <w:rsid w:val="273F48DE"/>
    <w:rsid w:val="274001D4"/>
    <w:rsid w:val="27400656"/>
    <w:rsid w:val="27403132"/>
    <w:rsid w:val="27403591"/>
    <w:rsid w:val="274041B2"/>
    <w:rsid w:val="27416A3A"/>
    <w:rsid w:val="27417ECD"/>
    <w:rsid w:val="27421CD9"/>
    <w:rsid w:val="274243CE"/>
    <w:rsid w:val="27424408"/>
    <w:rsid w:val="274254B6"/>
    <w:rsid w:val="27427F2B"/>
    <w:rsid w:val="27432AFF"/>
    <w:rsid w:val="27433332"/>
    <w:rsid w:val="27446632"/>
    <w:rsid w:val="27450589"/>
    <w:rsid w:val="274517C9"/>
    <w:rsid w:val="27453BED"/>
    <w:rsid w:val="27455C6D"/>
    <w:rsid w:val="27457A1B"/>
    <w:rsid w:val="27462A45"/>
    <w:rsid w:val="27463C22"/>
    <w:rsid w:val="27467D9E"/>
    <w:rsid w:val="27477D62"/>
    <w:rsid w:val="27477FF9"/>
    <w:rsid w:val="27482A1B"/>
    <w:rsid w:val="274952AF"/>
    <w:rsid w:val="2749750B"/>
    <w:rsid w:val="274A177F"/>
    <w:rsid w:val="274A3283"/>
    <w:rsid w:val="274A6DDF"/>
    <w:rsid w:val="274B7E0A"/>
    <w:rsid w:val="274C0DA9"/>
    <w:rsid w:val="274C29DB"/>
    <w:rsid w:val="274C2B57"/>
    <w:rsid w:val="274D7DED"/>
    <w:rsid w:val="274E1D31"/>
    <w:rsid w:val="274E2D73"/>
    <w:rsid w:val="274E4B21"/>
    <w:rsid w:val="274E68CF"/>
    <w:rsid w:val="274E6D7C"/>
    <w:rsid w:val="274F0899"/>
    <w:rsid w:val="274F3A6A"/>
    <w:rsid w:val="274F6A87"/>
    <w:rsid w:val="2750140C"/>
    <w:rsid w:val="27502694"/>
    <w:rsid w:val="27503340"/>
    <w:rsid w:val="27512402"/>
    <w:rsid w:val="27515B14"/>
    <w:rsid w:val="2752212D"/>
    <w:rsid w:val="2753038A"/>
    <w:rsid w:val="27532138"/>
    <w:rsid w:val="2753659C"/>
    <w:rsid w:val="27536AE7"/>
    <w:rsid w:val="2753702D"/>
    <w:rsid w:val="275413E1"/>
    <w:rsid w:val="27545EB0"/>
    <w:rsid w:val="275565A8"/>
    <w:rsid w:val="275615A4"/>
    <w:rsid w:val="27561C28"/>
    <w:rsid w:val="27564F1D"/>
    <w:rsid w:val="27565BD3"/>
    <w:rsid w:val="27567236"/>
    <w:rsid w:val="275763AD"/>
    <w:rsid w:val="2758671C"/>
    <w:rsid w:val="275A068B"/>
    <w:rsid w:val="275A1718"/>
    <w:rsid w:val="275A34C6"/>
    <w:rsid w:val="275A5F54"/>
    <w:rsid w:val="275A5F6A"/>
    <w:rsid w:val="275B3DBD"/>
    <w:rsid w:val="275C0D8F"/>
    <w:rsid w:val="275D2FB6"/>
    <w:rsid w:val="275D6B12"/>
    <w:rsid w:val="275E0050"/>
    <w:rsid w:val="275E17B6"/>
    <w:rsid w:val="275E288B"/>
    <w:rsid w:val="275E5052"/>
    <w:rsid w:val="275E645E"/>
    <w:rsid w:val="275E6CDC"/>
    <w:rsid w:val="275F0ADD"/>
    <w:rsid w:val="275F73A9"/>
    <w:rsid w:val="27600B19"/>
    <w:rsid w:val="27602478"/>
    <w:rsid w:val="27602AA7"/>
    <w:rsid w:val="27606603"/>
    <w:rsid w:val="27610BA0"/>
    <w:rsid w:val="2761249D"/>
    <w:rsid w:val="27613771"/>
    <w:rsid w:val="276151E9"/>
    <w:rsid w:val="27617291"/>
    <w:rsid w:val="276205CD"/>
    <w:rsid w:val="276271E1"/>
    <w:rsid w:val="276306C1"/>
    <w:rsid w:val="2763275B"/>
    <w:rsid w:val="27634AAD"/>
    <w:rsid w:val="27640C62"/>
    <w:rsid w:val="27641721"/>
    <w:rsid w:val="276460F3"/>
    <w:rsid w:val="27651E6B"/>
    <w:rsid w:val="27653582"/>
    <w:rsid w:val="27653C19"/>
    <w:rsid w:val="27654C47"/>
    <w:rsid w:val="27660DF3"/>
    <w:rsid w:val="27663AD0"/>
    <w:rsid w:val="27664A12"/>
    <w:rsid w:val="27672245"/>
    <w:rsid w:val="27677991"/>
    <w:rsid w:val="27677D87"/>
    <w:rsid w:val="27683E91"/>
    <w:rsid w:val="276866C1"/>
    <w:rsid w:val="27686B38"/>
    <w:rsid w:val="27691F03"/>
    <w:rsid w:val="27693709"/>
    <w:rsid w:val="276A00DF"/>
    <w:rsid w:val="276A0682"/>
    <w:rsid w:val="276A122F"/>
    <w:rsid w:val="276B4995"/>
    <w:rsid w:val="276B56D3"/>
    <w:rsid w:val="276C1440"/>
    <w:rsid w:val="276C4FA7"/>
    <w:rsid w:val="276D133B"/>
    <w:rsid w:val="276D1AA8"/>
    <w:rsid w:val="276D58B8"/>
    <w:rsid w:val="276D762A"/>
    <w:rsid w:val="276D7D75"/>
    <w:rsid w:val="276E0D20"/>
    <w:rsid w:val="276E1EFB"/>
    <w:rsid w:val="276E2ACE"/>
    <w:rsid w:val="276E51C4"/>
    <w:rsid w:val="276F0E52"/>
    <w:rsid w:val="276F67AE"/>
    <w:rsid w:val="27702CEA"/>
    <w:rsid w:val="277057A2"/>
    <w:rsid w:val="27705C24"/>
    <w:rsid w:val="277103FE"/>
    <w:rsid w:val="27716A62"/>
    <w:rsid w:val="27717B18"/>
    <w:rsid w:val="27722EB9"/>
    <w:rsid w:val="27723DF2"/>
    <w:rsid w:val="27732BED"/>
    <w:rsid w:val="27734588"/>
    <w:rsid w:val="277420AE"/>
    <w:rsid w:val="27742132"/>
    <w:rsid w:val="27742350"/>
    <w:rsid w:val="27746A96"/>
    <w:rsid w:val="27750300"/>
    <w:rsid w:val="27762352"/>
    <w:rsid w:val="27767BD4"/>
    <w:rsid w:val="27783572"/>
    <w:rsid w:val="2778678D"/>
    <w:rsid w:val="27787DF0"/>
    <w:rsid w:val="277902B7"/>
    <w:rsid w:val="27790C9C"/>
    <w:rsid w:val="27793942"/>
    <w:rsid w:val="277976C4"/>
    <w:rsid w:val="277A2E88"/>
    <w:rsid w:val="277A343F"/>
    <w:rsid w:val="277A46D2"/>
    <w:rsid w:val="277A5916"/>
    <w:rsid w:val="277B168E"/>
    <w:rsid w:val="277B343D"/>
    <w:rsid w:val="277B51EB"/>
    <w:rsid w:val="277C031A"/>
    <w:rsid w:val="277C0379"/>
    <w:rsid w:val="277C287E"/>
    <w:rsid w:val="277C4693"/>
    <w:rsid w:val="277D0F63"/>
    <w:rsid w:val="277D3B95"/>
    <w:rsid w:val="277D3D7A"/>
    <w:rsid w:val="277D5634"/>
    <w:rsid w:val="277D642C"/>
    <w:rsid w:val="277E2C99"/>
    <w:rsid w:val="277E34DF"/>
    <w:rsid w:val="277E586A"/>
    <w:rsid w:val="277F0B43"/>
    <w:rsid w:val="277F4CDB"/>
    <w:rsid w:val="277F60B6"/>
    <w:rsid w:val="27800A53"/>
    <w:rsid w:val="27802801"/>
    <w:rsid w:val="27802FBD"/>
    <w:rsid w:val="278059B9"/>
    <w:rsid w:val="27806CA5"/>
    <w:rsid w:val="27814EF7"/>
    <w:rsid w:val="27816B59"/>
    <w:rsid w:val="278241EB"/>
    <w:rsid w:val="278247CB"/>
    <w:rsid w:val="278279C2"/>
    <w:rsid w:val="2783100A"/>
    <w:rsid w:val="2783664C"/>
    <w:rsid w:val="27840543"/>
    <w:rsid w:val="278422F1"/>
    <w:rsid w:val="27845C34"/>
    <w:rsid w:val="27846879"/>
    <w:rsid w:val="278542BB"/>
    <w:rsid w:val="27856069"/>
    <w:rsid w:val="27856565"/>
    <w:rsid w:val="278570CA"/>
    <w:rsid w:val="27857AA9"/>
    <w:rsid w:val="2786250D"/>
    <w:rsid w:val="27865F67"/>
    <w:rsid w:val="27867DA4"/>
    <w:rsid w:val="27871DE1"/>
    <w:rsid w:val="27875B71"/>
    <w:rsid w:val="27886C6A"/>
    <w:rsid w:val="27897DAC"/>
    <w:rsid w:val="278A18D2"/>
    <w:rsid w:val="278A3E0D"/>
    <w:rsid w:val="278A5DF7"/>
    <w:rsid w:val="278B1881"/>
    <w:rsid w:val="278B3A6A"/>
    <w:rsid w:val="278B3CFB"/>
    <w:rsid w:val="278B4BD4"/>
    <w:rsid w:val="278C389C"/>
    <w:rsid w:val="278C564A"/>
    <w:rsid w:val="278C7A9D"/>
    <w:rsid w:val="278D00B1"/>
    <w:rsid w:val="278D269A"/>
    <w:rsid w:val="278D7BBD"/>
    <w:rsid w:val="278E3170"/>
    <w:rsid w:val="278E37C0"/>
    <w:rsid w:val="278E6955"/>
    <w:rsid w:val="278E7359"/>
    <w:rsid w:val="278F0C96"/>
    <w:rsid w:val="278F29AD"/>
    <w:rsid w:val="278F3C1E"/>
    <w:rsid w:val="278F6A47"/>
    <w:rsid w:val="27906EE8"/>
    <w:rsid w:val="2791110F"/>
    <w:rsid w:val="2791133C"/>
    <w:rsid w:val="2791133F"/>
    <w:rsid w:val="27912118"/>
    <w:rsid w:val="279215BA"/>
    <w:rsid w:val="279222E6"/>
    <w:rsid w:val="27930786"/>
    <w:rsid w:val="27934C2A"/>
    <w:rsid w:val="27941FD7"/>
    <w:rsid w:val="27947449"/>
    <w:rsid w:val="27950717"/>
    <w:rsid w:val="27952750"/>
    <w:rsid w:val="279544FE"/>
    <w:rsid w:val="27955F6F"/>
    <w:rsid w:val="2796077F"/>
    <w:rsid w:val="27960F20"/>
    <w:rsid w:val="27962024"/>
    <w:rsid w:val="2796292E"/>
    <w:rsid w:val="27963632"/>
    <w:rsid w:val="27965D1C"/>
    <w:rsid w:val="27965F02"/>
    <w:rsid w:val="27985494"/>
    <w:rsid w:val="279976E6"/>
    <w:rsid w:val="279A1B15"/>
    <w:rsid w:val="279A7D67"/>
    <w:rsid w:val="279B3ADF"/>
    <w:rsid w:val="279B763B"/>
    <w:rsid w:val="279C3849"/>
    <w:rsid w:val="279C6222"/>
    <w:rsid w:val="279D1605"/>
    <w:rsid w:val="279D33B3"/>
    <w:rsid w:val="279D5697"/>
    <w:rsid w:val="279D572E"/>
    <w:rsid w:val="279D6C0C"/>
    <w:rsid w:val="279E0EF6"/>
    <w:rsid w:val="279E4117"/>
    <w:rsid w:val="279F537D"/>
    <w:rsid w:val="279F5E5B"/>
    <w:rsid w:val="279F7950"/>
    <w:rsid w:val="27A03FA9"/>
    <w:rsid w:val="27A04C51"/>
    <w:rsid w:val="27A12A4E"/>
    <w:rsid w:val="27A16033"/>
    <w:rsid w:val="27A2004A"/>
    <w:rsid w:val="27A204A5"/>
    <w:rsid w:val="27A209C9"/>
    <w:rsid w:val="27A225A9"/>
    <w:rsid w:val="27A24A1A"/>
    <w:rsid w:val="27A24C5F"/>
    <w:rsid w:val="27A26C1B"/>
    <w:rsid w:val="27A333B8"/>
    <w:rsid w:val="27A368E1"/>
    <w:rsid w:val="27A40BE5"/>
    <w:rsid w:val="27A42993"/>
    <w:rsid w:val="27A44741"/>
    <w:rsid w:val="27A449B4"/>
    <w:rsid w:val="27A504B9"/>
    <w:rsid w:val="27A52D5C"/>
    <w:rsid w:val="27A542E7"/>
    <w:rsid w:val="27A566A2"/>
    <w:rsid w:val="27A62C49"/>
    <w:rsid w:val="27A65834"/>
    <w:rsid w:val="27A6670B"/>
    <w:rsid w:val="27A74232"/>
    <w:rsid w:val="27A7575A"/>
    <w:rsid w:val="27A77EBF"/>
    <w:rsid w:val="27A85F06"/>
    <w:rsid w:val="27A91D58"/>
    <w:rsid w:val="27A95F90"/>
    <w:rsid w:val="27A97FAA"/>
    <w:rsid w:val="27AA0374"/>
    <w:rsid w:val="27AB0BD5"/>
    <w:rsid w:val="27AB1F74"/>
    <w:rsid w:val="27AB2135"/>
    <w:rsid w:val="27AB3482"/>
    <w:rsid w:val="27AB53B3"/>
    <w:rsid w:val="27AC0A32"/>
    <w:rsid w:val="27AC3146"/>
    <w:rsid w:val="27AC35F6"/>
    <w:rsid w:val="27AC5565"/>
    <w:rsid w:val="27AC5D68"/>
    <w:rsid w:val="27AD5B98"/>
    <w:rsid w:val="27AE0637"/>
    <w:rsid w:val="27AE2EFD"/>
    <w:rsid w:val="27AE736E"/>
    <w:rsid w:val="27AF14F6"/>
    <w:rsid w:val="27AF30E6"/>
    <w:rsid w:val="27B00138"/>
    <w:rsid w:val="27B02287"/>
    <w:rsid w:val="27B04BAD"/>
    <w:rsid w:val="27B06C0A"/>
    <w:rsid w:val="27B117B5"/>
    <w:rsid w:val="27B16E5E"/>
    <w:rsid w:val="27B23302"/>
    <w:rsid w:val="27B272D3"/>
    <w:rsid w:val="27B30E28"/>
    <w:rsid w:val="27B32BD6"/>
    <w:rsid w:val="27B33019"/>
    <w:rsid w:val="27B46111"/>
    <w:rsid w:val="27B54495"/>
    <w:rsid w:val="27B554D8"/>
    <w:rsid w:val="27B55939"/>
    <w:rsid w:val="27B5694E"/>
    <w:rsid w:val="27B57895"/>
    <w:rsid w:val="27B63751"/>
    <w:rsid w:val="27B64420"/>
    <w:rsid w:val="27B66DC9"/>
    <w:rsid w:val="27B70259"/>
    <w:rsid w:val="27B74448"/>
    <w:rsid w:val="27B8643F"/>
    <w:rsid w:val="27B9274C"/>
    <w:rsid w:val="27B92D35"/>
    <w:rsid w:val="27B9780F"/>
    <w:rsid w:val="27BA031B"/>
    <w:rsid w:val="27BA1113"/>
    <w:rsid w:val="27BA21B7"/>
    <w:rsid w:val="27BA3F65"/>
    <w:rsid w:val="27BB17AB"/>
    <w:rsid w:val="27BB7CDD"/>
    <w:rsid w:val="27BC56B8"/>
    <w:rsid w:val="27BC5F2F"/>
    <w:rsid w:val="27BD1CA7"/>
    <w:rsid w:val="27BD3A55"/>
    <w:rsid w:val="27BD54AB"/>
    <w:rsid w:val="27BD555B"/>
    <w:rsid w:val="27BD5B9A"/>
    <w:rsid w:val="27BE012C"/>
    <w:rsid w:val="27BE44A2"/>
    <w:rsid w:val="27BE54B5"/>
    <w:rsid w:val="27BF157B"/>
    <w:rsid w:val="27BF1727"/>
    <w:rsid w:val="27BF2EBD"/>
    <w:rsid w:val="27BF3329"/>
    <w:rsid w:val="27BF39A6"/>
    <w:rsid w:val="27BF418D"/>
    <w:rsid w:val="27BF5A1F"/>
    <w:rsid w:val="27BF61E6"/>
    <w:rsid w:val="27BF7650"/>
    <w:rsid w:val="27C024E0"/>
    <w:rsid w:val="27C02691"/>
    <w:rsid w:val="27C052A1"/>
    <w:rsid w:val="27C070A1"/>
    <w:rsid w:val="27C11BF5"/>
    <w:rsid w:val="27C20411"/>
    <w:rsid w:val="27C2106B"/>
    <w:rsid w:val="27C32B0E"/>
    <w:rsid w:val="27C4285D"/>
    <w:rsid w:val="27C431C2"/>
    <w:rsid w:val="27C44DE4"/>
    <w:rsid w:val="27C546B8"/>
    <w:rsid w:val="27C6290A"/>
    <w:rsid w:val="27C70430"/>
    <w:rsid w:val="27C711DE"/>
    <w:rsid w:val="27C740B3"/>
    <w:rsid w:val="27C76682"/>
    <w:rsid w:val="27C83DAE"/>
    <w:rsid w:val="27C85E49"/>
    <w:rsid w:val="27C8657A"/>
    <w:rsid w:val="27C923FA"/>
    <w:rsid w:val="27C949E5"/>
    <w:rsid w:val="27C96838"/>
    <w:rsid w:val="27CA68EB"/>
    <w:rsid w:val="27CA7D40"/>
    <w:rsid w:val="27CB1D31"/>
    <w:rsid w:val="27CB625A"/>
    <w:rsid w:val="27CB7F77"/>
    <w:rsid w:val="27CC1EEA"/>
    <w:rsid w:val="27CC5A46"/>
    <w:rsid w:val="27CC767A"/>
    <w:rsid w:val="27CD2F42"/>
    <w:rsid w:val="27CD5B10"/>
    <w:rsid w:val="27CE077E"/>
    <w:rsid w:val="27CE1238"/>
    <w:rsid w:val="27CE17BE"/>
    <w:rsid w:val="27CE7A10"/>
    <w:rsid w:val="27CF4632"/>
    <w:rsid w:val="27CF7E28"/>
    <w:rsid w:val="27D112AE"/>
    <w:rsid w:val="27D21EB6"/>
    <w:rsid w:val="27D23E71"/>
    <w:rsid w:val="27D2491A"/>
    <w:rsid w:val="27D35027"/>
    <w:rsid w:val="27D37E16"/>
    <w:rsid w:val="27D4269A"/>
    <w:rsid w:val="27D46175"/>
    <w:rsid w:val="27D50D9F"/>
    <w:rsid w:val="27D52B4D"/>
    <w:rsid w:val="27D537E2"/>
    <w:rsid w:val="27D53B9D"/>
    <w:rsid w:val="27D56FF1"/>
    <w:rsid w:val="27D57C1F"/>
    <w:rsid w:val="27D62829"/>
    <w:rsid w:val="27D663B3"/>
    <w:rsid w:val="27D668C5"/>
    <w:rsid w:val="27D66E7A"/>
    <w:rsid w:val="27D67551"/>
    <w:rsid w:val="27D8088F"/>
    <w:rsid w:val="27D838A4"/>
    <w:rsid w:val="27D843EB"/>
    <w:rsid w:val="27D86AE1"/>
    <w:rsid w:val="27D91D13"/>
    <w:rsid w:val="27DA0C79"/>
    <w:rsid w:val="27DA2094"/>
    <w:rsid w:val="27DA2487"/>
    <w:rsid w:val="27DA25D3"/>
    <w:rsid w:val="27DA61C4"/>
    <w:rsid w:val="27DB2225"/>
    <w:rsid w:val="27DB3DFD"/>
    <w:rsid w:val="27DC037F"/>
    <w:rsid w:val="27DC0AE4"/>
    <w:rsid w:val="27DD40F7"/>
    <w:rsid w:val="27DD5EA5"/>
    <w:rsid w:val="27DD7C53"/>
    <w:rsid w:val="27DE362C"/>
    <w:rsid w:val="27DE42AF"/>
    <w:rsid w:val="27DF0CDB"/>
    <w:rsid w:val="27DF1C1D"/>
    <w:rsid w:val="27DF22F9"/>
    <w:rsid w:val="27DF46C2"/>
    <w:rsid w:val="27DF5171"/>
    <w:rsid w:val="27DF5779"/>
    <w:rsid w:val="27E0541B"/>
    <w:rsid w:val="27E06749"/>
    <w:rsid w:val="27E15995"/>
    <w:rsid w:val="27E16DD7"/>
    <w:rsid w:val="27E21D04"/>
    <w:rsid w:val="27E224E8"/>
    <w:rsid w:val="27E22755"/>
    <w:rsid w:val="27E3072A"/>
    <w:rsid w:val="27E34C79"/>
    <w:rsid w:val="27E40FE2"/>
    <w:rsid w:val="27E43141"/>
    <w:rsid w:val="27E50525"/>
    <w:rsid w:val="27E52BFD"/>
    <w:rsid w:val="27E5301B"/>
    <w:rsid w:val="27E560B8"/>
    <w:rsid w:val="27E56B08"/>
    <w:rsid w:val="27E62FAC"/>
    <w:rsid w:val="27E7002E"/>
    <w:rsid w:val="27E72880"/>
    <w:rsid w:val="27E81187"/>
    <w:rsid w:val="27E81C58"/>
    <w:rsid w:val="27E92DC7"/>
    <w:rsid w:val="27E937A0"/>
    <w:rsid w:val="27E9484A"/>
    <w:rsid w:val="27E9580F"/>
    <w:rsid w:val="27E96E49"/>
    <w:rsid w:val="27E979DF"/>
    <w:rsid w:val="27EA20ED"/>
    <w:rsid w:val="27EB3867"/>
    <w:rsid w:val="27EB3C35"/>
    <w:rsid w:val="27EC5D72"/>
    <w:rsid w:val="27EC60E8"/>
    <w:rsid w:val="27ED10C0"/>
    <w:rsid w:val="27ED1A69"/>
    <w:rsid w:val="27ED356A"/>
    <w:rsid w:val="27EE00B2"/>
    <w:rsid w:val="27EE292F"/>
    <w:rsid w:val="27EE2F27"/>
    <w:rsid w:val="27EE32ED"/>
    <w:rsid w:val="27EF4262"/>
    <w:rsid w:val="27EF6F53"/>
    <w:rsid w:val="27F0004A"/>
    <w:rsid w:val="27F003EA"/>
    <w:rsid w:val="27F029D2"/>
    <w:rsid w:val="27F03E2A"/>
    <w:rsid w:val="27F0531A"/>
    <w:rsid w:val="27F05BD9"/>
    <w:rsid w:val="27F060A7"/>
    <w:rsid w:val="27F06139"/>
    <w:rsid w:val="27F063B2"/>
    <w:rsid w:val="27F07987"/>
    <w:rsid w:val="27F12038"/>
    <w:rsid w:val="27F136FF"/>
    <w:rsid w:val="27F154AD"/>
    <w:rsid w:val="27F16796"/>
    <w:rsid w:val="27F2194B"/>
    <w:rsid w:val="27F304AC"/>
    <w:rsid w:val="27F31225"/>
    <w:rsid w:val="27F33D12"/>
    <w:rsid w:val="27F356C9"/>
    <w:rsid w:val="27F35747"/>
    <w:rsid w:val="27F37477"/>
    <w:rsid w:val="27F37A0B"/>
    <w:rsid w:val="27F42ED2"/>
    <w:rsid w:val="27F51029"/>
    <w:rsid w:val="27F51441"/>
    <w:rsid w:val="27F5599D"/>
    <w:rsid w:val="27F56217"/>
    <w:rsid w:val="27F60549"/>
    <w:rsid w:val="27F625BE"/>
    <w:rsid w:val="27F70690"/>
    <w:rsid w:val="27F80E76"/>
    <w:rsid w:val="27F82CDF"/>
    <w:rsid w:val="27F865D1"/>
    <w:rsid w:val="27F90EE9"/>
    <w:rsid w:val="27F9431E"/>
    <w:rsid w:val="27FA2222"/>
    <w:rsid w:val="27FA406D"/>
    <w:rsid w:val="27FA57AE"/>
    <w:rsid w:val="27FA69FC"/>
    <w:rsid w:val="27FA6A57"/>
    <w:rsid w:val="27FA7E2E"/>
    <w:rsid w:val="27FB2FD8"/>
    <w:rsid w:val="27FC27CF"/>
    <w:rsid w:val="27FC2C9F"/>
    <w:rsid w:val="27FD02F5"/>
    <w:rsid w:val="27FD20A3"/>
    <w:rsid w:val="27FE26B6"/>
    <w:rsid w:val="27FE5176"/>
    <w:rsid w:val="27FE55BF"/>
    <w:rsid w:val="27FE6262"/>
    <w:rsid w:val="27FE6547"/>
    <w:rsid w:val="27FF406E"/>
    <w:rsid w:val="27FF5E1C"/>
    <w:rsid w:val="27FF6A4F"/>
    <w:rsid w:val="28003B35"/>
    <w:rsid w:val="28013942"/>
    <w:rsid w:val="28013F40"/>
    <w:rsid w:val="28020BCC"/>
    <w:rsid w:val="2802590C"/>
    <w:rsid w:val="280276BA"/>
    <w:rsid w:val="28030DB3"/>
    <w:rsid w:val="28031A1A"/>
    <w:rsid w:val="28033B5E"/>
    <w:rsid w:val="280358E7"/>
    <w:rsid w:val="28041431"/>
    <w:rsid w:val="28041684"/>
    <w:rsid w:val="280451E0"/>
    <w:rsid w:val="28063AC5"/>
    <w:rsid w:val="280653FC"/>
    <w:rsid w:val="2807533B"/>
    <w:rsid w:val="28087115"/>
    <w:rsid w:val="28087C7A"/>
    <w:rsid w:val="28090A10"/>
    <w:rsid w:val="28091FD9"/>
    <w:rsid w:val="28096839"/>
    <w:rsid w:val="280A2717"/>
    <w:rsid w:val="280A3AC2"/>
    <w:rsid w:val="280B1A43"/>
    <w:rsid w:val="280B3E0E"/>
    <w:rsid w:val="280B47C0"/>
    <w:rsid w:val="280B552E"/>
    <w:rsid w:val="280B656E"/>
    <w:rsid w:val="280C1053"/>
    <w:rsid w:val="280D0539"/>
    <w:rsid w:val="280D086D"/>
    <w:rsid w:val="280D4E59"/>
    <w:rsid w:val="280D6D1A"/>
    <w:rsid w:val="280E21B9"/>
    <w:rsid w:val="28100259"/>
    <w:rsid w:val="2810220D"/>
    <w:rsid w:val="281100C9"/>
    <w:rsid w:val="281164E8"/>
    <w:rsid w:val="2811715A"/>
    <w:rsid w:val="281178FD"/>
    <w:rsid w:val="281222F4"/>
    <w:rsid w:val="2812499E"/>
    <w:rsid w:val="28125B4F"/>
    <w:rsid w:val="281318C7"/>
    <w:rsid w:val="28132A2F"/>
    <w:rsid w:val="28133675"/>
    <w:rsid w:val="281366CC"/>
    <w:rsid w:val="28137B19"/>
    <w:rsid w:val="28153891"/>
    <w:rsid w:val="28153BB7"/>
    <w:rsid w:val="2815563F"/>
    <w:rsid w:val="281573ED"/>
    <w:rsid w:val="28163846"/>
    <w:rsid w:val="28164F13"/>
    <w:rsid w:val="2817406B"/>
    <w:rsid w:val="28174CD6"/>
    <w:rsid w:val="2817608F"/>
    <w:rsid w:val="28176D96"/>
    <w:rsid w:val="281778A7"/>
    <w:rsid w:val="28180C8B"/>
    <w:rsid w:val="28186EDD"/>
    <w:rsid w:val="28190206"/>
    <w:rsid w:val="28193534"/>
    <w:rsid w:val="2819531E"/>
    <w:rsid w:val="281A0EA7"/>
    <w:rsid w:val="281A1D73"/>
    <w:rsid w:val="281A23E5"/>
    <w:rsid w:val="281A2C55"/>
    <w:rsid w:val="281A4FAF"/>
    <w:rsid w:val="281A6151"/>
    <w:rsid w:val="281A6A21"/>
    <w:rsid w:val="281B4AE7"/>
    <w:rsid w:val="281B4BF6"/>
    <w:rsid w:val="281B76B8"/>
    <w:rsid w:val="281D134A"/>
    <w:rsid w:val="281D44F4"/>
    <w:rsid w:val="281D48F8"/>
    <w:rsid w:val="281D62A2"/>
    <w:rsid w:val="281D646A"/>
    <w:rsid w:val="281D670A"/>
    <w:rsid w:val="281E3468"/>
    <w:rsid w:val="281F201A"/>
    <w:rsid w:val="281F29D4"/>
    <w:rsid w:val="281F6039"/>
    <w:rsid w:val="281F64BE"/>
    <w:rsid w:val="28201F93"/>
    <w:rsid w:val="282074C9"/>
    <w:rsid w:val="28211030"/>
    <w:rsid w:val="28212236"/>
    <w:rsid w:val="28213FE4"/>
    <w:rsid w:val="28215D92"/>
    <w:rsid w:val="2822453E"/>
    <w:rsid w:val="282274AB"/>
    <w:rsid w:val="28231668"/>
    <w:rsid w:val="28237D5C"/>
    <w:rsid w:val="2824095C"/>
    <w:rsid w:val="28245671"/>
    <w:rsid w:val="28245882"/>
    <w:rsid w:val="282615FA"/>
    <w:rsid w:val="28262168"/>
    <w:rsid w:val="28265E89"/>
    <w:rsid w:val="282664DB"/>
    <w:rsid w:val="2826784C"/>
    <w:rsid w:val="2827547F"/>
    <w:rsid w:val="28277120"/>
    <w:rsid w:val="282806A6"/>
    <w:rsid w:val="28285372"/>
    <w:rsid w:val="282910EA"/>
    <w:rsid w:val="28292E99"/>
    <w:rsid w:val="28293E11"/>
    <w:rsid w:val="2829459A"/>
    <w:rsid w:val="28294ECF"/>
    <w:rsid w:val="2829733C"/>
    <w:rsid w:val="282B02EF"/>
    <w:rsid w:val="282B09BF"/>
    <w:rsid w:val="282B4ECE"/>
    <w:rsid w:val="282B60FE"/>
    <w:rsid w:val="282D1903"/>
    <w:rsid w:val="282D6669"/>
    <w:rsid w:val="282E038C"/>
    <w:rsid w:val="282E23A7"/>
    <w:rsid w:val="282E32AE"/>
    <w:rsid w:val="282E58D8"/>
    <w:rsid w:val="282E6701"/>
    <w:rsid w:val="282F03AE"/>
    <w:rsid w:val="282F262F"/>
    <w:rsid w:val="282F4953"/>
    <w:rsid w:val="282F7520"/>
    <w:rsid w:val="283006CB"/>
    <w:rsid w:val="28302479"/>
    <w:rsid w:val="28302CEE"/>
    <w:rsid w:val="28304227"/>
    <w:rsid w:val="283118DE"/>
    <w:rsid w:val="283145AB"/>
    <w:rsid w:val="283175E3"/>
    <w:rsid w:val="283202A1"/>
    <w:rsid w:val="28326600"/>
    <w:rsid w:val="28327F9F"/>
    <w:rsid w:val="28335AC5"/>
    <w:rsid w:val="28337663"/>
    <w:rsid w:val="2834103C"/>
    <w:rsid w:val="28341F69"/>
    <w:rsid w:val="28342D95"/>
    <w:rsid w:val="283462BA"/>
    <w:rsid w:val="28346DCF"/>
    <w:rsid w:val="283501E0"/>
    <w:rsid w:val="28361039"/>
    <w:rsid w:val="2837045C"/>
    <w:rsid w:val="28372B7F"/>
    <w:rsid w:val="283774EF"/>
    <w:rsid w:val="283830DC"/>
    <w:rsid w:val="283841C0"/>
    <w:rsid w:val="2839094D"/>
    <w:rsid w:val="2839289C"/>
    <w:rsid w:val="28392B55"/>
    <w:rsid w:val="28397580"/>
    <w:rsid w:val="283A32F8"/>
    <w:rsid w:val="283A38E3"/>
    <w:rsid w:val="283A50A6"/>
    <w:rsid w:val="283A6E54"/>
    <w:rsid w:val="283B23AC"/>
    <w:rsid w:val="283C193C"/>
    <w:rsid w:val="283C5561"/>
    <w:rsid w:val="283C5EAB"/>
    <w:rsid w:val="283C5EF6"/>
    <w:rsid w:val="283C7070"/>
    <w:rsid w:val="283D06F2"/>
    <w:rsid w:val="283D6944"/>
    <w:rsid w:val="283D69F1"/>
    <w:rsid w:val="283E3295"/>
    <w:rsid w:val="283E4B96"/>
    <w:rsid w:val="283E5541"/>
    <w:rsid w:val="283E5AA4"/>
    <w:rsid w:val="283F26BC"/>
    <w:rsid w:val="28401E1B"/>
    <w:rsid w:val="28403D93"/>
    <w:rsid w:val="284101E2"/>
    <w:rsid w:val="28414686"/>
    <w:rsid w:val="28414C4F"/>
    <w:rsid w:val="28416802"/>
    <w:rsid w:val="284200F9"/>
    <w:rsid w:val="28422863"/>
    <w:rsid w:val="28422ADB"/>
    <w:rsid w:val="28424403"/>
    <w:rsid w:val="28425D08"/>
    <w:rsid w:val="284321AC"/>
    <w:rsid w:val="284361DD"/>
    <w:rsid w:val="28436980"/>
    <w:rsid w:val="2846185C"/>
    <w:rsid w:val="28461C9C"/>
    <w:rsid w:val="28463A4A"/>
    <w:rsid w:val="284657F9"/>
    <w:rsid w:val="28466511"/>
    <w:rsid w:val="28467183"/>
    <w:rsid w:val="2848080D"/>
    <w:rsid w:val="28481571"/>
    <w:rsid w:val="28482873"/>
    <w:rsid w:val="284872D1"/>
    <w:rsid w:val="284877C3"/>
    <w:rsid w:val="28487D60"/>
    <w:rsid w:val="2849187A"/>
    <w:rsid w:val="28491FDC"/>
    <w:rsid w:val="2849353B"/>
    <w:rsid w:val="284952E9"/>
    <w:rsid w:val="28497097"/>
    <w:rsid w:val="284A0FF5"/>
    <w:rsid w:val="284A27D5"/>
    <w:rsid w:val="284B1061"/>
    <w:rsid w:val="284B2E0F"/>
    <w:rsid w:val="284B3AE8"/>
    <w:rsid w:val="284C0E5C"/>
    <w:rsid w:val="284C6B82"/>
    <w:rsid w:val="284C6EDE"/>
    <w:rsid w:val="284D302B"/>
    <w:rsid w:val="284E0B51"/>
    <w:rsid w:val="284E12DA"/>
    <w:rsid w:val="284E28FF"/>
    <w:rsid w:val="284F03E8"/>
    <w:rsid w:val="284F3202"/>
    <w:rsid w:val="28502D5B"/>
    <w:rsid w:val="285032DC"/>
    <w:rsid w:val="285120CB"/>
    <w:rsid w:val="2851265D"/>
    <w:rsid w:val="2851780C"/>
    <w:rsid w:val="28520231"/>
    <w:rsid w:val="285223EF"/>
    <w:rsid w:val="2852419D"/>
    <w:rsid w:val="28524A32"/>
    <w:rsid w:val="28533221"/>
    <w:rsid w:val="285337E8"/>
    <w:rsid w:val="28534F2C"/>
    <w:rsid w:val="28537F15"/>
    <w:rsid w:val="28551EE0"/>
    <w:rsid w:val="28552C3B"/>
    <w:rsid w:val="28560CD9"/>
    <w:rsid w:val="2857130B"/>
    <w:rsid w:val="28575C58"/>
    <w:rsid w:val="28576450"/>
    <w:rsid w:val="2857710D"/>
    <w:rsid w:val="28577641"/>
    <w:rsid w:val="28584A89"/>
    <w:rsid w:val="2858552C"/>
    <w:rsid w:val="285919D0"/>
    <w:rsid w:val="2859351C"/>
    <w:rsid w:val="2859377E"/>
    <w:rsid w:val="28594272"/>
    <w:rsid w:val="28597429"/>
    <w:rsid w:val="285A1852"/>
    <w:rsid w:val="285B64BC"/>
    <w:rsid w:val="285C326E"/>
    <w:rsid w:val="285C501C"/>
    <w:rsid w:val="285C5A91"/>
    <w:rsid w:val="285C6305"/>
    <w:rsid w:val="285E1547"/>
    <w:rsid w:val="285E4499"/>
    <w:rsid w:val="285E6FE6"/>
    <w:rsid w:val="285F2D5E"/>
    <w:rsid w:val="285F3848"/>
    <w:rsid w:val="285F69B3"/>
    <w:rsid w:val="28602C2F"/>
    <w:rsid w:val="2861048D"/>
    <w:rsid w:val="286106BA"/>
    <w:rsid w:val="28615A32"/>
    <w:rsid w:val="28616AD6"/>
    <w:rsid w:val="28620159"/>
    <w:rsid w:val="28623807"/>
    <w:rsid w:val="28631B9C"/>
    <w:rsid w:val="286332DD"/>
    <w:rsid w:val="28634B22"/>
    <w:rsid w:val="286363AA"/>
    <w:rsid w:val="2863708A"/>
    <w:rsid w:val="28643962"/>
    <w:rsid w:val="28646A1D"/>
    <w:rsid w:val="28650375"/>
    <w:rsid w:val="28656F62"/>
    <w:rsid w:val="286640ED"/>
    <w:rsid w:val="28664D77"/>
    <w:rsid w:val="28666C41"/>
    <w:rsid w:val="28667C49"/>
    <w:rsid w:val="28680AFD"/>
    <w:rsid w:val="28680B8D"/>
    <w:rsid w:val="2868347B"/>
    <w:rsid w:val="286839C1"/>
    <w:rsid w:val="28685A5E"/>
    <w:rsid w:val="28687C4B"/>
    <w:rsid w:val="28687E65"/>
    <w:rsid w:val="286914E7"/>
    <w:rsid w:val="286921FA"/>
    <w:rsid w:val="28695673"/>
    <w:rsid w:val="2869668D"/>
    <w:rsid w:val="286A0FDD"/>
    <w:rsid w:val="286A1D34"/>
    <w:rsid w:val="286B15B8"/>
    <w:rsid w:val="286B34B1"/>
    <w:rsid w:val="286B525F"/>
    <w:rsid w:val="286B5D47"/>
    <w:rsid w:val="286C4045"/>
    <w:rsid w:val="286C52CE"/>
    <w:rsid w:val="286C597C"/>
    <w:rsid w:val="286C5F66"/>
    <w:rsid w:val="286D0FD7"/>
    <w:rsid w:val="286D547B"/>
    <w:rsid w:val="286D5B95"/>
    <w:rsid w:val="286E4D4F"/>
    <w:rsid w:val="286E581F"/>
    <w:rsid w:val="286E6AFD"/>
    <w:rsid w:val="286E757F"/>
    <w:rsid w:val="286F2FA1"/>
    <w:rsid w:val="286F610E"/>
    <w:rsid w:val="28700AC7"/>
    <w:rsid w:val="28702875"/>
    <w:rsid w:val="28704451"/>
    <w:rsid w:val="2870458C"/>
    <w:rsid w:val="28706D19"/>
    <w:rsid w:val="28711DA7"/>
    <w:rsid w:val="28712ED4"/>
    <w:rsid w:val="287141A0"/>
    <w:rsid w:val="28714A31"/>
    <w:rsid w:val="287162BC"/>
    <w:rsid w:val="28720201"/>
    <w:rsid w:val="28721925"/>
    <w:rsid w:val="28721C96"/>
    <w:rsid w:val="28722A91"/>
    <w:rsid w:val="28724840"/>
    <w:rsid w:val="287265EE"/>
    <w:rsid w:val="28727080"/>
    <w:rsid w:val="287312FA"/>
    <w:rsid w:val="287328B5"/>
    <w:rsid w:val="2873447D"/>
    <w:rsid w:val="2874680A"/>
    <w:rsid w:val="28754DD7"/>
    <w:rsid w:val="287556F2"/>
    <w:rsid w:val="287560DE"/>
    <w:rsid w:val="28756860"/>
    <w:rsid w:val="2875686E"/>
    <w:rsid w:val="2876332C"/>
    <w:rsid w:val="2876350C"/>
    <w:rsid w:val="2876586F"/>
    <w:rsid w:val="2876794B"/>
    <w:rsid w:val="287700A8"/>
    <w:rsid w:val="28772EE2"/>
    <w:rsid w:val="28780D72"/>
    <w:rsid w:val="28783EC6"/>
    <w:rsid w:val="287907AB"/>
    <w:rsid w:val="28793E20"/>
    <w:rsid w:val="28795BCE"/>
    <w:rsid w:val="287A1946"/>
    <w:rsid w:val="287B175A"/>
    <w:rsid w:val="287B3099"/>
    <w:rsid w:val="287B78F0"/>
    <w:rsid w:val="287B7E23"/>
    <w:rsid w:val="287C121A"/>
    <w:rsid w:val="287C4DEF"/>
    <w:rsid w:val="287C56BE"/>
    <w:rsid w:val="287C7C64"/>
    <w:rsid w:val="287D150B"/>
    <w:rsid w:val="287E31E4"/>
    <w:rsid w:val="287E4F92"/>
    <w:rsid w:val="287F0D0A"/>
    <w:rsid w:val="287F3FE3"/>
    <w:rsid w:val="287F43B2"/>
    <w:rsid w:val="287F5293"/>
    <w:rsid w:val="2880302D"/>
    <w:rsid w:val="288051AE"/>
    <w:rsid w:val="28810F26"/>
    <w:rsid w:val="28810F90"/>
    <w:rsid w:val="2881252E"/>
    <w:rsid w:val="28812CD5"/>
    <w:rsid w:val="28814A83"/>
    <w:rsid w:val="28824A2D"/>
    <w:rsid w:val="288307FB"/>
    <w:rsid w:val="288325A9"/>
    <w:rsid w:val="28835D01"/>
    <w:rsid w:val="28836A4D"/>
    <w:rsid w:val="2884262D"/>
    <w:rsid w:val="288440B8"/>
    <w:rsid w:val="28844D66"/>
    <w:rsid w:val="288602EB"/>
    <w:rsid w:val="28862099"/>
    <w:rsid w:val="28862456"/>
    <w:rsid w:val="28865B2B"/>
    <w:rsid w:val="2886653D"/>
    <w:rsid w:val="28871867"/>
    <w:rsid w:val="28880F97"/>
    <w:rsid w:val="288830A4"/>
    <w:rsid w:val="28884063"/>
    <w:rsid w:val="28885E11"/>
    <w:rsid w:val="28886820"/>
    <w:rsid w:val="28894E9D"/>
    <w:rsid w:val="288972BE"/>
    <w:rsid w:val="288A1328"/>
    <w:rsid w:val="288A1B89"/>
    <w:rsid w:val="288A5D41"/>
    <w:rsid w:val="288A6488"/>
    <w:rsid w:val="288A7DDB"/>
    <w:rsid w:val="288B1C16"/>
    <w:rsid w:val="288C555B"/>
    <w:rsid w:val="288C753B"/>
    <w:rsid w:val="288D015A"/>
    <w:rsid w:val="288D1679"/>
    <w:rsid w:val="288D3427"/>
    <w:rsid w:val="288D5494"/>
    <w:rsid w:val="288E0F4E"/>
    <w:rsid w:val="288F0E6A"/>
    <w:rsid w:val="288F2E28"/>
    <w:rsid w:val="288F50A3"/>
    <w:rsid w:val="288F5D65"/>
    <w:rsid w:val="288F66EB"/>
    <w:rsid w:val="288F6D86"/>
    <w:rsid w:val="289009E7"/>
    <w:rsid w:val="289022FA"/>
    <w:rsid w:val="28904CC6"/>
    <w:rsid w:val="28916D1F"/>
    <w:rsid w:val="28920E44"/>
    <w:rsid w:val="289229F6"/>
    <w:rsid w:val="28926C90"/>
    <w:rsid w:val="289274C3"/>
    <w:rsid w:val="289277EB"/>
    <w:rsid w:val="28930C7B"/>
    <w:rsid w:val="28935454"/>
    <w:rsid w:val="2894174F"/>
    <w:rsid w:val="2894269B"/>
    <w:rsid w:val="28944004"/>
    <w:rsid w:val="289447B6"/>
    <w:rsid w:val="289522DC"/>
    <w:rsid w:val="28956780"/>
    <w:rsid w:val="28960B98"/>
    <w:rsid w:val="28971511"/>
    <w:rsid w:val="289726BD"/>
    <w:rsid w:val="289742A6"/>
    <w:rsid w:val="28981F1C"/>
    <w:rsid w:val="289942DB"/>
    <w:rsid w:val="289A48A4"/>
    <w:rsid w:val="289A5B44"/>
    <w:rsid w:val="289A78F2"/>
    <w:rsid w:val="289B1FE8"/>
    <w:rsid w:val="289B740D"/>
    <w:rsid w:val="289C18BC"/>
    <w:rsid w:val="289C4061"/>
    <w:rsid w:val="289C5AAF"/>
    <w:rsid w:val="289C6F6F"/>
    <w:rsid w:val="289C7B0E"/>
    <w:rsid w:val="289D3530"/>
    <w:rsid w:val="289E017A"/>
    <w:rsid w:val="289E313C"/>
    <w:rsid w:val="289E3886"/>
    <w:rsid w:val="289E4C1E"/>
    <w:rsid w:val="289E5635"/>
    <w:rsid w:val="289F315B"/>
    <w:rsid w:val="28A013AD"/>
    <w:rsid w:val="28A03640"/>
    <w:rsid w:val="28A044B5"/>
    <w:rsid w:val="28A07CAF"/>
    <w:rsid w:val="28A10C81"/>
    <w:rsid w:val="28A15125"/>
    <w:rsid w:val="28A21BB6"/>
    <w:rsid w:val="28A30B3A"/>
    <w:rsid w:val="28A32C4B"/>
    <w:rsid w:val="28A40771"/>
    <w:rsid w:val="28A4093D"/>
    <w:rsid w:val="28A46D87"/>
    <w:rsid w:val="28A47CA0"/>
    <w:rsid w:val="28A54C15"/>
    <w:rsid w:val="28A6098D"/>
    <w:rsid w:val="28A644E9"/>
    <w:rsid w:val="28A65C60"/>
    <w:rsid w:val="28A864B3"/>
    <w:rsid w:val="28A91FCA"/>
    <w:rsid w:val="28AA222B"/>
    <w:rsid w:val="28AA3FD9"/>
    <w:rsid w:val="28AA40FD"/>
    <w:rsid w:val="28AA5830"/>
    <w:rsid w:val="28AB1CCE"/>
    <w:rsid w:val="28AB2D32"/>
    <w:rsid w:val="28AD242B"/>
    <w:rsid w:val="28AD2BEC"/>
    <w:rsid w:val="28AD3976"/>
    <w:rsid w:val="28AD5878"/>
    <w:rsid w:val="28AE3687"/>
    <w:rsid w:val="28AF15F0"/>
    <w:rsid w:val="28AF2A88"/>
    <w:rsid w:val="28AF57D0"/>
    <w:rsid w:val="28AF7842"/>
    <w:rsid w:val="28B02089"/>
    <w:rsid w:val="28B05368"/>
    <w:rsid w:val="28B17529"/>
    <w:rsid w:val="28B17B80"/>
    <w:rsid w:val="28B210E0"/>
    <w:rsid w:val="28B24F20"/>
    <w:rsid w:val="28B25EF0"/>
    <w:rsid w:val="28B27332"/>
    <w:rsid w:val="28B30264"/>
    <w:rsid w:val="28B33EA7"/>
    <w:rsid w:val="28B409B4"/>
    <w:rsid w:val="28B416F4"/>
    <w:rsid w:val="28B430AA"/>
    <w:rsid w:val="28B52B84"/>
    <w:rsid w:val="28B54518"/>
    <w:rsid w:val="28B55805"/>
    <w:rsid w:val="28B64014"/>
    <w:rsid w:val="28B704A4"/>
    <w:rsid w:val="28B74948"/>
    <w:rsid w:val="28B75372"/>
    <w:rsid w:val="28B766F6"/>
    <w:rsid w:val="28B76F16"/>
    <w:rsid w:val="28B81505"/>
    <w:rsid w:val="28B83071"/>
    <w:rsid w:val="28B84408"/>
    <w:rsid w:val="28B876D5"/>
    <w:rsid w:val="28B915F8"/>
    <w:rsid w:val="28B91CAE"/>
    <w:rsid w:val="28B9246E"/>
    <w:rsid w:val="28B93C10"/>
    <w:rsid w:val="28B93CFD"/>
    <w:rsid w:val="28B94157"/>
    <w:rsid w:val="28B9421C"/>
    <w:rsid w:val="28B9562E"/>
    <w:rsid w:val="28BB0922"/>
    <w:rsid w:val="28BB0DD7"/>
    <w:rsid w:val="28BB39D8"/>
    <w:rsid w:val="28BB6E5A"/>
    <w:rsid w:val="28BC5ABB"/>
    <w:rsid w:val="28BD2297"/>
    <w:rsid w:val="28BD5AC4"/>
    <w:rsid w:val="28BE1833"/>
    <w:rsid w:val="28BE780E"/>
    <w:rsid w:val="28BE7A85"/>
    <w:rsid w:val="28BF71F5"/>
    <w:rsid w:val="28C01A4F"/>
    <w:rsid w:val="28C037FD"/>
    <w:rsid w:val="28C055AB"/>
    <w:rsid w:val="28C05FA0"/>
    <w:rsid w:val="28C1211B"/>
    <w:rsid w:val="28C22296"/>
    <w:rsid w:val="28C225B7"/>
    <w:rsid w:val="28C25188"/>
    <w:rsid w:val="28C268C4"/>
    <w:rsid w:val="28C27125"/>
    <w:rsid w:val="28C307EF"/>
    <w:rsid w:val="28C341BA"/>
    <w:rsid w:val="28C3509B"/>
    <w:rsid w:val="28C3596E"/>
    <w:rsid w:val="28C36E49"/>
    <w:rsid w:val="28C44CA0"/>
    <w:rsid w:val="28C47EE0"/>
    <w:rsid w:val="28C5055B"/>
    <w:rsid w:val="28C56287"/>
    <w:rsid w:val="28C57065"/>
    <w:rsid w:val="28C610C5"/>
    <w:rsid w:val="28C62ACC"/>
    <w:rsid w:val="28C63E13"/>
    <w:rsid w:val="28C64DCA"/>
    <w:rsid w:val="28C66712"/>
    <w:rsid w:val="28C66939"/>
    <w:rsid w:val="28C72DDD"/>
    <w:rsid w:val="28C80903"/>
    <w:rsid w:val="28C81674"/>
    <w:rsid w:val="28C8445F"/>
    <w:rsid w:val="28C9055E"/>
    <w:rsid w:val="28C91449"/>
    <w:rsid w:val="28C926AC"/>
    <w:rsid w:val="28C94F5F"/>
    <w:rsid w:val="28CA01D8"/>
    <w:rsid w:val="28CA0D49"/>
    <w:rsid w:val="28CA2242"/>
    <w:rsid w:val="28CA4219"/>
    <w:rsid w:val="28CA467C"/>
    <w:rsid w:val="28CA56EB"/>
    <w:rsid w:val="28CA5CFD"/>
    <w:rsid w:val="28CA642A"/>
    <w:rsid w:val="28CB21A2"/>
    <w:rsid w:val="28CB3DA2"/>
    <w:rsid w:val="28CB4DAA"/>
    <w:rsid w:val="28CC2207"/>
    <w:rsid w:val="28CC44E4"/>
    <w:rsid w:val="28CC6517"/>
    <w:rsid w:val="28CD1A76"/>
    <w:rsid w:val="28CD1B01"/>
    <w:rsid w:val="28CD229B"/>
    <w:rsid w:val="28CD5C1B"/>
    <w:rsid w:val="28CD7CC8"/>
    <w:rsid w:val="28CF13ED"/>
    <w:rsid w:val="28CF3A40"/>
    <w:rsid w:val="28CF3BE7"/>
    <w:rsid w:val="28CF517E"/>
    <w:rsid w:val="28CF57EE"/>
    <w:rsid w:val="28CF62FC"/>
    <w:rsid w:val="28CF79A4"/>
    <w:rsid w:val="28D014E5"/>
    <w:rsid w:val="28D01566"/>
    <w:rsid w:val="28D01922"/>
    <w:rsid w:val="28D03639"/>
    <w:rsid w:val="28D15A0A"/>
    <w:rsid w:val="28D23530"/>
    <w:rsid w:val="28D32E46"/>
    <w:rsid w:val="28D35C94"/>
    <w:rsid w:val="28D41056"/>
    <w:rsid w:val="28D41A00"/>
    <w:rsid w:val="28D42E04"/>
    <w:rsid w:val="28D46E16"/>
    <w:rsid w:val="28D538A3"/>
    <w:rsid w:val="28D64DCE"/>
    <w:rsid w:val="28D65CAF"/>
    <w:rsid w:val="28D70B46"/>
    <w:rsid w:val="28D728F5"/>
    <w:rsid w:val="28D820EE"/>
    <w:rsid w:val="28D82B6D"/>
    <w:rsid w:val="28D851C9"/>
    <w:rsid w:val="28D9041B"/>
    <w:rsid w:val="28D9070A"/>
    <w:rsid w:val="28D91F7F"/>
    <w:rsid w:val="28D948BF"/>
    <w:rsid w:val="28DA4D5B"/>
    <w:rsid w:val="28DB0637"/>
    <w:rsid w:val="28DC5D2F"/>
    <w:rsid w:val="28DC615D"/>
    <w:rsid w:val="28DC7A10"/>
    <w:rsid w:val="28DC7F0B"/>
    <w:rsid w:val="28DC7FCD"/>
    <w:rsid w:val="28DD71BF"/>
    <w:rsid w:val="28DD727E"/>
    <w:rsid w:val="28DD7A4B"/>
    <w:rsid w:val="28DE1ED5"/>
    <w:rsid w:val="28DF17A9"/>
    <w:rsid w:val="28DF46B0"/>
    <w:rsid w:val="28DF6D48"/>
    <w:rsid w:val="28E053B2"/>
    <w:rsid w:val="28E05C4D"/>
    <w:rsid w:val="28E079FB"/>
    <w:rsid w:val="28E11359"/>
    <w:rsid w:val="28E15521"/>
    <w:rsid w:val="28E23B21"/>
    <w:rsid w:val="28E31299"/>
    <w:rsid w:val="28E3573D"/>
    <w:rsid w:val="28E35C02"/>
    <w:rsid w:val="28E374EB"/>
    <w:rsid w:val="28E40CF0"/>
    <w:rsid w:val="28E46C93"/>
    <w:rsid w:val="28E46E6E"/>
    <w:rsid w:val="28E514B5"/>
    <w:rsid w:val="28E55011"/>
    <w:rsid w:val="28E563CE"/>
    <w:rsid w:val="28E62B38"/>
    <w:rsid w:val="28E65B81"/>
    <w:rsid w:val="28E701FC"/>
    <w:rsid w:val="28E70DA8"/>
    <w:rsid w:val="28E73CB0"/>
    <w:rsid w:val="28E75A13"/>
    <w:rsid w:val="28E771FC"/>
    <w:rsid w:val="28E81102"/>
    <w:rsid w:val="28E82D54"/>
    <w:rsid w:val="28E841D5"/>
    <w:rsid w:val="28E868B0"/>
    <w:rsid w:val="28E90333"/>
    <w:rsid w:val="28E90BA1"/>
    <w:rsid w:val="28E9129E"/>
    <w:rsid w:val="28E973E9"/>
    <w:rsid w:val="28EA17C3"/>
    <w:rsid w:val="28EA2584"/>
    <w:rsid w:val="28EA6064"/>
    <w:rsid w:val="28EB4BFB"/>
    <w:rsid w:val="28EB7706"/>
    <w:rsid w:val="28EC0230"/>
    <w:rsid w:val="28EC17CE"/>
    <w:rsid w:val="28EC3BFC"/>
    <w:rsid w:val="28EC6BE7"/>
    <w:rsid w:val="28ED036A"/>
    <w:rsid w:val="28ED3CB9"/>
    <w:rsid w:val="28ED3EC6"/>
    <w:rsid w:val="28ED4753"/>
    <w:rsid w:val="28EE0972"/>
    <w:rsid w:val="28EE1706"/>
    <w:rsid w:val="28EF41A5"/>
    <w:rsid w:val="28EF568F"/>
    <w:rsid w:val="28F039B6"/>
    <w:rsid w:val="28F05102"/>
    <w:rsid w:val="28F0543C"/>
    <w:rsid w:val="28F05635"/>
    <w:rsid w:val="28F069BF"/>
    <w:rsid w:val="28F214DC"/>
    <w:rsid w:val="28F2318D"/>
    <w:rsid w:val="28F24F48"/>
    <w:rsid w:val="28F2772E"/>
    <w:rsid w:val="28F27B10"/>
    <w:rsid w:val="28F27B7E"/>
    <w:rsid w:val="28F413A6"/>
    <w:rsid w:val="28F44326"/>
    <w:rsid w:val="28F45255"/>
    <w:rsid w:val="28F45E57"/>
    <w:rsid w:val="28F46B89"/>
    <w:rsid w:val="28F5025F"/>
    <w:rsid w:val="28F530EF"/>
    <w:rsid w:val="28F568D6"/>
    <w:rsid w:val="28F5736F"/>
    <w:rsid w:val="28F60095"/>
    <w:rsid w:val="28F60FCD"/>
    <w:rsid w:val="28F63EDE"/>
    <w:rsid w:val="28F72F97"/>
    <w:rsid w:val="28F74D45"/>
    <w:rsid w:val="28F770C2"/>
    <w:rsid w:val="28F811E9"/>
    <w:rsid w:val="28F82711"/>
    <w:rsid w:val="28F86531"/>
    <w:rsid w:val="28FA4916"/>
    <w:rsid w:val="28FA69BB"/>
    <w:rsid w:val="28FA6D1F"/>
    <w:rsid w:val="28FB2363"/>
    <w:rsid w:val="28FB2667"/>
    <w:rsid w:val="28FC235B"/>
    <w:rsid w:val="28FC5FDB"/>
    <w:rsid w:val="28FD6DA8"/>
    <w:rsid w:val="28FE074F"/>
    <w:rsid w:val="28FE11F6"/>
    <w:rsid w:val="28FE2577"/>
    <w:rsid w:val="28FE4325"/>
    <w:rsid w:val="28FE60D3"/>
    <w:rsid w:val="28FE73D4"/>
    <w:rsid w:val="28FF3C9A"/>
    <w:rsid w:val="28FF48AD"/>
    <w:rsid w:val="28FF6841"/>
    <w:rsid w:val="28FF7D67"/>
    <w:rsid w:val="29002516"/>
    <w:rsid w:val="2900291F"/>
    <w:rsid w:val="2900742F"/>
    <w:rsid w:val="29013526"/>
    <w:rsid w:val="29017971"/>
    <w:rsid w:val="29023E15"/>
    <w:rsid w:val="290336EA"/>
    <w:rsid w:val="29037B8D"/>
    <w:rsid w:val="290440F0"/>
    <w:rsid w:val="29044F3B"/>
    <w:rsid w:val="29045901"/>
    <w:rsid w:val="29050401"/>
    <w:rsid w:val="29051210"/>
    <w:rsid w:val="29051C5B"/>
    <w:rsid w:val="29053906"/>
    <w:rsid w:val="290556B4"/>
    <w:rsid w:val="290563D8"/>
    <w:rsid w:val="29057462"/>
    <w:rsid w:val="29057B0C"/>
    <w:rsid w:val="29061ECF"/>
    <w:rsid w:val="2906785B"/>
    <w:rsid w:val="290731DA"/>
    <w:rsid w:val="2907481E"/>
    <w:rsid w:val="29080D00"/>
    <w:rsid w:val="29084DDE"/>
    <w:rsid w:val="290851A4"/>
    <w:rsid w:val="29086F52"/>
    <w:rsid w:val="2909543E"/>
    <w:rsid w:val="2909656C"/>
    <w:rsid w:val="29096E83"/>
    <w:rsid w:val="290A0F1C"/>
    <w:rsid w:val="290A2CCA"/>
    <w:rsid w:val="290A4A78"/>
    <w:rsid w:val="290A5904"/>
    <w:rsid w:val="290A59A4"/>
    <w:rsid w:val="290B0EEB"/>
    <w:rsid w:val="290B259E"/>
    <w:rsid w:val="290B2C19"/>
    <w:rsid w:val="290C3D9E"/>
    <w:rsid w:val="290D27BA"/>
    <w:rsid w:val="290D4568"/>
    <w:rsid w:val="290E1C74"/>
    <w:rsid w:val="290E7EBF"/>
    <w:rsid w:val="290F02E0"/>
    <w:rsid w:val="290F4769"/>
    <w:rsid w:val="290F6532"/>
    <w:rsid w:val="2910376B"/>
    <w:rsid w:val="291071F5"/>
    <w:rsid w:val="2911026F"/>
    <w:rsid w:val="291122AA"/>
    <w:rsid w:val="29114058"/>
    <w:rsid w:val="29121B7F"/>
    <w:rsid w:val="291263FD"/>
    <w:rsid w:val="291309CF"/>
    <w:rsid w:val="291323A7"/>
    <w:rsid w:val="2913316F"/>
    <w:rsid w:val="291335A0"/>
    <w:rsid w:val="291357D1"/>
    <w:rsid w:val="291529E3"/>
    <w:rsid w:val="29154678"/>
    <w:rsid w:val="291601D6"/>
    <w:rsid w:val="2916166F"/>
    <w:rsid w:val="291678C1"/>
    <w:rsid w:val="291707E0"/>
    <w:rsid w:val="29172C46"/>
    <w:rsid w:val="29176F63"/>
    <w:rsid w:val="2918060A"/>
    <w:rsid w:val="291853E7"/>
    <w:rsid w:val="29185688"/>
    <w:rsid w:val="29187538"/>
    <w:rsid w:val="291925C0"/>
    <w:rsid w:val="2919489C"/>
    <w:rsid w:val="29194CBB"/>
    <w:rsid w:val="291A250E"/>
    <w:rsid w:val="291A5689"/>
    <w:rsid w:val="291A5FE7"/>
    <w:rsid w:val="291A7161"/>
    <w:rsid w:val="291B0A33"/>
    <w:rsid w:val="291B4343"/>
    <w:rsid w:val="291B6C85"/>
    <w:rsid w:val="291C16CA"/>
    <w:rsid w:val="291C1B56"/>
    <w:rsid w:val="291C3D7C"/>
    <w:rsid w:val="291C3E23"/>
    <w:rsid w:val="291D29FD"/>
    <w:rsid w:val="291E0523"/>
    <w:rsid w:val="291E22D1"/>
    <w:rsid w:val="291F7AB1"/>
    <w:rsid w:val="29200286"/>
    <w:rsid w:val="29206EB8"/>
    <w:rsid w:val="29211DC2"/>
    <w:rsid w:val="29215BA4"/>
    <w:rsid w:val="29220014"/>
    <w:rsid w:val="29223789"/>
    <w:rsid w:val="29226266"/>
    <w:rsid w:val="29227034"/>
    <w:rsid w:val="29231FDE"/>
    <w:rsid w:val="29233815"/>
    <w:rsid w:val="29235B3A"/>
    <w:rsid w:val="29252DE4"/>
    <w:rsid w:val="29253660"/>
    <w:rsid w:val="292559B5"/>
    <w:rsid w:val="29256A78"/>
    <w:rsid w:val="292576CC"/>
    <w:rsid w:val="29257A13"/>
    <w:rsid w:val="29264DAB"/>
    <w:rsid w:val="29265348"/>
    <w:rsid w:val="2927562A"/>
    <w:rsid w:val="29275693"/>
    <w:rsid w:val="29275A00"/>
    <w:rsid w:val="292813A2"/>
    <w:rsid w:val="29282EA6"/>
    <w:rsid w:val="29283114"/>
    <w:rsid w:val="292875F4"/>
    <w:rsid w:val="2929503D"/>
    <w:rsid w:val="29295B4A"/>
    <w:rsid w:val="292A425B"/>
    <w:rsid w:val="292A511A"/>
    <w:rsid w:val="292B1D78"/>
    <w:rsid w:val="292B5728"/>
    <w:rsid w:val="292C0BB0"/>
    <w:rsid w:val="292C49EE"/>
    <w:rsid w:val="292D0766"/>
    <w:rsid w:val="292D589D"/>
    <w:rsid w:val="292D69B8"/>
    <w:rsid w:val="292E2CF0"/>
    <w:rsid w:val="292E2E2F"/>
    <w:rsid w:val="292E4C0A"/>
    <w:rsid w:val="292E55D7"/>
    <w:rsid w:val="292F0982"/>
    <w:rsid w:val="292F2731"/>
    <w:rsid w:val="292F3E2B"/>
    <w:rsid w:val="29302AC8"/>
    <w:rsid w:val="29306F38"/>
    <w:rsid w:val="29312005"/>
    <w:rsid w:val="29315699"/>
    <w:rsid w:val="293164A9"/>
    <w:rsid w:val="293258B0"/>
    <w:rsid w:val="29325D7D"/>
    <w:rsid w:val="29332221"/>
    <w:rsid w:val="29333A5A"/>
    <w:rsid w:val="293374EC"/>
    <w:rsid w:val="29341C59"/>
    <w:rsid w:val="293430C6"/>
    <w:rsid w:val="29343273"/>
    <w:rsid w:val="29345FFD"/>
    <w:rsid w:val="29347D47"/>
    <w:rsid w:val="2936373F"/>
    <w:rsid w:val="293660D4"/>
    <w:rsid w:val="293715E5"/>
    <w:rsid w:val="29373393"/>
    <w:rsid w:val="29381B9B"/>
    <w:rsid w:val="29383EF7"/>
    <w:rsid w:val="29385A89"/>
    <w:rsid w:val="29387837"/>
    <w:rsid w:val="293930DB"/>
    <w:rsid w:val="293935AF"/>
    <w:rsid w:val="29397A60"/>
    <w:rsid w:val="293B5B6A"/>
    <w:rsid w:val="293B7327"/>
    <w:rsid w:val="293C27AC"/>
    <w:rsid w:val="293D2340"/>
    <w:rsid w:val="293D309F"/>
    <w:rsid w:val="293D3C3C"/>
    <w:rsid w:val="293D5A72"/>
    <w:rsid w:val="293D6516"/>
    <w:rsid w:val="293D6BFB"/>
    <w:rsid w:val="293E50CC"/>
    <w:rsid w:val="293E7C9D"/>
    <w:rsid w:val="293F4ABA"/>
    <w:rsid w:val="293F6969"/>
    <w:rsid w:val="293F744F"/>
    <w:rsid w:val="2940049A"/>
    <w:rsid w:val="294015F5"/>
    <w:rsid w:val="29401613"/>
    <w:rsid w:val="294042BB"/>
    <w:rsid w:val="294066EC"/>
    <w:rsid w:val="294206B6"/>
    <w:rsid w:val="2942142E"/>
    <w:rsid w:val="294232CE"/>
    <w:rsid w:val="294241FF"/>
    <w:rsid w:val="29424212"/>
    <w:rsid w:val="29424EDD"/>
    <w:rsid w:val="294361DC"/>
    <w:rsid w:val="29437AAE"/>
    <w:rsid w:val="2944055C"/>
    <w:rsid w:val="294423CE"/>
    <w:rsid w:val="29444C64"/>
    <w:rsid w:val="29451939"/>
    <w:rsid w:val="29451F54"/>
    <w:rsid w:val="29453D02"/>
    <w:rsid w:val="29455985"/>
    <w:rsid w:val="2946642F"/>
    <w:rsid w:val="29471828"/>
    <w:rsid w:val="29475CCC"/>
    <w:rsid w:val="29476BD6"/>
    <w:rsid w:val="294833DC"/>
    <w:rsid w:val="294877A6"/>
    <w:rsid w:val="29491A44"/>
    <w:rsid w:val="29497054"/>
    <w:rsid w:val="294A57BC"/>
    <w:rsid w:val="294B16C8"/>
    <w:rsid w:val="294C0B60"/>
    <w:rsid w:val="294C22A1"/>
    <w:rsid w:val="294C32E2"/>
    <w:rsid w:val="294C4C62"/>
    <w:rsid w:val="294C5091"/>
    <w:rsid w:val="294C6E3F"/>
    <w:rsid w:val="294D190D"/>
    <w:rsid w:val="294D4722"/>
    <w:rsid w:val="294D6231"/>
    <w:rsid w:val="294E6051"/>
    <w:rsid w:val="294F23C0"/>
    <w:rsid w:val="294F4981"/>
    <w:rsid w:val="29501D73"/>
    <w:rsid w:val="295108F9"/>
    <w:rsid w:val="295109D4"/>
    <w:rsid w:val="29511E01"/>
    <w:rsid w:val="29514455"/>
    <w:rsid w:val="295169BB"/>
    <w:rsid w:val="295201CD"/>
    <w:rsid w:val="295233D2"/>
    <w:rsid w:val="29534075"/>
    <w:rsid w:val="2953483F"/>
    <w:rsid w:val="29536324"/>
    <w:rsid w:val="2953641F"/>
    <w:rsid w:val="295403E9"/>
    <w:rsid w:val="29542197"/>
    <w:rsid w:val="29542989"/>
    <w:rsid w:val="29555311"/>
    <w:rsid w:val="29560E58"/>
    <w:rsid w:val="29564161"/>
    <w:rsid w:val="29565F0F"/>
    <w:rsid w:val="295700BA"/>
    <w:rsid w:val="29570DF4"/>
    <w:rsid w:val="2957349A"/>
    <w:rsid w:val="295749F5"/>
    <w:rsid w:val="295773B4"/>
    <w:rsid w:val="29583A35"/>
    <w:rsid w:val="29587509"/>
    <w:rsid w:val="2959155B"/>
    <w:rsid w:val="29595666"/>
    <w:rsid w:val="295959FF"/>
    <w:rsid w:val="295977AD"/>
    <w:rsid w:val="295A1E9A"/>
    <w:rsid w:val="295A4C02"/>
    <w:rsid w:val="295B1778"/>
    <w:rsid w:val="295B3526"/>
    <w:rsid w:val="295B5A84"/>
    <w:rsid w:val="295C2001"/>
    <w:rsid w:val="295C2E68"/>
    <w:rsid w:val="295C4F64"/>
    <w:rsid w:val="295C7216"/>
    <w:rsid w:val="295C79FC"/>
    <w:rsid w:val="295D0FD8"/>
    <w:rsid w:val="295D104C"/>
    <w:rsid w:val="295D54F0"/>
    <w:rsid w:val="295D729E"/>
    <w:rsid w:val="295E4DC4"/>
    <w:rsid w:val="295E6B72"/>
    <w:rsid w:val="295F1CCD"/>
    <w:rsid w:val="295F2D97"/>
    <w:rsid w:val="2960326E"/>
    <w:rsid w:val="296216B0"/>
    <w:rsid w:val="29622D86"/>
    <w:rsid w:val="29627D86"/>
    <w:rsid w:val="2963196D"/>
    <w:rsid w:val="29633D11"/>
    <w:rsid w:val="29634188"/>
    <w:rsid w:val="296357D5"/>
    <w:rsid w:val="296462DB"/>
    <w:rsid w:val="296529E2"/>
    <w:rsid w:val="29653D68"/>
    <w:rsid w:val="296543A4"/>
    <w:rsid w:val="2966517F"/>
    <w:rsid w:val="296666A0"/>
    <w:rsid w:val="29667960"/>
    <w:rsid w:val="29673C78"/>
    <w:rsid w:val="29686070"/>
    <w:rsid w:val="29686BF8"/>
    <w:rsid w:val="296874DC"/>
    <w:rsid w:val="2969523F"/>
    <w:rsid w:val="29695C42"/>
    <w:rsid w:val="296A142C"/>
    <w:rsid w:val="296B1032"/>
    <w:rsid w:val="296C0D23"/>
    <w:rsid w:val="296C2C58"/>
    <w:rsid w:val="296C6A09"/>
    <w:rsid w:val="296D7D72"/>
    <w:rsid w:val="296E2A6A"/>
    <w:rsid w:val="296E3259"/>
    <w:rsid w:val="296E563B"/>
    <w:rsid w:val="296E6299"/>
    <w:rsid w:val="296E7CFF"/>
    <w:rsid w:val="296F0D7F"/>
    <w:rsid w:val="296F0ED9"/>
    <w:rsid w:val="296F5223"/>
    <w:rsid w:val="296F5BD4"/>
    <w:rsid w:val="29701211"/>
    <w:rsid w:val="297113EB"/>
    <w:rsid w:val="29711E75"/>
    <w:rsid w:val="29712D49"/>
    <w:rsid w:val="29720054"/>
    <w:rsid w:val="29720ED4"/>
    <w:rsid w:val="297221D3"/>
    <w:rsid w:val="2973261D"/>
    <w:rsid w:val="2973448D"/>
    <w:rsid w:val="29734F00"/>
    <w:rsid w:val="297402D7"/>
    <w:rsid w:val="29746395"/>
    <w:rsid w:val="2974675A"/>
    <w:rsid w:val="29752839"/>
    <w:rsid w:val="2976210D"/>
    <w:rsid w:val="29763DCD"/>
    <w:rsid w:val="29763EBB"/>
    <w:rsid w:val="29766532"/>
    <w:rsid w:val="297821E9"/>
    <w:rsid w:val="297840D8"/>
    <w:rsid w:val="297866ED"/>
    <w:rsid w:val="29787622"/>
    <w:rsid w:val="29787C34"/>
    <w:rsid w:val="297939AC"/>
    <w:rsid w:val="297962D5"/>
    <w:rsid w:val="297A0F79"/>
    <w:rsid w:val="297A3BDE"/>
    <w:rsid w:val="297A5B3A"/>
    <w:rsid w:val="297A7395"/>
    <w:rsid w:val="297A7E50"/>
    <w:rsid w:val="297B2947"/>
    <w:rsid w:val="297B2E79"/>
    <w:rsid w:val="297B3BC8"/>
    <w:rsid w:val="297B40EB"/>
    <w:rsid w:val="297B5976"/>
    <w:rsid w:val="297B6AFF"/>
    <w:rsid w:val="297B7724"/>
    <w:rsid w:val="297D1175"/>
    <w:rsid w:val="297D349C"/>
    <w:rsid w:val="297D524A"/>
    <w:rsid w:val="297D6D34"/>
    <w:rsid w:val="297E0FC2"/>
    <w:rsid w:val="297E255F"/>
    <w:rsid w:val="297F13CE"/>
    <w:rsid w:val="297F576C"/>
    <w:rsid w:val="297F7B50"/>
    <w:rsid w:val="29802F8C"/>
    <w:rsid w:val="29804D3A"/>
    <w:rsid w:val="2980630F"/>
    <w:rsid w:val="29812371"/>
    <w:rsid w:val="298124E9"/>
    <w:rsid w:val="29814649"/>
    <w:rsid w:val="2981538C"/>
    <w:rsid w:val="29820AB2"/>
    <w:rsid w:val="298234AE"/>
    <w:rsid w:val="298239BC"/>
    <w:rsid w:val="29823C62"/>
    <w:rsid w:val="29826D04"/>
    <w:rsid w:val="29842A7C"/>
    <w:rsid w:val="29844C7D"/>
    <w:rsid w:val="298505A2"/>
    <w:rsid w:val="29852351"/>
    <w:rsid w:val="29860CF9"/>
    <w:rsid w:val="298664DC"/>
    <w:rsid w:val="29866E9C"/>
    <w:rsid w:val="29873611"/>
    <w:rsid w:val="2987431B"/>
    <w:rsid w:val="29874881"/>
    <w:rsid w:val="298760C9"/>
    <w:rsid w:val="29876EFA"/>
    <w:rsid w:val="298779BC"/>
    <w:rsid w:val="29884C1B"/>
    <w:rsid w:val="298857D8"/>
    <w:rsid w:val="2988710A"/>
    <w:rsid w:val="29890093"/>
    <w:rsid w:val="298962E5"/>
    <w:rsid w:val="29896437"/>
    <w:rsid w:val="298A0B02"/>
    <w:rsid w:val="298A10D5"/>
    <w:rsid w:val="298A5BB9"/>
    <w:rsid w:val="298A691F"/>
    <w:rsid w:val="298B3766"/>
    <w:rsid w:val="298B4095"/>
    <w:rsid w:val="298C1931"/>
    <w:rsid w:val="298C36DF"/>
    <w:rsid w:val="298C55EB"/>
    <w:rsid w:val="298D22DB"/>
    <w:rsid w:val="298D2772"/>
    <w:rsid w:val="298E2054"/>
    <w:rsid w:val="298E626E"/>
    <w:rsid w:val="298E6B26"/>
    <w:rsid w:val="298F1070"/>
    <w:rsid w:val="298F323B"/>
    <w:rsid w:val="298F4F7D"/>
    <w:rsid w:val="29901CE4"/>
    <w:rsid w:val="299034EA"/>
    <w:rsid w:val="29907545"/>
    <w:rsid w:val="29916F47"/>
    <w:rsid w:val="29920B32"/>
    <w:rsid w:val="29930F11"/>
    <w:rsid w:val="29931845"/>
    <w:rsid w:val="29934A6D"/>
    <w:rsid w:val="29934C98"/>
    <w:rsid w:val="29934E82"/>
    <w:rsid w:val="29941994"/>
    <w:rsid w:val="29942A1C"/>
    <w:rsid w:val="29946431"/>
    <w:rsid w:val="29954C89"/>
    <w:rsid w:val="29957935"/>
    <w:rsid w:val="29965452"/>
    <w:rsid w:val="29965711"/>
    <w:rsid w:val="2996630C"/>
    <w:rsid w:val="29973106"/>
    <w:rsid w:val="299802D6"/>
    <w:rsid w:val="29982084"/>
    <w:rsid w:val="299853AA"/>
    <w:rsid w:val="29986528"/>
    <w:rsid w:val="299910F4"/>
    <w:rsid w:val="299946CD"/>
    <w:rsid w:val="29995DFC"/>
    <w:rsid w:val="299A22A0"/>
    <w:rsid w:val="299A42BB"/>
    <w:rsid w:val="299A60F9"/>
    <w:rsid w:val="299B1B74"/>
    <w:rsid w:val="299B7336"/>
    <w:rsid w:val="299B7DC6"/>
    <w:rsid w:val="299C5322"/>
    <w:rsid w:val="299D1DEB"/>
    <w:rsid w:val="299D24FB"/>
    <w:rsid w:val="299D6485"/>
    <w:rsid w:val="299E2FD9"/>
    <w:rsid w:val="299E3412"/>
    <w:rsid w:val="299E7AA4"/>
    <w:rsid w:val="299F0075"/>
    <w:rsid w:val="299F1E59"/>
    <w:rsid w:val="299F3699"/>
    <w:rsid w:val="299F6AFE"/>
    <w:rsid w:val="299F78B6"/>
    <w:rsid w:val="29A00EFB"/>
    <w:rsid w:val="29A0688C"/>
    <w:rsid w:val="29A128EF"/>
    <w:rsid w:val="29A139E7"/>
    <w:rsid w:val="29A13F1B"/>
    <w:rsid w:val="29A20219"/>
    <w:rsid w:val="29A20D42"/>
    <w:rsid w:val="29A21154"/>
    <w:rsid w:val="29A24CB1"/>
    <w:rsid w:val="29A2782D"/>
    <w:rsid w:val="29A30077"/>
    <w:rsid w:val="29A30A29"/>
    <w:rsid w:val="29A32EDD"/>
    <w:rsid w:val="29A44339"/>
    <w:rsid w:val="29A466B6"/>
    <w:rsid w:val="29A46C7B"/>
    <w:rsid w:val="29A54F20"/>
    <w:rsid w:val="29A6176B"/>
    <w:rsid w:val="29A66B9A"/>
    <w:rsid w:val="29A73A5D"/>
    <w:rsid w:val="29A749BD"/>
    <w:rsid w:val="29A7676B"/>
    <w:rsid w:val="29A76BDF"/>
    <w:rsid w:val="29A847D0"/>
    <w:rsid w:val="29A85CC0"/>
    <w:rsid w:val="29A900EC"/>
    <w:rsid w:val="29A94291"/>
    <w:rsid w:val="29A9603F"/>
    <w:rsid w:val="29A96161"/>
    <w:rsid w:val="29AA1A6C"/>
    <w:rsid w:val="29AA4DFA"/>
    <w:rsid w:val="29AA5774"/>
    <w:rsid w:val="29AB5281"/>
    <w:rsid w:val="29AC7FF1"/>
    <w:rsid w:val="29AD1197"/>
    <w:rsid w:val="29AD1ED5"/>
    <w:rsid w:val="29AD6810"/>
    <w:rsid w:val="29AE38F9"/>
    <w:rsid w:val="29AF138D"/>
    <w:rsid w:val="29AF49D2"/>
    <w:rsid w:val="29AF561F"/>
    <w:rsid w:val="29AF73CD"/>
    <w:rsid w:val="29B00767"/>
    <w:rsid w:val="29B03871"/>
    <w:rsid w:val="29B13146"/>
    <w:rsid w:val="29B2422A"/>
    <w:rsid w:val="29B27D0E"/>
    <w:rsid w:val="29B31E3B"/>
    <w:rsid w:val="29B32E5E"/>
    <w:rsid w:val="29B33D32"/>
    <w:rsid w:val="29B34FE9"/>
    <w:rsid w:val="29B35110"/>
    <w:rsid w:val="29B357B0"/>
    <w:rsid w:val="29B36B5A"/>
    <w:rsid w:val="29B36EBE"/>
    <w:rsid w:val="29B42C36"/>
    <w:rsid w:val="29B42E29"/>
    <w:rsid w:val="29B449E4"/>
    <w:rsid w:val="29B50E88"/>
    <w:rsid w:val="29B54879"/>
    <w:rsid w:val="29B54AE5"/>
    <w:rsid w:val="29B54E56"/>
    <w:rsid w:val="29B55DEC"/>
    <w:rsid w:val="29B5668F"/>
    <w:rsid w:val="29B65CF7"/>
    <w:rsid w:val="29B669AE"/>
    <w:rsid w:val="29B66B05"/>
    <w:rsid w:val="29B748D7"/>
    <w:rsid w:val="29B80978"/>
    <w:rsid w:val="29B82726"/>
    <w:rsid w:val="29B83429"/>
    <w:rsid w:val="29B83B80"/>
    <w:rsid w:val="29B91D82"/>
    <w:rsid w:val="29B97BE1"/>
    <w:rsid w:val="29BA0843"/>
    <w:rsid w:val="29BA2FA5"/>
    <w:rsid w:val="29BA45FF"/>
    <w:rsid w:val="29BA46F0"/>
    <w:rsid w:val="29BB2216"/>
    <w:rsid w:val="29BB5D72"/>
    <w:rsid w:val="29BC1B48"/>
    <w:rsid w:val="29BC407A"/>
    <w:rsid w:val="29BD3223"/>
    <w:rsid w:val="29BD6562"/>
    <w:rsid w:val="29BD7D3C"/>
    <w:rsid w:val="29BE3DDA"/>
    <w:rsid w:val="29BE5420"/>
    <w:rsid w:val="29BF0B75"/>
    <w:rsid w:val="29BF549C"/>
    <w:rsid w:val="29C02C2B"/>
    <w:rsid w:val="29C03EC6"/>
    <w:rsid w:val="29C15A7E"/>
    <w:rsid w:val="29C23335"/>
    <w:rsid w:val="29C25353"/>
    <w:rsid w:val="29C323D4"/>
    <w:rsid w:val="29C342B8"/>
    <w:rsid w:val="29C34D9C"/>
    <w:rsid w:val="29C3742E"/>
    <w:rsid w:val="29C42E79"/>
    <w:rsid w:val="29C43864"/>
    <w:rsid w:val="29C520EB"/>
    <w:rsid w:val="29C60D55"/>
    <w:rsid w:val="29C62DDE"/>
    <w:rsid w:val="29C63095"/>
    <w:rsid w:val="29C640A6"/>
    <w:rsid w:val="29C65737"/>
    <w:rsid w:val="29C80431"/>
    <w:rsid w:val="29C808BC"/>
    <w:rsid w:val="29C829D9"/>
    <w:rsid w:val="29C82F0C"/>
    <w:rsid w:val="29C8349F"/>
    <w:rsid w:val="29C83675"/>
    <w:rsid w:val="29C84034"/>
    <w:rsid w:val="29C86E9B"/>
    <w:rsid w:val="29C9048F"/>
    <w:rsid w:val="29C93E27"/>
    <w:rsid w:val="29C94933"/>
    <w:rsid w:val="29C964A0"/>
    <w:rsid w:val="29CA4207"/>
    <w:rsid w:val="29CA5713"/>
    <w:rsid w:val="29CB06AB"/>
    <w:rsid w:val="29CB7425"/>
    <w:rsid w:val="29CC039F"/>
    <w:rsid w:val="29CD1684"/>
    <w:rsid w:val="29CD2329"/>
    <w:rsid w:val="29CD55D7"/>
    <w:rsid w:val="29CE1F49"/>
    <w:rsid w:val="29CE3CF8"/>
    <w:rsid w:val="29CF4C4F"/>
    <w:rsid w:val="29CF63D3"/>
    <w:rsid w:val="29D00CD1"/>
    <w:rsid w:val="29D05CC2"/>
    <w:rsid w:val="29D07A70"/>
    <w:rsid w:val="29D15596"/>
    <w:rsid w:val="29D20A3F"/>
    <w:rsid w:val="29D37560"/>
    <w:rsid w:val="29D4050A"/>
    <w:rsid w:val="29D451DB"/>
    <w:rsid w:val="29D53B9C"/>
    <w:rsid w:val="29D54A7A"/>
    <w:rsid w:val="29D54CD3"/>
    <w:rsid w:val="29D55086"/>
    <w:rsid w:val="29D555AD"/>
    <w:rsid w:val="29D662F4"/>
    <w:rsid w:val="29D67050"/>
    <w:rsid w:val="29D7495D"/>
    <w:rsid w:val="29D764D8"/>
    <w:rsid w:val="29D81C33"/>
    <w:rsid w:val="29D82DC8"/>
    <w:rsid w:val="29D84B76"/>
    <w:rsid w:val="29D86924"/>
    <w:rsid w:val="29D945FA"/>
    <w:rsid w:val="29DA6B40"/>
    <w:rsid w:val="29DB4666"/>
    <w:rsid w:val="29DB6414"/>
    <w:rsid w:val="29DD0242"/>
    <w:rsid w:val="29DD03DE"/>
    <w:rsid w:val="29DD218D"/>
    <w:rsid w:val="29DE0258"/>
    <w:rsid w:val="29DE1448"/>
    <w:rsid w:val="29DE2775"/>
    <w:rsid w:val="29DF5F05"/>
    <w:rsid w:val="29DF7CB3"/>
    <w:rsid w:val="29E035C3"/>
    <w:rsid w:val="29E17ECF"/>
    <w:rsid w:val="29E2199A"/>
    <w:rsid w:val="29E277A3"/>
    <w:rsid w:val="29E31088"/>
    <w:rsid w:val="29E325E0"/>
    <w:rsid w:val="29E32D39"/>
    <w:rsid w:val="29E4071B"/>
    <w:rsid w:val="29E4351B"/>
    <w:rsid w:val="29E452C9"/>
    <w:rsid w:val="29E466CE"/>
    <w:rsid w:val="29E57290"/>
    <w:rsid w:val="29E57B1E"/>
    <w:rsid w:val="29E606C2"/>
    <w:rsid w:val="29E62DF9"/>
    <w:rsid w:val="29E67293"/>
    <w:rsid w:val="29E6743B"/>
    <w:rsid w:val="29E67D49"/>
    <w:rsid w:val="29E71F35"/>
    <w:rsid w:val="29E74DB9"/>
    <w:rsid w:val="29E74ECF"/>
    <w:rsid w:val="29E754BD"/>
    <w:rsid w:val="29E76EA7"/>
    <w:rsid w:val="29E77D42"/>
    <w:rsid w:val="29E87A70"/>
    <w:rsid w:val="29E90B31"/>
    <w:rsid w:val="29E929AE"/>
    <w:rsid w:val="29E940EF"/>
    <w:rsid w:val="29E94B19"/>
    <w:rsid w:val="29E97F12"/>
    <w:rsid w:val="29EA557F"/>
    <w:rsid w:val="29EB5F97"/>
    <w:rsid w:val="29EC0622"/>
    <w:rsid w:val="29EC23D0"/>
    <w:rsid w:val="29EC42BC"/>
    <w:rsid w:val="29EC6EA3"/>
    <w:rsid w:val="29EE439A"/>
    <w:rsid w:val="29EE6148"/>
    <w:rsid w:val="29EE768D"/>
    <w:rsid w:val="29EE7EF6"/>
    <w:rsid w:val="29EF140A"/>
    <w:rsid w:val="29EF2AC2"/>
    <w:rsid w:val="29EF4ABC"/>
    <w:rsid w:val="29F00112"/>
    <w:rsid w:val="29F00514"/>
    <w:rsid w:val="29F021D3"/>
    <w:rsid w:val="29F0526A"/>
    <w:rsid w:val="29F13D11"/>
    <w:rsid w:val="29F179E6"/>
    <w:rsid w:val="29F2365B"/>
    <w:rsid w:val="29F23838"/>
    <w:rsid w:val="29F23E8A"/>
    <w:rsid w:val="29F25A7E"/>
    <w:rsid w:val="29F325E0"/>
    <w:rsid w:val="29F3375E"/>
    <w:rsid w:val="29F36060"/>
    <w:rsid w:val="29F44D3F"/>
    <w:rsid w:val="29F50380"/>
    <w:rsid w:val="29F51284"/>
    <w:rsid w:val="29F55728"/>
    <w:rsid w:val="29F62B15"/>
    <w:rsid w:val="29F64FFC"/>
    <w:rsid w:val="29F66CC6"/>
    <w:rsid w:val="29F714A0"/>
    <w:rsid w:val="29F76442"/>
    <w:rsid w:val="29F76C95"/>
    <w:rsid w:val="29F85218"/>
    <w:rsid w:val="29F86FC6"/>
    <w:rsid w:val="29F90068"/>
    <w:rsid w:val="29FA0F90"/>
    <w:rsid w:val="29FA1F67"/>
    <w:rsid w:val="29FA3933"/>
    <w:rsid w:val="29FA4AED"/>
    <w:rsid w:val="29FA689B"/>
    <w:rsid w:val="29FB0865"/>
    <w:rsid w:val="29FB5CF1"/>
    <w:rsid w:val="29FC2772"/>
    <w:rsid w:val="29FD22B4"/>
    <w:rsid w:val="29FD2868"/>
    <w:rsid w:val="29FD770B"/>
    <w:rsid w:val="29FE0780"/>
    <w:rsid w:val="29FE0843"/>
    <w:rsid w:val="29FE3DFA"/>
    <w:rsid w:val="29FF542B"/>
    <w:rsid w:val="29FF65A7"/>
    <w:rsid w:val="29FF78F4"/>
    <w:rsid w:val="2A005E7B"/>
    <w:rsid w:val="2A0077A5"/>
    <w:rsid w:val="2A007C29"/>
    <w:rsid w:val="2A013806"/>
    <w:rsid w:val="2A0140CD"/>
    <w:rsid w:val="2A022A1E"/>
    <w:rsid w:val="2A0239A1"/>
    <w:rsid w:val="2A026295"/>
    <w:rsid w:val="2A027E45"/>
    <w:rsid w:val="2A033126"/>
    <w:rsid w:val="2A034BDC"/>
    <w:rsid w:val="2A037E75"/>
    <w:rsid w:val="2A04110F"/>
    <w:rsid w:val="2A041840"/>
    <w:rsid w:val="2A04596B"/>
    <w:rsid w:val="2A050A46"/>
    <w:rsid w:val="2A052370"/>
    <w:rsid w:val="2A0533A4"/>
    <w:rsid w:val="2A063491"/>
    <w:rsid w:val="2A063D0E"/>
    <w:rsid w:val="2A070A19"/>
    <w:rsid w:val="2A070FB7"/>
    <w:rsid w:val="2A0748A0"/>
    <w:rsid w:val="2A077209"/>
    <w:rsid w:val="2A077678"/>
    <w:rsid w:val="2A0859AA"/>
    <w:rsid w:val="2A08676D"/>
    <w:rsid w:val="2A097A63"/>
    <w:rsid w:val="2A0A0667"/>
    <w:rsid w:val="2A0A3428"/>
    <w:rsid w:val="2A0A6017"/>
    <w:rsid w:val="2A0B1726"/>
    <w:rsid w:val="2A0B4FC0"/>
    <w:rsid w:val="2A0B59F6"/>
    <w:rsid w:val="2A0C0919"/>
    <w:rsid w:val="2A0C65CE"/>
    <w:rsid w:val="2A0E6EF1"/>
    <w:rsid w:val="2A0F0193"/>
    <w:rsid w:val="2A0F3FFD"/>
    <w:rsid w:val="2A0F5E0A"/>
    <w:rsid w:val="2A10129E"/>
    <w:rsid w:val="2A103412"/>
    <w:rsid w:val="2A1042E6"/>
    <w:rsid w:val="2A107188"/>
    <w:rsid w:val="2A1120E6"/>
    <w:rsid w:val="2A1132FB"/>
    <w:rsid w:val="2A1262DA"/>
    <w:rsid w:val="2A1306C0"/>
    <w:rsid w:val="2A131096"/>
    <w:rsid w:val="2A13795C"/>
    <w:rsid w:val="2A1408E5"/>
    <w:rsid w:val="2A151926"/>
    <w:rsid w:val="2A15310C"/>
    <w:rsid w:val="2A1541D4"/>
    <w:rsid w:val="2A154B9F"/>
    <w:rsid w:val="2A160E4E"/>
    <w:rsid w:val="2A16599D"/>
    <w:rsid w:val="2A165E19"/>
    <w:rsid w:val="2A166D4E"/>
    <w:rsid w:val="2A16744D"/>
    <w:rsid w:val="2A1706A1"/>
    <w:rsid w:val="2A172A24"/>
    <w:rsid w:val="2A172A3E"/>
    <w:rsid w:val="2A172F05"/>
    <w:rsid w:val="2A1738F0"/>
    <w:rsid w:val="2A180232"/>
    <w:rsid w:val="2A18547A"/>
    <w:rsid w:val="2A186BEA"/>
    <w:rsid w:val="2A187669"/>
    <w:rsid w:val="2A191BD4"/>
    <w:rsid w:val="2A193DB0"/>
    <w:rsid w:val="2A193F11"/>
    <w:rsid w:val="2A193F73"/>
    <w:rsid w:val="2A197FC4"/>
    <w:rsid w:val="2A1A62DE"/>
    <w:rsid w:val="2A1A6820"/>
    <w:rsid w:val="2A1B05EA"/>
    <w:rsid w:val="2A1D07DB"/>
    <w:rsid w:val="2A1D0A9F"/>
    <w:rsid w:val="2A1D31BA"/>
    <w:rsid w:val="2A1D4C7F"/>
    <w:rsid w:val="2A1D6CD1"/>
    <w:rsid w:val="2A1E23B1"/>
    <w:rsid w:val="2A1E6D3F"/>
    <w:rsid w:val="2A1F00A4"/>
    <w:rsid w:val="2A1F1F26"/>
    <w:rsid w:val="2A1F221E"/>
    <w:rsid w:val="2A1F68E0"/>
    <w:rsid w:val="2A206227"/>
    <w:rsid w:val="2A207928"/>
    <w:rsid w:val="2A211624"/>
    <w:rsid w:val="2A2116AE"/>
    <w:rsid w:val="2A2204A4"/>
    <w:rsid w:val="2A222163"/>
    <w:rsid w:val="2A222B3E"/>
    <w:rsid w:val="2A224043"/>
    <w:rsid w:val="2A225DF1"/>
    <w:rsid w:val="2A2278C6"/>
    <w:rsid w:val="2A232CAA"/>
    <w:rsid w:val="2A23357E"/>
    <w:rsid w:val="2A240705"/>
    <w:rsid w:val="2A2411D9"/>
    <w:rsid w:val="2A24600D"/>
    <w:rsid w:val="2A247DBB"/>
    <w:rsid w:val="2A250B98"/>
    <w:rsid w:val="2A255246"/>
    <w:rsid w:val="2A257690"/>
    <w:rsid w:val="2A261D85"/>
    <w:rsid w:val="2A263B34"/>
    <w:rsid w:val="2A263B5A"/>
    <w:rsid w:val="2A270F03"/>
    <w:rsid w:val="2A271EBB"/>
    <w:rsid w:val="2A273408"/>
    <w:rsid w:val="2A2736F5"/>
    <w:rsid w:val="2A282186"/>
    <w:rsid w:val="2A2878AC"/>
    <w:rsid w:val="2A291581"/>
    <w:rsid w:val="2A2933E4"/>
    <w:rsid w:val="2A2A21F0"/>
    <w:rsid w:val="2A2A4B12"/>
    <w:rsid w:val="2A2A678B"/>
    <w:rsid w:val="2A2B03E7"/>
    <w:rsid w:val="2A2B114A"/>
    <w:rsid w:val="2A2B3B9E"/>
    <w:rsid w:val="2A2C0A1E"/>
    <w:rsid w:val="2A2C6C70"/>
    <w:rsid w:val="2A2C7C68"/>
    <w:rsid w:val="2A2C7F02"/>
    <w:rsid w:val="2A2D4EC2"/>
    <w:rsid w:val="2A2E29E8"/>
    <w:rsid w:val="2A2E4796"/>
    <w:rsid w:val="2A2E6039"/>
    <w:rsid w:val="2A2E6F54"/>
    <w:rsid w:val="2A2F4422"/>
    <w:rsid w:val="2A30050E"/>
    <w:rsid w:val="2A300766"/>
    <w:rsid w:val="2A3049B2"/>
    <w:rsid w:val="2A3102E7"/>
    <w:rsid w:val="2A315B45"/>
    <w:rsid w:val="2A32072A"/>
    <w:rsid w:val="2A3224D8"/>
    <w:rsid w:val="2A326B67"/>
    <w:rsid w:val="2A333AC3"/>
    <w:rsid w:val="2A334DF7"/>
    <w:rsid w:val="2A337FFE"/>
    <w:rsid w:val="2A34120B"/>
    <w:rsid w:val="2A351D0E"/>
    <w:rsid w:val="2A355B25"/>
    <w:rsid w:val="2A362444"/>
    <w:rsid w:val="2A363B85"/>
    <w:rsid w:val="2A363EB7"/>
    <w:rsid w:val="2A371704"/>
    <w:rsid w:val="2A37427E"/>
    <w:rsid w:val="2A376EBE"/>
    <w:rsid w:val="2A377AEF"/>
    <w:rsid w:val="2A383BEA"/>
    <w:rsid w:val="2A385615"/>
    <w:rsid w:val="2A391AFB"/>
    <w:rsid w:val="2A3925BD"/>
    <w:rsid w:val="2A397935"/>
    <w:rsid w:val="2A3A1E41"/>
    <w:rsid w:val="2A3A313B"/>
    <w:rsid w:val="2A3A3353"/>
    <w:rsid w:val="2A3B228C"/>
    <w:rsid w:val="2A3B37C9"/>
    <w:rsid w:val="2A3B392D"/>
    <w:rsid w:val="2A3B4E26"/>
    <w:rsid w:val="2A3B5E1B"/>
    <w:rsid w:val="2A3B65BE"/>
    <w:rsid w:val="2A3C129F"/>
    <w:rsid w:val="2A3C233A"/>
    <w:rsid w:val="2A3C5105"/>
    <w:rsid w:val="2A3C6EB3"/>
    <w:rsid w:val="2A3D458D"/>
    <w:rsid w:val="2A3E70CF"/>
    <w:rsid w:val="2A3F0751"/>
    <w:rsid w:val="2A3F09C8"/>
    <w:rsid w:val="2A3F37A7"/>
    <w:rsid w:val="2A40055A"/>
    <w:rsid w:val="2A407808"/>
    <w:rsid w:val="2A413259"/>
    <w:rsid w:val="2A426494"/>
    <w:rsid w:val="2A4346E5"/>
    <w:rsid w:val="2A43769D"/>
    <w:rsid w:val="2A440156"/>
    <w:rsid w:val="2A44045E"/>
    <w:rsid w:val="2A443FBA"/>
    <w:rsid w:val="2A452503"/>
    <w:rsid w:val="2A454EB8"/>
    <w:rsid w:val="2A461BE1"/>
    <w:rsid w:val="2A462DFF"/>
    <w:rsid w:val="2A465548"/>
    <w:rsid w:val="2A465F84"/>
    <w:rsid w:val="2A467D32"/>
    <w:rsid w:val="2A474B0A"/>
    <w:rsid w:val="2A481CFC"/>
    <w:rsid w:val="2A482E16"/>
    <w:rsid w:val="2A484859"/>
    <w:rsid w:val="2A48615E"/>
    <w:rsid w:val="2A487D32"/>
    <w:rsid w:val="2A4915D0"/>
    <w:rsid w:val="2A491EF9"/>
    <w:rsid w:val="2A496A6F"/>
    <w:rsid w:val="2A49742A"/>
    <w:rsid w:val="2A4B5066"/>
    <w:rsid w:val="2A4C25E8"/>
    <w:rsid w:val="2A4C2ACF"/>
    <w:rsid w:val="2A4C2E6E"/>
    <w:rsid w:val="2A4C567D"/>
    <w:rsid w:val="2A4C68E4"/>
    <w:rsid w:val="2A4D7312"/>
    <w:rsid w:val="2A4E1CD2"/>
    <w:rsid w:val="2A4E27D5"/>
    <w:rsid w:val="2A4E6BE6"/>
    <w:rsid w:val="2A4F06B7"/>
    <w:rsid w:val="2A4F61ED"/>
    <w:rsid w:val="2A500BB0"/>
    <w:rsid w:val="2A50295E"/>
    <w:rsid w:val="2A50425B"/>
    <w:rsid w:val="2A505FC9"/>
    <w:rsid w:val="2A5079C8"/>
    <w:rsid w:val="2A510DA5"/>
    <w:rsid w:val="2A521929"/>
    <w:rsid w:val="2A5266D7"/>
    <w:rsid w:val="2A5306A1"/>
    <w:rsid w:val="2A5371A1"/>
    <w:rsid w:val="2A5410F4"/>
    <w:rsid w:val="2A5438D8"/>
    <w:rsid w:val="2A552E31"/>
    <w:rsid w:val="2A5559CD"/>
    <w:rsid w:val="2A5562EB"/>
    <w:rsid w:val="2A557B68"/>
    <w:rsid w:val="2A561E4D"/>
    <w:rsid w:val="2A5623DE"/>
    <w:rsid w:val="2A563FC5"/>
    <w:rsid w:val="2A570191"/>
    <w:rsid w:val="2A571F3F"/>
    <w:rsid w:val="2A5743F0"/>
    <w:rsid w:val="2A581813"/>
    <w:rsid w:val="2A5826B1"/>
    <w:rsid w:val="2A586417"/>
    <w:rsid w:val="2A587D57"/>
    <w:rsid w:val="2A5941D9"/>
    <w:rsid w:val="2A5A1A2F"/>
    <w:rsid w:val="2A5A37DD"/>
    <w:rsid w:val="2A5A558B"/>
    <w:rsid w:val="2A5C0F49"/>
    <w:rsid w:val="2A5C1303"/>
    <w:rsid w:val="2A5C7555"/>
    <w:rsid w:val="2A5D507B"/>
    <w:rsid w:val="2A5E32CD"/>
    <w:rsid w:val="2A5F0DF4"/>
    <w:rsid w:val="2A5F2140"/>
    <w:rsid w:val="2A5F2AB6"/>
    <w:rsid w:val="2A5F2B4C"/>
    <w:rsid w:val="2A5F2BA2"/>
    <w:rsid w:val="2A5F2D91"/>
    <w:rsid w:val="2A5F7045"/>
    <w:rsid w:val="2A602AE0"/>
    <w:rsid w:val="2A6056B1"/>
    <w:rsid w:val="2A6056F0"/>
    <w:rsid w:val="2A614B6C"/>
    <w:rsid w:val="2A61691A"/>
    <w:rsid w:val="2A620A8F"/>
    <w:rsid w:val="2A6250D8"/>
    <w:rsid w:val="2A6262F4"/>
    <w:rsid w:val="2A627180"/>
    <w:rsid w:val="2A6308E4"/>
    <w:rsid w:val="2A636B36"/>
    <w:rsid w:val="2A6401B8"/>
    <w:rsid w:val="2A6428AE"/>
    <w:rsid w:val="2A64465C"/>
    <w:rsid w:val="2A646307"/>
    <w:rsid w:val="2A6521C0"/>
    <w:rsid w:val="2A655330"/>
    <w:rsid w:val="2A656B02"/>
    <w:rsid w:val="2A662182"/>
    <w:rsid w:val="2A663D63"/>
    <w:rsid w:val="2A666797"/>
    <w:rsid w:val="2A666E0D"/>
    <w:rsid w:val="2A667C5C"/>
    <w:rsid w:val="2A67047B"/>
    <w:rsid w:val="2A681272"/>
    <w:rsid w:val="2A68351E"/>
    <w:rsid w:val="2A691C72"/>
    <w:rsid w:val="2A692A5C"/>
    <w:rsid w:val="2A693A20"/>
    <w:rsid w:val="2A695E6F"/>
    <w:rsid w:val="2A697EC4"/>
    <w:rsid w:val="2A6A231A"/>
    <w:rsid w:val="2A6A428D"/>
    <w:rsid w:val="2A6A570C"/>
    <w:rsid w:val="2A6A6DE7"/>
    <w:rsid w:val="2A6B0C90"/>
    <w:rsid w:val="2A6B1740"/>
    <w:rsid w:val="2A6B6C80"/>
    <w:rsid w:val="2A6B7BF3"/>
    <w:rsid w:val="2A6C6813"/>
    <w:rsid w:val="2A6C70CB"/>
    <w:rsid w:val="2A6D49CA"/>
    <w:rsid w:val="2A6E146B"/>
    <w:rsid w:val="2A6E46DA"/>
    <w:rsid w:val="2A701253"/>
    <w:rsid w:val="2A7028F7"/>
    <w:rsid w:val="2A703001"/>
    <w:rsid w:val="2A703795"/>
    <w:rsid w:val="2A70409E"/>
    <w:rsid w:val="2A704DAF"/>
    <w:rsid w:val="2A705F20"/>
    <w:rsid w:val="2A7072C9"/>
    <w:rsid w:val="2A715E74"/>
    <w:rsid w:val="2A720B27"/>
    <w:rsid w:val="2A726D79"/>
    <w:rsid w:val="2A7319B6"/>
    <w:rsid w:val="2A73489F"/>
    <w:rsid w:val="2A73659C"/>
    <w:rsid w:val="2A73664D"/>
    <w:rsid w:val="2A7369C2"/>
    <w:rsid w:val="2A742AF1"/>
    <w:rsid w:val="2A7431C6"/>
    <w:rsid w:val="2A743B5B"/>
    <w:rsid w:val="2A753876"/>
    <w:rsid w:val="2A7570ED"/>
    <w:rsid w:val="2A763948"/>
    <w:rsid w:val="2A765DEA"/>
    <w:rsid w:val="2A770D67"/>
    <w:rsid w:val="2A7720BD"/>
    <w:rsid w:val="2A775DC1"/>
    <w:rsid w:val="2A77613D"/>
    <w:rsid w:val="2A782CAB"/>
    <w:rsid w:val="2A790107"/>
    <w:rsid w:val="2A796BCF"/>
    <w:rsid w:val="2A7A04C6"/>
    <w:rsid w:val="2A7A6258"/>
    <w:rsid w:val="2A7A7E89"/>
    <w:rsid w:val="2A7B041E"/>
    <w:rsid w:val="2A7B137B"/>
    <w:rsid w:val="2A7B76E8"/>
    <w:rsid w:val="2A7C0B78"/>
    <w:rsid w:val="2A7C6900"/>
    <w:rsid w:val="2A7C7BF7"/>
    <w:rsid w:val="2A7D127A"/>
    <w:rsid w:val="2A7D4BD9"/>
    <w:rsid w:val="2A7D74CC"/>
    <w:rsid w:val="2A7E0A31"/>
    <w:rsid w:val="2A7E3970"/>
    <w:rsid w:val="2A7E569C"/>
    <w:rsid w:val="2A7E7951"/>
    <w:rsid w:val="2A7F0ACE"/>
    <w:rsid w:val="2A7F1496"/>
    <w:rsid w:val="2A7F55A2"/>
    <w:rsid w:val="2A7F771F"/>
    <w:rsid w:val="2A8003F3"/>
    <w:rsid w:val="2A804513"/>
    <w:rsid w:val="2A8104E9"/>
    <w:rsid w:val="2A813C34"/>
    <w:rsid w:val="2A8373ED"/>
    <w:rsid w:val="2A842608"/>
    <w:rsid w:val="2A846AAC"/>
    <w:rsid w:val="2A854AAC"/>
    <w:rsid w:val="2A855F3C"/>
    <w:rsid w:val="2A865EC9"/>
    <w:rsid w:val="2A866380"/>
    <w:rsid w:val="2A8672FE"/>
    <w:rsid w:val="2A874583"/>
    <w:rsid w:val="2A88034A"/>
    <w:rsid w:val="2A88218A"/>
    <w:rsid w:val="2A88342D"/>
    <w:rsid w:val="2A88659C"/>
    <w:rsid w:val="2A886695"/>
    <w:rsid w:val="2A8879BC"/>
    <w:rsid w:val="2A8916D2"/>
    <w:rsid w:val="2A892A92"/>
    <w:rsid w:val="2A893B6E"/>
    <w:rsid w:val="2A8940C2"/>
    <w:rsid w:val="2A894881"/>
    <w:rsid w:val="2A895D92"/>
    <w:rsid w:val="2A8A0E3F"/>
    <w:rsid w:val="2A8A4A6F"/>
    <w:rsid w:val="2A8A6DFB"/>
    <w:rsid w:val="2A8B1BE9"/>
    <w:rsid w:val="2A8B2AA1"/>
    <w:rsid w:val="2A8B3997"/>
    <w:rsid w:val="2A8B74D8"/>
    <w:rsid w:val="2A8C5319"/>
    <w:rsid w:val="2A8D2502"/>
    <w:rsid w:val="2A8D5961"/>
    <w:rsid w:val="2A8D770F"/>
    <w:rsid w:val="2A8E02ED"/>
    <w:rsid w:val="2A8E16D9"/>
    <w:rsid w:val="2A8E4FD3"/>
    <w:rsid w:val="2A8F0880"/>
    <w:rsid w:val="2A8F4E2F"/>
    <w:rsid w:val="2A9037DF"/>
    <w:rsid w:val="2A903CEF"/>
    <w:rsid w:val="2A9101F5"/>
    <w:rsid w:val="2A915742"/>
    <w:rsid w:val="2A9211C9"/>
    <w:rsid w:val="2A921460"/>
    <w:rsid w:val="2A922CB6"/>
    <w:rsid w:val="2A922F77"/>
    <w:rsid w:val="2A926C3A"/>
    <w:rsid w:val="2A930A9D"/>
    <w:rsid w:val="2A933B52"/>
    <w:rsid w:val="2A935211"/>
    <w:rsid w:val="2A937275"/>
    <w:rsid w:val="2A944F41"/>
    <w:rsid w:val="2A947BC6"/>
    <w:rsid w:val="2A950CB9"/>
    <w:rsid w:val="2A952A67"/>
    <w:rsid w:val="2A954815"/>
    <w:rsid w:val="2A955A9C"/>
    <w:rsid w:val="2A9666D6"/>
    <w:rsid w:val="2A9676D5"/>
    <w:rsid w:val="2A970150"/>
    <w:rsid w:val="2A97058D"/>
    <w:rsid w:val="2A97233B"/>
    <w:rsid w:val="2A9742D2"/>
    <w:rsid w:val="2A9767DF"/>
    <w:rsid w:val="2A980869"/>
    <w:rsid w:val="2A985C89"/>
    <w:rsid w:val="2A9860B3"/>
    <w:rsid w:val="2A987420"/>
    <w:rsid w:val="2A9914F7"/>
    <w:rsid w:val="2A9A62D0"/>
    <w:rsid w:val="2A9B6CD2"/>
    <w:rsid w:val="2A9C2048"/>
    <w:rsid w:val="2A9C3DF6"/>
    <w:rsid w:val="2A9C681D"/>
    <w:rsid w:val="2A9C7DF2"/>
    <w:rsid w:val="2A9D36CA"/>
    <w:rsid w:val="2A9D41C3"/>
    <w:rsid w:val="2A9E2235"/>
    <w:rsid w:val="2A9E3F84"/>
    <w:rsid w:val="2A9F38E6"/>
    <w:rsid w:val="2A9F666E"/>
    <w:rsid w:val="2A9F7442"/>
    <w:rsid w:val="2AA00AB0"/>
    <w:rsid w:val="2AA02382"/>
    <w:rsid w:val="2AA056BA"/>
    <w:rsid w:val="2AA0747E"/>
    <w:rsid w:val="2AA075F4"/>
    <w:rsid w:val="2AA10882"/>
    <w:rsid w:val="2AA1140C"/>
    <w:rsid w:val="2AA1387E"/>
    <w:rsid w:val="2AA1765E"/>
    <w:rsid w:val="2AA231F4"/>
    <w:rsid w:val="2AA24C01"/>
    <w:rsid w:val="2AA26725"/>
    <w:rsid w:val="2AA271F1"/>
    <w:rsid w:val="2AA33A14"/>
    <w:rsid w:val="2AA36F32"/>
    <w:rsid w:val="2AA42CAA"/>
    <w:rsid w:val="2AA46F11"/>
    <w:rsid w:val="2AA607D0"/>
    <w:rsid w:val="2AA6196B"/>
    <w:rsid w:val="2AA6270C"/>
    <w:rsid w:val="2AA64C74"/>
    <w:rsid w:val="2AA66A22"/>
    <w:rsid w:val="2AA734AF"/>
    <w:rsid w:val="2AA76DC8"/>
    <w:rsid w:val="2AA902C1"/>
    <w:rsid w:val="2AA943CB"/>
    <w:rsid w:val="2AAA2063"/>
    <w:rsid w:val="2AAA30C5"/>
    <w:rsid w:val="2AAA3325"/>
    <w:rsid w:val="2AAA3BF6"/>
    <w:rsid w:val="2AAA4765"/>
    <w:rsid w:val="2AAA55F3"/>
    <w:rsid w:val="2AAA6513"/>
    <w:rsid w:val="2AAA7D8D"/>
    <w:rsid w:val="2AAB228B"/>
    <w:rsid w:val="2AAB4039"/>
    <w:rsid w:val="2AAB5086"/>
    <w:rsid w:val="2AAD55E4"/>
    <w:rsid w:val="2AAD6003"/>
    <w:rsid w:val="2AAD7DB1"/>
    <w:rsid w:val="2AAE25B1"/>
    <w:rsid w:val="2AAE5148"/>
    <w:rsid w:val="2AAF1218"/>
    <w:rsid w:val="2AAF3B29"/>
    <w:rsid w:val="2AAF5FB9"/>
    <w:rsid w:val="2AB033FD"/>
    <w:rsid w:val="2AB03C67"/>
    <w:rsid w:val="2AB04CD6"/>
    <w:rsid w:val="2AB078A1"/>
    <w:rsid w:val="2AB13D45"/>
    <w:rsid w:val="2AB16E31"/>
    <w:rsid w:val="2AB217BF"/>
    <w:rsid w:val="2AB23F44"/>
    <w:rsid w:val="2AB32EED"/>
    <w:rsid w:val="2AB450A8"/>
    <w:rsid w:val="2AB4738A"/>
    <w:rsid w:val="2AB47391"/>
    <w:rsid w:val="2AB729DE"/>
    <w:rsid w:val="2AB7478C"/>
    <w:rsid w:val="2AB7793B"/>
    <w:rsid w:val="2AB800E6"/>
    <w:rsid w:val="2AB84B24"/>
    <w:rsid w:val="2AB87A4D"/>
    <w:rsid w:val="2AB90504"/>
    <w:rsid w:val="2AB9263D"/>
    <w:rsid w:val="2ABA24CE"/>
    <w:rsid w:val="2ABA427C"/>
    <w:rsid w:val="2ABA58D8"/>
    <w:rsid w:val="2ABB4B7B"/>
    <w:rsid w:val="2ABB774C"/>
    <w:rsid w:val="2ABC0996"/>
    <w:rsid w:val="2ABC1DA2"/>
    <w:rsid w:val="2ABC42D0"/>
    <w:rsid w:val="2ABC7FF4"/>
    <w:rsid w:val="2ABD0865"/>
    <w:rsid w:val="2ABD0FDE"/>
    <w:rsid w:val="2ABD1413"/>
    <w:rsid w:val="2ABD3F56"/>
    <w:rsid w:val="2ABD5F6A"/>
    <w:rsid w:val="2ABE104C"/>
    <w:rsid w:val="2ABE1FBE"/>
    <w:rsid w:val="2ABE3D6C"/>
    <w:rsid w:val="2ABF2268"/>
    <w:rsid w:val="2ABF2A20"/>
    <w:rsid w:val="2ABF7C98"/>
    <w:rsid w:val="2AC01480"/>
    <w:rsid w:val="2AC05D36"/>
    <w:rsid w:val="2AC135BE"/>
    <w:rsid w:val="2AC1385C"/>
    <w:rsid w:val="2AC1560A"/>
    <w:rsid w:val="2AC25973"/>
    <w:rsid w:val="2AC33130"/>
    <w:rsid w:val="2AC35D39"/>
    <w:rsid w:val="2AC36BDF"/>
    <w:rsid w:val="2AC375D4"/>
    <w:rsid w:val="2AC37F8E"/>
    <w:rsid w:val="2AC41210"/>
    <w:rsid w:val="2AC450FA"/>
    <w:rsid w:val="2AC4736E"/>
    <w:rsid w:val="2AC5334C"/>
    <w:rsid w:val="2AC5486B"/>
    <w:rsid w:val="2AC606E1"/>
    <w:rsid w:val="2AC60E73"/>
    <w:rsid w:val="2AC6542E"/>
    <w:rsid w:val="2AC66958"/>
    <w:rsid w:val="2AC670C5"/>
    <w:rsid w:val="2AC748BC"/>
    <w:rsid w:val="2AC754C9"/>
    <w:rsid w:val="2AC7598C"/>
    <w:rsid w:val="2AC767B5"/>
    <w:rsid w:val="2AC77B8A"/>
    <w:rsid w:val="2AC808C0"/>
    <w:rsid w:val="2AC82D49"/>
    <w:rsid w:val="2AC82E3D"/>
    <w:rsid w:val="2AC85AC9"/>
    <w:rsid w:val="2AC900AE"/>
    <w:rsid w:val="2AC93028"/>
    <w:rsid w:val="2ACA0963"/>
    <w:rsid w:val="2ACA2711"/>
    <w:rsid w:val="2ACA60C4"/>
    <w:rsid w:val="2ACA6CA5"/>
    <w:rsid w:val="2ACA7D5F"/>
    <w:rsid w:val="2ACB1F3D"/>
    <w:rsid w:val="2ACB3B4E"/>
    <w:rsid w:val="2ACB4670"/>
    <w:rsid w:val="2ACB46DB"/>
    <w:rsid w:val="2ACB48FF"/>
    <w:rsid w:val="2ACB7E99"/>
    <w:rsid w:val="2ACC1D0C"/>
    <w:rsid w:val="2ACC32D1"/>
    <w:rsid w:val="2ACC4185"/>
    <w:rsid w:val="2ACC5B00"/>
    <w:rsid w:val="2ACD0453"/>
    <w:rsid w:val="2ACD2201"/>
    <w:rsid w:val="2ACD3FAF"/>
    <w:rsid w:val="2ACE18C7"/>
    <w:rsid w:val="2ACE2D24"/>
    <w:rsid w:val="2ACF5F79"/>
    <w:rsid w:val="2AD014E3"/>
    <w:rsid w:val="2AD01CF1"/>
    <w:rsid w:val="2AD03A9F"/>
    <w:rsid w:val="2AD0584D"/>
    <w:rsid w:val="2AD134D0"/>
    <w:rsid w:val="2AD1359E"/>
    <w:rsid w:val="2AD14CC4"/>
    <w:rsid w:val="2AD14FB9"/>
    <w:rsid w:val="2AD2753D"/>
    <w:rsid w:val="2AD27817"/>
    <w:rsid w:val="2AD34292"/>
    <w:rsid w:val="2AD41913"/>
    <w:rsid w:val="2AD43590"/>
    <w:rsid w:val="2AD46E63"/>
    <w:rsid w:val="2AD47277"/>
    <w:rsid w:val="2AD510B6"/>
    <w:rsid w:val="2AD514E1"/>
    <w:rsid w:val="2AD55A18"/>
    <w:rsid w:val="2AD65D0D"/>
    <w:rsid w:val="2AD73080"/>
    <w:rsid w:val="2AD733A4"/>
    <w:rsid w:val="2AD74AC9"/>
    <w:rsid w:val="2AD810F2"/>
    <w:rsid w:val="2AD82E5B"/>
    <w:rsid w:val="2AD8341B"/>
    <w:rsid w:val="2AD86C74"/>
    <w:rsid w:val="2ADA2CD5"/>
    <w:rsid w:val="2ADA334B"/>
    <w:rsid w:val="2ADA5073"/>
    <w:rsid w:val="2ADB2B70"/>
    <w:rsid w:val="2ADC01C6"/>
    <w:rsid w:val="2ADC55F5"/>
    <w:rsid w:val="2ADD6A85"/>
    <w:rsid w:val="2ADE14E1"/>
    <w:rsid w:val="2ADE61BC"/>
    <w:rsid w:val="2ADE7F6A"/>
    <w:rsid w:val="2ADF3CE2"/>
    <w:rsid w:val="2ADF5C06"/>
    <w:rsid w:val="2AE051AE"/>
    <w:rsid w:val="2AE13EFE"/>
    <w:rsid w:val="2AE158E1"/>
    <w:rsid w:val="2AE15CAC"/>
    <w:rsid w:val="2AE24837"/>
    <w:rsid w:val="2AE253A8"/>
    <w:rsid w:val="2AE256EF"/>
    <w:rsid w:val="2AE412F9"/>
    <w:rsid w:val="2AE451EA"/>
    <w:rsid w:val="2AE61278"/>
    <w:rsid w:val="2AE61515"/>
    <w:rsid w:val="2AE632C3"/>
    <w:rsid w:val="2AE63E49"/>
    <w:rsid w:val="2AE65071"/>
    <w:rsid w:val="2AE77EE5"/>
    <w:rsid w:val="2AE80D38"/>
    <w:rsid w:val="2AE86A4B"/>
    <w:rsid w:val="2AE91BA5"/>
    <w:rsid w:val="2AEA2285"/>
    <w:rsid w:val="2AEA335B"/>
    <w:rsid w:val="2AEA4B61"/>
    <w:rsid w:val="2AEA5BFF"/>
    <w:rsid w:val="2AEB2687"/>
    <w:rsid w:val="2AEC44AE"/>
    <w:rsid w:val="2AEC6B2B"/>
    <w:rsid w:val="2AEC7D06"/>
    <w:rsid w:val="2AED28A3"/>
    <w:rsid w:val="2AED4651"/>
    <w:rsid w:val="2AED6348"/>
    <w:rsid w:val="2AEF03C9"/>
    <w:rsid w:val="2AEF2177"/>
    <w:rsid w:val="2AEF34FB"/>
    <w:rsid w:val="2AEF3A6B"/>
    <w:rsid w:val="2AEF5522"/>
    <w:rsid w:val="2AF00362"/>
    <w:rsid w:val="2AF04EFB"/>
    <w:rsid w:val="2AF059EC"/>
    <w:rsid w:val="2AF07711"/>
    <w:rsid w:val="2AF10F5C"/>
    <w:rsid w:val="2AF13861"/>
    <w:rsid w:val="2AF14141"/>
    <w:rsid w:val="2AF1638B"/>
    <w:rsid w:val="2AF27EBA"/>
    <w:rsid w:val="2AF31486"/>
    <w:rsid w:val="2AF40BE4"/>
    <w:rsid w:val="2AF43C32"/>
    <w:rsid w:val="2AF44D0C"/>
    <w:rsid w:val="2AF459E0"/>
    <w:rsid w:val="2AF460E0"/>
    <w:rsid w:val="2AF47341"/>
    <w:rsid w:val="2AF523CD"/>
    <w:rsid w:val="2AF5340B"/>
    <w:rsid w:val="2AF53506"/>
    <w:rsid w:val="2AF54DB9"/>
    <w:rsid w:val="2AF552B4"/>
    <w:rsid w:val="2AF5619C"/>
    <w:rsid w:val="2AF66BA8"/>
    <w:rsid w:val="2AF70242"/>
    <w:rsid w:val="2AF711EA"/>
    <w:rsid w:val="2AF74588"/>
    <w:rsid w:val="2AF7727E"/>
    <w:rsid w:val="2AF77E8C"/>
    <w:rsid w:val="2AF80678"/>
    <w:rsid w:val="2AF97D2D"/>
    <w:rsid w:val="2AFB2155"/>
    <w:rsid w:val="2AFB230F"/>
    <w:rsid w:val="2AFB4B42"/>
    <w:rsid w:val="2AFB6D6E"/>
    <w:rsid w:val="2AFC4B70"/>
    <w:rsid w:val="2AFC6642"/>
    <w:rsid w:val="2AFD240A"/>
    <w:rsid w:val="2AFD3F94"/>
    <w:rsid w:val="2AFE060C"/>
    <w:rsid w:val="2AFE14D3"/>
    <w:rsid w:val="2AFE23BA"/>
    <w:rsid w:val="2AFF0B5D"/>
    <w:rsid w:val="2AFF1C79"/>
    <w:rsid w:val="2AFF3DDC"/>
    <w:rsid w:val="2AFF7566"/>
    <w:rsid w:val="2B004385"/>
    <w:rsid w:val="2B013C59"/>
    <w:rsid w:val="2B0206A2"/>
    <w:rsid w:val="2B021EE1"/>
    <w:rsid w:val="2B025073"/>
    <w:rsid w:val="2B02634F"/>
    <w:rsid w:val="2B030925"/>
    <w:rsid w:val="2B031C30"/>
    <w:rsid w:val="2B033E75"/>
    <w:rsid w:val="2B035C23"/>
    <w:rsid w:val="2B03759B"/>
    <w:rsid w:val="2B0379CB"/>
    <w:rsid w:val="2B040F10"/>
    <w:rsid w:val="2B0423C1"/>
    <w:rsid w:val="2B0458BE"/>
    <w:rsid w:val="2B047DBF"/>
    <w:rsid w:val="2B057BED"/>
    <w:rsid w:val="2B060862"/>
    <w:rsid w:val="2B062C69"/>
    <w:rsid w:val="2B065713"/>
    <w:rsid w:val="2B0674C1"/>
    <w:rsid w:val="2B073965"/>
    <w:rsid w:val="2B083239"/>
    <w:rsid w:val="2B084459"/>
    <w:rsid w:val="2B084612"/>
    <w:rsid w:val="2B08564D"/>
    <w:rsid w:val="2B0A0217"/>
    <w:rsid w:val="2B0A6FB1"/>
    <w:rsid w:val="2B0B4AD7"/>
    <w:rsid w:val="2B0C7E20"/>
    <w:rsid w:val="2B0D4423"/>
    <w:rsid w:val="2B0D4CF3"/>
    <w:rsid w:val="2B0E0723"/>
    <w:rsid w:val="2B0E0CD2"/>
    <w:rsid w:val="2B0E13C5"/>
    <w:rsid w:val="2B0E580B"/>
    <w:rsid w:val="2B0E6219"/>
    <w:rsid w:val="2B0E67DD"/>
    <w:rsid w:val="2B0E68EE"/>
    <w:rsid w:val="2B0E788A"/>
    <w:rsid w:val="2B0F28D6"/>
    <w:rsid w:val="2B0F4266"/>
    <w:rsid w:val="2B0F45C8"/>
    <w:rsid w:val="2B0F72CD"/>
    <w:rsid w:val="2B1020EE"/>
    <w:rsid w:val="2B106871"/>
    <w:rsid w:val="2B110336"/>
    <w:rsid w:val="2B110340"/>
    <w:rsid w:val="2B115975"/>
    <w:rsid w:val="2B116710"/>
    <w:rsid w:val="2B12230A"/>
    <w:rsid w:val="2B1240B8"/>
    <w:rsid w:val="2B125051"/>
    <w:rsid w:val="2B125E66"/>
    <w:rsid w:val="2B12611A"/>
    <w:rsid w:val="2B126E05"/>
    <w:rsid w:val="2B12784B"/>
    <w:rsid w:val="2B131725"/>
    <w:rsid w:val="2B131E98"/>
    <w:rsid w:val="2B132E66"/>
    <w:rsid w:val="2B135B50"/>
    <w:rsid w:val="2B140A9E"/>
    <w:rsid w:val="2B146082"/>
    <w:rsid w:val="2B147FD7"/>
    <w:rsid w:val="2B150806"/>
    <w:rsid w:val="2B15594A"/>
    <w:rsid w:val="2B157704"/>
    <w:rsid w:val="2B166C16"/>
    <w:rsid w:val="2B177920"/>
    <w:rsid w:val="2B181536"/>
    <w:rsid w:val="2B18454C"/>
    <w:rsid w:val="2B185289"/>
    <w:rsid w:val="2B1870F0"/>
    <w:rsid w:val="2B197CEA"/>
    <w:rsid w:val="2B1A4D1A"/>
    <w:rsid w:val="2B1A50CA"/>
    <w:rsid w:val="2B1C0A93"/>
    <w:rsid w:val="2B1C2ADA"/>
    <w:rsid w:val="2B1C6CE5"/>
    <w:rsid w:val="2B1D0238"/>
    <w:rsid w:val="2B1E0CAF"/>
    <w:rsid w:val="2B1F5069"/>
    <w:rsid w:val="2B1F6A5F"/>
    <w:rsid w:val="2B20072F"/>
    <w:rsid w:val="2B200A0A"/>
    <w:rsid w:val="2B20653A"/>
    <w:rsid w:val="2B2142FB"/>
    <w:rsid w:val="2B21624E"/>
    <w:rsid w:val="2B2177B3"/>
    <w:rsid w:val="2B22254D"/>
    <w:rsid w:val="2B224FBA"/>
    <w:rsid w:val="2B2253DC"/>
    <w:rsid w:val="2B2258D2"/>
    <w:rsid w:val="2B22653E"/>
    <w:rsid w:val="2B231E21"/>
    <w:rsid w:val="2B234014"/>
    <w:rsid w:val="2B2362C5"/>
    <w:rsid w:val="2B25203D"/>
    <w:rsid w:val="2B25759C"/>
    <w:rsid w:val="2B260D67"/>
    <w:rsid w:val="2B262B0B"/>
    <w:rsid w:val="2B263893"/>
    <w:rsid w:val="2B275DB5"/>
    <w:rsid w:val="2B277B63"/>
    <w:rsid w:val="2B28015F"/>
    <w:rsid w:val="2B2838DB"/>
    <w:rsid w:val="2B287437"/>
    <w:rsid w:val="2B287982"/>
    <w:rsid w:val="2B2924BB"/>
    <w:rsid w:val="2B292B7F"/>
    <w:rsid w:val="2B295EE3"/>
    <w:rsid w:val="2B2966E6"/>
    <w:rsid w:val="2B29671C"/>
    <w:rsid w:val="2B2972A5"/>
    <w:rsid w:val="2B2A31B0"/>
    <w:rsid w:val="2B2A4C7B"/>
    <w:rsid w:val="2B2A67F6"/>
    <w:rsid w:val="2B2A7653"/>
    <w:rsid w:val="2B2B1D45"/>
    <w:rsid w:val="2B2B3DC5"/>
    <w:rsid w:val="2B2B6F28"/>
    <w:rsid w:val="2B2C2DF0"/>
    <w:rsid w:val="2B2C517A"/>
    <w:rsid w:val="2B2C5E3A"/>
    <w:rsid w:val="2B2D4A4E"/>
    <w:rsid w:val="2B2D4E9D"/>
    <w:rsid w:val="2B2D610A"/>
    <w:rsid w:val="2B2F6A18"/>
    <w:rsid w:val="2B300DB0"/>
    <w:rsid w:val="2B306050"/>
    <w:rsid w:val="2B3106B0"/>
    <w:rsid w:val="2B312790"/>
    <w:rsid w:val="2B314F21"/>
    <w:rsid w:val="2B315212"/>
    <w:rsid w:val="2B3202B6"/>
    <w:rsid w:val="2B3230DF"/>
    <w:rsid w:val="2B3231B9"/>
    <w:rsid w:val="2B326508"/>
    <w:rsid w:val="2B33475A"/>
    <w:rsid w:val="2B3402C6"/>
    <w:rsid w:val="2B340F93"/>
    <w:rsid w:val="2B342280"/>
    <w:rsid w:val="2B3447AD"/>
    <w:rsid w:val="2B351EB9"/>
    <w:rsid w:val="2B352FF1"/>
    <w:rsid w:val="2B365FF8"/>
    <w:rsid w:val="2B367382"/>
    <w:rsid w:val="2B3733C3"/>
    <w:rsid w:val="2B3737E3"/>
    <w:rsid w:val="2B376617"/>
    <w:rsid w:val="2B381D70"/>
    <w:rsid w:val="2B3852FD"/>
    <w:rsid w:val="2B3902D3"/>
    <w:rsid w:val="2B391645"/>
    <w:rsid w:val="2B393440"/>
    <w:rsid w:val="2B394B81"/>
    <w:rsid w:val="2B395AE8"/>
    <w:rsid w:val="2B397896"/>
    <w:rsid w:val="2B3A04E1"/>
    <w:rsid w:val="2B3B1A8A"/>
    <w:rsid w:val="2B3B360F"/>
    <w:rsid w:val="2B3B4D2A"/>
    <w:rsid w:val="2B3B50FE"/>
    <w:rsid w:val="2B3B53BD"/>
    <w:rsid w:val="2B3B716B"/>
    <w:rsid w:val="2B3C1135"/>
    <w:rsid w:val="2B3D3003"/>
    <w:rsid w:val="2B3D37F1"/>
    <w:rsid w:val="2B3D4091"/>
    <w:rsid w:val="2B3D4A9E"/>
    <w:rsid w:val="2B3D6384"/>
    <w:rsid w:val="2B3D6FE1"/>
    <w:rsid w:val="2B3D7387"/>
    <w:rsid w:val="2B3F4821"/>
    <w:rsid w:val="2B3F72B2"/>
    <w:rsid w:val="2B4029D3"/>
    <w:rsid w:val="2B405C9B"/>
    <w:rsid w:val="2B41036D"/>
    <w:rsid w:val="2B410FAE"/>
    <w:rsid w:val="2B411237"/>
    <w:rsid w:val="2B422F79"/>
    <w:rsid w:val="2B427374"/>
    <w:rsid w:val="2B43213A"/>
    <w:rsid w:val="2B4324C3"/>
    <w:rsid w:val="2B433779"/>
    <w:rsid w:val="2B434D35"/>
    <w:rsid w:val="2B435C33"/>
    <w:rsid w:val="2B43682D"/>
    <w:rsid w:val="2B436B2F"/>
    <w:rsid w:val="2B4413A5"/>
    <w:rsid w:val="2B44223F"/>
    <w:rsid w:val="2B453124"/>
    <w:rsid w:val="2B471FB3"/>
    <w:rsid w:val="2B472333"/>
    <w:rsid w:val="2B473D61"/>
    <w:rsid w:val="2B474549"/>
    <w:rsid w:val="2B481AA5"/>
    <w:rsid w:val="2B492F35"/>
    <w:rsid w:val="2B494960"/>
    <w:rsid w:val="2B495227"/>
    <w:rsid w:val="2B4A3852"/>
    <w:rsid w:val="2B4A5600"/>
    <w:rsid w:val="2B4C1A27"/>
    <w:rsid w:val="2B4C314A"/>
    <w:rsid w:val="2B4C39D6"/>
    <w:rsid w:val="2B4C52BF"/>
    <w:rsid w:val="2B4C581C"/>
    <w:rsid w:val="2B4D3342"/>
    <w:rsid w:val="2B4D50F0"/>
    <w:rsid w:val="2B4D6A90"/>
    <w:rsid w:val="2B4E0118"/>
    <w:rsid w:val="2B4E2567"/>
    <w:rsid w:val="2B4E2C0C"/>
    <w:rsid w:val="2B4F0E68"/>
    <w:rsid w:val="2B4F23C8"/>
    <w:rsid w:val="2B4F2C16"/>
    <w:rsid w:val="2B4F2EB5"/>
    <w:rsid w:val="2B4F631D"/>
    <w:rsid w:val="2B505F9D"/>
    <w:rsid w:val="2B511820"/>
    <w:rsid w:val="2B51335D"/>
    <w:rsid w:val="2B514BE0"/>
    <w:rsid w:val="2B51698E"/>
    <w:rsid w:val="2B520958"/>
    <w:rsid w:val="2B5210F2"/>
    <w:rsid w:val="2B522706"/>
    <w:rsid w:val="2B523868"/>
    <w:rsid w:val="2B524D23"/>
    <w:rsid w:val="2B526E58"/>
    <w:rsid w:val="2B53315A"/>
    <w:rsid w:val="2B535728"/>
    <w:rsid w:val="2B536BAA"/>
    <w:rsid w:val="2B54022C"/>
    <w:rsid w:val="2B5446D0"/>
    <w:rsid w:val="2B551CFA"/>
    <w:rsid w:val="2B55509D"/>
    <w:rsid w:val="2B557CE7"/>
    <w:rsid w:val="2B560448"/>
    <w:rsid w:val="2B5608DA"/>
    <w:rsid w:val="2B561C16"/>
    <w:rsid w:val="2B56242A"/>
    <w:rsid w:val="2B562D59"/>
    <w:rsid w:val="2B563FA5"/>
    <w:rsid w:val="2B5640A9"/>
    <w:rsid w:val="2B5647BF"/>
    <w:rsid w:val="2B56578C"/>
    <w:rsid w:val="2B574202"/>
    <w:rsid w:val="2B577D1D"/>
    <w:rsid w:val="2B5801B6"/>
    <w:rsid w:val="2B585F6F"/>
    <w:rsid w:val="2B59299F"/>
    <w:rsid w:val="2B593A95"/>
    <w:rsid w:val="2B594EA2"/>
    <w:rsid w:val="2B597F39"/>
    <w:rsid w:val="2B5A3E0F"/>
    <w:rsid w:val="2B5B38DF"/>
    <w:rsid w:val="2B5B409D"/>
    <w:rsid w:val="2B5B5A5F"/>
    <w:rsid w:val="2B5C5333"/>
    <w:rsid w:val="2B5D253A"/>
    <w:rsid w:val="2B5D3D6C"/>
    <w:rsid w:val="2B5D737F"/>
    <w:rsid w:val="2B5E10AB"/>
    <w:rsid w:val="2B5E4913"/>
    <w:rsid w:val="2B602946"/>
    <w:rsid w:val="2B603682"/>
    <w:rsid w:val="2B604039"/>
    <w:rsid w:val="2B604E23"/>
    <w:rsid w:val="2B607914"/>
    <w:rsid w:val="2B6128EB"/>
    <w:rsid w:val="2B6176F5"/>
    <w:rsid w:val="2B6366C1"/>
    <w:rsid w:val="2B65068C"/>
    <w:rsid w:val="2B6533EB"/>
    <w:rsid w:val="2B657ED0"/>
    <w:rsid w:val="2B674404"/>
    <w:rsid w:val="2B676C92"/>
    <w:rsid w:val="2B6803CE"/>
    <w:rsid w:val="2B684122"/>
    <w:rsid w:val="2B684295"/>
    <w:rsid w:val="2B68489C"/>
    <w:rsid w:val="2B687CF3"/>
    <w:rsid w:val="2B69251F"/>
    <w:rsid w:val="2B693732"/>
    <w:rsid w:val="2B695D53"/>
    <w:rsid w:val="2B6A031A"/>
    <w:rsid w:val="2B6A0D0E"/>
    <w:rsid w:val="2B6A2269"/>
    <w:rsid w:val="2B6A3B3B"/>
    <w:rsid w:val="2B6A3EF4"/>
    <w:rsid w:val="2B6A7A50"/>
    <w:rsid w:val="2B6C0B1C"/>
    <w:rsid w:val="2B6C1D01"/>
    <w:rsid w:val="2B6C334C"/>
    <w:rsid w:val="2B6C37C8"/>
    <w:rsid w:val="2B6C4921"/>
    <w:rsid w:val="2B6C7C6C"/>
    <w:rsid w:val="2B6D0EA0"/>
    <w:rsid w:val="2B6D12EE"/>
    <w:rsid w:val="2B6D3068"/>
    <w:rsid w:val="2B6D5A9A"/>
    <w:rsid w:val="2B6D7540"/>
    <w:rsid w:val="2B6E19D6"/>
    <w:rsid w:val="2B6E5759"/>
    <w:rsid w:val="2B6F32B8"/>
    <w:rsid w:val="2B6F6851"/>
    <w:rsid w:val="2B702786"/>
    <w:rsid w:val="2B7042D3"/>
    <w:rsid w:val="2B706AC0"/>
    <w:rsid w:val="2B710CB1"/>
    <w:rsid w:val="2B710DDE"/>
    <w:rsid w:val="2B715282"/>
    <w:rsid w:val="2B726905"/>
    <w:rsid w:val="2B727FEB"/>
    <w:rsid w:val="2B735437"/>
    <w:rsid w:val="2B7361A2"/>
    <w:rsid w:val="2B74267D"/>
    <w:rsid w:val="2B742C80"/>
    <w:rsid w:val="2B7440D7"/>
    <w:rsid w:val="2B744755"/>
    <w:rsid w:val="2B746B21"/>
    <w:rsid w:val="2B7519FB"/>
    <w:rsid w:val="2B755401"/>
    <w:rsid w:val="2B755B0D"/>
    <w:rsid w:val="2B755CC4"/>
    <w:rsid w:val="2B756E42"/>
    <w:rsid w:val="2B762899"/>
    <w:rsid w:val="2B762C9E"/>
    <w:rsid w:val="2B763551"/>
    <w:rsid w:val="2B763693"/>
    <w:rsid w:val="2B7663F5"/>
    <w:rsid w:val="2B770415"/>
    <w:rsid w:val="2B77216D"/>
    <w:rsid w:val="2B77234F"/>
    <w:rsid w:val="2B772D87"/>
    <w:rsid w:val="2B7803BF"/>
    <w:rsid w:val="2B780DB0"/>
    <w:rsid w:val="2B78125B"/>
    <w:rsid w:val="2B783046"/>
    <w:rsid w:val="2B7936D7"/>
    <w:rsid w:val="2B795EE5"/>
    <w:rsid w:val="2B7B16C7"/>
    <w:rsid w:val="2B7B1C5D"/>
    <w:rsid w:val="2B7B3A0B"/>
    <w:rsid w:val="2B7B3BAB"/>
    <w:rsid w:val="2B7B467E"/>
    <w:rsid w:val="2B7B5E0E"/>
    <w:rsid w:val="2B7C0995"/>
    <w:rsid w:val="2B7D2631"/>
    <w:rsid w:val="2B7D3C27"/>
    <w:rsid w:val="2B7D53C8"/>
    <w:rsid w:val="2B7D59D5"/>
    <w:rsid w:val="2B7D7783"/>
    <w:rsid w:val="2B7E11A1"/>
    <w:rsid w:val="2B7E174D"/>
    <w:rsid w:val="2B7E52A9"/>
    <w:rsid w:val="2B803E07"/>
    <w:rsid w:val="2B8054C5"/>
    <w:rsid w:val="2B807316"/>
    <w:rsid w:val="2B807C60"/>
    <w:rsid w:val="2B8102C9"/>
    <w:rsid w:val="2B8104F9"/>
    <w:rsid w:val="2B8149FB"/>
    <w:rsid w:val="2B8166D2"/>
    <w:rsid w:val="2B82123D"/>
    <w:rsid w:val="2B822FEC"/>
    <w:rsid w:val="2B824D9A"/>
    <w:rsid w:val="2B830B12"/>
    <w:rsid w:val="2B841333"/>
    <w:rsid w:val="2B852ADC"/>
    <w:rsid w:val="2B85488A"/>
    <w:rsid w:val="2B854CEE"/>
    <w:rsid w:val="2B8625C5"/>
    <w:rsid w:val="2B862968"/>
    <w:rsid w:val="2B867EF4"/>
    <w:rsid w:val="2B870602"/>
    <w:rsid w:val="2B873BA6"/>
    <w:rsid w:val="2B876854"/>
    <w:rsid w:val="2B882210"/>
    <w:rsid w:val="2B883E7E"/>
    <w:rsid w:val="2B884367"/>
    <w:rsid w:val="2B88437A"/>
    <w:rsid w:val="2B885182"/>
    <w:rsid w:val="2B885AA8"/>
    <w:rsid w:val="2B886128"/>
    <w:rsid w:val="2B8873A7"/>
    <w:rsid w:val="2B8901CA"/>
    <w:rsid w:val="2B890DED"/>
    <w:rsid w:val="2B891029"/>
    <w:rsid w:val="2B892248"/>
    <w:rsid w:val="2B8A00F2"/>
    <w:rsid w:val="2B8A1858"/>
    <w:rsid w:val="2B8A6344"/>
    <w:rsid w:val="2B8B1002"/>
    <w:rsid w:val="2B8B2ABB"/>
    <w:rsid w:val="2B8C006D"/>
    <w:rsid w:val="2B8C5C18"/>
    <w:rsid w:val="2B8D0C77"/>
    <w:rsid w:val="2B8D1476"/>
    <w:rsid w:val="2B8D2D76"/>
    <w:rsid w:val="2B8D4322"/>
    <w:rsid w:val="2B8D6A40"/>
    <w:rsid w:val="2B8E4117"/>
    <w:rsid w:val="2B8E7B1A"/>
    <w:rsid w:val="2B8E7BE2"/>
    <w:rsid w:val="2B8F23B5"/>
    <w:rsid w:val="2B8F74B6"/>
    <w:rsid w:val="2B9176D3"/>
    <w:rsid w:val="2B920D55"/>
    <w:rsid w:val="2B9262C5"/>
    <w:rsid w:val="2B9275EC"/>
    <w:rsid w:val="2B935342"/>
    <w:rsid w:val="2B935626"/>
    <w:rsid w:val="2B936FA7"/>
    <w:rsid w:val="2B937597"/>
    <w:rsid w:val="2B940AE4"/>
    <w:rsid w:val="2B940F71"/>
    <w:rsid w:val="2B944760"/>
    <w:rsid w:val="2B94641F"/>
    <w:rsid w:val="2B954359"/>
    <w:rsid w:val="2B9558C5"/>
    <w:rsid w:val="2B95696A"/>
    <w:rsid w:val="2B960845"/>
    <w:rsid w:val="2B96297C"/>
    <w:rsid w:val="2B964572"/>
    <w:rsid w:val="2B964872"/>
    <w:rsid w:val="2B964CE9"/>
    <w:rsid w:val="2B965909"/>
    <w:rsid w:val="2B9729CB"/>
    <w:rsid w:val="2B97636B"/>
    <w:rsid w:val="2B980A61"/>
    <w:rsid w:val="2B987066"/>
    <w:rsid w:val="2B9920E3"/>
    <w:rsid w:val="2B995990"/>
    <w:rsid w:val="2B996587"/>
    <w:rsid w:val="2B997EBC"/>
    <w:rsid w:val="2B9A134C"/>
    <w:rsid w:val="2B9A2359"/>
    <w:rsid w:val="2B9A264F"/>
    <w:rsid w:val="2B9A5FD7"/>
    <w:rsid w:val="2B9A6852"/>
    <w:rsid w:val="2B9B22FF"/>
    <w:rsid w:val="2B9B5E5B"/>
    <w:rsid w:val="2B9C362C"/>
    <w:rsid w:val="2B9D1BD3"/>
    <w:rsid w:val="2B9F3393"/>
    <w:rsid w:val="2B9F5CA1"/>
    <w:rsid w:val="2BA016C4"/>
    <w:rsid w:val="2BA07916"/>
    <w:rsid w:val="2BA1591D"/>
    <w:rsid w:val="2BA16375"/>
    <w:rsid w:val="2BA21FD0"/>
    <w:rsid w:val="2BA226AF"/>
    <w:rsid w:val="2BA25A0A"/>
    <w:rsid w:val="2BA31966"/>
    <w:rsid w:val="2BA32F62"/>
    <w:rsid w:val="2BA411B4"/>
    <w:rsid w:val="2BA41E0C"/>
    <w:rsid w:val="2BA4385C"/>
    <w:rsid w:val="2BA4663E"/>
    <w:rsid w:val="2BA47406"/>
    <w:rsid w:val="2BA51F9A"/>
    <w:rsid w:val="2BA524D8"/>
    <w:rsid w:val="2BA528E9"/>
    <w:rsid w:val="2BA54F2C"/>
    <w:rsid w:val="2BA56CDA"/>
    <w:rsid w:val="2BA57BC4"/>
    <w:rsid w:val="2BA60333"/>
    <w:rsid w:val="2BA705D5"/>
    <w:rsid w:val="2BA72A52"/>
    <w:rsid w:val="2BA80578"/>
    <w:rsid w:val="2BA83950"/>
    <w:rsid w:val="2BA85FD2"/>
    <w:rsid w:val="2BA90DD3"/>
    <w:rsid w:val="2BA936A8"/>
    <w:rsid w:val="2BA94A1C"/>
    <w:rsid w:val="2BA96374"/>
    <w:rsid w:val="2BAA2542"/>
    <w:rsid w:val="2BAA6FBE"/>
    <w:rsid w:val="2BAB2266"/>
    <w:rsid w:val="2BAC0068"/>
    <w:rsid w:val="2BAC5A15"/>
    <w:rsid w:val="2BAD29C6"/>
    <w:rsid w:val="2BAD5B8F"/>
    <w:rsid w:val="2BAE3DE1"/>
    <w:rsid w:val="2BAE6D07"/>
    <w:rsid w:val="2BAF20E2"/>
    <w:rsid w:val="2BAF74DD"/>
    <w:rsid w:val="2BAF7B59"/>
    <w:rsid w:val="2BAF7BFA"/>
    <w:rsid w:val="2BB0260A"/>
    <w:rsid w:val="2BB05DAB"/>
    <w:rsid w:val="2BB1567F"/>
    <w:rsid w:val="2BB16143"/>
    <w:rsid w:val="2BB1742D"/>
    <w:rsid w:val="2BB20849"/>
    <w:rsid w:val="2BB21A69"/>
    <w:rsid w:val="2BB22054"/>
    <w:rsid w:val="2BB221A4"/>
    <w:rsid w:val="2BB305D5"/>
    <w:rsid w:val="2BB35478"/>
    <w:rsid w:val="2BB412CB"/>
    <w:rsid w:val="2BB43A51"/>
    <w:rsid w:val="2BB4516F"/>
    <w:rsid w:val="2BB5100C"/>
    <w:rsid w:val="2BB5275D"/>
    <w:rsid w:val="2BB533C1"/>
    <w:rsid w:val="2BB564A3"/>
    <w:rsid w:val="2BB57A8A"/>
    <w:rsid w:val="2BB60CEE"/>
    <w:rsid w:val="2BB60EE7"/>
    <w:rsid w:val="2BB62C95"/>
    <w:rsid w:val="2BB63467"/>
    <w:rsid w:val="2BB667D9"/>
    <w:rsid w:val="2BB66FC6"/>
    <w:rsid w:val="2BB807BB"/>
    <w:rsid w:val="2BB828C4"/>
    <w:rsid w:val="2BB831C3"/>
    <w:rsid w:val="2BB84C5F"/>
    <w:rsid w:val="2BB86A0D"/>
    <w:rsid w:val="2BB92149"/>
    <w:rsid w:val="2BB974A6"/>
    <w:rsid w:val="2BBA09D7"/>
    <w:rsid w:val="2BBB02AC"/>
    <w:rsid w:val="2BBB1288"/>
    <w:rsid w:val="2BBB24C9"/>
    <w:rsid w:val="2BBB3FEB"/>
    <w:rsid w:val="2BBB474F"/>
    <w:rsid w:val="2BBB64FD"/>
    <w:rsid w:val="2BBC6ECB"/>
    <w:rsid w:val="2BBD1527"/>
    <w:rsid w:val="2BBD4024"/>
    <w:rsid w:val="2BBE1158"/>
    <w:rsid w:val="2BBE1B4A"/>
    <w:rsid w:val="2BBE26CA"/>
    <w:rsid w:val="2BBE7D9C"/>
    <w:rsid w:val="2BBF1E9A"/>
    <w:rsid w:val="2BBF7051"/>
    <w:rsid w:val="2BC01D66"/>
    <w:rsid w:val="2BC03B14"/>
    <w:rsid w:val="2BC115B6"/>
    <w:rsid w:val="2BC11FB2"/>
    <w:rsid w:val="2BC14BF9"/>
    <w:rsid w:val="2BC14C49"/>
    <w:rsid w:val="2BC2163A"/>
    <w:rsid w:val="2BC23F9B"/>
    <w:rsid w:val="2BC25ADE"/>
    <w:rsid w:val="2BC30948"/>
    <w:rsid w:val="2BC34F3C"/>
    <w:rsid w:val="2BC35256"/>
    <w:rsid w:val="2BC35AD1"/>
    <w:rsid w:val="2BC363CD"/>
    <w:rsid w:val="2BC37160"/>
    <w:rsid w:val="2BC37ABD"/>
    <w:rsid w:val="2BC42AF1"/>
    <w:rsid w:val="2BC527CC"/>
    <w:rsid w:val="2BC5350C"/>
    <w:rsid w:val="2BC550AB"/>
    <w:rsid w:val="2BC55A49"/>
    <w:rsid w:val="2BC55BC9"/>
    <w:rsid w:val="2BC5737C"/>
    <w:rsid w:val="2BC67D37"/>
    <w:rsid w:val="2BC71AAA"/>
    <w:rsid w:val="2BC730F4"/>
    <w:rsid w:val="2BC73DBF"/>
    <w:rsid w:val="2BC74EA2"/>
    <w:rsid w:val="2BC828E2"/>
    <w:rsid w:val="2BC83383"/>
    <w:rsid w:val="2BC83584"/>
    <w:rsid w:val="2BC907E9"/>
    <w:rsid w:val="2BC929C8"/>
    <w:rsid w:val="2BCA04EF"/>
    <w:rsid w:val="2BCA7F44"/>
    <w:rsid w:val="2BCB585D"/>
    <w:rsid w:val="2BCC5A3F"/>
    <w:rsid w:val="2BCD00CD"/>
    <w:rsid w:val="2BCD0885"/>
    <w:rsid w:val="2BCD3BBB"/>
    <w:rsid w:val="2BCD5330"/>
    <w:rsid w:val="2BCE023C"/>
    <w:rsid w:val="2BCE1D15"/>
    <w:rsid w:val="2BCE1D39"/>
    <w:rsid w:val="2BCE4483"/>
    <w:rsid w:val="2BCE4D9B"/>
    <w:rsid w:val="2BCE6D36"/>
    <w:rsid w:val="2BCF0C36"/>
    <w:rsid w:val="2BCF20EE"/>
    <w:rsid w:val="2BCF3D57"/>
    <w:rsid w:val="2BCF6AFB"/>
    <w:rsid w:val="2BCF7C85"/>
    <w:rsid w:val="2BD01C6B"/>
    <w:rsid w:val="2BD0455F"/>
    <w:rsid w:val="2BD06835"/>
    <w:rsid w:val="2BD1187D"/>
    <w:rsid w:val="2BD13FEC"/>
    <w:rsid w:val="2BD17BED"/>
    <w:rsid w:val="2BD207DE"/>
    <w:rsid w:val="2BD234C7"/>
    <w:rsid w:val="2BD2657C"/>
    <w:rsid w:val="2BD26BBD"/>
    <w:rsid w:val="2BD414DD"/>
    <w:rsid w:val="2BD43A89"/>
    <w:rsid w:val="2BD43FF7"/>
    <w:rsid w:val="2BD5255A"/>
    <w:rsid w:val="2BD61589"/>
    <w:rsid w:val="2BD63337"/>
    <w:rsid w:val="2BD71405"/>
    <w:rsid w:val="2BD812EE"/>
    <w:rsid w:val="2BD9277E"/>
    <w:rsid w:val="2BD93FA4"/>
    <w:rsid w:val="2BD97918"/>
    <w:rsid w:val="2BDA2E28"/>
    <w:rsid w:val="2BDB3DC5"/>
    <w:rsid w:val="2BDB6081"/>
    <w:rsid w:val="2BDC19DE"/>
    <w:rsid w:val="2BDC1B2C"/>
    <w:rsid w:val="2BDC3154"/>
    <w:rsid w:val="2BDE5844"/>
    <w:rsid w:val="2BDE7D31"/>
    <w:rsid w:val="2BDF043E"/>
    <w:rsid w:val="2BDF21EC"/>
    <w:rsid w:val="2BE008CA"/>
    <w:rsid w:val="2BE06020"/>
    <w:rsid w:val="2BE07D12"/>
    <w:rsid w:val="2BE13AE1"/>
    <w:rsid w:val="2BE24CED"/>
    <w:rsid w:val="2BE25CBD"/>
    <w:rsid w:val="2BE27F2E"/>
    <w:rsid w:val="2BE3481B"/>
    <w:rsid w:val="2BE36401"/>
    <w:rsid w:val="2BE41B27"/>
    <w:rsid w:val="2BE42A5B"/>
    <w:rsid w:val="2BE45A54"/>
    <w:rsid w:val="2BE47802"/>
    <w:rsid w:val="2BE51C78"/>
    <w:rsid w:val="2BE55917"/>
    <w:rsid w:val="2BE64126"/>
    <w:rsid w:val="2BE65116"/>
    <w:rsid w:val="2BE71779"/>
    <w:rsid w:val="2BE71963"/>
    <w:rsid w:val="2BE7467E"/>
    <w:rsid w:val="2BE752CE"/>
    <w:rsid w:val="2BE75544"/>
    <w:rsid w:val="2BE7645A"/>
    <w:rsid w:val="2BE80A47"/>
    <w:rsid w:val="2BE82AEA"/>
    <w:rsid w:val="2BEA1240"/>
    <w:rsid w:val="2BEB2B90"/>
    <w:rsid w:val="2BEB6DE3"/>
    <w:rsid w:val="2BEB718D"/>
    <w:rsid w:val="2BEC0BF4"/>
    <w:rsid w:val="2BEC4909"/>
    <w:rsid w:val="2BEC66B7"/>
    <w:rsid w:val="2BED0422"/>
    <w:rsid w:val="2BED6A56"/>
    <w:rsid w:val="2BEE0681"/>
    <w:rsid w:val="2BEE0AAC"/>
    <w:rsid w:val="2BEE0AB3"/>
    <w:rsid w:val="2BEE0C9C"/>
    <w:rsid w:val="2BEE242F"/>
    <w:rsid w:val="2BEE5435"/>
    <w:rsid w:val="2BEF1D5C"/>
    <w:rsid w:val="2BEF61A7"/>
    <w:rsid w:val="2BF02146"/>
    <w:rsid w:val="2BF0264B"/>
    <w:rsid w:val="2BF13CCD"/>
    <w:rsid w:val="2BF30FF9"/>
    <w:rsid w:val="2BF32458"/>
    <w:rsid w:val="2BF33FFB"/>
    <w:rsid w:val="2BF451C0"/>
    <w:rsid w:val="2BF465B0"/>
    <w:rsid w:val="2BF46E3D"/>
    <w:rsid w:val="2BF51A0F"/>
    <w:rsid w:val="2BF53D00"/>
    <w:rsid w:val="2BF612E4"/>
    <w:rsid w:val="2BF64877"/>
    <w:rsid w:val="2BF64FE9"/>
    <w:rsid w:val="2BF65788"/>
    <w:rsid w:val="2BF72384"/>
    <w:rsid w:val="2BF832AE"/>
    <w:rsid w:val="2BF842FC"/>
    <w:rsid w:val="2BF8481D"/>
    <w:rsid w:val="2BF8719E"/>
    <w:rsid w:val="2BF9730E"/>
    <w:rsid w:val="2BFA2CF5"/>
    <w:rsid w:val="2BFA31F8"/>
    <w:rsid w:val="2BFA4484"/>
    <w:rsid w:val="2BFA5278"/>
    <w:rsid w:val="2BFB4A7F"/>
    <w:rsid w:val="2BFB4B4C"/>
    <w:rsid w:val="2BFB7259"/>
    <w:rsid w:val="2BFC024A"/>
    <w:rsid w:val="2BFC06E9"/>
    <w:rsid w:val="2BFC6920"/>
    <w:rsid w:val="2BFD0C79"/>
    <w:rsid w:val="2BFD12F0"/>
    <w:rsid w:val="2BFD1B79"/>
    <w:rsid w:val="2BFD2672"/>
    <w:rsid w:val="2BFD2718"/>
    <w:rsid w:val="2BFD3BD7"/>
    <w:rsid w:val="2BFD6B16"/>
    <w:rsid w:val="2BFE479C"/>
    <w:rsid w:val="2BFE72AA"/>
    <w:rsid w:val="2BFF0FFB"/>
    <w:rsid w:val="2BFF288E"/>
    <w:rsid w:val="2BFF4499"/>
    <w:rsid w:val="2BFF50AE"/>
    <w:rsid w:val="2C0003B4"/>
    <w:rsid w:val="2C00782C"/>
    <w:rsid w:val="2C015FA1"/>
    <w:rsid w:val="2C016606"/>
    <w:rsid w:val="2C0175DD"/>
    <w:rsid w:val="2C017E23"/>
    <w:rsid w:val="2C0203A4"/>
    <w:rsid w:val="2C02237E"/>
    <w:rsid w:val="2C022C57"/>
    <w:rsid w:val="2C0237A1"/>
    <w:rsid w:val="2C02412C"/>
    <w:rsid w:val="2C027C88"/>
    <w:rsid w:val="2C032E8B"/>
    <w:rsid w:val="2C037186"/>
    <w:rsid w:val="2C0411AD"/>
    <w:rsid w:val="2C045368"/>
    <w:rsid w:val="2C047EA4"/>
    <w:rsid w:val="2C05036B"/>
    <w:rsid w:val="2C0559CB"/>
    <w:rsid w:val="2C05730E"/>
    <w:rsid w:val="2C0608E6"/>
    <w:rsid w:val="2C061651"/>
    <w:rsid w:val="2C063C1D"/>
    <w:rsid w:val="2C071325"/>
    <w:rsid w:val="2C071743"/>
    <w:rsid w:val="2C073FBB"/>
    <w:rsid w:val="2C076946"/>
    <w:rsid w:val="2C086C8C"/>
    <w:rsid w:val="2C091BF0"/>
    <w:rsid w:val="2C0954BB"/>
    <w:rsid w:val="2C0A7A4C"/>
    <w:rsid w:val="2C0B1F53"/>
    <w:rsid w:val="2C0B2327"/>
    <w:rsid w:val="2C0B2FE1"/>
    <w:rsid w:val="2C0B44D1"/>
    <w:rsid w:val="2C0B6403"/>
    <w:rsid w:val="2C0C01DE"/>
    <w:rsid w:val="2C0C0B07"/>
    <w:rsid w:val="2C0C6D59"/>
    <w:rsid w:val="2C0C7136"/>
    <w:rsid w:val="2C0D45B7"/>
    <w:rsid w:val="2C0E2AFE"/>
    <w:rsid w:val="2C0E6D85"/>
    <w:rsid w:val="2C0F23A5"/>
    <w:rsid w:val="2C0F2439"/>
    <w:rsid w:val="2C0F2C5D"/>
    <w:rsid w:val="2C0F2E5E"/>
    <w:rsid w:val="2C1005F7"/>
    <w:rsid w:val="2C101613"/>
    <w:rsid w:val="2C10541E"/>
    <w:rsid w:val="2C1119CE"/>
    <w:rsid w:val="2C112694"/>
    <w:rsid w:val="2C11611D"/>
    <w:rsid w:val="2C1165C9"/>
    <w:rsid w:val="2C131E96"/>
    <w:rsid w:val="2C1335C9"/>
    <w:rsid w:val="2C1356BB"/>
    <w:rsid w:val="2C135D6B"/>
    <w:rsid w:val="2C136339"/>
    <w:rsid w:val="2C151290"/>
    <w:rsid w:val="2C161986"/>
    <w:rsid w:val="2C164B01"/>
    <w:rsid w:val="2C167BD8"/>
    <w:rsid w:val="2C167E8F"/>
    <w:rsid w:val="2C1733C9"/>
    <w:rsid w:val="2C175540"/>
    <w:rsid w:val="2C181352"/>
    <w:rsid w:val="2C1844E3"/>
    <w:rsid w:val="2C1856FE"/>
    <w:rsid w:val="2C1874AC"/>
    <w:rsid w:val="2C1927E2"/>
    <w:rsid w:val="2C1964F2"/>
    <w:rsid w:val="2C19680D"/>
    <w:rsid w:val="2C1A3224"/>
    <w:rsid w:val="2C1A5526"/>
    <w:rsid w:val="2C1B0D4A"/>
    <w:rsid w:val="2C1B3F70"/>
    <w:rsid w:val="2C1C51EE"/>
    <w:rsid w:val="2C1C5F67"/>
    <w:rsid w:val="2C1C7135"/>
    <w:rsid w:val="2C1D0F66"/>
    <w:rsid w:val="2C1D1163"/>
    <w:rsid w:val="2C1D1E81"/>
    <w:rsid w:val="2C1D2D14"/>
    <w:rsid w:val="2C1E12D9"/>
    <w:rsid w:val="2C1E6976"/>
    <w:rsid w:val="2C1F4CDE"/>
    <w:rsid w:val="2C1F6A8C"/>
    <w:rsid w:val="2C2005DF"/>
    <w:rsid w:val="2C2048EF"/>
    <w:rsid w:val="2C207AE4"/>
    <w:rsid w:val="2C210A56"/>
    <w:rsid w:val="2C212804"/>
    <w:rsid w:val="2C2157E3"/>
    <w:rsid w:val="2C23408A"/>
    <w:rsid w:val="2C2359B8"/>
    <w:rsid w:val="2C236224"/>
    <w:rsid w:val="2C240B36"/>
    <w:rsid w:val="2C247F10"/>
    <w:rsid w:val="2C262215"/>
    <w:rsid w:val="2C263232"/>
    <w:rsid w:val="2C2718BD"/>
    <w:rsid w:val="2C271DE5"/>
    <w:rsid w:val="2C2725DE"/>
    <w:rsid w:val="2C2736A5"/>
    <w:rsid w:val="2C273B63"/>
    <w:rsid w:val="2C275941"/>
    <w:rsid w:val="2C28377C"/>
    <w:rsid w:val="2C283A81"/>
    <w:rsid w:val="2C283FF8"/>
    <w:rsid w:val="2C28525E"/>
    <w:rsid w:val="2C286DB9"/>
    <w:rsid w:val="2C2916B9"/>
    <w:rsid w:val="2C29711C"/>
    <w:rsid w:val="2C29790B"/>
    <w:rsid w:val="2C2A71DF"/>
    <w:rsid w:val="2C2B2026"/>
    <w:rsid w:val="2C2B3683"/>
    <w:rsid w:val="2C2B7EA2"/>
    <w:rsid w:val="2C2C11A9"/>
    <w:rsid w:val="2C2C2F57"/>
    <w:rsid w:val="2C2C73FB"/>
    <w:rsid w:val="2C2D1203"/>
    <w:rsid w:val="2C2D3BF3"/>
    <w:rsid w:val="2C2D3F50"/>
    <w:rsid w:val="2C2D606D"/>
    <w:rsid w:val="2C2E2686"/>
    <w:rsid w:val="2C2E3173"/>
    <w:rsid w:val="2C2E6CCF"/>
    <w:rsid w:val="2C2F65EA"/>
    <w:rsid w:val="2C2F7028"/>
    <w:rsid w:val="2C300C99"/>
    <w:rsid w:val="2C302A48"/>
    <w:rsid w:val="2C304545"/>
    <w:rsid w:val="2C31056E"/>
    <w:rsid w:val="2C313E18"/>
    <w:rsid w:val="2C315A5A"/>
    <w:rsid w:val="2C323501"/>
    <w:rsid w:val="2C324A12"/>
    <w:rsid w:val="2C325ACE"/>
    <w:rsid w:val="2C326ED2"/>
    <w:rsid w:val="2C33078A"/>
    <w:rsid w:val="2C332538"/>
    <w:rsid w:val="2C345A85"/>
    <w:rsid w:val="2C3473EA"/>
    <w:rsid w:val="2C35087A"/>
    <w:rsid w:val="2C351E0C"/>
    <w:rsid w:val="2C3562B0"/>
    <w:rsid w:val="2C360CA0"/>
    <w:rsid w:val="2C365727"/>
    <w:rsid w:val="2C370D14"/>
    <w:rsid w:val="2C372028"/>
    <w:rsid w:val="2C372D41"/>
    <w:rsid w:val="2C372D4B"/>
    <w:rsid w:val="2C3748DB"/>
    <w:rsid w:val="2C3816CF"/>
    <w:rsid w:val="2C3818FC"/>
    <w:rsid w:val="2C382603"/>
    <w:rsid w:val="2C383C0D"/>
    <w:rsid w:val="2C38462A"/>
    <w:rsid w:val="2C38519D"/>
    <w:rsid w:val="2C385DA0"/>
    <w:rsid w:val="2C387B4E"/>
    <w:rsid w:val="2C392A44"/>
    <w:rsid w:val="2C396B1A"/>
    <w:rsid w:val="2C3A1B18"/>
    <w:rsid w:val="2C3A5674"/>
    <w:rsid w:val="2C3A78FD"/>
    <w:rsid w:val="2C3B2488"/>
    <w:rsid w:val="2C3B46EC"/>
    <w:rsid w:val="2C3B636D"/>
    <w:rsid w:val="2C3C3A99"/>
    <w:rsid w:val="2C3C763E"/>
    <w:rsid w:val="2C3D1526"/>
    <w:rsid w:val="2C3D1774"/>
    <w:rsid w:val="2C3D1F25"/>
    <w:rsid w:val="2C3D25EA"/>
    <w:rsid w:val="2C3D5164"/>
    <w:rsid w:val="2C3E4D17"/>
    <w:rsid w:val="2C3F0EDD"/>
    <w:rsid w:val="2C3F192C"/>
    <w:rsid w:val="2C401A8D"/>
    <w:rsid w:val="2C4024BC"/>
    <w:rsid w:val="2C402FF9"/>
    <w:rsid w:val="2C414C55"/>
    <w:rsid w:val="2C416A03"/>
    <w:rsid w:val="2C424529"/>
    <w:rsid w:val="2C4402A1"/>
    <w:rsid w:val="2C44096C"/>
    <w:rsid w:val="2C4421E8"/>
    <w:rsid w:val="2C44430E"/>
    <w:rsid w:val="2C4464F3"/>
    <w:rsid w:val="2C446EDF"/>
    <w:rsid w:val="2C45177C"/>
    <w:rsid w:val="2C453AC0"/>
    <w:rsid w:val="2C45579E"/>
    <w:rsid w:val="2C46226B"/>
    <w:rsid w:val="2C465E8A"/>
    <w:rsid w:val="2C465F37"/>
    <w:rsid w:val="2C466E6D"/>
    <w:rsid w:val="2C47293D"/>
    <w:rsid w:val="2C475248"/>
    <w:rsid w:val="2C475FE3"/>
    <w:rsid w:val="2C476890"/>
    <w:rsid w:val="2C477D91"/>
    <w:rsid w:val="2C4815FD"/>
    <w:rsid w:val="2C484235"/>
    <w:rsid w:val="2C485860"/>
    <w:rsid w:val="2C491D5B"/>
    <w:rsid w:val="2C493BEE"/>
    <w:rsid w:val="2C497334"/>
    <w:rsid w:val="2C4A6ABB"/>
    <w:rsid w:val="2C4B162F"/>
    <w:rsid w:val="2C4B1C25"/>
    <w:rsid w:val="2C4B2C78"/>
    <w:rsid w:val="2C4B7881"/>
    <w:rsid w:val="2C4C7EE8"/>
    <w:rsid w:val="2C4D184B"/>
    <w:rsid w:val="2C4E1120"/>
    <w:rsid w:val="2C4E22F6"/>
    <w:rsid w:val="2C4E297E"/>
    <w:rsid w:val="2C4F3FF2"/>
    <w:rsid w:val="2C506C46"/>
    <w:rsid w:val="2C50728E"/>
    <w:rsid w:val="2C5214E3"/>
    <w:rsid w:val="2C527DA2"/>
    <w:rsid w:val="2C53211E"/>
    <w:rsid w:val="2C532973"/>
    <w:rsid w:val="2C53365A"/>
    <w:rsid w:val="2C534988"/>
    <w:rsid w:val="2C536297"/>
    <w:rsid w:val="2C536453"/>
    <w:rsid w:val="2C547D62"/>
    <w:rsid w:val="2C550700"/>
    <w:rsid w:val="2C55425C"/>
    <w:rsid w:val="2C554BF1"/>
    <w:rsid w:val="2C56092B"/>
    <w:rsid w:val="2C5612A5"/>
    <w:rsid w:val="2C561EEC"/>
    <w:rsid w:val="2C567AFD"/>
    <w:rsid w:val="2C567DCF"/>
    <w:rsid w:val="2C570C58"/>
    <w:rsid w:val="2C572784"/>
    <w:rsid w:val="2C572CBC"/>
    <w:rsid w:val="2C574478"/>
    <w:rsid w:val="2C57477A"/>
    <w:rsid w:val="2C5801F0"/>
    <w:rsid w:val="2C5907D8"/>
    <w:rsid w:val="2C59285D"/>
    <w:rsid w:val="2C5A1872"/>
    <w:rsid w:val="2C5A5D16"/>
    <w:rsid w:val="2C5A7AC4"/>
    <w:rsid w:val="2C5B3759"/>
    <w:rsid w:val="2C5B3C1F"/>
    <w:rsid w:val="2C5B535E"/>
    <w:rsid w:val="2C5B6571"/>
    <w:rsid w:val="2C5C1A8E"/>
    <w:rsid w:val="2C5C383D"/>
    <w:rsid w:val="2C5C3A25"/>
    <w:rsid w:val="2C5C5A5F"/>
    <w:rsid w:val="2C5D1363"/>
    <w:rsid w:val="2C5D3DCC"/>
    <w:rsid w:val="2C5D65F6"/>
    <w:rsid w:val="2C5E0D76"/>
    <w:rsid w:val="2C5E293C"/>
    <w:rsid w:val="2C5F092B"/>
    <w:rsid w:val="2C5F41A8"/>
    <w:rsid w:val="2C5F46F9"/>
    <w:rsid w:val="2C5F50DB"/>
    <w:rsid w:val="2C5F6B1A"/>
    <w:rsid w:val="2C6023A6"/>
    <w:rsid w:val="2C603BE1"/>
    <w:rsid w:val="2C606EFE"/>
    <w:rsid w:val="2C610E53"/>
    <w:rsid w:val="2C611C9F"/>
    <w:rsid w:val="2C614353"/>
    <w:rsid w:val="2C615794"/>
    <w:rsid w:val="2C6170A5"/>
    <w:rsid w:val="2C61797A"/>
    <w:rsid w:val="2C621223"/>
    <w:rsid w:val="2C624BCB"/>
    <w:rsid w:val="2C630D27"/>
    <w:rsid w:val="2C640943"/>
    <w:rsid w:val="2C643FFF"/>
    <w:rsid w:val="2C646B95"/>
    <w:rsid w:val="2C651C94"/>
    <w:rsid w:val="2C65227D"/>
    <w:rsid w:val="2C66290D"/>
    <w:rsid w:val="2C667041"/>
    <w:rsid w:val="2C66736C"/>
    <w:rsid w:val="2C6721E1"/>
    <w:rsid w:val="2C673F8F"/>
    <w:rsid w:val="2C683709"/>
    <w:rsid w:val="2C685CA3"/>
    <w:rsid w:val="2C6941AB"/>
    <w:rsid w:val="2C695F59"/>
    <w:rsid w:val="2C697D08"/>
    <w:rsid w:val="2C6B0CB9"/>
    <w:rsid w:val="2C6B4ED3"/>
    <w:rsid w:val="2C6C351A"/>
    <w:rsid w:val="2C6C77F8"/>
    <w:rsid w:val="2C6D1F9D"/>
    <w:rsid w:val="2C6D7352"/>
    <w:rsid w:val="2C6D780D"/>
    <w:rsid w:val="2C6E17C2"/>
    <w:rsid w:val="2C6E3570"/>
    <w:rsid w:val="2C6E531E"/>
    <w:rsid w:val="2C6E758A"/>
    <w:rsid w:val="2C6F2816"/>
    <w:rsid w:val="2C6F6E31"/>
    <w:rsid w:val="2C700B84"/>
    <w:rsid w:val="2C700CD0"/>
    <w:rsid w:val="2C701096"/>
    <w:rsid w:val="2C70553A"/>
    <w:rsid w:val="2C712B36"/>
    <w:rsid w:val="2C717058"/>
    <w:rsid w:val="2C717B8E"/>
    <w:rsid w:val="2C720F72"/>
    <w:rsid w:val="2C7212B2"/>
    <w:rsid w:val="2C730B86"/>
    <w:rsid w:val="2C731599"/>
    <w:rsid w:val="2C732934"/>
    <w:rsid w:val="2C7330FF"/>
    <w:rsid w:val="2C73502A"/>
    <w:rsid w:val="2C736DD8"/>
    <w:rsid w:val="2C740FB5"/>
    <w:rsid w:val="2C7548FE"/>
    <w:rsid w:val="2C7574ED"/>
    <w:rsid w:val="2C7645CC"/>
    <w:rsid w:val="2C765141"/>
    <w:rsid w:val="2C76719D"/>
    <w:rsid w:val="2C770676"/>
    <w:rsid w:val="2C772424"/>
    <w:rsid w:val="2C774DAB"/>
    <w:rsid w:val="2C780F5D"/>
    <w:rsid w:val="2C78105D"/>
    <w:rsid w:val="2C7843EE"/>
    <w:rsid w:val="2C792640"/>
    <w:rsid w:val="2C797610"/>
    <w:rsid w:val="2C7B6FAE"/>
    <w:rsid w:val="2C7C0F4A"/>
    <w:rsid w:val="2C7C1263"/>
    <w:rsid w:val="2C7D214C"/>
    <w:rsid w:val="2C7E4022"/>
    <w:rsid w:val="2C7E592F"/>
    <w:rsid w:val="2C7F1FC2"/>
    <w:rsid w:val="2C7F6DBF"/>
    <w:rsid w:val="2C7F752B"/>
    <w:rsid w:val="2C801657"/>
    <w:rsid w:val="2C803864"/>
    <w:rsid w:val="2C806C31"/>
    <w:rsid w:val="2C811CDA"/>
    <w:rsid w:val="2C8132A3"/>
    <w:rsid w:val="2C820DC9"/>
    <w:rsid w:val="2C82409F"/>
    <w:rsid w:val="2C825265"/>
    <w:rsid w:val="2C827BAA"/>
    <w:rsid w:val="2C833ED8"/>
    <w:rsid w:val="2C846368"/>
    <w:rsid w:val="2C853AD3"/>
    <w:rsid w:val="2C8608B9"/>
    <w:rsid w:val="2C862667"/>
    <w:rsid w:val="2C8640C1"/>
    <w:rsid w:val="2C864D5D"/>
    <w:rsid w:val="2C87091D"/>
    <w:rsid w:val="2C872436"/>
    <w:rsid w:val="2C874107"/>
    <w:rsid w:val="2C8754C4"/>
    <w:rsid w:val="2C8824B7"/>
    <w:rsid w:val="2C884632"/>
    <w:rsid w:val="2C886DA8"/>
    <w:rsid w:val="2C8903AA"/>
    <w:rsid w:val="2C892158"/>
    <w:rsid w:val="2C892A42"/>
    <w:rsid w:val="2C8937A2"/>
    <w:rsid w:val="2C896589"/>
    <w:rsid w:val="2C89707B"/>
    <w:rsid w:val="2C8A1219"/>
    <w:rsid w:val="2C8A1332"/>
    <w:rsid w:val="2C8B0765"/>
    <w:rsid w:val="2C8B2374"/>
    <w:rsid w:val="2C8B4122"/>
    <w:rsid w:val="2C8B7F33"/>
    <w:rsid w:val="2C8C39F6"/>
    <w:rsid w:val="2C8D114A"/>
    <w:rsid w:val="2C8D1C48"/>
    <w:rsid w:val="2C8D50E5"/>
    <w:rsid w:val="2C8E11C6"/>
    <w:rsid w:val="2C8E3C12"/>
    <w:rsid w:val="2C8E50A6"/>
    <w:rsid w:val="2C8E5424"/>
    <w:rsid w:val="2C8E5CDA"/>
    <w:rsid w:val="2C8E6592"/>
    <w:rsid w:val="2C8F24DF"/>
    <w:rsid w:val="2C8F2535"/>
    <w:rsid w:val="2C8F272E"/>
    <w:rsid w:val="2C8F5766"/>
    <w:rsid w:val="2C8F634D"/>
    <w:rsid w:val="2C8F68B4"/>
    <w:rsid w:val="2C902650"/>
    <w:rsid w:val="2C902915"/>
    <w:rsid w:val="2C9034E6"/>
    <w:rsid w:val="2C914BF7"/>
    <w:rsid w:val="2C9172E8"/>
    <w:rsid w:val="2C91797A"/>
    <w:rsid w:val="2C92725E"/>
    <w:rsid w:val="2C93250A"/>
    <w:rsid w:val="2C932FD6"/>
    <w:rsid w:val="2C9366C5"/>
    <w:rsid w:val="2C941296"/>
    <w:rsid w:val="2C942367"/>
    <w:rsid w:val="2C950AFD"/>
    <w:rsid w:val="2C963BB6"/>
    <w:rsid w:val="2C965046"/>
    <w:rsid w:val="2C9663AB"/>
    <w:rsid w:val="2C966466"/>
    <w:rsid w:val="2C966787"/>
    <w:rsid w:val="2C970D19"/>
    <w:rsid w:val="2C971B57"/>
    <w:rsid w:val="2C972980"/>
    <w:rsid w:val="2C973F96"/>
    <w:rsid w:val="2C9A1AB6"/>
    <w:rsid w:val="2C9A1CB1"/>
    <w:rsid w:val="2C9A25B7"/>
    <w:rsid w:val="2C9A2FB3"/>
    <w:rsid w:val="2C9A4365"/>
    <w:rsid w:val="2C9A48A9"/>
    <w:rsid w:val="2C9A6113"/>
    <w:rsid w:val="2C9A7A60"/>
    <w:rsid w:val="2C9B1D14"/>
    <w:rsid w:val="2C9B1F9D"/>
    <w:rsid w:val="2C9B57E1"/>
    <w:rsid w:val="2C9C1E8B"/>
    <w:rsid w:val="2C9C632F"/>
    <w:rsid w:val="2C9D3A89"/>
    <w:rsid w:val="2C9D5C03"/>
    <w:rsid w:val="2C9E0BAE"/>
    <w:rsid w:val="2C9E3E55"/>
    <w:rsid w:val="2C9E4F19"/>
    <w:rsid w:val="2C9F3729"/>
    <w:rsid w:val="2C9F5E1F"/>
    <w:rsid w:val="2C9F68E3"/>
    <w:rsid w:val="2C9F7BCD"/>
    <w:rsid w:val="2CA02EAC"/>
    <w:rsid w:val="2CA06BC3"/>
    <w:rsid w:val="2CA074B1"/>
    <w:rsid w:val="2CA12D54"/>
    <w:rsid w:val="2CA13945"/>
    <w:rsid w:val="2CA174A1"/>
    <w:rsid w:val="2CA24B75"/>
    <w:rsid w:val="2CA24D2A"/>
    <w:rsid w:val="2CA376BD"/>
    <w:rsid w:val="2CA40304"/>
    <w:rsid w:val="2CA43435"/>
    <w:rsid w:val="2CA451E4"/>
    <w:rsid w:val="2CA50ADA"/>
    <w:rsid w:val="2CA57B2C"/>
    <w:rsid w:val="2CA60F5C"/>
    <w:rsid w:val="2CA6162C"/>
    <w:rsid w:val="2CA62D0A"/>
    <w:rsid w:val="2CA64AB8"/>
    <w:rsid w:val="2CA66BE7"/>
    <w:rsid w:val="2CA719F5"/>
    <w:rsid w:val="2CA71DD1"/>
    <w:rsid w:val="2CA724AA"/>
    <w:rsid w:val="2CA80213"/>
    <w:rsid w:val="2CA823FE"/>
    <w:rsid w:val="2CA84BA2"/>
    <w:rsid w:val="2CA84CD4"/>
    <w:rsid w:val="2CA85142"/>
    <w:rsid w:val="2CA86A82"/>
    <w:rsid w:val="2CA91522"/>
    <w:rsid w:val="2CA927FA"/>
    <w:rsid w:val="2CA945A8"/>
    <w:rsid w:val="2CAC47F4"/>
    <w:rsid w:val="2CAD194B"/>
    <w:rsid w:val="2CAD4098"/>
    <w:rsid w:val="2CAD5E46"/>
    <w:rsid w:val="2CAE1BBE"/>
    <w:rsid w:val="2CAF1C30"/>
    <w:rsid w:val="2CAF5E9E"/>
    <w:rsid w:val="2CAF6062"/>
    <w:rsid w:val="2CB01DDA"/>
    <w:rsid w:val="2CB03B88"/>
    <w:rsid w:val="2CB12F68"/>
    <w:rsid w:val="2CB216AE"/>
    <w:rsid w:val="2CB2345D"/>
    <w:rsid w:val="2CB2481F"/>
    <w:rsid w:val="2CB27900"/>
    <w:rsid w:val="2CB32D2F"/>
    <w:rsid w:val="2CB35427"/>
    <w:rsid w:val="2CB371D5"/>
    <w:rsid w:val="2CB4503B"/>
    <w:rsid w:val="2CB5119F"/>
    <w:rsid w:val="2CB51228"/>
    <w:rsid w:val="2CB513E2"/>
    <w:rsid w:val="2CB525F7"/>
    <w:rsid w:val="2CB52F4D"/>
    <w:rsid w:val="2CB531A0"/>
    <w:rsid w:val="2CB573F1"/>
    <w:rsid w:val="2CB64919"/>
    <w:rsid w:val="2CB66905"/>
    <w:rsid w:val="2CB73169"/>
    <w:rsid w:val="2CB7480F"/>
    <w:rsid w:val="2CB76CC5"/>
    <w:rsid w:val="2CB828E4"/>
    <w:rsid w:val="2CB82A3D"/>
    <w:rsid w:val="2CB847EB"/>
    <w:rsid w:val="2CB949EC"/>
    <w:rsid w:val="2CB971C7"/>
    <w:rsid w:val="2CBA0AE8"/>
    <w:rsid w:val="2CBA7EB3"/>
    <w:rsid w:val="2CBB6D45"/>
    <w:rsid w:val="2CBC252D"/>
    <w:rsid w:val="2CBD0053"/>
    <w:rsid w:val="2CBE2DC2"/>
    <w:rsid w:val="2CBE43FE"/>
    <w:rsid w:val="2CBE62A5"/>
    <w:rsid w:val="2CBF201D"/>
    <w:rsid w:val="2CBF3DCB"/>
    <w:rsid w:val="2CBF5B79"/>
    <w:rsid w:val="2CBF7D48"/>
    <w:rsid w:val="2CC01DEF"/>
    <w:rsid w:val="2CC116BF"/>
    <w:rsid w:val="2CC118F2"/>
    <w:rsid w:val="2CC12EED"/>
    <w:rsid w:val="2CC165DC"/>
    <w:rsid w:val="2CC23B0D"/>
    <w:rsid w:val="2CC31B0E"/>
    <w:rsid w:val="2CC338BC"/>
    <w:rsid w:val="2CC3566A"/>
    <w:rsid w:val="2CC366BA"/>
    <w:rsid w:val="2CC413E2"/>
    <w:rsid w:val="2CC4264E"/>
    <w:rsid w:val="2CC43190"/>
    <w:rsid w:val="2CC500C4"/>
    <w:rsid w:val="2CC5253A"/>
    <w:rsid w:val="2CC52B9D"/>
    <w:rsid w:val="2CC52D3E"/>
    <w:rsid w:val="2CC55886"/>
    <w:rsid w:val="2CC633AC"/>
    <w:rsid w:val="2CC6364E"/>
    <w:rsid w:val="2CC6515A"/>
    <w:rsid w:val="2CC66F08"/>
    <w:rsid w:val="2CC745AB"/>
    <w:rsid w:val="2CC82C80"/>
    <w:rsid w:val="2CC869E8"/>
    <w:rsid w:val="2CC87124"/>
    <w:rsid w:val="2CC9373B"/>
    <w:rsid w:val="2CC93B76"/>
    <w:rsid w:val="2CC9685B"/>
    <w:rsid w:val="2CC969F8"/>
    <w:rsid w:val="2CCA4BD8"/>
    <w:rsid w:val="2CCB2770"/>
    <w:rsid w:val="2CCB3F36"/>
    <w:rsid w:val="2CCB6C14"/>
    <w:rsid w:val="2CCC3747"/>
    <w:rsid w:val="2CCD0296"/>
    <w:rsid w:val="2CCD0E00"/>
    <w:rsid w:val="2CCD13A5"/>
    <w:rsid w:val="2CCD473A"/>
    <w:rsid w:val="2CCD64E8"/>
    <w:rsid w:val="2CCD7CE6"/>
    <w:rsid w:val="2CCE019C"/>
    <w:rsid w:val="2CCE400E"/>
    <w:rsid w:val="2CCE5D5C"/>
    <w:rsid w:val="2CCF04B2"/>
    <w:rsid w:val="2CD07D87"/>
    <w:rsid w:val="2CD16667"/>
    <w:rsid w:val="2CD16AA6"/>
    <w:rsid w:val="2CD21D51"/>
    <w:rsid w:val="2CD25312"/>
    <w:rsid w:val="2CD258AD"/>
    <w:rsid w:val="2CD30707"/>
    <w:rsid w:val="2CD35299"/>
    <w:rsid w:val="2CD35FB2"/>
    <w:rsid w:val="2CD53597"/>
    <w:rsid w:val="2CD54C5E"/>
    <w:rsid w:val="2CD5539D"/>
    <w:rsid w:val="2CD6177C"/>
    <w:rsid w:val="2CD624D9"/>
    <w:rsid w:val="2CD6590B"/>
    <w:rsid w:val="2CD750AA"/>
    <w:rsid w:val="2CD755B9"/>
    <w:rsid w:val="2CD77D50"/>
    <w:rsid w:val="2CD827F5"/>
    <w:rsid w:val="2CD84677"/>
    <w:rsid w:val="2CD97C27"/>
    <w:rsid w:val="2CDA259B"/>
    <w:rsid w:val="2CDA29B3"/>
    <w:rsid w:val="2CDA6E57"/>
    <w:rsid w:val="2CDB040F"/>
    <w:rsid w:val="2CDB4A75"/>
    <w:rsid w:val="2CDB4FBC"/>
    <w:rsid w:val="2CDB6DAA"/>
    <w:rsid w:val="2CDC37A0"/>
    <w:rsid w:val="2CDC497D"/>
    <w:rsid w:val="2CDC672B"/>
    <w:rsid w:val="2CDD77DB"/>
    <w:rsid w:val="2CDE06F5"/>
    <w:rsid w:val="2CDE0C6B"/>
    <w:rsid w:val="2CDF4189"/>
    <w:rsid w:val="2CDF446E"/>
    <w:rsid w:val="2CDF5DD7"/>
    <w:rsid w:val="2CDF621C"/>
    <w:rsid w:val="2CDF7321"/>
    <w:rsid w:val="2CE10D2D"/>
    <w:rsid w:val="2CE130B1"/>
    <w:rsid w:val="2CE17CA6"/>
    <w:rsid w:val="2CE20111"/>
    <w:rsid w:val="2CE2198B"/>
    <w:rsid w:val="2CE24113"/>
    <w:rsid w:val="2CE250B9"/>
    <w:rsid w:val="2CE2646F"/>
    <w:rsid w:val="2CE341B5"/>
    <w:rsid w:val="2CE35D0C"/>
    <w:rsid w:val="2CE43832"/>
    <w:rsid w:val="2CE61358"/>
    <w:rsid w:val="2CE625FE"/>
    <w:rsid w:val="2CE64163"/>
    <w:rsid w:val="2CE67865"/>
    <w:rsid w:val="2CE713CD"/>
    <w:rsid w:val="2CE81CFA"/>
    <w:rsid w:val="2CE83322"/>
    <w:rsid w:val="2CE848EE"/>
    <w:rsid w:val="2CE850D0"/>
    <w:rsid w:val="2CE92E06"/>
    <w:rsid w:val="2CE96451"/>
    <w:rsid w:val="2CEA0B09"/>
    <w:rsid w:val="2CEA1287"/>
    <w:rsid w:val="2CEA24F1"/>
    <w:rsid w:val="2CEA52EC"/>
    <w:rsid w:val="2CEA7029"/>
    <w:rsid w:val="2CEA709A"/>
    <w:rsid w:val="2CEB2E12"/>
    <w:rsid w:val="2CEB4BC0"/>
    <w:rsid w:val="2CEC08F9"/>
    <w:rsid w:val="2CEC3B72"/>
    <w:rsid w:val="2CEC5BAD"/>
    <w:rsid w:val="2CED0939"/>
    <w:rsid w:val="2CED15E9"/>
    <w:rsid w:val="2CED26E7"/>
    <w:rsid w:val="2CED6B8B"/>
    <w:rsid w:val="2CEE13F1"/>
    <w:rsid w:val="2CEE2CA8"/>
    <w:rsid w:val="2CEE645F"/>
    <w:rsid w:val="2CEF4508"/>
    <w:rsid w:val="2CEF46B1"/>
    <w:rsid w:val="2CF00429"/>
    <w:rsid w:val="2CF03080"/>
    <w:rsid w:val="2CF04558"/>
    <w:rsid w:val="2CF05A49"/>
    <w:rsid w:val="2CF0667B"/>
    <w:rsid w:val="2CF0707B"/>
    <w:rsid w:val="2CF170E1"/>
    <w:rsid w:val="2CF20571"/>
    <w:rsid w:val="2CF2192B"/>
    <w:rsid w:val="2CF2269B"/>
    <w:rsid w:val="2CF22EA0"/>
    <w:rsid w:val="2CF23C9D"/>
    <w:rsid w:val="2CF241A1"/>
    <w:rsid w:val="2CF26DCA"/>
    <w:rsid w:val="2CF27CFD"/>
    <w:rsid w:val="2CF33A75"/>
    <w:rsid w:val="2CF414A0"/>
    <w:rsid w:val="2CF47017"/>
    <w:rsid w:val="2CF47F19"/>
    <w:rsid w:val="2CF513FE"/>
    <w:rsid w:val="2CF531E4"/>
    <w:rsid w:val="2CF55A3F"/>
    <w:rsid w:val="2CF56090"/>
    <w:rsid w:val="2CF577ED"/>
    <w:rsid w:val="2CF62D5E"/>
    <w:rsid w:val="2CF64D2B"/>
    <w:rsid w:val="2CF717B7"/>
    <w:rsid w:val="2CF77A09"/>
    <w:rsid w:val="2CF9281E"/>
    <w:rsid w:val="2CF93477"/>
    <w:rsid w:val="2CF9447A"/>
    <w:rsid w:val="2CF949B7"/>
    <w:rsid w:val="2CF9552F"/>
    <w:rsid w:val="2CF968A4"/>
    <w:rsid w:val="2CF96C0D"/>
    <w:rsid w:val="2CF97322"/>
    <w:rsid w:val="2CFA7462"/>
    <w:rsid w:val="2CFB3472"/>
    <w:rsid w:val="2CFB44A5"/>
    <w:rsid w:val="2CFD1E6D"/>
    <w:rsid w:val="2CFD5684"/>
    <w:rsid w:val="2CFE0255"/>
    <w:rsid w:val="2CFE2545"/>
    <w:rsid w:val="2CFE4D17"/>
    <w:rsid w:val="2CFE66A2"/>
    <w:rsid w:val="2CFF066C"/>
    <w:rsid w:val="2CFF18FC"/>
    <w:rsid w:val="2CFF241A"/>
    <w:rsid w:val="2CFF4306"/>
    <w:rsid w:val="2D00276B"/>
    <w:rsid w:val="2D003103"/>
    <w:rsid w:val="2D0068BE"/>
    <w:rsid w:val="2D010AED"/>
    <w:rsid w:val="2D020F4E"/>
    <w:rsid w:val="2D0219A9"/>
    <w:rsid w:val="2D0223EB"/>
    <w:rsid w:val="2D0314F6"/>
    <w:rsid w:val="2D032C37"/>
    <w:rsid w:val="2D035FCE"/>
    <w:rsid w:val="2D0422C9"/>
    <w:rsid w:val="2D043141"/>
    <w:rsid w:val="2D0439A8"/>
    <w:rsid w:val="2D0440C7"/>
    <w:rsid w:val="2D0446E9"/>
    <w:rsid w:val="2D045C82"/>
    <w:rsid w:val="2D047A30"/>
    <w:rsid w:val="2D057509"/>
    <w:rsid w:val="2D0637A8"/>
    <w:rsid w:val="2D06419F"/>
    <w:rsid w:val="2D0647F5"/>
    <w:rsid w:val="2D06563C"/>
    <w:rsid w:val="2D067C4C"/>
    <w:rsid w:val="2D07221A"/>
    <w:rsid w:val="2D0839C4"/>
    <w:rsid w:val="2D084693"/>
    <w:rsid w:val="2D085772"/>
    <w:rsid w:val="2D0875C0"/>
    <w:rsid w:val="2D09149F"/>
    <w:rsid w:val="2D094A5B"/>
    <w:rsid w:val="2D094C2D"/>
    <w:rsid w:val="2D09555E"/>
    <w:rsid w:val="2D0A3299"/>
    <w:rsid w:val="2D0A5D83"/>
    <w:rsid w:val="2D0B03C2"/>
    <w:rsid w:val="2D0B13C9"/>
    <w:rsid w:val="2D0B2E58"/>
    <w:rsid w:val="2D0B3415"/>
    <w:rsid w:val="2D0B5263"/>
    <w:rsid w:val="2D0D0FDB"/>
    <w:rsid w:val="2D0D4B37"/>
    <w:rsid w:val="2D0E1A27"/>
    <w:rsid w:val="2D0E2302"/>
    <w:rsid w:val="2D0E7FFE"/>
    <w:rsid w:val="2D0F6B01"/>
    <w:rsid w:val="2D10523A"/>
    <w:rsid w:val="2D1063D5"/>
    <w:rsid w:val="2D114B79"/>
    <w:rsid w:val="2D115BDC"/>
    <w:rsid w:val="2D12039F"/>
    <w:rsid w:val="2D1265F1"/>
    <w:rsid w:val="2D1270F4"/>
    <w:rsid w:val="2D130FEA"/>
    <w:rsid w:val="2D135D5A"/>
    <w:rsid w:val="2D137EBB"/>
    <w:rsid w:val="2D142369"/>
    <w:rsid w:val="2D144117"/>
    <w:rsid w:val="2D145C47"/>
    <w:rsid w:val="2D145EC5"/>
    <w:rsid w:val="2D151620"/>
    <w:rsid w:val="2D152905"/>
    <w:rsid w:val="2D153171"/>
    <w:rsid w:val="2D161B61"/>
    <w:rsid w:val="2D171E59"/>
    <w:rsid w:val="2D172F9D"/>
    <w:rsid w:val="2D173C07"/>
    <w:rsid w:val="2D184635"/>
    <w:rsid w:val="2D184809"/>
    <w:rsid w:val="2D187032"/>
    <w:rsid w:val="2D187D17"/>
    <w:rsid w:val="2D187D88"/>
    <w:rsid w:val="2D1907EC"/>
    <w:rsid w:val="2D1908C0"/>
    <w:rsid w:val="2D19120C"/>
    <w:rsid w:val="2D19555C"/>
    <w:rsid w:val="2D197980"/>
    <w:rsid w:val="2D1A264B"/>
    <w:rsid w:val="2D1A7254"/>
    <w:rsid w:val="2D1A792A"/>
    <w:rsid w:val="2D1B54A6"/>
    <w:rsid w:val="2D1C121E"/>
    <w:rsid w:val="2D1C3854"/>
    <w:rsid w:val="2D1C4D7A"/>
    <w:rsid w:val="2D1D1A83"/>
    <w:rsid w:val="2D1D432F"/>
    <w:rsid w:val="2D1D4947"/>
    <w:rsid w:val="2D1E43FA"/>
    <w:rsid w:val="2D1E5790"/>
    <w:rsid w:val="2D1E783E"/>
    <w:rsid w:val="2D1F486A"/>
    <w:rsid w:val="2D20215E"/>
    <w:rsid w:val="2D2135EE"/>
    <w:rsid w:val="2D214A86"/>
    <w:rsid w:val="2D215EAE"/>
    <w:rsid w:val="2D2201F8"/>
    <w:rsid w:val="2D2307FE"/>
    <w:rsid w:val="2D232D71"/>
    <w:rsid w:val="2D23435A"/>
    <w:rsid w:val="2D236108"/>
    <w:rsid w:val="2D2366D7"/>
    <w:rsid w:val="2D237509"/>
    <w:rsid w:val="2D241E80"/>
    <w:rsid w:val="2D2457CB"/>
    <w:rsid w:val="2D2474E2"/>
    <w:rsid w:val="2D25037E"/>
    <w:rsid w:val="2D255AE3"/>
    <w:rsid w:val="2D256324"/>
    <w:rsid w:val="2D2712CD"/>
    <w:rsid w:val="2D272FE9"/>
    <w:rsid w:val="2D280574"/>
    <w:rsid w:val="2D281971"/>
    <w:rsid w:val="2D283187"/>
    <w:rsid w:val="2D287BC3"/>
    <w:rsid w:val="2D293210"/>
    <w:rsid w:val="2D297497"/>
    <w:rsid w:val="2D297E19"/>
    <w:rsid w:val="2D2A00D5"/>
    <w:rsid w:val="2D2A336C"/>
    <w:rsid w:val="2D2A7220"/>
    <w:rsid w:val="2D2A7F70"/>
    <w:rsid w:val="2D2B23D0"/>
    <w:rsid w:val="2D2B35EB"/>
    <w:rsid w:val="2D2B53E8"/>
    <w:rsid w:val="2D2C02D8"/>
    <w:rsid w:val="2D2C0456"/>
    <w:rsid w:val="2D2C0AFD"/>
    <w:rsid w:val="2D2D2502"/>
    <w:rsid w:val="2D2D51D9"/>
    <w:rsid w:val="2D2E15FA"/>
    <w:rsid w:val="2D2E1B69"/>
    <w:rsid w:val="2D2E5BF2"/>
    <w:rsid w:val="2D2F07C3"/>
    <w:rsid w:val="2D2F0F51"/>
    <w:rsid w:val="2D2F19F0"/>
    <w:rsid w:val="2D2F3F61"/>
    <w:rsid w:val="2D300512"/>
    <w:rsid w:val="2D300825"/>
    <w:rsid w:val="2D301C53"/>
    <w:rsid w:val="2D303125"/>
    <w:rsid w:val="2D310FEC"/>
    <w:rsid w:val="2D3130E3"/>
    <w:rsid w:val="2D3205F1"/>
    <w:rsid w:val="2D323E26"/>
    <w:rsid w:val="2D33476D"/>
    <w:rsid w:val="2D337521"/>
    <w:rsid w:val="2D343535"/>
    <w:rsid w:val="2D345998"/>
    <w:rsid w:val="2D350E34"/>
    <w:rsid w:val="2D3520B9"/>
    <w:rsid w:val="2D352EF4"/>
    <w:rsid w:val="2D35408E"/>
    <w:rsid w:val="2D3557D9"/>
    <w:rsid w:val="2D360531"/>
    <w:rsid w:val="2D3622E0"/>
    <w:rsid w:val="2D366FEA"/>
    <w:rsid w:val="2D371BB4"/>
    <w:rsid w:val="2D375814"/>
    <w:rsid w:val="2D376058"/>
    <w:rsid w:val="2D376263"/>
    <w:rsid w:val="2D391DD0"/>
    <w:rsid w:val="2D39210C"/>
    <w:rsid w:val="2D393B7E"/>
    <w:rsid w:val="2D39592C"/>
    <w:rsid w:val="2D3A2ADE"/>
    <w:rsid w:val="2D3A32FD"/>
    <w:rsid w:val="2D3B5B48"/>
    <w:rsid w:val="2D3B66FF"/>
    <w:rsid w:val="2D3C123C"/>
    <w:rsid w:val="2D3C366E"/>
    <w:rsid w:val="2D3C3EF9"/>
    <w:rsid w:val="2D3C71CA"/>
    <w:rsid w:val="2D3D165B"/>
    <w:rsid w:val="2D3D1686"/>
    <w:rsid w:val="2D3E0278"/>
    <w:rsid w:val="2D3E1194"/>
    <w:rsid w:val="2D3E2F42"/>
    <w:rsid w:val="2D3E4281"/>
    <w:rsid w:val="2D3F6D3F"/>
    <w:rsid w:val="2D3F78AC"/>
    <w:rsid w:val="2D40160D"/>
    <w:rsid w:val="2D401D7D"/>
    <w:rsid w:val="2D410C84"/>
    <w:rsid w:val="2D411497"/>
    <w:rsid w:val="2D412A32"/>
    <w:rsid w:val="2D414068"/>
    <w:rsid w:val="2D414149"/>
    <w:rsid w:val="2D415C05"/>
    <w:rsid w:val="2D4218F3"/>
    <w:rsid w:val="2D421D89"/>
    <w:rsid w:val="2D423D97"/>
    <w:rsid w:val="2D426ED6"/>
    <w:rsid w:val="2D430559"/>
    <w:rsid w:val="2D444802"/>
    <w:rsid w:val="2D446D89"/>
    <w:rsid w:val="2D450775"/>
    <w:rsid w:val="2D452523"/>
    <w:rsid w:val="2D460049"/>
    <w:rsid w:val="2D460845"/>
    <w:rsid w:val="2D46363B"/>
    <w:rsid w:val="2D465D16"/>
    <w:rsid w:val="2D4744ED"/>
    <w:rsid w:val="2D480265"/>
    <w:rsid w:val="2D483DC1"/>
    <w:rsid w:val="2D4906C5"/>
    <w:rsid w:val="2D493FE8"/>
    <w:rsid w:val="2D4A087D"/>
    <w:rsid w:val="2D4A7B39"/>
    <w:rsid w:val="2D4B565F"/>
    <w:rsid w:val="2D4C117B"/>
    <w:rsid w:val="2D4D13D7"/>
    <w:rsid w:val="2D4D4278"/>
    <w:rsid w:val="2D4D57F3"/>
    <w:rsid w:val="2D4E1D45"/>
    <w:rsid w:val="2D4E26E2"/>
    <w:rsid w:val="2D4E6A04"/>
    <w:rsid w:val="2D4F2A39"/>
    <w:rsid w:val="2D4F33A1"/>
    <w:rsid w:val="2D4F4E55"/>
    <w:rsid w:val="2D4F514F"/>
    <w:rsid w:val="2D4F666C"/>
    <w:rsid w:val="2D4F6E8E"/>
    <w:rsid w:val="2D5001D0"/>
    <w:rsid w:val="2D504A9A"/>
    <w:rsid w:val="2D5106E4"/>
    <w:rsid w:val="2D517119"/>
    <w:rsid w:val="2D52226A"/>
    <w:rsid w:val="2D52241C"/>
    <w:rsid w:val="2D5269EE"/>
    <w:rsid w:val="2D5279D2"/>
    <w:rsid w:val="2D53386D"/>
    <w:rsid w:val="2D534CC5"/>
    <w:rsid w:val="2D53620B"/>
    <w:rsid w:val="2D536CF3"/>
    <w:rsid w:val="2D544951"/>
    <w:rsid w:val="2D546C0A"/>
    <w:rsid w:val="2D55028C"/>
    <w:rsid w:val="2D551DBF"/>
    <w:rsid w:val="2D554297"/>
    <w:rsid w:val="2D555073"/>
    <w:rsid w:val="2D5575C8"/>
    <w:rsid w:val="2D561DEF"/>
    <w:rsid w:val="2D564730"/>
    <w:rsid w:val="2D5664DE"/>
    <w:rsid w:val="2D567ECF"/>
    <w:rsid w:val="2D5704A8"/>
    <w:rsid w:val="2D57575B"/>
    <w:rsid w:val="2D577AED"/>
    <w:rsid w:val="2D580122"/>
    <w:rsid w:val="2D582913"/>
    <w:rsid w:val="2D585F59"/>
    <w:rsid w:val="2D593A64"/>
    <w:rsid w:val="2D593B12"/>
    <w:rsid w:val="2D594220"/>
    <w:rsid w:val="2D595FCE"/>
    <w:rsid w:val="2D5B1D46"/>
    <w:rsid w:val="2D5B2C2F"/>
    <w:rsid w:val="2D5B377B"/>
    <w:rsid w:val="2D5B3CEB"/>
    <w:rsid w:val="2D5B633D"/>
    <w:rsid w:val="2D5B74B4"/>
    <w:rsid w:val="2D5B7F98"/>
    <w:rsid w:val="2D5C161A"/>
    <w:rsid w:val="2D5C262A"/>
    <w:rsid w:val="2D5C5ABE"/>
    <w:rsid w:val="2D5C786C"/>
    <w:rsid w:val="2D5C7FE7"/>
    <w:rsid w:val="2D5D572B"/>
    <w:rsid w:val="2D5E11CC"/>
    <w:rsid w:val="2D5E1836"/>
    <w:rsid w:val="2D5E35E4"/>
    <w:rsid w:val="2D5E3A69"/>
    <w:rsid w:val="2D5E4CD1"/>
    <w:rsid w:val="2D5E5392"/>
    <w:rsid w:val="2D5F7171"/>
    <w:rsid w:val="2D5F7F38"/>
    <w:rsid w:val="2D6055AE"/>
    <w:rsid w:val="2D60735C"/>
    <w:rsid w:val="2D616C31"/>
    <w:rsid w:val="2D61729A"/>
    <w:rsid w:val="2D621327"/>
    <w:rsid w:val="2D6218D4"/>
    <w:rsid w:val="2D6230D5"/>
    <w:rsid w:val="2D63077A"/>
    <w:rsid w:val="2D630962"/>
    <w:rsid w:val="2D6313BF"/>
    <w:rsid w:val="2D6329A9"/>
    <w:rsid w:val="2D63430B"/>
    <w:rsid w:val="2D63566A"/>
    <w:rsid w:val="2D642766"/>
    <w:rsid w:val="2D650892"/>
    <w:rsid w:val="2D657D1A"/>
    <w:rsid w:val="2D661805"/>
    <w:rsid w:val="2D662499"/>
    <w:rsid w:val="2D6716E7"/>
    <w:rsid w:val="2D67207E"/>
    <w:rsid w:val="2D68048A"/>
    <w:rsid w:val="2D680954"/>
    <w:rsid w:val="2D687213"/>
    <w:rsid w:val="2D6914A8"/>
    <w:rsid w:val="2D6A01DB"/>
    <w:rsid w:val="2D6A1F89"/>
    <w:rsid w:val="2D6A5AE4"/>
    <w:rsid w:val="2D6A6907"/>
    <w:rsid w:val="2D6B4704"/>
    <w:rsid w:val="2D6B7AAF"/>
    <w:rsid w:val="2D6B7DB9"/>
    <w:rsid w:val="2D6C00C7"/>
    <w:rsid w:val="2D6C6979"/>
    <w:rsid w:val="2D6D7CCB"/>
    <w:rsid w:val="2D6E5887"/>
    <w:rsid w:val="2D6E681E"/>
    <w:rsid w:val="2D6F134E"/>
    <w:rsid w:val="2D6F57F1"/>
    <w:rsid w:val="2D6F7207"/>
    <w:rsid w:val="2D6F75A0"/>
    <w:rsid w:val="2D70122D"/>
    <w:rsid w:val="2D710576"/>
    <w:rsid w:val="2D71156A"/>
    <w:rsid w:val="2D7146E0"/>
    <w:rsid w:val="2D722E96"/>
    <w:rsid w:val="2D727090"/>
    <w:rsid w:val="2D730B94"/>
    <w:rsid w:val="2D733E29"/>
    <w:rsid w:val="2D734326"/>
    <w:rsid w:val="2D73479B"/>
    <w:rsid w:val="2D7352E2"/>
    <w:rsid w:val="2D735853"/>
    <w:rsid w:val="2D736ADD"/>
    <w:rsid w:val="2D74105A"/>
    <w:rsid w:val="2D746964"/>
    <w:rsid w:val="2D7626DC"/>
    <w:rsid w:val="2D7746A6"/>
    <w:rsid w:val="2D776454"/>
    <w:rsid w:val="2D7828F8"/>
    <w:rsid w:val="2D79041E"/>
    <w:rsid w:val="2D7921CC"/>
    <w:rsid w:val="2D7A1FB9"/>
    <w:rsid w:val="2D7A2D69"/>
    <w:rsid w:val="2D7B23E8"/>
    <w:rsid w:val="2D7B4196"/>
    <w:rsid w:val="2D7B5F44"/>
    <w:rsid w:val="2D7B5F8A"/>
    <w:rsid w:val="2D7B7988"/>
    <w:rsid w:val="2D7C38D9"/>
    <w:rsid w:val="2D7C3A6A"/>
    <w:rsid w:val="2D7C4F56"/>
    <w:rsid w:val="2D7C5276"/>
    <w:rsid w:val="2D7D21F6"/>
    <w:rsid w:val="2D7D34C0"/>
    <w:rsid w:val="2D7D7F0E"/>
    <w:rsid w:val="2D7E126C"/>
    <w:rsid w:val="2D7E3D08"/>
    <w:rsid w:val="2D7E5A35"/>
    <w:rsid w:val="2D7E7A4A"/>
    <w:rsid w:val="2D7E7C2D"/>
    <w:rsid w:val="2D7F4033"/>
    <w:rsid w:val="2D8017AD"/>
    <w:rsid w:val="2D803388"/>
    <w:rsid w:val="2D80355B"/>
    <w:rsid w:val="2D805B53"/>
    <w:rsid w:val="2D811081"/>
    <w:rsid w:val="2D8127FC"/>
    <w:rsid w:val="2D8158B5"/>
    <w:rsid w:val="2D815C96"/>
    <w:rsid w:val="2D816D41"/>
    <w:rsid w:val="2D820FE9"/>
    <w:rsid w:val="2D822379"/>
    <w:rsid w:val="2D825525"/>
    <w:rsid w:val="2D83304B"/>
    <w:rsid w:val="2D833278"/>
    <w:rsid w:val="2D833F1D"/>
    <w:rsid w:val="2D834DF9"/>
    <w:rsid w:val="2D845A3D"/>
    <w:rsid w:val="2D8469EC"/>
    <w:rsid w:val="2D850B71"/>
    <w:rsid w:val="2D855BFA"/>
    <w:rsid w:val="2D8616D8"/>
    <w:rsid w:val="2D862080"/>
    <w:rsid w:val="2D8631C9"/>
    <w:rsid w:val="2D86353C"/>
    <w:rsid w:val="2D863EDD"/>
    <w:rsid w:val="2D864F8D"/>
    <w:rsid w:val="2D86773A"/>
    <w:rsid w:val="2D872B3B"/>
    <w:rsid w:val="2D8748E9"/>
    <w:rsid w:val="2D880661"/>
    <w:rsid w:val="2D882646"/>
    <w:rsid w:val="2D8929EF"/>
    <w:rsid w:val="2D8A262B"/>
    <w:rsid w:val="2D8A43D9"/>
    <w:rsid w:val="2D8A5724"/>
    <w:rsid w:val="2D8A6187"/>
    <w:rsid w:val="2D8A7415"/>
    <w:rsid w:val="2D8C3D9B"/>
    <w:rsid w:val="2D8C517E"/>
    <w:rsid w:val="2D8D0751"/>
    <w:rsid w:val="2D8D336E"/>
    <w:rsid w:val="2D8D3C57"/>
    <w:rsid w:val="2D8D3ECA"/>
    <w:rsid w:val="2D8D5C78"/>
    <w:rsid w:val="2D8D6A39"/>
    <w:rsid w:val="2D8D7A9E"/>
    <w:rsid w:val="2D8E3C58"/>
    <w:rsid w:val="2D8E6EE6"/>
    <w:rsid w:val="2D8E7DD6"/>
    <w:rsid w:val="2D8F2D24"/>
    <w:rsid w:val="2D8F69F6"/>
    <w:rsid w:val="2D8F7F54"/>
    <w:rsid w:val="2D9033B9"/>
    <w:rsid w:val="2D904096"/>
    <w:rsid w:val="2D915768"/>
    <w:rsid w:val="2D917516"/>
    <w:rsid w:val="2D92104D"/>
    <w:rsid w:val="2D9225EC"/>
    <w:rsid w:val="2D922713"/>
    <w:rsid w:val="2D9240F2"/>
    <w:rsid w:val="2D930F28"/>
    <w:rsid w:val="2D931C55"/>
    <w:rsid w:val="2D936065"/>
    <w:rsid w:val="2D937732"/>
    <w:rsid w:val="2D941B77"/>
    <w:rsid w:val="2D944C91"/>
    <w:rsid w:val="2D946E4F"/>
    <w:rsid w:val="2D954F62"/>
    <w:rsid w:val="2D960291"/>
    <w:rsid w:val="2D960FD0"/>
    <w:rsid w:val="2D962D7E"/>
    <w:rsid w:val="2D966C7F"/>
    <w:rsid w:val="2D9708A4"/>
    <w:rsid w:val="2D9778E5"/>
    <w:rsid w:val="2D983721"/>
    <w:rsid w:val="2D984D48"/>
    <w:rsid w:val="2D986AF6"/>
    <w:rsid w:val="2D987293"/>
    <w:rsid w:val="2D990AC0"/>
    <w:rsid w:val="2D9917E5"/>
    <w:rsid w:val="2D9A24F3"/>
    <w:rsid w:val="2D9A61E7"/>
    <w:rsid w:val="2D9A76D2"/>
    <w:rsid w:val="2D9B04A1"/>
    <w:rsid w:val="2D9B2143"/>
    <w:rsid w:val="2D9C0914"/>
    <w:rsid w:val="2D9C3532"/>
    <w:rsid w:val="2D9C4979"/>
    <w:rsid w:val="2D9C5EBB"/>
    <w:rsid w:val="2D9D19A2"/>
    <w:rsid w:val="2D9D235F"/>
    <w:rsid w:val="2D9D443C"/>
    <w:rsid w:val="2D9D7593"/>
    <w:rsid w:val="2D9E2AF1"/>
    <w:rsid w:val="2D9E56F5"/>
    <w:rsid w:val="2D9E691D"/>
    <w:rsid w:val="2D9F451E"/>
    <w:rsid w:val="2DA03343"/>
    <w:rsid w:val="2DA04568"/>
    <w:rsid w:val="2DA14E52"/>
    <w:rsid w:val="2DA16E1B"/>
    <w:rsid w:val="2DA17E79"/>
    <w:rsid w:val="2DA33201"/>
    <w:rsid w:val="2DA33405"/>
    <w:rsid w:val="2DA36B74"/>
    <w:rsid w:val="2DA46A29"/>
    <w:rsid w:val="2DA51213"/>
    <w:rsid w:val="2DA52FC1"/>
    <w:rsid w:val="2DA57465"/>
    <w:rsid w:val="2DA60AE7"/>
    <w:rsid w:val="2DA61215"/>
    <w:rsid w:val="2DA6158B"/>
    <w:rsid w:val="2DA73216"/>
    <w:rsid w:val="2DA74F8B"/>
    <w:rsid w:val="2DA76D39"/>
    <w:rsid w:val="2DA846A6"/>
    <w:rsid w:val="2DA86230"/>
    <w:rsid w:val="2DA90D03"/>
    <w:rsid w:val="2DA9252A"/>
    <w:rsid w:val="2DA97277"/>
    <w:rsid w:val="2DAA04EF"/>
    <w:rsid w:val="2DAA05D8"/>
    <w:rsid w:val="2DAA6FC6"/>
    <w:rsid w:val="2DAB5448"/>
    <w:rsid w:val="2DAC0A59"/>
    <w:rsid w:val="2DAC25A2"/>
    <w:rsid w:val="2DAD00C8"/>
    <w:rsid w:val="2DAD0BE7"/>
    <w:rsid w:val="2DAD75C4"/>
    <w:rsid w:val="2DAE0518"/>
    <w:rsid w:val="2DAE314A"/>
    <w:rsid w:val="2DAE49D0"/>
    <w:rsid w:val="2DAE4B5B"/>
    <w:rsid w:val="2DAE631A"/>
    <w:rsid w:val="2DAF0A9C"/>
    <w:rsid w:val="2DAF2092"/>
    <w:rsid w:val="2DAF5BEE"/>
    <w:rsid w:val="2DAF763F"/>
    <w:rsid w:val="2DB022E4"/>
    <w:rsid w:val="2DB04E02"/>
    <w:rsid w:val="2DB07F6E"/>
    <w:rsid w:val="2DB12AA6"/>
    <w:rsid w:val="2DB15A09"/>
    <w:rsid w:val="2DB15E0A"/>
    <w:rsid w:val="2DB20E1B"/>
    <w:rsid w:val="2DB2503C"/>
    <w:rsid w:val="2DB30329"/>
    <w:rsid w:val="2DB30A29"/>
    <w:rsid w:val="2DB31B82"/>
    <w:rsid w:val="2DB35176"/>
    <w:rsid w:val="2DB35593"/>
    <w:rsid w:val="2DB36962"/>
    <w:rsid w:val="2DB43204"/>
    <w:rsid w:val="2DB43E82"/>
    <w:rsid w:val="2DB476A8"/>
    <w:rsid w:val="2DB47F2D"/>
    <w:rsid w:val="2DB50944"/>
    <w:rsid w:val="2DB50DA8"/>
    <w:rsid w:val="2DB5581A"/>
    <w:rsid w:val="2DB56B1A"/>
    <w:rsid w:val="2DB57B9E"/>
    <w:rsid w:val="2DB651CE"/>
    <w:rsid w:val="2DB65C4D"/>
    <w:rsid w:val="2DB66CAA"/>
    <w:rsid w:val="2DB718BE"/>
    <w:rsid w:val="2DB737DC"/>
    <w:rsid w:val="2DB76354"/>
    <w:rsid w:val="2DB800CF"/>
    <w:rsid w:val="2DB80F46"/>
    <w:rsid w:val="2DB815CA"/>
    <w:rsid w:val="2DB84DA7"/>
    <w:rsid w:val="2DB9081B"/>
    <w:rsid w:val="2DB91319"/>
    <w:rsid w:val="2DB93270"/>
    <w:rsid w:val="2DB94CBF"/>
    <w:rsid w:val="2DB97449"/>
    <w:rsid w:val="2DBA01FC"/>
    <w:rsid w:val="2DBA2F11"/>
    <w:rsid w:val="2DBA2FCF"/>
    <w:rsid w:val="2DBA6572"/>
    <w:rsid w:val="2DBA6FA3"/>
    <w:rsid w:val="2DBB27E5"/>
    <w:rsid w:val="2DBB4593"/>
    <w:rsid w:val="2DBC11B6"/>
    <w:rsid w:val="2DBC56AA"/>
    <w:rsid w:val="2DBD1BF6"/>
    <w:rsid w:val="2DBD47AF"/>
    <w:rsid w:val="2DBD655D"/>
    <w:rsid w:val="2DBE22D5"/>
    <w:rsid w:val="2DBE389C"/>
    <w:rsid w:val="2DBE3D4A"/>
    <w:rsid w:val="2DBE4083"/>
    <w:rsid w:val="2DBE68CC"/>
    <w:rsid w:val="2DBF0527"/>
    <w:rsid w:val="2DBF28BF"/>
    <w:rsid w:val="2DBF3B60"/>
    <w:rsid w:val="2DC025F9"/>
    <w:rsid w:val="2DC06C7A"/>
    <w:rsid w:val="2DC0783C"/>
    <w:rsid w:val="2DC07DFB"/>
    <w:rsid w:val="2DC154FE"/>
    <w:rsid w:val="2DC22490"/>
    <w:rsid w:val="2DC23B73"/>
    <w:rsid w:val="2DC25921"/>
    <w:rsid w:val="2DC332BE"/>
    <w:rsid w:val="2DC34A84"/>
    <w:rsid w:val="2DC3747D"/>
    <w:rsid w:val="2DC41CF0"/>
    <w:rsid w:val="2DC45B3D"/>
    <w:rsid w:val="2DC45C38"/>
    <w:rsid w:val="2DC510ED"/>
    <w:rsid w:val="2DC53663"/>
    <w:rsid w:val="2DC542D1"/>
    <w:rsid w:val="2DC61B12"/>
    <w:rsid w:val="2DC627D6"/>
    <w:rsid w:val="2DC64E6D"/>
    <w:rsid w:val="2DC71C38"/>
    <w:rsid w:val="2DC72F38"/>
    <w:rsid w:val="2DC8205D"/>
    <w:rsid w:val="2DC84F02"/>
    <w:rsid w:val="2DC86CB0"/>
    <w:rsid w:val="2DC93154"/>
    <w:rsid w:val="2DCA1BE9"/>
    <w:rsid w:val="2DCA6ECC"/>
    <w:rsid w:val="2DCB4005"/>
    <w:rsid w:val="2DCB59DC"/>
    <w:rsid w:val="2DCB603A"/>
    <w:rsid w:val="2DCC0ED0"/>
    <w:rsid w:val="2DCC2C44"/>
    <w:rsid w:val="2DCC3E25"/>
    <w:rsid w:val="2DCC66EB"/>
    <w:rsid w:val="2DCD42C6"/>
    <w:rsid w:val="2DCE1287"/>
    <w:rsid w:val="2DCE63C1"/>
    <w:rsid w:val="2DCF0AE2"/>
    <w:rsid w:val="2DCF2108"/>
    <w:rsid w:val="2DCF44E2"/>
    <w:rsid w:val="2DCF4827"/>
    <w:rsid w:val="2DD02422"/>
    <w:rsid w:val="2DD07E67"/>
    <w:rsid w:val="2DD1025A"/>
    <w:rsid w:val="2DD227E3"/>
    <w:rsid w:val="2DD35D80"/>
    <w:rsid w:val="2DD37B2E"/>
    <w:rsid w:val="2DD37C8D"/>
    <w:rsid w:val="2DD40F62"/>
    <w:rsid w:val="2DD41AF8"/>
    <w:rsid w:val="2DD438A6"/>
    <w:rsid w:val="2DD54E04"/>
    <w:rsid w:val="2DD62DA7"/>
    <w:rsid w:val="2DD6761F"/>
    <w:rsid w:val="2DD75732"/>
    <w:rsid w:val="2DD83397"/>
    <w:rsid w:val="2DD85145"/>
    <w:rsid w:val="2DD85BC8"/>
    <w:rsid w:val="2DD86FC2"/>
    <w:rsid w:val="2DD92C6B"/>
    <w:rsid w:val="2DD9710F"/>
    <w:rsid w:val="2DDA099F"/>
    <w:rsid w:val="2DDA2B6C"/>
    <w:rsid w:val="2DDA6B1D"/>
    <w:rsid w:val="2DDA7AC8"/>
    <w:rsid w:val="2DDB368E"/>
    <w:rsid w:val="2DDB4C35"/>
    <w:rsid w:val="2DDC09C5"/>
    <w:rsid w:val="2DDC2106"/>
    <w:rsid w:val="2DDC63A8"/>
    <w:rsid w:val="2DDD09AD"/>
    <w:rsid w:val="2DDD275B"/>
    <w:rsid w:val="2DDD3E0B"/>
    <w:rsid w:val="2DDD6BFF"/>
    <w:rsid w:val="2DDE3972"/>
    <w:rsid w:val="2DDE4E78"/>
    <w:rsid w:val="2DDE64D3"/>
    <w:rsid w:val="2DDE7064"/>
    <w:rsid w:val="2DDE78D4"/>
    <w:rsid w:val="2DE0049D"/>
    <w:rsid w:val="2DE03F4E"/>
    <w:rsid w:val="2DE03FF9"/>
    <w:rsid w:val="2DE05D26"/>
    <w:rsid w:val="2DE23515"/>
    <w:rsid w:val="2DE24837"/>
    <w:rsid w:val="2DE27D71"/>
    <w:rsid w:val="2DE33244"/>
    <w:rsid w:val="2DE33AEA"/>
    <w:rsid w:val="2DE33CB0"/>
    <w:rsid w:val="2DE36300"/>
    <w:rsid w:val="2DE42F3F"/>
    <w:rsid w:val="2DE47157"/>
    <w:rsid w:val="2DE51610"/>
    <w:rsid w:val="2DE51C1A"/>
    <w:rsid w:val="2DE52D92"/>
    <w:rsid w:val="2DE53D06"/>
    <w:rsid w:val="2DE61A56"/>
    <w:rsid w:val="2DE637F8"/>
    <w:rsid w:val="2DE649A6"/>
    <w:rsid w:val="2DE723FC"/>
    <w:rsid w:val="2DE75388"/>
    <w:rsid w:val="2DE75AD8"/>
    <w:rsid w:val="2DE81100"/>
    <w:rsid w:val="2DE91C83"/>
    <w:rsid w:val="2DE955B3"/>
    <w:rsid w:val="2DE97352"/>
    <w:rsid w:val="2DE97410"/>
    <w:rsid w:val="2DEA30CA"/>
    <w:rsid w:val="2DEA4E78"/>
    <w:rsid w:val="2DEA5ACB"/>
    <w:rsid w:val="2DEA6083"/>
    <w:rsid w:val="2DEA6B5D"/>
    <w:rsid w:val="2DEB7CD1"/>
    <w:rsid w:val="2DEC0BF0"/>
    <w:rsid w:val="2DEC3B42"/>
    <w:rsid w:val="2DEC6E42"/>
    <w:rsid w:val="2DED7FE9"/>
    <w:rsid w:val="2DEE14D9"/>
    <w:rsid w:val="2DEE2494"/>
    <w:rsid w:val="2DEE2BBA"/>
    <w:rsid w:val="2DEE4968"/>
    <w:rsid w:val="2DEE53D0"/>
    <w:rsid w:val="2DEE59AB"/>
    <w:rsid w:val="2DEF54B4"/>
    <w:rsid w:val="2DF00367"/>
    <w:rsid w:val="2DF049D6"/>
    <w:rsid w:val="2DF055EB"/>
    <w:rsid w:val="2DF06932"/>
    <w:rsid w:val="2DF126AA"/>
    <w:rsid w:val="2DF14458"/>
    <w:rsid w:val="2DF15354"/>
    <w:rsid w:val="2DF16206"/>
    <w:rsid w:val="2DF2352F"/>
    <w:rsid w:val="2DF31F7F"/>
    <w:rsid w:val="2DF33D2D"/>
    <w:rsid w:val="2DF357BC"/>
    <w:rsid w:val="2DF36C4C"/>
    <w:rsid w:val="2DF4181D"/>
    <w:rsid w:val="2DF43E56"/>
    <w:rsid w:val="2DF47AA5"/>
    <w:rsid w:val="2DF53F49"/>
    <w:rsid w:val="2DF61A6F"/>
    <w:rsid w:val="2DF6381D"/>
    <w:rsid w:val="2DF638C1"/>
    <w:rsid w:val="2DF670CD"/>
    <w:rsid w:val="2DF67CC1"/>
    <w:rsid w:val="2DF8162E"/>
    <w:rsid w:val="2DF8236C"/>
    <w:rsid w:val="2DF83A39"/>
    <w:rsid w:val="2DF856F1"/>
    <w:rsid w:val="2DF9330D"/>
    <w:rsid w:val="2DFB1B31"/>
    <w:rsid w:val="2DFB52D7"/>
    <w:rsid w:val="2DFB7540"/>
    <w:rsid w:val="2DFC2274"/>
    <w:rsid w:val="2DFC7FAF"/>
    <w:rsid w:val="2DFD104F"/>
    <w:rsid w:val="2DFD2DFD"/>
    <w:rsid w:val="2DFD4BAB"/>
    <w:rsid w:val="2DFE11BB"/>
    <w:rsid w:val="2DFE2956"/>
    <w:rsid w:val="2DFE615B"/>
    <w:rsid w:val="2DFE6330"/>
    <w:rsid w:val="2DFE6398"/>
    <w:rsid w:val="2DFF3D5F"/>
    <w:rsid w:val="2E0028ED"/>
    <w:rsid w:val="2E00469C"/>
    <w:rsid w:val="2E007DC0"/>
    <w:rsid w:val="2E01462C"/>
    <w:rsid w:val="2E020414"/>
    <w:rsid w:val="2E0221C2"/>
    <w:rsid w:val="2E025A8D"/>
    <w:rsid w:val="2E033B70"/>
    <w:rsid w:val="2E033CAA"/>
    <w:rsid w:val="2E036203"/>
    <w:rsid w:val="2E037ED9"/>
    <w:rsid w:val="2E037F47"/>
    <w:rsid w:val="2E05093A"/>
    <w:rsid w:val="2E053A60"/>
    <w:rsid w:val="2E062905"/>
    <w:rsid w:val="2E070A5D"/>
    <w:rsid w:val="2E072EE4"/>
    <w:rsid w:val="2E073324"/>
    <w:rsid w:val="2E07467A"/>
    <w:rsid w:val="2E075A2A"/>
    <w:rsid w:val="2E075E26"/>
    <w:rsid w:val="2E076D3E"/>
    <w:rsid w:val="2E083F3B"/>
    <w:rsid w:val="2E084B22"/>
    <w:rsid w:val="2E084E66"/>
    <w:rsid w:val="2E087DFE"/>
    <w:rsid w:val="2E0917A2"/>
    <w:rsid w:val="2E093D60"/>
    <w:rsid w:val="2E093F97"/>
    <w:rsid w:val="2E094066"/>
    <w:rsid w:val="2E0979E2"/>
    <w:rsid w:val="2E097DCD"/>
    <w:rsid w:val="2E0A1689"/>
    <w:rsid w:val="2E0A72C8"/>
    <w:rsid w:val="2E0B3BF2"/>
    <w:rsid w:val="2E0C4DEE"/>
    <w:rsid w:val="2E0C7AA4"/>
    <w:rsid w:val="2E0D77F3"/>
    <w:rsid w:val="2E0E06C3"/>
    <w:rsid w:val="2E0E0B66"/>
    <w:rsid w:val="2E0E23C4"/>
    <w:rsid w:val="2E0E30CE"/>
    <w:rsid w:val="2E0E3992"/>
    <w:rsid w:val="2E0E500A"/>
    <w:rsid w:val="2E0F26F6"/>
    <w:rsid w:val="2E0F2B31"/>
    <w:rsid w:val="2E0F3D88"/>
    <w:rsid w:val="2E0F4F4F"/>
    <w:rsid w:val="2E0F6DD6"/>
    <w:rsid w:val="2E103BB0"/>
    <w:rsid w:val="2E1048DF"/>
    <w:rsid w:val="2E1078B5"/>
    <w:rsid w:val="2E107D90"/>
    <w:rsid w:val="2E1101B3"/>
    <w:rsid w:val="2E110657"/>
    <w:rsid w:val="2E112405"/>
    <w:rsid w:val="2E112C6E"/>
    <w:rsid w:val="2E113916"/>
    <w:rsid w:val="2E114AFB"/>
    <w:rsid w:val="2E1168A9"/>
    <w:rsid w:val="2E116D45"/>
    <w:rsid w:val="2E116E70"/>
    <w:rsid w:val="2E12144A"/>
    <w:rsid w:val="2E1238E3"/>
    <w:rsid w:val="2E132621"/>
    <w:rsid w:val="2E1343CF"/>
    <w:rsid w:val="2E136236"/>
    <w:rsid w:val="2E1476C6"/>
    <w:rsid w:val="2E150B3E"/>
    <w:rsid w:val="2E150D41"/>
    <w:rsid w:val="2E154711"/>
    <w:rsid w:val="2E156399"/>
    <w:rsid w:val="2E16157C"/>
    <w:rsid w:val="2E1624BC"/>
    <w:rsid w:val="2E163EBF"/>
    <w:rsid w:val="2E165C6D"/>
    <w:rsid w:val="2E166395"/>
    <w:rsid w:val="2E1819E5"/>
    <w:rsid w:val="2E183793"/>
    <w:rsid w:val="2E184038"/>
    <w:rsid w:val="2E187C37"/>
    <w:rsid w:val="2E1909AE"/>
    <w:rsid w:val="2E195310"/>
    <w:rsid w:val="2E1A39AF"/>
    <w:rsid w:val="2E1A4489"/>
    <w:rsid w:val="2E1A575D"/>
    <w:rsid w:val="2E1A798A"/>
    <w:rsid w:val="2E1B14D5"/>
    <w:rsid w:val="2E1B40C4"/>
    <w:rsid w:val="2E1B7727"/>
    <w:rsid w:val="2E1B7E40"/>
    <w:rsid w:val="2E1C5E58"/>
    <w:rsid w:val="2E1C6B3F"/>
    <w:rsid w:val="2E1D349F"/>
    <w:rsid w:val="2E1D524D"/>
    <w:rsid w:val="2E1D6FFC"/>
    <w:rsid w:val="2E1E0778"/>
    <w:rsid w:val="2E1E4B22"/>
    <w:rsid w:val="2E1E61BB"/>
    <w:rsid w:val="2E1F2D74"/>
    <w:rsid w:val="2E200339"/>
    <w:rsid w:val="2E20089A"/>
    <w:rsid w:val="2E202AB2"/>
    <w:rsid w:val="2E206D3B"/>
    <w:rsid w:val="2E207BF6"/>
    <w:rsid w:val="2E21083A"/>
    <w:rsid w:val="2E220AB6"/>
    <w:rsid w:val="2E224612"/>
    <w:rsid w:val="2E231DC4"/>
    <w:rsid w:val="2E232138"/>
    <w:rsid w:val="2E235D2B"/>
    <w:rsid w:val="2E242DBF"/>
    <w:rsid w:val="2E2435E1"/>
    <w:rsid w:val="2E2445D7"/>
    <w:rsid w:val="2E25370B"/>
    <w:rsid w:val="2E25446E"/>
    <w:rsid w:val="2E255EB0"/>
    <w:rsid w:val="2E26639C"/>
    <w:rsid w:val="2E272A68"/>
    <w:rsid w:val="2E277E7A"/>
    <w:rsid w:val="2E280E4F"/>
    <w:rsid w:val="2E2843FB"/>
    <w:rsid w:val="2E290AF1"/>
    <w:rsid w:val="2E291DB5"/>
    <w:rsid w:val="2E291E44"/>
    <w:rsid w:val="2E2959A0"/>
    <w:rsid w:val="2E2A1672"/>
    <w:rsid w:val="2E2B1242"/>
    <w:rsid w:val="2E2B660E"/>
    <w:rsid w:val="2E2B796A"/>
    <w:rsid w:val="2E2C36E3"/>
    <w:rsid w:val="2E2C5491"/>
    <w:rsid w:val="2E2C59DD"/>
    <w:rsid w:val="2E2E1209"/>
    <w:rsid w:val="2E2E15EB"/>
    <w:rsid w:val="2E2E1DEA"/>
    <w:rsid w:val="2E2E2ED2"/>
    <w:rsid w:val="2E2E2FB7"/>
    <w:rsid w:val="2E2E4EAC"/>
    <w:rsid w:val="2E2E745B"/>
    <w:rsid w:val="2E2F1618"/>
    <w:rsid w:val="2E2F3352"/>
    <w:rsid w:val="2E2F6D2F"/>
    <w:rsid w:val="2E310CF9"/>
    <w:rsid w:val="2E3153FE"/>
    <w:rsid w:val="2E315ACF"/>
    <w:rsid w:val="2E32007E"/>
    <w:rsid w:val="2E3217BF"/>
    <w:rsid w:val="2E32289E"/>
    <w:rsid w:val="2E3249AE"/>
    <w:rsid w:val="2E326ED2"/>
    <w:rsid w:val="2E3305CD"/>
    <w:rsid w:val="2E334A71"/>
    <w:rsid w:val="2E334F93"/>
    <w:rsid w:val="2E337FB7"/>
    <w:rsid w:val="2E344345"/>
    <w:rsid w:val="2E345428"/>
    <w:rsid w:val="2E34556F"/>
    <w:rsid w:val="2E345848"/>
    <w:rsid w:val="2E345DCC"/>
    <w:rsid w:val="2E3507E9"/>
    <w:rsid w:val="2E355A72"/>
    <w:rsid w:val="2E3600BD"/>
    <w:rsid w:val="2E3615D0"/>
    <w:rsid w:val="2E36630F"/>
    <w:rsid w:val="2E372A60"/>
    <w:rsid w:val="2E3737E1"/>
    <w:rsid w:val="2E374561"/>
    <w:rsid w:val="2E376F30"/>
    <w:rsid w:val="2E382087"/>
    <w:rsid w:val="2E38530E"/>
    <w:rsid w:val="2E386AC1"/>
    <w:rsid w:val="2E3879A0"/>
    <w:rsid w:val="2E393946"/>
    <w:rsid w:val="2E393E5C"/>
    <w:rsid w:val="2E395265"/>
    <w:rsid w:val="2E3A2AB6"/>
    <w:rsid w:val="2E3A2E51"/>
    <w:rsid w:val="2E3A7BAD"/>
    <w:rsid w:val="2E3B3926"/>
    <w:rsid w:val="2E3B4ECB"/>
    <w:rsid w:val="2E3B69BD"/>
    <w:rsid w:val="2E3D144C"/>
    <w:rsid w:val="2E3D31FA"/>
    <w:rsid w:val="2E3D68D2"/>
    <w:rsid w:val="2E3D7419"/>
    <w:rsid w:val="2E3D769E"/>
    <w:rsid w:val="2E3E2933"/>
    <w:rsid w:val="2E3F3416"/>
    <w:rsid w:val="2E3F71FC"/>
    <w:rsid w:val="2E400BD1"/>
    <w:rsid w:val="2E400F3C"/>
    <w:rsid w:val="2E401E61"/>
    <w:rsid w:val="2E402CEA"/>
    <w:rsid w:val="2E414309"/>
    <w:rsid w:val="2E4149DB"/>
    <w:rsid w:val="2E420528"/>
    <w:rsid w:val="2E422536"/>
    <w:rsid w:val="2E42480E"/>
    <w:rsid w:val="2E424CB4"/>
    <w:rsid w:val="2E424EA0"/>
    <w:rsid w:val="2E433BD4"/>
    <w:rsid w:val="2E435A3B"/>
    <w:rsid w:val="2E436034"/>
    <w:rsid w:val="2E436669"/>
    <w:rsid w:val="2E441187"/>
    <w:rsid w:val="2E441BA3"/>
    <w:rsid w:val="2E441BF1"/>
    <w:rsid w:val="2E444588"/>
    <w:rsid w:val="2E450300"/>
    <w:rsid w:val="2E45068D"/>
    <w:rsid w:val="2E454383"/>
    <w:rsid w:val="2E456552"/>
    <w:rsid w:val="2E4722CA"/>
    <w:rsid w:val="2E474078"/>
    <w:rsid w:val="2E482D4D"/>
    <w:rsid w:val="2E487E4B"/>
    <w:rsid w:val="2E493076"/>
    <w:rsid w:val="2E493679"/>
    <w:rsid w:val="2E496F33"/>
    <w:rsid w:val="2E497DF1"/>
    <w:rsid w:val="2E4A47E8"/>
    <w:rsid w:val="2E4A5917"/>
    <w:rsid w:val="2E4B1DBB"/>
    <w:rsid w:val="2E4B701D"/>
    <w:rsid w:val="2E4C78E1"/>
    <w:rsid w:val="2E4C7F5D"/>
    <w:rsid w:val="2E4D2DE1"/>
    <w:rsid w:val="2E4D693C"/>
    <w:rsid w:val="2E4E2BB0"/>
    <w:rsid w:val="2E4E3659"/>
    <w:rsid w:val="2E4E5407"/>
    <w:rsid w:val="2E4E7857"/>
    <w:rsid w:val="2E4F0D30"/>
    <w:rsid w:val="2E4F2F2D"/>
    <w:rsid w:val="2E4F3247"/>
    <w:rsid w:val="2E50117F"/>
    <w:rsid w:val="2E503607"/>
    <w:rsid w:val="2E511664"/>
    <w:rsid w:val="2E5120E1"/>
    <w:rsid w:val="2E513149"/>
    <w:rsid w:val="2E515C71"/>
    <w:rsid w:val="2E516CA5"/>
    <w:rsid w:val="2E522A4F"/>
    <w:rsid w:val="2E522C3D"/>
    <w:rsid w:val="2E522DE1"/>
    <w:rsid w:val="2E523F2D"/>
    <w:rsid w:val="2E530C6F"/>
    <w:rsid w:val="2E532A1D"/>
    <w:rsid w:val="2E5336C9"/>
    <w:rsid w:val="2E536EC1"/>
    <w:rsid w:val="2E537E0D"/>
    <w:rsid w:val="2E5444B9"/>
    <w:rsid w:val="2E54482A"/>
    <w:rsid w:val="2E544AA4"/>
    <w:rsid w:val="2E547C76"/>
    <w:rsid w:val="2E552C39"/>
    <w:rsid w:val="2E553966"/>
    <w:rsid w:val="2E5549E7"/>
    <w:rsid w:val="2E556795"/>
    <w:rsid w:val="2E56075F"/>
    <w:rsid w:val="2E56250D"/>
    <w:rsid w:val="2E572E1D"/>
    <w:rsid w:val="2E575575"/>
    <w:rsid w:val="2E580034"/>
    <w:rsid w:val="2E586286"/>
    <w:rsid w:val="2E592B3C"/>
    <w:rsid w:val="2E5A0250"/>
    <w:rsid w:val="2E5A5652"/>
    <w:rsid w:val="2E5A728A"/>
    <w:rsid w:val="2E5B64FD"/>
    <w:rsid w:val="2E5C29D6"/>
    <w:rsid w:val="2E5C3FC8"/>
    <w:rsid w:val="2E5C59BE"/>
    <w:rsid w:val="2E5C5D76"/>
    <w:rsid w:val="2E5D1833"/>
    <w:rsid w:val="2E5D389C"/>
    <w:rsid w:val="2E5D42F3"/>
    <w:rsid w:val="2E5D564A"/>
    <w:rsid w:val="2E5D5EBC"/>
    <w:rsid w:val="2E5E14F4"/>
    <w:rsid w:val="2E5E2E0A"/>
    <w:rsid w:val="2E5E5928"/>
    <w:rsid w:val="2E5F7614"/>
    <w:rsid w:val="2E60483D"/>
    <w:rsid w:val="2E610057"/>
    <w:rsid w:val="2E621535"/>
    <w:rsid w:val="2E621701"/>
    <w:rsid w:val="2E623557"/>
    <w:rsid w:val="2E6235F0"/>
    <w:rsid w:val="2E625356"/>
    <w:rsid w:val="2E627104"/>
    <w:rsid w:val="2E631D41"/>
    <w:rsid w:val="2E637CC8"/>
    <w:rsid w:val="2E642319"/>
    <w:rsid w:val="2E642E7C"/>
    <w:rsid w:val="2E644C2A"/>
    <w:rsid w:val="2E6469D8"/>
    <w:rsid w:val="2E652751"/>
    <w:rsid w:val="2E654CF1"/>
    <w:rsid w:val="2E6609A2"/>
    <w:rsid w:val="2E660C22"/>
    <w:rsid w:val="2E666BF4"/>
    <w:rsid w:val="2E667F96"/>
    <w:rsid w:val="2E67688C"/>
    <w:rsid w:val="2E67780F"/>
    <w:rsid w:val="2E68257C"/>
    <w:rsid w:val="2E6903FD"/>
    <w:rsid w:val="2E690493"/>
    <w:rsid w:val="2E69363B"/>
    <w:rsid w:val="2E693F69"/>
    <w:rsid w:val="2E693FEF"/>
    <w:rsid w:val="2E6949DD"/>
    <w:rsid w:val="2E6958EF"/>
    <w:rsid w:val="2E696DC4"/>
    <w:rsid w:val="2E69718E"/>
    <w:rsid w:val="2E6B6C27"/>
    <w:rsid w:val="2E6C0051"/>
    <w:rsid w:val="2E6C1D31"/>
    <w:rsid w:val="2E6C3ADF"/>
    <w:rsid w:val="2E6D1121"/>
    <w:rsid w:val="2E6D20B6"/>
    <w:rsid w:val="2E6D4270"/>
    <w:rsid w:val="2E6D4FC2"/>
    <w:rsid w:val="2E6D6E41"/>
    <w:rsid w:val="2E6D6E94"/>
    <w:rsid w:val="2E6D7F83"/>
    <w:rsid w:val="2E6E5AA9"/>
    <w:rsid w:val="2E6E64E3"/>
    <w:rsid w:val="2E6F1A47"/>
    <w:rsid w:val="2E6F2B9C"/>
    <w:rsid w:val="2E70537D"/>
    <w:rsid w:val="2E7149FC"/>
    <w:rsid w:val="2E715A32"/>
    <w:rsid w:val="2E7176BB"/>
    <w:rsid w:val="2E722323"/>
    <w:rsid w:val="2E725599"/>
    <w:rsid w:val="2E726C52"/>
    <w:rsid w:val="2E7300E2"/>
    <w:rsid w:val="2E731311"/>
    <w:rsid w:val="2E7330BF"/>
    <w:rsid w:val="2E735535"/>
    <w:rsid w:val="2E747914"/>
    <w:rsid w:val="2E747DA9"/>
    <w:rsid w:val="2E7559AA"/>
    <w:rsid w:val="2E757EEC"/>
    <w:rsid w:val="2E76495E"/>
    <w:rsid w:val="2E76670C"/>
    <w:rsid w:val="2E766A63"/>
    <w:rsid w:val="2E787A38"/>
    <w:rsid w:val="2E787D55"/>
    <w:rsid w:val="2E7926D4"/>
    <w:rsid w:val="2E792EF6"/>
    <w:rsid w:val="2E7943D0"/>
    <w:rsid w:val="2E795B53"/>
    <w:rsid w:val="2E7A0135"/>
    <w:rsid w:val="2E7A61FC"/>
    <w:rsid w:val="2E7B1F74"/>
    <w:rsid w:val="2E7B5950"/>
    <w:rsid w:val="2E7C01C6"/>
    <w:rsid w:val="2E7C5611"/>
    <w:rsid w:val="2E7D3D65"/>
    <w:rsid w:val="2E7D3F3E"/>
    <w:rsid w:val="2E7D4A05"/>
    <w:rsid w:val="2E7D7A9A"/>
    <w:rsid w:val="2E7E1D4D"/>
    <w:rsid w:val="2E7E490A"/>
    <w:rsid w:val="2E7E7DA5"/>
    <w:rsid w:val="2E7F1A64"/>
    <w:rsid w:val="2E7F5394"/>
    <w:rsid w:val="2E7F6685"/>
    <w:rsid w:val="2E800011"/>
    <w:rsid w:val="2E803EBE"/>
    <w:rsid w:val="2E811139"/>
    <w:rsid w:val="2E811E2F"/>
    <w:rsid w:val="2E812AC8"/>
    <w:rsid w:val="2E813A2E"/>
    <w:rsid w:val="2E813B76"/>
    <w:rsid w:val="2E81758A"/>
    <w:rsid w:val="2E817F40"/>
    <w:rsid w:val="2E821554"/>
    <w:rsid w:val="2E8226AB"/>
    <w:rsid w:val="2E823302"/>
    <w:rsid w:val="2E824B4A"/>
    <w:rsid w:val="2E8250B1"/>
    <w:rsid w:val="2E83434B"/>
    <w:rsid w:val="2E835643"/>
    <w:rsid w:val="2E836496"/>
    <w:rsid w:val="2E837D7E"/>
    <w:rsid w:val="2E841505"/>
    <w:rsid w:val="2E8424F7"/>
    <w:rsid w:val="2E8452CD"/>
    <w:rsid w:val="2E850E87"/>
    <w:rsid w:val="2E855788"/>
    <w:rsid w:val="2E8568AC"/>
    <w:rsid w:val="2E861045"/>
    <w:rsid w:val="2E86145D"/>
    <w:rsid w:val="2E864C5C"/>
    <w:rsid w:val="2E870919"/>
    <w:rsid w:val="2E8762A6"/>
    <w:rsid w:val="2E884DBD"/>
    <w:rsid w:val="2E887649"/>
    <w:rsid w:val="2E890FD8"/>
    <w:rsid w:val="2E8928E3"/>
    <w:rsid w:val="2E892F14"/>
    <w:rsid w:val="2E8974F1"/>
    <w:rsid w:val="2E8A6803"/>
    <w:rsid w:val="2E8B0409"/>
    <w:rsid w:val="2E8B24E9"/>
    <w:rsid w:val="2E8B4F22"/>
    <w:rsid w:val="2E8B65A6"/>
    <w:rsid w:val="2E8B6DBB"/>
    <w:rsid w:val="2E8B6E4B"/>
    <w:rsid w:val="2E8C4181"/>
    <w:rsid w:val="2E8C4208"/>
    <w:rsid w:val="2E8C621B"/>
    <w:rsid w:val="2E8F3FCF"/>
    <w:rsid w:val="2E9033D8"/>
    <w:rsid w:val="2E90511A"/>
    <w:rsid w:val="2E905557"/>
    <w:rsid w:val="2E9077CD"/>
    <w:rsid w:val="2E911F29"/>
    <w:rsid w:val="2E91351C"/>
    <w:rsid w:val="2E9160FE"/>
    <w:rsid w:val="2E921798"/>
    <w:rsid w:val="2E922510"/>
    <w:rsid w:val="2E9229E8"/>
    <w:rsid w:val="2E922BF7"/>
    <w:rsid w:val="2E9279E9"/>
    <w:rsid w:val="2E933758"/>
    <w:rsid w:val="2E933762"/>
    <w:rsid w:val="2E935510"/>
    <w:rsid w:val="2E941FEB"/>
    <w:rsid w:val="2E9508AA"/>
    <w:rsid w:val="2E952367"/>
    <w:rsid w:val="2E953036"/>
    <w:rsid w:val="2E953B7B"/>
    <w:rsid w:val="2E9574DA"/>
    <w:rsid w:val="2E9717A5"/>
    <w:rsid w:val="2E98096C"/>
    <w:rsid w:val="2E982B26"/>
    <w:rsid w:val="2E9848D4"/>
    <w:rsid w:val="2E997139"/>
    <w:rsid w:val="2E9A471C"/>
    <w:rsid w:val="2E9A4AF0"/>
    <w:rsid w:val="2E9A689E"/>
    <w:rsid w:val="2E9B1189"/>
    <w:rsid w:val="2E9B481B"/>
    <w:rsid w:val="2E9B5719"/>
    <w:rsid w:val="2E9B684A"/>
    <w:rsid w:val="2E9C2616"/>
    <w:rsid w:val="2E9C43C4"/>
    <w:rsid w:val="2E9D013C"/>
    <w:rsid w:val="2E9D1EEA"/>
    <w:rsid w:val="2E9D638E"/>
    <w:rsid w:val="2E9E1103"/>
    <w:rsid w:val="2E9F069E"/>
    <w:rsid w:val="2E9F4FB8"/>
    <w:rsid w:val="2EA01260"/>
    <w:rsid w:val="2EA05D34"/>
    <w:rsid w:val="2EA119DB"/>
    <w:rsid w:val="2EA1315F"/>
    <w:rsid w:val="2EA1540F"/>
    <w:rsid w:val="2EA15E7F"/>
    <w:rsid w:val="2EA17C2D"/>
    <w:rsid w:val="2EA20C7B"/>
    <w:rsid w:val="2EA23661"/>
    <w:rsid w:val="2EA2374F"/>
    <w:rsid w:val="2EA339A5"/>
    <w:rsid w:val="2EA33F23"/>
    <w:rsid w:val="2EA3631D"/>
    <w:rsid w:val="2EA374C6"/>
    <w:rsid w:val="2EA46F0F"/>
    <w:rsid w:val="2EA4738B"/>
    <w:rsid w:val="2EA4771D"/>
    <w:rsid w:val="2EA50100"/>
    <w:rsid w:val="2EA5039F"/>
    <w:rsid w:val="2EA52731"/>
    <w:rsid w:val="2EA54AA0"/>
    <w:rsid w:val="2EA654B6"/>
    <w:rsid w:val="2EA66AC8"/>
    <w:rsid w:val="2EA66FF1"/>
    <w:rsid w:val="2EA74B17"/>
    <w:rsid w:val="2EA75890"/>
    <w:rsid w:val="2EA8026D"/>
    <w:rsid w:val="2EA80FBB"/>
    <w:rsid w:val="2EA814A6"/>
    <w:rsid w:val="2EA8262A"/>
    <w:rsid w:val="2EA82C5F"/>
    <w:rsid w:val="2EA84D9A"/>
    <w:rsid w:val="2EA9423D"/>
    <w:rsid w:val="2EA96AE1"/>
    <w:rsid w:val="2EAA4211"/>
    <w:rsid w:val="2EAA699E"/>
    <w:rsid w:val="2EAA742B"/>
    <w:rsid w:val="2EAB0AAB"/>
    <w:rsid w:val="2EAB21A7"/>
    <w:rsid w:val="2EAB2859"/>
    <w:rsid w:val="2EAB56A1"/>
    <w:rsid w:val="2EAC037F"/>
    <w:rsid w:val="2EAC19A3"/>
    <w:rsid w:val="2EAD04E1"/>
    <w:rsid w:val="2EAD4823"/>
    <w:rsid w:val="2EAD65D1"/>
    <w:rsid w:val="2EAE2349"/>
    <w:rsid w:val="2EAE40F8"/>
    <w:rsid w:val="2EAE5763"/>
    <w:rsid w:val="2EAE5EA6"/>
    <w:rsid w:val="2EAE6C4B"/>
    <w:rsid w:val="2EAF7F4A"/>
    <w:rsid w:val="2EB00BCF"/>
    <w:rsid w:val="2EB01C1E"/>
    <w:rsid w:val="2EB02C39"/>
    <w:rsid w:val="2EB03460"/>
    <w:rsid w:val="2EB060C2"/>
    <w:rsid w:val="2EB15996"/>
    <w:rsid w:val="2EB174AF"/>
    <w:rsid w:val="2EB21E3A"/>
    <w:rsid w:val="2EB23BE8"/>
    <w:rsid w:val="2EB27B96"/>
    <w:rsid w:val="2EB27F0B"/>
    <w:rsid w:val="2EB30BCD"/>
    <w:rsid w:val="2EB342E0"/>
    <w:rsid w:val="2EB37F46"/>
    <w:rsid w:val="2EB45733"/>
    <w:rsid w:val="2EB45BB2"/>
    <w:rsid w:val="2EB51324"/>
    <w:rsid w:val="2EB52992"/>
    <w:rsid w:val="2EB5368F"/>
    <w:rsid w:val="2EB536D8"/>
    <w:rsid w:val="2EB54F87"/>
    <w:rsid w:val="2EB568C8"/>
    <w:rsid w:val="2EB57234"/>
    <w:rsid w:val="2EB60183"/>
    <w:rsid w:val="2EB621D8"/>
    <w:rsid w:val="2EB627B4"/>
    <w:rsid w:val="2EB75230"/>
    <w:rsid w:val="2EB765AE"/>
    <w:rsid w:val="2EB76CAF"/>
    <w:rsid w:val="2EB76F86"/>
    <w:rsid w:val="2EB93D94"/>
    <w:rsid w:val="2EB95545"/>
    <w:rsid w:val="2EBA0CEE"/>
    <w:rsid w:val="2EBB4DCB"/>
    <w:rsid w:val="2EBB4FE5"/>
    <w:rsid w:val="2EBB5736"/>
    <w:rsid w:val="2EBB75D9"/>
    <w:rsid w:val="2EBC05C2"/>
    <w:rsid w:val="2EBC4A66"/>
    <w:rsid w:val="2EBC4EF7"/>
    <w:rsid w:val="2EBC6626"/>
    <w:rsid w:val="2EBD396A"/>
    <w:rsid w:val="2EBD433B"/>
    <w:rsid w:val="2EBD5259"/>
    <w:rsid w:val="2EBD5CDA"/>
    <w:rsid w:val="2EBD7AEA"/>
    <w:rsid w:val="2EBE07DF"/>
    <w:rsid w:val="2EBE2687"/>
    <w:rsid w:val="2EBE26F9"/>
    <w:rsid w:val="2EBE5A61"/>
    <w:rsid w:val="2EBF6305"/>
    <w:rsid w:val="2EC102CF"/>
    <w:rsid w:val="2EC11008"/>
    <w:rsid w:val="2EC15BD9"/>
    <w:rsid w:val="2EC21951"/>
    <w:rsid w:val="2EC35DF5"/>
    <w:rsid w:val="2EC40EC2"/>
    <w:rsid w:val="2EC4391B"/>
    <w:rsid w:val="2EC471EF"/>
    <w:rsid w:val="2EC54550"/>
    <w:rsid w:val="2EC56DF4"/>
    <w:rsid w:val="2EC6211D"/>
    <w:rsid w:val="2EC64D30"/>
    <w:rsid w:val="2EC73150"/>
    <w:rsid w:val="2EC73739"/>
    <w:rsid w:val="2EC73AAB"/>
    <w:rsid w:val="2EC8340B"/>
    <w:rsid w:val="2EC851B9"/>
    <w:rsid w:val="2EC90F31"/>
    <w:rsid w:val="2EC92CDF"/>
    <w:rsid w:val="2ECB20BA"/>
    <w:rsid w:val="2ECB2EFB"/>
    <w:rsid w:val="2ECB4A56"/>
    <w:rsid w:val="2ECC5165"/>
    <w:rsid w:val="2ECD0201"/>
    <w:rsid w:val="2ECD6C74"/>
    <w:rsid w:val="2ECE11AD"/>
    <w:rsid w:val="2ECE443A"/>
    <w:rsid w:val="2ECE71D8"/>
    <w:rsid w:val="2ECF360C"/>
    <w:rsid w:val="2ECF36A3"/>
    <w:rsid w:val="2ED00512"/>
    <w:rsid w:val="2ED01383"/>
    <w:rsid w:val="2ED01539"/>
    <w:rsid w:val="2ED022C0"/>
    <w:rsid w:val="2ED0406E"/>
    <w:rsid w:val="2ED21F8D"/>
    <w:rsid w:val="2ED2428A"/>
    <w:rsid w:val="2ED26650"/>
    <w:rsid w:val="2ED27DE6"/>
    <w:rsid w:val="2ED316F4"/>
    <w:rsid w:val="2ED31DB0"/>
    <w:rsid w:val="2ED33B5E"/>
    <w:rsid w:val="2ED33EAD"/>
    <w:rsid w:val="2ED344F5"/>
    <w:rsid w:val="2ED3590C"/>
    <w:rsid w:val="2ED42E60"/>
    <w:rsid w:val="2ED44817"/>
    <w:rsid w:val="2ED532A5"/>
    <w:rsid w:val="2ED543E1"/>
    <w:rsid w:val="2ED708E9"/>
    <w:rsid w:val="2ED718A0"/>
    <w:rsid w:val="2ED7654D"/>
    <w:rsid w:val="2ED77BB1"/>
    <w:rsid w:val="2ED81174"/>
    <w:rsid w:val="2ED95618"/>
    <w:rsid w:val="2ED964C1"/>
    <w:rsid w:val="2ED973A9"/>
    <w:rsid w:val="2EDA313F"/>
    <w:rsid w:val="2EDA6197"/>
    <w:rsid w:val="2EDA686E"/>
    <w:rsid w:val="2EDB066A"/>
    <w:rsid w:val="2EDB5C51"/>
    <w:rsid w:val="2EDB7876"/>
    <w:rsid w:val="2EDC0C65"/>
    <w:rsid w:val="2EDD4D75"/>
    <w:rsid w:val="2EDD678B"/>
    <w:rsid w:val="2EDE3BA0"/>
    <w:rsid w:val="2EDE49DD"/>
    <w:rsid w:val="2EDE5A0F"/>
    <w:rsid w:val="2EDF0755"/>
    <w:rsid w:val="2EDF0A11"/>
    <w:rsid w:val="2EDF1EFD"/>
    <w:rsid w:val="2EDF69A7"/>
    <w:rsid w:val="2EE05391"/>
    <w:rsid w:val="2EE07D29"/>
    <w:rsid w:val="2EE10029"/>
    <w:rsid w:val="2EE144CD"/>
    <w:rsid w:val="2EE1627B"/>
    <w:rsid w:val="2EE20341"/>
    <w:rsid w:val="2EE23DA1"/>
    <w:rsid w:val="2EE32F12"/>
    <w:rsid w:val="2EE43FBD"/>
    <w:rsid w:val="2EE45D6B"/>
    <w:rsid w:val="2EE47B19"/>
    <w:rsid w:val="2EE50B13"/>
    <w:rsid w:val="2EE54BFF"/>
    <w:rsid w:val="2EE558BD"/>
    <w:rsid w:val="2EE62680"/>
    <w:rsid w:val="2EE63891"/>
    <w:rsid w:val="2EE6563F"/>
    <w:rsid w:val="2EE67D35"/>
    <w:rsid w:val="2EE72D23"/>
    <w:rsid w:val="2EE73237"/>
    <w:rsid w:val="2EE80BBB"/>
    <w:rsid w:val="2EE8368A"/>
    <w:rsid w:val="2EE84298"/>
    <w:rsid w:val="2EE8585B"/>
    <w:rsid w:val="2EE85B84"/>
    <w:rsid w:val="2EE93382"/>
    <w:rsid w:val="2EE93874"/>
    <w:rsid w:val="2EE95130"/>
    <w:rsid w:val="2EE965A0"/>
    <w:rsid w:val="2EEA3DBB"/>
    <w:rsid w:val="2EEB299A"/>
    <w:rsid w:val="2EEB534C"/>
    <w:rsid w:val="2EEC7797"/>
    <w:rsid w:val="2EED41C4"/>
    <w:rsid w:val="2EED4C20"/>
    <w:rsid w:val="2EED61FC"/>
    <w:rsid w:val="2EEE2746"/>
    <w:rsid w:val="2EEE59E3"/>
    <w:rsid w:val="2EEE79CC"/>
    <w:rsid w:val="2EF02029"/>
    <w:rsid w:val="2EF02962"/>
    <w:rsid w:val="2EF04A7B"/>
    <w:rsid w:val="2EF064BE"/>
    <w:rsid w:val="2EF10A6E"/>
    <w:rsid w:val="2EF1416A"/>
    <w:rsid w:val="2EF20488"/>
    <w:rsid w:val="2EF302CF"/>
    <w:rsid w:val="2EF312C6"/>
    <w:rsid w:val="2EF3220C"/>
    <w:rsid w:val="2EF3597A"/>
    <w:rsid w:val="2EF37D5C"/>
    <w:rsid w:val="2EF417D5"/>
    <w:rsid w:val="2EF51D26"/>
    <w:rsid w:val="2EF57F78"/>
    <w:rsid w:val="2EF65E01"/>
    <w:rsid w:val="2EF6731C"/>
    <w:rsid w:val="2EF7784D"/>
    <w:rsid w:val="2EF835C5"/>
    <w:rsid w:val="2EF912D9"/>
    <w:rsid w:val="2EF91817"/>
    <w:rsid w:val="2EF97A69"/>
    <w:rsid w:val="2EFA10EB"/>
    <w:rsid w:val="2EFA558F"/>
    <w:rsid w:val="2EFA591F"/>
    <w:rsid w:val="2EFC30B5"/>
    <w:rsid w:val="2EFC4E63"/>
    <w:rsid w:val="2EFD4C16"/>
    <w:rsid w:val="2EFD6C9E"/>
    <w:rsid w:val="2EFE0BDB"/>
    <w:rsid w:val="2EFF35B4"/>
    <w:rsid w:val="2EFF3B7B"/>
    <w:rsid w:val="2EFF4000"/>
    <w:rsid w:val="2EFF4953"/>
    <w:rsid w:val="2EFF592B"/>
    <w:rsid w:val="2EFF6701"/>
    <w:rsid w:val="2F000DF7"/>
    <w:rsid w:val="2F001F21"/>
    <w:rsid w:val="2F015871"/>
    <w:rsid w:val="2F015983"/>
    <w:rsid w:val="2F01649B"/>
    <w:rsid w:val="2F0201DA"/>
    <w:rsid w:val="2F0318E1"/>
    <w:rsid w:val="2F0324FC"/>
    <w:rsid w:val="2F034443"/>
    <w:rsid w:val="2F035222"/>
    <w:rsid w:val="2F0361F1"/>
    <w:rsid w:val="2F041F69"/>
    <w:rsid w:val="2F0509F9"/>
    <w:rsid w:val="2F05640D"/>
    <w:rsid w:val="2F063F34"/>
    <w:rsid w:val="2F065CE2"/>
    <w:rsid w:val="2F067A90"/>
    <w:rsid w:val="2F071BA9"/>
    <w:rsid w:val="2F0737F8"/>
    <w:rsid w:val="2F0747FF"/>
    <w:rsid w:val="2F0750AB"/>
    <w:rsid w:val="2F083808"/>
    <w:rsid w:val="2F0860B8"/>
    <w:rsid w:val="2F0863B8"/>
    <w:rsid w:val="2F097334"/>
    <w:rsid w:val="2F097580"/>
    <w:rsid w:val="2F0A3A24"/>
    <w:rsid w:val="2F0B03F1"/>
    <w:rsid w:val="2F0B154A"/>
    <w:rsid w:val="2F0B211E"/>
    <w:rsid w:val="2F0B5D06"/>
    <w:rsid w:val="2F0B779C"/>
    <w:rsid w:val="2F0C1B5B"/>
    <w:rsid w:val="2F0C35AE"/>
    <w:rsid w:val="2F0C7062"/>
    <w:rsid w:val="2F0D52C2"/>
    <w:rsid w:val="2F0E4B96"/>
    <w:rsid w:val="2F0F0938"/>
    <w:rsid w:val="2F0F0A9F"/>
    <w:rsid w:val="2F0F0E88"/>
    <w:rsid w:val="2F0F2DE8"/>
    <w:rsid w:val="2F0F4FD7"/>
    <w:rsid w:val="2F10084E"/>
    <w:rsid w:val="2F10090E"/>
    <w:rsid w:val="2F1009A8"/>
    <w:rsid w:val="2F104835"/>
    <w:rsid w:val="2F104DB2"/>
    <w:rsid w:val="2F111112"/>
    <w:rsid w:val="2F1126CD"/>
    <w:rsid w:val="2F124686"/>
    <w:rsid w:val="2F130D8B"/>
    <w:rsid w:val="2F131266"/>
    <w:rsid w:val="2F1321AD"/>
    <w:rsid w:val="2F133481"/>
    <w:rsid w:val="2F134480"/>
    <w:rsid w:val="2F146650"/>
    <w:rsid w:val="2F146FC1"/>
    <w:rsid w:val="2F154890"/>
    <w:rsid w:val="2F1568A5"/>
    <w:rsid w:val="2F1601E3"/>
    <w:rsid w:val="2F161D5E"/>
    <w:rsid w:val="2F1644DE"/>
    <w:rsid w:val="2F171C9D"/>
    <w:rsid w:val="2F176141"/>
    <w:rsid w:val="2F18148F"/>
    <w:rsid w:val="2F182A0B"/>
    <w:rsid w:val="2F184484"/>
    <w:rsid w:val="2F186C2F"/>
    <w:rsid w:val="2F1877C3"/>
    <w:rsid w:val="2F191307"/>
    <w:rsid w:val="2F194C4D"/>
    <w:rsid w:val="2F1A0095"/>
    <w:rsid w:val="2F1A178D"/>
    <w:rsid w:val="2F1A79DF"/>
    <w:rsid w:val="2F1B1C13"/>
    <w:rsid w:val="2F1C4D59"/>
    <w:rsid w:val="2F1C5505"/>
    <w:rsid w:val="2F1D6C97"/>
    <w:rsid w:val="2F1D70ED"/>
    <w:rsid w:val="2F1D7387"/>
    <w:rsid w:val="2F1E127D"/>
    <w:rsid w:val="2F1E38E0"/>
    <w:rsid w:val="2F1E3FF4"/>
    <w:rsid w:val="2F1F0594"/>
    <w:rsid w:val="2F1F0B51"/>
    <w:rsid w:val="2F1F267D"/>
    <w:rsid w:val="2F1F2AC6"/>
    <w:rsid w:val="2F1F48F6"/>
    <w:rsid w:val="2F2044A0"/>
    <w:rsid w:val="2F205D05"/>
    <w:rsid w:val="2F212B1B"/>
    <w:rsid w:val="2F2148C9"/>
    <w:rsid w:val="2F2151FD"/>
    <w:rsid w:val="2F2167B5"/>
    <w:rsid w:val="2F2257D4"/>
    <w:rsid w:val="2F225E22"/>
    <w:rsid w:val="2F232462"/>
    <w:rsid w:val="2F234AE5"/>
    <w:rsid w:val="2F2354FC"/>
    <w:rsid w:val="2F236EC3"/>
    <w:rsid w:val="2F240205"/>
    <w:rsid w:val="2F242165"/>
    <w:rsid w:val="2F24612C"/>
    <w:rsid w:val="2F25260C"/>
    <w:rsid w:val="2F260132"/>
    <w:rsid w:val="2F261EE0"/>
    <w:rsid w:val="2F262573"/>
    <w:rsid w:val="2F2657C2"/>
    <w:rsid w:val="2F266384"/>
    <w:rsid w:val="2F266D26"/>
    <w:rsid w:val="2F271480"/>
    <w:rsid w:val="2F27507A"/>
    <w:rsid w:val="2F2820FC"/>
    <w:rsid w:val="2F285C58"/>
    <w:rsid w:val="2F2918D7"/>
    <w:rsid w:val="2F2A0437"/>
    <w:rsid w:val="2F2A5E74"/>
    <w:rsid w:val="2F2B1BEC"/>
    <w:rsid w:val="2F2B5748"/>
    <w:rsid w:val="2F2B73C4"/>
    <w:rsid w:val="2F2B7C24"/>
    <w:rsid w:val="2F2C0BBF"/>
    <w:rsid w:val="2F2D1064"/>
    <w:rsid w:val="2F2D3EBD"/>
    <w:rsid w:val="2F2D46B4"/>
    <w:rsid w:val="2F2D7C17"/>
    <w:rsid w:val="2F2F3149"/>
    <w:rsid w:val="2F2F348A"/>
    <w:rsid w:val="2F2F518F"/>
    <w:rsid w:val="2F300FB0"/>
    <w:rsid w:val="2F302D5E"/>
    <w:rsid w:val="2F304154"/>
    <w:rsid w:val="2F311268"/>
    <w:rsid w:val="2F323655"/>
    <w:rsid w:val="2F324D29"/>
    <w:rsid w:val="2F326F0E"/>
    <w:rsid w:val="2F340201"/>
    <w:rsid w:val="2F340AA1"/>
    <w:rsid w:val="2F34132A"/>
    <w:rsid w:val="2F34284F"/>
    <w:rsid w:val="2F343679"/>
    <w:rsid w:val="2F3527BA"/>
    <w:rsid w:val="2F3565C7"/>
    <w:rsid w:val="2F3600C2"/>
    <w:rsid w:val="2F364819"/>
    <w:rsid w:val="2F3650DA"/>
    <w:rsid w:val="2F36681B"/>
    <w:rsid w:val="2F37233F"/>
    <w:rsid w:val="2F3740ED"/>
    <w:rsid w:val="2F374105"/>
    <w:rsid w:val="2F376531"/>
    <w:rsid w:val="2F38549F"/>
    <w:rsid w:val="2F3910DA"/>
    <w:rsid w:val="2F391C13"/>
    <w:rsid w:val="2F394ACA"/>
    <w:rsid w:val="2F395EA6"/>
    <w:rsid w:val="2F3960B7"/>
    <w:rsid w:val="2F3A15FF"/>
    <w:rsid w:val="2F3A3BDD"/>
    <w:rsid w:val="2F3A7B8C"/>
    <w:rsid w:val="2F3B1E2F"/>
    <w:rsid w:val="2F3B228A"/>
    <w:rsid w:val="2F3B7ABC"/>
    <w:rsid w:val="2F3C1703"/>
    <w:rsid w:val="2F3C308F"/>
    <w:rsid w:val="2F3C36CE"/>
    <w:rsid w:val="2F3C5BA7"/>
    <w:rsid w:val="2F3D2334"/>
    <w:rsid w:val="2F3D3B1D"/>
    <w:rsid w:val="2F3D7179"/>
    <w:rsid w:val="2F3E2E04"/>
    <w:rsid w:val="2F3E36CD"/>
    <w:rsid w:val="2F3E3A6B"/>
    <w:rsid w:val="2F3E4FAD"/>
    <w:rsid w:val="2F3E547B"/>
    <w:rsid w:val="2F3F132F"/>
    <w:rsid w:val="2F3F2FA2"/>
    <w:rsid w:val="2F3F4659"/>
    <w:rsid w:val="2F3F79A2"/>
    <w:rsid w:val="2F406212"/>
    <w:rsid w:val="2F407445"/>
    <w:rsid w:val="2F4119F3"/>
    <w:rsid w:val="2F4132D2"/>
    <w:rsid w:val="2F4147FC"/>
    <w:rsid w:val="2F416424"/>
    <w:rsid w:val="2F416D1A"/>
    <w:rsid w:val="2F420DF3"/>
    <w:rsid w:val="2F4231B5"/>
    <w:rsid w:val="2F424F98"/>
    <w:rsid w:val="2F430CE4"/>
    <w:rsid w:val="2F432A92"/>
    <w:rsid w:val="2F433DE5"/>
    <w:rsid w:val="2F436A23"/>
    <w:rsid w:val="2F437607"/>
    <w:rsid w:val="2F4405B8"/>
    <w:rsid w:val="2F445B04"/>
    <w:rsid w:val="2F450B6E"/>
    <w:rsid w:val="2F452CAE"/>
    <w:rsid w:val="2F454A5C"/>
    <w:rsid w:val="2F46159F"/>
    <w:rsid w:val="2F464330"/>
    <w:rsid w:val="2F47605F"/>
    <w:rsid w:val="2F4800A8"/>
    <w:rsid w:val="2F4874EF"/>
    <w:rsid w:val="2F493EBA"/>
    <w:rsid w:val="2F496000"/>
    <w:rsid w:val="2F4A2072"/>
    <w:rsid w:val="2F4A3E20"/>
    <w:rsid w:val="2F4A4835"/>
    <w:rsid w:val="2F4B0BC7"/>
    <w:rsid w:val="2F4B1946"/>
    <w:rsid w:val="2F4B1ED6"/>
    <w:rsid w:val="2F4B20C0"/>
    <w:rsid w:val="2F4B5DEA"/>
    <w:rsid w:val="2F4C0D7F"/>
    <w:rsid w:val="2F4C711F"/>
    <w:rsid w:val="2F4D1B62"/>
    <w:rsid w:val="2F4E56C3"/>
    <w:rsid w:val="2F4F1437"/>
    <w:rsid w:val="2F4F23A8"/>
    <w:rsid w:val="2F4F58DB"/>
    <w:rsid w:val="2F5027AB"/>
    <w:rsid w:val="2F511A25"/>
    <w:rsid w:val="2F513EAA"/>
    <w:rsid w:val="2F514D13"/>
    <w:rsid w:val="2F520B47"/>
    <w:rsid w:val="2F520F27"/>
    <w:rsid w:val="2F525275"/>
    <w:rsid w:val="2F527597"/>
    <w:rsid w:val="2F531033"/>
    <w:rsid w:val="2F531A25"/>
    <w:rsid w:val="2F5335CB"/>
    <w:rsid w:val="2F535D43"/>
    <w:rsid w:val="2F5443AB"/>
    <w:rsid w:val="2F544C9F"/>
    <w:rsid w:val="2F546A4D"/>
    <w:rsid w:val="2F546B5A"/>
    <w:rsid w:val="2F564BFC"/>
    <w:rsid w:val="2F566C69"/>
    <w:rsid w:val="2F5672E1"/>
    <w:rsid w:val="2F5702EB"/>
    <w:rsid w:val="2F5743B1"/>
    <w:rsid w:val="2F5801D5"/>
    <w:rsid w:val="2F590507"/>
    <w:rsid w:val="2F5909A8"/>
    <w:rsid w:val="2F591BB5"/>
    <w:rsid w:val="2F593FF3"/>
    <w:rsid w:val="2F5A6441"/>
    <w:rsid w:val="2F5B427F"/>
    <w:rsid w:val="2F5B44D5"/>
    <w:rsid w:val="2F5B602D"/>
    <w:rsid w:val="2F5B6DA4"/>
    <w:rsid w:val="2F5C1DA5"/>
    <w:rsid w:val="2F5C22BF"/>
    <w:rsid w:val="2F5C3B54"/>
    <w:rsid w:val="2F5C6DF5"/>
    <w:rsid w:val="2F5C739E"/>
    <w:rsid w:val="2F5C7FF7"/>
    <w:rsid w:val="2F5D5106"/>
    <w:rsid w:val="2F5D603A"/>
    <w:rsid w:val="2F5E0086"/>
    <w:rsid w:val="2F5E124F"/>
    <w:rsid w:val="2F5E167A"/>
    <w:rsid w:val="2F5E2A83"/>
    <w:rsid w:val="2F5E5B1E"/>
    <w:rsid w:val="2F5F53F2"/>
    <w:rsid w:val="2F600347"/>
    <w:rsid w:val="2F602003"/>
    <w:rsid w:val="2F604EEA"/>
    <w:rsid w:val="2F6101B9"/>
    <w:rsid w:val="2F61116A"/>
    <w:rsid w:val="2F613DE1"/>
    <w:rsid w:val="2F6173BC"/>
    <w:rsid w:val="2F62173F"/>
    <w:rsid w:val="2F62316D"/>
    <w:rsid w:val="2F62709C"/>
    <w:rsid w:val="2F633134"/>
    <w:rsid w:val="2F634EE2"/>
    <w:rsid w:val="2F6441A5"/>
    <w:rsid w:val="2F663062"/>
    <w:rsid w:val="2F6641B9"/>
    <w:rsid w:val="2F6649D2"/>
    <w:rsid w:val="2F672351"/>
    <w:rsid w:val="2F675649"/>
    <w:rsid w:val="2F682C4E"/>
    <w:rsid w:val="2F682F49"/>
    <w:rsid w:val="2F68699C"/>
    <w:rsid w:val="2F686C4D"/>
    <w:rsid w:val="2F6916AA"/>
    <w:rsid w:val="2F693437"/>
    <w:rsid w:val="2F6963D1"/>
    <w:rsid w:val="2F697244"/>
    <w:rsid w:val="2F6A001E"/>
    <w:rsid w:val="2F6A0CAC"/>
    <w:rsid w:val="2F6A13F9"/>
    <w:rsid w:val="2F6A7BFA"/>
    <w:rsid w:val="2F6B07FC"/>
    <w:rsid w:val="2F6B1FE9"/>
    <w:rsid w:val="2F6B21EC"/>
    <w:rsid w:val="2F6B563F"/>
    <w:rsid w:val="2F6B570B"/>
    <w:rsid w:val="2F6C023B"/>
    <w:rsid w:val="2F6C08FF"/>
    <w:rsid w:val="2F6C7195"/>
    <w:rsid w:val="2F6C79BF"/>
    <w:rsid w:val="2F6D03BB"/>
    <w:rsid w:val="2F6D5D61"/>
    <w:rsid w:val="2F6D7B0F"/>
    <w:rsid w:val="2F6E294B"/>
    <w:rsid w:val="2F6E59D0"/>
    <w:rsid w:val="2F6E6499"/>
    <w:rsid w:val="2F6F1AD9"/>
    <w:rsid w:val="2F6F3887"/>
    <w:rsid w:val="2F6F7D2B"/>
    <w:rsid w:val="2F700F68"/>
    <w:rsid w:val="2F7013AD"/>
    <w:rsid w:val="2F707A1E"/>
    <w:rsid w:val="2F710957"/>
    <w:rsid w:val="2F713AA3"/>
    <w:rsid w:val="2F714A05"/>
    <w:rsid w:val="2F715851"/>
    <w:rsid w:val="2F7160D7"/>
    <w:rsid w:val="2F7215C9"/>
    <w:rsid w:val="2F724D0A"/>
    <w:rsid w:val="2F730082"/>
    <w:rsid w:val="2F733AC1"/>
    <w:rsid w:val="2F743BED"/>
    <w:rsid w:val="2F745341"/>
    <w:rsid w:val="2F74690B"/>
    <w:rsid w:val="2F746B33"/>
    <w:rsid w:val="2F7539AC"/>
    <w:rsid w:val="2F7553E7"/>
    <w:rsid w:val="2F7558C0"/>
    <w:rsid w:val="2F762E67"/>
    <w:rsid w:val="2F762FE0"/>
    <w:rsid w:val="2F764308"/>
    <w:rsid w:val="2F77256D"/>
    <w:rsid w:val="2F77273B"/>
    <w:rsid w:val="2F783239"/>
    <w:rsid w:val="2F792957"/>
    <w:rsid w:val="2F79295A"/>
    <w:rsid w:val="2F7964B4"/>
    <w:rsid w:val="2F7B222C"/>
    <w:rsid w:val="2F7B66D0"/>
    <w:rsid w:val="2F7C0C55"/>
    <w:rsid w:val="2F7C473F"/>
    <w:rsid w:val="2F7C5FA4"/>
    <w:rsid w:val="2F7E0CFF"/>
    <w:rsid w:val="2F7E7F04"/>
    <w:rsid w:val="2F7F036D"/>
    <w:rsid w:val="2F7F241F"/>
    <w:rsid w:val="2F7F5222"/>
    <w:rsid w:val="2F800669"/>
    <w:rsid w:val="2F801723"/>
    <w:rsid w:val="2F803CD5"/>
    <w:rsid w:val="2F805A94"/>
    <w:rsid w:val="2F807842"/>
    <w:rsid w:val="2F8135BA"/>
    <w:rsid w:val="2F816579"/>
    <w:rsid w:val="2F830BF3"/>
    <w:rsid w:val="2F832755"/>
    <w:rsid w:val="2F8329CC"/>
    <w:rsid w:val="2F8337D6"/>
    <w:rsid w:val="2F8370DA"/>
    <w:rsid w:val="2F8371C0"/>
    <w:rsid w:val="2F837332"/>
    <w:rsid w:val="2F84126C"/>
    <w:rsid w:val="2F841A86"/>
    <w:rsid w:val="2F8428D7"/>
    <w:rsid w:val="2F8462B2"/>
    <w:rsid w:val="2F856001"/>
    <w:rsid w:val="2F860387"/>
    <w:rsid w:val="2F860BD2"/>
    <w:rsid w:val="2F880DEC"/>
    <w:rsid w:val="2F884949"/>
    <w:rsid w:val="2F88677C"/>
    <w:rsid w:val="2F890814"/>
    <w:rsid w:val="2F895641"/>
    <w:rsid w:val="2F895C9D"/>
    <w:rsid w:val="2F897553"/>
    <w:rsid w:val="2F8A6913"/>
    <w:rsid w:val="2F8A7728"/>
    <w:rsid w:val="2F8B1E73"/>
    <w:rsid w:val="2F8B3FC6"/>
    <w:rsid w:val="2F8B61E7"/>
    <w:rsid w:val="2F8C5ED4"/>
    <w:rsid w:val="2F8D1E6D"/>
    <w:rsid w:val="2F8D4DDC"/>
    <w:rsid w:val="2F8D6403"/>
    <w:rsid w:val="2F8E07F4"/>
    <w:rsid w:val="2F8E376A"/>
    <w:rsid w:val="2F8E53E7"/>
    <w:rsid w:val="2F8F041E"/>
    <w:rsid w:val="2F8F217B"/>
    <w:rsid w:val="2F8F7A65"/>
    <w:rsid w:val="2F902A13"/>
    <w:rsid w:val="2F903341"/>
    <w:rsid w:val="2F9037FD"/>
    <w:rsid w:val="2F90389B"/>
    <w:rsid w:val="2F906C7A"/>
    <w:rsid w:val="2F91110A"/>
    <w:rsid w:val="2F911DBC"/>
    <w:rsid w:val="2F9130C3"/>
    <w:rsid w:val="2F91498D"/>
    <w:rsid w:val="2F915651"/>
    <w:rsid w:val="2F9206E9"/>
    <w:rsid w:val="2F921CB4"/>
    <w:rsid w:val="2F923A19"/>
    <w:rsid w:val="2F923F29"/>
    <w:rsid w:val="2F9243E4"/>
    <w:rsid w:val="2F92553D"/>
    <w:rsid w:val="2F9257C7"/>
    <w:rsid w:val="2F9347C0"/>
    <w:rsid w:val="2F94153F"/>
    <w:rsid w:val="2F94321E"/>
    <w:rsid w:val="2F944261"/>
    <w:rsid w:val="2F94489F"/>
    <w:rsid w:val="2F950B15"/>
    <w:rsid w:val="2F950E14"/>
    <w:rsid w:val="2F953329"/>
    <w:rsid w:val="2F967065"/>
    <w:rsid w:val="2F971030"/>
    <w:rsid w:val="2F972DDE"/>
    <w:rsid w:val="2F972E04"/>
    <w:rsid w:val="2F972FE7"/>
    <w:rsid w:val="2F973F3B"/>
    <w:rsid w:val="2F9747F0"/>
    <w:rsid w:val="2F974B8C"/>
    <w:rsid w:val="2F977A79"/>
    <w:rsid w:val="2F984DBA"/>
    <w:rsid w:val="2F991EB7"/>
    <w:rsid w:val="2F994DA8"/>
    <w:rsid w:val="2F9A7ED6"/>
    <w:rsid w:val="2F9B1C3B"/>
    <w:rsid w:val="2F9B28BE"/>
    <w:rsid w:val="2F9B28CE"/>
    <w:rsid w:val="2F9B467C"/>
    <w:rsid w:val="2F9B512F"/>
    <w:rsid w:val="2F9B531A"/>
    <w:rsid w:val="2F9B6BBA"/>
    <w:rsid w:val="2F9C21A2"/>
    <w:rsid w:val="2F9C6646"/>
    <w:rsid w:val="2F9D4288"/>
    <w:rsid w:val="2F9D4CE4"/>
    <w:rsid w:val="2F9D5C1A"/>
    <w:rsid w:val="2F9E23BE"/>
    <w:rsid w:val="2F9E416C"/>
    <w:rsid w:val="2F9E5F1A"/>
    <w:rsid w:val="2F9E6EBB"/>
    <w:rsid w:val="2F9F017B"/>
    <w:rsid w:val="2F9F4747"/>
    <w:rsid w:val="2FA01DDE"/>
    <w:rsid w:val="2FA0290D"/>
    <w:rsid w:val="2FA06136"/>
    <w:rsid w:val="2FA12725"/>
    <w:rsid w:val="2FA1787C"/>
    <w:rsid w:val="2FA200FA"/>
    <w:rsid w:val="2FA2183B"/>
    <w:rsid w:val="2FA21EAE"/>
    <w:rsid w:val="2FA23C5C"/>
    <w:rsid w:val="2FA2734C"/>
    <w:rsid w:val="2FA31782"/>
    <w:rsid w:val="2FA35058"/>
    <w:rsid w:val="2FA42A1A"/>
    <w:rsid w:val="2FA42F24"/>
    <w:rsid w:val="2FA554FB"/>
    <w:rsid w:val="2FA572A9"/>
    <w:rsid w:val="2FA624B9"/>
    <w:rsid w:val="2FA63021"/>
    <w:rsid w:val="2FA63873"/>
    <w:rsid w:val="2FA7172F"/>
    <w:rsid w:val="2FA76AB4"/>
    <w:rsid w:val="2FA7723C"/>
    <w:rsid w:val="2FA774C5"/>
    <w:rsid w:val="2FA8323D"/>
    <w:rsid w:val="2FA8482C"/>
    <w:rsid w:val="2FA869C9"/>
    <w:rsid w:val="2FA86D99"/>
    <w:rsid w:val="2FA93205"/>
    <w:rsid w:val="2FAA3A28"/>
    <w:rsid w:val="2FAB145D"/>
    <w:rsid w:val="2FAB3251"/>
    <w:rsid w:val="2FAC3964"/>
    <w:rsid w:val="2FAC5F1A"/>
    <w:rsid w:val="2FAC7D81"/>
    <w:rsid w:val="2FAD0853"/>
    <w:rsid w:val="2FAD4EC0"/>
    <w:rsid w:val="2FAF1207"/>
    <w:rsid w:val="2FAF493E"/>
    <w:rsid w:val="2FAF6B4C"/>
    <w:rsid w:val="2FAF7B4B"/>
    <w:rsid w:val="2FB026FE"/>
    <w:rsid w:val="2FB02E6C"/>
    <w:rsid w:val="2FB03FCB"/>
    <w:rsid w:val="2FB04AF0"/>
    <w:rsid w:val="2FB10A68"/>
    <w:rsid w:val="2FB12B1B"/>
    <w:rsid w:val="2FB13E9F"/>
    <w:rsid w:val="2FB15C4D"/>
    <w:rsid w:val="2FB219C5"/>
    <w:rsid w:val="2FB22B40"/>
    <w:rsid w:val="2FB27C17"/>
    <w:rsid w:val="2FB308E2"/>
    <w:rsid w:val="2FB41BE1"/>
    <w:rsid w:val="2FB433D1"/>
    <w:rsid w:val="2FB46BA8"/>
    <w:rsid w:val="2FB55799"/>
    <w:rsid w:val="2FB614B6"/>
    <w:rsid w:val="2FB63264"/>
    <w:rsid w:val="2FB66570"/>
    <w:rsid w:val="2FB70D84"/>
    <w:rsid w:val="2FB7522E"/>
    <w:rsid w:val="2FB7670C"/>
    <w:rsid w:val="2FB76FDC"/>
    <w:rsid w:val="2FB77156"/>
    <w:rsid w:val="2FB77A00"/>
    <w:rsid w:val="2FB9108A"/>
    <w:rsid w:val="2FB95143"/>
    <w:rsid w:val="2FB971F8"/>
    <w:rsid w:val="2FB97322"/>
    <w:rsid w:val="2FBA708E"/>
    <w:rsid w:val="2FBB1041"/>
    <w:rsid w:val="2FBB34B6"/>
    <w:rsid w:val="2FBB4753"/>
    <w:rsid w:val="2FBB5DEF"/>
    <w:rsid w:val="2FBB6ACC"/>
    <w:rsid w:val="2FBB7811"/>
    <w:rsid w:val="2FBC0969"/>
    <w:rsid w:val="2FBC3FF5"/>
    <w:rsid w:val="2FBD1B8F"/>
    <w:rsid w:val="2FBD2DCF"/>
    <w:rsid w:val="2FBD4D02"/>
    <w:rsid w:val="2FBE3786"/>
    <w:rsid w:val="2FBE480E"/>
    <w:rsid w:val="2FBE65BC"/>
    <w:rsid w:val="2FBF7622"/>
    <w:rsid w:val="2FBF7A81"/>
    <w:rsid w:val="2FC00EDD"/>
    <w:rsid w:val="2FC01099"/>
    <w:rsid w:val="2FC040E2"/>
    <w:rsid w:val="2FC05A47"/>
    <w:rsid w:val="2FC11C09"/>
    <w:rsid w:val="2FC17E5A"/>
    <w:rsid w:val="2FC242FE"/>
    <w:rsid w:val="2FC276E4"/>
    <w:rsid w:val="2FC327FA"/>
    <w:rsid w:val="2FC33BD3"/>
    <w:rsid w:val="2FC411DA"/>
    <w:rsid w:val="2FC47F05"/>
    <w:rsid w:val="2FC554AA"/>
    <w:rsid w:val="2FC666DF"/>
    <w:rsid w:val="2FC70985"/>
    <w:rsid w:val="2FC71915"/>
    <w:rsid w:val="2FC736C3"/>
    <w:rsid w:val="2FC75471"/>
    <w:rsid w:val="2FC811E9"/>
    <w:rsid w:val="2FC82636"/>
    <w:rsid w:val="2FC82F97"/>
    <w:rsid w:val="2FC871FE"/>
    <w:rsid w:val="2FC8743B"/>
    <w:rsid w:val="2FC949E6"/>
    <w:rsid w:val="2FC9715B"/>
    <w:rsid w:val="2FCA3A18"/>
    <w:rsid w:val="2FCA3DB4"/>
    <w:rsid w:val="2FCA4F61"/>
    <w:rsid w:val="2FCB18CD"/>
    <w:rsid w:val="2FCC0FEE"/>
    <w:rsid w:val="2FCC5A99"/>
    <w:rsid w:val="2FCC5C90"/>
    <w:rsid w:val="2FCC6F2B"/>
    <w:rsid w:val="2FCE0BB1"/>
    <w:rsid w:val="2FCE5740"/>
    <w:rsid w:val="2FCE5C87"/>
    <w:rsid w:val="2FCE6E46"/>
    <w:rsid w:val="2FCE6F4A"/>
    <w:rsid w:val="2FCE6FF7"/>
    <w:rsid w:val="2FCF07C9"/>
    <w:rsid w:val="2FCF2577"/>
    <w:rsid w:val="2FCF4325"/>
    <w:rsid w:val="2FD01CE8"/>
    <w:rsid w:val="2FD02AB0"/>
    <w:rsid w:val="2FD03B33"/>
    <w:rsid w:val="2FD048BC"/>
    <w:rsid w:val="2FD065E6"/>
    <w:rsid w:val="2FD06DBD"/>
    <w:rsid w:val="2FD1009E"/>
    <w:rsid w:val="2FD261BC"/>
    <w:rsid w:val="2FD302BA"/>
    <w:rsid w:val="2FD30F63"/>
    <w:rsid w:val="2FD31004"/>
    <w:rsid w:val="2FD453BF"/>
    <w:rsid w:val="2FD508DF"/>
    <w:rsid w:val="2FD543D7"/>
    <w:rsid w:val="2FD628F4"/>
    <w:rsid w:val="2FD63906"/>
    <w:rsid w:val="2FD64419"/>
    <w:rsid w:val="2FD656B4"/>
    <w:rsid w:val="2FD67D46"/>
    <w:rsid w:val="2FD7073E"/>
    <w:rsid w:val="2FD765F4"/>
    <w:rsid w:val="2FD832CE"/>
    <w:rsid w:val="2FD858D0"/>
    <w:rsid w:val="2FD871F5"/>
    <w:rsid w:val="2FD91648"/>
    <w:rsid w:val="2FD94FA4"/>
    <w:rsid w:val="2FD9510C"/>
    <w:rsid w:val="2FD96870"/>
    <w:rsid w:val="2FDB0BD4"/>
    <w:rsid w:val="2FDB0F1C"/>
    <w:rsid w:val="2FDC2E5C"/>
    <w:rsid w:val="2FDC4E1E"/>
    <w:rsid w:val="2FDC6A42"/>
    <w:rsid w:val="2FDD2EE6"/>
    <w:rsid w:val="2FDD4C94"/>
    <w:rsid w:val="2FDD5843"/>
    <w:rsid w:val="2FDD6C14"/>
    <w:rsid w:val="2FDE0A0C"/>
    <w:rsid w:val="2FDE6505"/>
    <w:rsid w:val="2FDE6C5E"/>
    <w:rsid w:val="2FDF001D"/>
    <w:rsid w:val="2FDF1CE5"/>
    <w:rsid w:val="2FDF3E52"/>
    <w:rsid w:val="2FE01942"/>
    <w:rsid w:val="2FE029D7"/>
    <w:rsid w:val="2FE04785"/>
    <w:rsid w:val="2FE0712E"/>
    <w:rsid w:val="2FE1152C"/>
    <w:rsid w:val="2FE12C6D"/>
    <w:rsid w:val="2FE13CD3"/>
    <w:rsid w:val="2FE204FD"/>
    <w:rsid w:val="2FE222AB"/>
    <w:rsid w:val="2FE22CAA"/>
    <w:rsid w:val="2FE30682"/>
    <w:rsid w:val="2FE36023"/>
    <w:rsid w:val="2FE37DD1"/>
    <w:rsid w:val="2FE415EE"/>
    <w:rsid w:val="2FE41FC2"/>
    <w:rsid w:val="2FE42DDF"/>
    <w:rsid w:val="2FE473DF"/>
    <w:rsid w:val="2FE53B49"/>
    <w:rsid w:val="2FE56295"/>
    <w:rsid w:val="2FE60028"/>
    <w:rsid w:val="2FE60312"/>
    <w:rsid w:val="2FE64460"/>
    <w:rsid w:val="2FE6578C"/>
    <w:rsid w:val="2FE73D65"/>
    <w:rsid w:val="2FE83639"/>
    <w:rsid w:val="2FE8385C"/>
    <w:rsid w:val="2FE839E1"/>
    <w:rsid w:val="2FE84CC2"/>
    <w:rsid w:val="2FE853E7"/>
    <w:rsid w:val="2FE8680B"/>
    <w:rsid w:val="2FE8787E"/>
    <w:rsid w:val="2FE87BFB"/>
    <w:rsid w:val="2FE91111"/>
    <w:rsid w:val="2FE9188B"/>
    <w:rsid w:val="2FEA07D6"/>
    <w:rsid w:val="2FEA087F"/>
    <w:rsid w:val="2FEA115F"/>
    <w:rsid w:val="2FEA4AB0"/>
    <w:rsid w:val="2FEA5603"/>
    <w:rsid w:val="2FEA73B1"/>
    <w:rsid w:val="2FEB68F0"/>
    <w:rsid w:val="2FEC3129"/>
    <w:rsid w:val="2FEC58BD"/>
    <w:rsid w:val="2FEC68B9"/>
    <w:rsid w:val="2FEC7D80"/>
    <w:rsid w:val="2FED077B"/>
    <w:rsid w:val="2FED0C50"/>
    <w:rsid w:val="2FED29FE"/>
    <w:rsid w:val="2FED611D"/>
    <w:rsid w:val="2FEE0FE6"/>
    <w:rsid w:val="2FEE33B0"/>
    <w:rsid w:val="2FEE50F3"/>
    <w:rsid w:val="2FEE7B11"/>
    <w:rsid w:val="2FEF145B"/>
    <w:rsid w:val="2FEF2C1A"/>
    <w:rsid w:val="2FEF6701"/>
    <w:rsid w:val="2FEF6776"/>
    <w:rsid w:val="2FEF69BC"/>
    <w:rsid w:val="2FF03C3C"/>
    <w:rsid w:val="2FF04AEC"/>
    <w:rsid w:val="2FF11021"/>
    <w:rsid w:val="2FF124EE"/>
    <w:rsid w:val="2FF1320C"/>
    <w:rsid w:val="2FF16992"/>
    <w:rsid w:val="2FF23E5E"/>
    <w:rsid w:val="2FF24C30"/>
    <w:rsid w:val="2FF2567D"/>
    <w:rsid w:val="2FF26266"/>
    <w:rsid w:val="2FF3245E"/>
    <w:rsid w:val="2FF3270A"/>
    <w:rsid w:val="2FF32992"/>
    <w:rsid w:val="2FF355C0"/>
    <w:rsid w:val="2FF43D8C"/>
    <w:rsid w:val="2FF476CA"/>
    <w:rsid w:val="2FF50A86"/>
    <w:rsid w:val="2FF54FED"/>
    <w:rsid w:val="2FF56FD6"/>
    <w:rsid w:val="2FF57B99"/>
    <w:rsid w:val="2FF61A67"/>
    <w:rsid w:val="2FF63FA8"/>
    <w:rsid w:val="2FF7387C"/>
    <w:rsid w:val="2FF8112D"/>
    <w:rsid w:val="2FF81ACE"/>
    <w:rsid w:val="2FF91FEA"/>
    <w:rsid w:val="2FF95846"/>
    <w:rsid w:val="2FF975F4"/>
    <w:rsid w:val="2FFB27F3"/>
    <w:rsid w:val="2FFB336C"/>
    <w:rsid w:val="2FFB35CD"/>
    <w:rsid w:val="2FFB511A"/>
    <w:rsid w:val="2FFD70E5"/>
    <w:rsid w:val="2FFD7705"/>
    <w:rsid w:val="2FFD7CE8"/>
    <w:rsid w:val="2FFE103D"/>
    <w:rsid w:val="2FFF7A50"/>
    <w:rsid w:val="30003C42"/>
    <w:rsid w:val="30006F97"/>
    <w:rsid w:val="30021FA5"/>
    <w:rsid w:val="30024F9F"/>
    <w:rsid w:val="300258D5"/>
    <w:rsid w:val="300264A9"/>
    <w:rsid w:val="300316CB"/>
    <w:rsid w:val="30032221"/>
    <w:rsid w:val="30036006"/>
    <w:rsid w:val="30040F43"/>
    <w:rsid w:val="30043D2C"/>
    <w:rsid w:val="300466C5"/>
    <w:rsid w:val="30046F5B"/>
    <w:rsid w:val="30050926"/>
    <w:rsid w:val="30051EC4"/>
    <w:rsid w:val="3005243D"/>
    <w:rsid w:val="30053A1A"/>
    <w:rsid w:val="300541EB"/>
    <w:rsid w:val="30067AF1"/>
    <w:rsid w:val="30071D11"/>
    <w:rsid w:val="30075BF1"/>
    <w:rsid w:val="30077F63"/>
    <w:rsid w:val="30083F09"/>
    <w:rsid w:val="30087837"/>
    <w:rsid w:val="30091E78"/>
    <w:rsid w:val="300A428E"/>
    <w:rsid w:val="300A4DAC"/>
    <w:rsid w:val="300A6A35"/>
    <w:rsid w:val="300B0609"/>
    <w:rsid w:val="300B196B"/>
    <w:rsid w:val="300B58AE"/>
    <w:rsid w:val="300C07F9"/>
    <w:rsid w:val="300C5C28"/>
    <w:rsid w:val="300C7328"/>
    <w:rsid w:val="300D19BC"/>
    <w:rsid w:val="300D4E4E"/>
    <w:rsid w:val="300E12F2"/>
    <w:rsid w:val="300E1376"/>
    <w:rsid w:val="300E213C"/>
    <w:rsid w:val="300E30A0"/>
    <w:rsid w:val="300E3741"/>
    <w:rsid w:val="300E39C6"/>
    <w:rsid w:val="300F45A9"/>
    <w:rsid w:val="301022DE"/>
    <w:rsid w:val="3011282A"/>
    <w:rsid w:val="30112B90"/>
    <w:rsid w:val="30113625"/>
    <w:rsid w:val="3011493E"/>
    <w:rsid w:val="30114E20"/>
    <w:rsid w:val="301211E5"/>
    <w:rsid w:val="30122F2A"/>
    <w:rsid w:val="30124150"/>
    <w:rsid w:val="30130E0C"/>
    <w:rsid w:val="30131636"/>
    <w:rsid w:val="30136908"/>
    <w:rsid w:val="30137621"/>
    <w:rsid w:val="301442E4"/>
    <w:rsid w:val="30146F8B"/>
    <w:rsid w:val="30152356"/>
    <w:rsid w:val="301601A6"/>
    <w:rsid w:val="301611E7"/>
    <w:rsid w:val="30161F54"/>
    <w:rsid w:val="30164956"/>
    <w:rsid w:val="301654E2"/>
    <w:rsid w:val="301663F8"/>
    <w:rsid w:val="30171027"/>
    <w:rsid w:val="3018166B"/>
    <w:rsid w:val="30182785"/>
    <w:rsid w:val="30185CCC"/>
    <w:rsid w:val="30185F7A"/>
    <w:rsid w:val="301902EB"/>
    <w:rsid w:val="30191FAD"/>
    <w:rsid w:val="301967DF"/>
    <w:rsid w:val="301A4BA2"/>
    <w:rsid w:val="301A4F53"/>
    <w:rsid w:val="301A6566"/>
    <w:rsid w:val="301B3A0F"/>
    <w:rsid w:val="301B4AA7"/>
    <w:rsid w:val="301B756B"/>
    <w:rsid w:val="301C22D1"/>
    <w:rsid w:val="301C48FC"/>
    <w:rsid w:val="301D1535"/>
    <w:rsid w:val="301D177E"/>
    <w:rsid w:val="301D5D15"/>
    <w:rsid w:val="301E2565"/>
    <w:rsid w:val="301E3E6C"/>
    <w:rsid w:val="301E705B"/>
    <w:rsid w:val="301E73EE"/>
    <w:rsid w:val="301F4ACC"/>
    <w:rsid w:val="301F52AD"/>
    <w:rsid w:val="30201025"/>
    <w:rsid w:val="30202DD3"/>
    <w:rsid w:val="30204B81"/>
    <w:rsid w:val="302208F9"/>
    <w:rsid w:val="30224D9D"/>
    <w:rsid w:val="30225BFB"/>
    <w:rsid w:val="30227655"/>
    <w:rsid w:val="30240B15"/>
    <w:rsid w:val="302428C3"/>
    <w:rsid w:val="30244283"/>
    <w:rsid w:val="30246A80"/>
    <w:rsid w:val="30247567"/>
    <w:rsid w:val="302503E9"/>
    <w:rsid w:val="302503F6"/>
    <w:rsid w:val="3025495C"/>
    <w:rsid w:val="30255E32"/>
    <w:rsid w:val="3025663B"/>
    <w:rsid w:val="30261F51"/>
    <w:rsid w:val="302622C2"/>
    <w:rsid w:val="30266946"/>
    <w:rsid w:val="302724D1"/>
    <w:rsid w:val="30274161"/>
    <w:rsid w:val="30276672"/>
    <w:rsid w:val="3027758C"/>
    <w:rsid w:val="30286B25"/>
    <w:rsid w:val="30297D21"/>
    <w:rsid w:val="30297EDA"/>
    <w:rsid w:val="302A1EA4"/>
    <w:rsid w:val="302A371E"/>
    <w:rsid w:val="302A3C52"/>
    <w:rsid w:val="302A5A00"/>
    <w:rsid w:val="302A7D1D"/>
    <w:rsid w:val="302C4058"/>
    <w:rsid w:val="302C41CA"/>
    <w:rsid w:val="302D1EDF"/>
    <w:rsid w:val="302D7B32"/>
    <w:rsid w:val="302E2B6E"/>
    <w:rsid w:val="302E54F0"/>
    <w:rsid w:val="302E7FB3"/>
    <w:rsid w:val="302F1268"/>
    <w:rsid w:val="302F3016"/>
    <w:rsid w:val="302F3B93"/>
    <w:rsid w:val="302F43FD"/>
    <w:rsid w:val="30307212"/>
    <w:rsid w:val="303074BA"/>
    <w:rsid w:val="30314FE0"/>
    <w:rsid w:val="30316D8E"/>
    <w:rsid w:val="303213D3"/>
    <w:rsid w:val="30327C90"/>
    <w:rsid w:val="30330DD3"/>
    <w:rsid w:val="30330FFC"/>
    <w:rsid w:val="30332B06"/>
    <w:rsid w:val="30340BA6"/>
    <w:rsid w:val="3034687E"/>
    <w:rsid w:val="303544CA"/>
    <w:rsid w:val="30354A4A"/>
    <w:rsid w:val="30354AD0"/>
    <w:rsid w:val="3036076D"/>
    <w:rsid w:val="30360848"/>
    <w:rsid w:val="303625F7"/>
    <w:rsid w:val="3037191F"/>
    <w:rsid w:val="3038011D"/>
    <w:rsid w:val="30383FC7"/>
    <w:rsid w:val="303845C1"/>
    <w:rsid w:val="30384ACA"/>
    <w:rsid w:val="3038603A"/>
    <w:rsid w:val="30386BDF"/>
    <w:rsid w:val="30393C2C"/>
    <w:rsid w:val="30393E95"/>
    <w:rsid w:val="30395E5A"/>
    <w:rsid w:val="303A0B22"/>
    <w:rsid w:val="303A1918"/>
    <w:rsid w:val="303A20E7"/>
    <w:rsid w:val="303A52C1"/>
    <w:rsid w:val="303B0A63"/>
    <w:rsid w:val="303B19BB"/>
    <w:rsid w:val="303B5E5F"/>
    <w:rsid w:val="303C4D07"/>
    <w:rsid w:val="303D075C"/>
    <w:rsid w:val="303D1BD7"/>
    <w:rsid w:val="303D3985"/>
    <w:rsid w:val="303D5733"/>
    <w:rsid w:val="303E1027"/>
    <w:rsid w:val="303E14AB"/>
    <w:rsid w:val="303E6BAE"/>
    <w:rsid w:val="303F276E"/>
    <w:rsid w:val="303F698B"/>
    <w:rsid w:val="303F76FD"/>
    <w:rsid w:val="30400110"/>
    <w:rsid w:val="30403475"/>
    <w:rsid w:val="30405223"/>
    <w:rsid w:val="30417BB0"/>
    <w:rsid w:val="30422D49"/>
    <w:rsid w:val="304308C8"/>
    <w:rsid w:val="30433499"/>
    <w:rsid w:val="30434DAB"/>
    <w:rsid w:val="30437CE4"/>
    <w:rsid w:val="30442252"/>
    <w:rsid w:val="30444D13"/>
    <w:rsid w:val="30446915"/>
    <w:rsid w:val="304502E8"/>
    <w:rsid w:val="30450EC9"/>
    <w:rsid w:val="304545E8"/>
    <w:rsid w:val="304738A2"/>
    <w:rsid w:val="30481ABA"/>
    <w:rsid w:val="30487EF0"/>
    <w:rsid w:val="30495877"/>
    <w:rsid w:val="304A4118"/>
    <w:rsid w:val="304A7E50"/>
    <w:rsid w:val="304B0687"/>
    <w:rsid w:val="304B42F4"/>
    <w:rsid w:val="304B5A09"/>
    <w:rsid w:val="304B79C9"/>
    <w:rsid w:val="304C1E1A"/>
    <w:rsid w:val="304C544B"/>
    <w:rsid w:val="304D2759"/>
    <w:rsid w:val="304E3156"/>
    <w:rsid w:val="304E7940"/>
    <w:rsid w:val="304F36B8"/>
    <w:rsid w:val="304F6E45"/>
    <w:rsid w:val="3050190A"/>
    <w:rsid w:val="30502ECC"/>
    <w:rsid w:val="30512D18"/>
    <w:rsid w:val="30513AB6"/>
    <w:rsid w:val="30515682"/>
    <w:rsid w:val="30517430"/>
    <w:rsid w:val="30527354"/>
    <w:rsid w:val="30532F8E"/>
    <w:rsid w:val="30534F57"/>
    <w:rsid w:val="30542A7D"/>
    <w:rsid w:val="30550CCF"/>
    <w:rsid w:val="30552854"/>
    <w:rsid w:val="30556F21"/>
    <w:rsid w:val="30564A47"/>
    <w:rsid w:val="30566D3E"/>
    <w:rsid w:val="30571C89"/>
    <w:rsid w:val="30580BC9"/>
    <w:rsid w:val="3058256D"/>
    <w:rsid w:val="30583B66"/>
    <w:rsid w:val="305853C6"/>
    <w:rsid w:val="30585A18"/>
    <w:rsid w:val="30586A11"/>
    <w:rsid w:val="305934E7"/>
    <w:rsid w:val="30596F34"/>
    <w:rsid w:val="305A24F9"/>
    <w:rsid w:val="305A4537"/>
    <w:rsid w:val="305A4ADC"/>
    <w:rsid w:val="305A62E5"/>
    <w:rsid w:val="305B01E7"/>
    <w:rsid w:val="305B02AF"/>
    <w:rsid w:val="305B1855"/>
    <w:rsid w:val="305B205D"/>
    <w:rsid w:val="305C5701"/>
    <w:rsid w:val="305D1227"/>
    <w:rsid w:val="305D5DD5"/>
    <w:rsid w:val="305D6B15"/>
    <w:rsid w:val="305E7F1F"/>
    <w:rsid w:val="305F1B4D"/>
    <w:rsid w:val="305F3787"/>
    <w:rsid w:val="305F38FB"/>
    <w:rsid w:val="305F3D4C"/>
    <w:rsid w:val="305F7D9F"/>
    <w:rsid w:val="30601421"/>
    <w:rsid w:val="30601672"/>
    <w:rsid w:val="306058C5"/>
    <w:rsid w:val="30605A9E"/>
    <w:rsid w:val="30607673"/>
    <w:rsid w:val="3061276B"/>
    <w:rsid w:val="30615592"/>
    <w:rsid w:val="30616357"/>
    <w:rsid w:val="306233EC"/>
    <w:rsid w:val="306252E1"/>
    <w:rsid w:val="30625311"/>
    <w:rsid w:val="30626253"/>
    <w:rsid w:val="306338CD"/>
    <w:rsid w:val="3064020D"/>
    <w:rsid w:val="30640F12"/>
    <w:rsid w:val="306512C1"/>
    <w:rsid w:val="306528A6"/>
    <w:rsid w:val="30653C91"/>
    <w:rsid w:val="306553A3"/>
    <w:rsid w:val="30662EDC"/>
    <w:rsid w:val="3066326A"/>
    <w:rsid w:val="3066568F"/>
    <w:rsid w:val="306660A8"/>
    <w:rsid w:val="306719A5"/>
    <w:rsid w:val="306733DE"/>
    <w:rsid w:val="306737BB"/>
    <w:rsid w:val="3067445F"/>
    <w:rsid w:val="30676C54"/>
    <w:rsid w:val="3068609B"/>
    <w:rsid w:val="30690904"/>
    <w:rsid w:val="30695CE6"/>
    <w:rsid w:val="30696528"/>
    <w:rsid w:val="306A5A3E"/>
    <w:rsid w:val="306B3D3A"/>
    <w:rsid w:val="306B7271"/>
    <w:rsid w:val="306B7868"/>
    <w:rsid w:val="306B7990"/>
    <w:rsid w:val="306C6018"/>
    <w:rsid w:val="306D0456"/>
    <w:rsid w:val="306D1BF1"/>
    <w:rsid w:val="306D4FAB"/>
    <w:rsid w:val="306D645B"/>
    <w:rsid w:val="306E1D90"/>
    <w:rsid w:val="306E2069"/>
    <w:rsid w:val="306E3B3E"/>
    <w:rsid w:val="306F34BD"/>
    <w:rsid w:val="306F78B6"/>
    <w:rsid w:val="30703D5A"/>
    <w:rsid w:val="30705B08"/>
    <w:rsid w:val="307114CA"/>
    <w:rsid w:val="307134B9"/>
    <w:rsid w:val="3071362F"/>
    <w:rsid w:val="307139F2"/>
    <w:rsid w:val="307153DD"/>
    <w:rsid w:val="30715904"/>
    <w:rsid w:val="30717AD3"/>
    <w:rsid w:val="30731155"/>
    <w:rsid w:val="30734E92"/>
    <w:rsid w:val="307355F9"/>
    <w:rsid w:val="30735887"/>
    <w:rsid w:val="307373A7"/>
    <w:rsid w:val="307402F7"/>
    <w:rsid w:val="307422C7"/>
    <w:rsid w:val="3074433B"/>
    <w:rsid w:val="30744ECD"/>
    <w:rsid w:val="30751371"/>
    <w:rsid w:val="3075311F"/>
    <w:rsid w:val="307551E0"/>
    <w:rsid w:val="30756D88"/>
    <w:rsid w:val="307656CC"/>
    <w:rsid w:val="30766E97"/>
    <w:rsid w:val="30767841"/>
    <w:rsid w:val="307760C6"/>
    <w:rsid w:val="30782C0F"/>
    <w:rsid w:val="30791649"/>
    <w:rsid w:val="307A2038"/>
    <w:rsid w:val="307A24E3"/>
    <w:rsid w:val="307A6987"/>
    <w:rsid w:val="307B5D17"/>
    <w:rsid w:val="307B5F9A"/>
    <w:rsid w:val="307B625B"/>
    <w:rsid w:val="307B6561"/>
    <w:rsid w:val="307C050E"/>
    <w:rsid w:val="307C26FF"/>
    <w:rsid w:val="307C3CAC"/>
    <w:rsid w:val="307D28C4"/>
    <w:rsid w:val="307D4255"/>
    <w:rsid w:val="307D4279"/>
    <w:rsid w:val="307E7AB5"/>
    <w:rsid w:val="307F161F"/>
    <w:rsid w:val="307F20E7"/>
    <w:rsid w:val="307F3835"/>
    <w:rsid w:val="307F3F9D"/>
    <w:rsid w:val="307F5D4C"/>
    <w:rsid w:val="30800A2B"/>
    <w:rsid w:val="30803872"/>
    <w:rsid w:val="308144B3"/>
    <w:rsid w:val="3082085A"/>
    <w:rsid w:val="30823A8E"/>
    <w:rsid w:val="30825A31"/>
    <w:rsid w:val="30847806"/>
    <w:rsid w:val="30847877"/>
    <w:rsid w:val="30850E88"/>
    <w:rsid w:val="308570DA"/>
    <w:rsid w:val="308662BC"/>
    <w:rsid w:val="308710A4"/>
    <w:rsid w:val="30872E52"/>
    <w:rsid w:val="308736B2"/>
    <w:rsid w:val="30896BCA"/>
    <w:rsid w:val="308A4AF2"/>
    <w:rsid w:val="308B0B94"/>
    <w:rsid w:val="308B70BE"/>
    <w:rsid w:val="308C0468"/>
    <w:rsid w:val="308C3F97"/>
    <w:rsid w:val="308C5E61"/>
    <w:rsid w:val="308E098F"/>
    <w:rsid w:val="308E2433"/>
    <w:rsid w:val="308E5F8F"/>
    <w:rsid w:val="308F6ECF"/>
    <w:rsid w:val="308F73E4"/>
    <w:rsid w:val="30905E8E"/>
    <w:rsid w:val="309061AB"/>
    <w:rsid w:val="30912F30"/>
    <w:rsid w:val="30915A7F"/>
    <w:rsid w:val="30917D67"/>
    <w:rsid w:val="30922DFD"/>
    <w:rsid w:val="30923B9B"/>
    <w:rsid w:val="309262E8"/>
    <w:rsid w:val="309317F7"/>
    <w:rsid w:val="3093185E"/>
    <w:rsid w:val="309402F6"/>
    <w:rsid w:val="30940ED9"/>
    <w:rsid w:val="30946CE0"/>
    <w:rsid w:val="3095452D"/>
    <w:rsid w:val="3095556F"/>
    <w:rsid w:val="30956555"/>
    <w:rsid w:val="30957FD9"/>
    <w:rsid w:val="309612E7"/>
    <w:rsid w:val="30964F3A"/>
    <w:rsid w:val="30971598"/>
    <w:rsid w:val="30973731"/>
    <w:rsid w:val="30977539"/>
    <w:rsid w:val="309775A2"/>
    <w:rsid w:val="309802F4"/>
    <w:rsid w:val="30980BB2"/>
    <w:rsid w:val="30983679"/>
    <w:rsid w:val="3098505F"/>
    <w:rsid w:val="30986E0D"/>
    <w:rsid w:val="30990DE3"/>
    <w:rsid w:val="309A2B85"/>
    <w:rsid w:val="309A4933"/>
    <w:rsid w:val="309B06AC"/>
    <w:rsid w:val="309B555F"/>
    <w:rsid w:val="309B5A02"/>
    <w:rsid w:val="309B6BB3"/>
    <w:rsid w:val="309B6E9C"/>
    <w:rsid w:val="309B7CE9"/>
    <w:rsid w:val="309C68FD"/>
    <w:rsid w:val="309D5E04"/>
    <w:rsid w:val="309D61D2"/>
    <w:rsid w:val="309D6780"/>
    <w:rsid w:val="309E09BE"/>
    <w:rsid w:val="309E0EF3"/>
    <w:rsid w:val="309E21E4"/>
    <w:rsid w:val="309F1F4A"/>
    <w:rsid w:val="309F77D5"/>
    <w:rsid w:val="30A00EF3"/>
    <w:rsid w:val="30A05CC2"/>
    <w:rsid w:val="30A13F14"/>
    <w:rsid w:val="30A13F3A"/>
    <w:rsid w:val="30A21A3A"/>
    <w:rsid w:val="30A2413D"/>
    <w:rsid w:val="30A26083"/>
    <w:rsid w:val="30A27A0A"/>
    <w:rsid w:val="30A30DFF"/>
    <w:rsid w:val="30A331EB"/>
    <w:rsid w:val="30A371CE"/>
    <w:rsid w:val="30A4364B"/>
    <w:rsid w:val="30A43A04"/>
    <w:rsid w:val="30A51EEF"/>
    <w:rsid w:val="30A532D8"/>
    <w:rsid w:val="30A54AB3"/>
    <w:rsid w:val="30A6152A"/>
    <w:rsid w:val="30A65A46"/>
    <w:rsid w:val="30A664DD"/>
    <w:rsid w:val="30A84B2A"/>
    <w:rsid w:val="30A85C2E"/>
    <w:rsid w:val="30A8720D"/>
    <w:rsid w:val="30A9101A"/>
    <w:rsid w:val="30AA08EF"/>
    <w:rsid w:val="30AA269C"/>
    <w:rsid w:val="30AB0CE7"/>
    <w:rsid w:val="30AB1564"/>
    <w:rsid w:val="30AB2293"/>
    <w:rsid w:val="30AB4F67"/>
    <w:rsid w:val="30AC28B9"/>
    <w:rsid w:val="30AE378A"/>
    <w:rsid w:val="30AE3B83"/>
    <w:rsid w:val="30AE52F9"/>
    <w:rsid w:val="30AE62CD"/>
    <w:rsid w:val="30B012FC"/>
    <w:rsid w:val="30B0234A"/>
    <w:rsid w:val="30B023A9"/>
    <w:rsid w:val="30B04157"/>
    <w:rsid w:val="30B07949"/>
    <w:rsid w:val="30B10DD9"/>
    <w:rsid w:val="30B14D28"/>
    <w:rsid w:val="30B14F2A"/>
    <w:rsid w:val="30B325F0"/>
    <w:rsid w:val="30B32F2D"/>
    <w:rsid w:val="30B33AF5"/>
    <w:rsid w:val="30B33C47"/>
    <w:rsid w:val="30B359F5"/>
    <w:rsid w:val="30B501BD"/>
    <w:rsid w:val="30B51C78"/>
    <w:rsid w:val="30B547DC"/>
    <w:rsid w:val="30B55C11"/>
    <w:rsid w:val="30B6013E"/>
    <w:rsid w:val="30B71989"/>
    <w:rsid w:val="30B7350A"/>
    <w:rsid w:val="30B73737"/>
    <w:rsid w:val="30B763E8"/>
    <w:rsid w:val="30B80E70"/>
    <w:rsid w:val="30B8125D"/>
    <w:rsid w:val="30B8300C"/>
    <w:rsid w:val="30B845BF"/>
    <w:rsid w:val="30B874AF"/>
    <w:rsid w:val="30B87533"/>
    <w:rsid w:val="30B91CD4"/>
    <w:rsid w:val="30B92C52"/>
    <w:rsid w:val="30B93CEA"/>
    <w:rsid w:val="30B95B09"/>
    <w:rsid w:val="30BA481A"/>
    <w:rsid w:val="30BA5049"/>
    <w:rsid w:val="30BB2AFC"/>
    <w:rsid w:val="30BC0D4E"/>
    <w:rsid w:val="30BC53DB"/>
    <w:rsid w:val="30BD0622"/>
    <w:rsid w:val="30BD3507"/>
    <w:rsid w:val="30BD4AC6"/>
    <w:rsid w:val="30BD56DB"/>
    <w:rsid w:val="30BE6E3F"/>
    <w:rsid w:val="30BF083E"/>
    <w:rsid w:val="30BF7868"/>
    <w:rsid w:val="30BF7C2F"/>
    <w:rsid w:val="30C100A5"/>
    <w:rsid w:val="30C145B6"/>
    <w:rsid w:val="30C152C4"/>
    <w:rsid w:val="30C215C9"/>
    <w:rsid w:val="30C220DC"/>
    <w:rsid w:val="30C2251E"/>
    <w:rsid w:val="30C2324E"/>
    <w:rsid w:val="30C23E8A"/>
    <w:rsid w:val="30C3065D"/>
    <w:rsid w:val="30C31654"/>
    <w:rsid w:val="30C419B0"/>
    <w:rsid w:val="30C45E54"/>
    <w:rsid w:val="30C45E9F"/>
    <w:rsid w:val="30C4739D"/>
    <w:rsid w:val="30C51027"/>
    <w:rsid w:val="30C5179E"/>
    <w:rsid w:val="30C51824"/>
    <w:rsid w:val="30C5408B"/>
    <w:rsid w:val="30C60ADD"/>
    <w:rsid w:val="30C6270F"/>
    <w:rsid w:val="30C636C9"/>
    <w:rsid w:val="30C65C15"/>
    <w:rsid w:val="30C65FB0"/>
    <w:rsid w:val="30C711DB"/>
    <w:rsid w:val="30C776F3"/>
    <w:rsid w:val="30C80D0A"/>
    <w:rsid w:val="30C85BD0"/>
    <w:rsid w:val="30C916BD"/>
    <w:rsid w:val="30C9346B"/>
    <w:rsid w:val="30C96FC7"/>
    <w:rsid w:val="30CA30C1"/>
    <w:rsid w:val="30CA4B30"/>
    <w:rsid w:val="30CB0F91"/>
    <w:rsid w:val="30CB3AF3"/>
    <w:rsid w:val="30CB4551"/>
    <w:rsid w:val="30CC0066"/>
    <w:rsid w:val="30CC1529"/>
    <w:rsid w:val="30CC59E1"/>
    <w:rsid w:val="30CD0D3B"/>
    <w:rsid w:val="30CD0EB9"/>
    <w:rsid w:val="30CD2521"/>
    <w:rsid w:val="30CD2F5B"/>
    <w:rsid w:val="30CD408D"/>
    <w:rsid w:val="30CE0301"/>
    <w:rsid w:val="30CE10F3"/>
    <w:rsid w:val="30CE282F"/>
    <w:rsid w:val="30CF30A0"/>
    <w:rsid w:val="30CF5A25"/>
    <w:rsid w:val="30D02724"/>
    <w:rsid w:val="30D03DF8"/>
    <w:rsid w:val="30D065A7"/>
    <w:rsid w:val="30D07954"/>
    <w:rsid w:val="30D07BF5"/>
    <w:rsid w:val="30D1097F"/>
    <w:rsid w:val="30D13756"/>
    <w:rsid w:val="30D140CD"/>
    <w:rsid w:val="30D1421D"/>
    <w:rsid w:val="30D15E22"/>
    <w:rsid w:val="30D1774D"/>
    <w:rsid w:val="30D20675"/>
    <w:rsid w:val="30D21A4D"/>
    <w:rsid w:val="30D24BC0"/>
    <w:rsid w:val="30D254E5"/>
    <w:rsid w:val="30D32A99"/>
    <w:rsid w:val="30D36097"/>
    <w:rsid w:val="30D361CF"/>
    <w:rsid w:val="30D37E45"/>
    <w:rsid w:val="30D45236"/>
    <w:rsid w:val="30D45532"/>
    <w:rsid w:val="30D50081"/>
    <w:rsid w:val="30D56520"/>
    <w:rsid w:val="30D75B88"/>
    <w:rsid w:val="30D77936"/>
    <w:rsid w:val="30D836AE"/>
    <w:rsid w:val="30D84546"/>
    <w:rsid w:val="30D8545C"/>
    <w:rsid w:val="30D9131A"/>
    <w:rsid w:val="30D97FE5"/>
    <w:rsid w:val="30DA0E13"/>
    <w:rsid w:val="30DA4270"/>
    <w:rsid w:val="30DA550F"/>
    <w:rsid w:val="30DA5678"/>
    <w:rsid w:val="30DB2905"/>
    <w:rsid w:val="30DB3C98"/>
    <w:rsid w:val="30DB75D8"/>
    <w:rsid w:val="30DB7BA6"/>
    <w:rsid w:val="30DC13F0"/>
    <w:rsid w:val="30DC319E"/>
    <w:rsid w:val="30DC52C3"/>
    <w:rsid w:val="30DD0CC4"/>
    <w:rsid w:val="30DD29C5"/>
    <w:rsid w:val="30DE0915"/>
    <w:rsid w:val="30DE5A12"/>
    <w:rsid w:val="30DF2C8E"/>
    <w:rsid w:val="30DF4A3C"/>
    <w:rsid w:val="30DF587A"/>
    <w:rsid w:val="30DF67EA"/>
    <w:rsid w:val="30E0344C"/>
    <w:rsid w:val="30E052E7"/>
    <w:rsid w:val="30E07F39"/>
    <w:rsid w:val="30E16777"/>
    <w:rsid w:val="30E16A06"/>
    <w:rsid w:val="30E262DA"/>
    <w:rsid w:val="30E402A4"/>
    <w:rsid w:val="30E45BBF"/>
    <w:rsid w:val="30E54910"/>
    <w:rsid w:val="30E56E1D"/>
    <w:rsid w:val="30E62C46"/>
    <w:rsid w:val="30E63904"/>
    <w:rsid w:val="30E67B79"/>
    <w:rsid w:val="30E738F1"/>
    <w:rsid w:val="30E74C4B"/>
    <w:rsid w:val="30E81B43"/>
    <w:rsid w:val="30E82555"/>
    <w:rsid w:val="30E83977"/>
    <w:rsid w:val="30E94677"/>
    <w:rsid w:val="30E94D1A"/>
    <w:rsid w:val="30E97669"/>
    <w:rsid w:val="30EA6399"/>
    <w:rsid w:val="30EA7AEF"/>
    <w:rsid w:val="30EB1633"/>
    <w:rsid w:val="30EB23FA"/>
    <w:rsid w:val="30EB33E1"/>
    <w:rsid w:val="30EC5519"/>
    <w:rsid w:val="30ED2424"/>
    <w:rsid w:val="30ED2A56"/>
    <w:rsid w:val="30ED2BD7"/>
    <w:rsid w:val="30ED7B79"/>
    <w:rsid w:val="30ED7D6E"/>
    <w:rsid w:val="30EE1E74"/>
    <w:rsid w:val="30EE7CE8"/>
    <w:rsid w:val="30EF029F"/>
    <w:rsid w:val="30F0194C"/>
    <w:rsid w:val="30F027A5"/>
    <w:rsid w:val="30F06139"/>
    <w:rsid w:val="30F15647"/>
    <w:rsid w:val="30F202DF"/>
    <w:rsid w:val="30F22884"/>
    <w:rsid w:val="30F229C1"/>
    <w:rsid w:val="30F24841"/>
    <w:rsid w:val="30F355A2"/>
    <w:rsid w:val="30F40012"/>
    <w:rsid w:val="30F4121B"/>
    <w:rsid w:val="30F438B1"/>
    <w:rsid w:val="30F4734C"/>
    <w:rsid w:val="30F524B2"/>
    <w:rsid w:val="30F5600E"/>
    <w:rsid w:val="30F563A3"/>
    <w:rsid w:val="30F57DBC"/>
    <w:rsid w:val="30F60ACC"/>
    <w:rsid w:val="30F62400"/>
    <w:rsid w:val="30F63400"/>
    <w:rsid w:val="30F73B34"/>
    <w:rsid w:val="30F8356E"/>
    <w:rsid w:val="30F85AFE"/>
    <w:rsid w:val="30F878AC"/>
    <w:rsid w:val="30F91BDF"/>
    <w:rsid w:val="30F9378A"/>
    <w:rsid w:val="30F94855"/>
    <w:rsid w:val="30FA1876"/>
    <w:rsid w:val="30FA2B9B"/>
    <w:rsid w:val="30FA4B9B"/>
    <w:rsid w:val="30FA5E8E"/>
    <w:rsid w:val="30FA7AC8"/>
    <w:rsid w:val="30FB03CD"/>
    <w:rsid w:val="30FB2EEB"/>
    <w:rsid w:val="30FC114A"/>
    <w:rsid w:val="30FC1658"/>
    <w:rsid w:val="30FC55EE"/>
    <w:rsid w:val="30FC739C"/>
    <w:rsid w:val="30FC77D0"/>
    <w:rsid w:val="30FD4720"/>
    <w:rsid w:val="30FD480F"/>
    <w:rsid w:val="30FD6997"/>
    <w:rsid w:val="30FE0343"/>
    <w:rsid w:val="30FE5C9F"/>
    <w:rsid w:val="31001598"/>
    <w:rsid w:val="310103F1"/>
    <w:rsid w:val="31010E56"/>
    <w:rsid w:val="31011AC6"/>
    <w:rsid w:val="31012C04"/>
    <w:rsid w:val="310149B3"/>
    <w:rsid w:val="310224D9"/>
    <w:rsid w:val="31022BC0"/>
    <w:rsid w:val="310426F5"/>
    <w:rsid w:val="31042A05"/>
    <w:rsid w:val="31043397"/>
    <w:rsid w:val="310446E2"/>
    <w:rsid w:val="31053723"/>
    <w:rsid w:val="31054C99"/>
    <w:rsid w:val="310567B8"/>
    <w:rsid w:val="3106021B"/>
    <w:rsid w:val="31061789"/>
    <w:rsid w:val="310648E3"/>
    <w:rsid w:val="31065004"/>
    <w:rsid w:val="3106646D"/>
    <w:rsid w:val="31073125"/>
    <w:rsid w:val="31075051"/>
    <w:rsid w:val="31077AEF"/>
    <w:rsid w:val="310821E5"/>
    <w:rsid w:val="31083F93"/>
    <w:rsid w:val="31085D41"/>
    <w:rsid w:val="310860E0"/>
    <w:rsid w:val="31090EED"/>
    <w:rsid w:val="3109332D"/>
    <w:rsid w:val="310944F3"/>
    <w:rsid w:val="310A0147"/>
    <w:rsid w:val="310A0554"/>
    <w:rsid w:val="310A2D5E"/>
    <w:rsid w:val="310A4EAC"/>
    <w:rsid w:val="310A5760"/>
    <w:rsid w:val="310A7BE1"/>
    <w:rsid w:val="310B19E4"/>
    <w:rsid w:val="310B2EBC"/>
    <w:rsid w:val="310B4584"/>
    <w:rsid w:val="310B68DC"/>
    <w:rsid w:val="310B73C6"/>
    <w:rsid w:val="310B7B70"/>
    <w:rsid w:val="310C576F"/>
    <w:rsid w:val="310D15A9"/>
    <w:rsid w:val="310D7A87"/>
    <w:rsid w:val="310E10FF"/>
    <w:rsid w:val="310E4945"/>
    <w:rsid w:val="310E5321"/>
    <w:rsid w:val="310E6F3E"/>
    <w:rsid w:val="310E70CF"/>
    <w:rsid w:val="310F0CCC"/>
    <w:rsid w:val="310F488E"/>
    <w:rsid w:val="31112094"/>
    <w:rsid w:val="31113F41"/>
    <w:rsid w:val="31123F86"/>
    <w:rsid w:val="31124E12"/>
    <w:rsid w:val="31125B17"/>
    <w:rsid w:val="31130DDD"/>
    <w:rsid w:val="31133004"/>
    <w:rsid w:val="311335FB"/>
    <w:rsid w:val="31140B6F"/>
    <w:rsid w:val="31141606"/>
    <w:rsid w:val="3115220C"/>
    <w:rsid w:val="311522E2"/>
    <w:rsid w:val="31153C04"/>
    <w:rsid w:val="3115515C"/>
    <w:rsid w:val="311566B0"/>
    <w:rsid w:val="31166415"/>
    <w:rsid w:val="311741D6"/>
    <w:rsid w:val="31174B96"/>
    <w:rsid w:val="31184A16"/>
    <w:rsid w:val="311856DB"/>
    <w:rsid w:val="31190BC9"/>
    <w:rsid w:val="31196A18"/>
    <w:rsid w:val="311A2E3A"/>
    <w:rsid w:val="311A5A74"/>
    <w:rsid w:val="311B065C"/>
    <w:rsid w:val="311B7E73"/>
    <w:rsid w:val="311C17EC"/>
    <w:rsid w:val="311C359A"/>
    <w:rsid w:val="311C43B5"/>
    <w:rsid w:val="311C4F15"/>
    <w:rsid w:val="311C5EBE"/>
    <w:rsid w:val="311C7A3E"/>
    <w:rsid w:val="311D7312"/>
    <w:rsid w:val="311E2ED7"/>
    <w:rsid w:val="311E5564"/>
    <w:rsid w:val="311F12DD"/>
    <w:rsid w:val="311F281A"/>
    <w:rsid w:val="311F4983"/>
    <w:rsid w:val="311F7866"/>
    <w:rsid w:val="312003FA"/>
    <w:rsid w:val="31200DC9"/>
    <w:rsid w:val="312073E5"/>
    <w:rsid w:val="312124DE"/>
    <w:rsid w:val="31212FD2"/>
    <w:rsid w:val="31213292"/>
    <w:rsid w:val="312132A7"/>
    <w:rsid w:val="312211A0"/>
    <w:rsid w:val="312238C0"/>
    <w:rsid w:val="31227B38"/>
    <w:rsid w:val="31230DCD"/>
    <w:rsid w:val="31231CFF"/>
    <w:rsid w:val="31232B7B"/>
    <w:rsid w:val="3123652A"/>
    <w:rsid w:val="312406A1"/>
    <w:rsid w:val="312410FB"/>
    <w:rsid w:val="31244B45"/>
    <w:rsid w:val="31253A1B"/>
    <w:rsid w:val="3126266B"/>
    <w:rsid w:val="31265840"/>
    <w:rsid w:val="31277A7C"/>
    <w:rsid w:val="31283994"/>
    <w:rsid w:val="3129198A"/>
    <w:rsid w:val="31295CB7"/>
    <w:rsid w:val="312A197D"/>
    <w:rsid w:val="312A1DE7"/>
    <w:rsid w:val="312A215B"/>
    <w:rsid w:val="312B1A2F"/>
    <w:rsid w:val="312B4AB9"/>
    <w:rsid w:val="312B7C81"/>
    <w:rsid w:val="312B7D1F"/>
    <w:rsid w:val="312B7DBE"/>
    <w:rsid w:val="312C0D1D"/>
    <w:rsid w:val="312D1C4B"/>
    <w:rsid w:val="312D39F9"/>
    <w:rsid w:val="312D57A8"/>
    <w:rsid w:val="312E32CE"/>
    <w:rsid w:val="312E4A61"/>
    <w:rsid w:val="312E5CBF"/>
    <w:rsid w:val="312E7AB5"/>
    <w:rsid w:val="312F0E6B"/>
    <w:rsid w:val="312F6AE2"/>
    <w:rsid w:val="312F769E"/>
    <w:rsid w:val="312F7772"/>
    <w:rsid w:val="31307046"/>
    <w:rsid w:val="31311C6B"/>
    <w:rsid w:val="31312245"/>
    <w:rsid w:val="313124FD"/>
    <w:rsid w:val="31321010"/>
    <w:rsid w:val="31322DBE"/>
    <w:rsid w:val="31325BEE"/>
    <w:rsid w:val="313308E4"/>
    <w:rsid w:val="31337D03"/>
    <w:rsid w:val="31342FDA"/>
    <w:rsid w:val="31344D88"/>
    <w:rsid w:val="31347910"/>
    <w:rsid w:val="31350AB8"/>
    <w:rsid w:val="31353788"/>
    <w:rsid w:val="313660E1"/>
    <w:rsid w:val="313745C4"/>
    <w:rsid w:val="31374878"/>
    <w:rsid w:val="31375793"/>
    <w:rsid w:val="31376109"/>
    <w:rsid w:val="31377571"/>
    <w:rsid w:val="31381646"/>
    <w:rsid w:val="31382D15"/>
    <w:rsid w:val="3138414C"/>
    <w:rsid w:val="313872C0"/>
    <w:rsid w:val="313905F0"/>
    <w:rsid w:val="31390C89"/>
    <w:rsid w:val="3139227A"/>
    <w:rsid w:val="3139239E"/>
    <w:rsid w:val="313A0FFB"/>
    <w:rsid w:val="313A26E0"/>
    <w:rsid w:val="313A7EC4"/>
    <w:rsid w:val="313B332E"/>
    <w:rsid w:val="313B4368"/>
    <w:rsid w:val="313B4C03"/>
    <w:rsid w:val="313C0812"/>
    <w:rsid w:val="313C3C3D"/>
    <w:rsid w:val="313C7AD4"/>
    <w:rsid w:val="313E1763"/>
    <w:rsid w:val="313E7F40"/>
    <w:rsid w:val="313F171F"/>
    <w:rsid w:val="313F372D"/>
    <w:rsid w:val="313F54DB"/>
    <w:rsid w:val="313F5CC0"/>
    <w:rsid w:val="314007C3"/>
    <w:rsid w:val="31400913"/>
    <w:rsid w:val="31403E41"/>
    <w:rsid w:val="31405FDF"/>
    <w:rsid w:val="314060A9"/>
    <w:rsid w:val="31411AB3"/>
    <w:rsid w:val="31413001"/>
    <w:rsid w:val="314174A5"/>
    <w:rsid w:val="31427A09"/>
    <w:rsid w:val="3143699F"/>
    <w:rsid w:val="31440D43"/>
    <w:rsid w:val="314455AC"/>
    <w:rsid w:val="31450434"/>
    <w:rsid w:val="31453005"/>
    <w:rsid w:val="314534FD"/>
    <w:rsid w:val="31456C2F"/>
    <w:rsid w:val="31456F95"/>
    <w:rsid w:val="314609C3"/>
    <w:rsid w:val="31460B41"/>
    <w:rsid w:val="314614CD"/>
    <w:rsid w:val="31466869"/>
    <w:rsid w:val="3146721C"/>
    <w:rsid w:val="31473779"/>
    <w:rsid w:val="314804F6"/>
    <w:rsid w:val="314825E1"/>
    <w:rsid w:val="31482884"/>
    <w:rsid w:val="31483588"/>
    <w:rsid w:val="3148438F"/>
    <w:rsid w:val="314863D5"/>
    <w:rsid w:val="31490108"/>
    <w:rsid w:val="31496359"/>
    <w:rsid w:val="314A45AB"/>
    <w:rsid w:val="314B5736"/>
    <w:rsid w:val="314D19A6"/>
    <w:rsid w:val="314D409C"/>
    <w:rsid w:val="314D7BF8"/>
    <w:rsid w:val="314E2C27"/>
    <w:rsid w:val="314E571E"/>
    <w:rsid w:val="314E773E"/>
    <w:rsid w:val="314F2349"/>
    <w:rsid w:val="31500118"/>
    <w:rsid w:val="31501496"/>
    <w:rsid w:val="31517599"/>
    <w:rsid w:val="31520050"/>
    <w:rsid w:val="31532D34"/>
    <w:rsid w:val="315511C9"/>
    <w:rsid w:val="315578E9"/>
    <w:rsid w:val="31557E7B"/>
    <w:rsid w:val="315619EE"/>
    <w:rsid w:val="31561C2D"/>
    <w:rsid w:val="31562BE6"/>
    <w:rsid w:val="3156773F"/>
    <w:rsid w:val="31570A76"/>
    <w:rsid w:val="315727FC"/>
    <w:rsid w:val="31572824"/>
    <w:rsid w:val="315736D8"/>
    <w:rsid w:val="3157541A"/>
    <w:rsid w:val="31586882"/>
    <w:rsid w:val="3159002B"/>
    <w:rsid w:val="31590E37"/>
    <w:rsid w:val="31592A40"/>
    <w:rsid w:val="31596939"/>
    <w:rsid w:val="31597A2B"/>
    <w:rsid w:val="31597D3A"/>
    <w:rsid w:val="315A01AE"/>
    <w:rsid w:val="315A0567"/>
    <w:rsid w:val="315A40C3"/>
    <w:rsid w:val="315B1BDE"/>
    <w:rsid w:val="315B3021"/>
    <w:rsid w:val="315B4CF8"/>
    <w:rsid w:val="315B75F1"/>
    <w:rsid w:val="315C449C"/>
    <w:rsid w:val="315C608D"/>
    <w:rsid w:val="315C66BB"/>
    <w:rsid w:val="315C7BBC"/>
    <w:rsid w:val="315D1E99"/>
    <w:rsid w:val="315E0057"/>
    <w:rsid w:val="315E0E80"/>
    <w:rsid w:val="315F176D"/>
    <w:rsid w:val="315F3BAC"/>
    <w:rsid w:val="315F792B"/>
    <w:rsid w:val="3160518F"/>
    <w:rsid w:val="31607C0D"/>
    <w:rsid w:val="3161362F"/>
    <w:rsid w:val="316136A3"/>
    <w:rsid w:val="316164CC"/>
    <w:rsid w:val="3162367E"/>
    <w:rsid w:val="316311C9"/>
    <w:rsid w:val="31631DCE"/>
    <w:rsid w:val="316373E3"/>
    <w:rsid w:val="31645289"/>
    <w:rsid w:val="31647A1E"/>
    <w:rsid w:val="31650EAE"/>
    <w:rsid w:val="31653193"/>
    <w:rsid w:val="31663A7F"/>
    <w:rsid w:val="316711D8"/>
    <w:rsid w:val="316737CE"/>
    <w:rsid w:val="31674F95"/>
    <w:rsid w:val="31676A65"/>
    <w:rsid w:val="316771C6"/>
    <w:rsid w:val="316839C1"/>
    <w:rsid w:val="31684A32"/>
    <w:rsid w:val="31692F7E"/>
    <w:rsid w:val="316942D8"/>
    <w:rsid w:val="316B44E3"/>
    <w:rsid w:val="316D029A"/>
    <w:rsid w:val="316D3DF6"/>
    <w:rsid w:val="316E4C55"/>
    <w:rsid w:val="316F36A1"/>
    <w:rsid w:val="316F536E"/>
    <w:rsid w:val="316F693C"/>
    <w:rsid w:val="31704B31"/>
    <w:rsid w:val="317126F6"/>
    <w:rsid w:val="3171695A"/>
    <w:rsid w:val="31723B02"/>
    <w:rsid w:val="3172765E"/>
    <w:rsid w:val="31730988"/>
    <w:rsid w:val="31741628"/>
    <w:rsid w:val="31745184"/>
    <w:rsid w:val="31747BCA"/>
    <w:rsid w:val="31752992"/>
    <w:rsid w:val="3175714F"/>
    <w:rsid w:val="317606F9"/>
    <w:rsid w:val="31761E32"/>
    <w:rsid w:val="31762116"/>
    <w:rsid w:val="317623A9"/>
    <w:rsid w:val="31762540"/>
    <w:rsid w:val="317655F8"/>
    <w:rsid w:val="317672EA"/>
    <w:rsid w:val="31772EC7"/>
    <w:rsid w:val="31774C75"/>
    <w:rsid w:val="3177520D"/>
    <w:rsid w:val="31776A98"/>
    <w:rsid w:val="3179279B"/>
    <w:rsid w:val="317936B1"/>
    <w:rsid w:val="31796C3F"/>
    <w:rsid w:val="31796EC9"/>
    <w:rsid w:val="317973A7"/>
    <w:rsid w:val="317A07B3"/>
    <w:rsid w:val="317A2722"/>
    <w:rsid w:val="317A3082"/>
    <w:rsid w:val="317A4765"/>
    <w:rsid w:val="317A6513"/>
    <w:rsid w:val="317A69E9"/>
    <w:rsid w:val="317B4CCC"/>
    <w:rsid w:val="317C56D4"/>
    <w:rsid w:val="317C672F"/>
    <w:rsid w:val="317D0677"/>
    <w:rsid w:val="317D5FC3"/>
    <w:rsid w:val="317E1AF7"/>
    <w:rsid w:val="317E24A7"/>
    <w:rsid w:val="317E4255"/>
    <w:rsid w:val="317E466C"/>
    <w:rsid w:val="317E6003"/>
    <w:rsid w:val="317E742D"/>
    <w:rsid w:val="317F1D7B"/>
    <w:rsid w:val="317F3B29"/>
    <w:rsid w:val="317F5B10"/>
    <w:rsid w:val="3180395A"/>
    <w:rsid w:val="31807D0D"/>
    <w:rsid w:val="31807FCD"/>
    <w:rsid w:val="31813D45"/>
    <w:rsid w:val="31816960"/>
    <w:rsid w:val="318178A1"/>
    <w:rsid w:val="318252F5"/>
    <w:rsid w:val="318309B3"/>
    <w:rsid w:val="3183186B"/>
    <w:rsid w:val="31832FA6"/>
    <w:rsid w:val="31833619"/>
    <w:rsid w:val="3183455B"/>
    <w:rsid w:val="31836E42"/>
    <w:rsid w:val="31837ABD"/>
    <w:rsid w:val="318402FA"/>
    <w:rsid w:val="31841229"/>
    <w:rsid w:val="31844436"/>
    <w:rsid w:val="31861559"/>
    <w:rsid w:val="3186310A"/>
    <w:rsid w:val="31864EB8"/>
    <w:rsid w:val="31865C05"/>
    <w:rsid w:val="31866890"/>
    <w:rsid w:val="318677AD"/>
    <w:rsid w:val="31871F0B"/>
    <w:rsid w:val="3187380E"/>
    <w:rsid w:val="3188121C"/>
    <w:rsid w:val="318850D4"/>
    <w:rsid w:val="318918EA"/>
    <w:rsid w:val="31896E18"/>
    <w:rsid w:val="318A2BFA"/>
    <w:rsid w:val="318A6B45"/>
    <w:rsid w:val="318B0720"/>
    <w:rsid w:val="318B24CE"/>
    <w:rsid w:val="318B6CD1"/>
    <w:rsid w:val="318B7189"/>
    <w:rsid w:val="318C26DD"/>
    <w:rsid w:val="318D002B"/>
    <w:rsid w:val="318D08B5"/>
    <w:rsid w:val="318D26EA"/>
    <w:rsid w:val="318E457B"/>
    <w:rsid w:val="318F1FBE"/>
    <w:rsid w:val="318F2988"/>
    <w:rsid w:val="318F3BDF"/>
    <w:rsid w:val="318F6462"/>
    <w:rsid w:val="318F793F"/>
    <w:rsid w:val="31903CA4"/>
    <w:rsid w:val="3190493D"/>
    <w:rsid w:val="31904981"/>
    <w:rsid w:val="319063BC"/>
    <w:rsid w:val="3191506E"/>
    <w:rsid w:val="3192160B"/>
    <w:rsid w:val="31921AAF"/>
    <w:rsid w:val="3192385D"/>
    <w:rsid w:val="31927D00"/>
    <w:rsid w:val="319442D8"/>
    <w:rsid w:val="31952B22"/>
    <w:rsid w:val="31952DBE"/>
    <w:rsid w:val="31954DEB"/>
    <w:rsid w:val="3195606B"/>
    <w:rsid w:val="3196159F"/>
    <w:rsid w:val="31962506"/>
    <w:rsid w:val="3196590E"/>
    <w:rsid w:val="319660C3"/>
    <w:rsid w:val="319660CE"/>
    <w:rsid w:val="3196684B"/>
    <w:rsid w:val="319677F1"/>
    <w:rsid w:val="31971E98"/>
    <w:rsid w:val="31973569"/>
    <w:rsid w:val="319770C5"/>
    <w:rsid w:val="31983D3C"/>
    <w:rsid w:val="31986EF1"/>
    <w:rsid w:val="31987760"/>
    <w:rsid w:val="31992092"/>
    <w:rsid w:val="31992E3D"/>
    <w:rsid w:val="31993324"/>
    <w:rsid w:val="319951CC"/>
    <w:rsid w:val="31995AE5"/>
    <w:rsid w:val="31997F48"/>
    <w:rsid w:val="319A0963"/>
    <w:rsid w:val="319A15E1"/>
    <w:rsid w:val="319A4165"/>
    <w:rsid w:val="319B16F0"/>
    <w:rsid w:val="319B2863"/>
    <w:rsid w:val="319B4C20"/>
    <w:rsid w:val="319B575E"/>
    <w:rsid w:val="319C0B7F"/>
    <w:rsid w:val="319C292D"/>
    <w:rsid w:val="319C5ADC"/>
    <w:rsid w:val="319C62FD"/>
    <w:rsid w:val="319D5EE9"/>
    <w:rsid w:val="319E0453"/>
    <w:rsid w:val="319E104B"/>
    <w:rsid w:val="319E2755"/>
    <w:rsid w:val="319E48F7"/>
    <w:rsid w:val="319E66A5"/>
    <w:rsid w:val="319F1220"/>
    <w:rsid w:val="319F1377"/>
    <w:rsid w:val="31A00552"/>
    <w:rsid w:val="31A021F3"/>
    <w:rsid w:val="31A0241D"/>
    <w:rsid w:val="31A02F0F"/>
    <w:rsid w:val="31A03675"/>
    <w:rsid w:val="31A041CB"/>
    <w:rsid w:val="31A10FB0"/>
    <w:rsid w:val="31A11258"/>
    <w:rsid w:val="31A11CF2"/>
    <w:rsid w:val="31A16195"/>
    <w:rsid w:val="31A17801"/>
    <w:rsid w:val="31A17F44"/>
    <w:rsid w:val="31A252BC"/>
    <w:rsid w:val="31A279BF"/>
    <w:rsid w:val="31A30E4F"/>
    <w:rsid w:val="31A30FDD"/>
    <w:rsid w:val="31A33CBC"/>
    <w:rsid w:val="31A40DB4"/>
    <w:rsid w:val="31A4255F"/>
    <w:rsid w:val="31A43590"/>
    <w:rsid w:val="31A43719"/>
    <w:rsid w:val="31A452D9"/>
    <w:rsid w:val="31A51BF1"/>
    <w:rsid w:val="31A55DBC"/>
    <w:rsid w:val="31A60657"/>
    <w:rsid w:val="31A627B9"/>
    <w:rsid w:val="31A62937"/>
    <w:rsid w:val="31A672C2"/>
    <w:rsid w:val="31A677D0"/>
    <w:rsid w:val="31A70689"/>
    <w:rsid w:val="31A70F2E"/>
    <w:rsid w:val="31A737AC"/>
    <w:rsid w:val="31A75B75"/>
    <w:rsid w:val="31A812D2"/>
    <w:rsid w:val="31A83080"/>
    <w:rsid w:val="31A91A55"/>
    <w:rsid w:val="31AA0C0A"/>
    <w:rsid w:val="31AA0D22"/>
    <w:rsid w:val="31AA329C"/>
    <w:rsid w:val="31AA504A"/>
    <w:rsid w:val="31AA7868"/>
    <w:rsid w:val="31AB03AE"/>
    <w:rsid w:val="31AB2B70"/>
    <w:rsid w:val="31AB491E"/>
    <w:rsid w:val="31AB7E01"/>
    <w:rsid w:val="31AC0DC2"/>
    <w:rsid w:val="31AC6300"/>
    <w:rsid w:val="31AD14BF"/>
    <w:rsid w:val="31AD4AD2"/>
    <w:rsid w:val="31AD68E8"/>
    <w:rsid w:val="31AE4E2C"/>
    <w:rsid w:val="31AE70DE"/>
    <w:rsid w:val="31AE7380"/>
    <w:rsid w:val="31AE76A3"/>
    <w:rsid w:val="31AE7C11"/>
    <w:rsid w:val="31AE7D45"/>
    <w:rsid w:val="31AF08B2"/>
    <w:rsid w:val="31AF2660"/>
    <w:rsid w:val="31AF5F03"/>
    <w:rsid w:val="31B00AE5"/>
    <w:rsid w:val="31B04B21"/>
    <w:rsid w:val="31B053AA"/>
    <w:rsid w:val="31B13A5C"/>
    <w:rsid w:val="31B14374"/>
    <w:rsid w:val="31B1462B"/>
    <w:rsid w:val="31B148E3"/>
    <w:rsid w:val="31B15E56"/>
    <w:rsid w:val="31B22151"/>
    <w:rsid w:val="31B22413"/>
    <w:rsid w:val="31B23EFF"/>
    <w:rsid w:val="31B30944"/>
    <w:rsid w:val="31B3478A"/>
    <w:rsid w:val="31B3606A"/>
    <w:rsid w:val="31B449A5"/>
    <w:rsid w:val="31B47AC8"/>
    <w:rsid w:val="31B47C77"/>
    <w:rsid w:val="31B53264"/>
    <w:rsid w:val="31B5541B"/>
    <w:rsid w:val="31B5579D"/>
    <w:rsid w:val="31B61C41"/>
    <w:rsid w:val="31B646F4"/>
    <w:rsid w:val="31B65F19"/>
    <w:rsid w:val="31B732C3"/>
    <w:rsid w:val="31B73AA0"/>
    <w:rsid w:val="31B756BE"/>
    <w:rsid w:val="31B8121F"/>
    <w:rsid w:val="31B82709"/>
    <w:rsid w:val="31B83C18"/>
    <w:rsid w:val="31B84A7E"/>
    <w:rsid w:val="31B85B99"/>
    <w:rsid w:val="31B934DF"/>
    <w:rsid w:val="31B9528D"/>
    <w:rsid w:val="31B9576F"/>
    <w:rsid w:val="31B9703B"/>
    <w:rsid w:val="31BA3CFE"/>
    <w:rsid w:val="31BA62CD"/>
    <w:rsid w:val="31BA6C2B"/>
    <w:rsid w:val="31BB0665"/>
    <w:rsid w:val="31BB1005"/>
    <w:rsid w:val="31BB139D"/>
    <w:rsid w:val="31BB2DB3"/>
    <w:rsid w:val="31BB5DF2"/>
    <w:rsid w:val="31BB7257"/>
    <w:rsid w:val="31BC1E6F"/>
    <w:rsid w:val="31BC4D7D"/>
    <w:rsid w:val="31BC57BA"/>
    <w:rsid w:val="31BE17DE"/>
    <w:rsid w:val="31BE4652"/>
    <w:rsid w:val="31BE694A"/>
    <w:rsid w:val="31BF6EE7"/>
    <w:rsid w:val="31C00377"/>
    <w:rsid w:val="31C06124"/>
    <w:rsid w:val="31C119B4"/>
    <w:rsid w:val="31C14142"/>
    <w:rsid w:val="31C15B19"/>
    <w:rsid w:val="31C17B49"/>
    <w:rsid w:val="31C205E6"/>
    <w:rsid w:val="31C21686"/>
    <w:rsid w:val="31C2378E"/>
    <w:rsid w:val="31C26FA9"/>
    <w:rsid w:val="31C278AC"/>
    <w:rsid w:val="31C30439"/>
    <w:rsid w:val="31C3610C"/>
    <w:rsid w:val="31C369BE"/>
    <w:rsid w:val="31C434A4"/>
    <w:rsid w:val="31C51944"/>
    <w:rsid w:val="31C51E84"/>
    <w:rsid w:val="31C559E0"/>
    <w:rsid w:val="31C57236"/>
    <w:rsid w:val="31C7024A"/>
    <w:rsid w:val="31C72022"/>
    <w:rsid w:val="31C73C9D"/>
    <w:rsid w:val="31C83722"/>
    <w:rsid w:val="31C92A22"/>
    <w:rsid w:val="31C942AB"/>
    <w:rsid w:val="31CA56EC"/>
    <w:rsid w:val="31CA749A"/>
    <w:rsid w:val="31CB40E9"/>
    <w:rsid w:val="31CB5EF9"/>
    <w:rsid w:val="31CB6A58"/>
    <w:rsid w:val="31CC0F36"/>
    <w:rsid w:val="31CC4293"/>
    <w:rsid w:val="31CC4FC0"/>
    <w:rsid w:val="31CD0D39"/>
    <w:rsid w:val="31CD2AE7"/>
    <w:rsid w:val="31CD6F8B"/>
    <w:rsid w:val="31CD75EC"/>
    <w:rsid w:val="31CE3079"/>
    <w:rsid w:val="31CE554C"/>
    <w:rsid w:val="31CE7B45"/>
    <w:rsid w:val="31CF2D03"/>
    <w:rsid w:val="31CF55C7"/>
    <w:rsid w:val="31CF69DC"/>
    <w:rsid w:val="31CF76D3"/>
    <w:rsid w:val="31D01690"/>
    <w:rsid w:val="31D04FB7"/>
    <w:rsid w:val="31D05482"/>
    <w:rsid w:val="31D05A76"/>
    <w:rsid w:val="31D10829"/>
    <w:rsid w:val="31D13ECD"/>
    <w:rsid w:val="31D200FD"/>
    <w:rsid w:val="31D2179B"/>
    <w:rsid w:val="31D21E87"/>
    <w:rsid w:val="31D244F6"/>
    <w:rsid w:val="31D245A1"/>
    <w:rsid w:val="31D2634F"/>
    <w:rsid w:val="31D32EC5"/>
    <w:rsid w:val="31D413BE"/>
    <w:rsid w:val="31D43E75"/>
    <w:rsid w:val="31D43FFC"/>
    <w:rsid w:val="31D603F9"/>
    <w:rsid w:val="31D64091"/>
    <w:rsid w:val="31D6795B"/>
    <w:rsid w:val="31D67BED"/>
    <w:rsid w:val="31D71BB7"/>
    <w:rsid w:val="31D75713"/>
    <w:rsid w:val="31D80455"/>
    <w:rsid w:val="31D85273"/>
    <w:rsid w:val="31D9148B"/>
    <w:rsid w:val="31D942A8"/>
    <w:rsid w:val="31D94B8C"/>
    <w:rsid w:val="31D9592F"/>
    <w:rsid w:val="31D96112"/>
    <w:rsid w:val="31D976DD"/>
    <w:rsid w:val="31DA40B6"/>
    <w:rsid w:val="31DB16A7"/>
    <w:rsid w:val="31DB3455"/>
    <w:rsid w:val="31DB35D8"/>
    <w:rsid w:val="31DB42F6"/>
    <w:rsid w:val="31DB4F7F"/>
    <w:rsid w:val="31DB5204"/>
    <w:rsid w:val="31DC0002"/>
    <w:rsid w:val="31DC0F7C"/>
    <w:rsid w:val="31DC46C6"/>
    <w:rsid w:val="31DC48A8"/>
    <w:rsid w:val="31DD3C3D"/>
    <w:rsid w:val="31DD5420"/>
    <w:rsid w:val="31DD611C"/>
    <w:rsid w:val="31DE6AA2"/>
    <w:rsid w:val="31DE779C"/>
    <w:rsid w:val="31DF1A4D"/>
    <w:rsid w:val="31DF56C0"/>
    <w:rsid w:val="31DF64D1"/>
    <w:rsid w:val="31E00A83"/>
    <w:rsid w:val="31E066A8"/>
    <w:rsid w:val="31E13D9A"/>
    <w:rsid w:val="31E160A6"/>
    <w:rsid w:val="31E218FC"/>
    <w:rsid w:val="31E21BF4"/>
    <w:rsid w:val="31E247E4"/>
    <w:rsid w:val="31E24E52"/>
    <w:rsid w:val="31E30152"/>
    <w:rsid w:val="31E3055C"/>
    <w:rsid w:val="31E3230A"/>
    <w:rsid w:val="31E367AE"/>
    <w:rsid w:val="31E41E2A"/>
    <w:rsid w:val="31E43767"/>
    <w:rsid w:val="31E437CC"/>
    <w:rsid w:val="31E537D3"/>
    <w:rsid w:val="31E542D4"/>
    <w:rsid w:val="31E56082"/>
    <w:rsid w:val="31E57E30"/>
    <w:rsid w:val="31E65111"/>
    <w:rsid w:val="31E71DFA"/>
    <w:rsid w:val="31E7797A"/>
    <w:rsid w:val="31E81C66"/>
    <w:rsid w:val="31E83DC4"/>
    <w:rsid w:val="31E842BF"/>
    <w:rsid w:val="31E85B2B"/>
    <w:rsid w:val="31E85B72"/>
    <w:rsid w:val="31E87920"/>
    <w:rsid w:val="31E9304B"/>
    <w:rsid w:val="31EA27E1"/>
    <w:rsid w:val="31EA3699"/>
    <w:rsid w:val="31EA4BE9"/>
    <w:rsid w:val="31EA5447"/>
    <w:rsid w:val="31EA61B5"/>
    <w:rsid w:val="31EA7C43"/>
    <w:rsid w:val="31EC5663"/>
    <w:rsid w:val="31EC7411"/>
    <w:rsid w:val="31ED0783"/>
    <w:rsid w:val="31ED3189"/>
    <w:rsid w:val="31ED4B77"/>
    <w:rsid w:val="31EE13DB"/>
    <w:rsid w:val="31EF0B82"/>
    <w:rsid w:val="31EF1A70"/>
    <w:rsid w:val="31EF30F9"/>
    <w:rsid w:val="31EF446B"/>
    <w:rsid w:val="31EF6F01"/>
    <w:rsid w:val="31F00FA4"/>
    <w:rsid w:val="31F0125B"/>
    <w:rsid w:val="31F018FC"/>
    <w:rsid w:val="31F06CD1"/>
    <w:rsid w:val="31F07640"/>
    <w:rsid w:val="31F12C79"/>
    <w:rsid w:val="31F15713"/>
    <w:rsid w:val="31F165C7"/>
    <w:rsid w:val="31F2079F"/>
    <w:rsid w:val="31F23206"/>
    <w:rsid w:val="31F24947"/>
    <w:rsid w:val="31F276EF"/>
    <w:rsid w:val="31F369F1"/>
    <w:rsid w:val="31F37890"/>
    <w:rsid w:val="31F42769"/>
    <w:rsid w:val="31F42CAC"/>
    <w:rsid w:val="31F44517"/>
    <w:rsid w:val="31F449E0"/>
    <w:rsid w:val="31F45A02"/>
    <w:rsid w:val="31F46410"/>
    <w:rsid w:val="31F46F90"/>
    <w:rsid w:val="31F56542"/>
    <w:rsid w:val="31F641DA"/>
    <w:rsid w:val="31F6746B"/>
    <w:rsid w:val="31F75BE8"/>
    <w:rsid w:val="31F77B64"/>
    <w:rsid w:val="31F84007"/>
    <w:rsid w:val="31F85884"/>
    <w:rsid w:val="31F90508"/>
    <w:rsid w:val="31F91B2E"/>
    <w:rsid w:val="31F91C49"/>
    <w:rsid w:val="31F938DC"/>
    <w:rsid w:val="31F97D80"/>
    <w:rsid w:val="31FA2348"/>
    <w:rsid w:val="31FA3226"/>
    <w:rsid w:val="31FA55A9"/>
    <w:rsid w:val="31FB29FF"/>
    <w:rsid w:val="31FB3AF8"/>
    <w:rsid w:val="31FB51B5"/>
    <w:rsid w:val="31FB58A6"/>
    <w:rsid w:val="31FB713A"/>
    <w:rsid w:val="31FB7654"/>
    <w:rsid w:val="31FD161E"/>
    <w:rsid w:val="31FD2C13"/>
    <w:rsid w:val="31FD7870"/>
    <w:rsid w:val="31FE0EF2"/>
    <w:rsid w:val="31FF7748"/>
    <w:rsid w:val="32001DF3"/>
    <w:rsid w:val="32002EBC"/>
    <w:rsid w:val="320139C5"/>
    <w:rsid w:val="320209E2"/>
    <w:rsid w:val="3202443C"/>
    <w:rsid w:val="32024E86"/>
    <w:rsid w:val="32026C34"/>
    <w:rsid w:val="320329AC"/>
    <w:rsid w:val="32032EA8"/>
    <w:rsid w:val="320362F1"/>
    <w:rsid w:val="320408EB"/>
    <w:rsid w:val="32056724"/>
    <w:rsid w:val="3206115E"/>
    <w:rsid w:val="3206424D"/>
    <w:rsid w:val="3207424B"/>
    <w:rsid w:val="32075FF9"/>
    <w:rsid w:val="32083730"/>
    <w:rsid w:val="32086601"/>
    <w:rsid w:val="3209333D"/>
    <w:rsid w:val="32096215"/>
    <w:rsid w:val="32096C28"/>
    <w:rsid w:val="320A5AE9"/>
    <w:rsid w:val="320A61DE"/>
    <w:rsid w:val="320B54EE"/>
    <w:rsid w:val="320B72F9"/>
    <w:rsid w:val="320C7AB3"/>
    <w:rsid w:val="320D0AC2"/>
    <w:rsid w:val="320D55D9"/>
    <w:rsid w:val="320E2754"/>
    <w:rsid w:val="320E29DF"/>
    <w:rsid w:val="320F4EAD"/>
    <w:rsid w:val="320F63B0"/>
    <w:rsid w:val="321017B5"/>
    <w:rsid w:val="32106257"/>
    <w:rsid w:val="32110C25"/>
    <w:rsid w:val="321150C9"/>
    <w:rsid w:val="3212499D"/>
    <w:rsid w:val="321264B7"/>
    <w:rsid w:val="32126564"/>
    <w:rsid w:val="32127033"/>
    <w:rsid w:val="32131E48"/>
    <w:rsid w:val="32132FE6"/>
    <w:rsid w:val="32133E17"/>
    <w:rsid w:val="32136C0D"/>
    <w:rsid w:val="32143537"/>
    <w:rsid w:val="32145110"/>
    <w:rsid w:val="32145599"/>
    <w:rsid w:val="321558C2"/>
    <w:rsid w:val="32157CE1"/>
    <w:rsid w:val="32157D93"/>
    <w:rsid w:val="32163D42"/>
    <w:rsid w:val="3216448E"/>
    <w:rsid w:val="32167EC9"/>
    <w:rsid w:val="32173C60"/>
    <w:rsid w:val="321751D2"/>
    <w:rsid w:val="32177347"/>
    <w:rsid w:val="321831E5"/>
    <w:rsid w:val="321855CA"/>
    <w:rsid w:val="32186458"/>
    <w:rsid w:val="3219327C"/>
    <w:rsid w:val="32193F7E"/>
    <w:rsid w:val="32194959"/>
    <w:rsid w:val="321A26C3"/>
    <w:rsid w:val="321B1AA4"/>
    <w:rsid w:val="321B5F48"/>
    <w:rsid w:val="321C462A"/>
    <w:rsid w:val="321C741D"/>
    <w:rsid w:val="321D3A6E"/>
    <w:rsid w:val="321D3FFD"/>
    <w:rsid w:val="321D716A"/>
    <w:rsid w:val="321E1D2A"/>
    <w:rsid w:val="321E4FEA"/>
    <w:rsid w:val="321E56E7"/>
    <w:rsid w:val="321E77E6"/>
    <w:rsid w:val="321E7B5A"/>
    <w:rsid w:val="321F45A4"/>
    <w:rsid w:val="3220530C"/>
    <w:rsid w:val="322079C5"/>
    <w:rsid w:val="32210E55"/>
    <w:rsid w:val="32211457"/>
    <w:rsid w:val="32214BE6"/>
    <w:rsid w:val="32215645"/>
    <w:rsid w:val="32216284"/>
    <w:rsid w:val="32217D5B"/>
    <w:rsid w:val="32221084"/>
    <w:rsid w:val="32222E32"/>
    <w:rsid w:val="32223817"/>
    <w:rsid w:val="32225ABD"/>
    <w:rsid w:val="32225CAB"/>
    <w:rsid w:val="32226F92"/>
    <w:rsid w:val="322318CB"/>
    <w:rsid w:val="32236174"/>
    <w:rsid w:val="32237B46"/>
    <w:rsid w:val="32244DFC"/>
    <w:rsid w:val="32245017"/>
    <w:rsid w:val="32250B75"/>
    <w:rsid w:val="32252923"/>
    <w:rsid w:val="32260A90"/>
    <w:rsid w:val="32272ACB"/>
    <w:rsid w:val="32273F13"/>
    <w:rsid w:val="32276FCB"/>
    <w:rsid w:val="322841C1"/>
    <w:rsid w:val="32285F6F"/>
    <w:rsid w:val="32292413"/>
    <w:rsid w:val="32296E45"/>
    <w:rsid w:val="322975E7"/>
    <w:rsid w:val="322A15AB"/>
    <w:rsid w:val="322A1CE7"/>
    <w:rsid w:val="322A388F"/>
    <w:rsid w:val="322A7F39"/>
    <w:rsid w:val="322C0F21"/>
    <w:rsid w:val="322C3CB1"/>
    <w:rsid w:val="322C5176"/>
    <w:rsid w:val="322C5A5F"/>
    <w:rsid w:val="322C68D6"/>
    <w:rsid w:val="322D13ED"/>
    <w:rsid w:val="322D17D7"/>
    <w:rsid w:val="322D309B"/>
    <w:rsid w:val="322D4518"/>
    <w:rsid w:val="322D5A9C"/>
    <w:rsid w:val="322D5BCA"/>
    <w:rsid w:val="322D5CC7"/>
    <w:rsid w:val="322E04E5"/>
    <w:rsid w:val="322E0CBD"/>
    <w:rsid w:val="322E1087"/>
    <w:rsid w:val="322E1FC9"/>
    <w:rsid w:val="322E4681"/>
    <w:rsid w:val="322E55E0"/>
    <w:rsid w:val="322E5C7B"/>
    <w:rsid w:val="322E7A04"/>
    <w:rsid w:val="322F37A1"/>
    <w:rsid w:val="322F72FD"/>
    <w:rsid w:val="32315313"/>
    <w:rsid w:val="32315B73"/>
    <w:rsid w:val="32315D79"/>
    <w:rsid w:val="32317519"/>
    <w:rsid w:val="32321DDA"/>
    <w:rsid w:val="32324116"/>
    <w:rsid w:val="32324E0A"/>
    <w:rsid w:val="32326B68"/>
    <w:rsid w:val="3234448B"/>
    <w:rsid w:val="3234700A"/>
    <w:rsid w:val="3235075B"/>
    <w:rsid w:val="32351892"/>
    <w:rsid w:val="32352291"/>
    <w:rsid w:val="32353BD1"/>
    <w:rsid w:val="32353C89"/>
    <w:rsid w:val="32354F6B"/>
    <w:rsid w:val="3235642E"/>
    <w:rsid w:val="323572CB"/>
    <w:rsid w:val="32363C74"/>
    <w:rsid w:val="32364B30"/>
    <w:rsid w:val="32366D55"/>
    <w:rsid w:val="32382902"/>
    <w:rsid w:val="3238450B"/>
    <w:rsid w:val="32387E06"/>
    <w:rsid w:val="3239599B"/>
    <w:rsid w:val="323963CE"/>
    <w:rsid w:val="323970DC"/>
    <w:rsid w:val="323A4620"/>
    <w:rsid w:val="323B0398"/>
    <w:rsid w:val="323B3805"/>
    <w:rsid w:val="323B5CA2"/>
    <w:rsid w:val="323C2E8C"/>
    <w:rsid w:val="323C5C13"/>
    <w:rsid w:val="323D1A1A"/>
    <w:rsid w:val="323D431C"/>
    <w:rsid w:val="323D5381"/>
    <w:rsid w:val="323E2437"/>
    <w:rsid w:val="323E39E4"/>
    <w:rsid w:val="323E6274"/>
    <w:rsid w:val="323E6D03"/>
    <w:rsid w:val="323E6FE9"/>
    <w:rsid w:val="323F2F4E"/>
    <w:rsid w:val="323F40BD"/>
    <w:rsid w:val="32400B34"/>
    <w:rsid w:val="3240150B"/>
    <w:rsid w:val="324059AE"/>
    <w:rsid w:val="32417616"/>
    <w:rsid w:val="324234D5"/>
    <w:rsid w:val="32425283"/>
    <w:rsid w:val="32426DB9"/>
    <w:rsid w:val="32430FFB"/>
    <w:rsid w:val="32431A19"/>
    <w:rsid w:val="324324BC"/>
    <w:rsid w:val="32432CFF"/>
    <w:rsid w:val="32432D5F"/>
    <w:rsid w:val="32432DA9"/>
    <w:rsid w:val="3243368F"/>
    <w:rsid w:val="324421BF"/>
    <w:rsid w:val="32452FC5"/>
    <w:rsid w:val="32454D73"/>
    <w:rsid w:val="32455D37"/>
    <w:rsid w:val="32456B21"/>
    <w:rsid w:val="324575BF"/>
    <w:rsid w:val="3246335F"/>
    <w:rsid w:val="324729ED"/>
    <w:rsid w:val="32475C6F"/>
    <w:rsid w:val="32476D3D"/>
    <w:rsid w:val="324801AE"/>
    <w:rsid w:val="324803BF"/>
    <w:rsid w:val="32482650"/>
    <w:rsid w:val="32485F2A"/>
    <w:rsid w:val="32490E6A"/>
    <w:rsid w:val="32496B8D"/>
    <w:rsid w:val="324A05DB"/>
    <w:rsid w:val="324A1876"/>
    <w:rsid w:val="324A1D9B"/>
    <w:rsid w:val="324A2389"/>
    <w:rsid w:val="324A2A1F"/>
    <w:rsid w:val="324A4137"/>
    <w:rsid w:val="324A56ED"/>
    <w:rsid w:val="324A5814"/>
    <w:rsid w:val="324B500E"/>
    <w:rsid w:val="324B718F"/>
    <w:rsid w:val="324C0B73"/>
    <w:rsid w:val="324C2981"/>
    <w:rsid w:val="324C45DB"/>
    <w:rsid w:val="324C5552"/>
    <w:rsid w:val="324C7EAF"/>
    <w:rsid w:val="324D199D"/>
    <w:rsid w:val="324D35C8"/>
    <w:rsid w:val="324D751A"/>
    <w:rsid w:val="324E00CB"/>
    <w:rsid w:val="324E1E79"/>
    <w:rsid w:val="324E38E3"/>
    <w:rsid w:val="324E3C27"/>
    <w:rsid w:val="324F22AD"/>
    <w:rsid w:val="324F3ED3"/>
    <w:rsid w:val="324F4C62"/>
    <w:rsid w:val="324F5BF1"/>
    <w:rsid w:val="324F79A0"/>
    <w:rsid w:val="32504B1A"/>
    <w:rsid w:val="32507735"/>
    <w:rsid w:val="32512037"/>
    <w:rsid w:val="3251505F"/>
    <w:rsid w:val="325154C6"/>
    <w:rsid w:val="325167F3"/>
    <w:rsid w:val="32525CAD"/>
    <w:rsid w:val="32537490"/>
    <w:rsid w:val="32540AD7"/>
    <w:rsid w:val="325425A3"/>
    <w:rsid w:val="32544C17"/>
    <w:rsid w:val="32544FB6"/>
    <w:rsid w:val="325457D0"/>
    <w:rsid w:val="32546D64"/>
    <w:rsid w:val="3255039C"/>
    <w:rsid w:val="3255145A"/>
    <w:rsid w:val="32555174"/>
    <w:rsid w:val="32560053"/>
    <w:rsid w:val="32560D2E"/>
    <w:rsid w:val="32580455"/>
    <w:rsid w:val="325823B4"/>
    <w:rsid w:val="32584AA6"/>
    <w:rsid w:val="325A081E"/>
    <w:rsid w:val="325A2027"/>
    <w:rsid w:val="325B15CB"/>
    <w:rsid w:val="325B36F4"/>
    <w:rsid w:val="325B4596"/>
    <w:rsid w:val="325B71B7"/>
    <w:rsid w:val="325C3906"/>
    <w:rsid w:val="325C702F"/>
    <w:rsid w:val="325D20BC"/>
    <w:rsid w:val="325D3423"/>
    <w:rsid w:val="325D3E6B"/>
    <w:rsid w:val="325E058D"/>
    <w:rsid w:val="325E38FB"/>
    <w:rsid w:val="325F2C1A"/>
    <w:rsid w:val="325F43D6"/>
    <w:rsid w:val="32600E45"/>
    <w:rsid w:val="32601838"/>
    <w:rsid w:val="32601BAD"/>
    <w:rsid w:val="32601D36"/>
    <w:rsid w:val="3260395B"/>
    <w:rsid w:val="32604142"/>
    <w:rsid w:val="32604EE0"/>
    <w:rsid w:val="32606415"/>
    <w:rsid w:val="32607DFF"/>
    <w:rsid w:val="326107F7"/>
    <w:rsid w:val="326113DC"/>
    <w:rsid w:val="32621481"/>
    <w:rsid w:val="32625925"/>
    <w:rsid w:val="326260EE"/>
    <w:rsid w:val="326276D3"/>
    <w:rsid w:val="32630CC9"/>
    <w:rsid w:val="326310CA"/>
    <w:rsid w:val="32650F71"/>
    <w:rsid w:val="32652A67"/>
    <w:rsid w:val="32654C69"/>
    <w:rsid w:val="32656C12"/>
    <w:rsid w:val="326571C3"/>
    <w:rsid w:val="32664960"/>
    <w:rsid w:val="326660F9"/>
    <w:rsid w:val="32672F3B"/>
    <w:rsid w:val="32674CE9"/>
    <w:rsid w:val="32676A97"/>
    <w:rsid w:val="3268280F"/>
    <w:rsid w:val="32691B21"/>
    <w:rsid w:val="32691DF9"/>
    <w:rsid w:val="32694A7A"/>
    <w:rsid w:val="326956A0"/>
    <w:rsid w:val="326A2A2B"/>
    <w:rsid w:val="326A5F0A"/>
    <w:rsid w:val="326A6587"/>
    <w:rsid w:val="326B6562"/>
    <w:rsid w:val="326C082A"/>
    <w:rsid w:val="326C39EA"/>
    <w:rsid w:val="326C67A3"/>
    <w:rsid w:val="326D0936"/>
    <w:rsid w:val="326D0E41"/>
    <w:rsid w:val="326E5D1B"/>
    <w:rsid w:val="326E77B3"/>
    <w:rsid w:val="326E7E26"/>
    <w:rsid w:val="326F2E16"/>
    <w:rsid w:val="326F3B9E"/>
    <w:rsid w:val="326F66B5"/>
    <w:rsid w:val="326F71AB"/>
    <w:rsid w:val="3270308D"/>
    <w:rsid w:val="32703A82"/>
    <w:rsid w:val="327049C6"/>
    <w:rsid w:val="32705150"/>
    <w:rsid w:val="32710E43"/>
    <w:rsid w:val="327159B5"/>
    <w:rsid w:val="3272726D"/>
    <w:rsid w:val="3273318C"/>
    <w:rsid w:val="32743EB6"/>
    <w:rsid w:val="32747406"/>
    <w:rsid w:val="327504B1"/>
    <w:rsid w:val="3275099C"/>
    <w:rsid w:val="32751D2E"/>
    <w:rsid w:val="327550E7"/>
    <w:rsid w:val="32755658"/>
    <w:rsid w:val="32757ADC"/>
    <w:rsid w:val="327613D0"/>
    <w:rsid w:val="32763024"/>
    <w:rsid w:val="32763D35"/>
    <w:rsid w:val="327644AD"/>
    <w:rsid w:val="327935B5"/>
    <w:rsid w:val="32794A1C"/>
    <w:rsid w:val="3279767C"/>
    <w:rsid w:val="327A2C6E"/>
    <w:rsid w:val="327A5649"/>
    <w:rsid w:val="327B0795"/>
    <w:rsid w:val="327B202D"/>
    <w:rsid w:val="327B3945"/>
    <w:rsid w:val="327B69E7"/>
    <w:rsid w:val="327B6E8F"/>
    <w:rsid w:val="327C031F"/>
    <w:rsid w:val="327C3E69"/>
    <w:rsid w:val="327D0BE3"/>
    <w:rsid w:val="327D4380"/>
    <w:rsid w:val="327D4416"/>
    <w:rsid w:val="327D450D"/>
    <w:rsid w:val="327D69E4"/>
    <w:rsid w:val="327D7571"/>
    <w:rsid w:val="327E12F0"/>
    <w:rsid w:val="327E448F"/>
    <w:rsid w:val="327F3529"/>
    <w:rsid w:val="327F7AF5"/>
    <w:rsid w:val="32800704"/>
    <w:rsid w:val="32803FFD"/>
    <w:rsid w:val="32805DAB"/>
    <w:rsid w:val="32813259"/>
    <w:rsid w:val="328136CD"/>
    <w:rsid w:val="32814517"/>
    <w:rsid w:val="32815060"/>
    <w:rsid w:val="328178C4"/>
    <w:rsid w:val="3282000A"/>
    <w:rsid w:val="3283190D"/>
    <w:rsid w:val="328363A6"/>
    <w:rsid w:val="328424A2"/>
    <w:rsid w:val="32843AED"/>
    <w:rsid w:val="32851613"/>
    <w:rsid w:val="328533C1"/>
    <w:rsid w:val="328535BD"/>
    <w:rsid w:val="328540F0"/>
    <w:rsid w:val="3285629B"/>
    <w:rsid w:val="328616A9"/>
    <w:rsid w:val="32867865"/>
    <w:rsid w:val="32874605"/>
    <w:rsid w:val="32877139"/>
    <w:rsid w:val="32880456"/>
    <w:rsid w:val="32880989"/>
    <w:rsid w:val="32891103"/>
    <w:rsid w:val="32892941"/>
    <w:rsid w:val="32892EB1"/>
    <w:rsid w:val="32894785"/>
    <w:rsid w:val="32895ECB"/>
    <w:rsid w:val="328A09D8"/>
    <w:rsid w:val="328A2477"/>
    <w:rsid w:val="328A38C9"/>
    <w:rsid w:val="328A42E7"/>
    <w:rsid w:val="328A4D47"/>
    <w:rsid w:val="328A6323"/>
    <w:rsid w:val="328A6C2A"/>
    <w:rsid w:val="328B26D9"/>
    <w:rsid w:val="328B3A18"/>
    <w:rsid w:val="328C0BF4"/>
    <w:rsid w:val="328C29A2"/>
    <w:rsid w:val="328C6FE9"/>
    <w:rsid w:val="328C7DE5"/>
    <w:rsid w:val="328D14A0"/>
    <w:rsid w:val="328D6415"/>
    <w:rsid w:val="328E04C8"/>
    <w:rsid w:val="328E4700"/>
    <w:rsid w:val="328E671A"/>
    <w:rsid w:val="328E6F28"/>
    <w:rsid w:val="328F5FEE"/>
    <w:rsid w:val="32901EBC"/>
    <w:rsid w:val="32904240"/>
    <w:rsid w:val="32907AE1"/>
    <w:rsid w:val="32907E5C"/>
    <w:rsid w:val="32911D66"/>
    <w:rsid w:val="32915209"/>
    <w:rsid w:val="32915CC0"/>
    <w:rsid w:val="32916FAB"/>
    <w:rsid w:val="32917FB8"/>
    <w:rsid w:val="32921363"/>
    <w:rsid w:val="32923AFD"/>
    <w:rsid w:val="32931F82"/>
    <w:rsid w:val="329329CA"/>
    <w:rsid w:val="32935ADE"/>
    <w:rsid w:val="329365A6"/>
    <w:rsid w:val="32936D23"/>
    <w:rsid w:val="3293788C"/>
    <w:rsid w:val="32941177"/>
    <w:rsid w:val="32943082"/>
    <w:rsid w:val="329448A6"/>
    <w:rsid w:val="32951856"/>
    <w:rsid w:val="32957AA8"/>
    <w:rsid w:val="329735D1"/>
    <w:rsid w:val="32981347"/>
    <w:rsid w:val="329830F5"/>
    <w:rsid w:val="32987598"/>
    <w:rsid w:val="329877D5"/>
    <w:rsid w:val="32987EF2"/>
    <w:rsid w:val="329A2493"/>
    <w:rsid w:val="329A3A56"/>
    <w:rsid w:val="329B2BE5"/>
    <w:rsid w:val="329B2CF9"/>
    <w:rsid w:val="329B6479"/>
    <w:rsid w:val="329C0824"/>
    <w:rsid w:val="329C0D99"/>
    <w:rsid w:val="329C6E3C"/>
    <w:rsid w:val="329D070B"/>
    <w:rsid w:val="329D4BAF"/>
    <w:rsid w:val="329D7161"/>
    <w:rsid w:val="329E6876"/>
    <w:rsid w:val="329F26D5"/>
    <w:rsid w:val="32A001FB"/>
    <w:rsid w:val="32A01FA9"/>
    <w:rsid w:val="32A058E3"/>
    <w:rsid w:val="32A10529"/>
    <w:rsid w:val="32A115A7"/>
    <w:rsid w:val="32A12F3A"/>
    <w:rsid w:val="32A14E17"/>
    <w:rsid w:val="32A221C5"/>
    <w:rsid w:val="32A23F73"/>
    <w:rsid w:val="32A24C0B"/>
    <w:rsid w:val="32A33401"/>
    <w:rsid w:val="32A3404E"/>
    <w:rsid w:val="32A41A99"/>
    <w:rsid w:val="32A446AD"/>
    <w:rsid w:val="32A466D4"/>
    <w:rsid w:val="32A47A21"/>
    <w:rsid w:val="32A47CEB"/>
    <w:rsid w:val="32A55811"/>
    <w:rsid w:val="32A61CB5"/>
    <w:rsid w:val="32A7158A"/>
    <w:rsid w:val="32A73338"/>
    <w:rsid w:val="32A745C5"/>
    <w:rsid w:val="32A771A8"/>
    <w:rsid w:val="32A8492C"/>
    <w:rsid w:val="32A90421"/>
    <w:rsid w:val="32A907CC"/>
    <w:rsid w:val="32A921C3"/>
    <w:rsid w:val="32A933D3"/>
    <w:rsid w:val="32A93554"/>
    <w:rsid w:val="32A94485"/>
    <w:rsid w:val="32A970B0"/>
    <w:rsid w:val="32A977CE"/>
    <w:rsid w:val="32AA2E28"/>
    <w:rsid w:val="32AA339D"/>
    <w:rsid w:val="32AB400A"/>
    <w:rsid w:val="32AC0031"/>
    <w:rsid w:val="32AC142F"/>
    <w:rsid w:val="32AC2A5C"/>
    <w:rsid w:val="32AC3044"/>
    <w:rsid w:val="32AC3575"/>
    <w:rsid w:val="32AC4DF2"/>
    <w:rsid w:val="32AC6BA0"/>
    <w:rsid w:val="32AE0B6A"/>
    <w:rsid w:val="32AE2918"/>
    <w:rsid w:val="32AE2A18"/>
    <w:rsid w:val="32AF09B3"/>
    <w:rsid w:val="32AF5853"/>
    <w:rsid w:val="32AF7D0E"/>
    <w:rsid w:val="32B048E2"/>
    <w:rsid w:val="32B06589"/>
    <w:rsid w:val="32B06690"/>
    <w:rsid w:val="32B078FE"/>
    <w:rsid w:val="32B1065A"/>
    <w:rsid w:val="32B13044"/>
    <w:rsid w:val="32B141B6"/>
    <w:rsid w:val="32B17C2B"/>
    <w:rsid w:val="32B23977"/>
    <w:rsid w:val="32B278AB"/>
    <w:rsid w:val="32B32574"/>
    <w:rsid w:val="32B36180"/>
    <w:rsid w:val="32B469FB"/>
    <w:rsid w:val="32B47418"/>
    <w:rsid w:val="32B504B0"/>
    <w:rsid w:val="32B51EF8"/>
    <w:rsid w:val="32B52754"/>
    <w:rsid w:val="32B617CD"/>
    <w:rsid w:val="32B62EBD"/>
    <w:rsid w:val="32B70786"/>
    <w:rsid w:val="32B7097B"/>
    <w:rsid w:val="32B72DD0"/>
    <w:rsid w:val="32B76FA2"/>
    <w:rsid w:val="32B819E9"/>
    <w:rsid w:val="32B82FAC"/>
    <w:rsid w:val="32B9687D"/>
    <w:rsid w:val="32BA12BD"/>
    <w:rsid w:val="32BA1751"/>
    <w:rsid w:val="32BA2E92"/>
    <w:rsid w:val="32BA5B38"/>
    <w:rsid w:val="32BA750F"/>
    <w:rsid w:val="32BB67FE"/>
    <w:rsid w:val="32BB6A1A"/>
    <w:rsid w:val="32BC11D7"/>
    <w:rsid w:val="32BC3287"/>
    <w:rsid w:val="32BC3B54"/>
    <w:rsid w:val="32BC6F09"/>
    <w:rsid w:val="32BD1813"/>
    <w:rsid w:val="32BD3CE6"/>
    <w:rsid w:val="32BD4D86"/>
    <w:rsid w:val="32BD6FFF"/>
    <w:rsid w:val="32BD755C"/>
    <w:rsid w:val="32BE0695"/>
    <w:rsid w:val="32BE1AC5"/>
    <w:rsid w:val="32BE26C8"/>
    <w:rsid w:val="32BE3907"/>
    <w:rsid w:val="32BF0685"/>
    <w:rsid w:val="32BF09BE"/>
    <w:rsid w:val="32BF2D77"/>
    <w:rsid w:val="32C00FDA"/>
    <w:rsid w:val="32C043F9"/>
    <w:rsid w:val="32C10194"/>
    <w:rsid w:val="32C20171"/>
    <w:rsid w:val="32C22AB4"/>
    <w:rsid w:val="32C23D7F"/>
    <w:rsid w:val="32C24615"/>
    <w:rsid w:val="32C263C3"/>
    <w:rsid w:val="32C26CD8"/>
    <w:rsid w:val="32C31F12"/>
    <w:rsid w:val="32C453D4"/>
    <w:rsid w:val="32C47056"/>
    <w:rsid w:val="32C50561"/>
    <w:rsid w:val="32C54D36"/>
    <w:rsid w:val="32C61435"/>
    <w:rsid w:val="32C70573"/>
    <w:rsid w:val="32C81BBF"/>
    <w:rsid w:val="32C83163"/>
    <w:rsid w:val="32C83D55"/>
    <w:rsid w:val="32C9004E"/>
    <w:rsid w:val="32C95864"/>
    <w:rsid w:val="32C959A4"/>
    <w:rsid w:val="32C96F7F"/>
    <w:rsid w:val="32C97752"/>
    <w:rsid w:val="32CA12BA"/>
    <w:rsid w:val="32CB171C"/>
    <w:rsid w:val="32CB34CA"/>
    <w:rsid w:val="32CB3E17"/>
    <w:rsid w:val="32CB4565"/>
    <w:rsid w:val="32CB587E"/>
    <w:rsid w:val="32CB5B7D"/>
    <w:rsid w:val="32CB6CB7"/>
    <w:rsid w:val="32CC1417"/>
    <w:rsid w:val="32CC2D9E"/>
    <w:rsid w:val="32CC3B66"/>
    <w:rsid w:val="32CC45AD"/>
    <w:rsid w:val="32CC6C43"/>
    <w:rsid w:val="32CD1523"/>
    <w:rsid w:val="32CD4AB1"/>
    <w:rsid w:val="32CD6737"/>
    <w:rsid w:val="32CE1057"/>
    <w:rsid w:val="32CE1B26"/>
    <w:rsid w:val="32CE2798"/>
    <w:rsid w:val="32CE2FBA"/>
    <w:rsid w:val="32CE6B16"/>
    <w:rsid w:val="32CE7F08"/>
    <w:rsid w:val="32CF7EF3"/>
    <w:rsid w:val="32D00AE0"/>
    <w:rsid w:val="32D0288E"/>
    <w:rsid w:val="32D03E37"/>
    <w:rsid w:val="32D04000"/>
    <w:rsid w:val="32D07EF0"/>
    <w:rsid w:val="32D10B45"/>
    <w:rsid w:val="32D12F38"/>
    <w:rsid w:val="32D1359A"/>
    <w:rsid w:val="32D1414B"/>
    <w:rsid w:val="32D15497"/>
    <w:rsid w:val="32D27580"/>
    <w:rsid w:val="32D305D1"/>
    <w:rsid w:val="32D36780"/>
    <w:rsid w:val="32D372FC"/>
    <w:rsid w:val="32D4123E"/>
    <w:rsid w:val="32D46FF4"/>
    <w:rsid w:val="32D54349"/>
    <w:rsid w:val="32D549D9"/>
    <w:rsid w:val="32D5621D"/>
    <w:rsid w:val="32D57EA5"/>
    <w:rsid w:val="32D60D3B"/>
    <w:rsid w:val="32D61E6F"/>
    <w:rsid w:val="32D6349F"/>
    <w:rsid w:val="32D6618F"/>
    <w:rsid w:val="32D674F8"/>
    <w:rsid w:val="32D6779A"/>
    <w:rsid w:val="32D67964"/>
    <w:rsid w:val="32D679BF"/>
    <w:rsid w:val="32D700C1"/>
    <w:rsid w:val="32D73A98"/>
    <w:rsid w:val="32D7408D"/>
    <w:rsid w:val="32D81743"/>
    <w:rsid w:val="32D8353D"/>
    <w:rsid w:val="32D83E39"/>
    <w:rsid w:val="32D85BE7"/>
    <w:rsid w:val="32D9210B"/>
    <w:rsid w:val="32DB0E83"/>
    <w:rsid w:val="32DB1233"/>
    <w:rsid w:val="32DB7C3A"/>
    <w:rsid w:val="32DC1068"/>
    <w:rsid w:val="32DC56D7"/>
    <w:rsid w:val="32DC79F0"/>
    <w:rsid w:val="32DD144F"/>
    <w:rsid w:val="32DD1509"/>
    <w:rsid w:val="32DD4FAB"/>
    <w:rsid w:val="32DF0935"/>
    <w:rsid w:val="32DF0D23"/>
    <w:rsid w:val="32DF2AD1"/>
    <w:rsid w:val="32E0684A"/>
    <w:rsid w:val="32E12CEE"/>
    <w:rsid w:val="32E13584"/>
    <w:rsid w:val="32E14A9C"/>
    <w:rsid w:val="32E16C9E"/>
    <w:rsid w:val="32E20814"/>
    <w:rsid w:val="32E20925"/>
    <w:rsid w:val="32E225C2"/>
    <w:rsid w:val="32E33440"/>
    <w:rsid w:val="32E36F59"/>
    <w:rsid w:val="32E427DE"/>
    <w:rsid w:val="32E4499E"/>
    <w:rsid w:val="32E45E34"/>
    <w:rsid w:val="32E53E60"/>
    <w:rsid w:val="32E672DE"/>
    <w:rsid w:val="32E8276F"/>
    <w:rsid w:val="32E847CF"/>
    <w:rsid w:val="32E84A7C"/>
    <w:rsid w:val="32E91BA2"/>
    <w:rsid w:val="32E93950"/>
    <w:rsid w:val="32E95C5F"/>
    <w:rsid w:val="32EA3892"/>
    <w:rsid w:val="32EB1476"/>
    <w:rsid w:val="32EB3B6C"/>
    <w:rsid w:val="32EB6247"/>
    <w:rsid w:val="32EC215B"/>
    <w:rsid w:val="32EC3150"/>
    <w:rsid w:val="32EC3440"/>
    <w:rsid w:val="32EC64DC"/>
    <w:rsid w:val="32ED01EB"/>
    <w:rsid w:val="32ED1692"/>
    <w:rsid w:val="32ED5589"/>
    <w:rsid w:val="32EE0641"/>
    <w:rsid w:val="32EE540A"/>
    <w:rsid w:val="32EE5A70"/>
    <w:rsid w:val="32EE62B0"/>
    <w:rsid w:val="32EE71B8"/>
    <w:rsid w:val="32EE7FE7"/>
    <w:rsid w:val="32EF1AD0"/>
    <w:rsid w:val="32EF34B3"/>
    <w:rsid w:val="32EF53D2"/>
    <w:rsid w:val="32F01183"/>
    <w:rsid w:val="32F02A29"/>
    <w:rsid w:val="32F03341"/>
    <w:rsid w:val="32F04332"/>
    <w:rsid w:val="32F04CDF"/>
    <w:rsid w:val="32F05DE8"/>
    <w:rsid w:val="32F07FDC"/>
    <w:rsid w:val="32F15B31"/>
    <w:rsid w:val="32F267A9"/>
    <w:rsid w:val="32F347CF"/>
    <w:rsid w:val="32F36623"/>
    <w:rsid w:val="32F36E95"/>
    <w:rsid w:val="32F40B8A"/>
    <w:rsid w:val="32F40CF8"/>
    <w:rsid w:val="32F50547"/>
    <w:rsid w:val="32F522F5"/>
    <w:rsid w:val="32F63493"/>
    <w:rsid w:val="32F6606D"/>
    <w:rsid w:val="32F72511"/>
    <w:rsid w:val="32F74AF5"/>
    <w:rsid w:val="32F771F0"/>
    <w:rsid w:val="32F82279"/>
    <w:rsid w:val="32F82AAB"/>
    <w:rsid w:val="32F83B93"/>
    <w:rsid w:val="32F842C3"/>
    <w:rsid w:val="32F91E95"/>
    <w:rsid w:val="32F920E3"/>
    <w:rsid w:val="32FA378F"/>
    <w:rsid w:val="32FA3DAF"/>
    <w:rsid w:val="32FA5B5D"/>
    <w:rsid w:val="32FA790B"/>
    <w:rsid w:val="32FB5E31"/>
    <w:rsid w:val="32FB7B08"/>
    <w:rsid w:val="32FC18D5"/>
    <w:rsid w:val="32FC7B27"/>
    <w:rsid w:val="32FD11AA"/>
    <w:rsid w:val="32FD26A6"/>
    <w:rsid w:val="32FD564D"/>
    <w:rsid w:val="32FD6CA5"/>
    <w:rsid w:val="32FD70A9"/>
    <w:rsid w:val="32FD73FC"/>
    <w:rsid w:val="32FE389F"/>
    <w:rsid w:val="32FE6A4B"/>
    <w:rsid w:val="32FE7CFB"/>
    <w:rsid w:val="32FF13C6"/>
    <w:rsid w:val="32FF4F22"/>
    <w:rsid w:val="32FF69F4"/>
    <w:rsid w:val="3300373A"/>
    <w:rsid w:val="330115DA"/>
    <w:rsid w:val="33011A86"/>
    <w:rsid w:val="3301400C"/>
    <w:rsid w:val="3301513E"/>
    <w:rsid w:val="330216E8"/>
    <w:rsid w:val="3302287F"/>
    <w:rsid w:val="33024479"/>
    <w:rsid w:val="33033B61"/>
    <w:rsid w:val="33034F04"/>
    <w:rsid w:val="330405D6"/>
    <w:rsid w:val="33044C2E"/>
    <w:rsid w:val="330469DC"/>
    <w:rsid w:val="33055437"/>
    <w:rsid w:val="33060AFD"/>
    <w:rsid w:val="33064502"/>
    <w:rsid w:val="33071207"/>
    <w:rsid w:val="33082236"/>
    <w:rsid w:val="33087100"/>
    <w:rsid w:val="33094007"/>
    <w:rsid w:val="3309726A"/>
    <w:rsid w:val="330A17CB"/>
    <w:rsid w:val="330B3B07"/>
    <w:rsid w:val="330B6836"/>
    <w:rsid w:val="330B7D6A"/>
    <w:rsid w:val="330C0FF5"/>
    <w:rsid w:val="330C0FF8"/>
    <w:rsid w:val="330C3079"/>
    <w:rsid w:val="330D2A50"/>
    <w:rsid w:val="330D3AE3"/>
    <w:rsid w:val="330D3BC9"/>
    <w:rsid w:val="330E33B7"/>
    <w:rsid w:val="330E3E4F"/>
    <w:rsid w:val="330E78F3"/>
    <w:rsid w:val="330F03F2"/>
    <w:rsid w:val="330F6909"/>
    <w:rsid w:val="33105381"/>
    <w:rsid w:val="3310712F"/>
    <w:rsid w:val="33110113"/>
    <w:rsid w:val="33110684"/>
    <w:rsid w:val="33110B43"/>
    <w:rsid w:val="331130DB"/>
    <w:rsid w:val="33122EA7"/>
    <w:rsid w:val="33124E6A"/>
    <w:rsid w:val="331271E5"/>
    <w:rsid w:val="331309CD"/>
    <w:rsid w:val="33134A22"/>
    <w:rsid w:val="33134A9D"/>
    <w:rsid w:val="33134E71"/>
    <w:rsid w:val="33135B91"/>
    <w:rsid w:val="33136607"/>
    <w:rsid w:val="33136C1F"/>
    <w:rsid w:val="3314235B"/>
    <w:rsid w:val="33152997"/>
    <w:rsid w:val="33160928"/>
    <w:rsid w:val="3316226B"/>
    <w:rsid w:val="331704BD"/>
    <w:rsid w:val="3317134F"/>
    <w:rsid w:val="33176593"/>
    <w:rsid w:val="3317670F"/>
    <w:rsid w:val="33180CDC"/>
    <w:rsid w:val="33182487"/>
    <w:rsid w:val="331838AD"/>
    <w:rsid w:val="331844EF"/>
    <w:rsid w:val="33185FE3"/>
    <w:rsid w:val="331A1597"/>
    <w:rsid w:val="331A1847"/>
    <w:rsid w:val="331A29D6"/>
    <w:rsid w:val="331A3451"/>
    <w:rsid w:val="331A47AA"/>
    <w:rsid w:val="331A61FF"/>
    <w:rsid w:val="331A6B3D"/>
    <w:rsid w:val="331B4953"/>
    <w:rsid w:val="331B54AE"/>
    <w:rsid w:val="331B57EB"/>
    <w:rsid w:val="331B6103"/>
    <w:rsid w:val="331B765D"/>
    <w:rsid w:val="331C01E4"/>
    <w:rsid w:val="331C02C1"/>
    <w:rsid w:val="331C0C03"/>
    <w:rsid w:val="331C1F78"/>
    <w:rsid w:val="331C1FF5"/>
    <w:rsid w:val="331C3D26"/>
    <w:rsid w:val="331D184C"/>
    <w:rsid w:val="331D7A9E"/>
    <w:rsid w:val="331E49CF"/>
    <w:rsid w:val="331E5FDE"/>
    <w:rsid w:val="331F0BAF"/>
    <w:rsid w:val="331F7372"/>
    <w:rsid w:val="332029EC"/>
    <w:rsid w:val="33202E6E"/>
    <w:rsid w:val="3320303C"/>
    <w:rsid w:val="3321133C"/>
    <w:rsid w:val="332134CF"/>
    <w:rsid w:val="332143CC"/>
    <w:rsid w:val="33215BC8"/>
    <w:rsid w:val="3321758E"/>
    <w:rsid w:val="33220459"/>
    <w:rsid w:val="33223089"/>
    <w:rsid w:val="33226E62"/>
    <w:rsid w:val="33227A1F"/>
    <w:rsid w:val="332309C0"/>
    <w:rsid w:val="33231A83"/>
    <w:rsid w:val="33233306"/>
    <w:rsid w:val="33235DEF"/>
    <w:rsid w:val="33240E2C"/>
    <w:rsid w:val="33242BDA"/>
    <w:rsid w:val="33246A6E"/>
    <w:rsid w:val="3324727F"/>
    <w:rsid w:val="33257AFD"/>
    <w:rsid w:val="33260700"/>
    <w:rsid w:val="33260D24"/>
    <w:rsid w:val="33264547"/>
    <w:rsid w:val="33264BA4"/>
    <w:rsid w:val="3326572E"/>
    <w:rsid w:val="332741AD"/>
    <w:rsid w:val="33274478"/>
    <w:rsid w:val="33275901"/>
    <w:rsid w:val="3328091C"/>
    <w:rsid w:val="332826CA"/>
    <w:rsid w:val="3329008C"/>
    <w:rsid w:val="3329067E"/>
    <w:rsid w:val="33293075"/>
    <w:rsid w:val="33294694"/>
    <w:rsid w:val="33296443"/>
    <w:rsid w:val="332A126C"/>
    <w:rsid w:val="332A4E1C"/>
    <w:rsid w:val="332A54DF"/>
    <w:rsid w:val="332A6241"/>
    <w:rsid w:val="332B0CB1"/>
    <w:rsid w:val="332B2381"/>
    <w:rsid w:val="332B24E9"/>
    <w:rsid w:val="332B5B5F"/>
    <w:rsid w:val="332C0764"/>
    <w:rsid w:val="332C6AF9"/>
    <w:rsid w:val="332C6E30"/>
    <w:rsid w:val="332D607C"/>
    <w:rsid w:val="332D7440"/>
    <w:rsid w:val="332E160F"/>
    <w:rsid w:val="332E1CAB"/>
    <w:rsid w:val="332E33C7"/>
    <w:rsid w:val="332F15ED"/>
    <w:rsid w:val="332F6F63"/>
    <w:rsid w:val="332F7F28"/>
    <w:rsid w:val="333007C9"/>
    <w:rsid w:val="3330157F"/>
    <w:rsid w:val="333015F2"/>
    <w:rsid w:val="33302AB8"/>
    <w:rsid w:val="33302AD7"/>
    <w:rsid w:val="33303530"/>
    <w:rsid w:val="33305A23"/>
    <w:rsid w:val="33306148"/>
    <w:rsid w:val="33316F3D"/>
    <w:rsid w:val="333170A5"/>
    <w:rsid w:val="33323549"/>
    <w:rsid w:val="333247F6"/>
    <w:rsid w:val="3332654C"/>
    <w:rsid w:val="333323D5"/>
    <w:rsid w:val="33332E1D"/>
    <w:rsid w:val="33346D74"/>
    <w:rsid w:val="333472C1"/>
    <w:rsid w:val="33354DE7"/>
    <w:rsid w:val="33355D66"/>
    <w:rsid w:val="33363E1A"/>
    <w:rsid w:val="3336791A"/>
    <w:rsid w:val="33374984"/>
    <w:rsid w:val="33374CFC"/>
    <w:rsid w:val="33380434"/>
    <w:rsid w:val="33384493"/>
    <w:rsid w:val="33386B85"/>
    <w:rsid w:val="3338771F"/>
    <w:rsid w:val="33390CE8"/>
    <w:rsid w:val="33390D3B"/>
    <w:rsid w:val="333918D5"/>
    <w:rsid w:val="333A14AD"/>
    <w:rsid w:val="333A16B6"/>
    <w:rsid w:val="333A23FE"/>
    <w:rsid w:val="333A6F2D"/>
    <w:rsid w:val="333B49F7"/>
    <w:rsid w:val="333B61E5"/>
    <w:rsid w:val="333C43C8"/>
    <w:rsid w:val="333C64C1"/>
    <w:rsid w:val="333C7F24"/>
    <w:rsid w:val="333D4138"/>
    <w:rsid w:val="333D5A4A"/>
    <w:rsid w:val="333E40AB"/>
    <w:rsid w:val="333F60CC"/>
    <w:rsid w:val="333F701A"/>
    <w:rsid w:val="33405EC6"/>
    <w:rsid w:val="334119DE"/>
    <w:rsid w:val="33412F5E"/>
    <w:rsid w:val="33414B41"/>
    <w:rsid w:val="33421DB3"/>
    <w:rsid w:val="33423060"/>
    <w:rsid w:val="334333C8"/>
    <w:rsid w:val="334343D9"/>
    <w:rsid w:val="33434B22"/>
    <w:rsid w:val="33437504"/>
    <w:rsid w:val="3344327C"/>
    <w:rsid w:val="334448B4"/>
    <w:rsid w:val="334448D6"/>
    <w:rsid w:val="33445162"/>
    <w:rsid w:val="33457039"/>
    <w:rsid w:val="33461F3D"/>
    <w:rsid w:val="33482D6D"/>
    <w:rsid w:val="33490893"/>
    <w:rsid w:val="33490926"/>
    <w:rsid w:val="33492641"/>
    <w:rsid w:val="33492A68"/>
    <w:rsid w:val="334943EF"/>
    <w:rsid w:val="334A37DC"/>
    <w:rsid w:val="334A7557"/>
    <w:rsid w:val="334A77E5"/>
    <w:rsid w:val="334B460B"/>
    <w:rsid w:val="334B6320"/>
    <w:rsid w:val="334C71AE"/>
    <w:rsid w:val="334D105C"/>
    <w:rsid w:val="334D24C4"/>
    <w:rsid w:val="334E6356"/>
    <w:rsid w:val="334E7C57"/>
    <w:rsid w:val="334F058B"/>
    <w:rsid w:val="334F40FB"/>
    <w:rsid w:val="334F422D"/>
    <w:rsid w:val="334F69FB"/>
    <w:rsid w:val="33501C21"/>
    <w:rsid w:val="33501E5D"/>
    <w:rsid w:val="335030A3"/>
    <w:rsid w:val="3350577D"/>
    <w:rsid w:val="33512084"/>
    <w:rsid w:val="335159EE"/>
    <w:rsid w:val="33521BDC"/>
    <w:rsid w:val="33522D27"/>
    <w:rsid w:val="33522D84"/>
    <w:rsid w:val="33523117"/>
    <w:rsid w:val="33525999"/>
    <w:rsid w:val="33527747"/>
    <w:rsid w:val="335334BF"/>
    <w:rsid w:val="3353421E"/>
    <w:rsid w:val="33541711"/>
    <w:rsid w:val="33546673"/>
    <w:rsid w:val="33557C16"/>
    <w:rsid w:val="33563720"/>
    <w:rsid w:val="33572166"/>
    <w:rsid w:val="33572452"/>
    <w:rsid w:val="33581701"/>
    <w:rsid w:val="33595424"/>
    <w:rsid w:val="3359561A"/>
    <w:rsid w:val="33595868"/>
    <w:rsid w:val="33596D28"/>
    <w:rsid w:val="335A484E"/>
    <w:rsid w:val="335A547D"/>
    <w:rsid w:val="335A65FC"/>
    <w:rsid w:val="335B187F"/>
    <w:rsid w:val="335B2455"/>
    <w:rsid w:val="335C5069"/>
    <w:rsid w:val="335C6818"/>
    <w:rsid w:val="335D0251"/>
    <w:rsid w:val="335D3108"/>
    <w:rsid w:val="335D48E6"/>
    <w:rsid w:val="335E20FD"/>
    <w:rsid w:val="335E3471"/>
    <w:rsid w:val="335F1E64"/>
    <w:rsid w:val="335F3C12"/>
    <w:rsid w:val="33602730"/>
    <w:rsid w:val="33605575"/>
    <w:rsid w:val="33611AEF"/>
    <w:rsid w:val="336122CF"/>
    <w:rsid w:val="33613E2E"/>
    <w:rsid w:val="336158F6"/>
    <w:rsid w:val="33615BDC"/>
    <w:rsid w:val="33617221"/>
    <w:rsid w:val="336200BD"/>
    <w:rsid w:val="336265CE"/>
    <w:rsid w:val="33631954"/>
    <w:rsid w:val="33631ED1"/>
    <w:rsid w:val="336441CB"/>
    <w:rsid w:val="336448E5"/>
    <w:rsid w:val="3365368F"/>
    <w:rsid w:val="33655E0F"/>
    <w:rsid w:val="33660456"/>
    <w:rsid w:val="33661025"/>
    <w:rsid w:val="33663C35"/>
    <w:rsid w:val="33664FA1"/>
    <w:rsid w:val="3366539D"/>
    <w:rsid w:val="33665F97"/>
    <w:rsid w:val="336702CA"/>
    <w:rsid w:val="33681E65"/>
    <w:rsid w:val="33685C64"/>
    <w:rsid w:val="33690584"/>
    <w:rsid w:val="3369683F"/>
    <w:rsid w:val="336A2CE3"/>
    <w:rsid w:val="336A42A8"/>
    <w:rsid w:val="336B6A5B"/>
    <w:rsid w:val="336D27D3"/>
    <w:rsid w:val="336D3D6E"/>
    <w:rsid w:val="336D741C"/>
    <w:rsid w:val="336E20A7"/>
    <w:rsid w:val="336E3E55"/>
    <w:rsid w:val="336F02F9"/>
    <w:rsid w:val="336F151E"/>
    <w:rsid w:val="336F46CB"/>
    <w:rsid w:val="336F654B"/>
    <w:rsid w:val="33704529"/>
    <w:rsid w:val="33705886"/>
    <w:rsid w:val="33705E1F"/>
    <w:rsid w:val="33707BCD"/>
    <w:rsid w:val="33713745"/>
    <w:rsid w:val="3371497A"/>
    <w:rsid w:val="33714B08"/>
    <w:rsid w:val="33716622"/>
    <w:rsid w:val="33723946"/>
    <w:rsid w:val="33725F60"/>
    <w:rsid w:val="33727DEA"/>
    <w:rsid w:val="33730D22"/>
    <w:rsid w:val="337374D1"/>
    <w:rsid w:val="337376BE"/>
    <w:rsid w:val="337422FD"/>
    <w:rsid w:val="33747061"/>
    <w:rsid w:val="33751199"/>
    <w:rsid w:val="33751688"/>
    <w:rsid w:val="33752F9F"/>
    <w:rsid w:val="33753436"/>
    <w:rsid w:val="33755FE9"/>
    <w:rsid w:val="33772B88"/>
    <w:rsid w:val="33784018"/>
    <w:rsid w:val="3378770B"/>
    <w:rsid w:val="337900C3"/>
    <w:rsid w:val="33792F65"/>
    <w:rsid w:val="337931C3"/>
    <w:rsid w:val="33795DA1"/>
    <w:rsid w:val="337960BD"/>
    <w:rsid w:val="337A2DF5"/>
    <w:rsid w:val="337A55C0"/>
    <w:rsid w:val="337A6C9E"/>
    <w:rsid w:val="337B2999"/>
    <w:rsid w:val="337C29D9"/>
    <w:rsid w:val="337C2A16"/>
    <w:rsid w:val="337C372C"/>
    <w:rsid w:val="337C47C4"/>
    <w:rsid w:val="337D77BC"/>
    <w:rsid w:val="337E13A0"/>
    <w:rsid w:val="337E22EA"/>
    <w:rsid w:val="337F2D55"/>
    <w:rsid w:val="337F3EEB"/>
    <w:rsid w:val="337F42B4"/>
    <w:rsid w:val="33802506"/>
    <w:rsid w:val="33806DB1"/>
    <w:rsid w:val="3381002D"/>
    <w:rsid w:val="33813B89"/>
    <w:rsid w:val="33814A32"/>
    <w:rsid w:val="338213DC"/>
    <w:rsid w:val="33821C9C"/>
    <w:rsid w:val="33824B11"/>
    <w:rsid w:val="33826993"/>
    <w:rsid w:val="33826F8A"/>
    <w:rsid w:val="3382746A"/>
    <w:rsid w:val="33830649"/>
    <w:rsid w:val="3383112B"/>
    <w:rsid w:val="33831668"/>
    <w:rsid w:val="33835B53"/>
    <w:rsid w:val="33836C5A"/>
    <w:rsid w:val="338418CB"/>
    <w:rsid w:val="33843679"/>
    <w:rsid w:val="33857B1D"/>
    <w:rsid w:val="33861640"/>
    <w:rsid w:val="338618CC"/>
    <w:rsid w:val="338631D6"/>
    <w:rsid w:val="33863C2A"/>
    <w:rsid w:val="33865643"/>
    <w:rsid w:val="33872D43"/>
    <w:rsid w:val="33872F88"/>
    <w:rsid w:val="338754BD"/>
    <w:rsid w:val="33883169"/>
    <w:rsid w:val="33886DEB"/>
    <w:rsid w:val="338907ED"/>
    <w:rsid w:val="33894F9D"/>
    <w:rsid w:val="338A5133"/>
    <w:rsid w:val="338A642D"/>
    <w:rsid w:val="338A662B"/>
    <w:rsid w:val="338B1C61"/>
    <w:rsid w:val="338B248E"/>
    <w:rsid w:val="338B376C"/>
    <w:rsid w:val="338B4A07"/>
    <w:rsid w:val="338D4DAE"/>
    <w:rsid w:val="338D64EF"/>
    <w:rsid w:val="338E3C34"/>
    <w:rsid w:val="338E62A6"/>
    <w:rsid w:val="338F44F8"/>
    <w:rsid w:val="33900270"/>
    <w:rsid w:val="339018EE"/>
    <w:rsid w:val="3390372F"/>
    <w:rsid w:val="33911087"/>
    <w:rsid w:val="33916300"/>
    <w:rsid w:val="3392223A"/>
    <w:rsid w:val="33923FE8"/>
    <w:rsid w:val="33925325"/>
    <w:rsid w:val="3392544A"/>
    <w:rsid w:val="33925D96"/>
    <w:rsid w:val="33931C90"/>
    <w:rsid w:val="33934A8F"/>
    <w:rsid w:val="33944A27"/>
    <w:rsid w:val="33945FB2"/>
    <w:rsid w:val="3395254A"/>
    <w:rsid w:val="33956C7B"/>
    <w:rsid w:val="339657D2"/>
    <w:rsid w:val="339675A1"/>
    <w:rsid w:val="33970CD2"/>
    <w:rsid w:val="339732A4"/>
    <w:rsid w:val="33977850"/>
    <w:rsid w:val="33984BB2"/>
    <w:rsid w:val="33985793"/>
    <w:rsid w:val="339935C8"/>
    <w:rsid w:val="33995376"/>
    <w:rsid w:val="33997124"/>
    <w:rsid w:val="33997663"/>
    <w:rsid w:val="339A2CDD"/>
    <w:rsid w:val="339A4184"/>
    <w:rsid w:val="339A4C4A"/>
    <w:rsid w:val="339A7724"/>
    <w:rsid w:val="339B13BA"/>
    <w:rsid w:val="339B7340"/>
    <w:rsid w:val="339C1875"/>
    <w:rsid w:val="339C2976"/>
    <w:rsid w:val="339C4E66"/>
    <w:rsid w:val="339D5FE4"/>
    <w:rsid w:val="339E007A"/>
    <w:rsid w:val="339E0BDF"/>
    <w:rsid w:val="339E47CD"/>
    <w:rsid w:val="339F04B3"/>
    <w:rsid w:val="339F19D0"/>
    <w:rsid w:val="33A03224"/>
    <w:rsid w:val="33A06705"/>
    <w:rsid w:val="33A14E8B"/>
    <w:rsid w:val="33A23C26"/>
    <w:rsid w:val="33A27F40"/>
    <w:rsid w:val="33A30715"/>
    <w:rsid w:val="33A37A8A"/>
    <w:rsid w:val="33A37FA3"/>
    <w:rsid w:val="33A40FA7"/>
    <w:rsid w:val="33A425FC"/>
    <w:rsid w:val="33A44248"/>
    <w:rsid w:val="33A47D8E"/>
    <w:rsid w:val="33A52438"/>
    <w:rsid w:val="33A61841"/>
    <w:rsid w:val="33A65AE6"/>
    <w:rsid w:val="33A67A93"/>
    <w:rsid w:val="33A721F4"/>
    <w:rsid w:val="33A72B20"/>
    <w:rsid w:val="33A77646"/>
    <w:rsid w:val="33A828AD"/>
    <w:rsid w:val="33A8380B"/>
    <w:rsid w:val="33A8483A"/>
    <w:rsid w:val="33A85332"/>
    <w:rsid w:val="33A855B9"/>
    <w:rsid w:val="33A95F20"/>
    <w:rsid w:val="33A972F5"/>
    <w:rsid w:val="33AA0F4E"/>
    <w:rsid w:val="33AA12CE"/>
    <w:rsid w:val="33AA7583"/>
    <w:rsid w:val="33AB04A2"/>
    <w:rsid w:val="33AB6E58"/>
    <w:rsid w:val="33AC5AD1"/>
    <w:rsid w:val="33AD0E22"/>
    <w:rsid w:val="33AD2BD0"/>
    <w:rsid w:val="33AD497E"/>
    <w:rsid w:val="33AD7074"/>
    <w:rsid w:val="33AE4637"/>
    <w:rsid w:val="33AF403A"/>
    <w:rsid w:val="33AF4B9A"/>
    <w:rsid w:val="33B026C0"/>
    <w:rsid w:val="33B0446E"/>
    <w:rsid w:val="33B04BF7"/>
    <w:rsid w:val="33B057E3"/>
    <w:rsid w:val="33B1049A"/>
    <w:rsid w:val="33B10912"/>
    <w:rsid w:val="33B1641E"/>
    <w:rsid w:val="33B16983"/>
    <w:rsid w:val="33B20E60"/>
    <w:rsid w:val="33B2468A"/>
    <w:rsid w:val="33B24B2D"/>
    <w:rsid w:val="33B26438"/>
    <w:rsid w:val="33B3020A"/>
    <w:rsid w:val="33B311AA"/>
    <w:rsid w:val="33B3529D"/>
    <w:rsid w:val="33B41F5F"/>
    <w:rsid w:val="33B421B0"/>
    <w:rsid w:val="33B432F9"/>
    <w:rsid w:val="33B43430"/>
    <w:rsid w:val="33B45D0C"/>
    <w:rsid w:val="33B513F0"/>
    <w:rsid w:val="33B51A84"/>
    <w:rsid w:val="33B64925"/>
    <w:rsid w:val="33B670A7"/>
    <w:rsid w:val="33B71CA0"/>
    <w:rsid w:val="33B769AF"/>
    <w:rsid w:val="33B81192"/>
    <w:rsid w:val="33B830B8"/>
    <w:rsid w:val="33B96552"/>
    <w:rsid w:val="33BA52ED"/>
    <w:rsid w:val="33BB3E6D"/>
    <w:rsid w:val="33BC1065"/>
    <w:rsid w:val="33BC1310"/>
    <w:rsid w:val="33BC2E13"/>
    <w:rsid w:val="33BC4853"/>
    <w:rsid w:val="33BC611F"/>
    <w:rsid w:val="33BD57D9"/>
    <w:rsid w:val="33BE302F"/>
    <w:rsid w:val="33BE4DDD"/>
    <w:rsid w:val="33BE6B8B"/>
    <w:rsid w:val="33BE7EEE"/>
    <w:rsid w:val="33BF2903"/>
    <w:rsid w:val="33BF3356"/>
    <w:rsid w:val="33BF3BC8"/>
    <w:rsid w:val="33BF6C69"/>
    <w:rsid w:val="33C00B55"/>
    <w:rsid w:val="33C04CC0"/>
    <w:rsid w:val="33C06DA7"/>
    <w:rsid w:val="33C10429"/>
    <w:rsid w:val="33C13C9E"/>
    <w:rsid w:val="33C1667B"/>
    <w:rsid w:val="33C25C2F"/>
    <w:rsid w:val="33C265A2"/>
    <w:rsid w:val="33C323F3"/>
    <w:rsid w:val="33C35353"/>
    <w:rsid w:val="33C4118F"/>
    <w:rsid w:val="33C50534"/>
    <w:rsid w:val="33C543BD"/>
    <w:rsid w:val="33C576F1"/>
    <w:rsid w:val="33C57F19"/>
    <w:rsid w:val="33C61EE3"/>
    <w:rsid w:val="33C63C91"/>
    <w:rsid w:val="33C65A3F"/>
    <w:rsid w:val="33C70135"/>
    <w:rsid w:val="33C7305B"/>
    <w:rsid w:val="33C75133"/>
    <w:rsid w:val="33C817B8"/>
    <w:rsid w:val="33C861DB"/>
    <w:rsid w:val="33C91E40"/>
    <w:rsid w:val="33C934E3"/>
    <w:rsid w:val="33C97AF7"/>
    <w:rsid w:val="33CB33B6"/>
    <w:rsid w:val="33CB58BD"/>
    <w:rsid w:val="33CB5D8A"/>
    <w:rsid w:val="33CB64A0"/>
    <w:rsid w:val="33CC0DB1"/>
    <w:rsid w:val="33CC574C"/>
    <w:rsid w:val="33CC7C48"/>
    <w:rsid w:val="33CD5020"/>
    <w:rsid w:val="33CD6DCE"/>
    <w:rsid w:val="33CE728B"/>
    <w:rsid w:val="33CF0D98"/>
    <w:rsid w:val="33CF0E73"/>
    <w:rsid w:val="33CF2B46"/>
    <w:rsid w:val="33CF3557"/>
    <w:rsid w:val="33CF53D3"/>
    <w:rsid w:val="33CF6FEA"/>
    <w:rsid w:val="33D04B10"/>
    <w:rsid w:val="33D068BE"/>
    <w:rsid w:val="33D17FCE"/>
    <w:rsid w:val="33D22636"/>
    <w:rsid w:val="33D26ADA"/>
    <w:rsid w:val="33D30311"/>
    <w:rsid w:val="33D32DF4"/>
    <w:rsid w:val="33D4015C"/>
    <w:rsid w:val="33D42476"/>
    <w:rsid w:val="33D452AA"/>
    <w:rsid w:val="33D462E0"/>
    <w:rsid w:val="33D463AE"/>
    <w:rsid w:val="33D46F08"/>
    <w:rsid w:val="33D535A4"/>
    <w:rsid w:val="33D53ED4"/>
    <w:rsid w:val="33D55F30"/>
    <w:rsid w:val="33D5696C"/>
    <w:rsid w:val="33D56BC6"/>
    <w:rsid w:val="33D6176C"/>
    <w:rsid w:val="33D62126"/>
    <w:rsid w:val="33D70141"/>
    <w:rsid w:val="33D8389B"/>
    <w:rsid w:val="33D852A4"/>
    <w:rsid w:val="33D87354"/>
    <w:rsid w:val="33D91C17"/>
    <w:rsid w:val="33D934D4"/>
    <w:rsid w:val="33D940BA"/>
    <w:rsid w:val="33D9593B"/>
    <w:rsid w:val="33D97E69"/>
    <w:rsid w:val="33DA36C2"/>
    <w:rsid w:val="33DA548E"/>
    <w:rsid w:val="33DB4845"/>
    <w:rsid w:val="33DB598F"/>
    <w:rsid w:val="33DB773D"/>
    <w:rsid w:val="33DC34B5"/>
    <w:rsid w:val="33DC3ACF"/>
    <w:rsid w:val="33DC584C"/>
    <w:rsid w:val="33DD6483"/>
    <w:rsid w:val="33DE0FDB"/>
    <w:rsid w:val="33DE31C6"/>
    <w:rsid w:val="33DF321B"/>
    <w:rsid w:val="33DF6B01"/>
    <w:rsid w:val="33E006B7"/>
    <w:rsid w:val="33E0318C"/>
    <w:rsid w:val="33E10ACB"/>
    <w:rsid w:val="33E115C7"/>
    <w:rsid w:val="33E12879"/>
    <w:rsid w:val="33E15564"/>
    <w:rsid w:val="33E16D1D"/>
    <w:rsid w:val="33E22FD7"/>
    <w:rsid w:val="33E32226"/>
    <w:rsid w:val="33E45B7D"/>
    <w:rsid w:val="33E505BB"/>
    <w:rsid w:val="33E52369"/>
    <w:rsid w:val="33E55B90"/>
    <w:rsid w:val="33E644F4"/>
    <w:rsid w:val="33E67E90"/>
    <w:rsid w:val="33E774AE"/>
    <w:rsid w:val="33E81E5A"/>
    <w:rsid w:val="33E83900"/>
    <w:rsid w:val="33E902D9"/>
    <w:rsid w:val="33E90C0F"/>
    <w:rsid w:val="33E91A1A"/>
    <w:rsid w:val="33E948F3"/>
    <w:rsid w:val="33E966A5"/>
    <w:rsid w:val="33EA0AAD"/>
    <w:rsid w:val="33EA1139"/>
    <w:rsid w:val="33EA3E24"/>
    <w:rsid w:val="33EA5BD2"/>
    <w:rsid w:val="33EB0C99"/>
    <w:rsid w:val="33EB330D"/>
    <w:rsid w:val="33EC787F"/>
    <w:rsid w:val="33ED4CCA"/>
    <w:rsid w:val="33EE0BD5"/>
    <w:rsid w:val="33EE6425"/>
    <w:rsid w:val="33EF07FB"/>
    <w:rsid w:val="33EF143A"/>
    <w:rsid w:val="33EF31E8"/>
    <w:rsid w:val="33EF4A11"/>
    <w:rsid w:val="33EF5F4F"/>
    <w:rsid w:val="33F001AC"/>
    <w:rsid w:val="33F00D0E"/>
    <w:rsid w:val="33F01BCB"/>
    <w:rsid w:val="33F025D3"/>
    <w:rsid w:val="33F02ACD"/>
    <w:rsid w:val="33F06363"/>
    <w:rsid w:val="33F151B2"/>
    <w:rsid w:val="33F16F60"/>
    <w:rsid w:val="33F16FF6"/>
    <w:rsid w:val="33F23A9A"/>
    <w:rsid w:val="33F2420D"/>
    <w:rsid w:val="33F25EAA"/>
    <w:rsid w:val="33F35330"/>
    <w:rsid w:val="33F4698B"/>
    <w:rsid w:val="33F46A50"/>
    <w:rsid w:val="33F52433"/>
    <w:rsid w:val="33F5523E"/>
    <w:rsid w:val="33F56325"/>
    <w:rsid w:val="33F566D9"/>
    <w:rsid w:val="33F627C9"/>
    <w:rsid w:val="33F66D4D"/>
    <w:rsid w:val="33F702EF"/>
    <w:rsid w:val="33F7209D"/>
    <w:rsid w:val="33F7717A"/>
    <w:rsid w:val="33F8203A"/>
    <w:rsid w:val="33F840DF"/>
    <w:rsid w:val="33F8693E"/>
    <w:rsid w:val="33F87A58"/>
    <w:rsid w:val="33FA2B2F"/>
    <w:rsid w:val="33FA5A5A"/>
    <w:rsid w:val="33FB1B8D"/>
    <w:rsid w:val="33FB585A"/>
    <w:rsid w:val="33FC0AE5"/>
    <w:rsid w:val="33FC5BC9"/>
    <w:rsid w:val="33FC76B3"/>
    <w:rsid w:val="33FD33C5"/>
    <w:rsid w:val="33FE093E"/>
    <w:rsid w:val="33FE167D"/>
    <w:rsid w:val="33FE27B0"/>
    <w:rsid w:val="33FE2F6A"/>
    <w:rsid w:val="33FE342B"/>
    <w:rsid w:val="33FE78CF"/>
    <w:rsid w:val="33FF3953"/>
    <w:rsid w:val="33FF5F40"/>
    <w:rsid w:val="33FF696C"/>
    <w:rsid w:val="33FF738F"/>
    <w:rsid w:val="33FF7791"/>
    <w:rsid w:val="34000D04"/>
    <w:rsid w:val="34000F51"/>
    <w:rsid w:val="3400165C"/>
    <w:rsid w:val="34013646"/>
    <w:rsid w:val="34014CC9"/>
    <w:rsid w:val="3402116D"/>
    <w:rsid w:val="34023EEC"/>
    <w:rsid w:val="34025849"/>
    <w:rsid w:val="340268A2"/>
    <w:rsid w:val="34027C3F"/>
    <w:rsid w:val="34030A42"/>
    <w:rsid w:val="34031DE2"/>
    <w:rsid w:val="34034EE6"/>
    <w:rsid w:val="34036C94"/>
    <w:rsid w:val="3404139C"/>
    <w:rsid w:val="34046622"/>
    <w:rsid w:val="34050C5E"/>
    <w:rsid w:val="34051700"/>
    <w:rsid w:val="34052A0C"/>
    <w:rsid w:val="34055E60"/>
    <w:rsid w:val="34056867"/>
    <w:rsid w:val="340622E0"/>
    <w:rsid w:val="340647B9"/>
    <w:rsid w:val="34065948"/>
    <w:rsid w:val="34073117"/>
    <w:rsid w:val="34073E91"/>
    <w:rsid w:val="34074FA3"/>
    <w:rsid w:val="34076784"/>
    <w:rsid w:val="340812DE"/>
    <w:rsid w:val="340837F0"/>
    <w:rsid w:val="34086058"/>
    <w:rsid w:val="34091C4D"/>
    <w:rsid w:val="340978C3"/>
    <w:rsid w:val="340A0C8D"/>
    <w:rsid w:val="340A1DD0"/>
    <w:rsid w:val="340A4964"/>
    <w:rsid w:val="340A7BE9"/>
    <w:rsid w:val="340B0B33"/>
    <w:rsid w:val="340B47DF"/>
    <w:rsid w:val="340C4962"/>
    <w:rsid w:val="340C55C1"/>
    <w:rsid w:val="340C5B48"/>
    <w:rsid w:val="340D06C2"/>
    <w:rsid w:val="340D18C0"/>
    <w:rsid w:val="340D3972"/>
    <w:rsid w:val="340D76D4"/>
    <w:rsid w:val="340E07E5"/>
    <w:rsid w:val="340F089F"/>
    <w:rsid w:val="340F216A"/>
    <w:rsid w:val="340F4BF8"/>
    <w:rsid w:val="340F5638"/>
    <w:rsid w:val="340F73E6"/>
    <w:rsid w:val="34102DB7"/>
    <w:rsid w:val="341036FE"/>
    <w:rsid w:val="34112694"/>
    <w:rsid w:val="3411315F"/>
    <w:rsid w:val="34121BF1"/>
    <w:rsid w:val="34123FA9"/>
    <w:rsid w:val="34125129"/>
    <w:rsid w:val="341307E8"/>
    <w:rsid w:val="341313F2"/>
    <w:rsid w:val="34134B7D"/>
    <w:rsid w:val="34136117"/>
    <w:rsid w:val="34136664"/>
    <w:rsid w:val="341408B9"/>
    <w:rsid w:val="34140EA1"/>
    <w:rsid w:val="34142F77"/>
    <w:rsid w:val="341449D6"/>
    <w:rsid w:val="341472E4"/>
    <w:rsid w:val="341475A7"/>
    <w:rsid w:val="3416085D"/>
    <w:rsid w:val="34160A52"/>
    <w:rsid w:val="34161FDC"/>
    <w:rsid w:val="341669C7"/>
    <w:rsid w:val="341744ED"/>
    <w:rsid w:val="34174A98"/>
    <w:rsid w:val="3418084C"/>
    <w:rsid w:val="34180991"/>
    <w:rsid w:val="3419013B"/>
    <w:rsid w:val="34190265"/>
    <w:rsid w:val="341911B2"/>
    <w:rsid w:val="34196E9E"/>
    <w:rsid w:val="341973B8"/>
    <w:rsid w:val="341A3419"/>
    <w:rsid w:val="341B1B9D"/>
    <w:rsid w:val="341B1CD8"/>
    <w:rsid w:val="341B222F"/>
    <w:rsid w:val="341B5D8B"/>
    <w:rsid w:val="341B63D9"/>
    <w:rsid w:val="341B6D3C"/>
    <w:rsid w:val="341C1B03"/>
    <w:rsid w:val="341C3168"/>
    <w:rsid w:val="341C352D"/>
    <w:rsid w:val="341C41F2"/>
    <w:rsid w:val="341C4349"/>
    <w:rsid w:val="341C5D39"/>
    <w:rsid w:val="341C7D31"/>
    <w:rsid w:val="341D364B"/>
    <w:rsid w:val="341D57DB"/>
    <w:rsid w:val="341D7D55"/>
    <w:rsid w:val="341E3ACD"/>
    <w:rsid w:val="341F30CD"/>
    <w:rsid w:val="341F4EED"/>
    <w:rsid w:val="341F4EFA"/>
    <w:rsid w:val="342033A2"/>
    <w:rsid w:val="34203F89"/>
    <w:rsid w:val="34204A7E"/>
    <w:rsid w:val="34205DBC"/>
    <w:rsid w:val="34207607"/>
    <w:rsid w:val="34210FE7"/>
    <w:rsid w:val="342157CF"/>
    <w:rsid w:val="34216A9E"/>
    <w:rsid w:val="3421711A"/>
    <w:rsid w:val="3422128C"/>
    <w:rsid w:val="34223076"/>
    <w:rsid w:val="342235BE"/>
    <w:rsid w:val="34226C1D"/>
    <w:rsid w:val="3422714C"/>
    <w:rsid w:val="342310E4"/>
    <w:rsid w:val="34235BF7"/>
    <w:rsid w:val="34237214"/>
    <w:rsid w:val="34237336"/>
    <w:rsid w:val="342420DD"/>
    <w:rsid w:val="34242218"/>
    <w:rsid w:val="34245FBB"/>
    <w:rsid w:val="342509B8"/>
    <w:rsid w:val="34253333"/>
    <w:rsid w:val="34254E5C"/>
    <w:rsid w:val="34256C0A"/>
    <w:rsid w:val="34260809"/>
    <w:rsid w:val="342618F4"/>
    <w:rsid w:val="342619BC"/>
    <w:rsid w:val="34264730"/>
    <w:rsid w:val="34270BD4"/>
    <w:rsid w:val="34271721"/>
    <w:rsid w:val="34273D32"/>
    <w:rsid w:val="3428494C"/>
    <w:rsid w:val="3428514B"/>
    <w:rsid w:val="342A033D"/>
    <w:rsid w:val="342A1032"/>
    <w:rsid w:val="342A15B1"/>
    <w:rsid w:val="342A2472"/>
    <w:rsid w:val="342A26B9"/>
    <w:rsid w:val="342A4220"/>
    <w:rsid w:val="342B057B"/>
    <w:rsid w:val="342B17CD"/>
    <w:rsid w:val="342B3E71"/>
    <w:rsid w:val="342B5703"/>
    <w:rsid w:val="342C301B"/>
    <w:rsid w:val="342C6516"/>
    <w:rsid w:val="342D5ABF"/>
    <w:rsid w:val="342E67C0"/>
    <w:rsid w:val="342E6B39"/>
    <w:rsid w:val="342F12EA"/>
    <w:rsid w:val="342F477E"/>
    <w:rsid w:val="342F7A89"/>
    <w:rsid w:val="3430563F"/>
    <w:rsid w:val="34306827"/>
    <w:rsid w:val="34306A4C"/>
    <w:rsid w:val="34311A53"/>
    <w:rsid w:val="343155AF"/>
    <w:rsid w:val="3431732F"/>
    <w:rsid w:val="3431735D"/>
    <w:rsid w:val="343230D5"/>
    <w:rsid w:val="34324DB1"/>
    <w:rsid w:val="3432631B"/>
    <w:rsid w:val="34327F5F"/>
    <w:rsid w:val="34337579"/>
    <w:rsid w:val="343435B3"/>
    <w:rsid w:val="3434509F"/>
    <w:rsid w:val="34350851"/>
    <w:rsid w:val="343527C6"/>
    <w:rsid w:val="343540C1"/>
    <w:rsid w:val="34355450"/>
    <w:rsid w:val="34355EEC"/>
    <w:rsid w:val="3435730A"/>
    <w:rsid w:val="34360163"/>
    <w:rsid w:val="34362709"/>
    <w:rsid w:val="34373A8F"/>
    <w:rsid w:val="34375386"/>
    <w:rsid w:val="3438165E"/>
    <w:rsid w:val="34384B8F"/>
    <w:rsid w:val="343A2A35"/>
    <w:rsid w:val="343A43BC"/>
    <w:rsid w:val="343B122F"/>
    <w:rsid w:val="343B2752"/>
    <w:rsid w:val="343B467F"/>
    <w:rsid w:val="343B50BA"/>
    <w:rsid w:val="343D03F7"/>
    <w:rsid w:val="343E790F"/>
    <w:rsid w:val="343E7B4C"/>
    <w:rsid w:val="343F1AB8"/>
    <w:rsid w:val="343F3CA4"/>
    <w:rsid w:val="343F59E5"/>
    <w:rsid w:val="343F7812"/>
    <w:rsid w:val="343F7D3D"/>
    <w:rsid w:val="34400BA3"/>
    <w:rsid w:val="34402563"/>
    <w:rsid w:val="344076FA"/>
    <w:rsid w:val="34407CAD"/>
    <w:rsid w:val="34417936"/>
    <w:rsid w:val="3442156A"/>
    <w:rsid w:val="34424367"/>
    <w:rsid w:val="34425158"/>
    <w:rsid w:val="34425A0E"/>
    <w:rsid w:val="34430EE4"/>
    <w:rsid w:val="34432ACD"/>
    <w:rsid w:val="34433534"/>
    <w:rsid w:val="34435BB6"/>
    <w:rsid w:val="344363B2"/>
    <w:rsid w:val="344420DD"/>
    <w:rsid w:val="34443542"/>
    <w:rsid w:val="34452E08"/>
    <w:rsid w:val="344563D5"/>
    <w:rsid w:val="344572AC"/>
    <w:rsid w:val="34465607"/>
    <w:rsid w:val="34465748"/>
    <w:rsid w:val="344707B4"/>
    <w:rsid w:val="34474DD2"/>
    <w:rsid w:val="34480B4A"/>
    <w:rsid w:val="344828F8"/>
    <w:rsid w:val="34485450"/>
    <w:rsid w:val="34493546"/>
    <w:rsid w:val="3449659A"/>
    <w:rsid w:val="344A2B14"/>
    <w:rsid w:val="344A6670"/>
    <w:rsid w:val="344A72F5"/>
    <w:rsid w:val="344B5BDD"/>
    <w:rsid w:val="344C23E9"/>
    <w:rsid w:val="344C4197"/>
    <w:rsid w:val="344E070B"/>
    <w:rsid w:val="344F4802"/>
    <w:rsid w:val="34501CFF"/>
    <w:rsid w:val="34510D07"/>
    <w:rsid w:val="34516FBA"/>
    <w:rsid w:val="34517831"/>
    <w:rsid w:val="34525525"/>
    <w:rsid w:val="34527775"/>
    <w:rsid w:val="345353D5"/>
    <w:rsid w:val="34544A90"/>
    <w:rsid w:val="34546D5F"/>
    <w:rsid w:val="34547D28"/>
    <w:rsid w:val="34555ECA"/>
    <w:rsid w:val="34563267"/>
    <w:rsid w:val="34565768"/>
    <w:rsid w:val="34571B5B"/>
    <w:rsid w:val="34573FFE"/>
    <w:rsid w:val="34574699"/>
    <w:rsid w:val="3458496D"/>
    <w:rsid w:val="34592D57"/>
    <w:rsid w:val="34594155"/>
    <w:rsid w:val="345943B5"/>
    <w:rsid w:val="3459484B"/>
    <w:rsid w:val="34594B05"/>
    <w:rsid w:val="345968B4"/>
    <w:rsid w:val="345A5CDB"/>
    <w:rsid w:val="345B087E"/>
    <w:rsid w:val="345B0BBF"/>
    <w:rsid w:val="345C0152"/>
    <w:rsid w:val="345C1EAB"/>
    <w:rsid w:val="345C6FA6"/>
    <w:rsid w:val="345C7FC5"/>
    <w:rsid w:val="345D00B8"/>
    <w:rsid w:val="345D2848"/>
    <w:rsid w:val="345D2E98"/>
    <w:rsid w:val="345D465C"/>
    <w:rsid w:val="345D5B0D"/>
    <w:rsid w:val="345D63A4"/>
    <w:rsid w:val="345E036E"/>
    <w:rsid w:val="345E211C"/>
    <w:rsid w:val="345E3ECA"/>
    <w:rsid w:val="345F06BD"/>
    <w:rsid w:val="345F6EAF"/>
    <w:rsid w:val="346040E6"/>
    <w:rsid w:val="34605E94"/>
    <w:rsid w:val="346164CE"/>
    <w:rsid w:val="34621C0C"/>
    <w:rsid w:val="346239BA"/>
    <w:rsid w:val="346258FD"/>
    <w:rsid w:val="34627E5E"/>
    <w:rsid w:val="346304CE"/>
    <w:rsid w:val="346317C9"/>
    <w:rsid w:val="3463469C"/>
    <w:rsid w:val="34637172"/>
    <w:rsid w:val="34637732"/>
    <w:rsid w:val="34670FD0"/>
    <w:rsid w:val="3467570E"/>
    <w:rsid w:val="3467692F"/>
    <w:rsid w:val="34677222"/>
    <w:rsid w:val="34682EB0"/>
    <w:rsid w:val="346831E7"/>
    <w:rsid w:val="3468735D"/>
    <w:rsid w:val="346911EC"/>
    <w:rsid w:val="34692F9B"/>
    <w:rsid w:val="34695BBC"/>
    <w:rsid w:val="34697018"/>
    <w:rsid w:val="346B6C5F"/>
    <w:rsid w:val="346C157F"/>
    <w:rsid w:val="346C48D4"/>
    <w:rsid w:val="346C4DEB"/>
    <w:rsid w:val="346D0EDE"/>
    <w:rsid w:val="346D2A0F"/>
    <w:rsid w:val="346D4150"/>
    <w:rsid w:val="346E05B1"/>
    <w:rsid w:val="346E55E0"/>
    <w:rsid w:val="346F085F"/>
    <w:rsid w:val="346F257B"/>
    <w:rsid w:val="346F4329"/>
    <w:rsid w:val="346F78A6"/>
    <w:rsid w:val="34712160"/>
    <w:rsid w:val="34713BFD"/>
    <w:rsid w:val="34722C7B"/>
    <w:rsid w:val="347276EF"/>
    <w:rsid w:val="34727975"/>
    <w:rsid w:val="347303D3"/>
    <w:rsid w:val="3473104E"/>
    <w:rsid w:val="34733E19"/>
    <w:rsid w:val="34735BC7"/>
    <w:rsid w:val="34740178"/>
    <w:rsid w:val="347436ED"/>
    <w:rsid w:val="347440B5"/>
    <w:rsid w:val="34750A95"/>
    <w:rsid w:val="347528E2"/>
    <w:rsid w:val="347656B7"/>
    <w:rsid w:val="3476575D"/>
    <w:rsid w:val="34775202"/>
    <w:rsid w:val="347764D7"/>
    <w:rsid w:val="347831DE"/>
    <w:rsid w:val="34783FA8"/>
    <w:rsid w:val="34784F8C"/>
    <w:rsid w:val="34790000"/>
    <w:rsid w:val="34790D04"/>
    <w:rsid w:val="34791888"/>
    <w:rsid w:val="34792841"/>
    <w:rsid w:val="3479381D"/>
    <w:rsid w:val="34797724"/>
    <w:rsid w:val="347A3B83"/>
    <w:rsid w:val="347A51A8"/>
    <w:rsid w:val="347A6754"/>
    <w:rsid w:val="347A7915"/>
    <w:rsid w:val="347B0B65"/>
    <w:rsid w:val="347B0F20"/>
    <w:rsid w:val="347B2917"/>
    <w:rsid w:val="347B4917"/>
    <w:rsid w:val="347B5013"/>
    <w:rsid w:val="347C0614"/>
    <w:rsid w:val="347C06A8"/>
    <w:rsid w:val="347D1F39"/>
    <w:rsid w:val="347D25A2"/>
    <w:rsid w:val="347D2EAB"/>
    <w:rsid w:val="347D3BDA"/>
    <w:rsid w:val="347E456C"/>
    <w:rsid w:val="347E50D2"/>
    <w:rsid w:val="347E631A"/>
    <w:rsid w:val="347F6565"/>
    <w:rsid w:val="34801E58"/>
    <w:rsid w:val="348022C0"/>
    <w:rsid w:val="34806536"/>
    <w:rsid w:val="34810E85"/>
    <w:rsid w:val="3481181D"/>
    <w:rsid w:val="34820DBE"/>
    <w:rsid w:val="34821AD6"/>
    <w:rsid w:val="34821F10"/>
    <w:rsid w:val="348222AE"/>
    <w:rsid w:val="34825E0A"/>
    <w:rsid w:val="348278B1"/>
    <w:rsid w:val="348313C3"/>
    <w:rsid w:val="34831B82"/>
    <w:rsid w:val="34832F39"/>
    <w:rsid w:val="34833930"/>
    <w:rsid w:val="3484268B"/>
    <w:rsid w:val="348466E9"/>
    <w:rsid w:val="34850C96"/>
    <w:rsid w:val="34852185"/>
    <w:rsid w:val="34853B4C"/>
    <w:rsid w:val="34854D79"/>
    <w:rsid w:val="348558FB"/>
    <w:rsid w:val="34856DA1"/>
    <w:rsid w:val="3487087B"/>
    <w:rsid w:val="34873421"/>
    <w:rsid w:val="3487385B"/>
    <w:rsid w:val="34880F47"/>
    <w:rsid w:val="348849E1"/>
    <w:rsid w:val="3489363D"/>
    <w:rsid w:val="34897199"/>
    <w:rsid w:val="348A1090"/>
    <w:rsid w:val="348A2FDD"/>
    <w:rsid w:val="348A4CBF"/>
    <w:rsid w:val="348B4B08"/>
    <w:rsid w:val="348B570B"/>
    <w:rsid w:val="348C0A37"/>
    <w:rsid w:val="348C1E64"/>
    <w:rsid w:val="348C4EDB"/>
    <w:rsid w:val="348D1FF9"/>
    <w:rsid w:val="348D4B95"/>
    <w:rsid w:val="348E0C53"/>
    <w:rsid w:val="348E44D7"/>
    <w:rsid w:val="348F10FF"/>
    <w:rsid w:val="348F22D5"/>
    <w:rsid w:val="348F32D8"/>
    <w:rsid w:val="348F4919"/>
    <w:rsid w:val="348F6779"/>
    <w:rsid w:val="34906F65"/>
    <w:rsid w:val="3491604D"/>
    <w:rsid w:val="349166D9"/>
    <w:rsid w:val="34921C5F"/>
    <w:rsid w:val="349232BA"/>
    <w:rsid w:val="349249DB"/>
    <w:rsid w:val="349264D8"/>
    <w:rsid w:val="3492696B"/>
    <w:rsid w:val="34935E6B"/>
    <w:rsid w:val="34957054"/>
    <w:rsid w:val="34961031"/>
    <w:rsid w:val="349618B6"/>
    <w:rsid w:val="349647EC"/>
    <w:rsid w:val="34965214"/>
    <w:rsid w:val="34970E80"/>
    <w:rsid w:val="349725A9"/>
    <w:rsid w:val="34983106"/>
    <w:rsid w:val="34983880"/>
    <w:rsid w:val="3498710C"/>
    <w:rsid w:val="34991CDD"/>
    <w:rsid w:val="349A1100"/>
    <w:rsid w:val="349A75F8"/>
    <w:rsid w:val="349B2BDB"/>
    <w:rsid w:val="349B511E"/>
    <w:rsid w:val="349B56DA"/>
    <w:rsid w:val="349B6ECC"/>
    <w:rsid w:val="349D1AEE"/>
    <w:rsid w:val="349E653C"/>
    <w:rsid w:val="349E6C09"/>
    <w:rsid w:val="349F46E1"/>
    <w:rsid w:val="349F531F"/>
    <w:rsid w:val="349F69BC"/>
    <w:rsid w:val="34A00986"/>
    <w:rsid w:val="34A02734"/>
    <w:rsid w:val="34A04DDB"/>
    <w:rsid w:val="34A053E5"/>
    <w:rsid w:val="34A2025B"/>
    <w:rsid w:val="34A22009"/>
    <w:rsid w:val="34A24282"/>
    <w:rsid w:val="34A26096"/>
    <w:rsid w:val="34A264AC"/>
    <w:rsid w:val="34A302D1"/>
    <w:rsid w:val="34A36469"/>
    <w:rsid w:val="34A506D9"/>
    <w:rsid w:val="34A51AF9"/>
    <w:rsid w:val="34A7178A"/>
    <w:rsid w:val="34A73AC3"/>
    <w:rsid w:val="34A74831"/>
    <w:rsid w:val="34A75871"/>
    <w:rsid w:val="34A825F9"/>
    <w:rsid w:val="34A83397"/>
    <w:rsid w:val="34A8429C"/>
    <w:rsid w:val="34A87B90"/>
    <w:rsid w:val="34A915E9"/>
    <w:rsid w:val="34A92B42"/>
    <w:rsid w:val="34A94A3B"/>
    <w:rsid w:val="34A94D8D"/>
    <w:rsid w:val="34AA5361"/>
    <w:rsid w:val="34AA6CA9"/>
    <w:rsid w:val="34AB30B1"/>
    <w:rsid w:val="34AB3C61"/>
    <w:rsid w:val="34AB4E8C"/>
    <w:rsid w:val="34AC2E87"/>
    <w:rsid w:val="34AC5F82"/>
    <w:rsid w:val="34AD34E4"/>
    <w:rsid w:val="34AE2A73"/>
    <w:rsid w:val="34AE30A3"/>
    <w:rsid w:val="34AE499D"/>
    <w:rsid w:val="34AE4E51"/>
    <w:rsid w:val="34AE58A6"/>
    <w:rsid w:val="34AE6BFF"/>
    <w:rsid w:val="34AF2977"/>
    <w:rsid w:val="34AF6AD4"/>
    <w:rsid w:val="34AF7BFE"/>
    <w:rsid w:val="34B00BC9"/>
    <w:rsid w:val="34B00FB0"/>
    <w:rsid w:val="34B0467B"/>
    <w:rsid w:val="34B07F64"/>
    <w:rsid w:val="34B1049E"/>
    <w:rsid w:val="34B13CB8"/>
    <w:rsid w:val="34B166F0"/>
    <w:rsid w:val="34B30267"/>
    <w:rsid w:val="34B30567"/>
    <w:rsid w:val="34B32468"/>
    <w:rsid w:val="34B328FD"/>
    <w:rsid w:val="34B34216"/>
    <w:rsid w:val="34B41D3C"/>
    <w:rsid w:val="34B468E5"/>
    <w:rsid w:val="34B57F48"/>
    <w:rsid w:val="34B608DE"/>
    <w:rsid w:val="34B65E4F"/>
    <w:rsid w:val="34B66F6C"/>
    <w:rsid w:val="34B858B5"/>
    <w:rsid w:val="34B866F6"/>
    <w:rsid w:val="34B91D91"/>
    <w:rsid w:val="34B94FEE"/>
    <w:rsid w:val="34B955A4"/>
    <w:rsid w:val="34BA0CA2"/>
    <w:rsid w:val="34BA2110"/>
    <w:rsid w:val="34BA457F"/>
    <w:rsid w:val="34BA7517"/>
    <w:rsid w:val="34BB24A6"/>
    <w:rsid w:val="34BB5C72"/>
    <w:rsid w:val="34BB6924"/>
    <w:rsid w:val="34BC14C9"/>
    <w:rsid w:val="34BC1EC5"/>
    <w:rsid w:val="34BC4B44"/>
    <w:rsid w:val="34BC66EF"/>
    <w:rsid w:val="34BD4DA3"/>
    <w:rsid w:val="34BD5094"/>
    <w:rsid w:val="34BD763A"/>
    <w:rsid w:val="34BF01D4"/>
    <w:rsid w:val="34BF0E0C"/>
    <w:rsid w:val="34C12DD7"/>
    <w:rsid w:val="34C16318"/>
    <w:rsid w:val="34C208FD"/>
    <w:rsid w:val="34C24459"/>
    <w:rsid w:val="34C268E2"/>
    <w:rsid w:val="34C33809"/>
    <w:rsid w:val="34C44675"/>
    <w:rsid w:val="34C4476B"/>
    <w:rsid w:val="34C50739"/>
    <w:rsid w:val="34C5161C"/>
    <w:rsid w:val="34C5219B"/>
    <w:rsid w:val="34C53876"/>
    <w:rsid w:val="34C53F49"/>
    <w:rsid w:val="34C60101"/>
    <w:rsid w:val="34C603ED"/>
    <w:rsid w:val="34C60CFA"/>
    <w:rsid w:val="34C627D4"/>
    <w:rsid w:val="34C628F3"/>
    <w:rsid w:val="34C661E7"/>
    <w:rsid w:val="34C67163"/>
    <w:rsid w:val="34C74165"/>
    <w:rsid w:val="34C7560C"/>
    <w:rsid w:val="34C75D3D"/>
    <w:rsid w:val="34C76CAC"/>
    <w:rsid w:val="34C77CC1"/>
    <w:rsid w:val="34C82960"/>
    <w:rsid w:val="34C85673"/>
    <w:rsid w:val="34C93A39"/>
    <w:rsid w:val="34CA514E"/>
    <w:rsid w:val="34CB006F"/>
    <w:rsid w:val="34CC3529"/>
    <w:rsid w:val="34CC4008"/>
    <w:rsid w:val="34CC4DC2"/>
    <w:rsid w:val="34CD1294"/>
    <w:rsid w:val="34CD579B"/>
    <w:rsid w:val="34CD71AE"/>
    <w:rsid w:val="34CE45EB"/>
    <w:rsid w:val="34CF34ED"/>
    <w:rsid w:val="34CF6B76"/>
    <w:rsid w:val="34D04DC8"/>
    <w:rsid w:val="34D109DE"/>
    <w:rsid w:val="34D12E7F"/>
    <w:rsid w:val="34D15E0D"/>
    <w:rsid w:val="34D16D92"/>
    <w:rsid w:val="34D23966"/>
    <w:rsid w:val="34D348B8"/>
    <w:rsid w:val="34D4418C"/>
    <w:rsid w:val="34D5438B"/>
    <w:rsid w:val="34D56606"/>
    <w:rsid w:val="34D56638"/>
    <w:rsid w:val="34D61609"/>
    <w:rsid w:val="34D643A8"/>
    <w:rsid w:val="34D65C5C"/>
    <w:rsid w:val="34D670AE"/>
    <w:rsid w:val="34D67F04"/>
    <w:rsid w:val="34D80120"/>
    <w:rsid w:val="34D81ECE"/>
    <w:rsid w:val="34D8459F"/>
    <w:rsid w:val="34D86E04"/>
    <w:rsid w:val="34D9107F"/>
    <w:rsid w:val="34D92F01"/>
    <w:rsid w:val="34DA16F4"/>
    <w:rsid w:val="34DA79F4"/>
    <w:rsid w:val="34DB0A4B"/>
    <w:rsid w:val="34DB19BE"/>
    <w:rsid w:val="34DB1C6D"/>
    <w:rsid w:val="34DB2264"/>
    <w:rsid w:val="34DB29A0"/>
    <w:rsid w:val="34DB5C7F"/>
    <w:rsid w:val="34DB6D6E"/>
    <w:rsid w:val="34DB7534"/>
    <w:rsid w:val="34DF0095"/>
    <w:rsid w:val="34DF325D"/>
    <w:rsid w:val="34E00D83"/>
    <w:rsid w:val="34E0231B"/>
    <w:rsid w:val="34E0339A"/>
    <w:rsid w:val="34E054EE"/>
    <w:rsid w:val="34E05C7F"/>
    <w:rsid w:val="34E14CC3"/>
    <w:rsid w:val="34E16FD5"/>
    <w:rsid w:val="34E20818"/>
    <w:rsid w:val="34E20B4C"/>
    <w:rsid w:val="34E20EC7"/>
    <w:rsid w:val="34E22007"/>
    <w:rsid w:val="34E2301E"/>
    <w:rsid w:val="34E24AFB"/>
    <w:rsid w:val="34E268CB"/>
    <w:rsid w:val="34E30A14"/>
    <w:rsid w:val="34E369F8"/>
    <w:rsid w:val="34E4026A"/>
    <w:rsid w:val="34E432EA"/>
    <w:rsid w:val="34E45C07"/>
    <w:rsid w:val="34E46AC5"/>
    <w:rsid w:val="34E55763"/>
    <w:rsid w:val="34E56399"/>
    <w:rsid w:val="34E569A2"/>
    <w:rsid w:val="34E61774"/>
    <w:rsid w:val="34E70363"/>
    <w:rsid w:val="34E72F6C"/>
    <w:rsid w:val="34E87D1C"/>
    <w:rsid w:val="34E93910"/>
    <w:rsid w:val="34E940DB"/>
    <w:rsid w:val="34E97C37"/>
    <w:rsid w:val="34EA242E"/>
    <w:rsid w:val="34EA69B4"/>
    <w:rsid w:val="34EB1585"/>
    <w:rsid w:val="34EB5AA1"/>
    <w:rsid w:val="34EB7E44"/>
    <w:rsid w:val="34EC2011"/>
    <w:rsid w:val="34EC2A15"/>
    <w:rsid w:val="34EC3BCC"/>
    <w:rsid w:val="34EC5908"/>
    <w:rsid w:val="34ED3780"/>
    <w:rsid w:val="34ED539A"/>
    <w:rsid w:val="34ED64D5"/>
    <w:rsid w:val="34EE16F2"/>
    <w:rsid w:val="34EE293C"/>
    <w:rsid w:val="34EE34A0"/>
    <w:rsid w:val="34EE6733"/>
    <w:rsid w:val="34EF5164"/>
    <w:rsid w:val="34F00B88"/>
    <w:rsid w:val="34F050FF"/>
    <w:rsid w:val="34F12F90"/>
    <w:rsid w:val="34F30AB6"/>
    <w:rsid w:val="34F32864"/>
    <w:rsid w:val="34F364B7"/>
    <w:rsid w:val="34F36D08"/>
    <w:rsid w:val="34F42B9B"/>
    <w:rsid w:val="34F4400C"/>
    <w:rsid w:val="34F551C2"/>
    <w:rsid w:val="34F605A6"/>
    <w:rsid w:val="34F6133E"/>
    <w:rsid w:val="34F7201F"/>
    <w:rsid w:val="34F753B5"/>
    <w:rsid w:val="34F7542B"/>
    <w:rsid w:val="34F77B28"/>
    <w:rsid w:val="34F77CDD"/>
    <w:rsid w:val="34F82570"/>
    <w:rsid w:val="34F859FF"/>
    <w:rsid w:val="34F867B5"/>
    <w:rsid w:val="34F87F04"/>
    <w:rsid w:val="34F93561"/>
    <w:rsid w:val="34FA1E45"/>
    <w:rsid w:val="34FA3BF3"/>
    <w:rsid w:val="34FA4844"/>
    <w:rsid w:val="34FB1F2C"/>
    <w:rsid w:val="34FB250A"/>
    <w:rsid w:val="34FB667B"/>
    <w:rsid w:val="34FB796B"/>
    <w:rsid w:val="34FB7AAE"/>
    <w:rsid w:val="34FC1069"/>
    <w:rsid w:val="34FC6629"/>
    <w:rsid w:val="34FC76DE"/>
    <w:rsid w:val="34FD0098"/>
    <w:rsid w:val="34FD123F"/>
    <w:rsid w:val="34FD1935"/>
    <w:rsid w:val="34FD36E3"/>
    <w:rsid w:val="34FD7B87"/>
    <w:rsid w:val="34FE27C0"/>
    <w:rsid w:val="34FE2B51"/>
    <w:rsid w:val="34FE4881"/>
    <w:rsid w:val="34FE57B5"/>
    <w:rsid w:val="34FE7F67"/>
    <w:rsid w:val="34FF119A"/>
    <w:rsid w:val="34FF39B2"/>
    <w:rsid w:val="34FF745B"/>
    <w:rsid w:val="34FF774A"/>
    <w:rsid w:val="350009AC"/>
    <w:rsid w:val="3500447C"/>
    <w:rsid w:val="35006703"/>
    <w:rsid w:val="350071FF"/>
    <w:rsid w:val="350137AB"/>
    <w:rsid w:val="35015CD2"/>
    <w:rsid w:val="350324C6"/>
    <w:rsid w:val="35032E12"/>
    <w:rsid w:val="35033F2A"/>
    <w:rsid w:val="350360CB"/>
    <w:rsid w:val="350406C1"/>
    <w:rsid w:val="35040F69"/>
    <w:rsid w:val="35041261"/>
    <w:rsid w:val="350420CE"/>
    <w:rsid w:val="350422DF"/>
    <w:rsid w:val="35042CC3"/>
    <w:rsid w:val="350434A5"/>
    <w:rsid w:val="350525E2"/>
    <w:rsid w:val="350535BC"/>
    <w:rsid w:val="350607E9"/>
    <w:rsid w:val="35062F61"/>
    <w:rsid w:val="35064C8D"/>
    <w:rsid w:val="350715B1"/>
    <w:rsid w:val="35072D1F"/>
    <w:rsid w:val="35076310"/>
    <w:rsid w:val="350779E6"/>
    <w:rsid w:val="35084251"/>
    <w:rsid w:val="350848E9"/>
    <w:rsid w:val="35092088"/>
    <w:rsid w:val="350A7012"/>
    <w:rsid w:val="350B22A4"/>
    <w:rsid w:val="350B4052"/>
    <w:rsid w:val="350B49CD"/>
    <w:rsid w:val="350B5E00"/>
    <w:rsid w:val="350C1B78"/>
    <w:rsid w:val="350C2877"/>
    <w:rsid w:val="350C3926"/>
    <w:rsid w:val="350C5CD9"/>
    <w:rsid w:val="350D601C"/>
    <w:rsid w:val="350E0038"/>
    <w:rsid w:val="350E3961"/>
    <w:rsid w:val="350E3B42"/>
    <w:rsid w:val="350E60B0"/>
    <w:rsid w:val="350F085F"/>
    <w:rsid w:val="350F596E"/>
    <w:rsid w:val="35103416"/>
    <w:rsid w:val="351078BA"/>
    <w:rsid w:val="3511105F"/>
    <w:rsid w:val="35113872"/>
    <w:rsid w:val="351153E0"/>
    <w:rsid w:val="351233DF"/>
    <w:rsid w:val="35124730"/>
    <w:rsid w:val="35131158"/>
    <w:rsid w:val="35132F06"/>
    <w:rsid w:val="35134CB4"/>
    <w:rsid w:val="35137027"/>
    <w:rsid w:val="351373EC"/>
    <w:rsid w:val="35141C21"/>
    <w:rsid w:val="35152A79"/>
    <w:rsid w:val="35156C7E"/>
    <w:rsid w:val="35164541"/>
    <w:rsid w:val="351647A5"/>
    <w:rsid w:val="35167112"/>
    <w:rsid w:val="351729F7"/>
    <w:rsid w:val="35172D44"/>
    <w:rsid w:val="35174CFE"/>
    <w:rsid w:val="3518051D"/>
    <w:rsid w:val="351849C1"/>
    <w:rsid w:val="3518572C"/>
    <w:rsid w:val="351902E0"/>
    <w:rsid w:val="35193479"/>
    <w:rsid w:val="35194603"/>
    <w:rsid w:val="35194CEC"/>
    <w:rsid w:val="35196602"/>
    <w:rsid w:val="351B3146"/>
    <w:rsid w:val="351B590C"/>
    <w:rsid w:val="351B68BA"/>
    <w:rsid w:val="351B6F23"/>
    <w:rsid w:val="351C2F84"/>
    <w:rsid w:val="351D1A6D"/>
    <w:rsid w:val="351D3D85"/>
    <w:rsid w:val="351D5B33"/>
    <w:rsid w:val="351E2AC5"/>
    <w:rsid w:val="351F18AB"/>
    <w:rsid w:val="351F1BB1"/>
    <w:rsid w:val="352001C4"/>
    <w:rsid w:val="3520281E"/>
    <w:rsid w:val="35202D66"/>
    <w:rsid w:val="35205FD8"/>
    <w:rsid w:val="352073D1"/>
    <w:rsid w:val="35212E2D"/>
    <w:rsid w:val="35215623"/>
    <w:rsid w:val="35217E24"/>
    <w:rsid w:val="352275ED"/>
    <w:rsid w:val="3523502A"/>
    <w:rsid w:val="3524080F"/>
    <w:rsid w:val="352411D5"/>
    <w:rsid w:val="35243365"/>
    <w:rsid w:val="35245113"/>
    <w:rsid w:val="352463CC"/>
    <w:rsid w:val="35246EC1"/>
    <w:rsid w:val="35260D5F"/>
    <w:rsid w:val="35262C3A"/>
    <w:rsid w:val="35266EDB"/>
    <w:rsid w:val="352670DE"/>
    <w:rsid w:val="35282F0D"/>
    <w:rsid w:val="35284044"/>
    <w:rsid w:val="35284C04"/>
    <w:rsid w:val="35287CD5"/>
    <w:rsid w:val="3529097C"/>
    <w:rsid w:val="3529272A"/>
    <w:rsid w:val="352930DB"/>
    <w:rsid w:val="352944D8"/>
    <w:rsid w:val="352973E7"/>
    <w:rsid w:val="352B52D7"/>
    <w:rsid w:val="352B64A2"/>
    <w:rsid w:val="352C04E1"/>
    <w:rsid w:val="352C2B82"/>
    <w:rsid w:val="352C3FC8"/>
    <w:rsid w:val="352C65E0"/>
    <w:rsid w:val="352D221A"/>
    <w:rsid w:val="352D662B"/>
    <w:rsid w:val="352F4E5B"/>
    <w:rsid w:val="352F7C8F"/>
    <w:rsid w:val="35301D0A"/>
    <w:rsid w:val="3530432C"/>
    <w:rsid w:val="35305866"/>
    <w:rsid w:val="35316BA1"/>
    <w:rsid w:val="35316D9D"/>
    <w:rsid w:val="353225D9"/>
    <w:rsid w:val="35325A82"/>
    <w:rsid w:val="35327830"/>
    <w:rsid w:val="353313C9"/>
    <w:rsid w:val="353335A8"/>
    <w:rsid w:val="35337105"/>
    <w:rsid w:val="353451D8"/>
    <w:rsid w:val="35347AC7"/>
    <w:rsid w:val="3535269B"/>
    <w:rsid w:val="35357321"/>
    <w:rsid w:val="35357A3E"/>
    <w:rsid w:val="35366BF5"/>
    <w:rsid w:val="35374C5F"/>
    <w:rsid w:val="35374E47"/>
    <w:rsid w:val="35374FBB"/>
    <w:rsid w:val="3538101C"/>
    <w:rsid w:val="3538296D"/>
    <w:rsid w:val="3538471B"/>
    <w:rsid w:val="3538611C"/>
    <w:rsid w:val="35386E11"/>
    <w:rsid w:val="353916AE"/>
    <w:rsid w:val="35392129"/>
    <w:rsid w:val="353A0493"/>
    <w:rsid w:val="353A393C"/>
    <w:rsid w:val="353B76D6"/>
    <w:rsid w:val="353C06AF"/>
    <w:rsid w:val="353C0A11"/>
    <w:rsid w:val="353C420B"/>
    <w:rsid w:val="353C4D85"/>
    <w:rsid w:val="353C6936"/>
    <w:rsid w:val="353D0169"/>
    <w:rsid w:val="353D499B"/>
    <w:rsid w:val="353D5549"/>
    <w:rsid w:val="353D5904"/>
    <w:rsid w:val="353D62D1"/>
    <w:rsid w:val="353E5964"/>
    <w:rsid w:val="353E77B3"/>
    <w:rsid w:val="35400618"/>
    <w:rsid w:val="35400CFF"/>
    <w:rsid w:val="35417A73"/>
    <w:rsid w:val="35421061"/>
    <w:rsid w:val="354210AB"/>
    <w:rsid w:val="354237EC"/>
    <w:rsid w:val="35424BEE"/>
    <w:rsid w:val="3542559A"/>
    <w:rsid w:val="354322AC"/>
    <w:rsid w:val="35432D6C"/>
    <w:rsid w:val="3544129A"/>
    <w:rsid w:val="35447327"/>
    <w:rsid w:val="354506F2"/>
    <w:rsid w:val="35451D0B"/>
    <w:rsid w:val="354632DC"/>
    <w:rsid w:val="3546508A"/>
    <w:rsid w:val="35466E38"/>
    <w:rsid w:val="35480556"/>
    <w:rsid w:val="3548235F"/>
    <w:rsid w:val="35485368"/>
    <w:rsid w:val="35487054"/>
    <w:rsid w:val="35492712"/>
    <w:rsid w:val="35492DCC"/>
    <w:rsid w:val="35494B7A"/>
    <w:rsid w:val="35496928"/>
    <w:rsid w:val="354A0A90"/>
    <w:rsid w:val="354A1E5A"/>
    <w:rsid w:val="354A1FFA"/>
    <w:rsid w:val="354A46FA"/>
    <w:rsid w:val="354B08F2"/>
    <w:rsid w:val="354B444E"/>
    <w:rsid w:val="354C01C6"/>
    <w:rsid w:val="354C30B8"/>
    <w:rsid w:val="354D049D"/>
    <w:rsid w:val="354D1D3D"/>
    <w:rsid w:val="354D7439"/>
    <w:rsid w:val="354D7CD9"/>
    <w:rsid w:val="354F3B80"/>
    <w:rsid w:val="354F4D6B"/>
    <w:rsid w:val="354F5B11"/>
    <w:rsid w:val="35511E69"/>
    <w:rsid w:val="35512113"/>
    <w:rsid w:val="35521C81"/>
    <w:rsid w:val="35523A2F"/>
    <w:rsid w:val="355273E2"/>
    <w:rsid w:val="35527ED3"/>
    <w:rsid w:val="355359F9"/>
    <w:rsid w:val="35535C24"/>
    <w:rsid w:val="355377A7"/>
    <w:rsid w:val="355404B5"/>
    <w:rsid w:val="35541719"/>
    <w:rsid w:val="35553359"/>
    <w:rsid w:val="3555351F"/>
    <w:rsid w:val="355572ED"/>
    <w:rsid w:val="35557622"/>
    <w:rsid w:val="3556631F"/>
    <w:rsid w:val="3557527D"/>
    <w:rsid w:val="355754E9"/>
    <w:rsid w:val="35577435"/>
    <w:rsid w:val="35590355"/>
    <w:rsid w:val="3559105A"/>
    <w:rsid w:val="3559324D"/>
    <w:rsid w:val="355A0B35"/>
    <w:rsid w:val="355A17E5"/>
    <w:rsid w:val="355A2F26"/>
    <w:rsid w:val="355B2FCB"/>
    <w:rsid w:val="355B33A2"/>
    <w:rsid w:val="355B43B6"/>
    <w:rsid w:val="355C36F2"/>
    <w:rsid w:val="355C48AD"/>
    <w:rsid w:val="355C5AB3"/>
    <w:rsid w:val="355C665B"/>
    <w:rsid w:val="355D01F0"/>
    <w:rsid w:val="355D751B"/>
    <w:rsid w:val="355E0625"/>
    <w:rsid w:val="355E4769"/>
    <w:rsid w:val="355E6877"/>
    <w:rsid w:val="355F439E"/>
    <w:rsid w:val="35602A24"/>
    <w:rsid w:val="35607A21"/>
    <w:rsid w:val="35610116"/>
    <w:rsid w:val="35611EC4"/>
    <w:rsid w:val="356208F4"/>
    <w:rsid w:val="35623920"/>
    <w:rsid w:val="3562636F"/>
    <w:rsid w:val="35630703"/>
    <w:rsid w:val="35633FD8"/>
    <w:rsid w:val="35635C3C"/>
    <w:rsid w:val="35637D8C"/>
    <w:rsid w:val="35640B61"/>
    <w:rsid w:val="356419B4"/>
    <w:rsid w:val="35643670"/>
    <w:rsid w:val="35643762"/>
    <w:rsid w:val="35645510"/>
    <w:rsid w:val="356526B2"/>
    <w:rsid w:val="35653EA9"/>
    <w:rsid w:val="3565547E"/>
    <w:rsid w:val="35661288"/>
    <w:rsid w:val="356614C9"/>
    <w:rsid w:val="356674DA"/>
    <w:rsid w:val="35672F27"/>
    <w:rsid w:val="356803AD"/>
    <w:rsid w:val="356814A4"/>
    <w:rsid w:val="356830A9"/>
    <w:rsid w:val="35683252"/>
    <w:rsid w:val="35690D78"/>
    <w:rsid w:val="3569521C"/>
    <w:rsid w:val="35695E72"/>
    <w:rsid w:val="356960CA"/>
    <w:rsid w:val="35696FCA"/>
    <w:rsid w:val="356A122E"/>
    <w:rsid w:val="356A72E8"/>
    <w:rsid w:val="356B23A6"/>
    <w:rsid w:val="356B276A"/>
    <w:rsid w:val="356B2D42"/>
    <w:rsid w:val="356B3BC1"/>
    <w:rsid w:val="356B4AF0"/>
    <w:rsid w:val="356C2CFE"/>
    <w:rsid w:val="356C4366"/>
    <w:rsid w:val="356C533B"/>
    <w:rsid w:val="356C7DA6"/>
    <w:rsid w:val="356D0868"/>
    <w:rsid w:val="356D29E5"/>
    <w:rsid w:val="356D67CB"/>
    <w:rsid w:val="356E638F"/>
    <w:rsid w:val="356F14F8"/>
    <w:rsid w:val="356F3369"/>
    <w:rsid w:val="356F33DA"/>
    <w:rsid w:val="356F73BF"/>
    <w:rsid w:val="35700359"/>
    <w:rsid w:val="35716893"/>
    <w:rsid w:val="35724B19"/>
    <w:rsid w:val="35725E7F"/>
    <w:rsid w:val="35726605"/>
    <w:rsid w:val="35726F5A"/>
    <w:rsid w:val="35727C2D"/>
    <w:rsid w:val="35747E49"/>
    <w:rsid w:val="35753BC1"/>
    <w:rsid w:val="3575771D"/>
    <w:rsid w:val="35760FBE"/>
    <w:rsid w:val="35763460"/>
    <w:rsid w:val="35765888"/>
    <w:rsid w:val="3576787D"/>
    <w:rsid w:val="35771E61"/>
    <w:rsid w:val="3577606A"/>
    <w:rsid w:val="35785DEE"/>
    <w:rsid w:val="35794D6E"/>
    <w:rsid w:val="35796153"/>
    <w:rsid w:val="357961FE"/>
    <w:rsid w:val="357A11D7"/>
    <w:rsid w:val="357A2F85"/>
    <w:rsid w:val="357B2164"/>
    <w:rsid w:val="357B4E27"/>
    <w:rsid w:val="357B58D9"/>
    <w:rsid w:val="357B78A7"/>
    <w:rsid w:val="357C0AAC"/>
    <w:rsid w:val="357C4E30"/>
    <w:rsid w:val="357C6CFE"/>
    <w:rsid w:val="357C7723"/>
    <w:rsid w:val="357D4824"/>
    <w:rsid w:val="357D5F0F"/>
    <w:rsid w:val="357D65D2"/>
    <w:rsid w:val="357F059C"/>
    <w:rsid w:val="357F0CD9"/>
    <w:rsid w:val="357F54C0"/>
    <w:rsid w:val="35803500"/>
    <w:rsid w:val="35803758"/>
    <w:rsid w:val="35815E16"/>
    <w:rsid w:val="35816156"/>
    <w:rsid w:val="35827561"/>
    <w:rsid w:val="3583008C"/>
    <w:rsid w:val="358362DE"/>
    <w:rsid w:val="35843D34"/>
    <w:rsid w:val="35843E04"/>
    <w:rsid w:val="35844A52"/>
    <w:rsid w:val="35860AB3"/>
    <w:rsid w:val="35867372"/>
    <w:rsid w:val="35867B7C"/>
    <w:rsid w:val="35877E06"/>
    <w:rsid w:val="358833D3"/>
    <w:rsid w:val="35884863"/>
    <w:rsid w:val="358856A2"/>
    <w:rsid w:val="35885D52"/>
    <w:rsid w:val="35887450"/>
    <w:rsid w:val="35891125"/>
    <w:rsid w:val="3589141A"/>
    <w:rsid w:val="358931C8"/>
    <w:rsid w:val="35893C06"/>
    <w:rsid w:val="358A764F"/>
    <w:rsid w:val="358A766C"/>
    <w:rsid w:val="358B5193"/>
    <w:rsid w:val="358C5FA8"/>
    <w:rsid w:val="358C62E7"/>
    <w:rsid w:val="358D08B4"/>
    <w:rsid w:val="358D0F0B"/>
    <w:rsid w:val="358D27C7"/>
    <w:rsid w:val="358D4A67"/>
    <w:rsid w:val="358D7245"/>
    <w:rsid w:val="358E5B04"/>
    <w:rsid w:val="358E6A31"/>
    <w:rsid w:val="358F3395"/>
    <w:rsid w:val="358F4D4F"/>
    <w:rsid w:val="358F78CC"/>
    <w:rsid w:val="35900660"/>
    <w:rsid w:val="35901A73"/>
    <w:rsid w:val="35902BA0"/>
    <w:rsid w:val="35904557"/>
    <w:rsid w:val="35906305"/>
    <w:rsid w:val="3590650E"/>
    <w:rsid w:val="3591457C"/>
    <w:rsid w:val="35915B04"/>
    <w:rsid w:val="359202CF"/>
    <w:rsid w:val="3592064F"/>
    <w:rsid w:val="359305B1"/>
    <w:rsid w:val="359330B7"/>
    <w:rsid w:val="35953021"/>
    <w:rsid w:val="35956011"/>
    <w:rsid w:val="35957DBF"/>
    <w:rsid w:val="359608D5"/>
    <w:rsid w:val="35962AB6"/>
    <w:rsid w:val="359702F7"/>
    <w:rsid w:val="35971A38"/>
    <w:rsid w:val="35973B37"/>
    <w:rsid w:val="35976A1B"/>
    <w:rsid w:val="35980CEA"/>
    <w:rsid w:val="3598340C"/>
    <w:rsid w:val="359978AF"/>
    <w:rsid w:val="359A1BE3"/>
    <w:rsid w:val="359A7184"/>
    <w:rsid w:val="359C26E3"/>
    <w:rsid w:val="359C73A0"/>
    <w:rsid w:val="359D044F"/>
    <w:rsid w:val="359D1B3C"/>
    <w:rsid w:val="359D3355"/>
    <w:rsid w:val="359E01CA"/>
    <w:rsid w:val="359E4EC6"/>
    <w:rsid w:val="359F0C3E"/>
    <w:rsid w:val="359F29EC"/>
    <w:rsid w:val="359F3438"/>
    <w:rsid w:val="359F3953"/>
    <w:rsid w:val="359F479A"/>
    <w:rsid w:val="359F6A89"/>
    <w:rsid w:val="35A079C5"/>
    <w:rsid w:val="35A123C6"/>
    <w:rsid w:val="35A16764"/>
    <w:rsid w:val="35A17A0D"/>
    <w:rsid w:val="35A214FE"/>
    <w:rsid w:val="35A21B04"/>
    <w:rsid w:val="35A240D4"/>
    <w:rsid w:val="35A26038"/>
    <w:rsid w:val="35A27608"/>
    <w:rsid w:val="35A3072E"/>
    <w:rsid w:val="35A31B3B"/>
    <w:rsid w:val="35A33881"/>
    <w:rsid w:val="35A353A2"/>
    <w:rsid w:val="35A35958"/>
    <w:rsid w:val="35A40002"/>
    <w:rsid w:val="35A40E99"/>
    <w:rsid w:val="35A5410F"/>
    <w:rsid w:val="35A60BB2"/>
    <w:rsid w:val="35A61254"/>
    <w:rsid w:val="35A61FCC"/>
    <w:rsid w:val="35A63772"/>
    <w:rsid w:val="35A63D7A"/>
    <w:rsid w:val="35A818A1"/>
    <w:rsid w:val="35A9181E"/>
    <w:rsid w:val="35A95619"/>
    <w:rsid w:val="35A973C7"/>
    <w:rsid w:val="35A974FE"/>
    <w:rsid w:val="35AA386B"/>
    <w:rsid w:val="35AB0499"/>
    <w:rsid w:val="35AB3040"/>
    <w:rsid w:val="35AB313F"/>
    <w:rsid w:val="35AB75E3"/>
    <w:rsid w:val="35AC3F28"/>
    <w:rsid w:val="35AC3F99"/>
    <w:rsid w:val="35AC6479"/>
    <w:rsid w:val="35AD6EB7"/>
    <w:rsid w:val="35AE5C63"/>
    <w:rsid w:val="35AE5FE3"/>
    <w:rsid w:val="35AE657E"/>
    <w:rsid w:val="35AF0E81"/>
    <w:rsid w:val="35AF22C3"/>
    <w:rsid w:val="35AF70D3"/>
    <w:rsid w:val="35B00755"/>
    <w:rsid w:val="35B01B43"/>
    <w:rsid w:val="35B03024"/>
    <w:rsid w:val="35B05499"/>
    <w:rsid w:val="35B1383E"/>
    <w:rsid w:val="35B171E8"/>
    <w:rsid w:val="35B20971"/>
    <w:rsid w:val="35B222D2"/>
    <w:rsid w:val="35B2251A"/>
    <w:rsid w:val="35B2271F"/>
    <w:rsid w:val="35B30245"/>
    <w:rsid w:val="35B37715"/>
    <w:rsid w:val="35B41B1F"/>
    <w:rsid w:val="35B427C1"/>
    <w:rsid w:val="35B43C28"/>
    <w:rsid w:val="35B46497"/>
    <w:rsid w:val="35B50461"/>
    <w:rsid w:val="35B53B86"/>
    <w:rsid w:val="35B54FC1"/>
    <w:rsid w:val="35B57B4E"/>
    <w:rsid w:val="35B634BA"/>
    <w:rsid w:val="35B71AE4"/>
    <w:rsid w:val="35B75F88"/>
    <w:rsid w:val="35B778E1"/>
    <w:rsid w:val="35B77D36"/>
    <w:rsid w:val="35B85373"/>
    <w:rsid w:val="35B91D00"/>
    <w:rsid w:val="35B935D0"/>
    <w:rsid w:val="35B93AAE"/>
    <w:rsid w:val="35B95440"/>
    <w:rsid w:val="35BA1818"/>
    <w:rsid w:val="35BA4666"/>
    <w:rsid w:val="35BB1575"/>
    <w:rsid w:val="35BB7A10"/>
    <w:rsid w:val="35BC0907"/>
    <w:rsid w:val="35BC359E"/>
    <w:rsid w:val="35BC3837"/>
    <w:rsid w:val="35BC534C"/>
    <w:rsid w:val="35BC53C9"/>
    <w:rsid w:val="35BC75A7"/>
    <w:rsid w:val="35BD1563"/>
    <w:rsid w:val="35BE10C4"/>
    <w:rsid w:val="35BE29BF"/>
    <w:rsid w:val="35BF7503"/>
    <w:rsid w:val="35C00616"/>
    <w:rsid w:val="35C0308E"/>
    <w:rsid w:val="35C052EA"/>
    <w:rsid w:val="35C07BE1"/>
    <w:rsid w:val="35C10BB4"/>
    <w:rsid w:val="35C12962"/>
    <w:rsid w:val="35C15DF1"/>
    <w:rsid w:val="35C23D27"/>
    <w:rsid w:val="35C30488"/>
    <w:rsid w:val="35C3393B"/>
    <w:rsid w:val="35C3492C"/>
    <w:rsid w:val="35C366DA"/>
    <w:rsid w:val="35C36C7C"/>
    <w:rsid w:val="35C408FE"/>
    <w:rsid w:val="35C42453"/>
    <w:rsid w:val="35C506A4"/>
    <w:rsid w:val="35C54200"/>
    <w:rsid w:val="35C54F98"/>
    <w:rsid w:val="35C566BF"/>
    <w:rsid w:val="35C618CA"/>
    <w:rsid w:val="35C62D64"/>
    <w:rsid w:val="35C64010"/>
    <w:rsid w:val="35C67F79"/>
    <w:rsid w:val="35C75E43"/>
    <w:rsid w:val="35C80195"/>
    <w:rsid w:val="35C92674"/>
    <w:rsid w:val="35C929DE"/>
    <w:rsid w:val="35C948C7"/>
    <w:rsid w:val="35CA0AFF"/>
    <w:rsid w:val="35CB1A33"/>
    <w:rsid w:val="35CB5AD6"/>
    <w:rsid w:val="35CB71E7"/>
    <w:rsid w:val="35CB721C"/>
    <w:rsid w:val="35CC3248"/>
    <w:rsid w:val="35CC5041"/>
    <w:rsid w:val="35CD1307"/>
    <w:rsid w:val="35CD4458"/>
    <w:rsid w:val="35CE0913"/>
    <w:rsid w:val="35CE6E2D"/>
    <w:rsid w:val="35CF1523"/>
    <w:rsid w:val="35CF32D1"/>
    <w:rsid w:val="35CF507F"/>
    <w:rsid w:val="35CF6E3C"/>
    <w:rsid w:val="35D13059"/>
    <w:rsid w:val="35D14489"/>
    <w:rsid w:val="35D1573B"/>
    <w:rsid w:val="35D176E8"/>
    <w:rsid w:val="35D223AE"/>
    <w:rsid w:val="35D22CE1"/>
    <w:rsid w:val="35D23CD1"/>
    <w:rsid w:val="35D24B6F"/>
    <w:rsid w:val="35D2691D"/>
    <w:rsid w:val="35D35979"/>
    <w:rsid w:val="35D54660"/>
    <w:rsid w:val="35D5640E"/>
    <w:rsid w:val="35D63EB0"/>
    <w:rsid w:val="35D65FFF"/>
    <w:rsid w:val="35D72186"/>
    <w:rsid w:val="35D76401"/>
    <w:rsid w:val="35D817EB"/>
    <w:rsid w:val="35D92C7B"/>
    <w:rsid w:val="35D97CAC"/>
    <w:rsid w:val="35DA1C76"/>
    <w:rsid w:val="35DA34B7"/>
    <w:rsid w:val="35DA5BCC"/>
    <w:rsid w:val="35DA5E0B"/>
    <w:rsid w:val="35DB1105"/>
    <w:rsid w:val="35DC74C1"/>
    <w:rsid w:val="35DE1B86"/>
    <w:rsid w:val="35DE565D"/>
    <w:rsid w:val="35DE68EB"/>
    <w:rsid w:val="35DF103A"/>
    <w:rsid w:val="35DF6AED"/>
    <w:rsid w:val="35E01BEA"/>
    <w:rsid w:val="35E054DE"/>
    <w:rsid w:val="35E0728C"/>
    <w:rsid w:val="35E1140C"/>
    <w:rsid w:val="35E120F0"/>
    <w:rsid w:val="35E121E1"/>
    <w:rsid w:val="35E12977"/>
    <w:rsid w:val="35E12B4D"/>
    <w:rsid w:val="35E13004"/>
    <w:rsid w:val="35E14DB3"/>
    <w:rsid w:val="35E328D9"/>
    <w:rsid w:val="35E34BD6"/>
    <w:rsid w:val="35E36D7D"/>
    <w:rsid w:val="35E425B5"/>
    <w:rsid w:val="35E623C9"/>
    <w:rsid w:val="35E6686D"/>
    <w:rsid w:val="35E67AD9"/>
    <w:rsid w:val="35E70325"/>
    <w:rsid w:val="35E80200"/>
    <w:rsid w:val="35E84EB3"/>
    <w:rsid w:val="35E86141"/>
    <w:rsid w:val="35E8670E"/>
    <w:rsid w:val="35E928E1"/>
    <w:rsid w:val="35E93C67"/>
    <w:rsid w:val="35E97B9E"/>
    <w:rsid w:val="35EB02EA"/>
    <w:rsid w:val="35EB283B"/>
    <w:rsid w:val="35EB3E83"/>
    <w:rsid w:val="35EB401C"/>
    <w:rsid w:val="35EC12F2"/>
    <w:rsid w:val="35EC3017"/>
    <w:rsid w:val="35EC7C60"/>
    <w:rsid w:val="35ED3757"/>
    <w:rsid w:val="35ED6387"/>
    <w:rsid w:val="35ED7A71"/>
    <w:rsid w:val="35EE13D3"/>
    <w:rsid w:val="35EE3C29"/>
    <w:rsid w:val="35EE58B4"/>
    <w:rsid w:val="35EF1EC9"/>
    <w:rsid w:val="35EF3DF5"/>
    <w:rsid w:val="35EF5721"/>
    <w:rsid w:val="35EF6DAA"/>
    <w:rsid w:val="35EF74CF"/>
    <w:rsid w:val="35EF7DA0"/>
    <w:rsid w:val="35F042E3"/>
    <w:rsid w:val="35F04FF6"/>
    <w:rsid w:val="35F0505E"/>
    <w:rsid w:val="35F15135"/>
    <w:rsid w:val="35F16863"/>
    <w:rsid w:val="35F20D6E"/>
    <w:rsid w:val="35F22C3E"/>
    <w:rsid w:val="35F246ED"/>
    <w:rsid w:val="35F25212"/>
    <w:rsid w:val="35F358CB"/>
    <w:rsid w:val="35F363F2"/>
    <w:rsid w:val="35F3708D"/>
    <w:rsid w:val="35F423C8"/>
    <w:rsid w:val="35F44AE6"/>
    <w:rsid w:val="35F44CB1"/>
    <w:rsid w:val="35F50D12"/>
    <w:rsid w:val="35F52189"/>
    <w:rsid w:val="35F55514"/>
    <w:rsid w:val="35F56A39"/>
    <w:rsid w:val="35F62237"/>
    <w:rsid w:val="35F637C4"/>
    <w:rsid w:val="35F66AB0"/>
    <w:rsid w:val="35F72828"/>
    <w:rsid w:val="35F73632"/>
    <w:rsid w:val="35F745D6"/>
    <w:rsid w:val="35F76384"/>
    <w:rsid w:val="35F7792E"/>
    <w:rsid w:val="35F811F6"/>
    <w:rsid w:val="35F86203"/>
    <w:rsid w:val="35F92099"/>
    <w:rsid w:val="35F920FC"/>
    <w:rsid w:val="35F9357F"/>
    <w:rsid w:val="35FA0B23"/>
    <w:rsid w:val="35FA35B7"/>
    <w:rsid w:val="35FA4D99"/>
    <w:rsid w:val="35FA5E74"/>
    <w:rsid w:val="35FB2E5A"/>
    <w:rsid w:val="35FB583E"/>
    <w:rsid w:val="35FC3901"/>
    <w:rsid w:val="35FC399A"/>
    <w:rsid w:val="35FC6014"/>
    <w:rsid w:val="35FC7E3E"/>
    <w:rsid w:val="35FD0BE5"/>
    <w:rsid w:val="35FD505D"/>
    <w:rsid w:val="35FD6AF9"/>
    <w:rsid w:val="35FE3614"/>
    <w:rsid w:val="35FE3BB6"/>
    <w:rsid w:val="35FE7713"/>
    <w:rsid w:val="360016DD"/>
    <w:rsid w:val="36005345"/>
    <w:rsid w:val="36010FB1"/>
    <w:rsid w:val="36011217"/>
    <w:rsid w:val="36015455"/>
    <w:rsid w:val="360200C3"/>
    <w:rsid w:val="360217A9"/>
    <w:rsid w:val="36021E86"/>
    <w:rsid w:val="36030431"/>
    <w:rsid w:val="360307F1"/>
    <w:rsid w:val="360311CD"/>
    <w:rsid w:val="36040D6F"/>
    <w:rsid w:val="36046357"/>
    <w:rsid w:val="36052FD1"/>
    <w:rsid w:val="36053676"/>
    <w:rsid w:val="36056CF3"/>
    <w:rsid w:val="36057D40"/>
    <w:rsid w:val="36060747"/>
    <w:rsid w:val="3606180E"/>
    <w:rsid w:val="36061C97"/>
    <w:rsid w:val="36065815"/>
    <w:rsid w:val="36066915"/>
    <w:rsid w:val="36070CBD"/>
    <w:rsid w:val="36074328"/>
    <w:rsid w:val="36074A7F"/>
    <w:rsid w:val="36074C05"/>
    <w:rsid w:val="360867E3"/>
    <w:rsid w:val="36087656"/>
    <w:rsid w:val="360A00FD"/>
    <w:rsid w:val="360A098E"/>
    <w:rsid w:val="360A5AD5"/>
    <w:rsid w:val="360A5F70"/>
    <w:rsid w:val="360A60B7"/>
    <w:rsid w:val="360A67BB"/>
    <w:rsid w:val="360A6BB5"/>
    <w:rsid w:val="360B0081"/>
    <w:rsid w:val="360B1C45"/>
    <w:rsid w:val="360B1E2F"/>
    <w:rsid w:val="360C62D3"/>
    <w:rsid w:val="360D204B"/>
    <w:rsid w:val="360D3DFA"/>
    <w:rsid w:val="360D5BA8"/>
    <w:rsid w:val="360D7FBF"/>
    <w:rsid w:val="360E01D9"/>
    <w:rsid w:val="360E7D59"/>
    <w:rsid w:val="360F18B9"/>
    <w:rsid w:val="360F3EB9"/>
    <w:rsid w:val="360F4D09"/>
    <w:rsid w:val="360F7513"/>
    <w:rsid w:val="360F7B72"/>
    <w:rsid w:val="36103826"/>
    <w:rsid w:val="36107446"/>
    <w:rsid w:val="361104EB"/>
    <w:rsid w:val="36116DAA"/>
    <w:rsid w:val="36122DEB"/>
    <w:rsid w:val="361231BE"/>
    <w:rsid w:val="361246E6"/>
    <w:rsid w:val="36127662"/>
    <w:rsid w:val="36127922"/>
    <w:rsid w:val="361332FF"/>
    <w:rsid w:val="361433DA"/>
    <w:rsid w:val="36145188"/>
    <w:rsid w:val="36146F36"/>
    <w:rsid w:val="361502FC"/>
    <w:rsid w:val="361507CA"/>
    <w:rsid w:val="3616081F"/>
    <w:rsid w:val="36160F00"/>
    <w:rsid w:val="36162CAE"/>
    <w:rsid w:val="361741F4"/>
    <w:rsid w:val="36174A36"/>
    <w:rsid w:val="36174C78"/>
    <w:rsid w:val="36175970"/>
    <w:rsid w:val="36175DA3"/>
    <w:rsid w:val="36175ECB"/>
    <w:rsid w:val="36176A26"/>
    <w:rsid w:val="361775BC"/>
    <w:rsid w:val="361840AC"/>
    <w:rsid w:val="361856AC"/>
    <w:rsid w:val="361909F0"/>
    <w:rsid w:val="36193279"/>
    <w:rsid w:val="36194C10"/>
    <w:rsid w:val="36197C2F"/>
    <w:rsid w:val="361A3DDB"/>
    <w:rsid w:val="361A6E66"/>
    <w:rsid w:val="361B0941"/>
    <w:rsid w:val="361B2A2D"/>
    <w:rsid w:val="361C228F"/>
    <w:rsid w:val="361C403D"/>
    <w:rsid w:val="361C55FE"/>
    <w:rsid w:val="361D185A"/>
    <w:rsid w:val="361D359A"/>
    <w:rsid w:val="361D6A8E"/>
    <w:rsid w:val="361E1B63"/>
    <w:rsid w:val="361E6268"/>
    <w:rsid w:val="361E7DB5"/>
    <w:rsid w:val="361F6D9C"/>
    <w:rsid w:val="36201A3D"/>
    <w:rsid w:val="36201D7F"/>
    <w:rsid w:val="36203B2D"/>
    <w:rsid w:val="3620540F"/>
    <w:rsid w:val="36207238"/>
    <w:rsid w:val="36211653"/>
    <w:rsid w:val="36213DFF"/>
    <w:rsid w:val="362248F3"/>
    <w:rsid w:val="36225A50"/>
    <w:rsid w:val="36232900"/>
    <w:rsid w:val="36233BDD"/>
    <w:rsid w:val="362353CB"/>
    <w:rsid w:val="3623612D"/>
    <w:rsid w:val="36237C06"/>
    <w:rsid w:val="3624433A"/>
    <w:rsid w:val="362508B9"/>
    <w:rsid w:val="36252EF1"/>
    <w:rsid w:val="362551E1"/>
    <w:rsid w:val="362566B0"/>
    <w:rsid w:val="36257BE2"/>
    <w:rsid w:val="362604DA"/>
    <w:rsid w:val="36266C69"/>
    <w:rsid w:val="362700C8"/>
    <w:rsid w:val="36272082"/>
    <w:rsid w:val="36273F67"/>
    <w:rsid w:val="36274EBB"/>
    <w:rsid w:val="362778D1"/>
    <w:rsid w:val="36280A96"/>
    <w:rsid w:val="36281361"/>
    <w:rsid w:val="3628183A"/>
    <w:rsid w:val="362829E1"/>
    <w:rsid w:val="36286772"/>
    <w:rsid w:val="36292253"/>
    <w:rsid w:val="3629686E"/>
    <w:rsid w:val="362A0508"/>
    <w:rsid w:val="362A1092"/>
    <w:rsid w:val="362A49AB"/>
    <w:rsid w:val="362A675A"/>
    <w:rsid w:val="362B2522"/>
    <w:rsid w:val="362B577D"/>
    <w:rsid w:val="362C0724"/>
    <w:rsid w:val="362C30A1"/>
    <w:rsid w:val="362C39B2"/>
    <w:rsid w:val="362C6903"/>
    <w:rsid w:val="362C728E"/>
    <w:rsid w:val="362D5F0F"/>
    <w:rsid w:val="362E7A13"/>
    <w:rsid w:val="362F3D70"/>
    <w:rsid w:val="36305E35"/>
    <w:rsid w:val="363065F7"/>
    <w:rsid w:val="36310AE8"/>
    <w:rsid w:val="36310B5F"/>
    <w:rsid w:val="36310FEF"/>
    <w:rsid w:val="36315D3A"/>
    <w:rsid w:val="36317AE8"/>
    <w:rsid w:val="36321AB2"/>
    <w:rsid w:val="3632258C"/>
    <w:rsid w:val="363236E6"/>
    <w:rsid w:val="3632560E"/>
    <w:rsid w:val="36327824"/>
    <w:rsid w:val="36330CB4"/>
    <w:rsid w:val="36333885"/>
    <w:rsid w:val="36336171"/>
    <w:rsid w:val="36340F17"/>
    <w:rsid w:val="36341386"/>
    <w:rsid w:val="36343134"/>
    <w:rsid w:val="36356EAC"/>
    <w:rsid w:val="3636284E"/>
    <w:rsid w:val="36370AC5"/>
    <w:rsid w:val="36370E76"/>
    <w:rsid w:val="36372C24"/>
    <w:rsid w:val="363904AC"/>
    <w:rsid w:val="3639699D"/>
    <w:rsid w:val="36396E21"/>
    <w:rsid w:val="363976F7"/>
    <w:rsid w:val="363A1E85"/>
    <w:rsid w:val="363A3D32"/>
    <w:rsid w:val="363B0967"/>
    <w:rsid w:val="363B2715"/>
    <w:rsid w:val="363B36B6"/>
    <w:rsid w:val="363B44C3"/>
    <w:rsid w:val="363C023B"/>
    <w:rsid w:val="363C16DB"/>
    <w:rsid w:val="363C2747"/>
    <w:rsid w:val="363C3B54"/>
    <w:rsid w:val="363C48B7"/>
    <w:rsid w:val="363C616A"/>
    <w:rsid w:val="363D1DF8"/>
    <w:rsid w:val="363D4075"/>
    <w:rsid w:val="363D46DF"/>
    <w:rsid w:val="363D4F7A"/>
    <w:rsid w:val="363E0457"/>
    <w:rsid w:val="363E0998"/>
    <w:rsid w:val="363E2EB7"/>
    <w:rsid w:val="363E5DD3"/>
    <w:rsid w:val="363E7508"/>
    <w:rsid w:val="363E7E94"/>
    <w:rsid w:val="36401AD9"/>
    <w:rsid w:val="36401C52"/>
    <w:rsid w:val="364077D1"/>
    <w:rsid w:val="36407D2B"/>
    <w:rsid w:val="36413AA3"/>
    <w:rsid w:val="36415851"/>
    <w:rsid w:val="36421CF5"/>
    <w:rsid w:val="36427319"/>
    <w:rsid w:val="36430F88"/>
    <w:rsid w:val="364315C9"/>
    <w:rsid w:val="36432D8A"/>
    <w:rsid w:val="3643374B"/>
    <w:rsid w:val="364341BD"/>
    <w:rsid w:val="36435A6D"/>
    <w:rsid w:val="36435AB2"/>
    <w:rsid w:val="36436E94"/>
    <w:rsid w:val="36440F63"/>
    <w:rsid w:val="36445BB9"/>
    <w:rsid w:val="36450A49"/>
    <w:rsid w:val="36453593"/>
    <w:rsid w:val="36461C53"/>
    <w:rsid w:val="36462E68"/>
    <w:rsid w:val="3647730B"/>
    <w:rsid w:val="36483084"/>
    <w:rsid w:val="36486334"/>
    <w:rsid w:val="364863AC"/>
    <w:rsid w:val="36490860"/>
    <w:rsid w:val="3649221A"/>
    <w:rsid w:val="36492A4D"/>
    <w:rsid w:val="36494248"/>
    <w:rsid w:val="364A1ADC"/>
    <w:rsid w:val="364A2958"/>
    <w:rsid w:val="364A59B8"/>
    <w:rsid w:val="364C0923"/>
    <w:rsid w:val="364C13F0"/>
    <w:rsid w:val="364C2B74"/>
    <w:rsid w:val="364C2BB9"/>
    <w:rsid w:val="364C3416"/>
    <w:rsid w:val="364C4922"/>
    <w:rsid w:val="364C66D0"/>
    <w:rsid w:val="364D069A"/>
    <w:rsid w:val="364D2448"/>
    <w:rsid w:val="364D41F6"/>
    <w:rsid w:val="364D442C"/>
    <w:rsid w:val="364D6FFD"/>
    <w:rsid w:val="364E1A1B"/>
    <w:rsid w:val="364E5100"/>
    <w:rsid w:val="364F61C0"/>
    <w:rsid w:val="364F6DCA"/>
    <w:rsid w:val="364F71E1"/>
    <w:rsid w:val="36511F38"/>
    <w:rsid w:val="3652180C"/>
    <w:rsid w:val="365256CD"/>
    <w:rsid w:val="36527A5E"/>
    <w:rsid w:val="36530D9D"/>
    <w:rsid w:val="365319B0"/>
    <w:rsid w:val="36536F68"/>
    <w:rsid w:val="36542A66"/>
    <w:rsid w:val="365470E8"/>
    <w:rsid w:val="36561765"/>
    <w:rsid w:val="36562AF9"/>
    <w:rsid w:val="365657A0"/>
    <w:rsid w:val="36566C1F"/>
    <w:rsid w:val="365714D7"/>
    <w:rsid w:val="36573519"/>
    <w:rsid w:val="36575C5C"/>
    <w:rsid w:val="365807A4"/>
    <w:rsid w:val="36581EF8"/>
    <w:rsid w:val="3658344B"/>
    <w:rsid w:val="36590DED"/>
    <w:rsid w:val="36592B9B"/>
    <w:rsid w:val="36594110"/>
    <w:rsid w:val="3659433B"/>
    <w:rsid w:val="365955A0"/>
    <w:rsid w:val="365A2781"/>
    <w:rsid w:val="365A6A5E"/>
    <w:rsid w:val="365A7D10"/>
    <w:rsid w:val="365B2911"/>
    <w:rsid w:val="365B4B65"/>
    <w:rsid w:val="365B6913"/>
    <w:rsid w:val="365C1350"/>
    <w:rsid w:val="365C268B"/>
    <w:rsid w:val="365C285B"/>
    <w:rsid w:val="365C5C7B"/>
    <w:rsid w:val="365D6B2F"/>
    <w:rsid w:val="365E28A7"/>
    <w:rsid w:val="365E4655"/>
    <w:rsid w:val="365E6AF0"/>
    <w:rsid w:val="365F1C73"/>
    <w:rsid w:val="365F6841"/>
    <w:rsid w:val="365F6894"/>
    <w:rsid w:val="36603F29"/>
    <w:rsid w:val="36612E47"/>
    <w:rsid w:val="36613D32"/>
    <w:rsid w:val="36613DE1"/>
    <w:rsid w:val="36615762"/>
    <w:rsid w:val="36617CA1"/>
    <w:rsid w:val="36617F9C"/>
    <w:rsid w:val="36624145"/>
    <w:rsid w:val="36630A9F"/>
    <w:rsid w:val="36631F96"/>
    <w:rsid w:val="3663543F"/>
    <w:rsid w:val="36636FE9"/>
    <w:rsid w:val="36641223"/>
    <w:rsid w:val="366436D8"/>
    <w:rsid w:val="3664515C"/>
    <w:rsid w:val="36645FCA"/>
    <w:rsid w:val="36653B43"/>
    <w:rsid w:val="36653C36"/>
    <w:rsid w:val="366559E4"/>
    <w:rsid w:val="366604B5"/>
    <w:rsid w:val="3666113A"/>
    <w:rsid w:val="36665F5D"/>
    <w:rsid w:val="3666645F"/>
    <w:rsid w:val="36680DFA"/>
    <w:rsid w:val="36681030"/>
    <w:rsid w:val="36681A4D"/>
    <w:rsid w:val="366831EC"/>
    <w:rsid w:val="36683AAC"/>
    <w:rsid w:val="36684461"/>
    <w:rsid w:val="366854D4"/>
    <w:rsid w:val="366B013C"/>
    <w:rsid w:val="366B28CE"/>
    <w:rsid w:val="366B4D83"/>
    <w:rsid w:val="366B53FB"/>
    <w:rsid w:val="366B5748"/>
    <w:rsid w:val="366B5EDA"/>
    <w:rsid w:val="366B7875"/>
    <w:rsid w:val="366B79B5"/>
    <w:rsid w:val="366C0B20"/>
    <w:rsid w:val="366C15B3"/>
    <w:rsid w:val="366D0B7D"/>
    <w:rsid w:val="366D22D5"/>
    <w:rsid w:val="366D5CE0"/>
    <w:rsid w:val="366D6646"/>
    <w:rsid w:val="366E2AEA"/>
    <w:rsid w:val="366E3101"/>
    <w:rsid w:val="366F0610"/>
    <w:rsid w:val="366F50C7"/>
    <w:rsid w:val="36702397"/>
    <w:rsid w:val="36702FD5"/>
    <w:rsid w:val="36710518"/>
    <w:rsid w:val="36712B58"/>
    <w:rsid w:val="36714388"/>
    <w:rsid w:val="36716136"/>
    <w:rsid w:val="36721EAF"/>
    <w:rsid w:val="36723C5D"/>
    <w:rsid w:val="36732BCF"/>
    <w:rsid w:val="367372E3"/>
    <w:rsid w:val="36747466"/>
    <w:rsid w:val="36753638"/>
    <w:rsid w:val="367546D6"/>
    <w:rsid w:val="36756265"/>
    <w:rsid w:val="3677172D"/>
    <w:rsid w:val="367735B1"/>
    <w:rsid w:val="36777699"/>
    <w:rsid w:val="36780C72"/>
    <w:rsid w:val="367873E8"/>
    <w:rsid w:val="3679148F"/>
    <w:rsid w:val="3679323D"/>
    <w:rsid w:val="36797BFD"/>
    <w:rsid w:val="367A2DC1"/>
    <w:rsid w:val="367A6F3B"/>
    <w:rsid w:val="367B5344"/>
    <w:rsid w:val="367B5BEF"/>
    <w:rsid w:val="367B6FB5"/>
    <w:rsid w:val="367C093A"/>
    <w:rsid w:val="367C2E83"/>
    <w:rsid w:val="367C34AA"/>
    <w:rsid w:val="367C4A9C"/>
    <w:rsid w:val="367C4ADB"/>
    <w:rsid w:val="367D0F7F"/>
    <w:rsid w:val="367D2D2D"/>
    <w:rsid w:val="367D350B"/>
    <w:rsid w:val="367D4D6D"/>
    <w:rsid w:val="367E0853"/>
    <w:rsid w:val="367E2AAD"/>
    <w:rsid w:val="367E65C1"/>
    <w:rsid w:val="367E6EAB"/>
    <w:rsid w:val="367F28A4"/>
    <w:rsid w:val="367F3118"/>
    <w:rsid w:val="367F46EA"/>
    <w:rsid w:val="367F72CB"/>
    <w:rsid w:val="3680074B"/>
    <w:rsid w:val="3680080C"/>
    <w:rsid w:val="368060EE"/>
    <w:rsid w:val="36806379"/>
    <w:rsid w:val="3681152A"/>
    <w:rsid w:val="368154CF"/>
    <w:rsid w:val="36815AA2"/>
    <w:rsid w:val="368220F2"/>
    <w:rsid w:val="36826596"/>
    <w:rsid w:val="36826A0E"/>
    <w:rsid w:val="36835E6A"/>
    <w:rsid w:val="368377DF"/>
    <w:rsid w:val="3684230E"/>
    <w:rsid w:val="3684257F"/>
    <w:rsid w:val="36851BE2"/>
    <w:rsid w:val="36853990"/>
    <w:rsid w:val="36857E34"/>
    <w:rsid w:val="36862834"/>
    <w:rsid w:val="36873BAC"/>
    <w:rsid w:val="3687595A"/>
    <w:rsid w:val="36877708"/>
    <w:rsid w:val="36883480"/>
    <w:rsid w:val="36893D49"/>
    <w:rsid w:val="36897924"/>
    <w:rsid w:val="368A2FDD"/>
    <w:rsid w:val="368A369C"/>
    <w:rsid w:val="368A4B4C"/>
    <w:rsid w:val="368A71F8"/>
    <w:rsid w:val="368B585E"/>
    <w:rsid w:val="368B5E0B"/>
    <w:rsid w:val="368C18A4"/>
    <w:rsid w:val="368C4D1E"/>
    <w:rsid w:val="368C5843"/>
    <w:rsid w:val="368D0151"/>
    <w:rsid w:val="368D0A96"/>
    <w:rsid w:val="368D6CE8"/>
    <w:rsid w:val="368E123B"/>
    <w:rsid w:val="368E2E80"/>
    <w:rsid w:val="368E31A7"/>
    <w:rsid w:val="368E4F3A"/>
    <w:rsid w:val="368E62C3"/>
    <w:rsid w:val="368F0CB2"/>
    <w:rsid w:val="368F41DF"/>
    <w:rsid w:val="368F480F"/>
    <w:rsid w:val="368F71CD"/>
    <w:rsid w:val="36900240"/>
    <w:rsid w:val="36901ADC"/>
    <w:rsid w:val="36901C61"/>
    <w:rsid w:val="369031AC"/>
    <w:rsid w:val="36914A2B"/>
    <w:rsid w:val="3692250F"/>
    <w:rsid w:val="36923549"/>
    <w:rsid w:val="36923616"/>
    <w:rsid w:val="369242A1"/>
    <w:rsid w:val="3692680B"/>
    <w:rsid w:val="36933874"/>
    <w:rsid w:val="369342FF"/>
    <w:rsid w:val="369351D6"/>
    <w:rsid w:val="36940077"/>
    <w:rsid w:val="36941227"/>
    <w:rsid w:val="36941E25"/>
    <w:rsid w:val="3694591B"/>
    <w:rsid w:val="369462C9"/>
    <w:rsid w:val="369605DD"/>
    <w:rsid w:val="36962041"/>
    <w:rsid w:val="3697776B"/>
    <w:rsid w:val="3698769C"/>
    <w:rsid w:val="369938DF"/>
    <w:rsid w:val="36996EBE"/>
    <w:rsid w:val="369A1099"/>
    <w:rsid w:val="369A111C"/>
    <w:rsid w:val="369A5257"/>
    <w:rsid w:val="369B0ED9"/>
    <w:rsid w:val="369B1539"/>
    <w:rsid w:val="369B1541"/>
    <w:rsid w:val="369B5287"/>
    <w:rsid w:val="369B7657"/>
    <w:rsid w:val="369C440D"/>
    <w:rsid w:val="369D0375"/>
    <w:rsid w:val="369E0C1F"/>
    <w:rsid w:val="369E54F7"/>
    <w:rsid w:val="369F6FC3"/>
    <w:rsid w:val="36A011EB"/>
    <w:rsid w:val="36A13D31"/>
    <w:rsid w:val="36A1493B"/>
    <w:rsid w:val="36A15698"/>
    <w:rsid w:val="36A16AB3"/>
    <w:rsid w:val="36A209E6"/>
    <w:rsid w:val="36A20A49"/>
    <w:rsid w:val="36A21DFD"/>
    <w:rsid w:val="36A24542"/>
    <w:rsid w:val="36A25E99"/>
    <w:rsid w:val="36A30D41"/>
    <w:rsid w:val="36A335F1"/>
    <w:rsid w:val="36A33AE5"/>
    <w:rsid w:val="36A43530"/>
    <w:rsid w:val="36A4435D"/>
    <w:rsid w:val="36A4475E"/>
    <w:rsid w:val="36A4601E"/>
    <w:rsid w:val="36A466B6"/>
    <w:rsid w:val="36A468E5"/>
    <w:rsid w:val="36A47195"/>
    <w:rsid w:val="36A52284"/>
    <w:rsid w:val="36A55DE0"/>
    <w:rsid w:val="36A6094E"/>
    <w:rsid w:val="36A71B58"/>
    <w:rsid w:val="36A723C2"/>
    <w:rsid w:val="36A73F0A"/>
    <w:rsid w:val="36A75037"/>
    <w:rsid w:val="36A77DAA"/>
    <w:rsid w:val="36A92AAB"/>
    <w:rsid w:val="36A92D96"/>
    <w:rsid w:val="36AA1BA4"/>
    <w:rsid w:val="36AA5AEC"/>
    <w:rsid w:val="36AA7F2F"/>
    <w:rsid w:val="36AB033E"/>
    <w:rsid w:val="36AB2277"/>
    <w:rsid w:val="36AB4E80"/>
    <w:rsid w:val="36AB5819"/>
    <w:rsid w:val="36AC2A75"/>
    <w:rsid w:val="36AE1139"/>
    <w:rsid w:val="36AE37D4"/>
    <w:rsid w:val="36AE433B"/>
    <w:rsid w:val="36AE738B"/>
    <w:rsid w:val="36AF3103"/>
    <w:rsid w:val="36AF6C5F"/>
    <w:rsid w:val="36B00B53"/>
    <w:rsid w:val="36B0782A"/>
    <w:rsid w:val="36B10C29"/>
    <w:rsid w:val="36B129D7"/>
    <w:rsid w:val="36B205FF"/>
    <w:rsid w:val="36B23B78"/>
    <w:rsid w:val="36B31C26"/>
    <w:rsid w:val="36B349A1"/>
    <w:rsid w:val="36B3674F"/>
    <w:rsid w:val="36B424C7"/>
    <w:rsid w:val="36B44275"/>
    <w:rsid w:val="36B4763B"/>
    <w:rsid w:val="36B50719"/>
    <w:rsid w:val="36B50ACB"/>
    <w:rsid w:val="36B52C84"/>
    <w:rsid w:val="36B61AC2"/>
    <w:rsid w:val="36B64491"/>
    <w:rsid w:val="36B6461D"/>
    <w:rsid w:val="36B66706"/>
    <w:rsid w:val="36B66BCB"/>
    <w:rsid w:val="36B67FED"/>
    <w:rsid w:val="36B75FBF"/>
    <w:rsid w:val="36B81FB7"/>
    <w:rsid w:val="36B83DE8"/>
    <w:rsid w:val="36B85B13"/>
    <w:rsid w:val="36B87CCB"/>
    <w:rsid w:val="36B97ADD"/>
    <w:rsid w:val="36BA08DC"/>
    <w:rsid w:val="36BA3BAA"/>
    <w:rsid w:val="36BA3D31"/>
    <w:rsid w:val="36BB1B5C"/>
    <w:rsid w:val="36BB3856"/>
    <w:rsid w:val="36BC09D6"/>
    <w:rsid w:val="36BC6F7C"/>
    <w:rsid w:val="36BC78D9"/>
    <w:rsid w:val="36BD0C45"/>
    <w:rsid w:val="36BD137C"/>
    <w:rsid w:val="36BD19ED"/>
    <w:rsid w:val="36BD312A"/>
    <w:rsid w:val="36BD56F1"/>
    <w:rsid w:val="36BD5820"/>
    <w:rsid w:val="36BE16D6"/>
    <w:rsid w:val="36BE1E2E"/>
    <w:rsid w:val="36BE50F4"/>
    <w:rsid w:val="36BF4A54"/>
    <w:rsid w:val="36BF504B"/>
    <w:rsid w:val="36BF55EA"/>
    <w:rsid w:val="36BF76FF"/>
    <w:rsid w:val="36BF7DA4"/>
    <w:rsid w:val="36C00174"/>
    <w:rsid w:val="36C066E4"/>
    <w:rsid w:val="36C26992"/>
    <w:rsid w:val="36C26F24"/>
    <w:rsid w:val="36C31297"/>
    <w:rsid w:val="36C3270A"/>
    <w:rsid w:val="36C3389F"/>
    <w:rsid w:val="36C344B8"/>
    <w:rsid w:val="36C4095C"/>
    <w:rsid w:val="36C41F09"/>
    <w:rsid w:val="36C46BAE"/>
    <w:rsid w:val="36C50230"/>
    <w:rsid w:val="36C505C0"/>
    <w:rsid w:val="36C52756"/>
    <w:rsid w:val="36C5420C"/>
    <w:rsid w:val="36C546D4"/>
    <w:rsid w:val="36C56482"/>
    <w:rsid w:val="36C6077F"/>
    <w:rsid w:val="36C61936"/>
    <w:rsid w:val="36C63BC0"/>
    <w:rsid w:val="36C7044C"/>
    <w:rsid w:val="36C72EE0"/>
    <w:rsid w:val="36C869A9"/>
    <w:rsid w:val="36C941C4"/>
    <w:rsid w:val="36C95F18"/>
    <w:rsid w:val="36C95F72"/>
    <w:rsid w:val="36C97A64"/>
    <w:rsid w:val="36C97D20"/>
    <w:rsid w:val="36CA5810"/>
    <w:rsid w:val="36CB14ED"/>
    <w:rsid w:val="36CB4A75"/>
    <w:rsid w:val="36CB53E3"/>
    <w:rsid w:val="36CC15BF"/>
    <w:rsid w:val="36CC23AE"/>
    <w:rsid w:val="36CC4181"/>
    <w:rsid w:val="36CC5A63"/>
    <w:rsid w:val="36CD1936"/>
    <w:rsid w:val="36CD3F40"/>
    <w:rsid w:val="36CE5337"/>
    <w:rsid w:val="36CF02B4"/>
    <w:rsid w:val="36CF281E"/>
    <w:rsid w:val="36CF7301"/>
    <w:rsid w:val="36D018D9"/>
    <w:rsid w:val="36D05553"/>
    <w:rsid w:val="36D06057"/>
    <w:rsid w:val="36D14E27"/>
    <w:rsid w:val="36D278BC"/>
    <w:rsid w:val="36D30B9F"/>
    <w:rsid w:val="36D3294D"/>
    <w:rsid w:val="36D42991"/>
    <w:rsid w:val="36D4313E"/>
    <w:rsid w:val="36D44917"/>
    <w:rsid w:val="36D466C5"/>
    <w:rsid w:val="36D51C66"/>
    <w:rsid w:val="36D52B69"/>
    <w:rsid w:val="36D6068F"/>
    <w:rsid w:val="36D617AE"/>
    <w:rsid w:val="36D61881"/>
    <w:rsid w:val="36D6243D"/>
    <w:rsid w:val="36D641EB"/>
    <w:rsid w:val="36D65108"/>
    <w:rsid w:val="36D665A2"/>
    <w:rsid w:val="36D668E1"/>
    <w:rsid w:val="36D77E55"/>
    <w:rsid w:val="36D83A68"/>
    <w:rsid w:val="36D843B3"/>
    <w:rsid w:val="36D84407"/>
    <w:rsid w:val="36D86195"/>
    <w:rsid w:val="36D861B6"/>
    <w:rsid w:val="36D87F64"/>
    <w:rsid w:val="36D93CDC"/>
    <w:rsid w:val="36D9587A"/>
    <w:rsid w:val="36DA075E"/>
    <w:rsid w:val="36DA1F2E"/>
    <w:rsid w:val="36DA4CBE"/>
    <w:rsid w:val="36DA67BC"/>
    <w:rsid w:val="36DB3EF8"/>
    <w:rsid w:val="36DB7C3A"/>
    <w:rsid w:val="36DC09A8"/>
    <w:rsid w:val="36DC1557"/>
    <w:rsid w:val="36DD0212"/>
    <w:rsid w:val="36DD28D0"/>
    <w:rsid w:val="36DD557A"/>
    <w:rsid w:val="36DD6847"/>
    <w:rsid w:val="36DE12F2"/>
    <w:rsid w:val="36DE362E"/>
    <w:rsid w:val="36DE3F2B"/>
    <w:rsid w:val="36DE4FA7"/>
    <w:rsid w:val="36E032BC"/>
    <w:rsid w:val="36E0506A"/>
    <w:rsid w:val="36E075C0"/>
    <w:rsid w:val="36E2294F"/>
    <w:rsid w:val="36E22B83"/>
    <w:rsid w:val="36E23743"/>
    <w:rsid w:val="36E24D6B"/>
    <w:rsid w:val="36E25286"/>
    <w:rsid w:val="36E36908"/>
    <w:rsid w:val="36E42DAC"/>
    <w:rsid w:val="36E44B48"/>
    <w:rsid w:val="36E44B5A"/>
    <w:rsid w:val="36E52680"/>
    <w:rsid w:val="36E56B24"/>
    <w:rsid w:val="36E670F8"/>
    <w:rsid w:val="36E678F9"/>
    <w:rsid w:val="36E763F9"/>
    <w:rsid w:val="36E8128E"/>
    <w:rsid w:val="36E83F1F"/>
    <w:rsid w:val="36E85390"/>
    <w:rsid w:val="36E87DF4"/>
    <w:rsid w:val="36E92171"/>
    <w:rsid w:val="36EA0568"/>
    <w:rsid w:val="36EA5704"/>
    <w:rsid w:val="36EA5EE9"/>
    <w:rsid w:val="36EB313E"/>
    <w:rsid w:val="36EB413B"/>
    <w:rsid w:val="36EC09FF"/>
    <w:rsid w:val="36EC1002"/>
    <w:rsid w:val="36EC2A2B"/>
    <w:rsid w:val="36EC3A0F"/>
    <w:rsid w:val="36EC7D25"/>
    <w:rsid w:val="36EC7EB3"/>
    <w:rsid w:val="36ED2D71"/>
    <w:rsid w:val="36ED7533"/>
    <w:rsid w:val="36ED7A89"/>
    <w:rsid w:val="36EE2BAD"/>
    <w:rsid w:val="36EE5616"/>
    <w:rsid w:val="36EE59D9"/>
    <w:rsid w:val="36EE7787"/>
    <w:rsid w:val="36EF34FF"/>
    <w:rsid w:val="36F079A3"/>
    <w:rsid w:val="36F11025"/>
    <w:rsid w:val="36F14000"/>
    <w:rsid w:val="36F1614D"/>
    <w:rsid w:val="36F17277"/>
    <w:rsid w:val="36F2780E"/>
    <w:rsid w:val="36F34D9D"/>
    <w:rsid w:val="36F40B16"/>
    <w:rsid w:val="36F4146E"/>
    <w:rsid w:val="36F4271E"/>
    <w:rsid w:val="36F45565"/>
    <w:rsid w:val="36F461D7"/>
    <w:rsid w:val="36F51668"/>
    <w:rsid w:val="36F56BFC"/>
    <w:rsid w:val="36F56D67"/>
    <w:rsid w:val="36F6333B"/>
    <w:rsid w:val="36F6488E"/>
    <w:rsid w:val="36F6663C"/>
    <w:rsid w:val="36F6781D"/>
    <w:rsid w:val="36F727C5"/>
    <w:rsid w:val="36F73E43"/>
    <w:rsid w:val="36F779A3"/>
    <w:rsid w:val="36F80606"/>
    <w:rsid w:val="36F80C99"/>
    <w:rsid w:val="36F87E3A"/>
    <w:rsid w:val="36F90584"/>
    <w:rsid w:val="36F948DF"/>
    <w:rsid w:val="36F95BAA"/>
    <w:rsid w:val="36FA2093"/>
    <w:rsid w:val="36FA25D0"/>
    <w:rsid w:val="36FB00F6"/>
    <w:rsid w:val="36FB1EA4"/>
    <w:rsid w:val="36FB3B12"/>
    <w:rsid w:val="36FB4AC5"/>
    <w:rsid w:val="36FB5F12"/>
    <w:rsid w:val="36FB69A4"/>
    <w:rsid w:val="36FB79E7"/>
    <w:rsid w:val="36FD2684"/>
    <w:rsid w:val="36FD384D"/>
    <w:rsid w:val="36FD7088"/>
    <w:rsid w:val="36FE03E7"/>
    <w:rsid w:val="36FE72C1"/>
    <w:rsid w:val="36FF1994"/>
    <w:rsid w:val="36FF649E"/>
    <w:rsid w:val="36FF7BE6"/>
    <w:rsid w:val="3700570C"/>
    <w:rsid w:val="370074BA"/>
    <w:rsid w:val="3701395E"/>
    <w:rsid w:val="37014E77"/>
    <w:rsid w:val="37017D0B"/>
    <w:rsid w:val="370203A6"/>
    <w:rsid w:val="37024FE0"/>
    <w:rsid w:val="370270D2"/>
    <w:rsid w:val="370276D6"/>
    <w:rsid w:val="37033109"/>
    <w:rsid w:val="370336B9"/>
    <w:rsid w:val="37033C98"/>
    <w:rsid w:val="370419F2"/>
    <w:rsid w:val="370451FC"/>
    <w:rsid w:val="370459E3"/>
    <w:rsid w:val="37046FAB"/>
    <w:rsid w:val="37054044"/>
    <w:rsid w:val="37054AD1"/>
    <w:rsid w:val="37060284"/>
    <w:rsid w:val="37061527"/>
    <w:rsid w:val="37070849"/>
    <w:rsid w:val="37076A9B"/>
    <w:rsid w:val="370838BC"/>
    <w:rsid w:val="37083F2D"/>
    <w:rsid w:val="370914CC"/>
    <w:rsid w:val="37092813"/>
    <w:rsid w:val="370945C1"/>
    <w:rsid w:val="3709636F"/>
    <w:rsid w:val="3709770D"/>
    <w:rsid w:val="370A0339"/>
    <w:rsid w:val="370A2B55"/>
    <w:rsid w:val="370A73E6"/>
    <w:rsid w:val="370B18C5"/>
    <w:rsid w:val="370B2AD8"/>
    <w:rsid w:val="370B658B"/>
    <w:rsid w:val="370B7515"/>
    <w:rsid w:val="370C40B1"/>
    <w:rsid w:val="370C4E09"/>
    <w:rsid w:val="370C5A9D"/>
    <w:rsid w:val="370D0E17"/>
    <w:rsid w:val="370D3628"/>
    <w:rsid w:val="370D7DD7"/>
    <w:rsid w:val="370E1BD7"/>
    <w:rsid w:val="370E75C3"/>
    <w:rsid w:val="370F0FC4"/>
    <w:rsid w:val="370F6192"/>
    <w:rsid w:val="37105C0F"/>
    <w:rsid w:val="37113761"/>
    <w:rsid w:val="37116504"/>
    <w:rsid w:val="37121815"/>
    <w:rsid w:val="37121AEC"/>
    <w:rsid w:val="37125F2E"/>
    <w:rsid w:val="37126AB2"/>
    <w:rsid w:val="37130230"/>
    <w:rsid w:val="37133692"/>
    <w:rsid w:val="37133FFD"/>
    <w:rsid w:val="37135596"/>
    <w:rsid w:val="37136642"/>
    <w:rsid w:val="37136916"/>
    <w:rsid w:val="37147113"/>
    <w:rsid w:val="37151119"/>
    <w:rsid w:val="371511B8"/>
    <w:rsid w:val="37152977"/>
    <w:rsid w:val="37152F66"/>
    <w:rsid w:val="37160A8C"/>
    <w:rsid w:val="3716483A"/>
    <w:rsid w:val="371649C0"/>
    <w:rsid w:val="37166CDE"/>
    <w:rsid w:val="37175449"/>
    <w:rsid w:val="371829F7"/>
    <w:rsid w:val="37182A56"/>
    <w:rsid w:val="371843D8"/>
    <w:rsid w:val="37191AD4"/>
    <w:rsid w:val="371939A5"/>
    <w:rsid w:val="371941D2"/>
    <w:rsid w:val="37196CDC"/>
    <w:rsid w:val="37197F7D"/>
    <w:rsid w:val="371A0249"/>
    <w:rsid w:val="371A057C"/>
    <w:rsid w:val="371A67CE"/>
    <w:rsid w:val="371B2546"/>
    <w:rsid w:val="371B50A8"/>
    <w:rsid w:val="371B60A2"/>
    <w:rsid w:val="371C3939"/>
    <w:rsid w:val="371D1594"/>
    <w:rsid w:val="371D1E1A"/>
    <w:rsid w:val="371E0F33"/>
    <w:rsid w:val="371E516A"/>
    <w:rsid w:val="371F5089"/>
    <w:rsid w:val="37213AEB"/>
    <w:rsid w:val="37215636"/>
    <w:rsid w:val="37215DAE"/>
    <w:rsid w:val="3721760E"/>
    <w:rsid w:val="37224778"/>
    <w:rsid w:val="37225876"/>
    <w:rsid w:val="372413FB"/>
    <w:rsid w:val="37241E32"/>
    <w:rsid w:val="37243096"/>
    <w:rsid w:val="3724789B"/>
    <w:rsid w:val="37264630"/>
    <w:rsid w:val="37265173"/>
    <w:rsid w:val="37266931"/>
    <w:rsid w:val="372676EE"/>
    <w:rsid w:val="372721A3"/>
    <w:rsid w:val="3727713D"/>
    <w:rsid w:val="37277746"/>
    <w:rsid w:val="37296970"/>
    <w:rsid w:val="37296A11"/>
    <w:rsid w:val="372A370D"/>
    <w:rsid w:val="372A4537"/>
    <w:rsid w:val="372B229B"/>
    <w:rsid w:val="372B2789"/>
    <w:rsid w:val="372C02AF"/>
    <w:rsid w:val="372C24C9"/>
    <w:rsid w:val="372C4030"/>
    <w:rsid w:val="372D0645"/>
    <w:rsid w:val="372E0276"/>
    <w:rsid w:val="372E206C"/>
    <w:rsid w:val="372E5DD5"/>
    <w:rsid w:val="372E7C30"/>
    <w:rsid w:val="372E7E9B"/>
    <w:rsid w:val="372F02B2"/>
    <w:rsid w:val="372F1B4E"/>
    <w:rsid w:val="372F7D91"/>
    <w:rsid w:val="372F7EB5"/>
    <w:rsid w:val="37313B18"/>
    <w:rsid w:val="37321D6A"/>
    <w:rsid w:val="37321E9F"/>
    <w:rsid w:val="37324A70"/>
    <w:rsid w:val="373256D5"/>
    <w:rsid w:val="3732571E"/>
    <w:rsid w:val="373303C1"/>
    <w:rsid w:val="3733163E"/>
    <w:rsid w:val="37332CA0"/>
    <w:rsid w:val="37335AE2"/>
    <w:rsid w:val="37340AF7"/>
    <w:rsid w:val="37342108"/>
    <w:rsid w:val="37343517"/>
    <w:rsid w:val="3735277C"/>
    <w:rsid w:val="37353608"/>
    <w:rsid w:val="373553B6"/>
    <w:rsid w:val="37360CCE"/>
    <w:rsid w:val="37362EDC"/>
    <w:rsid w:val="37364881"/>
    <w:rsid w:val="37370BAF"/>
    <w:rsid w:val="37376CC2"/>
    <w:rsid w:val="3738264A"/>
    <w:rsid w:val="373830F8"/>
    <w:rsid w:val="373843F6"/>
    <w:rsid w:val="37384EA6"/>
    <w:rsid w:val="37393AE7"/>
    <w:rsid w:val="373976B2"/>
    <w:rsid w:val="373A3202"/>
    <w:rsid w:val="373B479E"/>
    <w:rsid w:val="373C24D0"/>
    <w:rsid w:val="373C4996"/>
    <w:rsid w:val="373D070E"/>
    <w:rsid w:val="373D24BC"/>
    <w:rsid w:val="373D63C5"/>
    <w:rsid w:val="373D6FB2"/>
    <w:rsid w:val="373E23B9"/>
    <w:rsid w:val="373F4487"/>
    <w:rsid w:val="373F5FFA"/>
    <w:rsid w:val="37400F61"/>
    <w:rsid w:val="374101FF"/>
    <w:rsid w:val="37411FAD"/>
    <w:rsid w:val="37421881"/>
    <w:rsid w:val="37421A31"/>
    <w:rsid w:val="37425B98"/>
    <w:rsid w:val="374376E2"/>
    <w:rsid w:val="37441A9D"/>
    <w:rsid w:val="3744384B"/>
    <w:rsid w:val="37446E85"/>
    <w:rsid w:val="374530BA"/>
    <w:rsid w:val="3745548B"/>
    <w:rsid w:val="37460314"/>
    <w:rsid w:val="37461371"/>
    <w:rsid w:val="3746636E"/>
    <w:rsid w:val="374675C3"/>
    <w:rsid w:val="37467BE1"/>
    <w:rsid w:val="3747191A"/>
    <w:rsid w:val="37475806"/>
    <w:rsid w:val="37476E97"/>
    <w:rsid w:val="374774CE"/>
    <w:rsid w:val="37482D6F"/>
    <w:rsid w:val="374866F6"/>
    <w:rsid w:val="37494952"/>
    <w:rsid w:val="374970B3"/>
    <w:rsid w:val="374971DB"/>
    <w:rsid w:val="374A4A1C"/>
    <w:rsid w:val="374A5526"/>
    <w:rsid w:val="374A5A5C"/>
    <w:rsid w:val="374B3469"/>
    <w:rsid w:val="374B4187"/>
    <w:rsid w:val="374B5E63"/>
    <w:rsid w:val="374B6987"/>
    <w:rsid w:val="374C4166"/>
    <w:rsid w:val="374C44AA"/>
    <w:rsid w:val="374D4C61"/>
    <w:rsid w:val="374E0226"/>
    <w:rsid w:val="374E239E"/>
    <w:rsid w:val="374E6478"/>
    <w:rsid w:val="374F156F"/>
    <w:rsid w:val="374F1751"/>
    <w:rsid w:val="374F3F98"/>
    <w:rsid w:val="37500442"/>
    <w:rsid w:val="37504688"/>
    <w:rsid w:val="3751127F"/>
    <w:rsid w:val="37517D16"/>
    <w:rsid w:val="375223CF"/>
    <w:rsid w:val="37522798"/>
    <w:rsid w:val="37523A8E"/>
    <w:rsid w:val="375262E3"/>
    <w:rsid w:val="37531CE0"/>
    <w:rsid w:val="37532A4E"/>
    <w:rsid w:val="37533A8E"/>
    <w:rsid w:val="37536AF3"/>
    <w:rsid w:val="37543FE1"/>
    <w:rsid w:val="37551C2D"/>
    <w:rsid w:val="37555A58"/>
    <w:rsid w:val="3756129A"/>
    <w:rsid w:val="37561EBF"/>
    <w:rsid w:val="3756532C"/>
    <w:rsid w:val="3757272A"/>
    <w:rsid w:val="375768C5"/>
    <w:rsid w:val="37576E4F"/>
    <w:rsid w:val="37581047"/>
    <w:rsid w:val="37597C1A"/>
    <w:rsid w:val="375A306E"/>
    <w:rsid w:val="375A4E1C"/>
    <w:rsid w:val="375A6BCB"/>
    <w:rsid w:val="375A77DC"/>
    <w:rsid w:val="375B2943"/>
    <w:rsid w:val="375C10BD"/>
    <w:rsid w:val="375C1FD6"/>
    <w:rsid w:val="375C6DE7"/>
    <w:rsid w:val="375D15CD"/>
    <w:rsid w:val="375D66BB"/>
    <w:rsid w:val="375E0EBB"/>
    <w:rsid w:val="375E15F4"/>
    <w:rsid w:val="375E5659"/>
    <w:rsid w:val="375F2AE6"/>
    <w:rsid w:val="37602D37"/>
    <w:rsid w:val="37607F59"/>
    <w:rsid w:val="376161AB"/>
    <w:rsid w:val="37620175"/>
    <w:rsid w:val="37621F23"/>
    <w:rsid w:val="3762240D"/>
    <w:rsid w:val="37623FD6"/>
    <w:rsid w:val="37625F23"/>
    <w:rsid w:val="37643EED"/>
    <w:rsid w:val="37646AB9"/>
    <w:rsid w:val="37652EC4"/>
    <w:rsid w:val="376561BD"/>
    <w:rsid w:val="37667C65"/>
    <w:rsid w:val="37681C26"/>
    <w:rsid w:val="37684E74"/>
    <w:rsid w:val="376867AB"/>
    <w:rsid w:val="37691503"/>
    <w:rsid w:val="37693B77"/>
    <w:rsid w:val="37695060"/>
    <w:rsid w:val="376B0DD8"/>
    <w:rsid w:val="376B4503"/>
    <w:rsid w:val="376B5AE8"/>
    <w:rsid w:val="376B67C5"/>
    <w:rsid w:val="376C160B"/>
    <w:rsid w:val="376C1FD7"/>
    <w:rsid w:val="376C7B87"/>
    <w:rsid w:val="376D2028"/>
    <w:rsid w:val="376D427E"/>
    <w:rsid w:val="376D4904"/>
    <w:rsid w:val="376E20F1"/>
    <w:rsid w:val="376E2B0E"/>
    <w:rsid w:val="376E6B1A"/>
    <w:rsid w:val="376F1E40"/>
    <w:rsid w:val="376F25E6"/>
    <w:rsid w:val="376F2908"/>
    <w:rsid w:val="376F3581"/>
    <w:rsid w:val="37702892"/>
    <w:rsid w:val="37704640"/>
    <w:rsid w:val="37705379"/>
    <w:rsid w:val="377063EE"/>
    <w:rsid w:val="37710326"/>
    <w:rsid w:val="37713757"/>
    <w:rsid w:val="37721963"/>
    <w:rsid w:val="377260CD"/>
    <w:rsid w:val="37730541"/>
    <w:rsid w:val="37736785"/>
    <w:rsid w:val="377374A0"/>
    <w:rsid w:val="37737C8C"/>
    <w:rsid w:val="37744822"/>
    <w:rsid w:val="377459C8"/>
    <w:rsid w:val="377519B3"/>
    <w:rsid w:val="37753A04"/>
    <w:rsid w:val="37757132"/>
    <w:rsid w:val="37761D13"/>
    <w:rsid w:val="37762164"/>
    <w:rsid w:val="37765AA1"/>
    <w:rsid w:val="3776777C"/>
    <w:rsid w:val="377736A6"/>
    <w:rsid w:val="37773A9F"/>
    <w:rsid w:val="37773C20"/>
    <w:rsid w:val="377759CE"/>
    <w:rsid w:val="37781747"/>
    <w:rsid w:val="377958EC"/>
    <w:rsid w:val="37795AC3"/>
    <w:rsid w:val="377A101B"/>
    <w:rsid w:val="377A726D"/>
    <w:rsid w:val="377B1AA7"/>
    <w:rsid w:val="377B341C"/>
    <w:rsid w:val="377B46F5"/>
    <w:rsid w:val="377C2FE5"/>
    <w:rsid w:val="377C4957"/>
    <w:rsid w:val="377C4D93"/>
    <w:rsid w:val="377C501B"/>
    <w:rsid w:val="377D043D"/>
    <w:rsid w:val="377D1455"/>
    <w:rsid w:val="377D1925"/>
    <w:rsid w:val="377D5464"/>
    <w:rsid w:val="377E4FAF"/>
    <w:rsid w:val="377F0D27"/>
    <w:rsid w:val="377F6FB1"/>
    <w:rsid w:val="37815996"/>
    <w:rsid w:val="37817DBD"/>
    <w:rsid w:val="37823F12"/>
    <w:rsid w:val="37831746"/>
    <w:rsid w:val="378325C5"/>
    <w:rsid w:val="378347D7"/>
    <w:rsid w:val="378400EB"/>
    <w:rsid w:val="37841E99"/>
    <w:rsid w:val="3784543E"/>
    <w:rsid w:val="37850378"/>
    <w:rsid w:val="378620B5"/>
    <w:rsid w:val="37862F75"/>
    <w:rsid w:val="37864EE5"/>
    <w:rsid w:val="37865C12"/>
    <w:rsid w:val="37872C98"/>
    <w:rsid w:val="37873A2F"/>
    <w:rsid w:val="378815D4"/>
    <w:rsid w:val="37887101"/>
    <w:rsid w:val="37893186"/>
    <w:rsid w:val="37895702"/>
    <w:rsid w:val="378B147A"/>
    <w:rsid w:val="378B1619"/>
    <w:rsid w:val="378B763B"/>
    <w:rsid w:val="378C0D4E"/>
    <w:rsid w:val="378C1ED8"/>
    <w:rsid w:val="378C60F3"/>
    <w:rsid w:val="378C69AC"/>
    <w:rsid w:val="378D0380"/>
    <w:rsid w:val="378D6FA0"/>
    <w:rsid w:val="378E4AC6"/>
    <w:rsid w:val="378E58F0"/>
    <w:rsid w:val="378E6C36"/>
    <w:rsid w:val="378E7F9A"/>
    <w:rsid w:val="378F5969"/>
    <w:rsid w:val="378F5AB8"/>
    <w:rsid w:val="3790083E"/>
    <w:rsid w:val="37903FFB"/>
    <w:rsid w:val="37913D4A"/>
    <w:rsid w:val="37922808"/>
    <w:rsid w:val="379320DC"/>
    <w:rsid w:val="37936580"/>
    <w:rsid w:val="37937D20"/>
    <w:rsid w:val="37941132"/>
    <w:rsid w:val="379453B8"/>
    <w:rsid w:val="379467EE"/>
    <w:rsid w:val="3795312A"/>
    <w:rsid w:val="3795623B"/>
    <w:rsid w:val="379612FD"/>
    <w:rsid w:val="379645D9"/>
    <w:rsid w:val="37971E95"/>
    <w:rsid w:val="37976071"/>
    <w:rsid w:val="37977641"/>
    <w:rsid w:val="37977E1F"/>
    <w:rsid w:val="37980CF6"/>
    <w:rsid w:val="3798138B"/>
    <w:rsid w:val="37983B97"/>
    <w:rsid w:val="379876F3"/>
    <w:rsid w:val="379911B9"/>
    <w:rsid w:val="379A1801"/>
    <w:rsid w:val="379A346B"/>
    <w:rsid w:val="379A790F"/>
    <w:rsid w:val="379B49DE"/>
    <w:rsid w:val="379C3687"/>
    <w:rsid w:val="379C5435"/>
    <w:rsid w:val="379D1740"/>
    <w:rsid w:val="379D2A8C"/>
    <w:rsid w:val="379D2F5B"/>
    <w:rsid w:val="379E11AD"/>
    <w:rsid w:val="379E1863"/>
    <w:rsid w:val="379E4675"/>
    <w:rsid w:val="379E4AB3"/>
    <w:rsid w:val="379F06A1"/>
    <w:rsid w:val="379F21AA"/>
    <w:rsid w:val="379F27F3"/>
    <w:rsid w:val="379F6CD3"/>
    <w:rsid w:val="37A02F1C"/>
    <w:rsid w:val="37A03513"/>
    <w:rsid w:val="37A16684"/>
    <w:rsid w:val="37A30D30"/>
    <w:rsid w:val="37A34A15"/>
    <w:rsid w:val="37A367C3"/>
    <w:rsid w:val="37A4253C"/>
    <w:rsid w:val="37A53650"/>
    <w:rsid w:val="37A53EFF"/>
    <w:rsid w:val="37A647F6"/>
    <w:rsid w:val="37A66221"/>
    <w:rsid w:val="37A662B4"/>
    <w:rsid w:val="37A7515D"/>
    <w:rsid w:val="37A75B88"/>
    <w:rsid w:val="37A76B65"/>
    <w:rsid w:val="37A80209"/>
    <w:rsid w:val="37A83712"/>
    <w:rsid w:val="37A83DDA"/>
    <w:rsid w:val="37A87AE3"/>
    <w:rsid w:val="37A94BA2"/>
    <w:rsid w:val="37A95DA4"/>
    <w:rsid w:val="37A97B52"/>
    <w:rsid w:val="37AB5678"/>
    <w:rsid w:val="37AC619F"/>
    <w:rsid w:val="37AD2E8A"/>
    <w:rsid w:val="37AD5F5C"/>
    <w:rsid w:val="37AD7642"/>
    <w:rsid w:val="37AE3B24"/>
    <w:rsid w:val="37AE3F90"/>
    <w:rsid w:val="37AE6A66"/>
    <w:rsid w:val="37AF02CF"/>
    <w:rsid w:val="37AF23E2"/>
    <w:rsid w:val="37AF3EFB"/>
    <w:rsid w:val="37B02C8E"/>
    <w:rsid w:val="37B05C56"/>
    <w:rsid w:val="37B05FEC"/>
    <w:rsid w:val="37B07132"/>
    <w:rsid w:val="37B207B5"/>
    <w:rsid w:val="37B22EAA"/>
    <w:rsid w:val="37B24C58"/>
    <w:rsid w:val="37B3277F"/>
    <w:rsid w:val="37B32E86"/>
    <w:rsid w:val="37B330A1"/>
    <w:rsid w:val="37B3452D"/>
    <w:rsid w:val="37B36771"/>
    <w:rsid w:val="37B37F19"/>
    <w:rsid w:val="37B409D1"/>
    <w:rsid w:val="37B51345"/>
    <w:rsid w:val="37B54749"/>
    <w:rsid w:val="37B645D5"/>
    <w:rsid w:val="37B704C1"/>
    <w:rsid w:val="37B70636"/>
    <w:rsid w:val="37B7226F"/>
    <w:rsid w:val="37B7351B"/>
    <w:rsid w:val="37B7401D"/>
    <w:rsid w:val="37B805E5"/>
    <w:rsid w:val="37B876E9"/>
    <w:rsid w:val="37BA1D5F"/>
    <w:rsid w:val="37BA3B0D"/>
    <w:rsid w:val="37BA58BB"/>
    <w:rsid w:val="37BC1699"/>
    <w:rsid w:val="37BC7885"/>
    <w:rsid w:val="37BC7FF8"/>
    <w:rsid w:val="37BD5C4C"/>
    <w:rsid w:val="37BD704F"/>
    <w:rsid w:val="37BE129D"/>
    <w:rsid w:val="37BE1457"/>
    <w:rsid w:val="37BE184F"/>
    <w:rsid w:val="37BE29FD"/>
    <w:rsid w:val="37BE2D67"/>
    <w:rsid w:val="37BE35FD"/>
    <w:rsid w:val="37BE5938"/>
    <w:rsid w:val="37BF1123"/>
    <w:rsid w:val="37BF2ED1"/>
    <w:rsid w:val="37BF30B7"/>
    <w:rsid w:val="37BF6F5F"/>
    <w:rsid w:val="37C02FEE"/>
    <w:rsid w:val="37C07E87"/>
    <w:rsid w:val="37C12946"/>
    <w:rsid w:val="37C12BFE"/>
    <w:rsid w:val="37C130EE"/>
    <w:rsid w:val="37C14304"/>
    <w:rsid w:val="37C175FA"/>
    <w:rsid w:val="37C20DF1"/>
    <w:rsid w:val="37C242B9"/>
    <w:rsid w:val="37C2473F"/>
    <w:rsid w:val="37C24DD6"/>
    <w:rsid w:val="37C26FAB"/>
    <w:rsid w:val="37C32558"/>
    <w:rsid w:val="37C32629"/>
    <w:rsid w:val="37C3284E"/>
    <w:rsid w:val="37C329C2"/>
    <w:rsid w:val="37C36E66"/>
    <w:rsid w:val="37C40972"/>
    <w:rsid w:val="37C4498C"/>
    <w:rsid w:val="37C453A8"/>
    <w:rsid w:val="37C51E88"/>
    <w:rsid w:val="37C52BDE"/>
    <w:rsid w:val="37C60704"/>
    <w:rsid w:val="37C6373D"/>
    <w:rsid w:val="37C661FD"/>
    <w:rsid w:val="37C71594"/>
    <w:rsid w:val="37C77AC6"/>
    <w:rsid w:val="37C8447C"/>
    <w:rsid w:val="37C93D50"/>
    <w:rsid w:val="37C956F2"/>
    <w:rsid w:val="37CA1448"/>
    <w:rsid w:val="37CA40E8"/>
    <w:rsid w:val="37CA5B2D"/>
    <w:rsid w:val="37CB7AC8"/>
    <w:rsid w:val="37CC1C72"/>
    <w:rsid w:val="37CC393A"/>
    <w:rsid w:val="37CD175A"/>
    <w:rsid w:val="37CD1A92"/>
    <w:rsid w:val="37CD1D19"/>
    <w:rsid w:val="37CD34EE"/>
    <w:rsid w:val="37CD3840"/>
    <w:rsid w:val="37CD69A4"/>
    <w:rsid w:val="37CE1367"/>
    <w:rsid w:val="37CE4E76"/>
    <w:rsid w:val="37CE542D"/>
    <w:rsid w:val="37CE6CEE"/>
    <w:rsid w:val="37D00F61"/>
    <w:rsid w:val="37D01714"/>
    <w:rsid w:val="37D050DF"/>
    <w:rsid w:val="37D1291E"/>
    <w:rsid w:val="37D13A1C"/>
    <w:rsid w:val="37D144CC"/>
    <w:rsid w:val="37D20E57"/>
    <w:rsid w:val="37D22C05"/>
    <w:rsid w:val="37D237DB"/>
    <w:rsid w:val="37D2523E"/>
    <w:rsid w:val="37D3572B"/>
    <w:rsid w:val="37D3697D"/>
    <w:rsid w:val="37D4129F"/>
    <w:rsid w:val="37D41523"/>
    <w:rsid w:val="37D415B2"/>
    <w:rsid w:val="37D41629"/>
    <w:rsid w:val="37D42E21"/>
    <w:rsid w:val="37D4403E"/>
    <w:rsid w:val="37D44D0C"/>
    <w:rsid w:val="37D4728E"/>
    <w:rsid w:val="37D52D2F"/>
    <w:rsid w:val="37D535D3"/>
    <w:rsid w:val="37D545F8"/>
    <w:rsid w:val="37D55F61"/>
    <w:rsid w:val="37D62C29"/>
    <w:rsid w:val="37D657F3"/>
    <w:rsid w:val="37D72007"/>
    <w:rsid w:val="37D72911"/>
    <w:rsid w:val="37D7504F"/>
    <w:rsid w:val="37D7646D"/>
    <w:rsid w:val="37D77C20"/>
    <w:rsid w:val="37D83F93"/>
    <w:rsid w:val="37D90437"/>
    <w:rsid w:val="37D91B36"/>
    <w:rsid w:val="37DA41AF"/>
    <w:rsid w:val="37DA4D71"/>
    <w:rsid w:val="37DA5F5D"/>
    <w:rsid w:val="37DB1A53"/>
    <w:rsid w:val="37DB4E60"/>
    <w:rsid w:val="37DC3A83"/>
    <w:rsid w:val="37DD15AA"/>
    <w:rsid w:val="37DD5A4E"/>
    <w:rsid w:val="37DE77FC"/>
    <w:rsid w:val="37DF3574"/>
    <w:rsid w:val="37DF5322"/>
    <w:rsid w:val="37E00298"/>
    <w:rsid w:val="37E1109A"/>
    <w:rsid w:val="37E12BD5"/>
    <w:rsid w:val="37E22DB7"/>
    <w:rsid w:val="37E22FE1"/>
    <w:rsid w:val="37E25A49"/>
    <w:rsid w:val="37E34E12"/>
    <w:rsid w:val="37E402B3"/>
    <w:rsid w:val="37E4079F"/>
    <w:rsid w:val="37E40B8A"/>
    <w:rsid w:val="37E42938"/>
    <w:rsid w:val="37E4576F"/>
    <w:rsid w:val="37E53FE3"/>
    <w:rsid w:val="37E55368"/>
    <w:rsid w:val="37E568E8"/>
    <w:rsid w:val="37E56DDC"/>
    <w:rsid w:val="37E615B1"/>
    <w:rsid w:val="37E638DB"/>
    <w:rsid w:val="37E64902"/>
    <w:rsid w:val="37E666B0"/>
    <w:rsid w:val="37E80C10"/>
    <w:rsid w:val="37E8483E"/>
    <w:rsid w:val="37E85459"/>
    <w:rsid w:val="37E857EC"/>
    <w:rsid w:val="37E868CC"/>
    <w:rsid w:val="37E94BF6"/>
    <w:rsid w:val="37E961A0"/>
    <w:rsid w:val="37EA2644"/>
    <w:rsid w:val="37EA3B73"/>
    <w:rsid w:val="37EA43F2"/>
    <w:rsid w:val="37EA7BB0"/>
    <w:rsid w:val="37EB016A"/>
    <w:rsid w:val="37EB7E62"/>
    <w:rsid w:val="37EC40FE"/>
    <w:rsid w:val="37EC4B73"/>
    <w:rsid w:val="37ED1188"/>
    <w:rsid w:val="37ED1E46"/>
    <w:rsid w:val="37ED5AA5"/>
    <w:rsid w:val="37ED5C91"/>
    <w:rsid w:val="37ED5EFF"/>
    <w:rsid w:val="37EE37B7"/>
    <w:rsid w:val="37EE6DEC"/>
    <w:rsid w:val="37EE75A4"/>
    <w:rsid w:val="37F04CBB"/>
    <w:rsid w:val="37F05781"/>
    <w:rsid w:val="37F12C1A"/>
    <w:rsid w:val="37F12DDF"/>
    <w:rsid w:val="37F133F5"/>
    <w:rsid w:val="37F21986"/>
    <w:rsid w:val="37F232A7"/>
    <w:rsid w:val="37F24828"/>
    <w:rsid w:val="37F330E7"/>
    <w:rsid w:val="37F35CB8"/>
    <w:rsid w:val="37F36A7F"/>
    <w:rsid w:val="37F43457"/>
    <w:rsid w:val="37F4450D"/>
    <w:rsid w:val="37F45271"/>
    <w:rsid w:val="37F457DC"/>
    <w:rsid w:val="37F46573"/>
    <w:rsid w:val="37F46E66"/>
    <w:rsid w:val="37F47148"/>
    <w:rsid w:val="37F51C38"/>
    <w:rsid w:val="37F52D97"/>
    <w:rsid w:val="37F60FE9"/>
    <w:rsid w:val="37F61B5C"/>
    <w:rsid w:val="37F61E14"/>
    <w:rsid w:val="37F73375"/>
    <w:rsid w:val="37F766E0"/>
    <w:rsid w:val="37F77A04"/>
    <w:rsid w:val="37F841D1"/>
    <w:rsid w:val="37F963E3"/>
    <w:rsid w:val="37FA202F"/>
    <w:rsid w:val="37FA25CF"/>
    <w:rsid w:val="37FA2A25"/>
    <w:rsid w:val="37FA4E3E"/>
    <w:rsid w:val="37FA6504"/>
    <w:rsid w:val="37FB5357"/>
    <w:rsid w:val="37FC4126"/>
    <w:rsid w:val="37FC474B"/>
    <w:rsid w:val="37FC56A4"/>
    <w:rsid w:val="37FE39FA"/>
    <w:rsid w:val="37FE3DAD"/>
    <w:rsid w:val="37FF09E1"/>
    <w:rsid w:val="37FF11A1"/>
    <w:rsid w:val="37FF2AAC"/>
    <w:rsid w:val="37FF425B"/>
    <w:rsid w:val="37FF4F3B"/>
    <w:rsid w:val="37FF5ED0"/>
    <w:rsid w:val="37FF7772"/>
    <w:rsid w:val="38002A97"/>
    <w:rsid w:val="38003C16"/>
    <w:rsid w:val="38006913"/>
    <w:rsid w:val="38012CA6"/>
    <w:rsid w:val="380134EA"/>
    <w:rsid w:val="38015DB8"/>
    <w:rsid w:val="38016E3C"/>
    <w:rsid w:val="3801798E"/>
    <w:rsid w:val="38023C3D"/>
    <w:rsid w:val="380253FC"/>
    <w:rsid w:val="38025B32"/>
    <w:rsid w:val="38031C51"/>
    <w:rsid w:val="38033706"/>
    <w:rsid w:val="38037262"/>
    <w:rsid w:val="380422E5"/>
    <w:rsid w:val="38044D88"/>
    <w:rsid w:val="380454D5"/>
    <w:rsid w:val="38046C3D"/>
    <w:rsid w:val="38057C75"/>
    <w:rsid w:val="38060B00"/>
    <w:rsid w:val="3806412E"/>
    <w:rsid w:val="38064FA4"/>
    <w:rsid w:val="380724D4"/>
    <w:rsid w:val="380745A8"/>
    <w:rsid w:val="38080281"/>
    <w:rsid w:val="38080D1C"/>
    <w:rsid w:val="38082ACA"/>
    <w:rsid w:val="38083E7D"/>
    <w:rsid w:val="38086BA9"/>
    <w:rsid w:val="38091F6E"/>
    <w:rsid w:val="3809239F"/>
    <w:rsid w:val="380A0674"/>
    <w:rsid w:val="380A6843"/>
    <w:rsid w:val="380A6C6B"/>
    <w:rsid w:val="380B0A9B"/>
    <w:rsid w:val="380B25BB"/>
    <w:rsid w:val="380C3C8E"/>
    <w:rsid w:val="380D1E8F"/>
    <w:rsid w:val="380D5CB5"/>
    <w:rsid w:val="380D6333"/>
    <w:rsid w:val="380E47C1"/>
    <w:rsid w:val="380F20AB"/>
    <w:rsid w:val="380F3D50"/>
    <w:rsid w:val="380F3E59"/>
    <w:rsid w:val="3810372D"/>
    <w:rsid w:val="38107BD1"/>
    <w:rsid w:val="38112EB7"/>
    <w:rsid w:val="38117DB1"/>
    <w:rsid w:val="381318A5"/>
    <w:rsid w:val="381319CF"/>
    <w:rsid w:val="38137AD8"/>
    <w:rsid w:val="38137B64"/>
    <w:rsid w:val="381417FE"/>
    <w:rsid w:val="38143507"/>
    <w:rsid w:val="3814696F"/>
    <w:rsid w:val="381476C1"/>
    <w:rsid w:val="38150487"/>
    <w:rsid w:val="38156F95"/>
    <w:rsid w:val="3816120D"/>
    <w:rsid w:val="38163439"/>
    <w:rsid w:val="38167911"/>
    <w:rsid w:val="38170F5F"/>
    <w:rsid w:val="381724E2"/>
    <w:rsid w:val="38172D0E"/>
    <w:rsid w:val="38173086"/>
    <w:rsid w:val="38174ABC"/>
    <w:rsid w:val="38174FE4"/>
    <w:rsid w:val="38175E46"/>
    <w:rsid w:val="38180ACA"/>
    <w:rsid w:val="3818343F"/>
    <w:rsid w:val="38190834"/>
    <w:rsid w:val="38196A86"/>
    <w:rsid w:val="381A1F07"/>
    <w:rsid w:val="381A45AC"/>
    <w:rsid w:val="381A45FF"/>
    <w:rsid w:val="381A4EAB"/>
    <w:rsid w:val="381A520E"/>
    <w:rsid w:val="381B0A50"/>
    <w:rsid w:val="381B27FE"/>
    <w:rsid w:val="381B487F"/>
    <w:rsid w:val="381C0324"/>
    <w:rsid w:val="381C20D2"/>
    <w:rsid w:val="381C47C8"/>
    <w:rsid w:val="381D515F"/>
    <w:rsid w:val="381D531B"/>
    <w:rsid w:val="381E22EE"/>
    <w:rsid w:val="381F1BC2"/>
    <w:rsid w:val="38202DFD"/>
    <w:rsid w:val="38203594"/>
    <w:rsid w:val="38203879"/>
    <w:rsid w:val="38204D8E"/>
    <w:rsid w:val="38205161"/>
    <w:rsid w:val="38207D33"/>
    <w:rsid w:val="38207E14"/>
    <w:rsid w:val="38213B8C"/>
    <w:rsid w:val="38225C9E"/>
    <w:rsid w:val="382316B2"/>
    <w:rsid w:val="38237904"/>
    <w:rsid w:val="38257597"/>
    <w:rsid w:val="38257A48"/>
    <w:rsid w:val="382611A3"/>
    <w:rsid w:val="382673F4"/>
    <w:rsid w:val="38267406"/>
    <w:rsid w:val="38271FD7"/>
    <w:rsid w:val="38276F30"/>
    <w:rsid w:val="38284F1B"/>
    <w:rsid w:val="38286CC9"/>
    <w:rsid w:val="382947EF"/>
    <w:rsid w:val="38296BB0"/>
    <w:rsid w:val="3829763F"/>
    <w:rsid w:val="382A2A41"/>
    <w:rsid w:val="382A4840"/>
    <w:rsid w:val="382B0347"/>
    <w:rsid w:val="382B0567"/>
    <w:rsid w:val="382B4B2E"/>
    <w:rsid w:val="382B5936"/>
    <w:rsid w:val="382D05C5"/>
    <w:rsid w:val="382D0783"/>
    <w:rsid w:val="382D30D1"/>
    <w:rsid w:val="382D672D"/>
    <w:rsid w:val="382D72D9"/>
    <w:rsid w:val="382F0057"/>
    <w:rsid w:val="38300B21"/>
    <w:rsid w:val="38303DCF"/>
    <w:rsid w:val="38305B7D"/>
    <w:rsid w:val="38314519"/>
    <w:rsid w:val="38325586"/>
    <w:rsid w:val="38327A91"/>
    <w:rsid w:val="38327FA3"/>
    <w:rsid w:val="383342F5"/>
    <w:rsid w:val="383355A0"/>
    <w:rsid w:val="38335EE8"/>
    <w:rsid w:val="38336E80"/>
    <w:rsid w:val="38337513"/>
    <w:rsid w:val="38337A8F"/>
    <w:rsid w:val="38341B11"/>
    <w:rsid w:val="38342AA2"/>
    <w:rsid w:val="38342C58"/>
    <w:rsid w:val="38343275"/>
    <w:rsid w:val="383438BF"/>
    <w:rsid w:val="3834566E"/>
    <w:rsid w:val="38351604"/>
    <w:rsid w:val="38353194"/>
    <w:rsid w:val="3835384F"/>
    <w:rsid w:val="383603DD"/>
    <w:rsid w:val="38360A5C"/>
    <w:rsid w:val="38361688"/>
    <w:rsid w:val="38367638"/>
    <w:rsid w:val="383729BD"/>
    <w:rsid w:val="38372F5C"/>
    <w:rsid w:val="3837515E"/>
    <w:rsid w:val="38376F0C"/>
    <w:rsid w:val="3838336F"/>
    <w:rsid w:val="38390ED6"/>
    <w:rsid w:val="38392B2F"/>
    <w:rsid w:val="38393E83"/>
    <w:rsid w:val="383A33F0"/>
    <w:rsid w:val="383A69FC"/>
    <w:rsid w:val="383B04F4"/>
    <w:rsid w:val="383B2EA0"/>
    <w:rsid w:val="383B4C4E"/>
    <w:rsid w:val="383B62E8"/>
    <w:rsid w:val="383B7E47"/>
    <w:rsid w:val="383C09C6"/>
    <w:rsid w:val="383C2774"/>
    <w:rsid w:val="383C4522"/>
    <w:rsid w:val="383D19AE"/>
    <w:rsid w:val="383D2FAF"/>
    <w:rsid w:val="383D3075"/>
    <w:rsid w:val="383E025E"/>
    <w:rsid w:val="383E029A"/>
    <w:rsid w:val="383F08C7"/>
    <w:rsid w:val="383F16EE"/>
    <w:rsid w:val="383F2718"/>
    <w:rsid w:val="383F499B"/>
    <w:rsid w:val="38402264"/>
    <w:rsid w:val="38404012"/>
    <w:rsid w:val="38406CB8"/>
    <w:rsid w:val="3842422E"/>
    <w:rsid w:val="38424E28"/>
    <w:rsid w:val="3842549E"/>
    <w:rsid w:val="38431D54"/>
    <w:rsid w:val="384533B7"/>
    <w:rsid w:val="38455388"/>
    <w:rsid w:val="384653A1"/>
    <w:rsid w:val="38470B1A"/>
    <w:rsid w:val="38472D48"/>
    <w:rsid w:val="38475E58"/>
    <w:rsid w:val="38477E80"/>
    <w:rsid w:val="38481119"/>
    <w:rsid w:val="38481310"/>
    <w:rsid w:val="38490FD2"/>
    <w:rsid w:val="38495371"/>
    <w:rsid w:val="384966DC"/>
    <w:rsid w:val="3849786F"/>
    <w:rsid w:val="384A70F8"/>
    <w:rsid w:val="384B0C09"/>
    <w:rsid w:val="384B354A"/>
    <w:rsid w:val="384C203E"/>
    <w:rsid w:val="384D3DA8"/>
    <w:rsid w:val="384F2476"/>
    <w:rsid w:val="384F24A7"/>
    <w:rsid w:val="385044BE"/>
    <w:rsid w:val="38506603"/>
    <w:rsid w:val="38511E70"/>
    <w:rsid w:val="3851621F"/>
    <w:rsid w:val="385201EA"/>
    <w:rsid w:val="38520936"/>
    <w:rsid w:val="38523D46"/>
    <w:rsid w:val="38524BCD"/>
    <w:rsid w:val="385321A1"/>
    <w:rsid w:val="385353FE"/>
    <w:rsid w:val="38545666"/>
    <w:rsid w:val="38550242"/>
    <w:rsid w:val="38561A88"/>
    <w:rsid w:val="385641A8"/>
    <w:rsid w:val="3857135C"/>
    <w:rsid w:val="385719C9"/>
    <w:rsid w:val="38575800"/>
    <w:rsid w:val="38580E05"/>
    <w:rsid w:val="385822C4"/>
    <w:rsid w:val="38582C02"/>
    <w:rsid w:val="38591578"/>
    <w:rsid w:val="385924A3"/>
    <w:rsid w:val="385A0D9B"/>
    <w:rsid w:val="385B709E"/>
    <w:rsid w:val="385D4C77"/>
    <w:rsid w:val="385E093C"/>
    <w:rsid w:val="385E4201"/>
    <w:rsid w:val="38604563"/>
    <w:rsid w:val="386121DB"/>
    <w:rsid w:val="386125D0"/>
    <w:rsid w:val="386135F8"/>
    <w:rsid w:val="38613748"/>
    <w:rsid w:val="38613F89"/>
    <w:rsid w:val="3862042D"/>
    <w:rsid w:val="38621389"/>
    <w:rsid w:val="38631600"/>
    <w:rsid w:val="386341A5"/>
    <w:rsid w:val="38653A79"/>
    <w:rsid w:val="38663405"/>
    <w:rsid w:val="38664899"/>
    <w:rsid w:val="386677F1"/>
    <w:rsid w:val="38670992"/>
    <w:rsid w:val="386733BD"/>
    <w:rsid w:val="38673C95"/>
    <w:rsid w:val="38681530"/>
    <w:rsid w:val="38685317"/>
    <w:rsid w:val="38685B4A"/>
    <w:rsid w:val="386A4252"/>
    <w:rsid w:val="386A46AA"/>
    <w:rsid w:val="386A541B"/>
    <w:rsid w:val="386A5533"/>
    <w:rsid w:val="386A72E1"/>
    <w:rsid w:val="386B0176"/>
    <w:rsid w:val="386B6361"/>
    <w:rsid w:val="386C12AB"/>
    <w:rsid w:val="386C3059"/>
    <w:rsid w:val="386C4DD4"/>
    <w:rsid w:val="386C7F93"/>
    <w:rsid w:val="386D02B5"/>
    <w:rsid w:val="386D0C61"/>
    <w:rsid w:val="386E0F57"/>
    <w:rsid w:val="386E373F"/>
    <w:rsid w:val="386E5DD4"/>
    <w:rsid w:val="386F66A6"/>
    <w:rsid w:val="38700130"/>
    <w:rsid w:val="38703DE3"/>
    <w:rsid w:val="3870436D"/>
    <w:rsid w:val="3870709A"/>
    <w:rsid w:val="38712880"/>
    <w:rsid w:val="387130ED"/>
    <w:rsid w:val="3871483A"/>
    <w:rsid w:val="38714CB8"/>
    <w:rsid w:val="38726196"/>
    <w:rsid w:val="387278BA"/>
    <w:rsid w:val="38730DA8"/>
    <w:rsid w:val="387313FA"/>
    <w:rsid w:val="38736E44"/>
    <w:rsid w:val="38737E89"/>
    <w:rsid w:val="38740453"/>
    <w:rsid w:val="38741F0E"/>
    <w:rsid w:val="3874244B"/>
    <w:rsid w:val="387452EC"/>
    <w:rsid w:val="387502E8"/>
    <w:rsid w:val="387512E9"/>
    <w:rsid w:val="38752EFE"/>
    <w:rsid w:val="38763ED8"/>
    <w:rsid w:val="38767A34"/>
    <w:rsid w:val="3877062A"/>
    <w:rsid w:val="38771243"/>
    <w:rsid w:val="38787C50"/>
    <w:rsid w:val="38791610"/>
    <w:rsid w:val="38792D0F"/>
    <w:rsid w:val="387936C4"/>
    <w:rsid w:val="387939C8"/>
    <w:rsid w:val="38794C50"/>
    <w:rsid w:val="387973A5"/>
    <w:rsid w:val="387A1915"/>
    <w:rsid w:val="387A6293"/>
    <w:rsid w:val="387B329C"/>
    <w:rsid w:val="387B642C"/>
    <w:rsid w:val="387B7CAD"/>
    <w:rsid w:val="387C4814"/>
    <w:rsid w:val="387C6A88"/>
    <w:rsid w:val="387D0F92"/>
    <w:rsid w:val="387D1690"/>
    <w:rsid w:val="387E5815"/>
    <w:rsid w:val="387F3E0B"/>
    <w:rsid w:val="38804D57"/>
    <w:rsid w:val="3880545D"/>
    <w:rsid w:val="38806B05"/>
    <w:rsid w:val="3880737C"/>
    <w:rsid w:val="38810CA6"/>
    <w:rsid w:val="388163D9"/>
    <w:rsid w:val="38820FC4"/>
    <w:rsid w:val="3882287D"/>
    <w:rsid w:val="3882410B"/>
    <w:rsid w:val="38831852"/>
    <w:rsid w:val="388365F5"/>
    <w:rsid w:val="38836BF8"/>
    <w:rsid w:val="38841601"/>
    <w:rsid w:val="38843C8D"/>
    <w:rsid w:val="388468B1"/>
    <w:rsid w:val="3885411B"/>
    <w:rsid w:val="38863871"/>
    <w:rsid w:val="3886751A"/>
    <w:rsid w:val="3886773D"/>
    <w:rsid w:val="38871C41"/>
    <w:rsid w:val="38873661"/>
    <w:rsid w:val="38875FF8"/>
    <w:rsid w:val="388760E5"/>
    <w:rsid w:val="38877957"/>
    <w:rsid w:val="38897735"/>
    <w:rsid w:val="388A1F8A"/>
    <w:rsid w:val="388A201F"/>
    <w:rsid w:val="388A34DF"/>
    <w:rsid w:val="388A3C94"/>
    <w:rsid w:val="388A42AC"/>
    <w:rsid w:val="388A4D91"/>
    <w:rsid w:val="388B7B2C"/>
    <w:rsid w:val="388C12CE"/>
    <w:rsid w:val="388C36FB"/>
    <w:rsid w:val="388C7258"/>
    <w:rsid w:val="388C759E"/>
    <w:rsid w:val="388D041F"/>
    <w:rsid w:val="388D1222"/>
    <w:rsid w:val="388D140A"/>
    <w:rsid w:val="388D2FD0"/>
    <w:rsid w:val="388D4D7E"/>
    <w:rsid w:val="388E0019"/>
    <w:rsid w:val="388E1903"/>
    <w:rsid w:val="388E2AF1"/>
    <w:rsid w:val="388E6FFE"/>
    <w:rsid w:val="388E7474"/>
    <w:rsid w:val="388F002C"/>
    <w:rsid w:val="388F2CA4"/>
    <w:rsid w:val="388F3388"/>
    <w:rsid w:val="388F6D48"/>
    <w:rsid w:val="38916378"/>
    <w:rsid w:val="389205E6"/>
    <w:rsid w:val="38921C79"/>
    <w:rsid w:val="38924FF7"/>
    <w:rsid w:val="38926838"/>
    <w:rsid w:val="38935666"/>
    <w:rsid w:val="3894435E"/>
    <w:rsid w:val="3894610C"/>
    <w:rsid w:val="38947917"/>
    <w:rsid w:val="38961E84"/>
    <w:rsid w:val="38963978"/>
    <w:rsid w:val="38964330"/>
    <w:rsid w:val="38966C10"/>
    <w:rsid w:val="389706FB"/>
    <w:rsid w:val="38971D55"/>
    <w:rsid w:val="389820A0"/>
    <w:rsid w:val="38983C36"/>
    <w:rsid w:val="38983D44"/>
    <w:rsid w:val="38985BEB"/>
    <w:rsid w:val="38991974"/>
    <w:rsid w:val="38995E18"/>
    <w:rsid w:val="38997BC6"/>
    <w:rsid w:val="389A3DC6"/>
    <w:rsid w:val="389A553C"/>
    <w:rsid w:val="389B4C19"/>
    <w:rsid w:val="389B5520"/>
    <w:rsid w:val="389B56ED"/>
    <w:rsid w:val="389B749B"/>
    <w:rsid w:val="389C3213"/>
    <w:rsid w:val="389C7CF3"/>
    <w:rsid w:val="389D7539"/>
    <w:rsid w:val="389D76B7"/>
    <w:rsid w:val="389E09C9"/>
    <w:rsid w:val="389E0B7E"/>
    <w:rsid w:val="389E359A"/>
    <w:rsid w:val="389E51DD"/>
    <w:rsid w:val="389E6CFC"/>
    <w:rsid w:val="389E6DEE"/>
    <w:rsid w:val="389F35EE"/>
    <w:rsid w:val="389F4470"/>
    <w:rsid w:val="38A02D03"/>
    <w:rsid w:val="38A039D8"/>
    <w:rsid w:val="38A0696D"/>
    <w:rsid w:val="38A071A7"/>
    <w:rsid w:val="38A0725E"/>
    <w:rsid w:val="38A074E8"/>
    <w:rsid w:val="38A07EE1"/>
    <w:rsid w:val="38A1431F"/>
    <w:rsid w:val="38A1653E"/>
    <w:rsid w:val="38A1665C"/>
    <w:rsid w:val="38A17DF7"/>
    <w:rsid w:val="38A2146E"/>
    <w:rsid w:val="38A22DB6"/>
    <w:rsid w:val="38A23437"/>
    <w:rsid w:val="38A333AB"/>
    <w:rsid w:val="38A345A1"/>
    <w:rsid w:val="38A3783B"/>
    <w:rsid w:val="38A50319"/>
    <w:rsid w:val="38A51C82"/>
    <w:rsid w:val="38A52A35"/>
    <w:rsid w:val="38A62BCF"/>
    <w:rsid w:val="38A65E3F"/>
    <w:rsid w:val="38A748FD"/>
    <w:rsid w:val="38A76104"/>
    <w:rsid w:val="38A81BB8"/>
    <w:rsid w:val="38A8464C"/>
    <w:rsid w:val="38A85143"/>
    <w:rsid w:val="38A85508"/>
    <w:rsid w:val="38A905AC"/>
    <w:rsid w:val="38AA06AD"/>
    <w:rsid w:val="38AA2AF1"/>
    <w:rsid w:val="38AA5930"/>
    <w:rsid w:val="38AB1071"/>
    <w:rsid w:val="38AB6D10"/>
    <w:rsid w:val="38AC16A8"/>
    <w:rsid w:val="38AC461D"/>
    <w:rsid w:val="38AC5B4C"/>
    <w:rsid w:val="38AD5420"/>
    <w:rsid w:val="38AD71CE"/>
    <w:rsid w:val="38AD73DB"/>
    <w:rsid w:val="38AE1203"/>
    <w:rsid w:val="38AE4154"/>
    <w:rsid w:val="38AF5FD1"/>
    <w:rsid w:val="38AF69CC"/>
    <w:rsid w:val="38AF73EA"/>
    <w:rsid w:val="38B02373"/>
    <w:rsid w:val="38B04C5E"/>
    <w:rsid w:val="38B04DE6"/>
    <w:rsid w:val="38B059AF"/>
    <w:rsid w:val="38B07E6C"/>
    <w:rsid w:val="38B13162"/>
    <w:rsid w:val="38B16CBE"/>
    <w:rsid w:val="38B201AB"/>
    <w:rsid w:val="38B22046"/>
    <w:rsid w:val="38B22A36"/>
    <w:rsid w:val="38B302F9"/>
    <w:rsid w:val="38B30C88"/>
    <w:rsid w:val="38B4055C"/>
    <w:rsid w:val="38B44A00"/>
    <w:rsid w:val="38B467AE"/>
    <w:rsid w:val="38B46F01"/>
    <w:rsid w:val="38B62526"/>
    <w:rsid w:val="38B75103"/>
    <w:rsid w:val="38B81017"/>
    <w:rsid w:val="38B82C9F"/>
    <w:rsid w:val="38B84141"/>
    <w:rsid w:val="38B8579A"/>
    <w:rsid w:val="38B85DC6"/>
    <w:rsid w:val="38B863F8"/>
    <w:rsid w:val="38B86D12"/>
    <w:rsid w:val="38B90269"/>
    <w:rsid w:val="38B92017"/>
    <w:rsid w:val="38B93DC5"/>
    <w:rsid w:val="38B95B73"/>
    <w:rsid w:val="38BA221A"/>
    <w:rsid w:val="38BA69AF"/>
    <w:rsid w:val="38BA72EF"/>
    <w:rsid w:val="38BB2A6C"/>
    <w:rsid w:val="38BB468E"/>
    <w:rsid w:val="38BC16AF"/>
    <w:rsid w:val="38BD0E96"/>
    <w:rsid w:val="38BD38B5"/>
    <w:rsid w:val="38BD4C7D"/>
    <w:rsid w:val="38BD6B23"/>
    <w:rsid w:val="38BD6CF4"/>
    <w:rsid w:val="38BE07E1"/>
    <w:rsid w:val="38BE13DB"/>
    <w:rsid w:val="38BE762D"/>
    <w:rsid w:val="38C033A5"/>
    <w:rsid w:val="38C03C2B"/>
    <w:rsid w:val="38C04D8B"/>
    <w:rsid w:val="38C06F01"/>
    <w:rsid w:val="38C07793"/>
    <w:rsid w:val="38C2096A"/>
    <w:rsid w:val="38C23579"/>
    <w:rsid w:val="38C2711D"/>
    <w:rsid w:val="38C33D58"/>
    <w:rsid w:val="38C34C43"/>
    <w:rsid w:val="38C35EBE"/>
    <w:rsid w:val="38C369F1"/>
    <w:rsid w:val="38C40DB2"/>
    <w:rsid w:val="38C41A58"/>
    <w:rsid w:val="38C42E95"/>
    <w:rsid w:val="38C473A0"/>
    <w:rsid w:val="38C5276A"/>
    <w:rsid w:val="38C56C0D"/>
    <w:rsid w:val="38C61F6A"/>
    <w:rsid w:val="38C63934"/>
    <w:rsid w:val="38C65992"/>
    <w:rsid w:val="38C73354"/>
    <w:rsid w:val="38C74734"/>
    <w:rsid w:val="38C8225A"/>
    <w:rsid w:val="38C84008"/>
    <w:rsid w:val="38C84E8F"/>
    <w:rsid w:val="38C97430"/>
    <w:rsid w:val="38CA7D80"/>
    <w:rsid w:val="38CA7E9D"/>
    <w:rsid w:val="38CC1654"/>
    <w:rsid w:val="38CC1D4A"/>
    <w:rsid w:val="38CC3A8D"/>
    <w:rsid w:val="38CC5188"/>
    <w:rsid w:val="38CC58A6"/>
    <w:rsid w:val="38CC7F9C"/>
    <w:rsid w:val="38CD161E"/>
    <w:rsid w:val="38CD535F"/>
    <w:rsid w:val="38CD7599"/>
    <w:rsid w:val="38CE2D0D"/>
    <w:rsid w:val="38CE5AC2"/>
    <w:rsid w:val="38CF0211"/>
    <w:rsid w:val="38CF183A"/>
    <w:rsid w:val="38CF2BFD"/>
    <w:rsid w:val="38CF3B09"/>
    <w:rsid w:val="38CF5396"/>
    <w:rsid w:val="38CF7007"/>
    <w:rsid w:val="38CF7493"/>
    <w:rsid w:val="38D10DC2"/>
    <w:rsid w:val="38D155B2"/>
    <w:rsid w:val="38D16429"/>
    <w:rsid w:val="38D16792"/>
    <w:rsid w:val="38D2416E"/>
    <w:rsid w:val="38D32489"/>
    <w:rsid w:val="38D34E86"/>
    <w:rsid w:val="38D34FF7"/>
    <w:rsid w:val="38D4103E"/>
    <w:rsid w:val="38D4127B"/>
    <w:rsid w:val="38D421D8"/>
    <w:rsid w:val="38D429AD"/>
    <w:rsid w:val="38D44DA9"/>
    <w:rsid w:val="38D5676B"/>
    <w:rsid w:val="38D57418"/>
    <w:rsid w:val="38D62BC9"/>
    <w:rsid w:val="38D64BEE"/>
    <w:rsid w:val="38D66725"/>
    <w:rsid w:val="38D72FFB"/>
    <w:rsid w:val="38D806EF"/>
    <w:rsid w:val="38D8249D"/>
    <w:rsid w:val="38D86941"/>
    <w:rsid w:val="38D932F3"/>
    <w:rsid w:val="38D94B84"/>
    <w:rsid w:val="38DA3AD5"/>
    <w:rsid w:val="38DA6684"/>
    <w:rsid w:val="38DB01DF"/>
    <w:rsid w:val="38DB3D3B"/>
    <w:rsid w:val="38DB7001"/>
    <w:rsid w:val="38DD36A2"/>
    <w:rsid w:val="38DD3F57"/>
    <w:rsid w:val="38DD610C"/>
    <w:rsid w:val="38DD7AB3"/>
    <w:rsid w:val="38DD7C7E"/>
    <w:rsid w:val="38DE55D9"/>
    <w:rsid w:val="38DE5E5B"/>
    <w:rsid w:val="38DF1EBC"/>
    <w:rsid w:val="38DF7CCF"/>
    <w:rsid w:val="38E0053B"/>
    <w:rsid w:val="38E01351"/>
    <w:rsid w:val="38E0190C"/>
    <w:rsid w:val="38E057F5"/>
    <w:rsid w:val="38E06914"/>
    <w:rsid w:val="38E16588"/>
    <w:rsid w:val="38E21359"/>
    <w:rsid w:val="38E2156D"/>
    <w:rsid w:val="38E250CA"/>
    <w:rsid w:val="38E3340E"/>
    <w:rsid w:val="38E34C0D"/>
    <w:rsid w:val="38E3642D"/>
    <w:rsid w:val="38E408CA"/>
    <w:rsid w:val="38E41866"/>
    <w:rsid w:val="38E41A7B"/>
    <w:rsid w:val="38E47BB0"/>
    <w:rsid w:val="38E5182D"/>
    <w:rsid w:val="38E52E0C"/>
    <w:rsid w:val="38E5315D"/>
    <w:rsid w:val="38E53AD0"/>
    <w:rsid w:val="38E54BBA"/>
    <w:rsid w:val="38E56968"/>
    <w:rsid w:val="38E6232B"/>
    <w:rsid w:val="38E7481E"/>
    <w:rsid w:val="38E74F7A"/>
    <w:rsid w:val="38E76B84"/>
    <w:rsid w:val="38E77AEF"/>
    <w:rsid w:val="38E81ADE"/>
    <w:rsid w:val="38E82DD7"/>
    <w:rsid w:val="38E832A8"/>
    <w:rsid w:val="38E86458"/>
    <w:rsid w:val="38E920B8"/>
    <w:rsid w:val="38E9376D"/>
    <w:rsid w:val="38E95AFB"/>
    <w:rsid w:val="38EA0422"/>
    <w:rsid w:val="38EA0710"/>
    <w:rsid w:val="38EA11EC"/>
    <w:rsid w:val="38EA2262"/>
    <w:rsid w:val="38EA6674"/>
    <w:rsid w:val="38EB00DF"/>
    <w:rsid w:val="38EC419A"/>
    <w:rsid w:val="38EC63F1"/>
    <w:rsid w:val="38EC7E15"/>
    <w:rsid w:val="38ED6753"/>
    <w:rsid w:val="38ED6D78"/>
    <w:rsid w:val="38EE0521"/>
    <w:rsid w:val="38EF1B8D"/>
    <w:rsid w:val="38EF3C8A"/>
    <w:rsid w:val="38EF5A38"/>
    <w:rsid w:val="38EF77E6"/>
    <w:rsid w:val="38F02CC4"/>
    <w:rsid w:val="38F06D8E"/>
    <w:rsid w:val="38F117B0"/>
    <w:rsid w:val="38F12CD3"/>
    <w:rsid w:val="38F142D1"/>
    <w:rsid w:val="38F1461C"/>
    <w:rsid w:val="38F17A02"/>
    <w:rsid w:val="38F17D66"/>
    <w:rsid w:val="38F201D7"/>
    <w:rsid w:val="38F30332"/>
    <w:rsid w:val="38F35529"/>
    <w:rsid w:val="38F372D7"/>
    <w:rsid w:val="38F413BC"/>
    <w:rsid w:val="38F4218C"/>
    <w:rsid w:val="38F4304F"/>
    <w:rsid w:val="38F43F9A"/>
    <w:rsid w:val="38F55CAE"/>
    <w:rsid w:val="38F640E2"/>
    <w:rsid w:val="38F65019"/>
    <w:rsid w:val="38F66DC7"/>
    <w:rsid w:val="38F8045A"/>
    <w:rsid w:val="38F8215A"/>
    <w:rsid w:val="38F82B3F"/>
    <w:rsid w:val="38F8669B"/>
    <w:rsid w:val="38F92413"/>
    <w:rsid w:val="38F941A4"/>
    <w:rsid w:val="38F94775"/>
    <w:rsid w:val="38FA44DE"/>
    <w:rsid w:val="38FA68B7"/>
    <w:rsid w:val="38FA7297"/>
    <w:rsid w:val="38FA778D"/>
    <w:rsid w:val="38FB10C2"/>
    <w:rsid w:val="38FB130B"/>
    <w:rsid w:val="38FB43DD"/>
    <w:rsid w:val="38FB7F54"/>
    <w:rsid w:val="38FC0752"/>
    <w:rsid w:val="38FD4DF9"/>
    <w:rsid w:val="38FD5AD9"/>
    <w:rsid w:val="38FD776A"/>
    <w:rsid w:val="38FF1349"/>
    <w:rsid w:val="38FF284B"/>
    <w:rsid w:val="38FF3ECD"/>
    <w:rsid w:val="38FF5379"/>
    <w:rsid w:val="38FF590E"/>
    <w:rsid w:val="39007C46"/>
    <w:rsid w:val="390100F8"/>
    <w:rsid w:val="39012BD1"/>
    <w:rsid w:val="390176C1"/>
    <w:rsid w:val="3902561E"/>
    <w:rsid w:val="39025CC9"/>
    <w:rsid w:val="3902751A"/>
    <w:rsid w:val="39030F3F"/>
    <w:rsid w:val="39032C7F"/>
    <w:rsid w:val="390366E6"/>
    <w:rsid w:val="39036724"/>
    <w:rsid w:val="390414E4"/>
    <w:rsid w:val="39050DB8"/>
    <w:rsid w:val="3905377C"/>
    <w:rsid w:val="39054554"/>
    <w:rsid w:val="3905525C"/>
    <w:rsid w:val="39056F43"/>
    <w:rsid w:val="39060D9A"/>
    <w:rsid w:val="39061ECE"/>
    <w:rsid w:val="39065D1C"/>
    <w:rsid w:val="39070FD4"/>
    <w:rsid w:val="39072D82"/>
    <w:rsid w:val="39073C73"/>
    <w:rsid w:val="39074B30"/>
    <w:rsid w:val="39087172"/>
    <w:rsid w:val="39094D4C"/>
    <w:rsid w:val="390A0C11"/>
    <w:rsid w:val="390A39E8"/>
    <w:rsid w:val="390B0AC4"/>
    <w:rsid w:val="390B41CA"/>
    <w:rsid w:val="390B4C38"/>
    <w:rsid w:val="390B5C54"/>
    <w:rsid w:val="390C08FB"/>
    <w:rsid w:val="390C0ED9"/>
    <w:rsid w:val="390C2146"/>
    <w:rsid w:val="390C5000"/>
    <w:rsid w:val="390C7982"/>
    <w:rsid w:val="390E2362"/>
    <w:rsid w:val="390E4110"/>
    <w:rsid w:val="390E43FF"/>
    <w:rsid w:val="390E5BA1"/>
    <w:rsid w:val="390F5200"/>
    <w:rsid w:val="390F7975"/>
    <w:rsid w:val="39104FDC"/>
    <w:rsid w:val="391060DB"/>
    <w:rsid w:val="39106A6F"/>
    <w:rsid w:val="3910785A"/>
    <w:rsid w:val="3911359A"/>
    <w:rsid w:val="39114886"/>
    <w:rsid w:val="391157F8"/>
    <w:rsid w:val="391159AF"/>
    <w:rsid w:val="391162B2"/>
    <w:rsid w:val="39122E24"/>
    <w:rsid w:val="39124D4B"/>
    <w:rsid w:val="39126D9F"/>
    <w:rsid w:val="39131727"/>
    <w:rsid w:val="391361DB"/>
    <w:rsid w:val="39137979"/>
    <w:rsid w:val="3914549F"/>
    <w:rsid w:val="3914724D"/>
    <w:rsid w:val="3915008D"/>
    <w:rsid w:val="39161217"/>
    <w:rsid w:val="39167469"/>
    <w:rsid w:val="39170258"/>
    <w:rsid w:val="39175A97"/>
    <w:rsid w:val="39180AEB"/>
    <w:rsid w:val="391817E0"/>
    <w:rsid w:val="39182C57"/>
    <w:rsid w:val="391846DA"/>
    <w:rsid w:val="39184F8F"/>
    <w:rsid w:val="39186D3D"/>
    <w:rsid w:val="39186D60"/>
    <w:rsid w:val="39194863"/>
    <w:rsid w:val="391A2AB5"/>
    <w:rsid w:val="391A325A"/>
    <w:rsid w:val="391A33B7"/>
    <w:rsid w:val="391A5472"/>
    <w:rsid w:val="391A60AE"/>
    <w:rsid w:val="391B044F"/>
    <w:rsid w:val="391B30EE"/>
    <w:rsid w:val="391B682D"/>
    <w:rsid w:val="391D0389"/>
    <w:rsid w:val="391D07F7"/>
    <w:rsid w:val="391D359F"/>
    <w:rsid w:val="391D4354"/>
    <w:rsid w:val="391E1A6F"/>
    <w:rsid w:val="391F477E"/>
    <w:rsid w:val="391F631E"/>
    <w:rsid w:val="39200FD4"/>
    <w:rsid w:val="39227C60"/>
    <w:rsid w:val="392411F9"/>
    <w:rsid w:val="39241B86"/>
    <w:rsid w:val="39243934"/>
    <w:rsid w:val="392456E2"/>
    <w:rsid w:val="3925145A"/>
    <w:rsid w:val="39253208"/>
    <w:rsid w:val="39253DDB"/>
    <w:rsid w:val="392562C1"/>
    <w:rsid w:val="39260474"/>
    <w:rsid w:val="39264A36"/>
    <w:rsid w:val="39276F80"/>
    <w:rsid w:val="392774A6"/>
    <w:rsid w:val="39285E70"/>
    <w:rsid w:val="392921BE"/>
    <w:rsid w:val="39296334"/>
    <w:rsid w:val="3929719C"/>
    <w:rsid w:val="392971ED"/>
    <w:rsid w:val="392A081F"/>
    <w:rsid w:val="392A565E"/>
    <w:rsid w:val="392A6A70"/>
    <w:rsid w:val="392B0F2B"/>
    <w:rsid w:val="392B2513"/>
    <w:rsid w:val="392B4CC2"/>
    <w:rsid w:val="392C07CD"/>
    <w:rsid w:val="392C0A3B"/>
    <w:rsid w:val="392C18C2"/>
    <w:rsid w:val="392C35B9"/>
    <w:rsid w:val="392C4597"/>
    <w:rsid w:val="392C4729"/>
    <w:rsid w:val="392C5ACA"/>
    <w:rsid w:val="392D24D9"/>
    <w:rsid w:val="392D38B5"/>
    <w:rsid w:val="392D6FD1"/>
    <w:rsid w:val="392E04D8"/>
    <w:rsid w:val="392E26EE"/>
    <w:rsid w:val="392E349F"/>
    <w:rsid w:val="392E47B3"/>
    <w:rsid w:val="392E6816"/>
    <w:rsid w:val="392E79F8"/>
    <w:rsid w:val="392F06A5"/>
    <w:rsid w:val="392F4087"/>
    <w:rsid w:val="392F65A1"/>
    <w:rsid w:val="39301A51"/>
    <w:rsid w:val="3930237F"/>
    <w:rsid w:val="39305210"/>
    <w:rsid w:val="39311BAD"/>
    <w:rsid w:val="39314B16"/>
    <w:rsid w:val="3931515B"/>
    <w:rsid w:val="39316051"/>
    <w:rsid w:val="3932442C"/>
    <w:rsid w:val="39325651"/>
    <w:rsid w:val="393330D3"/>
    <w:rsid w:val="39333B77"/>
    <w:rsid w:val="393556F1"/>
    <w:rsid w:val="393606BC"/>
    <w:rsid w:val="39361575"/>
    <w:rsid w:val="393618B9"/>
    <w:rsid w:val="39363667"/>
    <w:rsid w:val="39364035"/>
    <w:rsid w:val="39364236"/>
    <w:rsid w:val="39365415"/>
    <w:rsid w:val="393671C3"/>
    <w:rsid w:val="39371FB0"/>
    <w:rsid w:val="3938118D"/>
    <w:rsid w:val="39394185"/>
    <w:rsid w:val="39396CB4"/>
    <w:rsid w:val="393A1386"/>
    <w:rsid w:val="393A261F"/>
    <w:rsid w:val="393A4F06"/>
    <w:rsid w:val="393A7F39"/>
    <w:rsid w:val="393B0C7E"/>
    <w:rsid w:val="393B2A2C"/>
    <w:rsid w:val="393B473C"/>
    <w:rsid w:val="393B6790"/>
    <w:rsid w:val="393C5B93"/>
    <w:rsid w:val="393C65B9"/>
    <w:rsid w:val="393C6ED0"/>
    <w:rsid w:val="393C7266"/>
    <w:rsid w:val="393C7FB8"/>
    <w:rsid w:val="393D0552"/>
    <w:rsid w:val="393D0F86"/>
    <w:rsid w:val="393D16FC"/>
    <w:rsid w:val="393D2C48"/>
    <w:rsid w:val="393D40CC"/>
    <w:rsid w:val="393D55C6"/>
    <w:rsid w:val="393D6CAC"/>
    <w:rsid w:val="393E0439"/>
    <w:rsid w:val="393E24A3"/>
    <w:rsid w:val="393E3E17"/>
    <w:rsid w:val="393F251C"/>
    <w:rsid w:val="393F3379"/>
    <w:rsid w:val="393F3722"/>
    <w:rsid w:val="393F3A4C"/>
    <w:rsid w:val="393F3D68"/>
    <w:rsid w:val="393F6939"/>
    <w:rsid w:val="39404BA7"/>
    <w:rsid w:val="394051F8"/>
    <w:rsid w:val="39406294"/>
    <w:rsid w:val="39407792"/>
    <w:rsid w:val="394144E6"/>
    <w:rsid w:val="3942025E"/>
    <w:rsid w:val="3942200C"/>
    <w:rsid w:val="394268F4"/>
    <w:rsid w:val="39433198"/>
    <w:rsid w:val="394336F2"/>
    <w:rsid w:val="394418E0"/>
    <w:rsid w:val="39445D84"/>
    <w:rsid w:val="39446403"/>
    <w:rsid w:val="39456083"/>
    <w:rsid w:val="39461AFC"/>
    <w:rsid w:val="39463C3B"/>
    <w:rsid w:val="39464C00"/>
    <w:rsid w:val="39475874"/>
    <w:rsid w:val="39481987"/>
    <w:rsid w:val="3948655B"/>
    <w:rsid w:val="394878BA"/>
    <w:rsid w:val="39491F03"/>
    <w:rsid w:val="394928B3"/>
    <w:rsid w:val="39493A7B"/>
    <w:rsid w:val="39495149"/>
    <w:rsid w:val="394A0EC1"/>
    <w:rsid w:val="394B27E7"/>
    <w:rsid w:val="394B3186"/>
    <w:rsid w:val="394B5386"/>
    <w:rsid w:val="394B7113"/>
    <w:rsid w:val="394C106E"/>
    <w:rsid w:val="394C69E7"/>
    <w:rsid w:val="394C70D9"/>
    <w:rsid w:val="394D7819"/>
    <w:rsid w:val="394E03A4"/>
    <w:rsid w:val="394E09B1"/>
    <w:rsid w:val="394E0C8C"/>
    <w:rsid w:val="394E275F"/>
    <w:rsid w:val="394E6C03"/>
    <w:rsid w:val="394F1D9F"/>
    <w:rsid w:val="39500DF8"/>
    <w:rsid w:val="39504414"/>
    <w:rsid w:val="39504729"/>
    <w:rsid w:val="395051AB"/>
    <w:rsid w:val="39511147"/>
    <w:rsid w:val="3951224F"/>
    <w:rsid w:val="3951450A"/>
    <w:rsid w:val="3951617D"/>
    <w:rsid w:val="3951760D"/>
    <w:rsid w:val="39520385"/>
    <w:rsid w:val="39520D41"/>
    <w:rsid w:val="39522688"/>
    <w:rsid w:val="39527070"/>
    <w:rsid w:val="39534219"/>
    <w:rsid w:val="39540AB4"/>
    <w:rsid w:val="39551D3F"/>
    <w:rsid w:val="395546F7"/>
    <w:rsid w:val="39560FE5"/>
    <w:rsid w:val="39561614"/>
    <w:rsid w:val="395654A1"/>
    <w:rsid w:val="39566C33"/>
    <w:rsid w:val="39572FD0"/>
    <w:rsid w:val="39583195"/>
    <w:rsid w:val="39583FDA"/>
    <w:rsid w:val="3958646F"/>
    <w:rsid w:val="3958652C"/>
    <w:rsid w:val="39587C48"/>
    <w:rsid w:val="39592552"/>
    <w:rsid w:val="39597A46"/>
    <w:rsid w:val="395A5994"/>
    <w:rsid w:val="395A62E0"/>
    <w:rsid w:val="395B4E7C"/>
    <w:rsid w:val="395C1320"/>
    <w:rsid w:val="395C1A2F"/>
    <w:rsid w:val="395C2DF8"/>
    <w:rsid w:val="395C691F"/>
    <w:rsid w:val="395C6F5A"/>
    <w:rsid w:val="395D051F"/>
    <w:rsid w:val="395D125B"/>
    <w:rsid w:val="395D1FA7"/>
    <w:rsid w:val="395D29A2"/>
    <w:rsid w:val="395D51C9"/>
    <w:rsid w:val="395D57E6"/>
    <w:rsid w:val="395F2BBE"/>
    <w:rsid w:val="395F6B4C"/>
    <w:rsid w:val="39602492"/>
    <w:rsid w:val="3960257B"/>
    <w:rsid w:val="396047E2"/>
    <w:rsid w:val="396146A7"/>
    <w:rsid w:val="39616936"/>
    <w:rsid w:val="39624079"/>
    <w:rsid w:val="3962445C"/>
    <w:rsid w:val="3962620A"/>
    <w:rsid w:val="39633898"/>
    <w:rsid w:val="396414E8"/>
    <w:rsid w:val="39641750"/>
    <w:rsid w:val="39641F82"/>
    <w:rsid w:val="396445F3"/>
    <w:rsid w:val="39653575"/>
    <w:rsid w:val="39656602"/>
    <w:rsid w:val="39657AA9"/>
    <w:rsid w:val="39662D1B"/>
    <w:rsid w:val="39663F4D"/>
    <w:rsid w:val="39665CFB"/>
    <w:rsid w:val="39671A73"/>
    <w:rsid w:val="396804A5"/>
    <w:rsid w:val="3968691A"/>
    <w:rsid w:val="39687817"/>
    <w:rsid w:val="39693A3D"/>
    <w:rsid w:val="396A0465"/>
    <w:rsid w:val="396A28D1"/>
    <w:rsid w:val="396A5059"/>
    <w:rsid w:val="396A50BF"/>
    <w:rsid w:val="396A6BF0"/>
    <w:rsid w:val="396B18F5"/>
    <w:rsid w:val="396C2487"/>
    <w:rsid w:val="396C52DB"/>
    <w:rsid w:val="396C5922"/>
    <w:rsid w:val="396C5956"/>
    <w:rsid w:val="396C675D"/>
    <w:rsid w:val="396C7C64"/>
    <w:rsid w:val="396C7F6E"/>
    <w:rsid w:val="396E1053"/>
    <w:rsid w:val="396E2E01"/>
    <w:rsid w:val="396E4BAF"/>
    <w:rsid w:val="396E5440"/>
    <w:rsid w:val="396E7AF5"/>
    <w:rsid w:val="396F270A"/>
    <w:rsid w:val="396F422D"/>
    <w:rsid w:val="396F4D09"/>
    <w:rsid w:val="396F6A8A"/>
    <w:rsid w:val="39700927"/>
    <w:rsid w:val="39706B79"/>
    <w:rsid w:val="39712A2E"/>
    <w:rsid w:val="3971469F"/>
    <w:rsid w:val="39715DC5"/>
    <w:rsid w:val="39720087"/>
    <w:rsid w:val="397216A7"/>
    <w:rsid w:val="397228F1"/>
    <w:rsid w:val="39730417"/>
    <w:rsid w:val="39730801"/>
    <w:rsid w:val="39732C58"/>
    <w:rsid w:val="39736669"/>
    <w:rsid w:val="39755F3E"/>
    <w:rsid w:val="397615D9"/>
    <w:rsid w:val="39773F20"/>
    <w:rsid w:val="39783EF9"/>
    <w:rsid w:val="397877DC"/>
    <w:rsid w:val="39787CF9"/>
    <w:rsid w:val="397945AE"/>
    <w:rsid w:val="39797D93"/>
    <w:rsid w:val="39797F39"/>
    <w:rsid w:val="397A167B"/>
    <w:rsid w:val="397A17A6"/>
    <w:rsid w:val="397A79F8"/>
    <w:rsid w:val="397B107A"/>
    <w:rsid w:val="397B2DFA"/>
    <w:rsid w:val="397B51DC"/>
    <w:rsid w:val="397B72CC"/>
    <w:rsid w:val="397C0E0F"/>
    <w:rsid w:val="397C551E"/>
    <w:rsid w:val="397E5083"/>
    <w:rsid w:val="397F54FD"/>
    <w:rsid w:val="397F6CAC"/>
    <w:rsid w:val="397F6DBC"/>
    <w:rsid w:val="398048E2"/>
    <w:rsid w:val="39804C10"/>
    <w:rsid w:val="3982065B"/>
    <w:rsid w:val="39830A43"/>
    <w:rsid w:val="39831452"/>
    <w:rsid w:val="3984249C"/>
    <w:rsid w:val="39842625"/>
    <w:rsid w:val="398443D3"/>
    <w:rsid w:val="39861B63"/>
    <w:rsid w:val="3986639D"/>
    <w:rsid w:val="398664FD"/>
    <w:rsid w:val="39871519"/>
    <w:rsid w:val="39871E79"/>
    <w:rsid w:val="39873EC3"/>
    <w:rsid w:val="39882264"/>
    <w:rsid w:val="398825BD"/>
    <w:rsid w:val="39882A88"/>
    <w:rsid w:val="398919E9"/>
    <w:rsid w:val="39893797"/>
    <w:rsid w:val="39893CD5"/>
    <w:rsid w:val="39894E7E"/>
    <w:rsid w:val="398A2329"/>
    <w:rsid w:val="398A256A"/>
    <w:rsid w:val="398A4081"/>
    <w:rsid w:val="398A630E"/>
    <w:rsid w:val="398B3128"/>
    <w:rsid w:val="398B5761"/>
    <w:rsid w:val="398C62BA"/>
    <w:rsid w:val="398D63D0"/>
    <w:rsid w:val="398D772B"/>
    <w:rsid w:val="398E0DAD"/>
    <w:rsid w:val="398E1E73"/>
    <w:rsid w:val="398E4191"/>
    <w:rsid w:val="398E4745"/>
    <w:rsid w:val="398E5251"/>
    <w:rsid w:val="398F4581"/>
    <w:rsid w:val="398F539F"/>
    <w:rsid w:val="398F5FB5"/>
    <w:rsid w:val="399003FF"/>
    <w:rsid w:val="3990381C"/>
    <w:rsid w:val="3991089E"/>
    <w:rsid w:val="399158FC"/>
    <w:rsid w:val="39916502"/>
    <w:rsid w:val="399261B8"/>
    <w:rsid w:val="39930B01"/>
    <w:rsid w:val="39932868"/>
    <w:rsid w:val="39946B4F"/>
    <w:rsid w:val="39947487"/>
    <w:rsid w:val="3995038E"/>
    <w:rsid w:val="3995213C"/>
    <w:rsid w:val="39953421"/>
    <w:rsid w:val="399544BB"/>
    <w:rsid w:val="3996102B"/>
    <w:rsid w:val="39965B73"/>
    <w:rsid w:val="399666D1"/>
    <w:rsid w:val="39976672"/>
    <w:rsid w:val="3997766F"/>
    <w:rsid w:val="39981C2C"/>
    <w:rsid w:val="399860D0"/>
    <w:rsid w:val="399964A2"/>
    <w:rsid w:val="399A3BF6"/>
    <w:rsid w:val="399A7755"/>
    <w:rsid w:val="399B1B61"/>
    <w:rsid w:val="399B3975"/>
    <w:rsid w:val="399D1962"/>
    <w:rsid w:val="399D2977"/>
    <w:rsid w:val="399D36E6"/>
    <w:rsid w:val="399D6DB5"/>
    <w:rsid w:val="399E1134"/>
    <w:rsid w:val="399F120C"/>
    <w:rsid w:val="399F2FBB"/>
    <w:rsid w:val="399F745E"/>
    <w:rsid w:val="39A02A8E"/>
    <w:rsid w:val="39A14F85"/>
    <w:rsid w:val="39A15CD6"/>
    <w:rsid w:val="39A2173F"/>
    <w:rsid w:val="39A22AAB"/>
    <w:rsid w:val="39A23B6D"/>
    <w:rsid w:val="39A24697"/>
    <w:rsid w:val="39A24859"/>
    <w:rsid w:val="39A3219C"/>
    <w:rsid w:val="39A32E4F"/>
    <w:rsid w:val="39A33427"/>
    <w:rsid w:val="39A41A86"/>
    <w:rsid w:val="39A43B03"/>
    <w:rsid w:val="39A44A75"/>
    <w:rsid w:val="39A46823"/>
    <w:rsid w:val="39A52030"/>
    <w:rsid w:val="39A55AE7"/>
    <w:rsid w:val="39A607ED"/>
    <w:rsid w:val="39A624AA"/>
    <w:rsid w:val="39A6259B"/>
    <w:rsid w:val="39A70784"/>
    <w:rsid w:val="39A71E6F"/>
    <w:rsid w:val="39A75836"/>
    <w:rsid w:val="39A805F2"/>
    <w:rsid w:val="39A81897"/>
    <w:rsid w:val="39A82234"/>
    <w:rsid w:val="39A84565"/>
    <w:rsid w:val="39A84A7C"/>
    <w:rsid w:val="39A863EB"/>
    <w:rsid w:val="39A9281A"/>
    <w:rsid w:val="39A93E39"/>
    <w:rsid w:val="39A9644C"/>
    <w:rsid w:val="39A96A60"/>
    <w:rsid w:val="39AA053B"/>
    <w:rsid w:val="39AA0566"/>
    <w:rsid w:val="39AA281F"/>
    <w:rsid w:val="39AA6524"/>
    <w:rsid w:val="39AC16A8"/>
    <w:rsid w:val="39AD63A0"/>
    <w:rsid w:val="39AE31FE"/>
    <w:rsid w:val="39AE629E"/>
    <w:rsid w:val="39AF02DA"/>
    <w:rsid w:val="39AF523A"/>
    <w:rsid w:val="39AF5F6B"/>
    <w:rsid w:val="39B0282C"/>
    <w:rsid w:val="39B03C91"/>
    <w:rsid w:val="39B0459E"/>
    <w:rsid w:val="39B06F76"/>
    <w:rsid w:val="39B1140B"/>
    <w:rsid w:val="39B146AC"/>
    <w:rsid w:val="39B24D19"/>
    <w:rsid w:val="39B2551A"/>
    <w:rsid w:val="39B267A3"/>
    <w:rsid w:val="39B27192"/>
    <w:rsid w:val="39B32692"/>
    <w:rsid w:val="39B32F0A"/>
    <w:rsid w:val="39B3406D"/>
    <w:rsid w:val="39B343B1"/>
    <w:rsid w:val="39B36A66"/>
    <w:rsid w:val="39B373EB"/>
    <w:rsid w:val="39B50A30"/>
    <w:rsid w:val="39B5156C"/>
    <w:rsid w:val="39B527DE"/>
    <w:rsid w:val="39B53EE5"/>
    <w:rsid w:val="39B5458C"/>
    <w:rsid w:val="39B74B6E"/>
    <w:rsid w:val="39B77D21"/>
    <w:rsid w:val="39B77E39"/>
    <w:rsid w:val="39B8635B"/>
    <w:rsid w:val="39B90520"/>
    <w:rsid w:val="39B90B3D"/>
    <w:rsid w:val="39B92F14"/>
    <w:rsid w:val="39BA6046"/>
    <w:rsid w:val="39BA7DF4"/>
    <w:rsid w:val="39BC21EA"/>
    <w:rsid w:val="39BC25B5"/>
    <w:rsid w:val="39BC44C1"/>
    <w:rsid w:val="39BC5EE0"/>
    <w:rsid w:val="39BD1693"/>
    <w:rsid w:val="39BD4473"/>
    <w:rsid w:val="39BD78E5"/>
    <w:rsid w:val="39BE3666"/>
    <w:rsid w:val="39BE5B37"/>
    <w:rsid w:val="39BE5D5A"/>
    <w:rsid w:val="39BF365D"/>
    <w:rsid w:val="39BF526F"/>
    <w:rsid w:val="39BF668E"/>
    <w:rsid w:val="39C04D03"/>
    <w:rsid w:val="39C1531E"/>
    <w:rsid w:val="39C24EFB"/>
    <w:rsid w:val="39C2500F"/>
    <w:rsid w:val="39C25E73"/>
    <w:rsid w:val="39C27529"/>
    <w:rsid w:val="39C331CB"/>
    <w:rsid w:val="39C33FDC"/>
    <w:rsid w:val="39C42A21"/>
    <w:rsid w:val="39C46EC5"/>
    <w:rsid w:val="39C57DD1"/>
    <w:rsid w:val="39C600BB"/>
    <w:rsid w:val="39C600D4"/>
    <w:rsid w:val="39C64E20"/>
    <w:rsid w:val="39C72511"/>
    <w:rsid w:val="39C779F1"/>
    <w:rsid w:val="39C84966"/>
    <w:rsid w:val="39C84B6D"/>
    <w:rsid w:val="39C87740"/>
    <w:rsid w:val="39C901C4"/>
    <w:rsid w:val="39C90F59"/>
    <w:rsid w:val="39C946A2"/>
    <w:rsid w:val="39C96289"/>
    <w:rsid w:val="39CA52C1"/>
    <w:rsid w:val="39CA6372"/>
    <w:rsid w:val="39CB0253"/>
    <w:rsid w:val="39CB08C3"/>
    <w:rsid w:val="39CB346E"/>
    <w:rsid w:val="39CB3D5D"/>
    <w:rsid w:val="39CB7802"/>
    <w:rsid w:val="39CC2246"/>
    <w:rsid w:val="39CC22E6"/>
    <w:rsid w:val="39CC367A"/>
    <w:rsid w:val="39CC4F72"/>
    <w:rsid w:val="39CC60C1"/>
    <w:rsid w:val="39CD027D"/>
    <w:rsid w:val="39CD0FCF"/>
    <w:rsid w:val="39CD5D7A"/>
    <w:rsid w:val="39CD5E80"/>
    <w:rsid w:val="39CD766D"/>
    <w:rsid w:val="39CE1AF2"/>
    <w:rsid w:val="39CE43E0"/>
    <w:rsid w:val="39CE4897"/>
    <w:rsid w:val="39CE4CF3"/>
    <w:rsid w:val="39CE564E"/>
    <w:rsid w:val="39CE5F19"/>
    <w:rsid w:val="39CF50B4"/>
    <w:rsid w:val="39D0586A"/>
    <w:rsid w:val="39D06D45"/>
    <w:rsid w:val="39D0733C"/>
    <w:rsid w:val="39D12476"/>
    <w:rsid w:val="39D154B9"/>
    <w:rsid w:val="39D15C66"/>
    <w:rsid w:val="39D215E2"/>
    <w:rsid w:val="39D226DB"/>
    <w:rsid w:val="39D22F05"/>
    <w:rsid w:val="39D24A78"/>
    <w:rsid w:val="39D25C82"/>
    <w:rsid w:val="39D279BD"/>
    <w:rsid w:val="39D27A1C"/>
    <w:rsid w:val="39D30EF7"/>
    <w:rsid w:val="39D3638B"/>
    <w:rsid w:val="39D3651F"/>
    <w:rsid w:val="39D37108"/>
    <w:rsid w:val="39D467FD"/>
    <w:rsid w:val="39D52E80"/>
    <w:rsid w:val="39D54C2E"/>
    <w:rsid w:val="39D55C47"/>
    <w:rsid w:val="39D56716"/>
    <w:rsid w:val="39D57BA1"/>
    <w:rsid w:val="39D602A0"/>
    <w:rsid w:val="39D709A6"/>
    <w:rsid w:val="39D72754"/>
    <w:rsid w:val="39D80976"/>
    <w:rsid w:val="39D87235"/>
    <w:rsid w:val="39D90A37"/>
    <w:rsid w:val="39D94169"/>
    <w:rsid w:val="39D94C7A"/>
    <w:rsid w:val="39D95F49"/>
    <w:rsid w:val="39DA0781"/>
    <w:rsid w:val="39DA2A58"/>
    <w:rsid w:val="39DB4726"/>
    <w:rsid w:val="39DB5205"/>
    <w:rsid w:val="39DC420F"/>
    <w:rsid w:val="39DC5BB6"/>
    <w:rsid w:val="39DD244A"/>
    <w:rsid w:val="39DD26FE"/>
    <w:rsid w:val="39DD7046"/>
    <w:rsid w:val="39DD7DD2"/>
    <w:rsid w:val="39DE1D35"/>
    <w:rsid w:val="39DE7F87"/>
    <w:rsid w:val="39DF3CFF"/>
    <w:rsid w:val="39DF41CF"/>
    <w:rsid w:val="39DF785B"/>
    <w:rsid w:val="39E059C7"/>
    <w:rsid w:val="39E065D2"/>
    <w:rsid w:val="39E07108"/>
    <w:rsid w:val="39E10B51"/>
    <w:rsid w:val="39E135D3"/>
    <w:rsid w:val="39E13F9F"/>
    <w:rsid w:val="39E210F9"/>
    <w:rsid w:val="39E330D2"/>
    <w:rsid w:val="39E33BBF"/>
    <w:rsid w:val="39E37F9A"/>
    <w:rsid w:val="39E42A90"/>
    <w:rsid w:val="39E430C3"/>
    <w:rsid w:val="39E45B52"/>
    <w:rsid w:val="39E46F19"/>
    <w:rsid w:val="39E4772D"/>
    <w:rsid w:val="39E47C8A"/>
    <w:rsid w:val="39E5250A"/>
    <w:rsid w:val="39E52EBF"/>
    <w:rsid w:val="39E54C39"/>
    <w:rsid w:val="39E64858"/>
    <w:rsid w:val="39E6508D"/>
    <w:rsid w:val="39E65C0C"/>
    <w:rsid w:val="39E66E3B"/>
    <w:rsid w:val="39E676D0"/>
    <w:rsid w:val="39E708B4"/>
    <w:rsid w:val="39E82BB3"/>
    <w:rsid w:val="39E84962"/>
    <w:rsid w:val="39E85C1E"/>
    <w:rsid w:val="39E906DA"/>
    <w:rsid w:val="39E918FB"/>
    <w:rsid w:val="39E934DC"/>
    <w:rsid w:val="39EA0B68"/>
    <w:rsid w:val="39EA164A"/>
    <w:rsid w:val="39EB26A4"/>
    <w:rsid w:val="39EC027C"/>
    <w:rsid w:val="39EC4568"/>
    <w:rsid w:val="39ED01CA"/>
    <w:rsid w:val="39ED6B3B"/>
    <w:rsid w:val="39EE5CF0"/>
    <w:rsid w:val="39EF114E"/>
    <w:rsid w:val="39EF2F96"/>
    <w:rsid w:val="39EF3730"/>
    <w:rsid w:val="39EF402C"/>
    <w:rsid w:val="39F0008D"/>
    <w:rsid w:val="39F01A68"/>
    <w:rsid w:val="39F03816"/>
    <w:rsid w:val="39F0468C"/>
    <w:rsid w:val="39F07CBA"/>
    <w:rsid w:val="39F2758E"/>
    <w:rsid w:val="39F344A7"/>
    <w:rsid w:val="39F350B4"/>
    <w:rsid w:val="39F3557E"/>
    <w:rsid w:val="39F37346"/>
    <w:rsid w:val="39F500D6"/>
    <w:rsid w:val="39F50E2C"/>
    <w:rsid w:val="39F52AEB"/>
    <w:rsid w:val="39F52E51"/>
    <w:rsid w:val="39F552D0"/>
    <w:rsid w:val="39F56FE3"/>
    <w:rsid w:val="39F5707E"/>
    <w:rsid w:val="39F7141A"/>
    <w:rsid w:val="39F71FB2"/>
    <w:rsid w:val="39F725D9"/>
    <w:rsid w:val="39F726E6"/>
    <w:rsid w:val="39F74BA5"/>
    <w:rsid w:val="39F7538F"/>
    <w:rsid w:val="39F76DFF"/>
    <w:rsid w:val="39F8091D"/>
    <w:rsid w:val="39F92D25"/>
    <w:rsid w:val="39F94DC1"/>
    <w:rsid w:val="39F96AB2"/>
    <w:rsid w:val="39FB1562"/>
    <w:rsid w:val="39FB25CF"/>
    <w:rsid w:val="39FB5445"/>
    <w:rsid w:val="39FC06C9"/>
    <w:rsid w:val="39FC6630"/>
    <w:rsid w:val="39FC69F5"/>
    <w:rsid w:val="39FD7AC0"/>
    <w:rsid w:val="39FD7F1D"/>
    <w:rsid w:val="39FE0F50"/>
    <w:rsid w:val="39FE1DA1"/>
    <w:rsid w:val="39FE23D7"/>
    <w:rsid w:val="39FE4185"/>
    <w:rsid w:val="39FF06EE"/>
    <w:rsid w:val="39FF1CFC"/>
    <w:rsid w:val="39FF3A59"/>
    <w:rsid w:val="39FF7EFD"/>
    <w:rsid w:val="3A00614F"/>
    <w:rsid w:val="3A011012"/>
    <w:rsid w:val="3A011E27"/>
    <w:rsid w:val="3A015A23"/>
    <w:rsid w:val="3A0177D1"/>
    <w:rsid w:val="3A0245E6"/>
    <w:rsid w:val="3A033549"/>
    <w:rsid w:val="3A033932"/>
    <w:rsid w:val="3A041722"/>
    <w:rsid w:val="3A0440D2"/>
    <w:rsid w:val="3A04639B"/>
    <w:rsid w:val="3A0472C2"/>
    <w:rsid w:val="3A060E23"/>
    <w:rsid w:val="3A064B2B"/>
    <w:rsid w:val="3A0722B3"/>
    <w:rsid w:val="3A07612D"/>
    <w:rsid w:val="3A084B51"/>
    <w:rsid w:val="3A092B2A"/>
    <w:rsid w:val="3A09473E"/>
    <w:rsid w:val="3A0948D8"/>
    <w:rsid w:val="3A095FE4"/>
    <w:rsid w:val="3A0A1EBE"/>
    <w:rsid w:val="3A0B68A2"/>
    <w:rsid w:val="3A0B6FE4"/>
    <w:rsid w:val="3A0D3079"/>
    <w:rsid w:val="3A0D6176"/>
    <w:rsid w:val="3A0E01B0"/>
    <w:rsid w:val="3A0E53E2"/>
    <w:rsid w:val="3A0F1ED5"/>
    <w:rsid w:val="3A0F3616"/>
    <w:rsid w:val="3A0F624A"/>
    <w:rsid w:val="3A0F6392"/>
    <w:rsid w:val="3A1061A5"/>
    <w:rsid w:val="3A111DA8"/>
    <w:rsid w:val="3A115F36"/>
    <w:rsid w:val="3A121F97"/>
    <w:rsid w:val="3A125E82"/>
    <w:rsid w:val="3A127C30"/>
    <w:rsid w:val="3A1439A9"/>
    <w:rsid w:val="3A1471D4"/>
    <w:rsid w:val="3A150C3F"/>
    <w:rsid w:val="3A164172"/>
    <w:rsid w:val="3A170283"/>
    <w:rsid w:val="3A1707D2"/>
    <w:rsid w:val="3A1712A2"/>
    <w:rsid w:val="3A17245E"/>
    <w:rsid w:val="3A175247"/>
    <w:rsid w:val="3A175EAD"/>
    <w:rsid w:val="3A181DCC"/>
    <w:rsid w:val="3A184B1B"/>
    <w:rsid w:val="3A187AE0"/>
    <w:rsid w:val="3A190FBF"/>
    <w:rsid w:val="3A192D6D"/>
    <w:rsid w:val="3A194AAD"/>
    <w:rsid w:val="3A1A3BFF"/>
    <w:rsid w:val="3A1A6AE5"/>
    <w:rsid w:val="3A1B1BB9"/>
    <w:rsid w:val="3A1B7194"/>
    <w:rsid w:val="3A1C0AAF"/>
    <w:rsid w:val="3A1C11D3"/>
    <w:rsid w:val="3A1C1E87"/>
    <w:rsid w:val="3A1C460B"/>
    <w:rsid w:val="3A1D001C"/>
    <w:rsid w:val="3A1D1339"/>
    <w:rsid w:val="3A1D1EE7"/>
    <w:rsid w:val="3A1D2AE8"/>
    <w:rsid w:val="3A1D6B46"/>
    <w:rsid w:val="3A1E15C1"/>
    <w:rsid w:val="3A1E4827"/>
    <w:rsid w:val="3A1E65D5"/>
    <w:rsid w:val="3A1F348A"/>
    <w:rsid w:val="3A1F40FB"/>
    <w:rsid w:val="3A1F61A0"/>
    <w:rsid w:val="3A203FE5"/>
    <w:rsid w:val="3A211C22"/>
    <w:rsid w:val="3A21622C"/>
    <w:rsid w:val="3A217E73"/>
    <w:rsid w:val="3A22133D"/>
    <w:rsid w:val="3A2238BA"/>
    <w:rsid w:val="3A23277D"/>
    <w:rsid w:val="3A23599A"/>
    <w:rsid w:val="3A24276B"/>
    <w:rsid w:val="3A2443AC"/>
    <w:rsid w:val="3A255BB6"/>
    <w:rsid w:val="3A261DC0"/>
    <w:rsid w:val="3A26548A"/>
    <w:rsid w:val="3A26689D"/>
    <w:rsid w:val="3A267238"/>
    <w:rsid w:val="3A272D2D"/>
    <w:rsid w:val="3A274104"/>
    <w:rsid w:val="3A276240"/>
    <w:rsid w:val="3A27632A"/>
    <w:rsid w:val="3A284A62"/>
    <w:rsid w:val="3A285059"/>
    <w:rsid w:val="3A286138"/>
    <w:rsid w:val="3A287454"/>
    <w:rsid w:val="3A2875D5"/>
    <w:rsid w:val="3A296D28"/>
    <w:rsid w:val="3A29797A"/>
    <w:rsid w:val="3A2A00F8"/>
    <w:rsid w:val="3A2A1843"/>
    <w:rsid w:val="3A2A2B20"/>
    <w:rsid w:val="3A2A4F7A"/>
    <w:rsid w:val="3A2B0C9B"/>
    <w:rsid w:val="3A2B0CF2"/>
    <w:rsid w:val="3A2B1E78"/>
    <w:rsid w:val="3A2B237D"/>
    <w:rsid w:val="3A2B2AA0"/>
    <w:rsid w:val="3A2B2E7D"/>
    <w:rsid w:val="3A2B484E"/>
    <w:rsid w:val="3A2B6F44"/>
    <w:rsid w:val="3A2C570F"/>
    <w:rsid w:val="3A2D2A23"/>
    <w:rsid w:val="3A2E002F"/>
    <w:rsid w:val="3A2E433E"/>
    <w:rsid w:val="3A2E618F"/>
    <w:rsid w:val="3A2E68EE"/>
    <w:rsid w:val="3A2F1883"/>
    <w:rsid w:val="3A304090"/>
    <w:rsid w:val="3A30455A"/>
    <w:rsid w:val="3A304AC6"/>
    <w:rsid w:val="3A305520"/>
    <w:rsid w:val="3A305B3B"/>
    <w:rsid w:val="3A306308"/>
    <w:rsid w:val="3A311B44"/>
    <w:rsid w:val="3A321C12"/>
    <w:rsid w:val="3A32526F"/>
    <w:rsid w:val="3A325BDD"/>
    <w:rsid w:val="3A331038"/>
    <w:rsid w:val="3A331955"/>
    <w:rsid w:val="3A336AF2"/>
    <w:rsid w:val="3A341F3C"/>
    <w:rsid w:val="3A343373"/>
    <w:rsid w:val="3A343EA1"/>
    <w:rsid w:val="3A34541F"/>
    <w:rsid w:val="3A345DF9"/>
    <w:rsid w:val="3A347666"/>
    <w:rsid w:val="3A347BA7"/>
    <w:rsid w:val="3A352C3B"/>
    <w:rsid w:val="3A35391F"/>
    <w:rsid w:val="3A354915"/>
    <w:rsid w:val="3A35531E"/>
    <w:rsid w:val="3A3557F7"/>
    <w:rsid w:val="3A361B71"/>
    <w:rsid w:val="3A3624BA"/>
    <w:rsid w:val="3A3676C2"/>
    <w:rsid w:val="3A37184F"/>
    <w:rsid w:val="3A375DDF"/>
    <w:rsid w:val="3A377ACD"/>
    <w:rsid w:val="3A39023E"/>
    <w:rsid w:val="3A39340F"/>
    <w:rsid w:val="3A3951BD"/>
    <w:rsid w:val="3A3B1377"/>
    <w:rsid w:val="3A3B2666"/>
    <w:rsid w:val="3A3B3AE3"/>
    <w:rsid w:val="3A3C2EFF"/>
    <w:rsid w:val="3A3C4CAD"/>
    <w:rsid w:val="3A3C61D2"/>
    <w:rsid w:val="3A3C7C37"/>
    <w:rsid w:val="3A3E0A25"/>
    <w:rsid w:val="3A3E27D3"/>
    <w:rsid w:val="3A3E4582"/>
    <w:rsid w:val="3A3E73F2"/>
    <w:rsid w:val="3A3E7CD6"/>
    <w:rsid w:val="3A3F02FA"/>
    <w:rsid w:val="3A3F269E"/>
    <w:rsid w:val="3A3F5AA3"/>
    <w:rsid w:val="3A3F654C"/>
    <w:rsid w:val="3A3F77F4"/>
    <w:rsid w:val="3A3F7873"/>
    <w:rsid w:val="3A400616"/>
    <w:rsid w:val="3A40479E"/>
    <w:rsid w:val="3A40736F"/>
    <w:rsid w:val="3A4127BE"/>
    <w:rsid w:val="3A414072"/>
    <w:rsid w:val="3A415561"/>
    <w:rsid w:val="3A422F6F"/>
    <w:rsid w:val="3A430DC5"/>
    <w:rsid w:val="3A432F17"/>
    <w:rsid w:val="3A434ABC"/>
    <w:rsid w:val="3A435481"/>
    <w:rsid w:val="3A437DEA"/>
    <w:rsid w:val="3A443902"/>
    <w:rsid w:val="3A443B62"/>
    <w:rsid w:val="3A445910"/>
    <w:rsid w:val="3A447D37"/>
    <w:rsid w:val="3A451DB4"/>
    <w:rsid w:val="3A4553FC"/>
    <w:rsid w:val="3A461688"/>
    <w:rsid w:val="3A462A03"/>
    <w:rsid w:val="3A464B75"/>
    <w:rsid w:val="3A4666D7"/>
    <w:rsid w:val="3A46761D"/>
    <w:rsid w:val="3A4678DA"/>
    <w:rsid w:val="3A4818A4"/>
    <w:rsid w:val="3A485400"/>
    <w:rsid w:val="3A487FB1"/>
    <w:rsid w:val="3A490E23"/>
    <w:rsid w:val="3A4923D1"/>
    <w:rsid w:val="3A4A012B"/>
    <w:rsid w:val="3A4B2127"/>
    <w:rsid w:val="3A4B5D3A"/>
    <w:rsid w:val="3A4B7556"/>
    <w:rsid w:val="3A4B7697"/>
    <w:rsid w:val="3A4D0C68"/>
    <w:rsid w:val="3A4D1B50"/>
    <w:rsid w:val="3A4D1FBF"/>
    <w:rsid w:val="3A4D4A47"/>
    <w:rsid w:val="3A4E2F2F"/>
    <w:rsid w:val="3A4F678F"/>
    <w:rsid w:val="3A5016A5"/>
    <w:rsid w:val="3A5053FA"/>
    <w:rsid w:val="3A512573"/>
    <w:rsid w:val="3A51267C"/>
    <w:rsid w:val="3A5133C8"/>
    <w:rsid w:val="3A5169AB"/>
    <w:rsid w:val="3A517415"/>
    <w:rsid w:val="3A523949"/>
    <w:rsid w:val="3A52627F"/>
    <w:rsid w:val="3A532800"/>
    <w:rsid w:val="3A534EB2"/>
    <w:rsid w:val="3A534F95"/>
    <w:rsid w:val="3A540249"/>
    <w:rsid w:val="3A540C2A"/>
    <w:rsid w:val="3A541CD3"/>
    <w:rsid w:val="3A541FF7"/>
    <w:rsid w:val="3A543DA5"/>
    <w:rsid w:val="3A555D6F"/>
    <w:rsid w:val="3A56221F"/>
    <w:rsid w:val="3A56389A"/>
    <w:rsid w:val="3A563FC1"/>
    <w:rsid w:val="3A571AE7"/>
    <w:rsid w:val="3A5726C8"/>
    <w:rsid w:val="3A590E27"/>
    <w:rsid w:val="3A592FEA"/>
    <w:rsid w:val="3A5937BD"/>
    <w:rsid w:val="3A59760D"/>
    <w:rsid w:val="3A5A1425"/>
    <w:rsid w:val="3A5A447A"/>
    <w:rsid w:val="3A5A5641"/>
    <w:rsid w:val="3A5A5BBB"/>
    <w:rsid w:val="3A5A5F28"/>
    <w:rsid w:val="3A5B1BDA"/>
    <w:rsid w:val="3A5B4920"/>
    <w:rsid w:val="3A5C0EAC"/>
    <w:rsid w:val="3A5C3144"/>
    <w:rsid w:val="3A5C534F"/>
    <w:rsid w:val="3A5C5A79"/>
    <w:rsid w:val="3A5D196B"/>
    <w:rsid w:val="3A5E26DB"/>
    <w:rsid w:val="3A5E4C24"/>
    <w:rsid w:val="3A5E650F"/>
    <w:rsid w:val="3A5E69D2"/>
    <w:rsid w:val="3A5F0404"/>
    <w:rsid w:val="3A5F2394"/>
    <w:rsid w:val="3A5F3A1F"/>
    <w:rsid w:val="3A5F444E"/>
    <w:rsid w:val="3A5F6096"/>
    <w:rsid w:val="3A60099C"/>
    <w:rsid w:val="3A60682E"/>
    <w:rsid w:val="3A606C0C"/>
    <w:rsid w:val="3A612EBD"/>
    <w:rsid w:val="3A613F18"/>
    <w:rsid w:val="3A614714"/>
    <w:rsid w:val="3A615CF4"/>
    <w:rsid w:val="3A623F06"/>
    <w:rsid w:val="3A62434D"/>
    <w:rsid w:val="3A6271E6"/>
    <w:rsid w:val="3A627476"/>
    <w:rsid w:val="3A6277F8"/>
    <w:rsid w:val="3A63223A"/>
    <w:rsid w:val="3A6438F4"/>
    <w:rsid w:val="3A647D60"/>
    <w:rsid w:val="3A651FCE"/>
    <w:rsid w:val="3A654204"/>
    <w:rsid w:val="3A655AA9"/>
    <w:rsid w:val="3A655FB2"/>
    <w:rsid w:val="3A667F7C"/>
    <w:rsid w:val="3A685AA2"/>
    <w:rsid w:val="3A6915F1"/>
    <w:rsid w:val="3A693BCA"/>
    <w:rsid w:val="3A693FB0"/>
    <w:rsid w:val="3A6A35C8"/>
    <w:rsid w:val="3A6A4B1A"/>
    <w:rsid w:val="3A6A56B0"/>
    <w:rsid w:val="3A6A7593"/>
    <w:rsid w:val="3A6B2252"/>
    <w:rsid w:val="3A6B5D8F"/>
    <w:rsid w:val="3A6C0536"/>
    <w:rsid w:val="3A6C413F"/>
    <w:rsid w:val="3A6C54CE"/>
    <w:rsid w:val="3A6C7FD0"/>
    <w:rsid w:val="3A6D30B9"/>
    <w:rsid w:val="3A6D4E67"/>
    <w:rsid w:val="3A6F4F90"/>
    <w:rsid w:val="3A6F6E31"/>
    <w:rsid w:val="3A704957"/>
    <w:rsid w:val="3A7063AD"/>
    <w:rsid w:val="3A706698"/>
    <w:rsid w:val="3A7129B2"/>
    <w:rsid w:val="3A712BA9"/>
    <w:rsid w:val="3A714F0A"/>
    <w:rsid w:val="3A7171E1"/>
    <w:rsid w:val="3A717D9C"/>
    <w:rsid w:val="3A7206CF"/>
    <w:rsid w:val="3A734CD9"/>
    <w:rsid w:val="3A7355CD"/>
    <w:rsid w:val="3A744447"/>
    <w:rsid w:val="3A760293"/>
    <w:rsid w:val="3A781144"/>
    <w:rsid w:val="3A791A5E"/>
    <w:rsid w:val="3A79380C"/>
    <w:rsid w:val="3A794B4B"/>
    <w:rsid w:val="3A796379"/>
    <w:rsid w:val="3A7972E6"/>
    <w:rsid w:val="3A797CAF"/>
    <w:rsid w:val="3A7A5315"/>
    <w:rsid w:val="3A7A7584"/>
    <w:rsid w:val="3A7A7FD9"/>
    <w:rsid w:val="3A7B1078"/>
    <w:rsid w:val="3A7B3A28"/>
    <w:rsid w:val="3A7B73AB"/>
    <w:rsid w:val="3A7C154E"/>
    <w:rsid w:val="3A7C32FC"/>
    <w:rsid w:val="3A7C4549"/>
    <w:rsid w:val="3A7D0F55"/>
    <w:rsid w:val="3A7D1602"/>
    <w:rsid w:val="3A7D2182"/>
    <w:rsid w:val="3A7D68D2"/>
    <w:rsid w:val="3A7E0E22"/>
    <w:rsid w:val="3A7E4FB6"/>
    <w:rsid w:val="3A7E52C6"/>
    <w:rsid w:val="3A7E5897"/>
    <w:rsid w:val="3A7E7074"/>
    <w:rsid w:val="3A7F09EA"/>
    <w:rsid w:val="3A7F366D"/>
    <w:rsid w:val="3A8005C7"/>
    <w:rsid w:val="3A8008B4"/>
    <w:rsid w:val="3A80103E"/>
    <w:rsid w:val="3A802DEC"/>
    <w:rsid w:val="3A804B9A"/>
    <w:rsid w:val="3A8060F7"/>
    <w:rsid w:val="3A806F03"/>
    <w:rsid w:val="3A81625C"/>
    <w:rsid w:val="3A816B64"/>
    <w:rsid w:val="3A81766A"/>
    <w:rsid w:val="3A820F1D"/>
    <w:rsid w:val="3A824DC7"/>
    <w:rsid w:val="3A832677"/>
    <w:rsid w:val="3A8328DC"/>
    <w:rsid w:val="3A832FE3"/>
    <w:rsid w:val="3A8343F8"/>
    <w:rsid w:val="3A8371B6"/>
    <w:rsid w:val="3A8421D1"/>
    <w:rsid w:val="3A84686A"/>
    <w:rsid w:val="3A84717F"/>
    <w:rsid w:val="3A8476E7"/>
    <w:rsid w:val="3A854DFF"/>
    <w:rsid w:val="3A856654"/>
    <w:rsid w:val="3A861A44"/>
    <w:rsid w:val="3A861AC1"/>
    <w:rsid w:val="3A86417A"/>
    <w:rsid w:val="3A865F28"/>
    <w:rsid w:val="3A872856"/>
    <w:rsid w:val="3A875D7D"/>
    <w:rsid w:val="3A881CA1"/>
    <w:rsid w:val="3A88522E"/>
    <w:rsid w:val="3A887EF3"/>
    <w:rsid w:val="3A89155A"/>
    <w:rsid w:val="3A896195"/>
    <w:rsid w:val="3A8A3C6B"/>
    <w:rsid w:val="3A8A5A19"/>
    <w:rsid w:val="3A8A661D"/>
    <w:rsid w:val="3A8A77C7"/>
    <w:rsid w:val="3A8B00B7"/>
    <w:rsid w:val="3A8B153D"/>
    <w:rsid w:val="3A8B353F"/>
    <w:rsid w:val="3A8B3D9F"/>
    <w:rsid w:val="3A8B611B"/>
    <w:rsid w:val="3A8D1EDA"/>
    <w:rsid w:val="3A8D34C0"/>
    <w:rsid w:val="3A8D5509"/>
    <w:rsid w:val="3A8D5E3B"/>
    <w:rsid w:val="3A8E18B2"/>
    <w:rsid w:val="3A8F1281"/>
    <w:rsid w:val="3A8F302F"/>
    <w:rsid w:val="3A8F3A46"/>
    <w:rsid w:val="3A8F3C23"/>
    <w:rsid w:val="3A9037E0"/>
    <w:rsid w:val="3A905662"/>
    <w:rsid w:val="3A905C8A"/>
    <w:rsid w:val="3A9073CB"/>
    <w:rsid w:val="3A907704"/>
    <w:rsid w:val="3A911F05"/>
    <w:rsid w:val="3A913650"/>
    <w:rsid w:val="3A917828"/>
    <w:rsid w:val="3A920D71"/>
    <w:rsid w:val="3A9248CD"/>
    <w:rsid w:val="3A926364"/>
    <w:rsid w:val="3A9269E7"/>
    <w:rsid w:val="3A940645"/>
    <w:rsid w:val="3A941057"/>
    <w:rsid w:val="3A944AE9"/>
    <w:rsid w:val="3A9471DC"/>
    <w:rsid w:val="3A95066C"/>
    <w:rsid w:val="3A9574F3"/>
    <w:rsid w:val="3A96260F"/>
    <w:rsid w:val="3A971EE4"/>
    <w:rsid w:val="3A974082"/>
    <w:rsid w:val="3A974676"/>
    <w:rsid w:val="3A9746CD"/>
    <w:rsid w:val="3A97734C"/>
    <w:rsid w:val="3A980E73"/>
    <w:rsid w:val="3A986FB2"/>
    <w:rsid w:val="3A9A4B81"/>
    <w:rsid w:val="3A9A629F"/>
    <w:rsid w:val="3A9B19D4"/>
    <w:rsid w:val="3A9B29E4"/>
    <w:rsid w:val="3A9B3D72"/>
    <w:rsid w:val="3A9B7C26"/>
    <w:rsid w:val="3A9C53AF"/>
    <w:rsid w:val="3A9C574C"/>
    <w:rsid w:val="3A9C596E"/>
    <w:rsid w:val="3A9C59E4"/>
    <w:rsid w:val="3A9C74FA"/>
    <w:rsid w:val="3A9D265B"/>
    <w:rsid w:val="3A9E1D72"/>
    <w:rsid w:val="3A9E7716"/>
    <w:rsid w:val="3A9F1D00"/>
    <w:rsid w:val="3A9F783C"/>
    <w:rsid w:val="3AA0348E"/>
    <w:rsid w:val="3AA0523C"/>
    <w:rsid w:val="3AA07A73"/>
    <w:rsid w:val="3AA12D62"/>
    <w:rsid w:val="3AA208B9"/>
    <w:rsid w:val="3AA20FB4"/>
    <w:rsid w:val="3AA217E0"/>
    <w:rsid w:val="3AA264E9"/>
    <w:rsid w:val="3AA27F72"/>
    <w:rsid w:val="3AA30083"/>
    <w:rsid w:val="3AA3079E"/>
    <w:rsid w:val="3AA35841"/>
    <w:rsid w:val="3AA36ADA"/>
    <w:rsid w:val="3AA47176"/>
    <w:rsid w:val="3AA50161"/>
    <w:rsid w:val="3AA50AA5"/>
    <w:rsid w:val="3AA53954"/>
    <w:rsid w:val="3AA54601"/>
    <w:rsid w:val="3AA60379"/>
    <w:rsid w:val="3AA72BBA"/>
    <w:rsid w:val="3AA72BF3"/>
    <w:rsid w:val="3AA765CB"/>
    <w:rsid w:val="3AA76B33"/>
    <w:rsid w:val="3AA80421"/>
    <w:rsid w:val="3AA840F1"/>
    <w:rsid w:val="3AA84C6A"/>
    <w:rsid w:val="3AA92294"/>
    <w:rsid w:val="3AA937CE"/>
    <w:rsid w:val="3AAA2FF5"/>
    <w:rsid w:val="3AAA330E"/>
    <w:rsid w:val="3AAA7E69"/>
    <w:rsid w:val="3AAB3E6B"/>
    <w:rsid w:val="3AAB3FD3"/>
    <w:rsid w:val="3AAB598F"/>
    <w:rsid w:val="3AAB5A42"/>
    <w:rsid w:val="3AAC3BE1"/>
    <w:rsid w:val="3AAC3ECB"/>
    <w:rsid w:val="3AAC5463"/>
    <w:rsid w:val="3AAD0AAC"/>
    <w:rsid w:val="3AAD0FC0"/>
    <w:rsid w:val="3AAD1208"/>
    <w:rsid w:val="3AAD52BC"/>
    <w:rsid w:val="3AAD68F3"/>
    <w:rsid w:val="3AAE1213"/>
    <w:rsid w:val="3AAE574A"/>
    <w:rsid w:val="3AAE6056"/>
    <w:rsid w:val="3AAF1923"/>
    <w:rsid w:val="3AAF26BA"/>
    <w:rsid w:val="3AAF547F"/>
    <w:rsid w:val="3AAF5655"/>
    <w:rsid w:val="3AAF5FEA"/>
    <w:rsid w:val="3AAF722D"/>
    <w:rsid w:val="3AB076C9"/>
    <w:rsid w:val="3AB111F7"/>
    <w:rsid w:val="3AB12212"/>
    <w:rsid w:val="3AB1274D"/>
    <w:rsid w:val="3AB16931"/>
    <w:rsid w:val="3AB24F6F"/>
    <w:rsid w:val="3AB26B1D"/>
    <w:rsid w:val="3AB30E44"/>
    <w:rsid w:val="3AB331C1"/>
    <w:rsid w:val="3AB363E3"/>
    <w:rsid w:val="3AB40CE8"/>
    <w:rsid w:val="3AB41065"/>
    <w:rsid w:val="3AB500A0"/>
    <w:rsid w:val="3AB57F4E"/>
    <w:rsid w:val="3AB64C95"/>
    <w:rsid w:val="3AB6680E"/>
    <w:rsid w:val="3AB67613"/>
    <w:rsid w:val="3AB679A5"/>
    <w:rsid w:val="3AB742BD"/>
    <w:rsid w:val="3AB756D6"/>
    <w:rsid w:val="3AB814CD"/>
    <w:rsid w:val="3AB865D7"/>
    <w:rsid w:val="3AB900AC"/>
    <w:rsid w:val="3AB914EF"/>
    <w:rsid w:val="3AB94550"/>
    <w:rsid w:val="3AB94CB9"/>
    <w:rsid w:val="3AB962FE"/>
    <w:rsid w:val="3ABA01E1"/>
    <w:rsid w:val="3ABA6E10"/>
    <w:rsid w:val="3ABB2076"/>
    <w:rsid w:val="3ABB3E24"/>
    <w:rsid w:val="3ABB5F6B"/>
    <w:rsid w:val="3ABC194A"/>
    <w:rsid w:val="3ABD092C"/>
    <w:rsid w:val="3ABD1DF1"/>
    <w:rsid w:val="3ABD5DEE"/>
    <w:rsid w:val="3ABE1B66"/>
    <w:rsid w:val="3ABE2449"/>
    <w:rsid w:val="3ABE4A0B"/>
    <w:rsid w:val="3ABF0814"/>
    <w:rsid w:val="3ABF22AD"/>
    <w:rsid w:val="3AC03628"/>
    <w:rsid w:val="3AC0687D"/>
    <w:rsid w:val="3AC0768C"/>
    <w:rsid w:val="3AC10794"/>
    <w:rsid w:val="3AC15543"/>
    <w:rsid w:val="3AC16F61"/>
    <w:rsid w:val="3AC21656"/>
    <w:rsid w:val="3AC2225A"/>
    <w:rsid w:val="3AC23405"/>
    <w:rsid w:val="3AC26A9E"/>
    <w:rsid w:val="3AC26FDB"/>
    <w:rsid w:val="3AC31057"/>
    <w:rsid w:val="3AC31729"/>
    <w:rsid w:val="3AC336EA"/>
    <w:rsid w:val="3AC37AC8"/>
    <w:rsid w:val="3AC37F79"/>
    <w:rsid w:val="3AC41873"/>
    <w:rsid w:val="3AC473B9"/>
    <w:rsid w:val="3AC51937"/>
    <w:rsid w:val="3AC52EF5"/>
    <w:rsid w:val="3AC54CA3"/>
    <w:rsid w:val="3AC70B80"/>
    <w:rsid w:val="3AC727C9"/>
    <w:rsid w:val="3AC75CB5"/>
    <w:rsid w:val="3AC76C6D"/>
    <w:rsid w:val="3AC802EF"/>
    <w:rsid w:val="3AC834FB"/>
    <w:rsid w:val="3AC83F8C"/>
    <w:rsid w:val="3AC84307"/>
    <w:rsid w:val="3AC84793"/>
    <w:rsid w:val="3AC87203"/>
    <w:rsid w:val="3AC91136"/>
    <w:rsid w:val="3AC9252D"/>
    <w:rsid w:val="3AC950EC"/>
    <w:rsid w:val="3AC96F6F"/>
    <w:rsid w:val="3ACA050B"/>
    <w:rsid w:val="3ACA41FD"/>
    <w:rsid w:val="3ACB0163"/>
    <w:rsid w:val="3ACB0C21"/>
    <w:rsid w:val="3ACB26E4"/>
    <w:rsid w:val="3ACB2B17"/>
    <w:rsid w:val="3ACB2F69"/>
    <w:rsid w:val="3ACC0BF2"/>
    <w:rsid w:val="3ACC5F1B"/>
    <w:rsid w:val="3ACD0200"/>
    <w:rsid w:val="3ACD1DA9"/>
    <w:rsid w:val="3ACE2322"/>
    <w:rsid w:val="3ACE7BB5"/>
    <w:rsid w:val="3ACE7FFB"/>
    <w:rsid w:val="3ACF1C8D"/>
    <w:rsid w:val="3AD00993"/>
    <w:rsid w:val="3AD01F55"/>
    <w:rsid w:val="3AD02761"/>
    <w:rsid w:val="3AD1189A"/>
    <w:rsid w:val="3AD13648"/>
    <w:rsid w:val="3AD14E00"/>
    <w:rsid w:val="3AD153F6"/>
    <w:rsid w:val="3AD2467C"/>
    <w:rsid w:val="3AD273C0"/>
    <w:rsid w:val="3AD31E39"/>
    <w:rsid w:val="3AD35612"/>
    <w:rsid w:val="3AD4138A"/>
    <w:rsid w:val="3AD43138"/>
    <w:rsid w:val="3AD44EE6"/>
    <w:rsid w:val="3AD46C94"/>
    <w:rsid w:val="3AD53A07"/>
    <w:rsid w:val="3AD55AFF"/>
    <w:rsid w:val="3AD56380"/>
    <w:rsid w:val="3AD61B8E"/>
    <w:rsid w:val="3AD62A0C"/>
    <w:rsid w:val="3AD66EB0"/>
    <w:rsid w:val="3AD731E5"/>
    <w:rsid w:val="3AD74461"/>
    <w:rsid w:val="3AD819E4"/>
    <w:rsid w:val="3AD83758"/>
    <w:rsid w:val="3AD84480"/>
    <w:rsid w:val="3AD9074E"/>
    <w:rsid w:val="3AD924FC"/>
    <w:rsid w:val="3AD939ED"/>
    <w:rsid w:val="3AD94B78"/>
    <w:rsid w:val="3AD96070"/>
    <w:rsid w:val="3AD9720A"/>
    <w:rsid w:val="3ADA04E1"/>
    <w:rsid w:val="3ADA1683"/>
    <w:rsid w:val="3ADA1814"/>
    <w:rsid w:val="3ADA5387"/>
    <w:rsid w:val="3ADA6DA0"/>
    <w:rsid w:val="3ADB1971"/>
    <w:rsid w:val="3ADB2101"/>
    <w:rsid w:val="3ADB2718"/>
    <w:rsid w:val="3ADC3E11"/>
    <w:rsid w:val="3ADC6B63"/>
    <w:rsid w:val="3ADC721E"/>
    <w:rsid w:val="3ADD4053"/>
    <w:rsid w:val="3ADD4C82"/>
    <w:rsid w:val="3ADE30CF"/>
    <w:rsid w:val="3ADE7B13"/>
    <w:rsid w:val="3ADF714E"/>
    <w:rsid w:val="3AE02F20"/>
    <w:rsid w:val="3AE07D2F"/>
    <w:rsid w:val="3AE113B1"/>
    <w:rsid w:val="3AE16FC9"/>
    <w:rsid w:val="3AE25855"/>
    <w:rsid w:val="3AE35766"/>
    <w:rsid w:val="3AE50EA1"/>
    <w:rsid w:val="3AE555F4"/>
    <w:rsid w:val="3AE570F3"/>
    <w:rsid w:val="3AE57546"/>
    <w:rsid w:val="3AE62523"/>
    <w:rsid w:val="3AE72AE5"/>
    <w:rsid w:val="3AE72E6B"/>
    <w:rsid w:val="3AE846CC"/>
    <w:rsid w:val="3AE84B95"/>
    <w:rsid w:val="3AE91D59"/>
    <w:rsid w:val="3AE97570"/>
    <w:rsid w:val="3AEA4709"/>
    <w:rsid w:val="3AEA64B7"/>
    <w:rsid w:val="3AEB03C3"/>
    <w:rsid w:val="3AEC1ABC"/>
    <w:rsid w:val="3AEC222F"/>
    <w:rsid w:val="3AEC6340"/>
    <w:rsid w:val="3AED36B0"/>
    <w:rsid w:val="3AED3D86"/>
    <w:rsid w:val="3AED5FA8"/>
    <w:rsid w:val="3AED7D56"/>
    <w:rsid w:val="3AEE2436"/>
    <w:rsid w:val="3AEE244B"/>
    <w:rsid w:val="3AEE41FA"/>
    <w:rsid w:val="3AEF08D3"/>
    <w:rsid w:val="3AEF1D20"/>
    <w:rsid w:val="3AEF3ACE"/>
    <w:rsid w:val="3AEF5DC1"/>
    <w:rsid w:val="3AEF66A6"/>
    <w:rsid w:val="3AEF7B36"/>
    <w:rsid w:val="3AF03D3D"/>
    <w:rsid w:val="3AF13CEA"/>
    <w:rsid w:val="3AF17846"/>
    <w:rsid w:val="3AF27F23"/>
    <w:rsid w:val="3AF32F39"/>
    <w:rsid w:val="3AF37A62"/>
    <w:rsid w:val="3AF410E4"/>
    <w:rsid w:val="3AF47336"/>
    <w:rsid w:val="3AF60425"/>
    <w:rsid w:val="3AF609C1"/>
    <w:rsid w:val="3AF61EDC"/>
    <w:rsid w:val="3AF630AE"/>
    <w:rsid w:val="3AF64C56"/>
    <w:rsid w:val="3AF64E5C"/>
    <w:rsid w:val="3AF64F6D"/>
    <w:rsid w:val="3AF70579"/>
    <w:rsid w:val="3AF7075A"/>
    <w:rsid w:val="3AF8064C"/>
    <w:rsid w:val="3AF82D2C"/>
    <w:rsid w:val="3AF91BA6"/>
    <w:rsid w:val="3AF92B9E"/>
    <w:rsid w:val="3AF97B60"/>
    <w:rsid w:val="3AFB06C4"/>
    <w:rsid w:val="3AFB0FA6"/>
    <w:rsid w:val="3AFB2473"/>
    <w:rsid w:val="3AFB3F3C"/>
    <w:rsid w:val="3AFB6916"/>
    <w:rsid w:val="3AFB73A9"/>
    <w:rsid w:val="3AFB781A"/>
    <w:rsid w:val="3AFC52A7"/>
    <w:rsid w:val="3AFD268F"/>
    <w:rsid w:val="3AFD2F47"/>
    <w:rsid w:val="3AFD348D"/>
    <w:rsid w:val="3AFD5AE8"/>
    <w:rsid w:val="3AFE3138"/>
    <w:rsid w:val="3AFE387A"/>
    <w:rsid w:val="3AFE4D0B"/>
    <w:rsid w:val="3AFF6407"/>
    <w:rsid w:val="3AFF7B26"/>
    <w:rsid w:val="3B0003BE"/>
    <w:rsid w:val="3B003F2D"/>
    <w:rsid w:val="3B005CDB"/>
    <w:rsid w:val="3B0150F2"/>
    <w:rsid w:val="3B020A8C"/>
    <w:rsid w:val="3B021B0C"/>
    <w:rsid w:val="3B0227A0"/>
    <w:rsid w:val="3B0237ED"/>
    <w:rsid w:val="3B023801"/>
    <w:rsid w:val="3B0276ED"/>
    <w:rsid w:val="3B027CA5"/>
    <w:rsid w:val="3B030B7D"/>
    <w:rsid w:val="3B031573"/>
    <w:rsid w:val="3B035B63"/>
    <w:rsid w:val="3B037579"/>
    <w:rsid w:val="3B041E79"/>
    <w:rsid w:val="3B043A1D"/>
    <w:rsid w:val="3B045146"/>
    <w:rsid w:val="3B051543"/>
    <w:rsid w:val="3B05727F"/>
    <w:rsid w:val="3B057D0F"/>
    <w:rsid w:val="3B063330"/>
    <w:rsid w:val="3B065A58"/>
    <w:rsid w:val="3B070E17"/>
    <w:rsid w:val="3B071428"/>
    <w:rsid w:val="3B071493"/>
    <w:rsid w:val="3B07233C"/>
    <w:rsid w:val="3B08077E"/>
    <w:rsid w:val="3B081687"/>
    <w:rsid w:val="3B091405"/>
    <w:rsid w:val="3B094CBE"/>
    <w:rsid w:val="3B0A0908"/>
    <w:rsid w:val="3B0A473E"/>
    <w:rsid w:val="3B0A5E7F"/>
    <w:rsid w:val="3B0C0B24"/>
    <w:rsid w:val="3B0C481F"/>
    <w:rsid w:val="3B0D1C2F"/>
    <w:rsid w:val="3B0D4E78"/>
    <w:rsid w:val="3B0E03F8"/>
    <w:rsid w:val="3B0E35B9"/>
    <w:rsid w:val="3B0E4915"/>
    <w:rsid w:val="3B0E5C90"/>
    <w:rsid w:val="3B0E664A"/>
    <w:rsid w:val="3B0E6CD4"/>
    <w:rsid w:val="3B0F0EC4"/>
    <w:rsid w:val="3B0F23C2"/>
    <w:rsid w:val="3B0F3D8E"/>
    <w:rsid w:val="3B0F5F1E"/>
    <w:rsid w:val="3B0F6D5D"/>
    <w:rsid w:val="3B111C96"/>
    <w:rsid w:val="3B11613A"/>
    <w:rsid w:val="3B117EE8"/>
    <w:rsid w:val="3B130286"/>
    <w:rsid w:val="3B133C60"/>
    <w:rsid w:val="3B134DE1"/>
    <w:rsid w:val="3B135613"/>
    <w:rsid w:val="3B136075"/>
    <w:rsid w:val="3B141786"/>
    <w:rsid w:val="3B1420DC"/>
    <w:rsid w:val="3B143534"/>
    <w:rsid w:val="3B146EC5"/>
    <w:rsid w:val="3B1479D8"/>
    <w:rsid w:val="3B151DA3"/>
    <w:rsid w:val="3B162E81"/>
    <w:rsid w:val="3B163750"/>
    <w:rsid w:val="3B16452F"/>
    <w:rsid w:val="3B1720BE"/>
    <w:rsid w:val="3B172AF9"/>
    <w:rsid w:val="3B173341"/>
    <w:rsid w:val="3B1735A9"/>
    <w:rsid w:val="3B174005"/>
    <w:rsid w:val="3B1758B2"/>
    <w:rsid w:val="3B180483"/>
    <w:rsid w:val="3B181246"/>
    <w:rsid w:val="3B181276"/>
    <w:rsid w:val="3B182225"/>
    <w:rsid w:val="3B182811"/>
    <w:rsid w:val="3B184EAF"/>
    <w:rsid w:val="3B186D42"/>
    <w:rsid w:val="3B190B4B"/>
    <w:rsid w:val="3B19335F"/>
    <w:rsid w:val="3B1B0D67"/>
    <w:rsid w:val="3B1B48C3"/>
    <w:rsid w:val="3B1B530D"/>
    <w:rsid w:val="3B1B7823"/>
    <w:rsid w:val="3B1C4441"/>
    <w:rsid w:val="3B1C69EE"/>
    <w:rsid w:val="3B1D063B"/>
    <w:rsid w:val="3B1D2B2E"/>
    <w:rsid w:val="3B1D4ADF"/>
    <w:rsid w:val="3B1D688D"/>
    <w:rsid w:val="3B1E43B3"/>
    <w:rsid w:val="3B1F0857"/>
    <w:rsid w:val="3B1F2473"/>
    <w:rsid w:val="3B1F2605"/>
    <w:rsid w:val="3B20085A"/>
    <w:rsid w:val="3B201ED9"/>
    <w:rsid w:val="3B204171"/>
    <w:rsid w:val="3B206839"/>
    <w:rsid w:val="3B215782"/>
    <w:rsid w:val="3B220AEA"/>
    <w:rsid w:val="3B221632"/>
    <w:rsid w:val="3B2218F3"/>
    <w:rsid w:val="3B2220F5"/>
    <w:rsid w:val="3B224106"/>
    <w:rsid w:val="3B2318A6"/>
    <w:rsid w:val="3B235596"/>
    <w:rsid w:val="3B2408F8"/>
    <w:rsid w:val="3B24667E"/>
    <w:rsid w:val="3B247C1B"/>
    <w:rsid w:val="3B251BE5"/>
    <w:rsid w:val="3B253993"/>
    <w:rsid w:val="3B255741"/>
    <w:rsid w:val="3B266695"/>
    <w:rsid w:val="3B266B9E"/>
    <w:rsid w:val="3B266E3B"/>
    <w:rsid w:val="3B2714BA"/>
    <w:rsid w:val="3B27745B"/>
    <w:rsid w:val="3B277B82"/>
    <w:rsid w:val="3B286FE0"/>
    <w:rsid w:val="3B293484"/>
    <w:rsid w:val="3B295232"/>
    <w:rsid w:val="3B296002"/>
    <w:rsid w:val="3B2976F5"/>
    <w:rsid w:val="3B297CC7"/>
    <w:rsid w:val="3B2A0025"/>
    <w:rsid w:val="3B2B01F3"/>
    <w:rsid w:val="3B2B592A"/>
    <w:rsid w:val="3B2B7EB1"/>
    <w:rsid w:val="3B2C0ABB"/>
    <w:rsid w:val="3B2C6B2A"/>
    <w:rsid w:val="3B2C73A6"/>
    <w:rsid w:val="3B2D17A6"/>
    <w:rsid w:val="3B2D6485"/>
    <w:rsid w:val="3B2E2848"/>
    <w:rsid w:val="3B2E7848"/>
    <w:rsid w:val="3B2F1111"/>
    <w:rsid w:val="3B2F3B39"/>
    <w:rsid w:val="3B300983"/>
    <w:rsid w:val="3B31058A"/>
    <w:rsid w:val="3B312338"/>
    <w:rsid w:val="3B312F46"/>
    <w:rsid w:val="3B3224BA"/>
    <w:rsid w:val="3B322A7A"/>
    <w:rsid w:val="3B324F3C"/>
    <w:rsid w:val="3B325189"/>
    <w:rsid w:val="3B330450"/>
    <w:rsid w:val="3B331C0C"/>
    <w:rsid w:val="3B3334E3"/>
    <w:rsid w:val="3B33394A"/>
    <w:rsid w:val="3B334302"/>
    <w:rsid w:val="3B3360B0"/>
    <w:rsid w:val="3B337E5E"/>
    <w:rsid w:val="3B342408"/>
    <w:rsid w:val="3B343BD6"/>
    <w:rsid w:val="3B3442E2"/>
    <w:rsid w:val="3B3518E2"/>
    <w:rsid w:val="3B352FF6"/>
    <w:rsid w:val="3B356024"/>
    <w:rsid w:val="3B363734"/>
    <w:rsid w:val="3B365BA1"/>
    <w:rsid w:val="3B374678"/>
    <w:rsid w:val="3B375346"/>
    <w:rsid w:val="3B3763D1"/>
    <w:rsid w:val="3B3833A9"/>
    <w:rsid w:val="3B385475"/>
    <w:rsid w:val="3B3903DC"/>
    <w:rsid w:val="3B3911ED"/>
    <w:rsid w:val="3B395D65"/>
    <w:rsid w:val="3B396421"/>
    <w:rsid w:val="3B3A2FD8"/>
    <w:rsid w:val="3B3B31B7"/>
    <w:rsid w:val="3B3B4CAD"/>
    <w:rsid w:val="3B3B4F65"/>
    <w:rsid w:val="3B3B5E33"/>
    <w:rsid w:val="3B3C7398"/>
    <w:rsid w:val="3B3D0CDD"/>
    <w:rsid w:val="3B3D2A8B"/>
    <w:rsid w:val="3B3D603B"/>
    <w:rsid w:val="3B3D75CD"/>
    <w:rsid w:val="3B3E04E6"/>
    <w:rsid w:val="3B3E0A5D"/>
    <w:rsid w:val="3B3E362E"/>
    <w:rsid w:val="3B3F1A96"/>
    <w:rsid w:val="3B3F4A55"/>
    <w:rsid w:val="3B3F61FF"/>
    <w:rsid w:val="3B4007CD"/>
    <w:rsid w:val="3B401014"/>
    <w:rsid w:val="3B40257B"/>
    <w:rsid w:val="3B4031A6"/>
    <w:rsid w:val="3B405482"/>
    <w:rsid w:val="3B405F4E"/>
    <w:rsid w:val="3B406C80"/>
    <w:rsid w:val="3B412456"/>
    <w:rsid w:val="3B416606"/>
    <w:rsid w:val="3B417D02"/>
    <w:rsid w:val="3B424545"/>
    <w:rsid w:val="3B4262F3"/>
    <w:rsid w:val="3B427552"/>
    <w:rsid w:val="3B4325CE"/>
    <w:rsid w:val="3B433FC5"/>
    <w:rsid w:val="3B4430A4"/>
    <w:rsid w:val="3B443E1A"/>
    <w:rsid w:val="3B4459D7"/>
    <w:rsid w:val="3B450930"/>
    <w:rsid w:val="3B454020"/>
    <w:rsid w:val="3B455D5F"/>
    <w:rsid w:val="3B4605FB"/>
    <w:rsid w:val="3B461B7C"/>
    <w:rsid w:val="3B461DC0"/>
    <w:rsid w:val="3B4721DE"/>
    <w:rsid w:val="3B473250"/>
    <w:rsid w:val="3B485E21"/>
    <w:rsid w:val="3B486A4A"/>
    <w:rsid w:val="3B4958D4"/>
    <w:rsid w:val="3B4A33FA"/>
    <w:rsid w:val="3B4A51A8"/>
    <w:rsid w:val="3B4B164C"/>
    <w:rsid w:val="3B4B6F81"/>
    <w:rsid w:val="3B4C0F20"/>
    <w:rsid w:val="3B4C2CCE"/>
    <w:rsid w:val="3B4C7172"/>
    <w:rsid w:val="3B4D5186"/>
    <w:rsid w:val="3B4E00D3"/>
    <w:rsid w:val="3B4F27BE"/>
    <w:rsid w:val="3B4F413C"/>
    <w:rsid w:val="3B502453"/>
    <w:rsid w:val="3B5070A0"/>
    <w:rsid w:val="3B510614"/>
    <w:rsid w:val="3B514E5E"/>
    <w:rsid w:val="3B517414"/>
    <w:rsid w:val="3B522FDE"/>
    <w:rsid w:val="3B527BAD"/>
    <w:rsid w:val="3B53405D"/>
    <w:rsid w:val="3B535F17"/>
    <w:rsid w:val="3B537319"/>
    <w:rsid w:val="3B540607"/>
    <w:rsid w:val="3B541666"/>
    <w:rsid w:val="3B5427DE"/>
    <w:rsid w:val="3B550425"/>
    <w:rsid w:val="3B555854"/>
    <w:rsid w:val="3B556027"/>
    <w:rsid w:val="3B563B4D"/>
    <w:rsid w:val="3B567FF1"/>
    <w:rsid w:val="3B571D54"/>
    <w:rsid w:val="3B572962"/>
    <w:rsid w:val="3B575B0D"/>
    <w:rsid w:val="3B581673"/>
    <w:rsid w:val="3B582C7C"/>
    <w:rsid w:val="3B590236"/>
    <w:rsid w:val="3B59226A"/>
    <w:rsid w:val="3B5953EB"/>
    <w:rsid w:val="3B5A5594"/>
    <w:rsid w:val="3B5B1163"/>
    <w:rsid w:val="3B5B1A73"/>
    <w:rsid w:val="3B5B2AC3"/>
    <w:rsid w:val="3B5B5607"/>
    <w:rsid w:val="3B5B608A"/>
    <w:rsid w:val="3B5B73B5"/>
    <w:rsid w:val="3B5C11F3"/>
    <w:rsid w:val="3B5D4EDB"/>
    <w:rsid w:val="3B5D718D"/>
    <w:rsid w:val="3B5E10C5"/>
    <w:rsid w:val="3B5E2A01"/>
    <w:rsid w:val="3B5E51F7"/>
    <w:rsid w:val="3B5E64C8"/>
    <w:rsid w:val="3B5F40A8"/>
    <w:rsid w:val="3B5F60B3"/>
    <w:rsid w:val="3B5F694D"/>
    <w:rsid w:val="3B5F6EA5"/>
    <w:rsid w:val="3B6000E8"/>
    <w:rsid w:val="3B600A24"/>
    <w:rsid w:val="3B602018"/>
    <w:rsid w:val="3B602C1D"/>
    <w:rsid w:val="3B6030DC"/>
    <w:rsid w:val="3B606F61"/>
    <w:rsid w:val="3B6074C4"/>
    <w:rsid w:val="3B611C17"/>
    <w:rsid w:val="3B614F44"/>
    <w:rsid w:val="3B61723E"/>
    <w:rsid w:val="3B6224F2"/>
    <w:rsid w:val="3B623169"/>
    <w:rsid w:val="3B625D71"/>
    <w:rsid w:val="3B626996"/>
    <w:rsid w:val="3B63549C"/>
    <w:rsid w:val="3B635567"/>
    <w:rsid w:val="3B636CF2"/>
    <w:rsid w:val="3B63740A"/>
    <w:rsid w:val="3B64373D"/>
    <w:rsid w:val="3B651FE2"/>
    <w:rsid w:val="3B653D90"/>
    <w:rsid w:val="3B656BCD"/>
    <w:rsid w:val="3B660234"/>
    <w:rsid w:val="3B6641AA"/>
    <w:rsid w:val="3B6643B5"/>
    <w:rsid w:val="3B6653A1"/>
    <w:rsid w:val="3B672905"/>
    <w:rsid w:val="3B673FAC"/>
    <w:rsid w:val="3B675D5A"/>
    <w:rsid w:val="3B676E45"/>
    <w:rsid w:val="3B677B08"/>
    <w:rsid w:val="3B6906F7"/>
    <w:rsid w:val="3B691AD2"/>
    <w:rsid w:val="3B693880"/>
    <w:rsid w:val="3B697D24"/>
    <w:rsid w:val="3B6A2639"/>
    <w:rsid w:val="3B6A5A63"/>
    <w:rsid w:val="3B6A69F9"/>
    <w:rsid w:val="3B6A75F8"/>
    <w:rsid w:val="3B6B264B"/>
    <w:rsid w:val="3B6C3370"/>
    <w:rsid w:val="3B6C4DB0"/>
    <w:rsid w:val="3B6E0E96"/>
    <w:rsid w:val="3B6E34BE"/>
    <w:rsid w:val="3B6E70E8"/>
    <w:rsid w:val="3B6E73CD"/>
    <w:rsid w:val="3B6F0DFD"/>
    <w:rsid w:val="3B6F0FCC"/>
    <w:rsid w:val="3B702638"/>
    <w:rsid w:val="3B702E61"/>
    <w:rsid w:val="3B7038EC"/>
    <w:rsid w:val="3B70502D"/>
    <w:rsid w:val="3B705B51"/>
    <w:rsid w:val="3B712735"/>
    <w:rsid w:val="3B713FED"/>
    <w:rsid w:val="3B714E2B"/>
    <w:rsid w:val="3B730374"/>
    <w:rsid w:val="3B732951"/>
    <w:rsid w:val="3B7356E5"/>
    <w:rsid w:val="3B7364AD"/>
    <w:rsid w:val="3B742225"/>
    <w:rsid w:val="3B744119"/>
    <w:rsid w:val="3B7442D3"/>
    <w:rsid w:val="3B750CE3"/>
    <w:rsid w:val="3B7566C9"/>
    <w:rsid w:val="3B763CAD"/>
    <w:rsid w:val="3B7641EF"/>
    <w:rsid w:val="3B7839DE"/>
    <w:rsid w:val="3B787F67"/>
    <w:rsid w:val="3B794D55"/>
    <w:rsid w:val="3B7A3831"/>
    <w:rsid w:val="3B7A751C"/>
    <w:rsid w:val="3B7B0563"/>
    <w:rsid w:val="3B7B0E8F"/>
    <w:rsid w:val="3B7B1805"/>
    <w:rsid w:val="3B7B539D"/>
    <w:rsid w:val="3B7B7106"/>
    <w:rsid w:val="3B7B78DB"/>
    <w:rsid w:val="3B7C1587"/>
    <w:rsid w:val="3B7C1772"/>
    <w:rsid w:val="3B7C35D0"/>
    <w:rsid w:val="3B7C3B0C"/>
    <w:rsid w:val="3B7C3C46"/>
    <w:rsid w:val="3B7C575C"/>
    <w:rsid w:val="3B7C659E"/>
    <w:rsid w:val="3B7C7A57"/>
    <w:rsid w:val="3B7D37CF"/>
    <w:rsid w:val="3B7D732B"/>
    <w:rsid w:val="3B7E4A28"/>
    <w:rsid w:val="3B7E5EF0"/>
    <w:rsid w:val="3B7F0AC1"/>
    <w:rsid w:val="3B7F4A29"/>
    <w:rsid w:val="3B7F4E52"/>
    <w:rsid w:val="3B7F7254"/>
    <w:rsid w:val="3B7F7878"/>
    <w:rsid w:val="3B80015F"/>
    <w:rsid w:val="3B804F38"/>
    <w:rsid w:val="3B806E1C"/>
    <w:rsid w:val="3B810BBA"/>
    <w:rsid w:val="3B81470D"/>
    <w:rsid w:val="3B817D3C"/>
    <w:rsid w:val="3B8209E4"/>
    <w:rsid w:val="3B827442"/>
    <w:rsid w:val="3B830043"/>
    <w:rsid w:val="3B83192B"/>
    <w:rsid w:val="3B837FF7"/>
    <w:rsid w:val="3B842468"/>
    <w:rsid w:val="3B844B5E"/>
    <w:rsid w:val="3B8561E0"/>
    <w:rsid w:val="3B8669F9"/>
    <w:rsid w:val="3B8701AA"/>
    <w:rsid w:val="3B87051C"/>
    <w:rsid w:val="3B8718C9"/>
    <w:rsid w:val="3B873FDB"/>
    <w:rsid w:val="3B880A2E"/>
    <w:rsid w:val="3B8817F2"/>
    <w:rsid w:val="3B8845D3"/>
    <w:rsid w:val="3B89175E"/>
    <w:rsid w:val="3B895CD0"/>
    <w:rsid w:val="3B8A1716"/>
    <w:rsid w:val="3B8A184B"/>
    <w:rsid w:val="3B8A478E"/>
    <w:rsid w:val="3B8A77A2"/>
    <w:rsid w:val="3B8B0E9F"/>
    <w:rsid w:val="3B8B1A48"/>
    <w:rsid w:val="3B8B282F"/>
    <w:rsid w:val="3B8B7C9A"/>
    <w:rsid w:val="3B8C0126"/>
    <w:rsid w:val="3B8C3A12"/>
    <w:rsid w:val="3B8C57C0"/>
    <w:rsid w:val="3B8C756F"/>
    <w:rsid w:val="3B8E30D9"/>
    <w:rsid w:val="3B8E32E7"/>
    <w:rsid w:val="3B8E778B"/>
    <w:rsid w:val="3B8F1A46"/>
    <w:rsid w:val="3B8F2824"/>
    <w:rsid w:val="3B8F440C"/>
    <w:rsid w:val="3B903503"/>
    <w:rsid w:val="3B911029"/>
    <w:rsid w:val="3B912DD7"/>
    <w:rsid w:val="3B914282"/>
    <w:rsid w:val="3B9303C7"/>
    <w:rsid w:val="3B940235"/>
    <w:rsid w:val="3B955524"/>
    <w:rsid w:val="3B9557DF"/>
    <w:rsid w:val="3B9577BF"/>
    <w:rsid w:val="3B9620CF"/>
    <w:rsid w:val="3B9630B1"/>
    <w:rsid w:val="3B96315A"/>
    <w:rsid w:val="3B970B74"/>
    <w:rsid w:val="3B974891"/>
    <w:rsid w:val="3B975037"/>
    <w:rsid w:val="3B9823B7"/>
    <w:rsid w:val="3B985F13"/>
    <w:rsid w:val="3B993EA8"/>
    <w:rsid w:val="3B99661C"/>
    <w:rsid w:val="3B9A1AB3"/>
    <w:rsid w:val="3B9A1C8B"/>
    <w:rsid w:val="3B9A612F"/>
    <w:rsid w:val="3B9B45FE"/>
    <w:rsid w:val="3B9B5A04"/>
    <w:rsid w:val="3B9C35D4"/>
    <w:rsid w:val="3B9C3FA1"/>
    <w:rsid w:val="3B9C4873"/>
    <w:rsid w:val="3B9C4E9E"/>
    <w:rsid w:val="3B9C6430"/>
    <w:rsid w:val="3B9D0507"/>
    <w:rsid w:val="3B9D2DB0"/>
    <w:rsid w:val="3B9D404A"/>
    <w:rsid w:val="3B9D5C20"/>
    <w:rsid w:val="3B9D79CE"/>
    <w:rsid w:val="3B9E62AC"/>
    <w:rsid w:val="3B9F547B"/>
    <w:rsid w:val="3B9F54F4"/>
    <w:rsid w:val="3BA05F2A"/>
    <w:rsid w:val="3BA1100F"/>
    <w:rsid w:val="3BA1126C"/>
    <w:rsid w:val="3BA17A3E"/>
    <w:rsid w:val="3BA26A2C"/>
    <w:rsid w:val="3BA26D92"/>
    <w:rsid w:val="3BA27A73"/>
    <w:rsid w:val="3BA33D80"/>
    <w:rsid w:val="3BA36271"/>
    <w:rsid w:val="3BA40D5C"/>
    <w:rsid w:val="3BA448B8"/>
    <w:rsid w:val="3BA46CC8"/>
    <w:rsid w:val="3BA50630"/>
    <w:rsid w:val="3BA527DC"/>
    <w:rsid w:val="3BA66882"/>
    <w:rsid w:val="3BA67C8D"/>
    <w:rsid w:val="3BA7084C"/>
    <w:rsid w:val="3BA77DEB"/>
    <w:rsid w:val="3BA90120"/>
    <w:rsid w:val="3BA925ED"/>
    <w:rsid w:val="3BA945C4"/>
    <w:rsid w:val="3BAA3213"/>
    <w:rsid w:val="3BAB3E99"/>
    <w:rsid w:val="3BAB4F4B"/>
    <w:rsid w:val="3BAB5CA3"/>
    <w:rsid w:val="3BAB7972"/>
    <w:rsid w:val="3BAC6C1F"/>
    <w:rsid w:val="3BAD140E"/>
    <w:rsid w:val="3BAD6F5C"/>
    <w:rsid w:val="3BAE0BE3"/>
    <w:rsid w:val="3BAE1BDB"/>
    <w:rsid w:val="3BAE2C90"/>
    <w:rsid w:val="3BAE32ED"/>
    <w:rsid w:val="3BAE3989"/>
    <w:rsid w:val="3BAE3AF7"/>
    <w:rsid w:val="3BAF44AE"/>
    <w:rsid w:val="3BAF7DE8"/>
    <w:rsid w:val="3BB03B58"/>
    <w:rsid w:val="3BB03E89"/>
    <w:rsid w:val="3BB05953"/>
    <w:rsid w:val="3BB06FF2"/>
    <w:rsid w:val="3BB11CC4"/>
    <w:rsid w:val="3BB16FD5"/>
    <w:rsid w:val="3BB25E44"/>
    <w:rsid w:val="3BB36270"/>
    <w:rsid w:val="3BB371F1"/>
    <w:rsid w:val="3BB413CC"/>
    <w:rsid w:val="3BB5459C"/>
    <w:rsid w:val="3BB56A09"/>
    <w:rsid w:val="3BB56AC5"/>
    <w:rsid w:val="3BB645EB"/>
    <w:rsid w:val="3BB66F9B"/>
    <w:rsid w:val="3BB70A8F"/>
    <w:rsid w:val="3BB71250"/>
    <w:rsid w:val="3BB7355B"/>
    <w:rsid w:val="3BB801F1"/>
    <w:rsid w:val="3BB80364"/>
    <w:rsid w:val="3BB84807"/>
    <w:rsid w:val="3BB865B6"/>
    <w:rsid w:val="3BB920E2"/>
    <w:rsid w:val="3BB9735A"/>
    <w:rsid w:val="3BBA40DC"/>
    <w:rsid w:val="3BBB266D"/>
    <w:rsid w:val="3BBB4A02"/>
    <w:rsid w:val="3BBB61F5"/>
    <w:rsid w:val="3BBB75D3"/>
    <w:rsid w:val="3BBB7E54"/>
    <w:rsid w:val="3BBC0A63"/>
    <w:rsid w:val="3BBC42F8"/>
    <w:rsid w:val="3BBD3BCC"/>
    <w:rsid w:val="3BBD50FF"/>
    <w:rsid w:val="3BBD597A"/>
    <w:rsid w:val="3BBD6848"/>
    <w:rsid w:val="3BBF16F2"/>
    <w:rsid w:val="3BBF5B96"/>
    <w:rsid w:val="3BBF5F54"/>
    <w:rsid w:val="3BBF63A5"/>
    <w:rsid w:val="3BBF6B43"/>
    <w:rsid w:val="3BBF7944"/>
    <w:rsid w:val="3BC011B7"/>
    <w:rsid w:val="3BC0302D"/>
    <w:rsid w:val="3BC12505"/>
    <w:rsid w:val="3BC1546A"/>
    <w:rsid w:val="3BC154C6"/>
    <w:rsid w:val="3BC21E3F"/>
    <w:rsid w:val="3BC307F3"/>
    <w:rsid w:val="3BC33D23"/>
    <w:rsid w:val="3BC33E98"/>
    <w:rsid w:val="3BC35686"/>
    <w:rsid w:val="3BC35D64"/>
    <w:rsid w:val="3BC437A7"/>
    <w:rsid w:val="3BC44F5A"/>
    <w:rsid w:val="3BC46D08"/>
    <w:rsid w:val="3BC471F4"/>
    <w:rsid w:val="3BC60CD2"/>
    <w:rsid w:val="3BC61B14"/>
    <w:rsid w:val="3BC62A80"/>
    <w:rsid w:val="3BC6640D"/>
    <w:rsid w:val="3BC6673E"/>
    <w:rsid w:val="3BC71D31"/>
    <w:rsid w:val="3BC767F9"/>
    <w:rsid w:val="3BC80364"/>
    <w:rsid w:val="3BC804D9"/>
    <w:rsid w:val="3BC87005"/>
    <w:rsid w:val="3BC907C3"/>
    <w:rsid w:val="3BC9431F"/>
    <w:rsid w:val="3BC9502C"/>
    <w:rsid w:val="3BC95088"/>
    <w:rsid w:val="3BC9545E"/>
    <w:rsid w:val="3BC96A15"/>
    <w:rsid w:val="3BC978A1"/>
    <w:rsid w:val="3BCA4B63"/>
    <w:rsid w:val="3BCB453B"/>
    <w:rsid w:val="3BCB62E9"/>
    <w:rsid w:val="3BCB7DC1"/>
    <w:rsid w:val="3BCD0D8C"/>
    <w:rsid w:val="3BCE376E"/>
    <w:rsid w:val="3BCE68C3"/>
    <w:rsid w:val="3BD020FB"/>
    <w:rsid w:val="3BD06913"/>
    <w:rsid w:val="3BD11425"/>
    <w:rsid w:val="3BD17677"/>
    <w:rsid w:val="3BD213A0"/>
    <w:rsid w:val="3BD315E2"/>
    <w:rsid w:val="3BD35859"/>
    <w:rsid w:val="3BD376F2"/>
    <w:rsid w:val="3BD46CE9"/>
    <w:rsid w:val="3BD50F16"/>
    <w:rsid w:val="3BD51F6C"/>
    <w:rsid w:val="3BD623AD"/>
    <w:rsid w:val="3BD72EE0"/>
    <w:rsid w:val="3BD74C8E"/>
    <w:rsid w:val="3BD827B4"/>
    <w:rsid w:val="3BD916CB"/>
    <w:rsid w:val="3BD92649"/>
    <w:rsid w:val="3BDA5B95"/>
    <w:rsid w:val="3BDB0AC1"/>
    <w:rsid w:val="3BDB4052"/>
    <w:rsid w:val="3BDB4111"/>
    <w:rsid w:val="3BDB7553"/>
    <w:rsid w:val="3BDC0B1B"/>
    <w:rsid w:val="3BDC5EF7"/>
    <w:rsid w:val="3BDC61A7"/>
    <w:rsid w:val="3BDC6748"/>
    <w:rsid w:val="3BDD1B30"/>
    <w:rsid w:val="3BDD7DED"/>
    <w:rsid w:val="3BDE22A4"/>
    <w:rsid w:val="3BDE522C"/>
    <w:rsid w:val="3BDE7738"/>
    <w:rsid w:val="3BDF14CC"/>
    <w:rsid w:val="3BDF3901"/>
    <w:rsid w:val="3BDF3B42"/>
    <w:rsid w:val="3BDF7FE6"/>
    <w:rsid w:val="3BE01154"/>
    <w:rsid w:val="3BE0528C"/>
    <w:rsid w:val="3BE112ED"/>
    <w:rsid w:val="3BE11DA1"/>
    <w:rsid w:val="3BE21111"/>
    <w:rsid w:val="3BE23632"/>
    <w:rsid w:val="3BE253E0"/>
    <w:rsid w:val="3BE26A3C"/>
    <w:rsid w:val="3BE31551"/>
    <w:rsid w:val="3BE41159"/>
    <w:rsid w:val="3BE41B48"/>
    <w:rsid w:val="3BE4509D"/>
    <w:rsid w:val="3BE455FD"/>
    <w:rsid w:val="3BE473AB"/>
    <w:rsid w:val="3BE47E9E"/>
    <w:rsid w:val="3BE52EAA"/>
    <w:rsid w:val="3BE54950"/>
    <w:rsid w:val="3BE5768C"/>
    <w:rsid w:val="3BE607D1"/>
    <w:rsid w:val="3BE61375"/>
    <w:rsid w:val="3BE63CCF"/>
    <w:rsid w:val="3BE640C5"/>
    <w:rsid w:val="3BE7257A"/>
    <w:rsid w:val="3BE823B3"/>
    <w:rsid w:val="3BE82523"/>
    <w:rsid w:val="3BE850ED"/>
    <w:rsid w:val="3BE92650"/>
    <w:rsid w:val="3BE93EDE"/>
    <w:rsid w:val="3BE949C1"/>
    <w:rsid w:val="3BE9676F"/>
    <w:rsid w:val="3BE97A7F"/>
    <w:rsid w:val="3BEB239F"/>
    <w:rsid w:val="3BEC05F4"/>
    <w:rsid w:val="3BEC5690"/>
    <w:rsid w:val="3BEC6400"/>
    <w:rsid w:val="3BEC778C"/>
    <w:rsid w:val="3BED4A31"/>
    <w:rsid w:val="3BEE0229"/>
    <w:rsid w:val="3BEE11EF"/>
    <w:rsid w:val="3BEE1FD4"/>
    <w:rsid w:val="3BEE2789"/>
    <w:rsid w:val="3BEE5019"/>
    <w:rsid w:val="3BEE647B"/>
    <w:rsid w:val="3BF01611"/>
    <w:rsid w:val="3BF053AA"/>
    <w:rsid w:val="3BF055E2"/>
    <w:rsid w:val="3BF05D4F"/>
    <w:rsid w:val="3BF07261"/>
    <w:rsid w:val="3BF07AFD"/>
    <w:rsid w:val="3BF110A2"/>
    <w:rsid w:val="3BF13876"/>
    <w:rsid w:val="3BF20F2D"/>
    <w:rsid w:val="3BF21AC7"/>
    <w:rsid w:val="3BF27D19"/>
    <w:rsid w:val="3BF301AB"/>
    <w:rsid w:val="3BF33702"/>
    <w:rsid w:val="3BF33A92"/>
    <w:rsid w:val="3BF35840"/>
    <w:rsid w:val="3BF47456"/>
    <w:rsid w:val="3BF47763"/>
    <w:rsid w:val="3BF515B8"/>
    <w:rsid w:val="3BF55114"/>
    <w:rsid w:val="3BF57A7D"/>
    <w:rsid w:val="3BF63677"/>
    <w:rsid w:val="3BF71BF8"/>
    <w:rsid w:val="3BF81C23"/>
    <w:rsid w:val="3BF87CCA"/>
    <w:rsid w:val="3BF905BC"/>
    <w:rsid w:val="3BF91E9E"/>
    <w:rsid w:val="3BFA1E11"/>
    <w:rsid w:val="3BFA4E20"/>
    <w:rsid w:val="3BFA5DC5"/>
    <w:rsid w:val="3BFA6BCE"/>
    <w:rsid w:val="3BFB3F1A"/>
    <w:rsid w:val="3BFC2946"/>
    <w:rsid w:val="3BFC5062"/>
    <w:rsid w:val="3BFC591D"/>
    <w:rsid w:val="3BFC64A2"/>
    <w:rsid w:val="3BFD046C"/>
    <w:rsid w:val="3BFD26A6"/>
    <w:rsid w:val="3BFD7530"/>
    <w:rsid w:val="3BFE0DB7"/>
    <w:rsid w:val="3BFE2600"/>
    <w:rsid w:val="3BFE77A0"/>
    <w:rsid w:val="3BFF06C7"/>
    <w:rsid w:val="3BFF1BB0"/>
    <w:rsid w:val="3BFF1F27"/>
    <w:rsid w:val="3BFF41E4"/>
    <w:rsid w:val="3BFF5DC1"/>
    <w:rsid w:val="3C004B5C"/>
    <w:rsid w:val="3C0059B2"/>
    <w:rsid w:val="3C0108D7"/>
    <w:rsid w:val="3C011B7F"/>
    <w:rsid w:val="3C014B0A"/>
    <w:rsid w:val="3C020626"/>
    <w:rsid w:val="3C026139"/>
    <w:rsid w:val="3C027831"/>
    <w:rsid w:val="3C0307C2"/>
    <w:rsid w:val="3C033CD5"/>
    <w:rsid w:val="3C034FCA"/>
    <w:rsid w:val="3C0356E6"/>
    <w:rsid w:val="3C0401BA"/>
    <w:rsid w:val="3C0417FB"/>
    <w:rsid w:val="3C0435A9"/>
    <w:rsid w:val="3C047A4D"/>
    <w:rsid w:val="3C052377"/>
    <w:rsid w:val="3C0531A8"/>
    <w:rsid w:val="3C055B17"/>
    <w:rsid w:val="3C06291E"/>
    <w:rsid w:val="3C0637C5"/>
    <w:rsid w:val="3C06429A"/>
    <w:rsid w:val="3C065C66"/>
    <w:rsid w:val="3C073008"/>
    <w:rsid w:val="3C074E47"/>
    <w:rsid w:val="3C0812EB"/>
    <w:rsid w:val="3C081C27"/>
    <w:rsid w:val="3C08263E"/>
    <w:rsid w:val="3C08441A"/>
    <w:rsid w:val="3C085B82"/>
    <w:rsid w:val="3C087302"/>
    <w:rsid w:val="3C093BF4"/>
    <w:rsid w:val="3C094DE6"/>
    <w:rsid w:val="3C0A0ADE"/>
    <w:rsid w:val="3C0A10B1"/>
    <w:rsid w:val="3C0A3FE8"/>
    <w:rsid w:val="3C0A62BC"/>
    <w:rsid w:val="3C0A65B6"/>
    <w:rsid w:val="3C0B1989"/>
    <w:rsid w:val="3C0B4937"/>
    <w:rsid w:val="3C0B666F"/>
    <w:rsid w:val="3C0C59EA"/>
    <w:rsid w:val="3C0C77B3"/>
    <w:rsid w:val="3C0D06AF"/>
    <w:rsid w:val="3C0D4232"/>
    <w:rsid w:val="3C0D452D"/>
    <w:rsid w:val="3C0D6E7A"/>
    <w:rsid w:val="3C0E4427"/>
    <w:rsid w:val="3C0E6D23"/>
    <w:rsid w:val="3C0E7877"/>
    <w:rsid w:val="3C0F179A"/>
    <w:rsid w:val="3C0F2797"/>
    <w:rsid w:val="3C1001A0"/>
    <w:rsid w:val="3C103FD8"/>
    <w:rsid w:val="3C105604"/>
    <w:rsid w:val="3C105682"/>
    <w:rsid w:val="3C1057C0"/>
    <w:rsid w:val="3C1063F2"/>
    <w:rsid w:val="3C1135DB"/>
    <w:rsid w:val="3C115673"/>
    <w:rsid w:val="3C12216A"/>
    <w:rsid w:val="3C123954"/>
    <w:rsid w:val="3C125A73"/>
    <w:rsid w:val="3C125CC6"/>
    <w:rsid w:val="3C131A3E"/>
    <w:rsid w:val="3C132650"/>
    <w:rsid w:val="3C144002"/>
    <w:rsid w:val="3C145EE2"/>
    <w:rsid w:val="3C150B5C"/>
    <w:rsid w:val="3C170BAA"/>
    <w:rsid w:val="3C17152E"/>
    <w:rsid w:val="3C173922"/>
    <w:rsid w:val="3C176D92"/>
    <w:rsid w:val="3C17787E"/>
    <w:rsid w:val="3C182D02"/>
    <w:rsid w:val="3C1852A6"/>
    <w:rsid w:val="3C186796"/>
    <w:rsid w:val="3C1934F8"/>
    <w:rsid w:val="3C1A0E55"/>
    <w:rsid w:val="3C1A3DBA"/>
    <w:rsid w:val="3C1A5799"/>
    <w:rsid w:val="3C1B789D"/>
    <w:rsid w:val="3C1C08F2"/>
    <w:rsid w:val="3C1D28C0"/>
    <w:rsid w:val="3C1D2973"/>
    <w:rsid w:val="3C1E0B0E"/>
    <w:rsid w:val="3C1E1B48"/>
    <w:rsid w:val="3C1E28BD"/>
    <w:rsid w:val="3C1E61B9"/>
    <w:rsid w:val="3C1F03E3"/>
    <w:rsid w:val="3C1F3E60"/>
    <w:rsid w:val="3C1F6635"/>
    <w:rsid w:val="3C2003CD"/>
    <w:rsid w:val="3C2019E3"/>
    <w:rsid w:val="3C210515"/>
    <w:rsid w:val="3C2105FF"/>
    <w:rsid w:val="3C2123AD"/>
    <w:rsid w:val="3C242C88"/>
    <w:rsid w:val="3C2459F9"/>
    <w:rsid w:val="3C261771"/>
    <w:rsid w:val="3C262651"/>
    <w:rsid w:val="3C2638F5"/>
    <w:rsid w:val="3C2647E2"/>
    <w:rsid w:val="3C265C15"/>
    <w:rsid w:val="3C2679C3"/>
    <w:rsid w:val="3C272FA6"/>
    <w:rsid w:val="3C27405D"/>
    <w:rsid w:val="3C277297"/>
    <w:rsid w:val="3C280697"/>
    <w:rsid w:val="3C28373B"/>
    <w:rsid w:val="3C283EE7"/>
    <w:rsid w:val="3C291261"/>
    <w:rsid w:val="3C29300F"/>
    <w:rsid w:val="3C296BBC"/>
    <w:rsid w:val="3C2979A9"/>
    <w:rsid w:val="3C2B1813"/>
    <w:rsid w:val="3C2B322B"/>
    <w:rsid w:val="3C2C3F73"/>
    <w:rsid w:val="3C2D0D52"/>
    <w:rsid w:val="3C2D2B00"/>
    <w:rsid w:val="3C2E0626"/>
    <w:rsid w:val="3C2E6878"/>
    <w:rsid w:val="3C2F4E38"/>
    <w:rsid w:val="3C2F6E1E"/>
    <w:rsid w:val="3C301089"/>
    <w:rsid w:val="3C30439E"/>
    <w:rsid w:val="3C305AC0"/>
    <w:rsid w:val="3C3074D8"/>
    <w:rsid w:val="3C3148A8"/>
    <w:rsid w:val="3C320116"/>
    <w:rsid w:val="3C3230AB"/>
    <w:rsid w:val="3C323556"/>
    <w:rsid w:val="3C324B34"/>
    <w:rsid w:val="3C326368"/>
    <w:rsid w:val="3C333E8E"/>
    <w:rsid w:val="3C334B45"/>
    <w:rsid w:val="3C335C3C"/>
    <w:rsid w:val="3C337A30"/>
    <w:rsid w:val="3C342025"/>
    <w:rsid w:val="3C347002"/>
    <w:rsid w:val="3C35191C"/>
    <w:rsid w:val="3C3519B4"/>
    <w:rsid w:val="3C354958"/>
    <w:rsid w:val="3C355E58"/>
    <w:rsid w:val="3C355FA3"/>
    <w:rsid w:val="3C365A97"/>
    <w:rsid w:val="3C366065"/>
    <w:rsid w:val="3C371BD0"/>
    <w:rsid w:val="3C3723B9"/>
    <w:rsid w:val="3C373022"/>
    <w:rsid w:val="3C3814A4"/>
    <w:rsid w:val="3C391EAE"/>
    <w:rsid w:val="3C3928EC"/>
    <w:rsid w:val="3C3A521C"/>
    <w:rsid w:val="3C3A6FCB"/>
    <w:rsid w:val="3C3B55A9"/>
    <w:rsid w:val="3C3B65FE"/>
    <w:rsid w:val="3C3B7DAE"/>
    <w:rsid w:val="3C3C0F95"/>
    <w:rsid w:val="3C3C2B3B"/>
    <w:rsid w:val="3C3C2D43"/>
    <w:rsid w:val="3C3C5882"/>
    <w:rsid w:val="3C3D6D89"/>
    <w:rsid w:val="3C3E05FB"/>
    <w:rsid w:val="3C3E0628"/>
    <w:rsid w:val="3C3E3D5C"/>
    <w:rsid w:val="3C3F0A85"/>
    <w:rsid w:val="3C3F2833"/>
    <w:rsid w:val="3C3F2F88"/>
    <w:rsid w:val="3C410359"/>
    <w:rsid w:val="3C413397"/>
    <w:rsid w:val="3C4147FD"/>
    <w:rsid w:val="3C415D6A"/>
    <w:rsid w:val="3C4165AB"/>
    <w:rsid w:val="3C426591"/>
    <w:rsid w:val="3C430575"/>
    <w:rsid w:val="3C432323"/>
    <w:rsid w:val="3C437D2E"/>
    <w:rsid w:val="3C44609B"/>
    <w:rsid w:val="3C4472D5"/>
    <w:rsid w:val="3C447D62"/>
    <w:rsid w:val="3C447E49"/>
    <w:rsid w:val="3C452A09"/>
    <w:rsid w:val="3C452FAA"/>
    <w:rsid w:val="3C4542ED"/>
    <w:rsid w:val="3C455140"/>
    <w:rsid w:val="3C45750D"/>
    <w:rsid w:val="3C460065"/>
    <w:rsid w:val="3C4612AF"/>
    <w:rsid w:val="3C461E13"/>
    <w:rsid w:val="3C464E2D"/>
    <w:rsid w:val="3C46700B"/>
    <w:rsid w:val="3C474D2F"/>
    <w:rsid w:val="3C477133"/>
    <w:rsid w:val="3C4816E7"/>
    <w:rsid w:val="3C481FF0"/>
    <w:rsid w:val="3C483E5C"/>
    <w:rsid w:val="3C484908"/>
    <w:rsid w:val="3C485B8B"/>
    <w:rsid w:val="3C487939"/>
    <w:rsid w:val="3C49034A"/>
    <w:rsid w:val="3C4A142A"/>
    <w:rsid w:val="3C4A2668"/>
    <w:rsid w:val="3C4A424B"/>
    <w:rsid w:val="3C4A5420"/>
    <w:rsid w:val="3C4B11D8"/>
    <w:rsid w:val="3C4B2C56"/>
    <w:rsid w:val="3C4B567C"/>
    <w:rsid w:val="3C4B6577"/>
    <w:rsid w:val="3C4B7798"/>
    <w:rsid w:val="3C4C0B25"/>
    <w:rsid w:val="3C4C132E"/>
    <w:rsid w:val="3C4C13FF"/>
    <w:rsid w:val="3C4C170C"/>
    <w:rsid w:val="3C4C173C"/>
    <w:rsid w:val="3C4C43ED"/>
    <w:rsid w:val="3C4D3F3F"/>
    <w:rsid w:val="3C4D5506"/>
    <w:rsid w:val="3C4D5E72"/>
    <w:rsid w:val="3C4D6CFE"/>
    <w:rsid w:val="3C4F2EE0"/>
    <w:rsid w:val="3C4F5BAE"/>
    <w:rsid w:val="3C4F64BA"/>
    <w:rsid w:val="3C4F6F1A"/>
    <w:rsid w:val="3C5017FE"/>
    <w:rsid w:val="3C505D24"/>
    <w:rsid w:val="3C50711C"/>
    <w:rsid w:val="3C5140EB"/>
    <w:rsid w:val="3C51411E"/>
    <w:rsid w:val="3C516F2C"/>
    <w:rsid w:val="3C520284"/>
    <w:rsid w:val="3C5207B8"/>
    <w:rsid w:val="3C522566"/>
    <w:rsid w:val="3C522D8D"/>
    <w:rsid w:val="3C523011"/>
    <w:rsid w:val="3C524DF5"/>
    <w:rsid w:val="3C530552"/>
    <w:rsid w:val="3C5305BC"/>
    <w:rsid w:val="3C530F79"/>
    <w:rsid w:val="3C541977"/>
    <w:rsid w:val="3C544530"/>
    <w:rsid w:val="3C552056"/>
    <w:rsid w:val="3C55331F"/>
    <w:rsid w:val="3C55699F"/>
    <w:rsid w:val="3C563686"/>
    <w:rsid w:val="3C563789"/>
    <w:rsid w:val="3C564607"/>
    <w:rsid w:val="3C566B00"/>
    <w:rsid w:val="3C574FD5"/>
    <w:rsid w:val="3C581DE2"/>
    <w:rsid w:val="3C591B47"/>
    <w:rsid w:val="3C591C0A"/>
    <w:rsid w:val="3C5938F5"/>
    <w:rsid w:val="3C596B3D"/>
    <w:rsid w:val="3C597D99"/>
    <w:rsid w:val="3C5A141B"/>
    <w:rsid w:val="3C5A36E4"/>
    <w:rsid w:val="3C5B51D0"/>
    <w:rsid w:val="3C5B6C00"/>
    <w:rsid w:val="3C5C1637"/>
    <w:rsid w:val="3C5C33E5"/>
    <w:rsid w:val="3C5C5193"/>
    <w:rsid w:val="3C5D35A1"/>
    <w:rsid w:val="3C5D3E02"/>
    <w:rsid w:val="3C5D79A7"/>
    <w:rsid w:val="3C5E0F0B"/>
    <w:rsid w:val="3C5E5292"/>
    <w:rsid w:val="3C5E53AF"/>
    <w:rsid w:val="3C5E60EB"/>
    <w:rsid w:val="3C5E6464"/>
    <w:rsid w:val="3C5F4C83"/>
    <w:rsid w:val="3C5F759A"/>
    <w:rsid w:val="3C601127"/>
    <w:rsid w:val="3C60501B"/>
    <w:rsid w:val="3C607E53"/>
    <w:rsid w:val="3C6109FB"/>
    <w:rsid w:val="3C610B51"/>
    <w:rsid w:val="3C610E84"/>
    <w:rsid w:val="3C6127A9"/>
    <w:rsid w:val="3C6129FE"/>
    <w:rsid w:val="3C616C4D"/>
    <w:rsid w:val="3C62141A"/>
    <w:rsid w:val="3C6258B2"/>
    <w:rsid w:val="3C626204"/>
    <w:rsid w:val="3C632AF7"/>
    <w:rsid w:val="3C6345C4"/>
    <w:rsid w:val="3C634773"/>
    <w:rsid w:val="3C6378B1"/>
    <w:rsid w:val="3C64022C"/>
    <w:rsid w:val="3C64126C"/>
    <w:rsid w:val="3C642299"/>
    <w:rsid w:val="3C642BDD"/>
    <w:rsid w:val="3C6458B9"/>
    <w:rsid w:val="3C6461A7"/>
    <w:rsid w:val="3C6479C3"/>
    <w:rsid w:val="3C6504EB"/>
    <w:rsid w:val="3C650735"/>
    <w:rsid w:val="3C650E53"/>
    <w:rsid w:val="3C65673D"/>
    <w:rsid w:val="3C6638E1"/>
    <w:rsid w:val="3C663A24"/>
    <w:rsid w:val="3C666012"/>
    <w:rsid w:val="3C670A7D"/>
    <w:rsid w:val="3C672B37"/>
    <w:rsid w:val="3C6747F7"/>
    <w:rsid w:val="3C676166"/>
    <w:rsid w:val="3C676344"/>
    <w:rsid w:val="3C68717A"/>
    <w:rsid w:val="3C6A1FA0"/>
    <w:rsid w:val="3C6A2F4F"/>
    <w:rsid w:val="3C6A3C45"/>
    <w:rsid w:val="3C6A5B02"/>
    <w:rsid w:val="3C6A7FDD"/>
    <w:rsid w:val="3C6B187A"/>
    <w:rsid w:val="3C6B33AC"/>
    <w:rsid w:val="3C6B3628"/>
    <w:rsid w:val="3C6B53DE"/>
    <w:rsid w:val="3C6C3B81"/>
    <w:rsid w:val="3C6D114E"/>
    <w:rsid w:val="3C6D14F0"/>
    <w:rsid w:val="3C6D6F53"/>
    <w:rsid w:val="3C6E753D"/>
    <w:rsid w:val="3C6F086C"/>
    <w:rsid w:val="3C6F5374"/>
    <w:rsid w:val="3C6F6279"/>
    <w:rsid w:val="3C7030B7"/>
    <w:rsid w:val="3C706E90"/>
    <w:rsid w:val="3C710B37"/>
    <w:rsid w:val="3C710B39"/>
    <w:rsid w:val="3C7110D9"/>
    <w:rsid w:val="3C712066"/>
    <w:rsid w:val="3C712097"/>
    <w:rsid w:val="3C713184"/>
    <w:rsid w:val="3C717800"/>
    <w:rsid w:val="3C717EA4"/>
    <w:rsid w:val="3C720E5A"/>
    <w:rsid w:val="3C72753C"/>
    <w:rsid w:val="3C74390C"/>
    <w:rsid w:val="3C744AC4"/>
    <w:rsid w:val="3C746980"/>
    <w:rsid w:val="3C7474B8"/>
    <w:rsid w:val="3C750759"/>
    <w:rsid w:val="3C750A8A"/>
    <w:rsid w:val="3C76070B"/>
    <w:rsid w:val="3C7704C4"/>
    <w:rsid w:val="3C775E39"/>
    <w:rsid w:val="3C776471"/>
    <w:rsid w:val="3C7765EB"/>
    <w:rsid w:val="3C776BC5"/>
    <w:rsid w:val="3C777E35"/>
    <w:rsid w:val="3C782D92"/>
    <w:rsid w:val="3C784DF5"/>
    <w:rsid w:val="3C791E9A"/>
    <w:rsid w:val="3C7921E9"/>
    <w:rsid w:val="3C792A52"/>
    <w:rsid w:val="3C793F6A"/>
    <w:rsid w:val="3C796F7E"/>
    <w:rsid w:val="3C79704E"/>
    <w:rsid w:val="3C797AF3"/>
    <w:rsid w:val="3C7A1ABD"/>
    <w:rsid w:val="3C7A386B"/>
    <w:rsid w:val="3C7B45E4"/>
    <w:rsid w:val="3C7B738B"/>
    <w:rsid w:val="3C7B7669"/>
    <w:rsid w:val="3C7C1C1C"/>
    <w:rsid w:val="3C7C3A87"/>
    <w:rsid w:val="3C7C75E3"/>
    <w:rsid w:val="3C7D1EF1"/>
    <w:rsid w:val="3C7D3838"/>
    <w:rsid w:val="3C7D7AB1"/>
    <w:rsid w:val="3C7E77FF"/>
    <w:rsid w:val="3C7F2AE6"/>
    <w:rsid w:val="3C7F3D51"/>
    <w:rsid w:val="3C7F5D0C"/>
    <w:rsid w:val="3C801C76"/>
    <w:rsid w:val="3C801EE8"/>
    <w:rsid w:val="3C805325"/>
    <w:rsid w:val="3C812E4B"/>
    <w:rsid w:val="3C8144DF"/>
    <w:rsid w:val="3C8169FD"/>
    <w:rsid w:val="3C821017"/>
    <w:rsid w:val="3C832E6E"/>
    <w:rsid w:val="3C836BC3"/>
    <w:rsid w:val="3C841AAF"/>
    <w:rsid w:val="3C8446EA"/>
    <w:rsid w:val="3C84487F"/>
    <w:rsid w:val="3C850B8E"/>
    <w:rsid w:val="3C85293C"/>
    <w:rsid w:val="3C857EF1"/>
    <w:rsid w:val="3C8666B4"/>
    <w:rsid w:val="3C86689A"/>
    <w:rsid w:val="3C870A3E"/>
    <w:rsid w:val="3C870DD1"/>
    <w:rsid w:val="3C881BE5"/>
    <w:rsid w:val="3C882BAE"/>
    <w:rsid w:val="3C882D21"/>
    <w:rsid w:val="3C883401"/>
    <w:rsid w:val="3C887C2E"/>
    <w:rsid w:val="3C89042C"/>
    <w:rsid w:val="3C89551E"/>
    <w:rsid w:val="3C8A01B4"/>
    <w:rsid w:val="3C8A3A9A"/>
    <w:rsid w:val="3C8A3F06"/>
    <w:rsid w:val="3C8A61A4"/>
    <w:rsid w:val="3C8A763E"/>
    <w:rsid w:val="3C8B3CCA"/>
    <w:rsid w:val="3C8B5A78"/>
    <w:rsid w:val="3C8C573F"/>
    <w:rsid w:val="3C8D005F"/>
    <w:rsid w:val="3C8D17F0"/>
    <w:rsid w:val="3C8D1A82"/>
    <w:rsid w:val="3C8D7A42"/>
    <w:rsid w:val="3C8E1234"/>
    <w:rsid w:val="3C8E2983"/>
    <w:rsid w:val="3C8E2AA2"/>
    <w:rsid w:val="3C8E2BB7"/>
    <w:rsid w:val="3C8E6BF6"/>
    <w:rsid w:val="3C8F153C"/>
    <w:rsid w:val="3C8F40C0"/>
    <w:rsid w:val="3C8F7316"/>
    <w:rsid w:val="3C900121"/>
    <w:rsid w:val="3C905B6A"/>
    <w:rsid w:val="3C907A3B"/>
    <w:rsid w:val="3C920BB5"/>
    <w:rsid w:val="3C9219BD"/>
    <w:rsid w:val="3C9233DC"/>
    <w:rsid w:val="3C926E07"/>
    <w:rsid w:val="3C931B5B"/>
    <w:rsid w:val="3C932321"/>
    <w:rsid w:val="3C932BC1"/>
    <w:rsid w:val="3C942B7F"/>
    <w:rsid w:val="3C9506A5"/>
    <w:rsid w:val="3C9573FD"/>
    <w:rsid w:val="3C960A82"/>
    <w:rsid w:val="3C9613C2"/>
    <w:rsid w:val="3C962583"/>
    <w:rsid w:val="3C9708C1"/>
    <w:rsid w:val="3C972852"/>
    <w:rsid w:val="3C97441D"/>
    <w:rsid w:val="3C9778E4"/>
    <w:rsid w:val="3C990A4A"/>
    <w:rsid w:val="3C991F43"/>
    <w:rsid w:val="3C9963E7"/>
    <w:rsid w:val="3C997D43"/>
    <w:rsid w:val="3C9A4205"/>
    <w:rsid w:val="3C9B28DC"/>
    <w:rsid w:val="3C9B3DA4"/>
    <w:rsid w:val="3C9B3F0D"/>
    <w:rsid w:val="3C9C43AB"/>
    <w:rsid w:val="3C9C5234"/>
    <w:rsid w:val="3C9C7C85"/>
    <w:rsid w:val="3C9D0755"/>
    <w:rsid w:val="3C9D4755"/>
    <w:rsid w:val="3C9D609A"/>
    <w:rsid w:val="3C9E3D4D"/>
    <w:rsid w:val="3C9E4BD6"/>
    <w:rsid w:val="3C9E57AB"/>
    <w:rsid w:val="3C9F0B3A"/>
    <w:rsid w:val="3C9F0BE2"/>
    <w:rsid w:val="3C9F2E82"/>
    <w:rsid w:val="3C9F3997"/>
    <w:rsid w:val="3C9F3BB5"/>
    <w:rsid w:val="3C9F7256"/>
    <w:rsid w:val="3CA05045"/>
    <w:rsid w:val="3CA07C16"/>
    <w:rsid w:val="3CA134EE"/>
    <w:rsid w:val="3CA14013"/>
    <w:rsid w:val="3CA1529C"/>
    <w:rsid w:val="3CA17128"/>
    <w:rsid w:val="3CA23502"/>
    <w:rsid w:val="3CA26E3B"/>
    <w:rsid w:val="3CA31014"/>
    <w:rsid w:val="3CA32DC2"/>
    <w:rsid w:val="3CA347C1"/>
    <w:rsid w:val="3CA40511"/>
    <w:rsid w:val="3CA408E8"/>
    <w:rsid w:val="3CA40FCE"/>
    <w:rsid w:val="3CA43A06"/>
    <w:rsid w:val="3CA46597"/>
    <w:rsid w:val="3CA51C1E"/>
    <w:rsid w:val="3CA52FDE"/>
    <w:rsid w:val="3CA56B3A"/>
    <w:rsid w:val="3CA70D07"/>
    <w:rsid w:val="3CA803D8"/>
    <w:rsid w:val="3CA8515B"/>
    <w:rsid w:val="3CA961A8"/>
    <w:rsid w:val="3CAA05F4"/>
    <w:rsid w:val="3CAA4150"/>
    <w:rsid w:val="3CAA41EB"/>
    <w:rsid w:val="3CAB1C76"/>
    <w:rsid w:val="3CAC116A"/>
    <w:rsid w:val="3CAC2F04"/>
    <w:rsid w:val="3CAC3D44"/>
    <w:rsid w:val="3CAC42B0"/>
    <w:rsid w:val="3CAD1A48"/>
    <w:rsid w:val="3CAD1E92"/>
    <w:rsid w:val="3CAD38E8"/>
    <w:rsid w:val="3CAD59EE"/>
    <w:rsid w:val="3CAE092F"/>
    <w:rsid w:val="3CAE3DC1"/>
    <w:rsid w:val="3CAF1F69"/>
    <w:rsid w:val="3CAF51C5"/>
    <w:rsid w:val="3CAF5C0A"/>
    <w:rsid w:val="3CAF6D2D"/>
    <w:rsid w:val="3CB054DF"/>
    <w:rsid w:val="3CB05596"/>
    <w:rsid w:val="3CB07865"/>
    <w:rsid w:val="3CB11983"/>
    <w:rsid w:val="3CB13731"/>
    <w:rsid w:val="3CB13A0B"/>
    <w:rsid w:val="3CB21E02"/>
    <w:rsid w:val="3CB23005"/>
    <w:rsid w:val="3CB274A9"/>
    <w:rsid w:val="3CB33E85"/>
    <w:rsid w:val="3CB342AD"/>
    <w:rsid w:val="3CB36129"/>
    <w:rsid w:val="3CB43221"/>
    <w:rsid w:val="3CB44678"/>
    <w:rsid w:val="3CB44FCF"/>
    <w:rsid w:val="3CB4724D"/>
    <w:rsid w:val="3CB52AF5"/>
    <w:rsid w:val="3CB53AEC"/>
    <w:rsid w:val="3CB55BAF"/>
    <w:rsid w:val="3CB60D47"/>
    <w:rsid w:val="3CB7061B"/>
    <w:rsid w:val="3CB74ABF"/>
    <w:rsid w:val="3CB7686D"/>
    <w:rsid w:val="3CB76A42"/>
    <w:rsid w:val="3CB77B32"/>
    <w:rsid w:val="3CB8475C"/>
    <w:rsid w:val="3CB851B6"/>
    <w:rsid w:val="3CB854DD"/>
    <w:rsid w:val="3CB85C51"/>
    <w:rsid w:val="3CB866A2"/>
    <w:rsid w:val="3CB925E5"/>
    <w:rsid w:val="3CBA010B"/>
    <w:rsid w:val="3CBA2EC7"/>
    <w:rsid w:val="3CBA6921"/>
    <w:rsid w:val="3CBB00F6"/>
    <w:rsid w:val="3CBB635D"/>
    <w:rsid w:val="3CBC1429"/>
    <w:rsid w:val="3CBC20D5"/>
    <w:rsid w:val="3CBC3E83"/>
    <w:rsid w:val="3CBC5804"/>
    <w:rsid w:val="3CBC5CAE"/>
    <w:rsid w:val="3CBD0327"/>
    <w:rsid w:val="3CBD713E"/>
    <w:rsid w:val="3CBE19AA"/>
    <w:rsid w:val="3CBE7BFC"/>
    <w:rsid w:val="3CBF0830"/>
    <w:rsid w:val="3CBF26CF"/>
    <w:rsid w:val="3CBF7ECA"/>
    <w:rsid w:val="3CC0163A"/>
    <w:rsid w:val="3CC02E93"/>
    <w:rsid w:val="3CC0391D"/>
    <w:rsid w:val="3CC0413B"/>
    <w:rsid w:val="3CC2015B"/>
    <w:rsid w:val="3CC2593E"/>
    <w:rsid w:val="3CC316B6"/>
    <w:rsid w:val="3CC3646B"/>
    <w:rsid w:val="3CC52D38"/>
    <w:rsid w:val="3CC534AA"/>
    <w:rsid w:val="3CC55319"/>
    <w:rsid w:val="3CC5640B"/>
    <w:rsid w:val="3CC60AF0"/>
    <w:rsid w:val="3CC61A27"/>
    <w:rsid w:val="3CC64D02"/>
    <w:rsid w:val="3CC66AB0"/>
    <w:rsid w:val="3CC701F0"/>
    <w:rsid w:val="3CC708B3"/>
    <w:rsid w:val="3CC72F54"/>
    <w:rsid w:val="3CC74EA0"/>
    <w:rsid w:val="3CC80A7A"/>
    <w:rsid w:val="3CC81EAB"/>
    <w:rsid w:val="3CC8668F"/>
    <w:rsid w:val="3CC86CCC"/>
    <w:rsid w:val="3CC927A4"/>
    <w:rsid w:val="3CCA034E"/>
    <w:rsid w:val="3CCA65A0"/>
    <w:rsid w:val="3CCB1742"/>
    <w:rsid w:val="3CCB2319"/>
    <w:rsid w:val="3CCC056A"/>
    <w:rsid w:val="3CCC647A"/>
    <w:rsid w:val="3CCC7B57"/>
    <w:rsid w:val="3CCD4062"/>
    <w:rsid w:val="3CCD4661"/>
    <w:rsid w:val="3CCD6091"/>
    <w:rsid w:val="3CCD628A"/>
    <w:rsid w:val="3CCE3F07"/>
    <w:rsid w:val="3CCF1553"/>
    <w:rsid w:val="3CD00B52"/>
    <w:rsid w:val="3CD016DD"/>
    <w:rsid w:val="3CD05CB3"/>
    <w:rsid w:val="3CD074AF"/>
    <w:rsid w:val="3CD07C91"/>
    <w:rsid w:val="3CD13DD3"/>
    <w:rsid w:val="3CD14DF4"/>
    <w:rsid w:val="3CD15B81"/>
    <w:rsid w:val="3CD23028"/>
    <w:rsid w:val="3CD23CE0"/>
    <w:rsid w:val="3CD251B2"/>
    <w:rsid w:val="3CD25455"/>
    <w:rsid w:val="3CD26DBA"/>
    <w:rsid w:val="3CD32AA5"/>
    <w:rsid w:val="3CD34D1A"/>
    <w:rsid w:val="3CD37257"/>
    <w:rsid w:val="3CD411CD"/>
    <w:rsid w:val="3CD434A6"/>
    <w:rsid w:val="3CD613E9"/>
    <w:rsid w:val="3CD62109"/>
    <w:rsid w:val="3CD64BEF"/>
    <w:rsid w:val="3CD64F45"/>
    <w:rsid w:val="3CD66E21"/>
    <w:rsid w:val="3CD71CA8"/>
    <w:rsid w:val="3CD73D60"/>
    <w:rsid w:val="3CD76F0F"/>
    <w:rsid w:val="3CD81175"/>
    <w:rsid w:val="3CD85E3C"/>
    <w:rsid w:val="3CD876A4"/>
    <w:rsid w:val="3CD90213"/>
    <w:rsid w:val="3CD90CDD"/>
    <w:rsid w:val="3CD92C87"/>
    <w:rsid w:val="3CD967E3"/>
    <w:rsid w:val="3CDA245A"/>
    <w:rsid w:val="3CDA2F19"/>
    <w:rsid w:val="3CDA6666"/>
    <w:rsid w:val="3CDB07AE"/>
    <w:rsid w:val="3CDB255C"/>
    <w:rsid w:val="3CDC0AA0"/>
    <w:rsid w:val="3CDC4526"/>
    <w:rsid w:val="3CDE029E"/>
    <w:rsid w:val="3CDE038F"/>
    <w:rsid w:val="3CDE204C"/>
    <w:rsid w:val="3CDE208A"/>
    <w:rsid w:val="3CDE3DFA"/>
    <w:rsid w:val="3CDE3EFD"/>
    <w:rsid w:val="3CDE7ACA"/>
    <w:rsid w:val="3CDE7BB8"/>
    <w:rsid w:val="3CDF675B"/>
    <w:rsid w:val="3CE0039A"/>
    <w:rsid w:val="3CE0217E"/>
    <w:rsid w:val="3CE04016"/>
    <w:rsid w:val="3CE04B50"/>
    <w:rsid w:val="3CE0622C"/>
    <w:rsid w:val="3CE15CCF"/>
    <w:rsid w:val="3CE21B3C"/>
    <w:rsid w:val="3CE22CF5"/>
    <w:rsid w:val="3CE27D8E"/>
    <w:rsid w:val="3CE33B06"/>
    <w:rsid w:val="3CE44B74"/>
    <w:rsid w:val="3CE5162C"/>
    <w:rsid w:val="3CE52040"/>
    <w:rsid w:val="3CE65A19"/>
    <w:rsid w:val="3CE67488"/>
    <w:rsid w:val="3CE704B1"/>
    <w:rsid w:val="3CE80975"/>
    <w:rsid w:val="3CE81D5B"/>
    <w:rsid w:val="3CE82ECA"/>
    <w:rsid w:val="3CE839E4"/>
    <w:rsid w:val="3CE84A9B"/>
    <w:rsid w:val="3CE84C4C"/>
    <w:rsid w:val="3CE871BE"/>
    <w:rsid w:val="3CE96290"/>
    <w:rsid w:val="3CE9764C"/>
    <w:rsid w:val="3CEA09F1"/>
    <w:rsid w:val="3CEA1D7D"/>
    <w:rsid w:val="3CEA279F"/>
    <w:rsid w:val="3CEA6C43"/>
    <w:rsid w:val="3CEB21BC"/>
    <w:rsid w:val="3CEB3E3A"/>
    <w:rsid w:val="3CEB4389"/>
    <w:rsid w:val="3CEC29BB"/>
    <w:rsid w:val="3CEC3355"/>
    <w:rsid w:val="3CED114D"/>
    <w:rsid w:val="3CED6733"/>
    <w:rsid w:val="3CEE7211"/>
    <w:rsid w:val="3CEF0A9B"/>
    <w:rsid w:val="3CEF3B0F"/>
    <w:rsid w:val="3CF03B2D"/>
    <w:rsid w:val="3CF05B38"/>
    <w:rsid w:val="3CF10946"/>
    <w:rsid w:val="3CF11D7F"/>
    <w:rsid w:val="3CF1208A"/>
    <w:rsid w:val="3CF17FD1"/>
    <w:rsid w:val="3CF20A68"/>
    <w:rsid w:val="3CF22454"/>
    <w:rsid w:val="3CF25AF7"/>
    <w:rsid w:val="3CF25BBE"/>
    <w:rsid w:val="3CF278A5"/>
    <w:rsid w:val="3CF329AD"/>
    <w:rsid w:val="3CF33D49"/>
    <w:rsid w:val="3CF349E7"/>
    <w:rsid w:val="3CF35316"/>
    <w:rsid w:val="3CF409AE"/>
    <w:rsid w:val="3CF4186F"/>
    <w:rsid w:val="3CF44FE5"/>
    <w:rsid w:val="3CF47AC1"/>
    <w:rsid w:val="3CF50FDB"/>
    <w:rsid w:val="3CF51078"/>
    <w:rsid w:val="3CF51725"/>
    <w:rsid w:val="3CF567B7"/>
    <w:rsid w:val="3CF655E7"/>
    <w:rsid w:val="3CF67395"/>
    <w:rsid w:val="3CF67D4A"/>
    <w:rsid w:val="3CF70EC6"/>
    <w:rsid w:val="3CF8074B"/>
    <w:rsid w:val="3CF80E6E"/>
    <w:rsid w:val="3CF817B0"/>
    <w:rsid w:val="3CF81937"/>
    <w:rsid w:val="3CF87E18"/>
    <w:rsid w:val="3CF947C0"/>
    <w:rsid w:val="3CF94EA2"/>
    <w:rsid w:val="3CF96E86"/>
    <w:rsid w:val="3CFA35DB"/>
    <w:rsid w:val="3CFB0E50"/>
    <w:rsid w:val="3CFB13B5"/>
    <w:rsid w:val="3CFB2554"/>
    <w:rsid w:val="3CFB2BFE"/>
    <w:rsid w:val="3CFB69C1"/>
    <w:rsid w:val="3CFC008A"/>
    <w:rsid w:val="3CFC0724"/>
    <w:rsid w:val="3CFD2C8D"/>
    <w:rsid w:val="3CFD4D32"/>
    <w:rsid w:val="3CFD619E"/>
    <w:rsid w:val="3CFD6976"/>
    <w:rsid w:val="3CFE26EE"/>
    <w:rsid w:val="3CFE2D71"/>
    <w:rsid w:val="3CFE624A"/>
    <w:rsid w:val="3CFE6CF4"/>
    <w:rsid w:val="3CFF2C7A"/>
    <w:rsid w:val="3CFF3351"/>
    <w:rsid w:val="3D000214"/>
    <w:rsid w:val="3D000332"/>
    <w:rsid w:val="3D001AC2"/>
    <w:rsid w:val="3D002EFD"/>
    <w:rsid w:val="3D006466"/>
    <w:rsid w:val="3D0158E4"/>
    <w:rsid w:val="3D015D3A"/>
    <w:rsid w:val="3D017F98"/>
    <w:rsid w:val="3D0221DE"/>
    <w:rsid w:val="3D024681"/>
    <w:rsid w:val="3D0302AD"/>
    <w:rsid w:val="3D030567"/>
    <w:rsid w:val="3D030874"/>
    <w:rsid w:val="3D031AB2"/>
    <w:rsid w:val="3D033E45"/>
    <w:rsid w:val="3D037D04"/>
    <w:rsid w:val="3D0516BF"/>
    <w:rsid w:val="3D052D63"/>
    <w:rsid w:val="3D053A7C"/>
    <w:rsid w:val="3D0575D8"/>
    <w:rsid w:val="3D0661C7"/>
    <w:rsid w:val="3D0857F0"/>
    <w:rsid w:val="3D086D1D"/>
    <w:rsid w:val="3D0870C9"/>
    <w:rsid w:val="3D0875A4"/>
    <w:rsid w:val="3D0A4BEF"/>
    <w:rsid w:val="3D0A6670"/>
    <w:rsid w:val="3D0C0967"/>
    <w:rsid w:val="3D0C4E0B"/>
    <w:rsid w:val="3D0D46DF"/>
    <w:rsid w:val="3D0E36FE"/>
    <w:rsid w:val="3D0F0457"/>
    <w:rsid w:val="3D0F48FB"/>
    <w:rsid w:val="3D1001F6"/>
    <w:rsid w:val="3D11193C"/>
    <w:rsid w:val="3D112A47"/>
    <w:rsid w:val="3D1134CB"/>
    <w:rsid w:val="3D11423E"/>
    <w:rsid w:val="3D11701F"/>
    <w:rsid w:val="3D1177B1"/>
    <w:rsid w:val="3D1200FE"/>
    <w:rsid w:val="3D121C40"/>
    <w:rsid w:val="3D122A36"/>
    <w:rsid w:val="3D123CA3"/>
    <w:rsid w:val="3D127F47"/>
    <w:rsid w:val="3D143CBF"/>
    <w:rsid w:val="3D145BE4"/>
    <w:rsid w:val="3D147C87"/>
    <w:rsid w:val="3D150E6F"/>
    <w:rsid w:val="3D151FB1"/>
    <w:rsid w:val="3D167A9D"/>
    <w:rsid w:val="3D1723CD"/>
    <w:rsid w:val="3D172A9B"/>
    <w:rsid w:val="3D176A0E"/>
    <w:rsid w:val="3D183232"/>
    <w:rsid w:val="3D1837B0"/>
    <w:rsid w:val="3D1846B2"/>
    <w:rsid w:val="3D1862DD"/>
    <w:rsid w:val="3D187B33"/>
    <w:rsid w:val="3D1912D6"/>
    <w:rsid w:val="3D19370D"/>
    <w:rsid w:val="3D19493A"/>
    <w:rsid w:val="3D194E9B"/>
    <w:rsid w:val="3D197528"/>
    <w:rsid w:val="3D1B2EEC"/>
    <w:rsid w:val="3D1B60D8"/>
    <w:rsid w:val="3D1B6DFC"/>
    <w:rsid w:val="3D1B6F59"/>
    <w:rsid w:val="3D1C04AC"/>
    <w:rsid w:val="3D1C318D"/>
    <w:rsid w:val="3D1C4922"/>
    <w:rsid w:val="3D1C4EFB"/>
    <w:rsid w:val="3D1C7452"/>
    <w:rsid w:val="3D1D0DC6"/>
    <w:rsid w:val="3D1D0FEA"/>
    <w:rsid w:val="3D1D247A"/>
    <w:rsid w:val="3D1D2B74"/>
    <w:rsid w:val="3D1D5EDD"/>
    <w:rsid w:val="3D1D5EF5"/>
    <w:rsid w:val="3D1D73C4"/>
    <w:rsid w:val="3D1E069A"/>
    <w:rsid w:val="3D1E06B7"/>
    <w:rsid w:val="3D1E4B3E"/>
    <w:rsid w:val="3D1E637E"/>
    <w:rsid w:val="3D1E68EC"/>
    <w:rsid w:val="3D1E6BF4"/>
    <w:rsid w:val="3D202664"/>
    <w:rsid w:val="3D204412"/>
    <w:rsid w:val="3D211F38"/>
    <w:rsid w:val="3D212719"/>
    <w:rsid w:val="3D2137A5"/>
    <w:rsid w:val="3D22018A"/>
    <w:rsid w:val="3D222E1B"/>
    <w:rsid w:val="3D223A6C"/>
    <w:rsid w:val="3D2263DC"/>
    <w:rsid w:val="3D232155"/>
    <w:rsid w:val="3D24777C"/>
    <w:rsid w:val="3D251A29"/>
    <w:rsid w:val="3D25234D"/>
    <w:rsid w:val="3D2619E5"/>
    <w:rsid w:val="3D266E74"/>
    <w:rsid w:val="3D27116F"/>
    <w:rsid w:val="3D2739F3"/>
    <w:rsid w:val="3D2757A1"/>
    <w:rsid w:val="3D281519"/>
    <w:rsid w:val="3D285922"/>
    <w:rsid w:val="3D2940E9"/>
    <w:rsid w:val="3D2959BD"/>
    <w:rsid w:val="3D297280"/>
    <w:rsid w:val="3D29776B"/>
    <w:rsid w:val="3D2B79DA"/>
    <w:rsid w:val="3D2C07DF"/>
    <w:rsid w:val="3D2C0ADF"/>
    <w:rsid w:val="3D2C2DB7"/>
    <w:rsid w:val="3D2C519F"/>
    <w:rsid w:val="3D2C725B"/>
    <w:rsid w:val="3D2D0EEC"/>
    <w:rsid w:val="3D2D6B2F"/>
    <w:rsid w:val="3D2E05EE"/>
    <w:rsid w:val="3D2E33FF"/>
    <w:rsid w:val="3D2E4D81"/>
    <w:rsid w:val="3D2F28A7"/>
    <w:rsid w:val="3D2F50FA"/>
    <w:rsid w:val="3D2F5FD0"/>
    <w:rsid w:val="3D3078AD"/>
    <w:rsid w:val="3D310115"/>
    <w:rsid w:val="3D3103CE"/>
    <w:rsid w:val="3D314871"/>
    <w:rsid w:val="3D320C81"/>
    <w:rsid w:val="3D325373"/>
    <w:rsid w:val="3D326901"/>
    <w:rsid w:val="3D3305EA"/>
    <w:rsid w:val="3D332398"/>
    <w:rsid w:val="3D3330C8"/>
    <w:rsid w:val="3D335CBA"/>
    <w:rsid w:val="3D335DE1"/>
    <w:rsid w:val="3D343A9F"/>
    <w:rsid w:val="3D344362"/>
    <w:rsid w:val="3D344F5E"/>
    <w:rsid w:val="3D346110"/>
    <w:rsid w:val="3D347271"/>
    <w:rsid w:val="3D347EBE"/>
    <w:rsid w:val="3D363C36"/>
    <w:rsid w:val="3D3659E4"/>
    <w:rsid w:val="3D37175C"/>
    <w:rsid w:val="3D373E26"/>
    <w:rsid w:val="3D374844"/>
    <w:rsid w:val="3D374B94"/>
    <w:rsid w:val="3D374ED8"/>
    <w:rsid w:val="3D380180"/>
    <w:rsid w:val="3D382EA1"/>
    <w:rsid w:val="3D385C00"/>
    <w:rsid w:val="3D390BD6"/>
    <w:rsid w:val="3D391C53"/>
    <w:rsid w:val="3D393726"/>
    <w:rsid w:val="3D394509"/>
    <w:rsid w:val="3D397254"/>
    <w:rsid w:val="3D3A4C02"/>
    <w:rsid w:val="3D3B124C"/>
    <w:rsid w:val="3D3B2FFA"/>
    <w:rsid w:val="3D3B56F0"/>
    <w:rsid w:val="3D3B60B6"/>
    <w:rsid w:val="3D3B749E"/>
    <w:rsid w:val="3D3C05D3"/>
    <w:rsid w:val="3D3C3672"/>
    <w:rsid w:val="3D3C3C36"/>
    <w:rsid w:val="3D3D137B"/>
    <w:rsid w:val="3D3D4FC4"/>
    <w:rsid w:val="3D3D76E6"/>
    <w:rsid w:val="3D3D7BCC"/>
    <w:rsid w:val="3D3E0D3C"/>
    <w:rsid w:val="3D3E2AEA"/>
    <w:rsid w:val="3D3F3CFE"/>
    <w:rsid w:val="3D3F6F8E"/>
    <w:rsid w:val="3D402D06"/>
    <w:rsid w:val="3D4033AC"/>
    <w:rsid w:val="3D404871"/>
    <w:rsid w:val="3D406863"/>
    <w:rsid w:val="3D406F54"/>
    <w:rsid w:val="3D412786"/>
    <w:rsid w:val="3D41637D"/>
    <w:rsid w:val="3D42082D"/>
    <w:rsid w:val="3D4251B8"/>
    <w:rsid w:val="3D426F25"/>
    <w:rsid w:val="3D430803"/>
    <w:rsid w:val="3D431DAC"/>
    <w:rsid w:val="3D436353"/>
    <w:rsid w:val="3D4367CD"/>
    <w:rsid w:val="3D44257C"/>
    <w:rsid w:val="3D4445A5"/>
    <w:rsid w:val="3D444FC0"/>
    <w:rsid w:val="3D446D65"/>
    <w:rsid w:val="3D45031D"/>
    <w:rsid w:val="3D4514A0"/>
    <w:rsid w:val="3D454C73"/>
    <w:rsid w:val="3D4640F9"/>
    <w:rsid w:val="3D467381"/>
    <w:rsid w:val="3D470AAE"/>
    <w:rsid w:val="3D470FBC"/>
    <w:rsid w:val="3D472574"/>
    <w:rsid w:val="3D474095"/>
    <w:rsid w:val="3D4756E6"/>
    <w:rsid w:val="3D477BF1"/>
    <w:rsid w:val="3D4839A0"/>
    <w:rsid w:val="3D483FA5"/>
    <w:rsid w:val="3D48488E"/>
    <w:rsid w:val="3D491BBB"/>
    <w:rsid w:val="3D493944"/>
    <w:rsid w:val="3D4A148F"/>
    <w:rsid w:val="3D4A1496"/>
    <w:rsid w:val="3D4A4DC9"/>
    <w:rsid w:val="3D4A76E1"/>
    <w:rsid w:val="3D4C16AB"/>
    <w:rsid w:val="3D4C2794"/>
    <w:rsid w:val="3D4C331B"/>
    <w:rsid w:val="3D4C3459"/>
    <w:rsid w:val="3D4C5207"/>
    <w:rsid w:val="3D4C54F7"/>
    <w:rsid w:val="3D4D01AD"/>
    <w:rsid w:val="3D4D1558"/>
    <w:rsid w:val="3D4D2D2E"/>
    <w:rsid w:val="3D4D666A"/>
    <w:rsid w:val="3D4D6987"/>
    <w:rsid w:val="3D4D7FC8"/>
    <w:rsid w:val="3D4E5423"/>
    <w:rsid w:val="3D4E6440"/>
    <w:rsid w:val="3D4E7E17"/>
    <w:rsid w:val="3D4F3E72"/>
    <w:rsid w:val="3D4F4CF8"/>
    <w:rsid w:val="3D501A02"/>
    <w:rsid w:val="3D507D8E"/>
    <w:rsid w:val="3D510A70"/>
    <w:rsid w:val="3D512EA0"/>
    <w:rsid w:val="3D516460"/>
    <w:rsid w:val="3D522C3F"/>
    <w:rsid w:val="3D525315"/>
    <w:rsid w:val="3D527C28"/>
    <w:rsid w:val="3D533C89"/>
    <w:rsid w:val="3D533EF5"/>
    <w:rsid w:val="3D5347E8"/>
    <w:rsid w:val="3D536596"/>
    <w:rsid w:val="3D540560"/>
    <w:rsid w:val="3D547CC4"/>
    <w:rsid w:val="3D555C1C"/>
    <w:rsid w:val="3D5567B2"/>
    <w:rsid w:val="3D561631"/>
    <w:rsid w:val="3D566086"/>
    <w:rsid w:val="3D566FBC"/>
    <w:rsid w:val="3D57260A"/>
    <w:rsid w:val="3D573869"/>
    <w:rsid w:val="3D57592C"/>
    <w:rsid w:val="3D583BAC"/>
    <w:rsid w:val="3D5860BD"/>
    <w:rsid w:val="3D595B76"/>
    <w:rsid w:val="3D597924"/>
    <w:rsid w:val="3D5A1C03"/>
    <w:rsid w:val="3D5A45B9"/>
    <w:rsid w:val="3D5B28BE"/>
    <w:rsid w:val="3D5B635B"/>
    <w:rsid w:val="3D5C6957"/>
    <w:rsid w:val="3D5D0991"/>
    <w:rsid w:val="3D5D46AE"/>
    <w:rsid w:val="3D5D7415"/>
    <w:rsid w:val="3D5F222C"/>
    <w:rsid w:val="3D5F318D"/>
    <w:rsid w:val="3D5F6116"/>
    <w:rsid w:val="3D5F7680"/>
    <w:rsid w:val="3D604EC2"/>
    <w:rsid w:val="3D610453"/>
    <w:rsid w:val="3D610D50"/>
    <w:rsid w:val="3D611B56"/>
    <w:rsid w:val="3D612323"/>
    <w:rsid w:val="3D6155D6"/>
    <w:rsid w:val="3D61628D"/>
    <w:rsid w:val="3D622C7D"/>
    <w:rsid w:val="3D62359C"/>
    <w:rsid w:val="3D624A2B"/>
    <w:rsid w:val="3D6267D9"/>
    <w:rsid w:val="3D63193E"/>
    <w:rsid w:val="3D6407A3"/>
    <w:rsid w:val="3D643ED3"/>
    <w:rsid w:val="3D6449A2"/>
    <w:rsid w:val="3D6469F5"/>
    <w:rsid w:val="3D65163E"/>
    <w:rsid w:val="3D652359"/>
    <w:rsid w:val="3D65451B"/>
    <w:rsid w:val="3D661298"/>
    <w:rsid w:val="3D662D0D"/>
    <w:rsid w:val="3D66752E"/>
    <w:rsid w:val="3D670293"/>
    <w:rsid w:val="3D67063B"/>
    <w:rsid w:val="3D672041"/>
    <w:rsid w:val="3D6720FF"/>
    <w:rsid w:val="3D673DEF"/>
    <w:rsid w:val="3D6748C4"/>
    <w:rsid w:val="3D676218"/>
    <w:rsid w:val="3D680F8D"/>
    <w:rsid w:val="3D68247D"/>
    <w:rsid w:val="3D687B67"/>
    <w:rsid w:val="3D6922C9"/>
    <w:rsid w:val="3D69400B"/>
    <w:rsid w:val="3D69539E"/>
    <w:rsid w:val="3D695EAF"/>
    <w:rsid w:val="3D6A0A80"/>
    <w:rsid w:val="3D6A1B31"/>
    <w:rsid w:val="3D6A38DF"/>
    <w:rsid w:val="3D6A7D83"/>
    <w:rsid w:val="3D6B0AB4"/>
    <w:rsid w:val="3D6B60D2"/>
    <w:rsid w:val="3D6B695F"/>
    <w:rsid w:val="3D6C54F3"/>
    <w:rsid w:val="3D6C5F71"/>
    <w:rsid w:val="3D6C7087"/>
    <w:rsid w:val="3D6C7658"/>
    <w:rsid w:val="3D6D0D62"/>
    <w:rsid w:val="3D6D517E"/>
    <w:rsid w:val="3D6E28AD"/>
    <w:rsid w:val="3D6E2BFC"/>
    <w:rsid w:val="3D6E33D0"/>
    <w:rsid w:val="3D6E41A1"/>
    <w:rsid w:val="3D6E606C"/>
    <w:rsid w:val="3D6E6311"/>
    <w:rsid w:val="3D6F0EF6"/>
    <w:rsid w:val="3D6F33E4"/>
    <w:rsid w:val="3D6F7148"/>
    <w:rsid w:val="3D7031B1"/>
    <w:rsid w:val="3D703EB3"/>
    <w:rsid w:val="3D7070C4"/>
    <w:rsid w:val="3D7108F6"/>
    <w:rsid w:val="3D713C61"/>
    <w:rsid w:val="3D723631"/>
    <w:rsid w:val="3D7306A2"/>
    <w:rsid w:val="3D732813"/>
    <w:rsid w:val="3D7347B5"/>
    <w:rsid w:val="3D73620C"/>
    <w:rsid w:val="3D736C38"/>
    <w:rsid w:val="3D741BE2"/>
    <w:rsid w:val="3D743281"/>
    <w:rsid w:val="3D74475E"/>
    <w:rsid w:val="3D7448BB"/>
    <w:rsid w:val="3D750458"/>
    <w:rsid w:val="3D7529B0"/>
    <w:rsid w:val="3D7567AB"/>
    <w:rsid w:val="3D762284"/>
    <w:rsid w:val="3D766728"/>
    <w:rsid w:val="3D77741E"/>
    <w:rsid w:val="3D784514"/>
    <w:rsid w:val="3D790ED4"/>
    <w:rsid w:val="3D793B23"/>
    <w:rsid w:val="3D7A3255"/>
    <w:rsid w:val="3D7A6218"/>
    <w:rsid w:val="3D7A7FC6"/>
    <w:rsid w:val="3D7B75D1"/>
    <w:rsid w:val="3D7C2E95"/>
    <w:rsid w:val="3D7D07D3"/>
    <w:rsid w:val="3D7D07E5"/>
    <w:rsid w:val="3D7D3613"/>
    <w:rsid w:val="3D7D38EE"/>
    <w:rsid w:val="3D7D58BA"/>
    <w:rsid w:val="3D7D7AB7"/>
    <w:rsid w:val="3D7F0347"/>
    <w:rsid w:val="3D7F382F"/>
    <w:rsid w:val="3D7F47F1"/>
    <w:rsid w:val="3D7F55DD"/>
    <w:rsid w:val="3D803C6E"/>
    <w:rsid w:val="3D804EB1"/>
    <w:rsid w:val="3D8171E8"/>
    <w:rsid w:val="3D8175A7"/>
    <w:rsid w:val="3D820C29"/>
    <w:rsid w:val="3D821D4C"/>
    <w:rsid w:val="3D8247E3"/>
    <w:rsid w:val="3D824EFF"/>
    <w:rsid w:val="3D8250CD"/>
    <w:rsid w:val="3D8255C6"/>
    <w:rsid w:val="3D826D9C"/>
    <w:rsid w:val="3D826E7B"/>
    <w:rsid w:val="3D8271B6"/>
    <w:rsid w:val="3D83160D"/>
    <w:rsid w:val="3D831EC9"/>
    <w:rsid w:val="3D833531"/>
    <w:rsid w:val="3D83484F"/>
    <w:rsid w:val="3D8348E9"/>
    <w:rsid w:val="3D83544D"/>
    <w:rsid w:val="3D842320"/>
    <w:rsid w:val="3D851761"/>
    <w:rsid w:val="3D852F90"/>
    <w:rsid w:val="3D864BBD"/>
    <w:rsid w:val="3D86780A"/>
    <w:rsid w:val="3D8726E3"/>
    <w:rsid w:val="3D8734B0"/>
    <w:rsid w:val="3D87623F"/>
    <w:rsid w:val="3D877815"/>
    <w:rsid w:val="3D881147"/>
    <w:rsid w:val="3D883B84"/>
    <w:rsid w:val="3D8849AF"/>
    <w:rsid w:val="3D886418"/>
    <w:rsid w:val="3D89020A"/>
    <w:rsid w:val="3D890483"/>
    <w:rsid w:val="3D891FB8"/>
    <w:rsid w:val="3D895499"/>
    <w:rsid w:val="3D89792F"/>
    <w:rsid w:val="3D8A0F3D"/>
    <w:rsid w:val="3D8B14FA"/>
    <w:rsid w:val="3D8B5F9C"/>
    <w:rsid w:val="3D8B7CBC"/>
    <w:rsid w:val="3D8C024C"/>
    <w:rsid w:val="3D8C1249"/>
    <w:rsid w:val="3D8C5F4C"/>
    <w:rsid w:val="3D8D5599"/>
    <w:rsid w:val="3D8D637F"/>
    <w:rsid w:val="3D8E2C9E"/>
    <w:rsid w:val="3D8E5820"/>
    <w:rsid w:val="3D8E75CE"/>
    <w:rsid w:val="3D8F1E68"/>
    <w:rsid w:val="3D8F225B"/>
    <w:rsid w:val="3D8F332D"/>
    <w:rsid w:val="3D8F3346"/>
    <w:rsid w:val="3D8F4878"/>
    <w:rsid w:val="3D90216B"/>
    <w:rsid w:val="3D912BEF"/>
    <w:rsid w:val="3D913C2B"/>
    <w:rsid w:val="3D914F44"/>
    <w:rsid w:val="3D926193"/>
    <w:rsid w:val="3D931088"/>
    <w:rsid w:val="3D93111C"/>
    <w:rsid w:val="3D9372DA"/>
    <w:rsid w:val="3D943DC3"/>
    <w:rsid w:val="3D951F05"/>
    <w:rsid w:val="3D953650"/>
    <w:rsid w:val="3D955105"/>
    <w:rsid w:val="3D955FF6"/>
    <w:rsid w:val="3D956BAE"/>
    <w:rsid w:val="3D9646D4"/>
    <w:rsid w:val="3D977A9D"/>
    <w:rsid w:val="3D983AFE"/>
    <w:rsid w:val="3D98669F"/>
    <w:rsid w:val="3D995F73"/>
    <w:rsid w:val="3D9A0E49"/>
    <w:rsid w:val="3D9A384D"/>
    <w:rsid w:val="3D9A41C5"/>
    <w:rsid w:val="3D9A694F"/>
    <w:rsid w:val="3D9B1CEB"/>
    <w:rsid w:val="3D9C0C2C"/>
    <w:rsid w:val="3D9C3BF0"/>
    <w:rsid w:val="3D9C6822"/>
    <w:rsid w:val="3D9C79E9"/>
    <w:rsid w:val="3D9D1F07"/>
    <w:rsid w:val="3D9D390F"/>
    <w:rsid w:val="3D9D3CB5"/>
    <w:rsid w:val="3D9D4ED1"/>
    <w:rsid w:val="3D9E2896"/>
    <w:rsid w:val="3D9F0A5B"/>
    <w:rsid w:val="3D9F0E00"/>
    <w:rsid w:val="3D9F11B7"/>
    <w:rsid w:val="3D9F17DB"/>
    <w:rsid w:val="3D9F2864"/>
    <w:rsid w:val="3D9F5C7F"/>
    <w:rsid w:val="3D9F726E"/>
    <w:rsid w:val="3D9F7A2D"/>
    <w:rsid w:val="3DA05553"/>
    <w:rsid w:val="3DA06A0D"/>
    <w:rsid w:val="3DA07301"/>
    <w:rsid w:val="3DA10F22"/>
    <w:rsid w:val="3DA1252A"/>
    <w:rsid w:val="3DA133D1"/>
    <w:rsid w:val="3DA2751D"/>
    <w:rsid w:val="3DA307D6"/>
    <w:rsid w:val="3DA3291E"/>
    <w:rsid w:val="3DA34482"/>
    <w:rsid w:val="3DA43295"/>
    <w:rsid w:val="3DA449AA"/>
    <w:rsid w:val="3DA46DF1"/>
    <w:rsid w:val="3DA5068F"/>
    <w:rsid w:val="3DA542A8"/>
    <w:rsid w:val="3DA54918"/>
    <w:rsid w:val="3DA60DBB"/>
    <w:rsid w:val="3DA70690"/>
    <w:rsid w:val="3DA768E2"/>
    <w:rsid w:val="3DA77592"/>
    <w:rsid w:val="3DA908AC"/>
    <w:rsid w:val="3DA94408"/>
    <w:rsid w:val="3DA94B3F"/>
    <w:rsid w:val="3DA962B7"/>
    <w:rsid w:val="3DA962CF"/>
    <w:rsid w:val="3DA96C30"/>
    <w:rsid w:val="3DAB3BD0"/>
    <w:rsid w:val="3DAB4ECD"/>
    <w:rsid w:val="3DAC214A"/>
    <w:rsid w:val="3DAC3EBB"/>
    <w:rsid w:val="3DAC5CA6"/>
    <w:rsid w:val="3DAD363C"/>
    <w:rsid w:val="3DAD4EB7"/>
    <w:rsid w:val="3DAD6FDE"/>
    <w:rsid w:val="3DAE0540"/>
    <w:rsid w:val="3DAE1A1E"/>
    <w:rsid w:val="3DAE1D47"/>
    <w:rsid w:val="3DAE2B5D"/>
    <w:rsid w:val="3DAE5EC2"/>
    <w:rsid w:val="3DAE71F0"/>
    <w:rsid w:val="3DAE7C70"/>
    <w:rsid w:val="3DAF3E6B"/>
    <w:rsid w:val="3DAF520F"/>
    <w:rsid w:val="3DAF56DC"/>
    <w:rsid w:val="3DB048CE"/>
    <w:rsid w:val="3DB14F79"/>
    <w:rsid w:val="3DB15C3E"/>
    <w:rsid w:val="3DB16B4F"/>
    <w:rsid w:val="3DB16E20"/>
    <w:rsid w:val="3DB17876"/>
    <w:rsid w:val="3DB34221"/>
    <w:rsid w:val="3DB36AE6"/>
    <w:rsid w:val="3DB42DAD"/>
    <w:rsid w:val="3DB47D9C"/>
    <w:rsid w:val="3DB51516"/>
    <w:rsid w:val="3DB530C6"/>
    <w:rsid w:val="3DB57251"/>
    <w:rsid w:val="3DB64D77"/>
    <w:rsid w:val="3DB679A9"/>
    <w:rsid w:val="3DB67BD8"/>
    <w:rsid w:val="3DB765B2"/>
    <w:rsid w:val="3DB8289D"/>
    <w:rsid w:val="3DB82D12"/>
    <w:rsid w:val="3DB84D62"/>
    <w:rsid w:val="3DB84F41"/>
    <w:rsid w:val="3DB86D41"/>
    <w:rsid w:val="3DB959D7"/>
    <w:rsid w:val="3DBA03C3"/>
    <w:rsid w:val="3DBA5BEF"/>
    <w:rsid w:val="3DBB00AA"/>
    <w:rsid w:val="3DBB238D"/>
    <w:rsid w:val="3DBB5757"/>
    <w:rsid w:val="3DBC05DF"/>
    <w:rsid w:val="3DBD4411"/>
    <w:rsid w:val="3DBD6C3E"/>
    <w:rsid w:val="3DBD7EB3"/>
    <w:rsid w:val="3DBE1421"/>
    <w:rsid w:val="3DBE42A3"/>
    <w:rsid w:val="3DBE5021"/>
    <w:rsid w:val="3DBE682D"/>
    <w:rsid w:val="3DBF201D"/>
    <w:rsid w:val="3DBF29D9"/>
    <w:rsid w:val="3DBF4F37"/>
    <w:rsid w:val="3DBF59D9"/>
    <w:rsid w:val="3DC04C86"/>
    <w:rsid w:val="3DC07228"/>
    <w:rsid w:val="3DC12D0A"/>
    <w:rsid w:val="3DC15BF5"/>
    <w:rsid w:val="3DC16281"/>
    <w:rsid w:val="3DC206BF"/>
    <w:rsid w:val="3DC207FD"/>
    <w:rsid w:val="3DC21BFB"/>
    <w:rsid w:val="3DC2205B"/>
    <w:rsid w:val="3DC236E7"/>
    <w:rsid w:val="3DC254CA"/>
    <w:rsid w:val="3DC271E1"/>
    <w:rsid w:val="3DC2772F"/>
    <w:rsid w:val="3DC34676"/>
    <w:rsid w:val="3DC34C62"/>
    <w:rsid w:val="3DC3562A"/>
    <w:rsid w:val="3DC375E2"/>
    <w:rsid w:val="3DC42F13"/>
    <w:rsid w:val="3DC47494"/>
    <w:rsid w:val="3DC515EA"/>
    <w:rsid w:val="3DC52EBA"/>
    <w:rsid w:val="3DC54FBA"/>
    <w:rsid w:val="3DC56D68"/>
    <w:rsid w:val="3DC70D32"/>
    <w:rsid w:val="3DC718DA"/>
    <w:rsid w:val="3DC72AE0"/>
    <w:rsid w:val="3DC76F84"/>
    <w:rsid w:val="3DC81898"/>
    <w:rsid w:val="3DCA40F7"/>
    <w:rsid w:val="3DCB0822"/>
    <w:rsid w:val="3DCC00F6"/>
    <w:rsid w:val="3DCC04FE"/>
    <w:rsid w:val="3DCC2201"/>
    <w:rsid w:val="3DCC459A"/>
    <w:rsid w:val="3DCC6668"/>
    <w:rsid w:val="3DCD4AD1"/>
    <w:rsid w:val="3DCD4C9C"/>
    <w:rsid w:val="3DCE0301"/>
    <w:rsid w:val="3DCE0312"/>
    <w:rsid w:val="3DCE1CEF"/>
    <w:rsid w:val="3DCE20C0"/>
    <w:rsid w:val="3DCE3E6E"/>
    <w:rsid w:val="3DCE530E"/>
    <w:rsid w:val="3DCE78C8"/>
    <w:rsid w:val="3DD0505D"/>
    <w:rsid w:val="3DD07BB8"/>
    <w:rsid w:val="3DD1395F"/>
    <w:rsid w:val="3DD1570D"/>
    <w:rsid w:val="3DD16176"/>
    <w:rsid w:val="3DD17A5E"/>
    <w:rsid w:val="3DD21BFC"/>
    <w:rsid w:val="3DD2254E"/>
    <w:rsid w:val="3DD26E64"/>
    <w:rsid w:val="3DD27E02"/>
    <w:rsid w:val="3DD36602"/>
    <w:rsid w:val="3DD369B1"/>
    <w:rsid w:val="3DD376D7"/>
    <w:rsid w:val="3DD4297E"/>
    <w:rsid w:val="3DD47A3F"/>
    <w:rsid w:val="3DD514F6"/>
    <w:rsid w:val="3DD516A1"/>
    <w:rsid w:val="3DD5344F"/>
    <w:rsid w:val="3DD566A9"/>
    <w:rsid w:val="3DD60F75"/>
    <w:rsid w:val="3DD61A67"/>
    <w:rsid w:val="3DD61DCD"/>
    <w:rsid w:val="3DD62D1F"/>
    <w:rsid w:val="3DD671C7"/>
    <w:rsid w:val="3DD82F3F"/>
    <w:rsid w:val="3DD8636C"/>
    <w:rsid w:val="3DD863C0"/>
    <w:rsid w:val="3DD92DF0"/>
    <w:rsid w:val="3DD965D2"/>
    <w:rsid w:val="3DD97378"/>
    <w:rsid w:val="3DDA0A65"/>
    <w:rsid w:val="3DDB5E5D"/>
    <w:rsid w:val="3DDB658B"/>
    <w:rsid w:val="3DDB6FD1"/>
    <w:rsid w:val="3DDD171A"/>
    <w:rsid w:val="3DDD2303"/>
    <w:rsid w:val="3DDD61C5"/>
    <w:rsid w:val="3DDF2F59"/>
    <w:rsid w:val="3DDF42CD"/>
    <w:rsid w:val="3DDF60FD"/>
    <w:rsid w:val="3DDF7E2A"/>
    <w:rsid w:val="3DE010A7"/>
    <w:rsid w:val="3DE02C72"/>
    <w:rsid w:val="3DE04B87"/>
    <w:rsid w:val="3DE10046"/>
    <w:rsid w:val="3DE11DF4"/>
    <w:rsid w:val="3DE21C94"/>
    <w:rsid w:val="3DE21D4D"/>
    <w:rsid w:val="3DE23776"/>
    <w:rsid w:val="3DE23DBE"/>
    <w:rsid w:val="3DE2791A"/>
    <w:rsid w:val="3DE315F4"/>
    <w:rsid w:val="3DE316E3"/>
    <w:rsid w:val="3DE418E4"/>
    <w:rsid w:val="3DE43FE4"/>
    <w:rsid w:val="3DE454DE"/>
    <w:rsid w:val="3DE47B36"/>
    <w:rsid w:val="3DE511B8"/>
    <w:rsid w:val="3DE565EA"/>
    <w:rsid w:val="3DE6565C"/>
    <w:rsid w:val="3DE6740A"/>
    <w:rsid w:val="3DE713D4"/>
    <w:rsid w:val="3DE73182"/>
    <w:rsid w:val="3DE82D58"/>
    <w:rsid w:val="3DE8709F"/>
    <w:rsid w:val="3DE90CA8"/>
    <w:rsid w:val="3DE96EFA"/>
    <w:rsid w:val="3DEA07D5"/>
    <w:rsid w:val="3DEA337D"/>
    <w:rsid w:val="3DEA6325"/>
    <w:rsid w:val="3DEB0EC4"/>
    <w:rsid w:val="3DEB1AF2"/>
    <w:rsid w:val="3DEB30F5"/>
    <w:rsid w:val="3DEC0266"/>
    <w:rsid w:val="3DEC0798"/>
    <w:rsid w:val="3DEC2C83"/>
    <w:rsid w:val="3DEC5AE1"/>
    <w:rsid w:val="3DED43AD"/>
    <w:rsid w:val="3DED69EA"/>
    <w:rsid w:val="3DED79AD"/>
    <w:rsid w:val="3DEE020A"/>
    <w:rsid w:val="3DEE1C62"/>
    <w:rsid w:val="3DEE1D27"/>
    <w:rsid w:val="3DEE62BF"/>
    <w:rsid w:val="3DEF1A76"/>
    <w:rsid w:val="3DF00289"/>
    <w:rsid w:val="3DF005F4"/>
    <w:rsid w:val="3DF0226D"/>
    <w:rsid w:val="3DF02630"/>
    <w:rsid w:val="3DF036DC"/>
    <w:rsid w:val="3DF04AA9"/>
    <w:rsid w:val="3DF064DB"/>
    <w:rsid w:val="3DF14BD0"/>
    <w:rsid w:val="3DF15DAF"/>
    <w:rsid w:val="3DF23A85"/>
    <w:rsid w:val="3DF24001"/>
    <w:rsid w:val="3DF31B27"/>
    <w:rsid w:val="3DF338D5"/>
    <w:rsid w:val="3DF35EE1"/>
    <w:rsid w:val="3DF37D79"/>
    <w:rsid w:val="3DF45E4D"/>
    <w:rsid w:val="3DF47029"/>
    <w:rsid w:val="3DF53AF1"/>
    <w:rsid w:val="3DF558E8"/>
    <w:rsid w:val="3DF5764D"/>
    <w:rsid w:val="3DF71617"/>
    <w:rsid w:val="3DF72DD9"/>
    <w:rsid w:val="3DF74C3E"/>
    <w:rsid w:val="3DF77869"/>
    <w:rsid w:val="3DF80EEB"/>
    <w:rsid w:val="3DF84269"/>
    <w:rsid w:val="3DF8538F"/>
    <w:rsid w:val="3DF956F9"/>
    <w:rsid w:val="3DF97ECE"/>
    <w:rsid w:val="3DFA1107"/>
    <w:rsid w:val="3DFA2EB5"/>
    <w:rsid w:val="3DFA4C63"/>
    <w:rsid w:val="3DFC09D3"/>
    <w:rsid w:val="3DFC7E61"/>
    <w:rsid w:val="3DFD29A6"/>
    <w:rsid w:val="3DFD4E2D"/>
    <w:rsid w:val="3DFD6C4B"/>
    <w:rsid w:val="3DFE7C78"/>
    <w:rsid w:val="3DFF04CC"/>
    <w:rsid w:val="3DFF0E98"/>
    <w:rsid w:val="3DFF1244"/>
    <w:rsid w:val="3E0055CC"/>
    <w:rsid w:val="3E006BD7"/>
    <w:rsid w:val="3E0111E3"/>
    <w:rsid w:val="3E012496"/>
    <w:rsid w:val="3E015FF2"/>
    <w:rsid w:val="3E017F15"/>
    <w:rsid w:val="3E021D6A"/>
    <w:rsid w:val="3E027EEC"/>
    <w:rsid w:val="3E027FBC"/>
    <w:rsid w:val="3E0323BF"/>
    <w:rsid w:val="3E0323E0"/>
    <w:rsid w:val="3E043B88"/>
    <w:rsid w:val="3E043D34"/>
    <w:rsid w:val="3E0443BA"/>
    <w:rsid w:val="3E045AE2"/>
    <w:rsid w:val="3E0549C9"/>
    <w:rsid w:val="3E057FAE"/>
    <w:rsid w:val="3E06143E"/>
    <w:rsid w:val="3E06185A"/>
    <w:rsid w:val="3E063608"/>
    <w:rsid w:val="3E072F00"/>
    <w:rsid w:val="3E07521B"/>
    <w:rsid w:val="3E0819E3"/>
    <w:rsid w:val="3E082CDF"/>
    <w:rsid w:val="3E083824"/>
    <w:rsid w:val="3E086A3F"/>
    <w:rsid w:val="3E09134A"/>
    <w:rsid w:val="3E0930F8"/>
    <w:rsid w:val="3E0A2F64"/>
    <w:rsid w:val="3E0A7B2B"/>
    <w:rsid w:val="3E0B0C1F"/>
    <w:rsid w:val="3E0B26DF"/>
    <w:rsid w:val="3E0C24D3"/>
    <w:rsid w:val="3E0C52B0"/>
    <w:rsid w:val="3E0D034D"/>
    <w:rsid w:val="3E0D0E3B"/>
    <w:rsid w:val="3E0D79D7"/>
    <w:rsid w:val="3E0E070F"/>
    <w:rsid w:val="3E0E5FDB"/>
    <w:rsid w:val="3E0E655A"/>
    <w:rsid w:val="3E0F15DB"/>
    <w:rsid w:val="3E0F2894"/>
    <w:rsid w:val="3E10092B"/>
    <w:rsid w:val="3E101F1F"/>
    <w:rsid w:val="3E1024F0"/>
    <w:rsid w:val="3E103980"/>
    <w:rsid w:val="3E104487"/>
    <w:rsid w:val="3E111FAD"/>
    <w:rsid w:val="3E11727E"/>
    <w:rsid w:val="3E1178D1"/>
    <w:rsid w:val="3E120035"/>
    <w:rsid w:val="3E1201FF"/>
    <w:rsid w:val="3E120EBC"/>
    <w:rsid w:val="3E122031"/>
    <w:rsid w:val="3E1249E2"/>
    <w:rsid w:val="3E125345"/>
    <w:rsid w:val="3E126451"/>
    <w:rsid w:val="3E126795"/>
    <w:rsid w:val="3E127287"/>
    <w:rsid w:val="3E13020D"/>
    <w:rsid w:val="3E131DA7"/>
    <w:rsid w:val="3E1321C9"/>
    <w:rsid w:val="3E133F77"/>
    <w:rsid w:val="3E133FD6"/>
    <w:rsid w:val="3E134666"/>
    <w:rsid w:val="3E13526F"/>
    <w:rsid w:val="3E135D25"/>
    <w:rsid w:val="3E13637D"/>
    <w:rsid w:val="3E13765C"/>
    <w:rsid w:val="3E141C6C"/>
    <w:rsid w:val="3E1440E6"/>
    <w:rsid w:val="3E1467F8"/>
    <w:rsid w:val="3E155F41"/>
    <w:rsid w:val="3E15655F"/>
    <w:rsid w:val="3E1675C3"/>
    <w:rsid w:val="3E171BBD"/>
    <w:rsid w:val="3E173A67"/>
    <w:rsid w:val="3E175815"/>
    <w:rsid w:val="3E1758C2"/>
    <w:rsid w:val="3E180E72"/>
    <w:rsid w:val="3E18158D"/>
    <w:rsid w:val="3E182E44"/>
    <w:rsid w:val="3E18333B"/>
    <w:rsid w:val="3E183853"/>
    <w:rsid w:val="3E184EBB"/>
    <w:rsid w:val="3E186EBA"/>
    <w:rsid w:val="3E1875AB"/>
    <w:rsid w:val="3E18766E"/>
    <w:rsid w:val="3E194C3C"/>
    <w:rsid w:val="3E1A1C45"/>
    <w:rsid w:val="3E1A2799"/>
    <w:rsid w:val="3E1A3557"/>
    <w:rsid w:val="3E1A6B5A"/>
    <w:rsid w:val="3E1C2E2C"/>
    <w:rsid w:val="3E1C6390"/>
    <w:rsid w:val="3E1C6928"/>
    <w:rsid w:val="3E1C72D0"/>
    <w:rsid w:val="3E1D0557"/>
    <w:rsid w:val="3E1D70EE"/>
    <w:rsid w:val="3E1E528B"/>
    <w:rsid w:val="3E1E5372"/>
    <w:rsid w:val="3E1E54B8"/>
    <w:rsid w:val="3E1F0B6E"/>
    <w:rsid w:val="3E1F1FE5"/>
    <w:rsid w:val="3E1F4D6D"/>
    <w:rsid w:val="3E1F5F0C"/>
    <w:rsid w:val="3E1F7567"/>
    <w:rsid w:val="3E203475"/>
    <w:rsid w:val="3E205479"/>
    <w:rsid w:val="3E212645"/>
    <w:rsid w:val="3E2133A2"/>
    <w:rsid w:val="3E2148E6"/>
    <w:rsid w:val="3E216694"/>
    <w:rsid w:val="3E217E36"/>
    <w:rsid w:val="3E222C05"/>
    <w:rsid w:val="3E2241BA"/>
    <w:rsid w:val="3E225A0E"/>
    <w:rsid w:val="3E227410"/>
    <w:rsid w:val="3E232B48"/>
    <w:rsid w:val="3E233537"/>
    <w:rsid w:val="3E237F21"/>
    <w:rsid w:val="3E242943"/>
    <w:rsid w:val="3E24501A"/>
    <w:rsid w:val="3E246184"/>
    <w:rsid w:val="3E2468A9"/>
    <w:rsid w:val="3E261EFC"/>
    <w:rsid w:val="3E263CAA"/>
    <w:rsid w:val="3E266F05"/>
    <w:rsid w:val="3E2735E7"/>
    <w:rsid w:val="3E274D1B"/>
    <w:rsid w:val="3E2770E7"/>
    <w:rsid w:val="3E277F08"/>
    <w:rsid w:val="3E283348"/>
    <w:rsid w:val="3E285C74"/>
    <w:rsid w:val="3E2919ED"/>
    <w:rsid w:val="3E29203F"/>
    <w:rsid w:val="3E29379B"/>
    <w:rsid w:val="3E297E46"/>
    <w:rsid w:val="3E2A0F57"/>
    <w:rsid w:val="3E2A7B5B"/>
    <w:rsid w:val="3E2A7F37"/>
    <w:rsid w:val="3E2B1CC9"/>
    <w:rsid w:val="3E2B306F"/>
    <w:rsid w:val="3E2B4042"/>
    <w:rsid w:val="3E2B608E"/>
    <w:rsid w:val="3E2B7513"/>
    <w:rsid w:val="3E2C3569"/>
    <w:rsid w:val="3E2C3DB8"/>
    <w:rsid w:val="3E2C450A"/>
    <w:rsid w:val="3E2D0A8E"/>
    <w:rsid w:val="3E2E4312"/>
    <w:rsid w:val="3E2E7003"/>
    <w:rsid w:val="3E2F3B47"/>
    <w:rsid w:val="3E2F7C08"/>
    <w:rsid w:val="3E2F7C94"/>
    <w:rsid w:val="3E3110D4"/>
    <w:rsid w:val="3E313427"/>
    <w:rsid w:val="3E3143FD"/>
    <w:rsid w:val="3E3149E7"/>
    <w:rsid w:val="3E32006F"/>
    <w:rsid w:val="3E331488"/>
    <w:rsid w:val="3E332998"/>
    <w:rsid w:val="3E33621B"/>
    <w:rsid w:val="3E3363C7"/>
    <w:rsid w:val="3E3418EB"/>
    <w:rsid w:val="3E342482"/>
    <w:rsid w:val="3E343EEA"/>
    <w:rsid w:val="3E354532"/>
    <w:rsid w:val="3E3578B8"/>
    <w:rsid w:val="3E367A3C"/>
    <w:rsid w:val="3E370A30"/>
    <w:rsid w:val="3E371A14"/>
    <w:rsid w:val="3E37371B"/>
    <w:rsid w:val="3E375EB7"/>
    <w:rsid w:val="3E3762B7"/>
    <w:rsid w:val="3E376F5D"/>
    <w:rsid w:val="3E377C66"/>
    <w:rsid w:val="3E382E3D"/>
    <w:rsid w:val="3E3839DE"/>
    <w:rsid w:val="3E38578C"/>
    <w:rsid w:val="3E3861F8"/>
    <w:rsid w:val="3E3A0475"/>
    <w:rsid w:val="3E3A1139"/>
    <w:rsid w:val="3E3A4712"/>
    <w:rsid w:val="3E3A575D"/>
    <w:rsid w:val="3E3A74AB"/>
    <w:rsid w:val="3E3B5E30"/>
    <w:rsid w:val="3E3C1720"/>
    <w:rsid w:val="3E3C34CE"/>
    <w:rsid w:val="3E3C3D57"/>
    <w:rsid w:val="3E3C7054"/>
    <w:rsid w:val="3E3D0FF4"/>
    <w:rsid w:val="3E3D2DA2"/>
    <w:rsid w:val="3E3D40DE"/>
    <w:rsid w:val="3E3E0B53"/>
    <w:rsid w:val="3E3E52C9"/>
    <w:rsid w:val="3E3E7246"/>
    <w:rsid w:val="3E3F2FCC"/>
    <w:rsid w:val="3E3F4D6C"/>
    <w:rsid w:val="3E412892"/>
    <w:rsid w:val="3E413EEF"/>
    <w:rsid w:val="3E4140D9"/>
    <w:rsid w:val="3E41662A"/>
    <w:rsid w:val="3E416D36"/>
    <w:rsid w:val="3E417C25"/>
    <w:rsid w:val="3E4203B8"/>
    <w:rsid w:val="3E424BC6"/>
    <w:rsid w:val="3E42537F"/>
    <w:rsid w:val="3E426EF4"/>
    <w:rsid w:val="3E4356B8"/>
    <w:rsid w:val="3E435CB3"/>
    <w:rsid w:val="3E43602C"/>
    <w:rsid w:val="3E43680F"/>
    <w:rsid w:val="3E43689D"/>
    <w:rsid w:val="3E436FED"/>
    <w:rsid w:val="3E440322"/>
    <w:rsid w:val="3E442382"/>
    <w:rsid w:val="3E444130"/>
    <w:rsid w:val="3E450514"/>
    <w:rsid w:val="3E454273"/>
    <w:rsid w:val="3E45657B"/>
    <w:rsid w:val="3E46377C"/>
    <w:rsid w:val="3E463E53"/>
    <w:rsid w:val="3E46434D"/>
    <w:rsid w:val="3E467EA9"/>
    <w:rsid w:val="3E475ED5"/>
    <w:rsid w:val="3E477565"/>
    <w:rsid w:val="3E4827C7"/>
    <w:rsid w:val="3E49157C"/>
    <w:rsid w:val="3E491747"/>
    <w:rsid w:val="3E49386E"/>
    <w:rsid w:val="3E495252"/>
    <w:rsid w:val="3E495BEB"/>
    <w:rsid w:val="3E4A14F8"/>
    <w:rsid w:val="3E4A2CBA"/>
    <w:rsid w:val="3E4A3CD3"/>
    <w:rsid w:val="3E4A7D6B"/>
    <w:rsid w:val="3E4B07F2"/>
    <w:rsid w:val="3E4B1569"/>
    <w:rsid w:val="3E4B1963"/>
    <w:rsid w:val="3E4B2C42"/>
    <w:rsid w:val="3E4B3711"/>
    <w:rsid w:val="3E4B7B72"/>
    <w:rsid w:val="3E4C0A86"/>
    <w:rsid w:val="3E4C0C00"/>
    <w:rsid w:val="3E4C63BB"/>
    <w:rsid w:val="3E4D1237"/>
    <w:rsid w:val="3E4D56DB"/>
    <w:rsid w:val="3E4D5817"/>
    <w:rsid w:val="3E4D7489"/>
    <w:rsid w:val="3E4E51EA"/>
    <w:rsid w:val="3E4F0F8A"/>
    <w:rsid w:val="3E4F230C"/>
    <w:rsid w:val="3E4F3163"/>
    <w:rsid w:val="3E4F77A3"/>
    <w:rsid w:val="3E4F797E"/>
    <w:rsid w:val="3E500D27"/>
    <w:rsid w:val="3E503879"/>
    <w:rsid w:val="3E520CF0"/>
    <w:rsid w:val="3E52318A"/>
    <w:rsid w:val="3E523C16"/>
    <w:rsid w:val="3E524A9F"/>
    <w:rsid w:val="3E530103"/>
    <w:rsid w:val="3E530817"/>
    <w:rsid w:val="3E53145E"/>
    <w:rsid w:val="3E5325C6"/>
    <w:rsid w:val="3E5423CB"/>
    <w:rsid w:val="3E543F99"/>
    <w:rsid w:val="3E544CCE"/>
    <w:rsid w:val="3E5468ED"/>
    <w:rsid w:val="3E554590"/>
    <w:rsid w:val="3E57193C"/>
    <w:rsid w:val="3E575B06"/>
    <w:rsid w:val="3E587BDC"/>
    <w:rsid w:val="3E592176"/>
    <w:rsid w:val="3E594D47"/>
    <w:rsid w:val="3E5A1BA6"/>
    <w:rsid w:val="3E5A3954"/>
    <w:rsid w:val="3E5A61D7"/>
    <w:rsid w:val="3E5A62EC"/>
    <w:rsid w:val="3E5A7DF8"/>
    <w:rsid w:val="3E5C0964"/>
    <w:rsid w:val="3E5D0B25"/>
    <w:rsid w:val="3E5F1511"/>
    <w:rsid w:val="3E5F3946"/>
    <w:rsid w:val="3E5F5FE8"/>
    <w:rsid w:val="3E5F71BC"/>
    <w:rsid w:val="3E601161"/>
    <w:rsid w:val="3E612F34"/>
    <w:rsid w:val="3E6134D9"/>
    <w:rsid w:val="3E614CE2"/>
    <w:rsid w:val="3E615055"/>
    <w:rsid w:val="3E617C95"/>
    <w:rsid w:val="3E622809"/>
    <w:rsid w:val="3E624969"/>
    <w:rsid w:val="3E6309CA"/>
    <w:rsid w:val="3E630A5B"/>
    <w:rsid w:val="3E63354D"/>
    <w:rsid w:val="3E636CAD"/>
    <w:rsid w:val="3E640B9F"/>
    <w:rsid w:val="3E646418"/>
    <w:rsid w:val="3E6541AC"/>
    <w:rsid w:val="3E66054B"/>
    <w:rsid w:val="3E66679D"/>
    <w:rsid w:val="3E667354"/>
    <w:rsid w:val="3E67726D"/>
    <w:rsid w:val="3E67796F"/>
    <w:rsid w:val="3E6842C3"/>
    <w:rsid w:val="3E687BAD"/>
    <w:rsid w:val="3E691C6B"/>
    <w:rsid w:val="3E693467"/>
    <w:rsid w:val="3E693B97"/>
    <w:rsid w:val="3E694214"/>
    <w:rsid w:val="3E695BB7"/>
    <w:rsid w:val="3E696981"/>
    <w:rsid w:val="3E6A20BD"/>
    <w:rsid w:val="3E6A43A1"/>
    <w:rsid w:val="3E6B3DB3"/>
    <w:rsid w:val="3E6B5A1B"/>
    <w:rsid w:val="3E6B790F"/>
    <w:rsid w:val="3E6C1E03"/>
    <w:rsid w:val="3E6C72BB"/>
    <w:rsid w:val="3E6D18D9"/>
    <w:rsid w:val="3E6D1A7C"/>
    <w:rsid w:val="3E6E1417"/>
    <w:rsid w:val="3E6E6014"/>
    <w:rsid w:val="3E6E6515"/>
    <w:rsid w:val="3E6F2EFB"/>
    <w:rsid w:val="3E6F2F98"/>
    <w:rsid w:val="3E6F38A3"/>
    <w:rsid w:val="3E6F4836"/>
    <w:rsid w:val="3E6F5651"/>
    <w:rsid w:val="3E7049A9"/>
    <w:rsid w:val="3E70582C"/>
    <w:rsid w:val="3E706594"/>
    <w:rsid w:val="3E7204BE"/>
    <w:rsid w:val="3E7229DF"/>
    <w:rsid w:val="3E725142"/>
    <w:rsid w:val="3E72676B"/>
    <w:rsid w:val="3E726EF0"/>
    <w:rsid w:val="3E734A16"/>
    <w:rsid w:val="3E74194F"/>
    <w:rsid w:val="3E745A74"/>
    <w:rsid w:val="3E7502D3"/>
    <w:rsid w:val="3E751C13"/>
    <w:rsid w:val="3E761AC3"/>
    <w:rsid w:val="3E766A3A"/>
    <w:rsid w:val="3E772758"/>
    <w:rsid w:val="3E7814E8"/>
    <w:rsid w:val="3E78202C"/>
    <w:rsid w:val="3E786B8F"/>
    <w:rsid w:val="3E792BFB"/>
    <w:rsid w:val="3E7964D0"/>
    <w:rsid w:val="3E7A2248"/>
    <w:rsid w:val="3E7A5DA4"/>
    <w:rsid w:val="3E7A723D"/>
    <w:rsid w:val="3E7A7B84"/>
    <w:rsid w:val="3E7B5333"/>
    <w:rsid w:val="3E7B79FC"/>
    <w:rsid w:val="3E7C1B1C"/>
    <w:rsid w:val="3E7C239F"/>
    <w:rsid w:val="3E7C257E"/>
    <w:rsid w:val="3E7C38CA"/>
    <w:rsid w:val="3E7C69A0"/>
    <w:rsid w:val="3E7C7D6E"/>
    <w:rsid w:val="3E7E5894"/>
    <w:rsid w:val="3E7E630F"/>
    <w:rsid w:val="3E7F160D"/>
    <w:rsid w:val="3E7F3E91"/>
    <w:rsid w:val="3E8048A1"/>
    <w:rsid w:val="3E8135D7"/>
    <w:rsid w:val="3E8176FB"/>
    <w:rsid w:val="3E820DFD"/>
    <w:rsid w:val="3E831592"/>
    <w:rsid w:val="3E831594"/>
    <w:rsid w:val="3E832EAB"/>
    <w:rsid w:val="3E83486D"/>
    <w:rsid w:val="3E83494C"/>
    <w:rsid w:val="3E835072"/>
    <w:rsid w:val="3E8410BA"/>
    <w:rsid w:val="3E842247"/>
    <w:rsid w:val="3E846C23"/>
    <w:rsid w:val="3E850E1C"/>
    <w:rsid w:val="3E854E75"/>
    <w:rsid w:val="3E860BED"/>
    <w:rsid w:val="3E86299B"/>
    <w:rsid w:val="3E864749"/>
    <w:rsid w:val="3E873A37"/>
    <w:rsid w:val="3E891D2A"/>
    <w:rsid w:val="3E8926E5"/>
    <w:rsid w:val="3E8A18A8"/>
    <w:rsid w:val="3E8A6BC9"/>
    <w:rsid w:val="3E8A6C2A"/>
    <w:rsid w:val="3E8B10C6"/>
    <w:rsid w:val="3E8B1D5F"/>
    <w:rsid w:val="3E8B6203"/>
    <w:rsid w:val="3E8C31C9"/>
    <w:rsid w:val="3E8C693E"/>
    <w:rsid w:val="3E8D0E30"/>
    <w:rsid w:val="3E8D3D29"/>
    <w:rsid w:val="3E8D6120"/>
    <w:rsid w:val="3E8E01C0"/>
    <w:rsid w:val="3E8E0DB5"/>
    <w:rsid w:val="3E8E35FE"/>
    <w:rsid w:val="3E8E6E9C"/>
    <w:rsid w:val="3E8F04BB"/>
    <w:rsid w:val="3E8F1CED"/>
    <w:rsid w:val="3E8F3986"/>
    <w:rsid w:val="3E8F79ED"/>
    <w:rsid w:val="3E8F7AA2"/>
    <w:rsid w:val="3E9055C8"/>
    <w:rsid w:val="3E90619A"/>
    <w:rsid w:val="3E907376"/>
    <w:rsid w:val="3E9207B3"/>
    <w:rsid w:val="3E9230EE"/>
    <w:rsid w:val="3E9275F9"/>
    <w:rsid w:val="3E932C1B"/>
    <w:rsid w:val="3E933797"/>
    <w:rsid w:val="3E934075"/>
    <w:rsid w:val="3E936B07"/>
    <w:rsid w:val="3E937BFD"/>
    <w:rsid w:val="3E94068F"/>
    <w:rsid w:val="3E94184F"/>
    <w:rsid w:val="3E942F46"/>
    <w:rsid w:val="3E94330A"/>
    <w:rsid w:val="3E944C27"/>
    <w:rsid w:val="3E946E66"/>
    <w:rsid w:val="3E95498C"/>
    <w:rsid w:val="3E9560B7"/>
    <w:rsid w:val="3E962109"/>
    <w:rsid w:val="3E970704"/>
    <w:rsid w:val="3E9745BD"/>
    <w:rsid w:val="3E977521"/>
    <w:rsid w:val="3E9779B4"/>
    <w:rsid w:val="3E9826A8"/>
    <w:rsid w:val="3E984A38"/>
    <w:rsid w:val="3E984C33"/>
    <w:rsid w:val="3E9857CA"/>
    <w:rsid w:val="3E986179"/>
    <w:rsid w:val="3E990920"/>
    <w:rsid w:val="3E990D91"/>
    <w:rsid w:val="3E994DA1"/>
    <w:rsid w:val="3E99624B"/>
    <w:rsid w:val="3E9A01F4"/>
    <w:rsid w:val="3E9A0752"/>
    <w:rsid w:val="3E9A0C3B"/>
    <w:rsid w:val="3E9A1FA2"/>
    <w:rsid w:val="3E9A3275"/>
    <w:rsid w:val="3E9B175D"/>
    <w:rsid w:val="3E9B3854"/>
    <w:rsid w:val="3E9B45E4"/>
    <w:rsid w:val="3E9B4AFA"/>
    <w:rsid w:val="3E9C21BE"/>
    <w:rsid w:val="3E9C2BA0"/>
    <w:rsid w:val="3E9C33B9"/>
    <w:rsid w:val="3E9C3F6D"/>
    <w:rsid w:val="3E9C586D"/>
    <w:rsid w:val="3E9E19B0"/>
    <w:rsid w:val="3E9E1CF6"/>
    <w:rsid w:val="3E9E3D74"/>
    <w:rsid w:val="3E9E5E0A"/>
    <w:rsid w:val="3E9F114B"/>
    <w:rsid w:val="3E9F580B"/>
    <w:rsid w:val="3EA01CAF"/>
    <w:rsid w:val="3EA02DFC"/>
    <w:rsid w:val="3EA03A5D"/>
    <w:rsid w:val="3EA046A3"/>
    <w:rsid w:val="3EA04C6C"/>
    <w:rsid w:val="3EA070A4"/>
    <w:rsid w:val="3EA11583"/>
    <w:rsid w:val="3EA13331"/>
    <w:rsid w:val="3EA1349D"/>
    <w:rsid w:val="3EA1722B"/>
    <w:rsid w:val="3EA31443"/>
    <w:rsid w:val="3EA3354D"/>
    <w:rsid w:val="3EA34620"/>
    <w:rsid w:val="3EA370A9"/>
    <w:rsid w:val="3EA42E21"/>
    <w:rsid w:val="3EA63C21"/>
    <w:rsid w:val="3EA654D5"/>
    <w:rsid w:val="3EA65730"/>
    <w:rsid w:val="3EA66B99"/>
    <w:rsid w:val="3EA723C8"/>
    <w:rsid w:val="3EA80B63"/>
    <w:rsid w:val="3EA82911"/>
    <w:rsid w:val="3EA846BF"/>
    <w:rsid w:val="3EA84E11"/>
    <w:rsid w:val="3EA90437"/>
    <w:rsid w:val="3EA91123"/>
    <w:rsid w:val="3EA93779"/>
    <w:rsid w:val="3EAA0467"/>
    <w:rsid w:val="3EAA058E"/>
    <w:rsid w:val="3EAA5F37"/>
    <w:rsid w:val="3EAA6689"/>
    <w:rsid w:val="3EAA6B19"/>
    <w:rsid w:val="3EAB0654"/>
    <w:rsid w:val="3EAB1FF3"/>
    <w:rsid w:val="3EAB2402"/>
    <w:rsid w:val="3EAB29D6"/>
    <w:rsid w:val="3EAB458C"/>
    <w:rsid w:val="3EAD3A2C"/>
    <w:rsid w:val="3EAD487E"/>
    <w:rsid w:val="3EAD58D5"/>
    <w:rsid w:val="3EAD5DC7"/>
    <w:rsid w:val="3EAD617A"/>
    <w:rsid w:val="3EAD6F0F"/>
    <w:rsid w:val="3EAD7552"/>
    <w:rsid w:val="3EAE4B97"/>
    <w:rsid w:val="3EAF4400"/>
    <w:rsid w:val="3EB04EFD"/>
    <w:rsid w:val="3EB05890"/>
    <w:rsid w:val="3EB06E78"/>
    <w:rsid w:val="3EB07A18"/>
    <w:rsid w:val="3EB135A4"/>
    <w:rsid w:val="3EB147FE"/>
    <w:rsid w:val="3EB17CEF"/>
    <w:rsid w:val="3EB218F1"/>
    <w:rsid w:val="3EB230F5"/>
    <w:rsid w:val="3EB23790"/>
    <w:rsid w:val="3EB2553E"/>
    <w:rsid w:val="3EB4103A"/>
    <w:rsid w:val="3EB412B6"/>
    <w:rsid w:val="3EB43064"/>
    <w:rsid w:val="3EB44D35"/>
    <w:rsid w:val="3EB47508"/>
    <w:rsid w:val="3EB5064C"/>
    <w:rsid w:val="3EB53B83"/>
    <w:rsid w:val="3EB56DDC"/>
    <w:rsid w:val="3EB574D3"/>
    <w:rsid w:val="3EB6085E"/>
    <w:rsid w:val="3EB6576A"/>
    <w:rsid w:val="3EB66D3C"/>
    <w:rsid w:val="3EB70DA6"/>
    <w:rsid w:val="3EB72B54"/>
    <w:rsid w:val="3EB76FF8"/>
    <w:rsid w:val="3EB77744"/>
    <w:rsid w:val="3EB83623"/>
    <w:rsid w:val="3EB903A3"/>
    <w:rsid w:val="3EB92D70"/>
    <w:rsid w:val="3EB94594"/>
    <w:rsid w:val="3EB94B1E"/>
    <w:rsid w:val="3EB968CD"/>
    <w:rsid w:val="3EB97C4F"/>
    <w:rsid w:val="3EBA2AE0"/>
    <w:rsid w:val="3EBA43F3"/>
    <w:rsid w:val="3EBB1512"/>
    <w:rsid w:val="3EBB6BD8"/>
    <w:rsid w:val="3EBC5573"/>
    <w:rsid w:val="3EBC63BD"/>
    <w:rsid w:val="3EBE2135"/>
    <w:rsid w:val="3EBE7224"/>
    <w:rsid w:val="3EBF704A"/>
    <w:rsid w:val="3EBF7C5B"/>
    <w:rsid w:val="3EC02953"/>
    <w:rsid w:val="3EC03D67"/>
    <w:rsid w:val="3EC05ED9"/>
    <w:rsid w:val="3EC06668"/>
    <w:rsid w:val="3EC06DAE"/>
    <w:rsid w:val="3EC10D2A"/>
    <w:rsid w:val="3EC1233F"/>
    <w:rsid w:val="3EC139D3"/>
    <w:rsid w:val="3EC13A3E"/>
    <w:rsid w:val="3EC15781"/>
    <w:rsid w:val="3EC15796"/>
    <w:rsid w:val="3EC219EB"/>
    <w:rsid w:val="3EC27CA4"/>
    <w:rsid w:val="3EC3033B"/>
    <w:rsid w:val="3EC314F9"/>
    <w:rsid w:val="3EC3599D"/>
    <w:rsid w:val="3EC36BA6"/>
    <w:rsid w:val="3EC45203"/>
    <w:rsid w:val="3EC46BDA"/>
    <w:rsid w:val="3EC51303"/>
    <w:rsid w:val="3EC534C3"/>
    <w:rsid w:val="3EC61005"/>
    <w:rsid w:val="3EC7548D"/>
    <w:rsid w:val="3EC83F5E"/>
    <w:rsid w:val="3EC8699B"/>
    <w:rsid w:val="3EC86B10"/>
    <w:rsid w:val="3EC97650"/>
    <w:rsid w:val="3ECA0C57"/>
    <w:rsid w:val="3ECA1BCF"/>
    <w:rsid w:val="3ECA2888"/>
    <w:rsid w:val="3ECA6D2C"/>
    <w:rsid w:val="3ECA6DD4"/>
    <w:rsid w:val="3ECB11AE"/>
    <w:rsid w:val="3ECB45CE"/>
    <w:rsid w:val="3ECB4852"/>
    <w:rsid w:val="3ECB4937"/>
    <w:rsid w:val="3ECB6600"/>
    <w:rsid w:val="3ECB66E4"/>
    <w:rsid w:val="3ECB7CB8"/>
    <w:rsid w:val="3ECC3927"/>
    <w:rsid w:val="3ECC67C1"/>
    <w:rsid w:val="3ECC75DB"/>
    <w:rsid w:val="3ECD4126"/>
    <w:rsid w:val="3ECE5D97"/>
    <w:rsid w:val="3ECE7988"/>
    <w:rsid w:val="3ECF014B"/>
    <w:rsid w:val="3ECF1911"/>
    <w:rsid w:val="3ECF4342"/>
    <w:rsid w:val="3ED01E68"/>
    <w:rsid w:val="3ED03C16"/>
    <w:rsid w:val="3ED07293"/>
    <w:rsid w:val="3ED07A2C"/>
    <w:rsid w:val="3ED100BA"/>
    <w:rsid w:val="3ED2246F"/>
    <w:rsid w:val="3ED26CFC"/>
    <w:rsid w:val="3ED2798E"/>
    <w:rsid w:val="3ED30C29"/>
    <w:rsid w:val="3ED41958"/>
    <w:rsid w:val="3ED426BD"/>
    <w:rsid w:val="3ED43681"/>
    <w:rsid w:val="3ED43706"/>
    <w:rsid w:val="3ED5122D"/>
    <w:rsid w:val="3ED54040"/>
    <w:rsid w:val="3ED54AF6"/>
    <w:rsid w:val="3ED55600"/>
    <w:rsid w:val="3ED5590E"/>
    <w:rsid w:val="3ED55A26"/>
    <w:rsid w:val="3ED6747E"/>
    <w:rsid w:val="3ED67F0B"/>
    <w:rsid w:val="3ED70A3A"/>
    <w:rsid w:val="3ED71449"/>
    <w:rsid w:val="3ED746ED"/>
    <w:rsid w:val="3ED76239"/>
    <w:rsid w:val="3ED82DD3"/>
    <w:rsid w:val="3ED8314B"/>
    <w:rsid w:val="3ED86169"/>
    <w:rsid w:val="3ED93A82"/>
    <w:rsid w:val="3ED96F6F"/>
    <w:rsid w:val="3EDA0523"/>
    <w:rsid w:val="3EDA0712"/>
    <w:rsid w:val="3EDB1677"/>
    <w:rsid w:val="3EDB73BB"/>
    <w:rsid w:val="3EDC080D"/>
    <w:rsid w:val="3EDC25BB"/>
    <w:rsid w:val="3EDD0DB1"/>
    <w:rsid w:val="3EDE27D7"/>
    <w:rsid w:val="3EDF1C0F"/>
    <w:rsid w:val="3EDF616A"/>
    <w:rsid w:val="3EDF6589"/>
    <w:rsid w:val="3EE0172F"/>
    <w:rsid w:val="3EE01E9A"/>
    <w:rsid w:val="3EE021DB"/>
    <w:rsid w:val="3EE07BF9"/>
    <w:rsid w:val="3EE07C99"/>
    <w:rsid w:val="3EE07C9B"/>
    <w:rsid w:val="3EE14075"/>
    <w:rsid w:val="3EE17BD1"/>
    <w:rsid w:val="3EE17BE3"/>
    <w:rsid w:val="3EE22B7B"/>
    <w:rsid w:val="3EE33949"/>
    <w:rsid w:val="3EE35BD2"/>
    <w:rsid w:val="3EE37DED"/>
    <w:rsid w:val="3EE45D2D"/>
    <w:rsid w:val="3EE51F7D"/>
    <w:rsid w:val="3EE5303E"/>
    <w:rsid w:val="3EE536BA"/>
    <w:rsid w:val="3EE53B65"/>
    <w:rsid w:val="3EE54DD3"/>
    <w:rsid w:val="3EE55913"/>
    <w:rsid w:val="3EE55BC4"/>
    <w:rsid w:val="3EE576C2"/>
    <w:rsid w:val="3EE6168C"/>
    <w:rsid w:val="3EE61A25"/>
    <w:rsid w:val="3EE6343A"/>
    <w:rsid w:val="3EE651E8"/>
    <w:rsid w:val="3EE80F60"/>
    <w:rsid w:val="3EE85404"/>
    <w:rsid w:val="3EE90100"/>
    <w:rsid w:val="3EE94590"/>
    <w:rsid w:val="3EEA117C"/>
    <w:rsid w:val="3EEA2F2A"/>
    <w:rsid w:val="3EEA3F42"/>
    <w:rsid w:val="3EEA4CD8"/>
    <w:rsid w:val="3EEA53F2"/>
    <w:rsid w:val="3EEB2B09"/>
    <w:rsid w:val="3EEC2EC6"/>
    <w:rsid w:val="3EEC3F2E"/>
    <w:rsid w:val="3EEC45C8"/>
    <w:rsid w:val="3EEC4EF4"/>
    <w:rsid w:val="3EEC6CA2"/>
    <w:rsid w:val="3EEC7A8C"/>
    <w:rsid w:val="3EED04BF"/>
    <w:rsid w:val="3EED2026"/>
    <w:rsid w:val="3EED47C8"/>
    <w:rsid w:val="3EEE26ED"/>
    <w:rsid w:val="3EEF0540"/>
    <w:rsid w:val="3EEF22EE"/>
    <w:rsid w:val="3EEF6792"/>
    <w:rsid w:val="3EF01CB9"/>
    <w:rsid w:val="3EF0259C"/>
    <w:rsid w:val="3EF04142"/>
    <w:rsid w:val="3EF06066"/>
    <w:rsid w:val="3EF0768E"/>
    <w:rsid w:val="3EF07835"/>
    <w:rsid w:val="3EF1250A"/>
    <w:rsid w:val="3EF142B8"/>
    <w:rsid w:val="3EF148BA"/>
    <w:rsid w:val="3EF21DDE"/>
    <w:rsid w:val="3EF23AFC"/>
    <w:rsid w:val="3EF26282"/>
    <w:rsid w:val="3EF279A0"/>
    <w:rsid w:val="3EF416A3"/>
    <w:rsid w:val="3EF43A1E"/>
    <w:rsid w:val="3EF43DA9"/>
    <w:rsid w:val="3EF47905"/>
    <w:rsid w:val="3EF52B33"/>
    <w:rsid w:val="3EF53030"/>
    <w:rsid w:val="3EF6077D"/>
    <w:rsid w:val="3EF60EAA"/>
    <w:rsid w:val="3EF67B21"/>
    <w:rsid w:val="3EF70024"/>
    <w:rsid w:val="3EF73899"/>
    <w:rsid w:val="3EF75647"/>
    <w:rsid w:val="3EF76BEA"/>
    <w:rsid w:val="3EF76F56"/>
    <w:rsid w:val="3EF773F5"/>
    <w:rsid w:val="3EF84EA8"/>
    <w:rsid w:val="3EF8749B"/>
    <w:rsid w:val="3EF87DAD"/>
    <w:rsid w:val="3EF9145C"/>
    <w:rsid w:val="3EF9316D"/>
    <w:rsid w:val="3EF94CDF"/>
    <w:rsid w:val="3EF94F1B"/>
    <w:rsid w:val="3EF96381"/>
    <w:rsid w:val="3EFA29B8"/>
    <w:rsid w:val="3EFA4019"/>
    <w:rsid w:val="3EFA7F72"/>
    <w:rsid w:val="3EFB3AA3"/>
    <w:rsid w:val="3EFB69A5"/>
    <w:rsid w:val="3EFB6EE5"/>
    <w:rsid w:val="3EFC2C5D"/>
    <w:rsid w:val="3EFC4A0B"/>
    <w:rsid w:val="3EFD3336"/>
    <w:rsid w:val="3EFE0783"/>
    <w:rsid w:val="3EFE1347"/>
    <w:rsid w:val="3EFE1374"/>
    <w:rsid w:val="3EFE4C27"/>
    <w:rsid w:val="3EFE5326"/>
    <w:rsid w:val="3EFE64C4"/>
    <w:rsid w:val="3EFE69D5"/>
    <w:rsid w:val="3EFE7A1E"/>
    <w:rsid w:val="3EFF31BF"/>
    <w:rsid w:val="3EFF3695"/>
    <w:rsid w:val="3EFF4D66"/>
    <w:rsid w:val="3EFF59A5"/>
    <w:rsid w:val="3F0032B9"/>
    <w:rsid w:val="3F005D48"/>
    <w:rsid w:val="3F0062A9"/>
    <w:rsid w:val="3F007C46"/>
    <w:rsid w:val="3F010273"/>
    <w:rsid w:val="3F012022"/>
    <w:rsid w:val="3F022D70"/>
    <w:rsid w:val="3F025D83"/>
    <w:rsid w:val="3F0264C5"/>
    <w:rsid w:val="3F0279E8"/>
    <w:rsid w:val="3F030720"/>
    <w:rsid w:val="3F033FEC"/>
    <w:rsid w:val="3F035D9A"/>
    <w:rsid w:val="3F037A27"/>
    <w:rsid w:val="3F04526F"/>
    <w:rsid w:val="3F046402"/>
    <w:rsid w:val="3F051BCA"/>
    <w:rsid w:val="3F057D64"/>
    <w:rsid w:val="3F063AB8"/>
    <w:rsid w:val="3F07582B"/>
    <w:rsid w:val="3F07627F"/>
    <w:rsid w:val="3F077B19"/>
    <w:rsid w:val="3F081602"/>
    <w:rsid w:val="3F084E9A"/>
    <w:rsid w:val="3F0859EC"/>
    <w:rsid w:val="3F092439"/>
    <w:rsid w:val="3F095D69"/>
    <w:rsid w:val="3F0A711B"/>
    <w:rsid w:val="3F0A7128"/>
    <w:rsid w:val="3F0A7DA7"/>
    <w:rsid w:val="3F0B0E30"/>
    <w:rsid w:val="3F0B44DE"/>
    <w:rsid w:val="3F0B4C4E"/>
    <w:rsid w:val="3F0B5FE8"/>
    <w:rsid w:val="3F0C61E9"/>
    <w:rsid w:val="3F0D224A"/>
    <w:rsid w:val="3F0D398C"/>
    <w:rsid w:val="3F0D4E6A"/>
    <w:rsid w:val="3F0D6C18"/>
    <w:rsid w:val="3F0E002A"/>
    <w:rsid w:val="3F0E45D9"/>
    <w:rsid w:val="3F0F253D"/>
    <w:rsid w:val="3F0F473E"/>
    <w:rsid w:val="3F104FAC"/>
    <w:rsid w:val="3F105341"/>
    <w:rsid w:val="3F105DFF"/>
    <w:rsid w:val="3F10721A"/>
    <w:rsid w:val="3F1151BB"/>
    <w:rsid w:val="3F116709"/>
    <w:rsid w:val="3F122457"/>
    <w:rsid w:val="3F122481"/>
    <w:rsid w:val="3F12331E"/>
    <w:rsid w:val="3F12422F"/>
    <w:rsid w:val="3F125591"/>
    <w:rsid w:val="3F141D55"/>
    <w:rsid w:val="3F1439AE"/>
    <w:rsid w:val="3F1465D3"/>
    <w:rsid w:val="3F147FA7"/>
    <w:rsid w:val="3F163D1F"/>
    <w:rsid w:val="3F164A3D"/>
    <w:rsid w:val="3F165ACD"/>
    <w:rsid w:val="3F1714FE"/>
    <w:rsid w:val="3F171845"/>
    <w:rsid w:val="3F1812C3"/>
    <w:rsid w:val="3F185AAD"/>
    <w:rsid w:val="3F187A57"/>
    <w:rsid w:val="3F1907ED"/>
    <w:rsid w:val="3F191FEB"/>
    <w:rsid w:val="3F192FB5"/>
    <w:rsid w:val="3F1955BD"/>
    <w:rsid w:val="3F195930"/>
    <w:rsid w:val="3F19643D"/>
    <w:rsid w:val="3F1A23FC"/>
    <w:rsid w:val="3F1A3F59"/>
    <w:rsid w:val="3F1B102E"/>
    <w:rsid w:val="3F1B1335"/>
    <w:rsid w:val="3F1B16EB"/>
    <w:rsid w:val="3F1B30E3"/>
    <w:rsid w:val="3F1B46AB"/>
    <w:rsid w:val="3F1B5383"/>
    <w:rsid w:val="3F1C58E1"/>
    <w:rsid w:val="3F1C6E5B"/>
    <w:rsid w:val="3F1C70CA"/>
    <w:rsid w:val="3F1D0D3F"/>
    <w:rsid w:val="3F1D4D97"/>
    <w:rsid w:val="3F1E08A6"/>
    <w:rsid w:val="3F1E0E25"/>
    <w:rsid w:val="3F1E2131"/>
    <w:rsid w:val="3F1E2BD3"/>
    <w:rsid w:val="3F1E3507"/>
    <w:rsid w:val="3F1E4AD5"/>
    <w:rsid w:val="3F20000C"/>
    <w:rsid w:val="3F205AEF"/>
    <w:rsid w:val="3F20694C"/>
    <w:rsid w:val="3F2112DD"/>
    <w:rsid w:val="3F21209E"/>
    <w:rsid w:val="3F214472"/>
    <w:rsid w:val="3F2200A2"/>
    <w:rsid w:val="3F223AFD"/>
    <w:rsid w:val="3F23112A"/>
    <w:rsid w:val="3F2314D9"/>
    <w:rsid w:val="3F231BD2"/>
    <w:rsid w:val="3F23260D"/>
    <w:rsid w:val="3F23468E"/>
    <w:rsid w:val="3F235BB1"/>
    <w:rsid w:val="3F23643C"/>
    <w:rsid w:val="3F2410E0"/>
    <w:rsid w:val="3F241595"/>
    <w:rsid w:val="3F246A8E"/>
    <w:rsid w:val="3F25021C"/>
    <w:rsid w:val="3F2521B4"/>
    <w:rsid w:val="3F2530A2"/>
    <w:rsid w:val="3F253F62"/>
    <w:rsid w:val="3F2548AA"/>
    <w:rsid w:val="3F255D10"/>
    <w:rsid w:val="3F2630BD"/>
    <w:rsid w:val="3F270943"/>
    <w:rsid w:val="3F2710E7"/>
    <w:rsid w:val="3F275F2C"/>
    <w:rsid w:val="3F282059"/>
    <w:rsid w:val="3F285800"/>
    <w:rsid w:val="3F286817"/>
    <w:rsid w:val="3F286E52"/>
    <w:rsid w:val="3F2943AB"/>
    <w:rsid w:val="3F297E5C"/>
    <w:rsid w:val="3F2A1578"/>
    <w:rsid w:val="3F2A2EB3"/>
    <w:rsid w:val="3F2A51C0"/>
    <w:rsid w:val="3F2A5329"/>
    <w:rsid w:val="3F2A5A1C"/>
    <w:rsid w:val="3F2A77CA"/>
    <w:rsid w:val="3F2B2D95"/>
    <w:rsid w:val="3F2B54A3"/>
    <w:rsid w:val="3F2B709E"/>
    <w:rsid w:val="3F2C0D2F"/>
    <w:rsid w:val="3F2C1BEE"/>
    <w:rsid w:val="3F2C3542"/>
    <w:rsid w:val="3F2C753E"/>
    <w:rsid w:val="3F2D00F3"/>
    <w:rsid w:val="3F2D1069"/>
    <w:rsid w:val="3F2D2E17"/>
    <w:rsid w:val="3F2D72BA"/>
    <w:rsid w:val="3F2E1404"/>
    <w:rsid w:val="3F302144"/>
    <w:rsid w:val="3F307693"/>
    <w:rsid w:val="3F311645"/>
    <w:rsid w:val="3F31191C"/>
    <w:rsid w:val="3F312907"/>
    <w:rsid w:val="3F3146B5"/>
    <w:rsid w:val="3F3232A2"/>
    <w:rsid w:val="3F32667F"/>
    <w:rsid w:val="3F330D58"/>
    <w:rsid w:val="3F3423F7"/>
    <w:rsid w:val="3F3439C0"/>
    <w:rsid w:val="3F3453F5"/>
    <w:rsid w:val="3F347116"/>
    <w:rsid w:val="3F3643C1"/>
    <w:rsid w:val="3F373C95"/>
    <w:rsid w:val="3F3745BD"/>
    <w:rsid w:val="3F381B3A"/>
    <w:rsid w:val="3F381EE7"/>
    <w:rsid w:val="3F387406"/>
    <w:rsid w:val="3F395C5F"/>
    <w:rsid w:val="3F3971B6"/>
    <w:rsid w:val="3F3A1C1E"/>
    <w:rsid w:val="3F3A29A8"/>
    <w:rsid w:val="3F3B16A8"/>
    <w:rsid w:val="3F3B19D7"/>
    <w:rsid w:val="3F3B5533"/>
    <w:rsid w:val="3F3C03C4"/>
    <w:rsid w:val="3F3C12AC"/>
    <w:rsid w:val="3F3C138F"/>
    <w:rsid w:val="3F3C1EFA"/>
    <w:rsid w:val="3F3C6758"/>
    <w:rsid w:val="3F3C6F38"/>
    <w:rsid w:val="3F3D17DD"/>
    <w:rsid w:val="3F3D5750"/>
    <w:rsid w:val="3F3D5B5E"/>
    <w:rsid w:val="3F3D7B91"/>
    <w:rsid w:val="3F3E6DD2"/>
    <w:rsid w:val="3F3F3C49"/>
    <w:rsid w:val="3F400D9C"/>
    <w:rsid w:val="3F402745"/>
    <w:rsid w:val="3F406FEE"/>
    <w:rsid w:val="3F41113A"/>
    <w:rsid w:val="3F415EF7"/>
    <w:rsid w:val="3F4173A4"/>
    <w:rsid w:val="3F421D64"/>
    <w:rsid w:val="3F424B14"/>
    <w:rsid w:val="3F425B43"/>
    <w:rsid w:val="3F433C48"/>
    <w:rsid w:val="3F444E9C"/>
    <w:rsid w:val="3F446ADE"/>
    <w:rsid w:val="3F4505A4"/>
    <w:rsid w:val="3F454604"/>
    <w:rsid w:val="3F4546CD"/>
    <w:rsid w:val="3F45580A"/>
    <w:rsid w:val="3F46763A"/>
    <w:rsid w:val="3F472860"/>
    <w:rsid w:val="3F474725"/>
    <w:rsid w:val="3F4843F7"/>
    <w:rsid w:val="3F4851E2"/>
    <w:rsid w:val="3F487C50"/>
    <w:rsid w:val="3F491C06"/>
    <w:rsid w:val="3F494332"/>
    <w:rsid w:val="3F4978CC"/>
    <w:rsid w:val="3F497DCF"/>
    <w:rsid w:val="3F4A1C1A"/>
    <w:rsid w:val="3F4A39C9"/>
    <w:rsid w:val="3F4A5777"/>
    <w:rsid w:val="3F4B25C9"/>
    <w:rsid w:val="3F4B634C"/>
    <w:rsid w:val="3F4C367C"/>
    <w:rsid w:val="3F4D2603"/>
    <w:rsid w:val="3F4D2D6C"/>
    <w:rsid w:val="3F4D4769"/>
    <w:rsid w:val="3F4E33ED"/>
    <w:rsid w:val="3F4F3CE9"/>
    <w:rsid w:val="3F4F700E"/>
    <w:rsid w:val="3F4F7231"/>
    <w:rsid w:val="3F5042EC"/>
    <w:rsid w:val="3F507EBB"/>
    <w:rsid w:val="3F51605E"/>
    <w:rsid w:val="3F516B05"/>
    <w:rsid w:val="3F52287D"/>
    <w:rsid w:val="3F5256F3"/>
    <w:rsid w:val="3F5262EB"/>
    <w:rsid w:val="3F536D21"/>
    <w:rsid w:val="3F544847"/>
    <w:rsid w:val="3F5465F5"/>
    <w:rsid w:val="3F546F83"/>
    <w:rsid w:val="3F55184B"/>
    <w:rsid w:val="3F551B85"/>
    <w:rsid w:val="3F555E6F"/>
    <w:rsid w:val="3F5605BF"/>
    <w:rsid w:val="3F566811"/>
    <w:rsid w:val="3F5728C1"/>
    <w:rsid w:val="3F572FAD"/>
    <w:rsid w:val="3F577E93"/>
    <w:rsid w:val="3F5847F0"/>
    <w:rsid w:val="3F5851A8"/>
    <w:rsid w:val="3F585F31"/>
    <w:rsid w:val="3F591E5E"/>
    <w:rsid w:val="3F593C0C"/>
    <w:rsid w:val="3F5A0C9E"/>
    <w:rsid w:val="3F5A4973"/>
    <w:rsid w:val="3F5B1CE1"/>
    <w:rsid w:val="3F5B1D40"/>
    <w:rsid w:val="3F5B5BD6"/>
    <w:rsid w:val="3F5C6FC6"/>
    <w:rsid w:val="3F5D14B1"/>
    <w:rsid w:val="3F5D1D68"/>
    <w:rsid w:val="3F5D7BA0"/>
    <w:rsid w:val="3F5E1222"/>
    <w:rsid w:val="3F5F2E57"/>
    <w:rsid w:val="3F604F9A"/>
    <w:rsid w:val="3F607233"/>
    <w:rsid w:val="3F6103FE"/>
    <w:rsid w:val="3F61173D"/>
    <w:rsid w:val="3F6132F2"/>
    <w:rsid w:val="3F615018"/>
    <w:rsid w:val="3F615F9A"/>
    <w:rsid w:val="3F626F64"/>
    <w:rsid w:val="3F632CDC"/>
    <w:rsid w:val="3F636838"/>
    <w:rsid w:val="3F637D93"/>
    <w:rsid w:val="3F640E5A"/>
    <w:rsid w:val="3F6420B0"/>
    <w:rsid w:val="3F6525B0"/>
    <w:rsid w:val="3F656A54"/>
    <w:rsid w:val="3F6619C5"/>
    <w:rsid w:val="3F662BEF"/>
    <w:rsid w:val="3F663E5C"/>
    <w:rsid w:val="3F664DAB"/>
    <w:rsid w:val="3F666CB9"/>
    <w:rsid w:val="3F676329"/>
    <w:rsid w:val="3F676354"/>
    <w:rsid w:val="3F680C52"/>
    <w:rsid w:val="3F681C96"/>
    <w:rsid w:val="3F6830E8"/>
    <w:rsid w:val="3F68369F"/>
    <w:rsid w:val="3F6843A4"/>
    <w:rsid w:val="3F684B91"/>
    <w:rsid w:val="3F685AAB"/>
    <w:rsid w:val="3F6B5E24"/>
    <w:rsid w:val="3F6C1B91"/>
    <w:rsid w:val="3F6C3775"/>
    <w:rsid w:val="3F6C58E7"/>
    <w:rsid w:val="3F6C73AC"/>
    <w:rsid w:val="3F6D783F"/>
    <w:rsid w:val="3F6E3B5B"/>
    <w:rsid w:val="3F6E732E"/>
    <w:rsid w:val="3F6F15E7"/>
    <w:rsid w:val="3F6F1E30"/>
    <w:rsid w:val="3F6F62F1"/>
    <w:rsid w:val="3F6F78D3"/>
    <w:rsid w:val="3F7069A9"/>
    <w:rsid w:val="3F7075A8"/>
    <w:rsid w:val="3F710F55"/>
    <w:rsid w:val="3F71360C"/>
    <w:rsid w:val="3F713EEF"/>
    <w:rsid w:val="3F716AD8"/>
    <w:rsid w:val="3F726523"/>
    <w:rsid w:val="3F726C4C"/>
    <w:rsid w:val="3F731171"/>
    <w:rsid w:val="3F73566E"/>
    <w:rsid w:val="3F736D6E"/>
    <w:rsid w:val="3F740A45"/>
    <w:rsid w:val="3F741F6B"/>
    <w:rsid w:val="3F742888"/>
    <w:rsid w:val="3F750EB7"/>
    <w:rsid w:val="3F751185"/>
    <w:rsid w:val="3F755B23"/>
    <w:rsid w:val="3F756F75"/>
    <w:rsid w:val="3F760C61"/>
    <w:rsid w:val="3F761BA5"/>
    <w:rsid w:val="3F762246"/>
    <w:rsid w:val="3F762A0F"/>
    <w:rsid w:val="3F766CA5"/>
    <w:rsid w:val="3F770420"/>
    <w:rsid w:val="3F775056"/>
    <w:rsid w:val="3F776974"/>
    <w:rsid w:val="3F780536"/>
    <w:rsid w:val="3F7828BD"/>
    <w:rsid w:val="3F783B62"/>
    <w:rsid w:val="3F79089D"/>
    <w:rsid w:val="3F7939A4"/>
    <w:rsid w:val="3F7942AE"/>
    <w:rsid w:val="3F79605C"/>
    <w:rsid w:val="3F7970D4"/>
    <w:rsid w:val="3F7A2500"/>
    <w:rsid w:val="3F7B1DD4"/>
    <w:rsid w:val="3F7C101A"/>
    <w:rsid w:val="3F7C4114"/>
    <w:rsid w:val="3F7C5149"/>
    <w:rsid w:val="3F7D2814"/>
    <w:rsid w:val="3F7D78FA"/>
    <w:rsid w:val="3F7E0579"/>
    <w:rsid w:val="3F7E131D"/>
    <w:rsid w:val="3F7E3672"/>
    <w:rsid w:val="3F80388E"/>
    <w:rsid w:val="3F80563C"/>
    <w:rsid w:val="3F8165CD"/>
    <w:rsid w:val="3F82238B"/>
    <w:rsid w:val="3F823162"/>
    <w:rsid w:val="3F823497"/>
    <w:rsid w:val="3F827606"/>
    <w:rsid w:val="3F827A5D"/>
    <w:rsid w:val="3F83178C"/>
    <w:rsid w:val="3F83414E"/>
    <w:rsid w:val="3F835B6B"/>
    <w:rsid w:val="3F836EDA"/>
    <w:rsid w:val="3F842C46"/>
    <w:rsid w:val="3F843EFD"/>
    <w:rsid w:val="3F852C53"/>
    <w:rsid w:val="3F853159"/>
    <w:rsid w:val="3F854A01"/>
    <w:rsid w:val="3F855A6D"/>
    <w:rsid w:val="3F861558"/>
    <w:rsid w:val="3F8663DE"/>
    <w:rsid w:val="3F8716F7"/>
    <w:rsid w:val="3F871D3B"/>
    <w:rsid w:val="3F87539E"/>
    <w:rsid w:val="3F876585"/>
    <w:rsid w:val="3F8769CB"/>
    <w:rsid w:val="3F876C99"/>
    <w:rsid w:val="3F884460"/>
    <w:rsid w:val="3F8844F1"/>
    <w:rsid w:val="3F88629F"/>
    <w:rsid w:val="3F894D5F"/>
    <w:rsid w:val="3F8A0269"/>
    <w:rsid w:val="3F8A61EF"/>
    <w:rsid w:val="3F8A6E6C"/>
    <w:rsid w:val="3F8B1854"/>
    <w:rsid w:val="3F8B34BE"/>
    <w:rsid w:val="3F8C106D"/>
    <w:rsid w:val="3F8C5D8F"/>
    <w:rsid w:val="3F8E1B07"/>
    <w:rsid w:val="3F8E584C"/>
    <w:rsid w:val="3F8E6043"/>
    <w:rsid w:val="3F8F3AD1"/>
    <w:rsid w:val="3F8F4FDF"/>
    <w:rsid w:val="3F8F75F0"/>
    <w:rsid w:val="3F9133A5"/>
    <w:rsid w:val="3F917849"/>
    <w:rsid w:val="3F922B13"/>
    <w:rsid w:val="3F9309E2"/>
    <w:rsid w:val="3F9354AF"/>
    <w:rsid w:val="3F9410E8"/>
    <w:rsid w:val="3F941B41"/>
    <w:rsid w:val="3F942E96"/>
    <w:rsid w:val="3F945165"/>
    <w:rsid w:val="3F95733A"/>
    <w:rsid w:val="3F961F70"/>
    <w:rsid w:val="3F962BCC"/>
    <w:rsid w:val="3F964792"/>
    <w:rsid w:val="3F964E60"/>
    <w:rsid w:val="3F966C0E"/>
    <w:rsid w:val="3F975C22"/>
    <w:rsid w:val="3F977363"/>
    <w:rsid w:val="3F982986"/>
    <w:rsid w:val="3F9860EA"/>
    <w:rsid w:val="3F990220"/>
    <w:rsid w:val="3F9904AC"/>
    <w:rsid w:val="3F991D9A"/>
    <w:rsid w:val="3F993190"/>
    <w:rsid w:val="3F993DB6"/>
    <w:rsid w:val="3F994854"/>
    <w:rsid w:val="3F994B4B"/>
    <w:rsid w:val="3F9A45A3"/>
    <w:rsid w:val="3F9A5609"/>
    <w:rsid w:val="3F9A75EA"/>
    <w:rsid w:val="3F9B2DCE"/>
    <w:rsid w:val="3F9B4224"/>
    <w:rsid w:val="3F9B5FD2"/>
    <w:rsid w:val="3F9B7174"/>
    <w:rsid w:val="3F9C6DE5"/>
    <w:rsid w:val="3F9C76D7"/>
    <w:rsid w:val="3F9D1D4A"/>
    <w:rsid w:val="3F9D25E1"/>
    <w:rsid w:val="3F9D3E9B"/>
    <w:rsid w:val="3F9D4995"/>
    <w:rsid w:val="3F9E5AF5"/>
    <w:rsid w:val="3F9F27C2"/>
    <w:rsid w:val="3FA0241A"/>
    <w:rsid w:val="3FA02F67"/>
    <w:rsid w:val="3FA05310"/>
    <w:rsid w:val="3FA06D36"/>
    <w:rsid w:val="3FA10E42"/>
    <w:rsid w:val="3FA167BE"/>
    <w:rsid w:val="3FA24216"/>
    <w:rsid w:val="3FA27361"/>
    <w:rsid w:val="3FA35906"/>
    <w:rsid w:val="3FA36D96"/>
    <w:rsid w:val="3FA40226"/>
    <w:rsid w:val="3FA409A7"/>
    <w:rsid w:val="3FA42F82"/>
    <w:rsid w:val="3FA443F7"/>
    <w:rsid w:val="3FA4757D"/>
    <w:rsid w:val="3FA5242B"/>
    <w:rsid w:val="3FA532F5"/>
    <w:rsid w:val="3FA54DF8"/>
    <w:rsid w:val="3FA550A3"/>
    <w:rsid w:val="3FA60462"/>
    <w:rsid w:val="3FA605EB"/>
    <w:rsid w:val="3FA622E4"/>
    <w:rsid w:val="3FA629CD"/>
    <w:rsid w:val="3FA70E1B"/>
    <w:rsid w:val="3FA7706D"/>
    <w:rsid w:val="3FA806EF"/>
    <w:rsid w:val="3FA81422"/>
    <w:rsid w:val="3FA8161E"/>
    <w:rsid w:val="3FA825B7"/>
    <w:rsid w:val="3FA828F8"/>
    <w:rsid w:val="3FA86214"/>
    <w:rsid w:val="3FA9256D"/>
    <w:rsid w:val="3FA94B93"/>
    <w:rsid w:val="3FA96941"/>
    <w:rsid w:val="3FAA26B9"/>
    <w:rsid w:val="3FAA57D9"/>
    <w:rsid w:val="3FAB1B83"/>
    <w:rsid w:val="3FAB6C69"/>
    <w:rsid w:val="3FAC4683"/>
    <w:rsid w:val="3FAD6DE1"/>
    <w:rsid w:val="3FAE03FB"/>
    <w:rsid w:val="3FAE2B17"/>
    <w:rsid w:val="3FAF0E9F"/>
    <w:rsid w:val="3FAF1A7E"/>
    <w:rsid w:val="3FAF705E"/>
    <w:rsid w:val="3FB03A4C"/>
    <w:rsid w:val="3FB075D3"/>
    <w:rsid w:val="3FB07FFA"/>
    <w:rsid w:val="3FB1139A"/>
    <w:rsid w:val="3FB11C9A"/>
    <w:rsid w:val="3FB1220D"/>
    <w:rsid w:val="3FB13A48"/>
    <w:rsid w:val="3FB157F6"/>
    <w:rsid w:val="3FB22748"/>
    <w:rsid w:val="3FB3156E"/>
    <w:rsid w:val="3FB34C03"/>
    <w:rsid w:val="3FB40875"/>
    <w:rsid w:val="3FB47094"/>
    <w:rsid w:val="3FB524F5"/>
    <w:rsid w:val="3FB5593F"/>
    <w:rsid w:val="3FB6105E"/>
    <w:rsid w:val="3FB62E0C"/>
    <w:rsid w:val="3FB65415"/>
    <w:rsid w:val="3FB7023A"/>
    <w:rsid w:val="3FB70770"/>
    <w:rsid w:val="3FB8126D"/>
    <w:rsid w:val="3FB83028"/>
    <w:rsid w:val="3FB84DD6"/>
    <w:rsid w:val="3FB926FD"/>
    <w:rsid w:val="3FB928FC"/>
    <w:rsid w:val="3FBA07EE"/>
    <w:rsid w:val="3FBA11A3"/>
    <w:rsid w:val="3FBA2BAA"/>
    <w:rsid w:val="3FBB48C6"/>
    <w:rsid w:val="3FBB6674"/>
    <w:rsid w:val="3FBC2866"/>
    <w:rsid w:val="3FBC2D85"/>
    <w:rsid w:val="3FBC591E"/>
    <w:rsid w:val="3FBD063E"/>
    <w:rsid w:val="3FBD1171"/>
    <w:rsid w:val="3FBD1E28"/>
    <w:rsid w:val="3FBD250E"/>
    <w:rsid w:val="3FBD419A"/>
    <w:rsid w:val="3FBD5717"/>
    <w:rsid w:val="3FBD764B"/>
    <w:rsid w:val="3FBE0347"/>
    <w:rsid w:val="3FBE0840"/>
    <w:rsid w:val="3FBE2898"/>
    <w:rsid w:val="3FBE399E"/>
    <w:rsid w:val="3FBE61D5"/>
    <w:rsid w:val="3FBE7ABC"/>
    <w:rsid w:val="3FBE7F13"/>
    <w:rsid w:val="3FBF05D4"/>
    <w:rsid w:val="3FBF346F"/>
    <w:rsid w:val="3FC01EDD"/>
    <w:rsid w:val="3FC040CD"/>
    <w:rsid w:val="3FC079FF"/>
    <w:rsid w:val="3FC14601"/>
    <w:rsid w:val="3FC22E6C"/>
    <w:rsid w:val="3FC242F5"/>
    <w:rsid w:val="3FC25C55"/>
    <w:rsid w:val="3FC27573"/>
    <w:rsid w:val="3FC27A03"/>
    <w:rsid w:val="3FC30596"/>
    <w:rsid w:val="3FC337AF"/>
    <w:rsid w:val="3FC35D1F"/>
    <w:rsid w:val="3FC36F46"/>
    <w:rsid w:val="3FC43344"/>
    <w:rsid w:val="3FC45529"/>
    <w:rsid w:val="3FC456AD"/>
    <w:rsid w:val="3FC538A5"/>
    <w:rsid w:val="3FC65745"/>
    <w:rsid w:val="3FC706E7"/>
    <w:rsid w:val="3FC714BD"/>
    <w:rsid w:val="3FC733A8"/>
    <w:rsid w:val="3FC75019"/>
    <w:rsid w:val="3FC77BB3"/>
    <w:rsid w:val="3FC84A37"/>
    <w:rsid w:val="3FC84A83"/>
    <w:rsid w:val="3FC86191"/>
    <w:rsid w:val="3FC90429"/>
    <w:rsid w:val="3FC90D91"/>
    <w:rsid w:val="3FC92B3F"/>
    <w:rsid w:val="3FC96FE3"/>
    <w:rsid w:val="3FCA14E1"/>
    <w:rsid w:val="3FCA1B5C"/>
    <w:rsid w:val="3FCA4B09"/>
    <w:rsid w:val="3FCA68B7"/>
    <w:rsid w:val="3FCB0346"/>
    <w:rsid w:val="3FCB2D5B"/>
    <w:rsid w:val="3FCB6213"/>
    <w:rsid w:val="3FCC0881"/>
    <w:rsid w:val="3FCC262F"/>
    <w:rsid w:val="3FCC6AD3"/>
    <w:rsid w:val="3FCC6FA7"/>
    <w:rsid w:val="3FCD1282"/>
    <w:rsid w:val="3FCD30FD"/>
    <w:rsid w:val="3FCD36F4"/>
    <w:rsid w:val="3FCD73F8"/>
    <w:rsid w:val="3FCD7A84"/>
    <w:rsid w:val="3FCE63A8"/>
    <w:rsid w:val="3FCF0CC7"/>
    <w:rsid w:val="3FCF3ECE"/>
    <w:rsid w:val="3FD016CF"/>
    <w:rsid w:val="3FD02E10"/>
    <w:rsid w:val="3FD10B14"/>
    <w:rsid w:val="3FD10D49"/>
    <w:rsid w:val="3FD124CF"/>
    <w:rsid w:val="3FD1356F"/>
    <w:rsid w:val="3FD13C3B"/>
    <w:rsid w:val="3FD15E98"/>
    <w:rsid w:val="3FD17951"/>
    <w:rsid w:val="3FD17C46"/>
    <w:rsid w:val="3FD20B1B"/>
    <w:rsid w:val="3FD23571"/>
    <w:rsid w:val="3FD3040C"/>
    <w:rsid w:val="3FD35E75"/>
    <w:rsid w:val="3FD42730"/>
    <w:rsid w:val="3FD52F9F"/>
    <w:rsid w:val="3FD57736"/>
    <w:rsid w:val="3FD61700"/>
    <w:rsid w:val="3FD63366"/>
    <w:rsid w:val="3FD634AE"/>
    <w:rsid w:val="3FD747F6"/>
    <w:rsid w:val="3FD74D97"/>
    <w:rsid w:val="3FD820CB"/>
    <w:rsid w:val="3FD91CE7"/>
    <w:rsid w:val="3FD967DA"/>
    <w:rsid w:val="3FDA0DE9"/>
    <w:rsid w:val="3FDA1A36"/>
    <w:rsid w:val="3FDA3177"/>
    <w:rsid w:val="3FDA353E"/>
    <w:rsid w:val="3FDA4D4C"/>
    <w:rsid w:val="3FDA5D85"/>
    <w:rsid w:val="3FDB0AC5"/>
    <w:rsid w:val="3FDB1DDF"/>
    <w:rsid w:val="3FDB2063"/>
    <w:rsid w:val="3FDB2873"/>
    <w:rsid w:val="3FDC3625"/>
    <w:rsid w:val="3FDC7453"/>
    <w:rsid w:val="3FDD138D"/>
    <w:rsid w:val="3FDD670B"/>
    <w:rsid w:val="3FDE5007"/>
    <w:rsid w:val="3FDE6B5D"/>
    <w:rsid w:val="3FDF05B5"/>
    <w:rsid w:val="3FDF2363"/>
    <w:rsid w:val="3FDF28E6"/>
    <w:rsid w:val="3FDF478C"/>
    <w:rsid w:val="3FDF6807"/>
    <w:rsid w:val="3FE0432D"/>
    <w:rsid w:val="3FE07E89"/>
    <w:rsid w:val="3FE1075D"/>
    <w:rsid w:val="3FE11ABA"/>
    <w:rsid w:val="3FE1257F"/>
    <w:rsid w:val="3FE15B87"/>
    <w:rsid w:val="3FE179BE"/>
    <w:rsid w:val="3FE205B4"/>
    <w:rsid w:val="3FE21E53"/>
    <w:rsid w:val="3FE23678"/>
    <w:rsid w:val="3FE3596A"/>
    <w:rsid w:val="3FE40160"/>
    <w:rsid w:val="3FE4207C"/>
    <w:rsid w:val="3FE47979"/>
    <w:rsid w:val="3FE511EB"/>
    <w:rsid w:val="3FE536F1"/>
    <w:rsid w:val="3FE54E65"/>
    <w:rsid w:val="3FE6171A"/>
    <w:rsid w:val="3FE67B95"/>
    <w:rsid w:val="3FE71217"/>
    <w:rsid w:val="3FE71762"/>
    <w:rsid w:val="3FE756BB"/>
    <w:rsid w:val="3FE760FB"/>
    <w:rsid w:val="3FE82C3C"/>
    <w:rsid w:val="3FE87B15"/>
    <w:rsid w:val="3FE9018C"/>
    <w:rsid w:val="3FE97E67"/>
    <w:rsid w:val="3FEA0D08"/>
    <w:rsid w:val="3FEA2C6C"/>
    <w:rsid w:val="3FEA5D65"/>
    <w:rsid w:val="3FEB4045"/>
    <w:rsid w:val="3FEB51AC"/>
    <w:rsid w:val="3FEB5955"/>
    <w:rsid w:val="3FEB6680"/>
    <w:rsid w:val="3FEB7DCD"/>
    <w:rsid w:val="3FEC4A80"/>
    <w:rsid w:val="3FEC5C58"/>
    <w:rsid w:val="3FED5F8F"/>
    <w:rsid w:val="3FEE0036"/>
    <w:rsid w:val="3FEE178B"/>
    <w:rsid w:val="3FEE25A6"/>
    <w:rsid w:val="3FEE6A4A"/>
    <w:rsid w:val="3FEF0EFA"/>
    <w:rsid w:val="3FEF631E"/>
    <w:rsid w:val="3FF10071"/>
    <w:rsid w:val="3FF11A54"/>
    <w:rsid w:val="3FF1235F"/>
    <w:rsid w:val="3FF14077"/>
    <w:rsid w:val="3FF17476"/>
    <w:rsid w:val="3FF245F3"/>
    <w:rsid w:val="3FF27CBD"/>
    <w:rsid w:val="3FF3580C"/>
    <w:rsid w:val="3FF35E0E"/>
    <w:rsid w:val="3FF36495"/>
    <w:rsid w:val="3FF36950"/>
    <w:rsid w:val="3FF37BBC"/>
    <w:rsid w:val="3FF42936"/>
    <w:rsid w:val="3FF51B86"/>
    <w:rsid w:val="3FF53860"/>
    <w:rsid w:val="3FF53F62"/>
    <w:rsid w:val="3FF54CA4"/>
    <w:rsid w:val="3FF5605D"/>
    <w:rsid w:val="3FF5614F"/>
    <w:rsid w:val="3FF56F7D"/>
    <w:rsid w:val="3FF637E3"/>
    <w:rsid w:val="3FF650C6"/>
    <w:rsid w:val="3FF70A9B"/>
    <w:rsid w:val="3FF73B50"/>
    <w:rsid w:val="3FF8100B"/>
    <w:rsid w:val="3FF83425"/>
    <w:rsid w:val="3FF87294"/>
    <w:rsid w:val="3FFA1020"/>
    <w:rsid w:val="3FFA1F8C"/>
    <w:rsid w:val="3FFB24B0"/>
    <w:rsid w:val="3FFB2A92"/>
    <w:rsid w:val="3FFB4CC3"/>
    <w:rsid w:val="3FFC1167"/>
    <w:rsid w:val="3FFC4972"/>
    <w:rsid w:val="3FFC694A"/>
    <w:rsid w:val="3FFC73F9"/>
    <w:rsid w:val="3FFD0EBA"/>
    <w:rsid w:val="3FFD4EDF"/>
    <w:rsid w:val="3FFD5B5B"/>
    <w:rsid w:val="3FFD6C8D"/>
    <w:rsid w:val="3FFE5002"/>
    <w:rsid w:val="3FFF0C57"/>
    <w:rsid w:val="3FFF47B3"/>
    <w:rsid w:val="4000052B"/>
    <w:rsid w:val="400022D9"/>
    <w:rsid w:val="40002AE0"/>
    <w:rsid w:val="40003751"/>
    <w:rsid w:val="40007F1A"/>
    <w:rsid w:val="400128B1"/>
    <w:rsid w:val="4001677D"/>
    <w:rsid w:val="40020CF4"/>
    <w:rsid w:val="400224F5"/>
    <w:rsid w:val="4002362B"/>
    <w:rsid w:val="400277B2"/>
    <w:rsid w:val="40033813"/>
    <w:rsid w:val="40044CA3"/>
    <w:rsid w:val="40061FE5"/>
    <w:rsid w:val="40063D93"/>
    <w:rsid w:val="400675C3"/>
    <w:rsid w:val="400718BA"/>
    <w:rsid w:val="40072194"/>
    <w:rsid w:val="40073668"/>
    <w:rsid w:val="400804D1"/>
    <w:rsid w:val="4008462D"/>
    <w:rsid w:val="40084B0B"/>
    <w:rsid w:val="40084FE2"/>
    <w:rsid w:val="40095632"/>
    <w:rsid w:val="40095F04"/>
    <w:rsid w:val="400A0BDA"/>
    <w:rsid w:val="400A7FE8"/>
    <w:rsid w:val="400B13AA"/>
    <w:rsid w:val="400B332E"/>
    <w:rsid w:val="400C07A8"/>
    <w:rsid w:val="400C2201"/>
    <w:rsid w:val="400C497A"/>
    <w:rsid w:val="400C6ED0"/>
    <w:rsid w:val="400D3374"/>
    <w:rsid w:val="400D525B"/>
    <w:rsid w:val="400D54DB"/>
    <w:rsid w:val="400D7496"/>
    <w:rsid w:val="400E0E9A"/>
    <w:rsid w:val="400E2C48"/>
    <w:rsid w:val="400E39C0"/>
    <w:rsid w:val="400E49F6"/>
    <w:rsid w:val="400E5D55"/>
    <w:rsid w:val="400F353D"/>
    <w:rsid w:val="400F49F9"/>
    <w:rsid w:val="400F6B22"/>
    <w:rsid w:val="4010076E"/>
    <w:rsid w:val="4010139C"/>
    <w:rsid w:val="40103246"/>
    <w:rsid w:val="40104E53"/>
    <w:rsid w:val="40112738"/>
    <w:rsid w:val="401144E6"/>
    <w:rsid w:val="401146D6"/>
    <w:rsid w:val="4012098A"/>
    <w:rsid w:val="401239C3"/>
    <w:rsid w:val="401239E9"/>
    <w:rsid w:val="4013114D"/>
    <w:rsid w:val="40141BC7"/>
    <w:rsid w:val="4014361C"/>
    <w:rsid w:val="40152228"/>
    <w:rsid w:val="40153057"/>
    <w:rsid w:val="40155D85"/>
    <w:rsid w:val="401579F8"/>
    <w:rsid w:val="40166203"/>
    <w:rsid w:val="40171ED9"/>
    <w:rsid w:val="40175FA1"/>
    <w:rsid w:val="40176848"/>
    <w:rsid w:val="40181D19"/>
    <w:rsid w:val="40183119"/>
    <w:rsid w:val="4018361A"/>
    <w:rsid w:val="401845A9"/>
    <w:rsid w:val="40185450"/>
    <w:rsid w:val="40192526"/>
    <w:rsid w:val="40195FEE"/>
    <w:rsid w:val="401A15ED"/>
    <w:rsid w:val="401A783F"/>
    <w:rsid w:val="401A7CB1"/>
    <w:rsid w:val="401B054E"/>
    <w:rsid w:val="401B11C3"/>
    <w:rsid w:val="401B1A9A"/>
    <w:rsid w:val="401B7113"/>
    <w:rsid w:val="401C35B7"/>
    <w:rsid w:val="401C5065"/>
    <w:rsid w:val="401C5365"/>
    <w:rsid w:val="401C6D2E"/>
    <w:rsid w:val="401D25DA"/>
    <w:rsid w:val="401E7B44"/>
    <w:rsid w:val="401E7C2F"/>
    <w:rsid w:val="401F09B1"/>
    <w:rsid w:val="401F149E"/>
    <w:rsid w:val="401F18AB"/>
    <w:rsid w:val="401F4E55"/>
    <w:rsid w:val="401F6C03"/>
    <w:rsid w:val="40204729"/>
    <w:rsid w:val="40204B2E"/>
    <w:rsid w:val="4021376A"/>
    <w:rsid w:val="402141CB"/>
    <w:rsid w:val="402204A1"/>
    <w:rsid w:val="40221D9B"/>
    <w:rsid w:val="40222C18"/>
    <w:rsid w:val="40224945"/>
    <w:rsid w:val="40225914"/>
    <w:rsid w:val="402266F3"/>
    <w:rsid w:val="402317B5"/>
    <w:rsid w:val="4023319A"/>
    <w:rsid w:val="40233626"/>
    <w:rsid w:val="40235625"/>
    <w:rsid w:val="402356C6"/>
    <w:rsid w:val="40235EC8"/>
    <w:rsid w:val="402406BD"/>
    <w:rsid w:val="40241345"/>
    <w:rsid w:val="40243ABE"/>
    <w:rsid w:val="4025430E"/>
    <w:rsid w:val="40254F7A"/>
    <w:rsid w:val="402661E4"/>
    <w:rsid w:val="40266BAD"/>
    <w:rsid w:val="40270979"/>
    <w:rsid w:val="40271F5C"/>
    <w:rsid w:val="40280E2E"/>
    <w:rsid w:val="40290788"/>
    <w:rsid w:val="402916C7"/>
    <w:rsid w:val="40292BA4"/>
    <w:rsid w:val="40297A82"/>
    <w:rsid w:val="402A5051"/>
    <w:rsid w:val="402A69BE"/>
    <w:rsid w:val="402B1A4C"/>
    <w:rsid w:val="402B22B9"/>
    <w:rsid w:val="402B76EB"/>
    <w:rsid w:val="402B78EE"/>
    <w:rsid w:val="402C1320"/>
    <w:rsid w:val="402C3C7D"/>
    <w:rsid w:val="402D07D0"/>
    <w:rsid w:val="402D1692"/>
    <w:rsid w:val="402D22F7"/>
    <w:rsid w:val="402D47FF"/>
    <w:rsid w:val="402E32EA"/>
    <w:rsid w:val="402E72DA"/>
    <w:rsid w:val="402F2998"/>
    <w:rsid w:val="402F4312"/>
    <w:rsid w:val="40300E10"/>
    <w:rsid w:val="40307062"/>
    <w:rsid w:val="403145AA"/>
    <w:rsid w:val="40316677"/>
    <w:rsid w:val="403176FB"/>
    <w:rsid w:val="40317F27"/>
    <w:rsid w:val="403232D8"/>
    <w:rsid w:val="40327319"/>
    <w:rsid w:val="4033445D"/>
    <w:rsid w:val="40334775"/>
    <w:rsid w:val="40334DAD"/>
    <w:rsid w:val="40343B61"/>
    <w:rsid w:val="403501D5"/>
    <w:rsid w:val="40356427"/>
    <w:rsid w:val="40357678"/>
    <w:rsid w:val="403703F1"/>
    <w:rsid w:val="4037302B"/>
    <w:rsid w:val="40381A73"/>
    <w:rsid w:val="40383DA2"/>
    <w:rsid w:val="40386350"/>
    <w:rsid w:val="403873C0"/>
    <w:rsid w:val="40387CC5"/>
    <w:rsid w:val="403905A8"/>
    <w:rsid w:val="40390C1D"/>
    <w:rsid w:val="403A1C8F"/>
    <w:rsid w:val="403A37EC"/>
    <w:rsid w:val="403A57EB"/>
    <w:rsid w:val="403B16C0"/>
    <w:rsid w:val="403B1FC4"/>
    <w:rsid w:val="403C03AD"/>
    <w:rsid w:val="403C2F4C"/>
    <w:rsid w:val="403C3640"/>
    <w:rsid w:val="403C4F42"/>
    <w:rsid w:val="403C5A07"/>
    <w:rsid w:val="403C75C2"/>
    <w:rsid w:val="403C77B5"/>
    <w:rsid w:val="403C7F05"/>
    <w:rsid w:val="403D352D"/>
    <w:rsid w:val="403D39A3"/>
    <w:rsid w:val="403D54E9"/>
    <w:rsid w:val="403E7FA2"/>
    <w:rsid w:val="403F2E01"/>
    <w:rsid w:val="403F5761"/>
    <w:rsid w:val="404046DF"/>
    <w:rsid w:val="40410AF5"/>
    <w:rsid w:val="4041301D"/>
    <w:rsid w:val="40414DCB"/>
    <w:rsid w:val="40416B7A"/>
    <w:rsid w:val="40416CF9"/>
    <w:rsid w:val="404228F2"/>
    <w:rsid w:val="40422F58"/>
    <w:rsid w:val="40424ECA"/>
    <w:rsid w:val="40427815"/>
    <w:rsid w:val="40430CC1"/>
    <w:rsid w:val="404360D4"/>
    <w:rsid w:val="4043728E"/>
    <w:rsid w:val="404408BB"/>
    <w:rsid w:val="40442B0E"/>
    <w:rsid w:val="40442E79"/>
    <w:rsid w:val="40443D78"/>
    <w:rsid w:val="404448BC"/>
    <w:rsid w:val="40451F74"/>
    <w:rsid w:val="4045291D"/>
    <w:rsid w:val="404571AC"/>
    <w:rsid w:val="404623E2"/>
    <w:rsid w:val="40464190"/>
    <w:rsid w:val="4047578D"/>
    <w:rsid w:val="40475EE5"/>
    <w:rsid w:val="40476494"/>
    <w:rsid w:val="40477F08"/>
    <w:rsid w:val="40481C0E"/>
    <w:rsid w:val="40481D0D"/>
    <w:rsid w:val="4048209A"/>
    <w:rsid w:val="40483B41"/>
    <w:rsid w:val="40483F25"/>
    <w:rsid w:val="404843AC"/>
    <w:rsid w:val="40484C39"/>
    <w:rsid w:val="40490124"/>
    <w:rsid w:val="404916FA"/>
    <w:rsid w:val="4049295D"/>
    <w:rsid w:val="40494752"/>
    <w:rsid w:val="404A11A6"/>
    <w:rsid w:val="404A33D6"/>
    <w:rsid w:val="404A7F3B"/>
    <w:rsid w:val="404B3E9C"/>
    <w:rsid w:val="404B79F8"/>
    <w:rsid w:val="404C08C7"/>
    <w:rsid w:val="404C30FB"/>
    <w:rsid w:val="404C3770"/>
    <w:rsid w:val="404C49C9"/>
    <w:rsid w:val="404C4E87"/>
    <w:rsid w:val="404C65D6"/>
    <w:rsid w:val="404D1D57"/>
    <w:rsid w:val="404D33A1"/>
    <w:rsid w:val="404D4928"/>
    <w:rsid w:val="404D5BC1"/>
    <w:rsid w:val="404D6255"/>
    <w:rsid w:val="404E371D"/>
    <w:rsid w:val="404E573A"/>
    <w:rsid w:val="404E5DB8"/>
    <w:rsid w:val="404E61D4"/>
    <w:rsid w:val="404E7C3E"/>
    <w:rsid w:val="405014B2"/>
    <w:rsid w:val="40504D37"/>
    <w:rsid w:val="4050500F"/>
    <w:rsid w:val="40512B09"/>
    <w:rsid w:val="40520D87"/>
    <w:rsid w:val="405214DD"/>
    <w:rsid w:val="40521A68"/>
    <w:rsid w:val="40523970"/>
    <w:rsid w:val="405257D8"/>
    <w:rsid w:val="40526FD9"/>
    <w:rsid w:val="4053079A"/>
    <w:rsid w:val="40532D51"/>
    <w:rsid w:val="40534269"/>
    <w:rsid w:val="40534AFF"/>
    <w:rsid w:val="40536E11"/>
    <w:rsid w:val="405512CE"/>
    <w:rsid w:val="40563C91"/>
    <w:rsid w:val="40565671"/>
    <w:rsid w:val="405745EF"/>
    <w:rsid w:val="4057639D"/>
    <w:rsid w:val="40582115"/>
    <w:rsid w:val="40582AFB"/>
    <w:rsid w:val="40586E6A"/>
    <w:rsid w:val="40590F56"/>
    <w:rsid w:val="40591050"/>
    <w:rsid w:val="40597B27"/>
    <w:rsid w:val="405A15D4"/>
    <w:rsid w:val="405A24CA"/>
    <w:rsid w:val="405A296D"/>
    <w:rsid w:val="405A40DF"/>
    <w:rsid w:val="405A5E8D"/>
    <w:rsid w:val="405A6FFA"/>
    <w:rsid w:val="405B6B47"/>
    <w:rsid w:val="405C110C"/>
    <w:rsid w:val="405C2506"/>
    <w:rsid w:val="405C39B3"/>
    <w:rsid w:val="405D597D"/>
    <w:rsid w:val="405E0A05"/>
    <w:rsid w:val="405E3BCF"/>
    <w:rsid w:val="405F16F6"/>
    <w:rsid w:val="405F34A4"/>
    <w:rsid w:val="405F61EC"/>
    <w:rsid w:val="40604C24"/>
    <w:rsid w:val="40612D9E"/>
    <w:rsid w:val="406145E3"/>
    <w:rsid w:val="4061546E"/>
    <w:rsid w:val="4061571E"/>
    <w:rsid w:val="4061721C"/>
    <w:rsid w:val="40623EA8"/>
    <w:rsid w:val="40624D42"/>
    <w:rsid w:val="40625EFB"/>
    <w:rsid w:val="40631A3C"/>
    <w:rsid w:val="40640ABA"/>
    <w:rsid w:val="40642234"/>
    <w:rsid w:val="40644F5E"/>
    <w:rsid w:val="40646B4E"/>
    <w:rsid w:val="40646D0C"/>
    <w:rsid w:val="40656904"/>
    <w:rsid w:val="40662A84"/>
    <w:rsid w:val="40664832"/>
    <w:rsid w:val="40670839"/>
    <w:rsid w:val="406746B6"/>
    <w:rsid w:val="40677669"/>
    <w:rsid w:val="40680F44"/>
    <w:rsid w:val="40681DCF"/>
    <w:rsid w:val="406867FC"/>
    <w:rsid w:val="406879EA"/>
    <w:rsid w:val="40692B27"/>
    <w:rsid w:val="406960D0"/>
    <w:rsid w:val="406A3428"/>
    <w:rsid w:val="406B009A"/>
    <w:rsid w:val="406B4CDF"/>
    <w:rsid w:val="406B5CCA"/>
    <w:rsid w:val="406C6770"/>
    <w:rsid w:val="406D5BC1"/>
    <w:rsid w:val="406D7287"/>
    <w:rsid w:val="406E1939"/>
    <w:rsid w:val="406E36E7"/>
    <w:rsid w:val="406E4DB5"/>
    <w:rsid w:val="406E618B"/>
    <w:rsid w:val="406F2DBE"/>
    <w:rsid w:val="407026DC"/>
    <w:rsid w:val="40703903"/>
    <w:rsid w:val="40704ADD"/>
    <w:rsid w:val="4070745F"/>
    <w:rsid w:val="40707CC2"/>
    <w:rsid w:val="40710417"/>
    <w:rsid w:val="40710BD8"/>
    <w:rsid w:val="40714920"/>
    <w:rsid w:val="40714F85"/>
    <w:rsid w:val="40720453"/>
    <w:rsid w:val="40721429"/>
    <w:rsid w:val="40721AD3"/>
    <w:rsid w:val="407229DB"/>
    <w:rsid w:val="40724D60"/>
    <w:rsid w:val="40730317"/>
    <w:rsid w:val="40732746"/>
    <w:rsid w:val="40741440"/>
    <w:rsid w:val="40741F5E"/>
    <w:rsid w:val="40747B02"/>
    <w:rsid w:val="40752485"/>
    <w:rsid w:val="407525F7"/>
    <w:rsid w:val="407623F3"/>
    <w:rsid w:val="407707ED"/>
    <w:rsid w:val="40772ACD"/>
    <w:rsid w:val="40774C91"/>
    <w:rsid w:val="40784565"/>
    <w:rsid w:val="40786313"/>
    <w:rsid w:val="40790A6A"/>
    <w:rsid w:val="407924B5"/>
    <w:rsid w:val="407927B7"/>
    <w:rsid w:val="407940A2"/>
    <w:rsid w:val="407A00A9"/>
    <w:rsid w:val="407A1E59"/>
    <w:rsid w:val="407A208B"/>
    <w:rsid w:val="407A29C8"/>
    <w:rsid w:val="407A6407"/>
    <w:rsid w:val="407B5324"/>
    <w:rsid w:val="407B61A9"/>
    <w:rsid w:val="407B75ED"/>
    <w:rsid w:val="407C22F9"/>
    <w:rsid w:val="407C5E04"/>
    <w:rsid w:val="407C65EE"/>
    <w:rsid w:val="407D0E43"/>
    <w:rsid w:val="407D1B7C"/>
    <w:rsid w:val="407D3EA2"/>
    <w:rsid w:val="407D712F"/>
    <w:rsid w:val="407E028A"/>
    <w:rsid w:val="407E0E69"/>
    <w:rsid w:val="407E1085"/>
    <w:rsid w:val="407E6D8D"/>
    <w:rsid w:val="407E7DCE"/>
    <w:rsid w:val="407F1347"/>
    <w:rsid w:val="407F3B46"/>
    <w:rsid w:val="4080127B"/>
    <w:rsid w:val="40803E93"/>
    <w:rsid w:val="40805F5D"/>
    <w:rsid w:val="40806076"/>
    <w:rsid w:val="4081166C"/>
    <w:rsid w:val="408141EA"/>
    <w:rsid w:val="408151CD"/>
    <w:rsid w:val="408172A3"/>
    <w:rsid w:val="408178BE"/>
    <w:rsid w:val="40821C39"/>
    <w:rsid w:val="408228DD"/>
    <w:rsid w:val="4082474B"/>
    <w:rsid w:val="40825A5F"/>
    <w:rsid w:val="40827192"/>
    <w:rsid w:val="40835E7A"/>
    <w:rsid w:val="40841EC0"/>
    <w:rsid w:val="40842F0A"/>
    <w:rsid w:val="40844CB8"/>
    <w:rsid w:val="408544EF"/>
    <w:rsid w:val="40864ED4"/>
    <w:rsid w:val="40866C82"/>
    <w:rsid w:val="4086767E"/>
    <w:rsid w:val="4087588A"/>
    <w:rsid w:val="40877D9A"/>
    <w:rsid w:val="40880C6E"/>
    <w:rsid w:val="408812A1"/>
    <w:rsid w:val="40884808"/>
    <w:rsid w:val="40887114"/>
    <w:rsid w:val="40890521"/>
    <w:rsid w:val="40896881"/>
    <w:rsid w:val="408A49C4"/>
    <w:rsid w:val="408B24EB"/>
    <w:rsid w:val="408B48CA"/>
    <w:rsid w:val="408B6047"/>
    <w:rsid w:val="408B6F3B"/>
    <w:rsid w:val="408D0011"/>
    <w:rsid w:val="408D67A1"/>
    <w:rsid w:val="408D7B90"/>
    <w:rsid w:val="408E19AD"/>
    <w:rsid w:val="408E3D89"/>
    <w:rsid w:val="408E5B37"/>
    <w:rsid w:val="408E78C6"/>
    <w:rsid w:val="408F1B0A"/>
    <w:rsid w:val="408F60DD"/>
    <w:rsid w:val="408F7080"/>
    <w:rsid w:val="409018AF"/>
    <w:rsid w:val="40901934"/>
    <w:rsid w:val="40904455"/>
    <w:rsid w:val="409052C3"/>
    <w:rsid w:val="40905B6B"/>
    <w:rsid w:val="40905D53"/>
    <w:rsid w:val="40907533"/>
    <w:rsid w:val="409114DF"/>
    <w:rsid w:val="4092048B"/>
    <w:rsid w:val="40923879"/>
    <w:rsid w:val="40926BF5"/>
    <w:rsid w:val="40926FED"/>
    <w:rsid w:val="40927A9D"/>
    <w:rsid w:val="4093314D"/>
    <w:rsid w:val="4093557B"/>
    <w:rsid w:val="40935C2D"/>
    <w:rsid w:val="40935D33"/>
    <w:rsid w:val="40943C94"/>
    <w:rsid w:val="4094643A"/>
    <w:rsid w:val="4095597C"/>
    <w:rsid w:val="40956EC5"/>
    <w:rsid w:val="40957390"/>
    <w:rsid w:val="40957EC4"/>
    <w:rsid w:val="40965933"/>
    <w:rsid w:val="40966849"/>
    <w:rsid w:val="40967BB7"/>
    <w:rsid w:val="40970E8F"/>
    <w:rsid w:val="40971A57"/>
    <w:rsid w:val="40971AEA"/>
    <w:rsid w:val="40975D28"/>
    <w:rsid w:val="40980764"/>
    <w:rsid w:val="40981AD2"/>
    <w:rsid w:val="40982CE1"/>
    <w:rsid w:val="40985A3E"/>
    <w:rsid w:val="409865FD"/>
    <w:rsid w:val="40994C08"/>
    <w:rsid w:val="409A17EE"/>
    <w:rsid w:val="409A20DF"/>
    <w:rsid w:val="409A4382"/>
    <w:rsid w:val="409C11AB"/>
    <w:rsid w:val="409C46F8"/>
    <w:rsid w:val="409C5773"/>
    <w:rsid w:val="409C64A6"/>
    <w:rsid w:val="409C7E4F"/>
    <w:rsid w:val="409D41E1"/>
    <w:rsid w:val="409D5D7A"/>
    <w:rsid w:val="409D6F2D"/>
    <w:rsid w:val="409E2D40"/>
    <w:rsid w:val="409F15FF"/>
    <w:rsid w:val="409F5174"/>
    <w:rsid w:val="409F78FB"/>
    <w:rsid w:val="40A01D12"/>
    <w:rsid w:val="40A06C0C"/>
    <w:rsid w:val="40A11D0E"/>
    <w:rsid w:val="40A12CFD"/>
    <w:rsid w:val="40A13AB1"/>
    <w:rsid w:val="40A1586A"/>
    <w:rsid w:val="40A16174"/>
    <w:rsid w:val="40A20693"/>
    <w:rsid w:val="40A20840"/>
    <w:rsid w:val="40A225E2"/>
    <w:rsid w:val="40A31410"/>
    <w:rsid w:val="40A3171B"/>
    <w:rsid w:val="40A3775D"/>
    <w:rsid w:val="40A37834"/>
    <w:rsid w:val="40A43C4C"/>
    <w:rsid w:val="40A45F3E"/>
    <w:rsid w:val="40A47972"/>
    <w:rsid w:val="40A56901"/>
    <w:rsid w:val="40A610D2"/>
    <w:rsid w:val="40A610FA"/>
    <w:rsid w:val="40A61FE2"/>
    <w:rsid w:val="40A67324"/>
    <w:rsid w:val="40A739EE"/>
    <w:rsid w:val="40A8093A"/>
    <w:rsid w:val="40A80D51"/>
    <w:rsid w:val="40A8309D"/>
    <w:rsid w:val="40A83FCA"/>
    <w:rsid w:val="40A85E09"/>
    <w:rsid w:val="40A92696"/>
    <w:rsid w:val="40A94AB9"/>
    <w:rsid w:val="40AA0BC3"/>
    <w:rsid w:val="40AA565E"/>
    <w:rsid w:val="40AB0497"/>
    <w:rsid w:val="40AB1C6B"/>
    <w:rsid w:val="40AB493B"/>
    <w:rsid w:val="40AC09D6"/>
    <w:rsid w:val="40AC3F0E"/>
    <w:rsid w:val="40AC46DB"/>
    <w:rsid w:val="40AC727C"/>
    <w:rsid w:val="40AD06B3"/>
    <w:rsid w:val="40AD420F"/>
    <w:rsid w:val="40AE386B"/>
    <w:rsid w:val="40AE7C64"/>
    <w:rsid w:val="40AF440C"/>
    <w:rsid w:val="40AF442B"/>
    <w:rsid w:val="40AF5E62"/>
    <w:rsid w:val="40B02584"/>
    <w:rsid w:val="40B05155"/>
    <w:rsid w:val="40B05FDC"/>
    <w:rsid w:val="40B07757"/>
    <w:rsid w:val="40B1237A"/>
    <w:rsid w:val="40B125E4"/>
    <w:rsid w:val="40B12607"/>
    <w:rsid w:val="40B13E91"/>
    <w:rsid w:val="40B15D4A"/>
    <w:rsid w:val="40B24B41"/>
    <w:rsid w:val="40B304F6"/>
    <w:rsid w:val="40B30F05"/>
    <w:rsid w:val="40B32646"/>
    <w:rsid w:val="40B3559D"/>
    <w:rsid w:val="40B41B1D"/>
    <w:rsid w:val="40B4246F"/>
    <w:rsid w:val="40B437EF"/>
    <w:rsid w:val="40B43A2A"/>
    <w:rsid w:val="40B43B69"/>
    <w:rsid w:val="40B50519"/>
    <w:rsid w:val="40B557B9"/>
    <w:rsid w:val="40B57568"/>
    <w:rsid w:val="40B61ED6"/>
    <w:rsid w:val="40B6407D"/>
    <w:rsid w:val="40B64B1B"/>
    <w:rsid w:val="40B64F70"/>
    <w:rsid w:val="40B66922"/>
    <w:rsid w:val="40B670FD"/>
    <w:rsid w:val="40B70D16"/>
    <w:rsid w:val="40B726F9"/>
    <w:rsid w:val="40B7508E"/>
    <w:rsid w:val="40B757A6"/>
    <w:rsid w:val="40B770F2"/>
    <w:rsid w:val="40B805CC"/>
    <w:rsid w:val="40B90E06"/>
    <w:rsid w:val="40B918F0"/>
    <w:rsid w:val="40B92B26"/>
    <w:rsid w:val="40B97058"/>
    <w:rsid w:val="40B97948"/>
    <w:rsid w:val="40BA0A6D"/>
    <w:rsid w:val="40BA4B7E"/>
    <w:rsid w:val="40BA552E"/>
    <w:rsid w:val="40BB0707"/>
    <w:rsid w:val="40BB093A"/>
    <w:rsid w:val="40BB7697"/>
    <w:rsid w:val="40BD02A6"/>
    <w:rsid w:val="40BD6B9A"/>
    <w:rsid w:val="40BE7B91"/>
    <w:rsid w:val="40BF0BE9"/>
    <w:rsid w:val="40BF290A"/>
    <w:rsid w:val="40BF3346"/>
    <w:rsid w:val="40BF3F42"/>
    <w:rsid w:val="40BF787C"/>
    <w:rsid w:val="40C003E6"/>
    <w:rsid w:val="40C033FE"/>
    <w:rsid w:val="40C0585E"/>
    <w:rsid w:val="40C17CBA"/>
    <w:rsid w:val="40C25547"/>
    <w:rsid w:val="40C32277"/>
    <w:rsid w:val="40C355D0"/>
    <w:rsid w:val="40C357E1"/>
    <w:rsid w:val="40C42186"/>
    <w:rsid w:val="40C477AB"/>
    <w:rsid w:val="40C559FD"/>
    <w:rsid w:val="40C61775"/>
    <w:rsid w:val="40C63869"/>
    <w:rsid w:val="40C7080B"/>
    <w:rsid w:val="40C8729B"/>
    <w:rsid w:val="40C94DC1"/>
    <w:rsid w:val="40C96B6F"/>
    <w:rsid w:val="40CA3013"/>
    <w:rsid w:val="40CA4664"/>
    <w:rsid w:val="40CB28E7"/>
    <w:rsid w:val="40CB4B32"/>
    <w:rsid w:val="40CB6D8B"/>
    <w:rsid w:val="40CB74D4"/>
    <w:rsid w:val="40CC2EE9"/>
    <w:rsid w:val="40CC335C"/>
    <w:rsid w:val="40CC5C49"/>
    <w:rsid w:val="40CC6992"/>
    <w:rsid w:val="40CD0507"/>
    <w:rsid w:val="40CD665F"/>
    <w:rsid w:val="40CE3CDF"/>
    <w:rsid w:val="40CE4185"/>
    <w:rsid w:val="40CE75CC"/>
    <w:rsid w:val="40CF0079"/>
    <w:rsid w:val="40CF0629"/>
    <w:rsid w:val="40CF1B6E"/>
    <w:rsid w:val="40CF23D7"/>
    <w:rsid w:val="40CF30AF"/>
    <w:rsid w:val="40CF687B"/>
    <w:rsid w:val="40CF7597"/>
    <w:rsid w:val="40D021FB"/>
    <w:rsid w:val="40D0614F"/>
    <w:rsid w:val="40D07EFD"/>
    <w:rsid w:val="40D12517"/>
    <w:rsid w:val="40D16CC3"/>
    <w:rsid w:val="40D17204"/>
    <w:rsid w:val="40D21EC7"/>
    <w:rsid w:val="40D22BF8"/>
    <w:rsid w:val="40D2343E"/>
    <w:rsid w:val="40D23C76"/>
    <w:rsid w:val="40D304EF"/>
    <w:rsid w:val="40D317EF"/>
    <w:rsid w:val="40D352CC"/>
    <w:rsid w:val="40D41D68"/>
    <w:rsid w:val="40D43E92"/>
    <w:rsid w:val="40D45C40"/>
    <w:rsid w:val="40D479EE"/>
    <w:rsid w:val="40D5361F"/>
    <w:rsid w:val="40D553C0"/>
    <w:rsid w:val="40D642A1"/>
    <w:rsid w:val="40D7128C"/>
    <w:rsid w:val="40D713A1"/>
    <w:rsid w:val="40D73171"/>
    <w:rsid w:val="40D75730"/>
    <w:rsid w:val="40D76032"/>
    <w:rsid w:val="40D81790"/>
    <w:rsid w:val="40D82725"/>
    <w:rsid w:val="40D836D3"/>
    <w:rsid w:val="40D87D29"/>
    <w:rsid w:val="40D914A8"/>
    <w:rsid w:val="40D95004"/>
    <w:rsid w:val="40DA6FCE"/>
    <w:rsid w:val="40DB1852"/>
    <w:rsid w:val="40DB5220"/>
    <w:rsid w:val="40DC2329"/>
    <w:rsid w:val="40DE086C"/>
    <w:rsid w:val="40DE0DA7"/>
    <w:rsid w:val="40DE2E12"/>
    <w:rsid w:val="40DE6ABE"/>
    <w:rsid w:val="40DE6FEB"/>
    <w:rsid w:val="40DF1663"/>
    <w:rsid w:val="40DF607B"/>
    <w:rsid w:val="40E02836"/>
    <w:rsid w:val="40E031CB"/>
    <w:rsid w:val="40E045E4"/>
    <w:rsid w:val="40E1035D"/>
    <w:rsid w:val="40E1656B"/>
    <w:rsid w:val="40E1657E"/>
    <w:rsid w:val="40E25515"/>
    <w:rsid w:val="40E33423"/>
    <w:rsid w:val="40E34D43"/>
    <w:rsid w:val="40E36C71"/>
    <w:rsid w:val="40E40D73"/>
    <w:rsid w:val="40E4396E"/>
    <w:rsid w:val="40E470BD"/>
    <w:rsid w:val="40E50EE7"/>
    <w:rsid w:val="40E52D58"/>
    <w:rsid w:val="40E65224"/>
    <w:rsid w:val="40E65973"/>
    <w:rsid w:val="40E65CAF"/>
    <w:rsid w:val="40E66201"/>
    <w:rsid w:val="40E67721"/>
    <w:rsid w:val="40E81D5D"/>
    <w:rsid w:val="40E83499"/>
    <w:rsid w:val="40E85247"/>
    <w:rsid w:val="40E9062E"/>
    <w:rsid w:val="40E90FBF"/>
    <w:rsid w:val="40E9211E"/>
    <w:rsid w:val="40E93684"/>
    <w:rsid w:val="40E952E6"/>
    <w:rsid w:val="40EA0A50"/>
    <w:rsid w:val="40EA2AA5"/>
    <w:rsid w:val="40EA4658"/>
    <w:rsid w:val="40EA5463"/>
    <w:rsid w:val="40EA6569"/>
    <w:rsid w:val="40EA6A21"/>
    <w:rsid w:val="40EA7211"/>
    <w:rsid w:val="40EB15FC"/>
    <w:rsid w:val="40EB4D37"/>
    <w:rsid w:val="40EC40B9"/>
    <w:rsid w:val="40ED3404"/>
    <w:rsid w:val="40ED6414"/>
    <w:rsid w:val="40ED7016"/>
    <w:rsid w:val="40EE1992"/>
    <w:rsid w:val="40EE3408"/>
    <w:rsid w:val="40EE4818"/>
    <w:rsid w:val="40EE65D6"/>
    <w:rsid w:val="40EF2A79"/>
    <w:rsid w:val="40EF3576"/>
    <w:rsid w:val="40EF4827"/>
    <w:rsid w:val="40EF6587"/>
    <w:rsid w:val="40EF7681"/>
    <w:rsid w:val="40EF7EDF"/>
    <w:rsid w:val="40F01CFC"/>
    <w:rsid w:val="40F05357"/>
    <w:rsid w:val="40F07A17"/>
    <w:rsid w:val="40F12CE4"/>
    <w:rsid w:val="40F167F2"/>
    <w:rsid w:val="40F17ABA"/>
    <w:rsid w:val="40F24A23"/>
    <w:rsid w:val="40F25C5F"/>
    <w:rsid w:val="40F26FCB"/>
    <w:rsid w:val="40F40F69"/>
    <w:rsid w:val="40F465F9"/>
    <w:rsid w:val="40F57964"/>
    <w:rsid w:val="40F71908"/>
    <w:rsid w:val="40F77BCC"/>
    <w:rsid w:val="40F80D7A"/>
    <w:rsid w:val="40F91B1F"/>
    <w:rsid w:val="40F92284"/>
    <w:rsid w:val="40F955F3"/>
    <w:rsid w:val="40F95D14"/>
    <w:rsid w:val="40FA0784"/>
    <w:rsid w:val="40FA2316"/>
    <w:rsid w:val="40FA2607"/>
    <w:rsid w:val="40FA2DAF"/>
    <w:rsid w:val="40FA4F7A"/>
    <w:rsid w:val="40FB141E"/>
    <w:rsid w:val="40FB3C97"/>
    <w:rsid w:val="40FB3DD0"/>
    <w:rsid w:val="40FC0B8B"/>
    <w:rsid w:val="40FC0CF2"/>
    <w:rsid w:val="40FC3D5B"/>
    <w:rsid w:val="40FC5196"/>
    <w:rsid w:val="40FC5334"/>
    <w:rsid w:val="40FC6F44"/>
    <w:rsid w:val="40FD4EC5"/>
    <w:rsid w:val="40FD7C32"/>
    <w:rsid w:val="40FE0F0E"/>
    <w:rsid w:val="40FE3386"/>
    <w:rsid w:val="40FE4A6B"/>
    <w:rsid w:val="40FE6014"/>
    <w:rsid w:val="40FE6483"/>
    <w:rsid w:val="40FF1A8E"/>
    <w:rsid w:val="4100099C"/>
    <w:rsid w:val="410053F3"/>
    <w:rsid w:val="41006A35"/>
    <w:rsid w:val="41010C1D"/>
    <w:rsid w:val="4101619B"/>
    <w:rsid w:val="41016309"/>
    <w:rsid w:val="410249FD"/>
    <w:rsid w:val="410255EC"/>
    <w:rsid w:val="41027A3B"/>
    <w:rsid w:val="41032081"/>
    <w:rsid w:val="410339BD"/>
    <w:rsid w:val="41035E8D"/>
    <w:rsid w:val="410405AC"/>
    <w:rsid w:val="41042A50"/>
    <w:rsid w:val="41044055"/>
    <w:rsid w:val="41045CB7"/>
    <w:rsid w:val="4105229D"/>
    <w:rsid w:val="41055DF9"/>
    <w:rsid w:val="4106265B"/>
    <w:rsid w:val="4106547E"/>
    <w:rsid w:val="41076015"/>
    <w:rsid w:val="4108086F"/>
    <w:rsid w:val="41083B3B"/>
    <w:rsid w:val="410858E9"/>
    <w:rsid w:val="41090277"/>
    <w:rsid w:val="41093909"/>
    <w:rsid w:val="410979F9"/>
    <w:rsid w:val="410A0DA0"/>
    <w:rsid w:val="410B39E6"/>
    <w:rsid w:val="410B7DFC"/>
    <w:rsid w:val="410C5AAF"/>
    <w:rsid w:val="410D2F49"/>
    <w:rsid w:val="410D4CAE"/>
    <w:rsid w:val="410D73A4"/>
    <w:rsid w:val="410E04AB"/>
    <w:rsid w:val="410E402C"/>
    <w:rsid w:val="410E4A79"/>
    <w:rsid w:val="410F0266"/>
    <w:rsid w:val="410F4ECA"/>
    <w:rsid w:val="410F6C78"/>
    <w:rsid w:val="41101453"/>
    <w:rsid w:val="411029F0"/>
    <w:rsid w:val="411055BA"/>
    <w:rsid w:val="41105B1C"/>
    <w:rsid w:val="41106C53"/>
    <w:rsid w:val="41107BC1"/>
    <w:rsid w:val="41107DBB"/>
    <w:rsid w:val="41110C42"/>
    <w:rsid w:val="41110D7C"/>
    <w:rsid w:val="41114E07"/>
    <w:rsid w:val="41123B00"/>
    <w:rsid w:val="411249BA"/>
    <w:rsid w:val="41125964"/>
    <w:rsid w:val="41126768"/>
    <w:rsid w:val="4113044C"/>
    <w:rsid w:val="41132E9C"/>
    <w:rsid w:val="41137D3E"/>
    <w:rsid w:val="4114428E"/>
    <w:rsid w:val="4114603C"/>
    <w:rsid w:val="411468C7"/>
    <w:rsid w:val="41146E12"/>
    <w:rsid w:val="41151DB4"/>
    <w:rsid w:val="41155126"/>
    <w:rsid w:val="41160629"/>
    <w:rsid w:val="411623EB"/>
    <w:rsid w:val="41166548"/>
    <w:rsid w:val="41173D7E"/>
    <w:rsid w:val="41174DB7"/>
    <w:rsid w:val="41175B2C"/>
    <w:rsid w:val="41181516"/>
    <w:rsid w:val="41182BB4"/>
    <w:rsid w:val="41186C23"/>
    <w:rsid w:val="41190F99"/>
    <w:rsid w:val="411959E1"/>
    <w:rsid w:val="41195D48"/>
    <w:rsid w:val="411A01DD"/>
    <w:rsid w:val="411A1543"/>
    <w:rsid w:val="411A2E5E"/>
    <w:rsid w:val="411A36EE"/>
    <w:rsid w:val="411A71CF"/>
    <w:rsid w:val="411A73CB"/>
    <w:rsid w:val="411B1E86"/>
    <w:rsid w:val="411C1395"/>
    <w:rsid w:val="411C3143"/>
    <w:rsid w:val="411C4D55"/>
    <w:rsid w:val="411C75E7"/>
    <w:rsid w:val="411D4D64"/>
    <w:rsid w:val="411E13EE"/>
    <w:rsid w:val="411E335F"/>
    <w:rsid w:val="411E35A9"/>
    <w:rsid w:val="411E510D"/>
    <w:rsid w:val="411E6EBB"/>
    <w:rsid w:val="411F6AF6"/>
    <w:rsid w:val="411F713B"/>
    <w:rsid w:val="411F7DD9"/>
    <w:rsid w:val="41200E85"/>
    <w:rsid w:val="41201408"/>
    <w:rsid w:val="41202C33"/>
    <w:rsid w:val="41204DAD"/>
    <w:rsid w:val="4120529E"/>
    <w:rsid w:val="412053B5"/>
    <w:rsid w:val="41206B0B"/>
    <w:rsid w:val="412070D7"/>
    <w:rsid w:val="41210759"/>
    <w:rsid w:val="41214E90"/>
    <w:rsid w:val="41220941"/>
    <w:rsid w:val="41226D0B"/>
    <w:rsid w:val="41230975"/>
    <w:rsid w:val="41230AE5"/>
    <w:rsid w:val="41232D78"/>
    <w:rsid w:val="41233D36"/>
    <w:rsid w:val="412344D1"/>
    <w:rsid w:val="41235477"/>
    <w:rsid w:val="41236528"/>
    <w:rsid w:val="4124010F"/>
    <w:rsid w:val="41250739"/>
    <w:rsid w:val="4125649B"/>
    <w:rsid w:val="41256F75"/>
    <w:rsid w:val="41260497"/>
    <w:rsid w:val="41261227"/>
    <w:rsid w:val="412626B7"/>
    <w:rsid w:val="41265D6F"/>
    <w:rsid w:val="41272213"/>
    <w:rsid w:val="41273360"/>
    <w:rsid w:val="412775BC"/>
    <w:rsid w:val="41287B9B"/>
    <w:rsid w:val="41287D39"/>
    <w:rsid w:val="41290E41"/>
    <w:rsid w:val="41291581"/>
    <w:rsid w:val="41292BE0"/>
    <w:rsid w:val="4129651D"/>
    <w:rsid w:val="412A3AB2"/>
    <w:rsid w:val="412B24C8"/>
    <w:rsid w:val="412B5099"/>
    <w:rsid w:val="412B74C3"/>
    <w:rsid w:val="412C3DFF"/>
    <w:rsid w:val="412C4E6B"/>
    <w:rsid w:val="412C6C96"/>
    <w:rsid w:val="412C782A"/>
    <w:rsid w:val="412D17EF"/>
    <w:rsid w:val="412D5350"/>
    <w:rsid w:val="412D70FE"/>
    <w:rsid w:val="412D79B9"/>
    <w:rsid w:val="412E1041"/>
    <w:rsid w:val="412E258A"/>
    <w:rsid w:val="412E4859"/>
    <w:rsid w:val="412F10C8"/>
    <w:rsid w:val="412F2FF6"/>
    <w:rsid w:val="412F3029"/>
    <w:rsid w:val="41300B97"/>
    <w:rsid w:val="41306BEE"/>
    <w:rsid w:val="41307A7B"/>
    <w:rsid w:val="41310F0B"/>
    <w:rsid w:val="41311700"/>
    <w:rsid w:val="41313092"/>
    <w:rsid w:val="41320308"/>
    <w:rsid w:val="4132239B"/>
    <w:rsid w:val="41322827"/>
    <w:rsid w:val="41322966"/>
    <w:rsid w:val="41326E0A"/>
    <w:rsid w:val="41330DE9"/>
    <w:rsid w:val="41331144"/>
    <w:rsid w:val="41335A72"/>
    <w:rsid w:val="4134048C"/>
    <w:rsid w:val="41344372"/>
    <w:rsid w:val="41344CBB"/>
    <w:rsid w:val="4134614B"/>
    <w:rsid w:val="41347383"/>
    <w:rsid w:val="4134747D"/>
    <w:rsid w:val="41350C19"/>
    <w:rsid w:val="41351500"/>
    <w:rsid w:val="41356554"/>
    <w:rsid w:val="413724C2"/>
    <w:rsid w:val="41373522"/>
    <w:rsid w:val="4137363C"/>
    <w:rsid w:val="41373707"/>
    <w:rsid w:val="4137529E"/>
    <w:rsid w:val="4137558E"/>
    <w:rsid w:val="413761CE"/>
    <w:rsid w:val="41377F7D"/>
    <w:rsid w:val="41386AF7"/>
    <w:rsid w:val="41386CE3"/>
    <w:rsid w:val="41391F47"/>
    <w:rsid w:val="413938A1"/>
    <w:rsid w:val="413942E4"/>
    <w:rsid w:val="4139520E"/>
    <w:rsid w:val="413955EC"/>
    <w:rsid w:val="413A0D77"/>
    <w:rsid w:val="413A0EB0"/>
    <w:rsid w:val="413B1762"/>
    <w:rsid w:val="413B4B8E"/>
    <w:rsid w:val="413B5CBF"/>
    <w:rsid w:val="413B7A6D"/>
    <w:rsid w:val="413C029C"/>
    <w:rsid w:val="413C5593"/>
    <w:rsid w:val="413E130B"/>
    <w:rsid w:val="413F299B"/>
    <w:rsid w:val="413F5D7E"/>
    <w:rsid w:val="41401527"/>
    <w:rsid w:val="41402BB1"/>
    <w:rsid w:val="414032D5"/>
    <w:rsid w:val="4140470D"/>
    <w:rsid w:val="41412BA9"/>
    <w:rsid w:val="41414D4F"/>
    <w:rsid w:val="41423DF9"/>
    <w:rsid w:val="41434B73"/>
    <w:rsid w:val="41436921"/>
    <w:rsid w:val="41440C31"/>
    <w:rsid w:val="41441021"/>
    <w:rsid w:val="41447381"/>
    <w:rsid w:val="414526E5"/>
    <w:rsid w:val="414538EA"/>
    <w:rsid w:val="414563EB"/>
    <w:rsid w:val="4146427B"/>
    <w:rsid w:val="41465F46"/>
    <w:rsid w:val="41466BE5"/>
    <w:rsid w:val="41474664"/>
    <w:rsid w:val="4148218A"/>
    <w:rsid w:val="41484800"/>
    <w:rsid w:val="41485D02"/>
    <w:rsid w:val="41491295"/>
    <w:rsid w:val="4149648B"/>
    <w:rsid w:val="414A4154"/>
    <w:rsid w:val="414A5A5F"/>
    <w:rsid w:val="414A5F02"/>
    <w:rsid w:val="414B0BCD"/>
    <w:rsid w:val="414B5B51"/>
    <w:rsid w:val="414C1C7A"/>
    <w:rsid w:val="414D154E"/>
    <w:rsid w:val="414D208D"/>
    <w:rsid w:val="414D3354"/>
    <w:rsid w:val="414D369B"/>
    <w:rsid w:val="414D59F2"/>
    <w:rsid w:val="414F3004"/>
    <w:rsid w:val="414F3518"/>
    <w:rsid w:val="414F52C6"/>
    <w:rsid w:val="41505341"/>
    <w:rsid w:val="41507D35"/>
    <w:rsid w:val="41514029"/>
    <w:rsid w:val="415143B0"/>
    <w:rsid w:val="415146BE"/>
    <w:rsid w:val="41517D2D"/>
    <w:rsid w:val="41524DB6"/>
    <w:rsid w:val="41526B64"/>
    <w:rsid w:val="41534169"/>
    <w:rsid w:val="41534CC5"/>
    <w:rsid w:val="415428DD"/>
    <w:rsid w:val="4154466B"/>
    <w:rsid w:val="4154621B"/>
    <w:rsid w:val="41546D80"/>
    <w:rsid w:val="41547C7E"/>
    <w:rsid w:val="41553572"/>
    <w:rsid w:val="41553F7A"/>
    <w:rsid w:val="41556C22"/>
    <w:rsid w:val="4156086C"/>
    <w:rsid w:val="41562CE5"/>
    <w:rsid w:val="41566655"/>
    <w:rsid w:val="41567547"/>
    <w:rsid w:val="415723CD"/>
    <w:rsid w:val="415812E3"/>
    <w:rsid w:val="41582E49"/>
    <w:rsid w:val="415835B4"/>
    <w:rsid w:val="415838D3"/>
    <w:rsid w:val="41583ECA"/>
    <w:rsid w:val="415840B6"/>
    <w:rsid w:val="41586871"/>
    <w:rsid w:val="4159020A"/>
    <w:rsid w:val="41594397"/>
    <w:rsid w:val="41595546"/>
    <w:rsid w:val="415A13AB"/>
    <w:rsid w:val="415A6787"/>
    <w:rsid w:val="415B010F"/>
    <w:rsid w:val="415B3C6B"/>
    <w:rsid w:val="415B61C8"/>
    <w:rsid w:val="415C79E3"/>
    <w:rsid w:val="415D3E87"/>
    <w:rsid w:val="415D5C35"/>
    <w:rsid w:val="415E375B"/>
    <w:rsid w:val="415E7BFF"/>
    <w:rsid w:val="415E7F28"/>
    <w:rsid w:val="41601281"/>
    <w:rsid w:val="41605725"/>
    <w:rsid w:val="41612E65"/>
    <w:rsid w:val="41614658"/>
    <w:rsid w:val="41614F75"/>
    <w:rsid w:val="4162324B"/>
    <w:rsid w:val="41627D39"/>
    <w:rsid w:val="416311C9"/>
    <w:rsid w:val="41634054"/>
    <w:rsid w:val="41644B6B"/>
    <w:rsid w:val="41650077"/>
    <w:rsid w:val="41650F8E"/>
    <w:rsid w:val="41652D3C"/>
    <w:rsid w:val="41654050"/>
    <w:rsid w:val="416549D1"/>
    <w:rsid w:val="416550EE"/>
    <w:rsid w:val="41656C54"/>
    <w:rsid w:val="41667E4C"/>
    <w:rsid w:val="41670862"/>
    <w:rsid w:val="41670FDA"/>
    <w:rsid w:val="41672713"/>
    <w:rsid w:val="416751FF"/>
    <w:rsid w:val="41676AB4"/>
    <w:rsid w:val="41676BED"/>
    <w:rsid w:val="41683878"/>
    <w:rsid w:val="41691C89"/>
    <w:rsid w:val="416925B4"/>
    <w:rsid w:val="41694BB4"/>
    <w:rsid w:val="416A0A4E"/>
    <w:rsid w:val="416A109C"/>
    <w:rsid w:val="416A136D"/>
    <w:rsid w:val="416A2100"/>
    <w:rsid w:val="416A62BF"/>
    <w:rsid w:val="416A65A4"/>
    <w:rsid w:val="416B0F81"/>
    <w:rsid w:val="416B488B"/>
    <w:rsid w:val="416B51B7"/>
    <w:rsid w:val="416B5F49"/>
    <w:rsid w:val="416B7C26"/>
    <w:rsid w:val="416C40CA"/>
    <w:rsid w:val="416C5720"/>
    <w:rsid w:val="416D399E"/>
    <w:rsid w:val="416E6A25"/>
    <w:rsid w:val="416F0EAD"/>
    <w:rsid w:val="416F5968"/>
    <w:rsid w:val="416F7716"/>
    <w:rsid w:val="41702806"/>
    <w:rsid w:val="41704F0E"/>
    <w:rsid w:val="417069A3"/>
    <w:rsid w:val="417073F5"/>
    <w:rsid w:val="41711EF6"/>
    <w:rsid w:val="417129EE"/>
    <w:rsid w:val="4171348E"/>
    <w:rsid w:val="4171762C"/>
    <w:rsid w:val="417213AE"/>
    <w:rsid w:val="417221DA"/>
    <w:rsid w:val="4172782E"/>
    <w:rsid w:val="417411D1"/>
    <w:rsid w:val="417420F6"/>
    <w:rsid w:val="41742F7F"/>
    <w:rsid w:val="41743B29"/>
    <w:rsid w:val="41746F74"/>
    <w:rsid w:val="41747406"/>
    <w:rsid w:val="41756AF9"/>
    <w:rsid w:val="41763EB4"/>
    <w:rsid w:val="41764F49"/>
    <w:rsid w:val="41766CF7"/>
    <w:rsid w:val="41772BF2"/>
    <w:rsid w:val="4177481D"/>
    <w:rsid w:val="41775EF1"/>
    <w:rsid w:val="41782A6F"/>
    <w:rsid w:val="41786443"/>
    <w:rsid w:val="41792343"/>
    <w:rsid w:val="417967E7"/>
    <w:rsid w:val="41797C87"/>
    <w:rsid w:val="417A0440"/>
    <w:rsid w:val="417A6018"/>
    <w:rsid w:val="417B430D"/>
    <w:rsid w:val="417B5E3F"/>
    <w:rsid w:val="417B60BB"/>
    <w:rsid w:val="417C08E0"/>
    <w:rsid w:val="417C108D"/>
    <w:rsid w:val="417C6D9C"/>
    <w:rsid w:val="417C720B"/>
    <w:rsid w:val="417D0085"/>
    <w:rsid w:val="417D1F14"/>
    <w:rsid w:val="417D2EE9"/>
    <w:rsid w:val="417E0350"/>
    <w:rsid w:val="417E0676"/>
    <w:rsid w:val="417E0D46"/>
    <w:rsid w:val="417E3DFD"/>
    <w:rsid w:val="417E40F4"/>
    <w:rsid w:val="417E5BAB"/>
    <w:rsid w:val="417E776C"/>
    <w:rsid w:val="417E7BE7"/>
    <w:rsid w:val="417F306E"/>
    <w:rsid w:val="417F3366"/>
    <w:rsid w:val="417F70A0"/>
    <w:rsid w:val="41802004"/>
    <w:rsid w:val="418036D2"/>
    <w:rsid w:val="41807753"/>
    <w:rsid w:val="41807B75"/>
    <w:rsid w:val="41810971"/>
    <w:rsid w:val="418140A7"/>
    <w:rsid w:val="41814752"/>
    <w:rsid w:val="418155DC"/>
    <w:rsid w:val="418238EE"/>
    <w:rsid w:val="418249C0"/>
    <w:rsid w:val="41827323"/>
    <w:rsid w:val="418307B3"/>
    <w:rsid w:val="41831414"/>
    <w:rsid w:val="41831F2E"/>
    <w:rsid w:val="418331C2"/>
    <w:rsid w:val="41834B46"/>
    <w:rsid w:val="41841C43"/>
    <w:rsid w:val="418420DC"/>
    <w:rsid w:val="4184399F"/>
    <w:rsid w:val="41852DBE"/>
    <w:rsid w:val="41854814"/>
    <w:rsid w:val="4185518C"/>
    <w:rsid w:val="41856F3A"/>
    <w:rsid w:val="41862C24"/>
    <w:rsid w:val="41864563"/>
    <w:rsid w:val="418658E9"/>
    <w:rsid w:val="41866131"/>
    <w:rsid w:val="41866449"/>
    <w:rsid w:val="41866A28"/>
    <w:rsid w:val="41867134"/>
    <w:rsid w:val="41873DBF"/>
    <w:rsid w:val="41874A60"/>
    <w:rsid w:val="4187695C"/>
    <w:rsid w:val="41877150"/>
    <w:rsid w:val="41883195"/>
    <w:rsid w:val="418832BA"/>
    <w:rsid w:val="41890258"/>
    <w:rsid w:val="41892EE4"/>
    <w:rsid w:val="41892FDE"/>
    <w:rsid w:val="41894C7C"/>
    <w:rsid w:val="418A09F4"/>
    <w:rsid w:val="418A27A2"/>
    <w:rsid w:val="418A4550"/>
    <w:rsid w:val="418A5AB5"/>
    <w:rsid w:val="418A6FF6"/>
    <w:rsid w:val="418A797B"/>
    <w:rsid w:val="418B0FD6"/>
    <w:rsid w:val="418B66F4"/>
    <w:rsid w:val="418B6F45"/>
    <w:rsid w:val="418C02C8"/>
    <w:rsid w:val="418C2076"/>
    <w:rsid w:val="418C5E02"/>
    <w:rsid w:val="418C6615"/>
    <w:rsid w:val="418D4040"/>
    <w:rsid w:val="418E091F"/>
    <w:rsid w:val="418F0497"/>
    <w:rsid w:val="418F7D7F"/>
    <w:rsid w:val="41900131"/>
    <w:rsid w:val="41902DB7"/>
    <w:rsid w:val="419046CA"/>
    <w:rsid w:val="41910985"/>
    <w:rsid w:val="41911D83"/>
    <w:rsid w:val="419158DF"/>
    <w:rsid w:val="4191768D"/>
    <w:rsid w:val="41921545"/>
    <w:rsid w:val="41923405"/>
    <w:rsid w:val="41923A15"/>
    <w:rsid w:val="41932B94"/>
    <w:rsid w:val="41933C1F"/>
    <w:rsid w:val="41935FB4"/>
    <w:rsid w:val="41941A91"/>
    <w:rsid w:val="41943621"/>
    <w:rsid w:val="4194717D"/>
    <w:rsid w:val="41951C42"/>
    <w:rsid w:val="41953C4C"/>
    <w:rsid w:val="41961147"/>
    <w:rsid w:val="41967399"/>
    <w:rsid w:val="41981549"/>
    <w:rsid w:val="41987257"/>
    <w:rsid w:val="41994793"/>
    <w:rsid w:val="419A2BF3"/>
    <w:rsid w:val="419A5EC4"/>
    <w:rsid w:val="419A6449"/>
    <w:rsid w:val="419B050B"/>
    <w:rsid w:val="419B2A22"/>
    <w:rsid w:val="419B49AF"/>
    <w:rsid w:val="419B675D"/>
    <w:rsid w:val="419B6885"/>
    <w:rsid w:val="419B71CE"/>
    <w:rsid w:val="419C135A"/>
    <w:rsid w:val="419C63F8"/>
    <w:rsid w:val="419D0246"/>
    <w:rsid w:val="419D24D5"/>
    <w:rsid w:val="419F0228"/>
    <w:rsid w:val="419F6176"/>
    <w:rsid w:val="41A01FC6"/>
    <w:rsid w:val="41A05B22"/>
    <w:rsid w:val="41A1116B"/>
    <w:rsid w:val="41A2189A"/>
    <w:rsid w:val="41A2328C"/>
    <w:rsid w:val="41A272ED"/>
    <w:rsid w:val="41A27AEC"/>
    <w:rsid w:val="41A3297C"/>
    <w:rsid w:val="41A34E21"/>
    <w:rsid w:val="41A35612"/>
    <w:rsid w:val="41A37D9D"/>
    <w:rsid w:val="41A40239"/>
    <w:rsid w:val="41A40D64"/>
    <w:rsid w:val="41A4122D"/>
    <w:rsid w:val="41A41AB6"/>
    <w:rsid w:val="41A43864"/>
    <w:rsid w:val="41A43AA9"/>
    <w:rsid w:val="41A51612"/>
    <w:rsid w:val="41A5233F"/>
    <w:rsid w:val="41A53138"/>
    <w:rsid w:val="41A73799"/>
    <w:rsid w:val="41A766FE"/>
    <w:rsid w:val="41A76EB0"/>
    <w:rsid w:val="41A82C28"/>
    <w:rsid w:val="41A83AEB"/>
    <w:rsid w:val="41A855A4"/>
    <w:rsid w:val="41A904C2"/>
    <w:rsid w:val="41A920F1"/>
    <w:rsid w:val="41AA233E"/>
    <w:rsid w:val="41AA2E44"/>
    <w:rsid w:val="41AA5E15"/>
    <w:rsid w:val="41AB6DF1"/>
    <w:rsid w:val="41AC096A"/>
    <w:rsid w:val="41AC2FD6"/>
    <w:rsid w:val="41AC3413"/>
    <w:rsid w:val="41AC53A5"/>
    <w:rsid w:val="41AD023F"/>
    <w:rsid w:val="41AD0897"/>
    <w:rsid w:val="41AD3B1A"/>
    <w:rsid w:val="41AD6AA0"/>
    <w:rsid w:val="41AE4EAF"/>
    <w:rsid w:val="41AE6491"/>
    <w:rsid w:val="41AF045B"/>
    <w:rsid w:val="41AF1197"/>
    <w:rsid w:val="41AF25FD"/>
    <w:rsid w:val="41AF3FB7"/>
    <w:rsid w:val="41B015F1"/>
    <w:rsid w:val="41B1035D"/>
    <w:rsid w:val="41B11ADD"/>
    <w:rsid w:val="41B15F81"/>
    <w:rsid w:val="41B1645F"/>
    <w:rsid w:val="41B17D2F"/>
    <w:rsid w:val="41B21EDE"/>
    <w:rsid w:val="41B2255D"/>
    <w:rsid w:val="41B234DD"/>
    <w:rsid w:val="41B262C7"/>
    <w:rsid w:val="41B31CF9"/>
    <w:rsid w:val="41B371EE"/>
    <w:rsid w:val="41B40B09"/>
    <w:rsid w:val="41B415CD"/>
    <w:rsid w:val="41B45A71"/>
    <w:rsid w:val="41B503F1"/>
    <w:rsid w:val="41B50466"/>
    <w:rsid w:val="41B57924"/>
    <w:rsid w:val="41B63B6B"/>
    <w:rsid w:val="41B6575B"/>
    <w:rsid w:val="41B80B32"/>
    <w:rsid w:val="41B80C81"/>
    <w:rsid w:val="41B810F2"/>
    <w:rsid w:val="41B82E6B"/>
    <w:rsid w:val="41B83F4A"/>
    <w:rsid w:val="41B8730F"/>
    <w:rsid w:val="41B873F1"/>
    <w:rsid w:val="41B94E35"/>
    <w:rsid w:val="41B967CC"/>
    <w:rsid w:val="41BA1496"/>
    <w:rsid w:val="41BA1F18"/>
    <w:rsid w:val="41BA22E4"/>
    <w:rsid w:val="41BA2405"/>
    <w:rsid w:val="41BA3087"/>
    <w:rsid w:val="41BA427C"/>
    <w:rsid w:val="41BB0BAE"/>
    <w:rsid w:val="41BB48E2"/>
    <w:rsid w:val="41BB6AF9"/>
    <w:rsid w:val="41BB7217"/>
    <w:rsid w:val="41BB74B3"/>
    <w:rsid w:val="41BD0482"/>
    <w:rsid w:val="41BD2B78"/>
    <w:rsid w:val="41BD66D4"/>
    <w:rsid w:val="41BF2A80"/>
    <w:rsid w:val="41BF5686"/>
    <w:rsid w:val="41BF7FFA"/>
    <w:rsid w:val="41C03C6A"/>
    <w:rsid w:val="41C04416"/>
    <w:rsid w:val="41C13F18"/>
    <w:rsid w:val="41C1613E"/>
    <w:rsid w:val="41C21F3C"/>
    <w:rsid w:val="41C22E46"/>
    <w:rsid w:val="41C247B5"/>
    <w:rsid w:val="41C25C24"/>
    <w:rsid w:val="41C51A2C"/>
    <w:rsid w:val="41C537DA"/>
    <w:rsid w:val="41C55588"/>
    <w:rsid w:val="41C619F5"/>
    <w:rsid w:val="41C61A17"/>
    <w:rsid w:val="41C645C6"/>
    <w:rsid w:val="41C70C4C"/>
    <w:rsid w:val="41C71300"/>
    <w:rsid w:val="41C7316A"/>
    <w:rsid w:val="41C75E79"/>
    <w:rsid w:val="41C77552"/>
    <w:rsid w:val="41C84ABF"/>
    <w:rsid w:val="41C928B9"/>
    <w:rsid w:val="41C95079"/>
    <w:rsid w:val="41CA0DF1"/>
    <w:rsid w:val="41CA31D7"/>
    <w:rsid w:val="41CA4AFD"/>
    <w:rsid w:val="41CA4BBE"/>
    <w:rsid w:val="41CA7043"/>
    <w:rsid w:val="41CB4006"/>
    <w:rsid w:val="41CB43D7"/>
    <w:rsid w:val="41CB6E86"/>
    <w:rsid w:val="41CC0438"/>
    <w:rsid w:val="41CC2DBB"/>
    <w:rsid w:val="41CC4B69"/>
    <w:rsid w:val="41CC4C4D"/>
    <w:rsid w:val="41CD18C8"/>
    <w:rsid w:val="41CD4433"/>
    <w:rsid w:val="41CD5F46"/>
    <w:rsid w:val="41CE1D85"/>
    <w:rsid w:val="41CE268F"/>
    <w:rsid w:val="41CE4490"/>
    <w:rsid w:val="41CE50EA"/>
    <w:rsid w:val="41CE6B33"/>
    <w:rsid w:val="41CF248B"/>
    <w:rsid w:val="41CF49D6"/>
    <w:rsid w:val="41CF6407"/>
    <w:rsid w:val="41D012B9"/>
    <w:rsid w:val="41D028AB"/>
    <w:rsid w:val="41D06DB9"/>
    <w:rsid w:val="41D103D1"/>
    <w:rsid w:val="41D1174A"/>
    <w:rsid w:val="41D1346C"/>
    <w:rsid w:val="41D13F2D"/>
    <w:rsid w:val="41D15E43"/>
    <w:rsid w:val="41D21581"/>
    <w:rsid w:val="41D25DD3"/>
    <w:rsid w:val="41D31EAF"/>
    <w:rsid w:val="41D324B8"/>
    <w:rsid w:val="41D33FF9"/>
    <w:rsid w:val="41D37CA5"/>
    <w:rsid w:val="41D45EFD"/>
    <w:rsid w:val="41D473A2"/>
    <w:rsid w:val="41D55322"/>
    <w:rsid w:val="41D57EC1"/>
    <w:rsid w:val="41D60CDA"/>
    <w:rsid w:val="41D614EA"/>
    <w:rsid w:val="41D6290D"/>
    <w:rsid w:val="41D63C39"/>
    <w:rsid w:val="41D659E7"/>
    <w:rsid w:val="41D728AB"/>
    <w:rsid w:val="41D7307D"/>
    <w:rsid w:val="41D735B6"/>
    <w:rsid w:val="41D81760"/>
    <w:rsid w:val="41D83B53"/>
    <w:rsid w:val="41D83E0A"/>
    <w:rsid w:val="41D86D7F"/>
    <w:rsid w:val="41D963B0"/>
    <w:rsid w:val="41DA3C27"/>
    <w:rsid w:val="41DA6975"/>
    <w:rsid w:val="41DA7286"/>
    <w:rsid w:val="41DB55BA"/>
    <w:rsid w:val="41DB6A6F"/>
    <w:rsid w:val="41DB70C6"/>
    <w:rsid w:val="41DC22BD"/>
    <w:rsid w:val="41DC6334"/>
    <w:rsid w:val="41DC67EC"/>
    <w:rsid w:val="41DD6D76"/>
    <w:rsid w:val="41DE4E48"/>
    <w:rsid w:val="41DF0085"/>
    <w:rsid w:val="41E00614"/>
    <w:rsid w:val="41E023C2"/>
    <w:rsid w:val="41E114ED"/>
    <w:rsid w:val="41E12FA2"/>
    <w:rsid w:val="41E17D4C"/>
    <w:rsid w:val="41E20B0A"/>
    <w:rsid w:val="41E211DD"/>
    <w:rsid w:val="41E225DE"/>
    <w:rsid w:val="41E23DF0"/>
    <w:rsid w:val="41E2438C"/>
    <w:rsid w:val="41E2613A"/>
    <w:rsid w:val="41E265B3"/>
    <w:rsid w:val="41E369F0"/>
    <w:rsid w:val="41E4471D"/>
    <w:rsid w:val="41E450AD"/>
    <w:rsid w:val="41E53E7C"/>
    <w:rsid w:val="41E55C2A"/>
    <w:rsid w:val="41E5640E"/>
    <w:rsid w:val="41E579D9"/>
    <w:rsid w:val="41E62C76"/>
    <w:rsid w:val="41E65415"/>
    <w:rsid w:val="41E6745C"/>
    <w:rsid w:val="41E70617"/>
    <w:rsid w:val="41E743E3"/>
    <w:rsid w:val="41E74495"/>
    <w:rsid w:val="41E746D5"/>
    <w:rsid w:val="41E748AD"/>
    <w:rsid w:val="41E77BF5"/>
    <w:rsid w:val="41E81277"/>
    <w:rsid w:val="41E92AAA"/>
    <w:rsid w:val="41E9396D"/>
    <w:rsid w:val="41E9477C"/>
    <w:rsid w:val="41EA4FEF"/>
    <w:rsid w:val="41EB7A5D"/>
    <w:rsid w:val="41EC320C"/>
    <w:rsid w:val="41EC520B"/>
    <w:rsid w:val="41EC5C76"/>
    <w:rsid w:val="41EC6FB9"/>
    <w:rsid w:val="41ED0193"/>
    <w:rsid w:val="41EE4ADF"/>
    <w:rsid w:val="41EE5C9F"/>
    <w:rsid w:val="41EE6277"/>
    <w:rsid w:val="41EF2605"/>
    <w:rsid w:val="41F00BB2"/>
    <w:rsid w:val="41F06AA9"/>
    <w:rsid w:val="41F15EC5"/>
    <w:rsid w:val="41F21D83"/>
    <w:rsid w:val="41F30347"/>
    <w:rsid w:val="41F320F5"/>
    <w:rsid w:val="41F32730"/>
    <w:rsid w:val="41F35C3D"/>
    <w:rsid w:val="41F36599"/>
    <w:rsid w:val="41F51012"/>
    <w:rsid w:val="41F52311"/>
    <w:rsid w:val="41F53D55"/>
    <w:rsid w:val="41F63994"/>
    <w:rsid w:val="41F67E38"/>
    <w:rsid w:val="41F70BB4"/>
    <w:rsid w:val="41F71F64"/>
    <w:rsid w:val="41F72CD4"/>
    <w:rsid w:val="41F744F5"/>
    <w:rsid w:val="41F75931"/>
    <w:rsid w:val="41F7722B"/>
    <w:rsid w:val="41F83BB0"/>
    <w:rsid w:val="41F8770C"/>
    <w:rsid w:val="41F9330A"/>
    <w:rsid w:val="41F93484"/>
    <w:rsid w:val="41F95891"/>
    <w:rsid w:val="41FA2C04"/>
    <w:rsid w:val="41FB0E6C"/>
    <w:rsid w:val="41FB36A0"/>
    <w:rsid w:val="41FB6284"/>
    <w:rsid w:val="41FB71FC"/>
    <w:rsid w:val="41FC5A34"/>
    <w:rsid w:val="41FC7BEE"/>
    <w:rsid w:val="41FD0E5B"/>
    <w:rsid w:val="41FD11C6"/>
    <w:rsid w:val="41FD33B1"/>
    <w:rsid w:val="41FD4D22"/>
    <w:rsid w:val="41FF0E4B"/>
    <w:rsid w:val="41FF35DA"/>
    <w:rsid w:val="41FF4262"/>
    <w:rsid w:val="42000CBE"/>
    <w:rsid w:val="42002551"/>
    <w:rsid w:val="42002A64"/>
    <w:rsid w:val="4200449D"/>
    <w:rsid w:val="42004812"/>
    <w:rsid w:val="42004BAA"/>
    <w:rsid w:val="420059CB"/>
    <w:rsid w:val="42005B41"/>
    <w:rsid w:val="4202058A"/>
    <w:rsid w:val="4202071A"/>
    <w:rsid w:val="4202390D"/>
    <w:rsid w:val="42024A2E"/>
    <w:rsid w:val="420267DC"/>
    <w:rsid w:val="42026AFA"/>
    <w:rsid w:val="42032ACC"/>
    <w:rsid w:val="42041FB8"/>
    <w:rsid w:val="42043053"/>
    <w:rsid w:val="42044303"/>
    <w:rsid w:val="42044568"/>
    <w:rsid w:val="42051E29"/>
    <w:rsid w:val="42057F6C"/>
    <w:rsid w:val="4206553A"/>
    <w:rsid w:val="420662CD"/>
    <w:rsid w:val="42070318"/>
    <w:rsid w:val="42073DF3"/>
    <w:rsid w:val="42081F6F"/>
    <w:rsid w:val="42085A83"/>
    <w:rsid w:val="4208797B"/>
    <w:rsid w:val="42091919"/>
    <w:rsid w:val="420936C7"/>
    <w:rsid w:val="42097B6B"/>
    <w:rsid w:val="420A1B5A"/>
    <w:rsid w:val="420A5094"/>
    <w:rsid w:val="420C31B7"/>
    <w:rsid w:val="420C765B"/>
    <w:rsid w:val="420E0716"/>
    <w:rsid w:val="420E561A"/>
    <w:rsid w:val="420E669C"/>
    <w:rsid w:val="420F2CA7"/>
    <w:rsid w:val="420F4A55"/>
    <w:rsid w:val="420F6AF5"/>
    <w:rsid w:val="420F7F33"/>
    <w:rsid w:val="42100002"/>
    <w:rsid w:val="42100EF9"/>
    <w:rsid w:val="42102B0B"/>
    <w:rsid w:val="421136C3"/>
    <w:rsid w:val="42114C71"/>
    <w:rsid w:val="42116A20"/>
    <w:rsid w:val="421205B7"/>
    <w:rsid w:val="421239A5"/>
    <w:rsid w:val="42132798"/>
    <w:rsid w:val="421342A2"/>
    <w:rsid w:val="421361F6"/>
    <w:rsid w:val="4214206C"/>
    <w:rsid w:val="42161B6C"/>
    <w:rsid w:val="421624BD"/>
    <w:rsid w:val="42167D28"/>
    <w:rsid w:val="42173C07"/>
    <w:rsid w:val="42181B5C"/>
    <w:rsid w:val="42186000"/>
    <w:rsid w:val="42192CA6"/>
    <w:rsid w:val="42194F8B"/>
    <w:rsid w:val="421A35AD"/>
    <w:rsid w:val="421A58D4"/>
    <w:rsid w:val="421B33FA"/>
    <w:rsid w:val="421B38F1"/>
    <w:rsid w:val="421B789E"/>
    <w:rsid w:val="421C10AE"/>
    <w:rsid w:val="421C3B2B"/>
    <w:rsid w:val="421C3BC2"/>
    <w:rsid w:val="421D3616"/>
    <w:rsid w:val="421D3C7F"/>
    <w:rsid w:val="421D53C4"/>
    <w:rsid w:val="421D7172"/>
    <w:rsid w:val="421D78AB"/>
    <w:rsid w:val="421E2DFF"/>
    <w:rsid w:val="421E659F"/>
    <w:rsid w:val="421E7CE0"/>
    <w:rsid w:val="421F2EEA"/>
    <w:rsid w:val="421F652B"/>
    <w:rsid w:val="42202600"/>
    <w:rsid w:val="42203925"/>
    <w:rsid w:val="422051D1"/>
    <w:rsid w:val="42211528"/>
    <w:rsid w:val="4221394E"/>
    <w:rsid w:val="42214734"/>
    <w:rsid w:val="42214F44"/>
    <w:rsid w:val="42220C2D"/>
    <w:rsid w:val="42222247"/>
    <w:rsid w:val="422247EF"/>
    <w:rsid w:val="422259EF"/>
    <w:rsid w:val="422363B0"/>
    <w:rsid w:val="422370D4"/>
    <w:rsid w:val="42240501"/>
    <w:rsid w:val="42240CF9"/>
    <w:rsid w:val="42242934"/>
    <w:rsid w:val="42244EF0"/>
    <w:rsid w:val="42246753"/>
    <w:rsid w:val="42255FAE"/>
    <w:rsid w:val="42264D31"/>
    <w:rsid w:val="42266472"/>
    <w:rsid w:val="4227436B"/>
    <w:rsid w:val="42274E97"/>
    <w:rsid w:val="42277F6F"/>
    <w:rsid w:val="42277FF1"/>
    <w:rsid w:val="42287ED6"/>
    <w:rsid w:val="42293237"/>
    <w:rsid w:val="42297483"/>
    <w:rsid w:val="422A188F"/>
    <w:rsid w:val="422B0260"/>
    <w:rsid w:val="422B5D33"/>
    <w:rsid w:val="422B6118"/>
    <w:rsid w:val="422B6ABB"/>
    <w:rsid w:val="422C1AAB"/>
    <w:rsid w:val="422C1D05"/>
    <w:rsid w:val="422C353B"/>
    <w:rsid w:val="422C3859"/>
    <w:rsid w:val="422D3F6E"/>
    <w:rsid w:val="422E02E4"/>
    <w:rsid w:val="422E312E"/>
    <w:rsid w:val="422E5823"/>
    <w:rsid w:val="422E6B55"/>
    <w:rsid w:val="422E77D5"/>
    <w:rsid w:val="422F0C1B"/>
    <w:rsid w:val="422F2B21"/>
    <w:rsid w:val="422F3CF7"/>
    <w:rsid w:val="4230029F"/>
    <w:rsid w:val="423009B4"/>
    <w:rsid w:val="42302661"/>
    <w:rsid w:val="4230334A"/>
    <w:rsid w:val="423061AF"/>
    <w:rsid w:val="42307F37"/>
    <w:rsid w:val="42310E70"/>
    <w:rsid w:val="423121C2"/>
    <w:rsid w:val="42312C1E"/>
    <w:rsid w:val="42315607"/>
    <w:rsid w:val="42315640"/>
    <w:rsid w:val="42317946"/>
    <w:rsid w:val="423201D4"/>
    <w:rsid w:val="423224F1"/>
    <w:rsid w:val="42324810"/>
    <w:rsid w:val="42342ACB"/>
    <w:rsid w:val="423436D6"/>
    <w:rsid w:val="4235042E"/>
    <w:rsid w:val="42351B9E"/>
    <w:rsid w:val="4235270E"/>
    <w:rsid w:val="423609E4"/>
    <w:rsid w:val="42366486"/>
    <w:rsid w:val="42367D6C"/>
    <w:rsid w:val="4237121F"/>
    <w:rsid w:val="423742D8"/>
    <w:rsid w:val="4237474A"/>
    <w:rsid w:val="42375CB6"/>
    <w:rsid w:val="423765A1"/>
    <w:rsid w:val="42380450"/>
    <w:rsid w:val="423821FE"/>
    <w:rsid w:val="423868CA"/>
    <w:rsid w:val="42387549"/>
    <w:rsid w:val="42396E80"/>
    <w:rsid w:val="42397A48"/>
    <w:rsid w:val="423A3BCC"/>
    <w:rsid w:val="423A5B1D"/>
    <w:rsid w:val="423A5F76"/>
    <w:rsid w:val="423A665B"/>
    <w:rsid w:val="423A7D24"/>
    <w:rsid w:val="423B01E9"/>
    <w:rsid w:val="423B0EE0"/>
    <w:rsid w:val="423B2BB5"/>
    <w:rsid w:val="423B3A9C"/>
    <w:rsid w:val="423B3EEB"/>
    <w:rsid w:val="423B584A"/>
    <w:rsid w:val="423B715F"/>
    <w:rsid w:val="423C0C97"/>
    <w:rsid w:val="423C3269"/>
    <w:rsid w:val="423D1759"/>
    <w:rsid w:val="423D7815"/>
    <w:rsid w:val="423E780F"/>
    <w:rsid w:val="4240055E"/>
    <w:rsid w:val="424010B3"/>
    <w:rsid w:val="42401BEA"/>
    <w:rsid w:val="42417305"/>
    <w:rsid w:val="42421A16"/>
    <w:rsid w:val="42426BD9"/>
    <w:rsid w:val="4242747C"/>
    <w:rsid w:val="42435018"/>
    <w:rsid w:val="424355FB"/>
    <w:rsid w:val="42444557"/>
    <w:rsid w:val="42444C33"/>
    <w:rsid w:val="424477A6"/>
    <w:rsid w:val="42452E8B"/>
    <w:rsid w:val="424566C9"/>
    <w:rsid w:val="42462B6D"/>
    <w:rsid w:val="42462D06"/>
    <w:rsid w:val="42466EEC"/>
    <w:rsid w:val="42470693"/>
    <w:rsid w:val="42472441"/>
    <w:rsid w:val="42475020"/>
    <w:rsid w:val="42484C43"/>
    <w:rsid w:val="42492C9C"/>
    <w:rsid w:val="42492E4D"/>
    <w:rsid w:val="4249440B"/>
    <w:rsid w:val="42497F67"/>
    <w:rsid w:val="424A39D1"/>
    <w:rsid w:val="424A40D7"/>
    <w:rsid w:val="424A798C"/>
    <w:rsid w:val="424A7B43"/>
    <w:rsid w:val="424B0183"/>
    <w:rsid w:val="424B2C9D"/>
    <w:rsid w:val="424C3D45"/>
    <w:rsid w:val="424C5CAA"/>
    <w:rsid w:val="424D0579"/>
    <w:rsid w:val="424D161D"/>
    <w:rsid w:val="424E1A22"/>
    <w:rsid w:val="424E37D0"/>
    <w:rsid w:val="424E57D2"/>
    <w:rsid w:val="424F4E66"/>
    <w:rsid w:val="424F6B0E"/>
    <w:rsid w:val="42501214"/>
    <w:rsid w:val="425012F6"/>
    <w:rsid w:val="42504109"/>
    <w:rsid w:val="4250579A"/>
    <w:rsid w:val="4250748D"/>
    <w:rsid w:val="42512B6F"/>
    <w:rsid w:val="425132C0"/>
    <w:rsid w:val="4251506E"/>
    <w:rsid w:val="425172C9"/>
    <w:rsid w:val="42521512"/>
    <w:rsid w:val="4252548F"/>
    <w:rsid w:val="42530DE6"/>
    <w:rsid w:val="42537038"/>
    <w:rsid w:val="42544429"/>
    <w:rsid w:val="42547050"/>
    <w:rsid w:val="42553B1B"/>
    <w:rsid w:val="42554B5E"/>
    <w:rsid w:val="4255690C"/>
    <w:rsid w:val="425608D6"/>
    <w:rsid w:val="42563E10"/>
    <w:rsid w:val="425670E8"/>
    <w:rsid w:val="42580891"/>
    <w:rsid w:val="42580DF2"/>
    <w:rsid w:val="42582E33"/>
    <w:rsid w:val="4258464E"/>
    <w:rsid w:val="42584B94"/>
    <w:rsid w:val="42585F45"/>
    <w:rsid w:val="425A173D"/>
    <w:rsid w:val="425A2175"/>
    <w:rsid w:val="425A55C2"/>
    <w:rsid w:val="425A6618"/>
    <w:rsid w:val="425B3CF1"/>
    <w:rsid w:val="425B76C5"/>
    <w:rsid w:val="425C3634"/>
    <w:rsid w:val="425C403B"/>
    <w:rsid w:val="425C413F"/>
    <w:rsid w:val="425C5EED"/>
    <w:rsid w:val="425C6F5E"/>
    <w:rsid w:val="425D1112"/>
    <w:rsid w:val="425D392C"/>
    <w:rsid w:val="425D59AF"/>
    <w:rsid w:val="425D7EB7"/>
    <w:rsid w:val="425E3DC7"/>
    <w:rsid w:val="425E469D"/>
    <w:rsid w:val="425F309A"/>
    <w:rsid w:val="425F3425"/>
    <w:rsid w:val="425F3EFE"/>
    <w:rsid w:val="425F59DD"/>
    <w:rsid w:val="425F66F9"/>
    <w:rsid w:val="425F778B"/>
    <w:rsid w:val="426030E6"/>
    <w:rsid w:val="42603BD3"/>
    <w:rsid w:val="426074A6"/>
    <w:rsid w:val="42607A93"/>
    <w:rsid w:val="42611755"/>
    <w:rsid w:val="4261409D"/>
    <w:rsid w:val="426148CB"/>
    <w:rsid w:val="42615066"/>
    <w:rsid w:val="42621029"/>
    <w:rsid w:val="426226AF"/>
    <w:rsid w:val="426254CD"/>
    <w:rsid w:val="4262727B"/>
    <w:rsid w:val="42640C73"/>
    <w:rsid w:val="426478A4"/>
    <w:rsid w:val="42652475"/>
    <w:rsid w:val="42666D6B"/>
    <w:rsid w:val="42672AE3"/>
    <w:rsid w:val="42674891"/>
    <w:rsid w:val="42675C80"/>
    <w:rsid w:val="4269060A"/>
    <w:rsid w:val="42694EBE"/>
    <w:rsid w:val="426B3B54"/>
    <w:rsid w:val="426B588C"/>
    <w:rsid w:val="426C129B"/>
    <w:rsid w:val="426C514E"/>
    <w:rsid w:val="426C6036"/>
    <w:rsid w:val="426D2259"/>
    <w:rsid w:val="426D4B3E"/>
    <w:rsid w:val="426D540A"/>
    <w:rsid w:val="426E3215"/>
    <w:rsid w:val="426E51C1"/>
    <w:rsid w:val="426E79CE"/>
    <w:rsid w:val="426F16DB"/>
    <w:rsid w:val="426F3942"/>
    <w:rsid w:val="426F48D0"/>
    <w:rsid w:val="42707028"/>
    <w:rsid w:val="4272177A"/>
    <w:rsid w:val="42723FB4"/>
    <w:rsid w:val="42726795"/>
    <w:rsid w:val="4272719B"/>
    <w:rsid w:val="42734FE4"/>
    <w:rsid w:val="4274036F"/>
    <w:rsid w:val="42753C49"/>
    <w:rsid w:val="42755200"/>
    <w:rsid w:val="42764AD5"/>
    <w:rsid w:val="42770F78"/>
    <w:rsid w:val="42772109"/>
    <w:rsid w:val="42772BB1"/>
    <w:rsid w:val="42772D26"/>
    <w:rsid w:val="42773149"/>
    <w:rsid w:val="4278084D"/>
    <w:rsid w:val="42785A16"/>
    <w:rsid w:val="42785C18"/>
    <w:rsid w:val="42785D1A"/>
    <w:rsid w:val="42786A9F"/>
    <w:rsid w:val="42790A9A"/>
    <w:rsid w:val="427A2817"/>
    <w:rsid w:val="427A6373"/>
    <w:rsid w:val="427A7A29"/>
    <w:rsid w:val="427B20EB"/>
    <w:rsid w:val="427C033D"/>
    <w:rsid w:val="427C53FA"/>
    <w:rsid w:val="427D5E63"/>
    <w:rsid w:val="427E75A0"/>
    <w:rsid w:val="427F1BDB"/>
    <w:rsid w:val="427F607F"/>
    <w:rsid w:val="42803AE6"/>
    <w:rsid w:val="42803F18"/>
    <w:rsid w:val="428101E1"/>
    <w:rsid w:val="42810438"/>
    <w:rsid w:val="4281050D"/>
    <w:rsid w:val="42811ED4"/>
    <w:rsid w:val="42814D0F"/>
    <w:rsid w:val="42815953"/>
    <w:rsid w:val="42817701"/>
    <w:rsid w:val="42817C96"/>
    <w:rsid w:val="428200D1"/>
    <w:rsid w:val="428216CB"/>
    <w:rsid w:val="42823479"/>
    <w:rsid w:val="42830418"/>
    <w:rsid w:val="4283147C"/>
    <w:rsid w:val="428320B5"/>
    <w:rsid w:val="42832CAD"/>
    <w:rsid w:val="42836609"/>
    <w:rsid w:val="428411AC"/>
    <w:rsid w:val="42843B69"/>
    <w:rsid w:val="42845DF0"/>
    <w:rsid w:val="42855C22"/>
    <w:rsid w:val="42857378"/>
    <w:rsid w:val="428611BC"/>
    <w:rsid w:val="428627FF"/>
    <w:rsid w:val="42864D18"/>
    <w:rsid w:val="4286740D"/>
    <w:rsid w:val="42870A90"/>
    <w:rsid w:val="42872915"/>
    <w:rsid w:val="42876CE2"/>
    <w:rsid w:val="42880300"/>
    <w:rsid w:val="42886C16"/>
    <w:rsid w:val="42887029"/>
    <w:rsid w:val="42894808"/>
    <w:rsid w:val="42897620"/>
    <w:rsid w:val="428A1087"/>
    <w:rsid w:val="428A15BF"/>
    <w:rsid w:val="428A2851"/>
    <w:rsid w:val="428A3B8F"/>
    <w:rsid w:val="428C1C8A"/>
    <w:rsid w:val="428C42F8"/>
    <w:rsid w:val="428C7571"/>
    <w:rsid w:val="428C79DC"/>
    <w:rsid w:val="428D254A"/>
    <w:rsid w:val="428D328C"/>
    <w:rsid w:val="428D6AB0"/>
    <w:rsid w:val="428E2F8F"/>
    <w:rsid w:val="428E35FC"/>
    <w:rsid w:val="42903A12"/>
    <w:rsid w:val="42905B96"/>
    <w:rsid w:val="42906337"/>
    <w:rsid w:val="42907217"/>
    <w:rsid w:val="42920FD0"/>
    <w:rsid w:val="42927B60"/>
    <w:rsid w:val="42935686"/>
    <w:rsid w:val="42941C47"/>
    <w:rsid w:val="42945242"/>
    <w:rsid w:val="4294592A"/>
    <w:rsid w:val="42947635"/>
    <w:rsid w:val="429513FF"/>
    <w:rsid w:val="429532F6"/>
    <w:rsid w:val="4295770E"/>
    <w:rsid w:val="42957E13"/>
    <w:rsid w:val="42962007"/>
    <w:rsid w:val="42972733"/>
    <w:rsid w:val="429733C9"/>
    <w:rsid w:val="42974AFE"/>
    <w:rsid w:val="42976F25"/>
    <w:rsid w:val="42980EEF"/>
    <w:rsid w:val="42982127"/>
    <w:rsid w:val="42984A4B"/>
    <w:rsid w:val="429865BE"/>
    <w:rsid w:val="42994980"/>
    <w:rsid w:val="429A07C3"/>
    <w:rsid w:val="429A0960"/>
    <w:rsid w:val="429A6A15"/>
    <w:rsid w:val="429A743B"/>
    <w:rsid w:val="429B023C"/>
    <w:rsid w:val="429B5757"/>
    <w:rsid w:val="429C09DF"/>
    <w:rsid w:val="429C453B"/>
    <w:rsid w:val="429C6C46"/>
    <w:rsid w:val="429D6164"/>
    <w:rsid w:val="429E5DF7"/>
    <w:rsid w:val="429E6037"/>
    <w:rsid w:val="429F1254"/>
    <w:rsid w:val="42A02FA3"/>
    <w:rsid w:val="42A04F26"/>
    <w:rsid w:val="42A11B51"/>
    <w:rsid w:val="42A15FF5"/>
    <w:rsid w:val="42A214C1"/>
    <w:rsid w:val="42A22088"/>
    <w:rsid w:val="42A258CA"/>
    <w:rsid w:val="42A31D6D"/>
    <w:rsid w:val="42A338A7"/>
    <w:rsid w:val="42A33B1C"/>
    <w:rsid w:val="42A33CB2"/>
    <w:rsid w:val="42A353AF"/>
    <w:rsid w:val="42A41642"/>
    <w:rsid w:val="42A57908"/>
    <w:rsid w:val="42A57C22"/>
    <w:rsid w:val="42A6360C"/>
    <w:rsid w:val="42A66A56"/>
    <w:rsid w:val="42A67168"/>
    <w:rsid w:val="42A72228"/>
    <w:rsid w:val="42A72EE0"/>
    <w:rsid w:val="42A778FD"/>
    <w:rsid w:val="42A81083"/>
    <w:rsid w:val="42A8383C"/>
    <w:rsid w:val="42A84725"/>
    <w:rsid w:val="42A858DB"/>
    <w:rsid w:val="42A859E6"/>
    <w:rsid w:val="42A85A2D"/>
    <w:rsid w:val="42A86289"/>
    <w:rsid w:val="42A903E2"/>
    <w:rsid w:val="42A930FC"/>
    <w:rsid w:val="42A96DE4"/>
    <w:rsid w:val="42A97C5A"/>
    <w:rsid w:val="42AA5FD8"/>
    <w:rsid w:val="42AA787B"/>
    <w:rsid w:val="42AB0C22"/>
    <w:rsid w:val="42AB15F5"/>
    <w:rsid w:val="42AB2700"/>
    <w:rsid w:val="42AB42A3"/>
    <w:rsid w:val="42AB6E74"/>
    <w:rsid w:val="42AC001C"/>
    <w:rsid w:val="42AC04F6"/>
    <w:rsid w:val="42AC2401"/>
    <w:rsid w:val="42AC34C9"/>
    <w:rsid w:val="42AC377F"/>
    <w:rsid w:val="42AC6666"/>
    <w:rsid w:val="42AD0C9C"/>
    <w:rsid w:val="42AD4959"/>
    <w:rsid w:val="42AD499A"/>
    <w:rsid w:val="42AD6748"/>
    <w:rsid w:val="42AD7E84"/>
    <w:rsid w:val="42AE05F3"/>
    <w:rsid w:val="42AE0712"/>
    <w:rsid w:val="42AE24C0"/>
    <w:rsid w:val="42AF1CA5"/>
    <w:rsid w:val="42AF518B"/>
    <w:rsid w:val="42B05460"/>
    <w:rsid w:val="42B07FE6"/>
    <w:rsid w:val="42B1532C"/>
    <w:rsid w:val="42B15B0D"/>
    <w:rsid w:val="42B20069"/>
    <w:rsid w:val="42B20202"/>
    <w:rsid w:val="42B2629D"/>
    <w:rsid w:val="42B26B0C"/>
    <w:rsid w:val="42B26C49"/>
    <w:rsid w:val="42B31885"/>
    <w:rsid w:val="42B3339C"/>
    <w:rsid w:val="42B37AD7"/>
    <w:rsid w:val="42B51AA1"/>
    <w:rsid w:val="42B5606A"/>
    <w:rsid w:val="42B57921"/>
    <w:rsid w:val="42B61B65"/>
    <w:rsid w:val="42B71D1D"/>
    <w:rsid w:val="42B71DF8"/>
    <w:rsid w:val="42B74155"/>
    <w:rsid w:val="42B75819"/>
    <w:rsid w:val="42B77B2B"/>
    <w:rsid w:val="42B86676"/>
    <w:rsid w:val="42B9091A"/>
    <w:rsid w:val="42B9180B"/>
    <w:rsid w:val="42B921EF"/>
    <w:rsid w:val="42B9392C"/>
    <w:rsid w:val="42B95875"/>
    <w:rsid w:val="42BA0E65"/>
    <w:rsid w:val="42BA0F65"/>
    <w:rsid w:val="42BA2C13"/>
    <w:rsid w:val="42BA70B7"/>
    <w:rsid w:val="42BB03ED"/>
    <w:rsid w:val="42BB1B2E"/>
    <w:rsid w:val="42BB3458"/>
    <w:rsid w:val="42BB3775"/>
    <w:rsid w:val="42BB3A58"/>
    <w:rsid w:val="42BC219B"/>
    <w:rsid w:val="42BC4BDD"/>
    <w:rsid w:val="42BC698B"/>
    <w:rsid w:val="42BD6EEC"/>
    <w:rsid w:val="42BD701F"/>
    <w:rsid w:val="42BE0955"/>
    <w:rsid w:val="42BE2AF4"/>
    <w:rsid w:val="42BE6EDE"/>
    <w:rsid w:val="42BE7BDF"/>
    <w:rsid w:val="42BF022A"/>
    <w:rsid w:val="42BF1B92"/>
    <w:rsid w:val="42BF647C"/>
    <w:rsid w:val="42BF7C4D"/>
    <w:rsid w:val="42C104FE"/>
    <w:rsid w:val="42C121F4"/>
    <w:rsid w:val="42C12399"/>
    <w:rsid w:val="42C30C8C"/>
    <w:rsid w:val="42C35573"/>
    <w:rsid w:val="42C42BE0"/>
    <w:rsid w:val="42C52FD7"/>
    <w:rsid w:val="42C548AE"/>
    <w:rsid w:val="42C57F36"/>
    <w:rsid w:val="42C615B8"/>
    <w:rsid w:val="42C624C9"/>
    <w:rsid w:val="42C65A5C"/>
    <w:rsid w:val="42C6780A"/>
    <w:rsid w:val="42C83582"/>
    <w:rsid w:val="42C84B75"/>
    <w:rsid w:val="42C85330"/>
    <w:rsid w:val="42C972FA"/>
    <w:rsid w:val="42CA4710"/>
    <w:rsid w:val="42CA554C"/>
    <w:rsid w:val="42CA5A5B"/>
    <w:rsid w:val="42CB0122"/>
    <w:rsid w:val="42CB1461"/>
    <w:rsid w:val="42CB4E20"/>
    <w:rsid w:val="42CB7412"/>
    <w:rsid w:val="42CD0B98"/>
    <w:rsid w:val="42CD4A10"/>
    <w:rsid w:val="42CE66BF"/>
    <w:rsid w:val="42CF2488"/>
    <w:rsid w:val="42CF2B62"/>
    <w:rsid w:val="42CF2D7B"/>
    <w:rsid w:val="42CF382B"/>
    <w:rsid w:val="42D02437"/>
    <w:rsid w:val="42D13116"/>
    <w:rsid w:val="42D13FF0"/>
    <w:rsid w:val="42D1603A"/>
    <w:rsid w:val="42D25B1A"/>
    <w:rsid w:val="42D26925"/>
    <w:rsid w:val="42D27E91"/>
    <w:rsid w:val="42D31F27"/>
    <w:rsid w:val="42D354B0"/>
    <w:rsid w:val="42D36B91"/>
    <w:rsid w:val="42D40179"/>
    <w:rsid w:val="42D47B8F"/>
    <w:rsid w:val="42D53EF1"/>
    <w:rsid w:val="42D54CFA"/>
    <w:rsid w:val="42D552A6"/>
    <w:rsid w:val="42D55C9F"/>
    <w:rsid w:val="42D579CA"/>
    <w:rsid w:val="42D57A4D"/>
    <w:rsid w:val="42D71A17"/>
    <w:rsid w:val="42D75530"/>
    <w:rsid w:val="42D76203"/>
    <w:rsid w:val="42D812EB"/>
    <w:rsid w:val="42D83BE0"/>
    <w:rsid w:val="42D83D92"/>
    <w:rsid w:val="42D93808"/>
    <w:rsid w:val="42D950B7"/>
    <w:rsid w:val="42D956C8"/>
    <w:rsid w:val="42D9578F"/>
    <w:rsid w:val="42D9753D"/>
    <w:rsid w:val="42DA22A9"/>
    <w:rsid w:val="42DA3976"/>
    <w:rsid w:val="42DA5063"/>
    <w:rsid w:val="42DB4E51"/>
    <w:rsid w:val="42DB5C3F"/>
    <w:rsid w:val="42DC1519"/>
    <w:rsid w:val="42DC527F"/>
    <w:rsid w:val="42DC5E2C"/>
    <w:rsid w:val="42DC6682"/>
    <w:rsid w:val="42DD2406"/>
    <w:rsid w:val="42DD35BE"/>
    <w:rsid w:val="42DD6902"/>
    <w:rsid w:val="42DE28D1"/>
    <w:rsid w:val="42DE4EC8"/>
    <w:rsid w:val="42DF08CC"/>
    <w:rsid w:val="42DF1646"/>
    <w:rsid w:val="42DF267A"/>
    <w:rsid w:val="42DF61F9"/>
    <w:rsid w:val="42E137F5"/>
    <w:rsid w:val="42E163F2"/>
    <w:rsid w:val="42E21C5A"/>
    <w:rsid w:val="42E2699C"/>
    <w:rsid w:val="42E30929"/>
    <w:rsid w:val="42E31E8A"/>
    <w:rsid w:val="42E3216A"/>
    <w:rsid w:val="42E364F9"/>
    <w:rsid w:val="42E36E6B"/>
    <w:rsid w:val="42E4223C"/>
    <w:rsid w:val="42E45EE2"/>
    <w:rsid w:val="42E46EA8"/>
    <w:rsid w:val="42E4759C"/>
    <w:rsid w:val="42E475F9"/>
    <w:rsid w:val="42E47C90"/>
    <w:rsid w:val="42E560FF"/>
    <w:rsid w:val="42E63A08"/>
    <w:rsid w:val="42E67301"/>
    <w:rsid w:val="42E67EAC"/>
    <w:rsid w:val="42E72223"/>
    <w:rsid w:val="42E72E8F"/>
    <w:rsid w:val="42E75C1C"/>
    <w:rsid w:val="42E81483"/>
    <w:rsid w:val="42E85506"/>
    <w:rsid w:val="42E859D2"/>
    <w:rsid w:val="42E90492"/>
    <w:rsid w:val="42EA0B70"/>
    <w:rsid w:val="42EA603C"/>
    <w:rsid w:val="42EA69AD"/>
    <w:rsid w:val="42EA799C"/>
    <w:rsid w:val="42EB0C15"/>
    <w:rsid w:val="42EB101F"/>
    <w:rsid w:val="42EB54C2"/>
    <w:rsid w:val="42EB6BA2"/>
    <w:rsid w:val="42EC5FCB"/>
    <w:rsid w:val="42ED123B"/>
    <w:rsid w:val="42ED4D97"/>
    <w:rsid w:val="42EE6EAC"/>
    <w:rsid w:val="42EF43F8"/>
    <w:rsid w:val="42EF47BF"/>
    <w:rsid w:val="42EF4FB3"/>
    <w:rsid w:val="42EF6D61"/>
    <w:rsid w:val="42F06635"/>
    <w:rsid w:val="42F205FF"/>
    <w:rsid w:val="42F21D46"/>
    <w:rsid w:val="42F223AD"/>
    <w:rsid w:val="42F26DF6"/>
    <w:rsid w:val="42F27D13"/>
    <w:rsid w:val="42F41CBF"/>
    <w:rsid w:val="42F44377"/>
    <w:rsid w:val="42F45FB0"/>
    <w:rsid w:val="42F47F45"/>
    <w:rsid w:val="42F500EF"/>
    <w:rsid w:val="42F51E9D"/>
    <w:rsid w:val="42F55EFA"/>
    <w:rsid w:val="42F56341"/>
    <w:rsid w:val="42F659C3"/>
    <w:rsid w:val="42F73E67"/>
    <w:rsid w:val="42F75C15"/>
    <w:rsid w:val="42F8373B"/>
    <w:rsid w:val="42F86480"/>
    <w:rsid w:val="42F866EB"/>
    <w:rsid w:val="42F87AB8"/>
    <w:rsid w:val="42F9198D"/>
    <w:rsid w:val="42F946FB"/>
    <w:rsid w:val="42F97BDF"/>
    <w:rsid w:val="42FA5B02"/>
    <w:rsid w:val="42FA7F7D"/>
    <w:rsid w:val="42FB3958"/>
    <w:rsid w:val="42FC322C"/>
    <w:rsid w:val="42FE46DB"/>
    <w:rsid w:val="42FE6FA4"/>
    <w:rsid w:val="42FF4ACA"/>
    <w:rsid w:val="43000262"/>
    <w:rsid w:val="43000F6E"/>
    <w:rsid w:val="43004B7A"/>
    <w:rsid w:val="43010842"/>
    <w:rsid w:val="43015A6A"/>
    <w:rsid w:val="43016A94"/>
    <w:rsid w:val="43022B82"/>
    <w:rsid w:val="43023B99"/>
    <w:rsid w:val="43030A5E"/>
    <w:rsid w:val="4303280C"/>
    <w:rsid w:val="43033B7B"/>
    <w:rsid w:val="430345BA"/>
    <w:rsid w:val="43034EAD"/>
    <w:rsid w:val="430361B5"/>
    <w:rsid w:val="43036368"/>
    <w:rsid w:val="43040332"/>
    <w:rsid w:val="43045701"/>
    <w:rsid w:val="43050C76"/>
    <w:rsid w:val="430640AA"/>
    <w:rsid w:val="430702AF"/>
    <w:rsid w:val="430736E6"/>
    <w:rsid w:val="43081BD1"/>
    <w:rsid w:val="430843A7"/>
    <w:rsid w:val="43087FD9"/>
    <w:rsid w:val="43092A49"/>
    <w:rsid w:val="43093E66"/>
    <w:rsid w:val="430976F7"/>
    <w:rsid w:val="43097E84"/>
    <w:rsid w:val="430A1DED"/>
    <w:rsid w:val="430A3B9B"/>
    <w:rsid w:val="430B0051"/>
    <w:rsid w:val="430B16C1"/>
    <w:rsid w:val="430B2593"/>
    <w:rsid w:val="430B346F"/>
    <w:rsid w:val="430B6AB6"/>
    <w:rsid w:val="430B7913"/>
    <w:rsid w:val="430D2F90"/>
    <w:rsid w:val="430D368B"/>
    <w:rsid w:val="430D6B93"/>
    <w:rsid w:val="430D71E7"/>
    <w:rsid w:val="430D728C"/>
    <w:rsid w:val="430D77C7"/>
    <w:rsid w:val="430E211F"/>
    <w:rsid w:val="430E67C4"/>
    <w:rsid w:val="430F2A76"/>
    <w:rsid w:val="430F32C1"/>
    <w:rsid w:val="430F394C"/>
    <w:rsid w:val="430F3CF6"/>
    <w:rsid w:val="430F4FD8"/>
    <w:rsid w:val="430F539D"/>
    <w:rsid w:val="430F7403"/>
    <w:rsid w:val="430F7580"/>
    <w:rsid w:val="431044F4"/>
    <w:rsid w:val="43104F29"/>
    <w:rsid w:val="4311280D"/>
    <w:rsid w:val="43121835"/>
    <w:rsid w:val="431241F7"/>
    <w:rsid w:val="431247FD"/>
    <w:rsid w:val="43141EC1"/>
    <w:rsid w:val="43150FF8"/>
    <w:rsid w:val="43152739"/>
    <w:rsid w:val="431542ED"/>
    <w:rsid w:val="431578C0"/>
    <w:rsid w:val="43161198"/>
    <w:rsid w:val="43162488"/>
    <w:rsid w:val="43170066"/>
    <w:rsid w:val="4318641E"/>
    <w:rsid w:val="43191309"/>
    <w:rsid w:val="43191B5B"/>
    <w:rsid w:val="4319254A"/>
    <w:rsid w:val="43192E06"/>
    <w:rsid w:val="431940CB"/>
    <w:rsid w:val="43195B8C"/>
    <w:rsid w:val="431A1904"/>
    <w:rsid w:val="431A42EA"/>
    <w:rsid w:val="431A7B56"/>
    <w:rsid w:val="431B4E6A"/>
    <w:rsid w:val="431C09D5"/>
    <w:rsid w:val="431C4669"/>
    <w:rsid w:val="431C567C"/>
    <w:rsid w:val="431C6878"/>
    <w:rsid w:val="431D5FF7"/>
    <w:rsid w:val="431E0717"/>
    <w:rsid w:val="431E13F4"/>
    <w:rsid w:val="431E31A2"/>
    <w:rsid w:val="431E7FC5"/>
    <w:rsid w:val="431F33A3"/>
    <w:rsid w:val="432033BE"/>
    <w:rsid w:val="4320516C"/>
    <w:rsid w:val="4320610A"/>
    <w:rsid w:val="43210EE4"/>
    <w:rsid w:val="43217136"/>
    <w:rsid w:val="43222F17"/>
    <w:rsid w:val="432265F0"/>
    <w:rsid w:val="432307B8"/>
    <w:rsid w:val="43230B50"/>
    <w:rsid w:val="432314F5"/>
    <w:rsid w:val="43233A2D"/>
    <w:rsid w:val="43233A99"/>
    <w:rsid w:val="43234C5C"/>
    <w:rsid w:val="43236A0A"/>
    <w:rsid w:val="43244531"/>
    <w:rsid w:val="43251E01"/>
    <w:rsid w:val="432539D5"/>
    <w:rsid w:val="432602A9"/>
    <w:rsid w:val="4326474D"/>
    <w:rsid w:val="432664FB"/>
    <w:rsid w:val="4327252E"/>
    <w:rsid w:val="43274BB4"/>
    <w:rsid w:val="4328018C"/>
    <w:rsid w:val="432849AF"/>
    <w:rsid w:val="43287880"/>
    <w:rsid w:val="43291B47"/>
    <w:rsid w:val="43292C01"/>
    <w:rsid w:val="43292C13"/>
    <w:rsid w:val="432A376E"/>
    <w:rsid w:val="432A452D"/>
    <w:rsid w:val="432A59BE"/>
    <w:rsid w:val="432A5FEB"/>
    <w:rsid w:val="432A76B8"/>
    <w:rsid w:val="432B081F"/>
    <w:rsid w:val="432B210A"/>
    <w:rsid w:val="432B6769"/>
    <w:rsid w:val="432C2EA2"/>
    <w:rsid w:val="432C576F"/>
    <w:rsid w:val="432D7889"/>
    <w:rsid w:val="432E033E"/>
    <w:rsid w:val="432E75F6"/>
    <w:rsid w:val="432F1853"/>
    <w:rsid w:val="432F476F"/>
    <w:rsid w:val="43301127"/>
    <w:rsid w:val="43306451"/>
    <w:rsid w:val="43307B9B"/>
    <w:rsid w:val="4331074A"/>
    <w:rsid w:val="4331444F"/>
    <w:rsid w:val="43316A55"/>
    <w:rsid w:val="4331703C"/>
    <w:rsid w:val="43317E31"/>
    <w:rsid w:val="4332051F"/>
    <w:rsid w:val="433230F1"/>
    <w:rsid w:val="43324E9F"/>
    <w:rsid w:val="4332698C"/>
    <w:rsid w:val="43326C4D"/>
    <w:rsid w:val="43333108"/>
    <w:rsid w:val="4333424C"/>
    <w:rsid w:val="433429C6"/>
    <w:rsid w:val="43344580"/>
    <w:rsid w:val="43346E69"/>
    <w:rsid w:val="43347151"/>
    <w:rsid w:val="433504EC"/>
    <w:rsid w:val="433531A1"/>
    <w:rsid w:val="43362BE2"/>
    <w:rsid w:val="43364990"/>
    <w:rsid w:val="43380348"/>
    <w:rsid w:val="43394480"/>
    <w:rsid w:val="43395F5E"/>
    <w:rsid w:val="433A3D54"/>
    <w:rsid w:val="433A476F"/>
    <w:rsid w:val="433A6FE6"/>
    <w:rsid w:val="433B60C3"/>
    <w:rsid w:val="433C4196"/>
    <w:rsid w:val="433C5D1E"/>
    <w:rsid w:val="433C74F4"/>
    <w:rsid w:val="433D5237"/>
    <w:rsid w:val="433E1A96"/>
    <w:rsid w:val="433E55F2"/>
    <w:rsid w:val="433F136A"/>
    <w:rsid w:val="433F15D6"/>
    <w:rsid w:val="433F3DAC"/>
    <w:rsid w:val="433F4264"/>
    <w:rsid w:val="433F490F"/>
    <w:rsid w:val="433F7D46"/>
    <w:rsid w:val="43402B23"/>
    <w:rsid w:val="43402CE4"/>
    <w:rsid w:val="434075BC"/>
    <w:rsid w:val="43414866"/>
    <w:rsid w:val="434155E3"/>
    <w:rsid w:val="43416EEE"/>
    <w:rsid w:val="4342465F"/>
    <w:rsid w:val="43435682"/>
    <w:rsid w:val="43436494"/>
    <w:rsid w:val="43452E25"/>
    <w:rsid w:val="434555B7"/>
    <w:rsid w:val="43460D02"/>
    <w:rsid w:val="434626F9"/>
    <w:rsid w:val="43462AB3"/>
    <w:rsid w:val="434729F6"/>
    <w:rsid w:val="43472D70"/>
    <w:rsid w:val="43473949"/>
    <w:rsid w:val="43475C72"/>
    <w:rsid w:val="4347623D"/>
    <w:rsid w:val="43476B9D"/>
    <w:rsid w:val="4348021F"/>
    <w:rsid w:val="43480868"/>
    <w:rsid w:val="434846C3"/>
    <w:rsid w:val="43493422"/>
    <w:rsid w:val="43495316"/>
    <w:rsid w:val="43496273"/>
    <w:rsid w:val="434963E9"/>
    <w:rsid w:val="434A043B"/>
    <w:rsid w:val="434A3F97"/>
    <w:rsid w:val="434A409F"/>
    <w:rsid w:val="434A4C28"/>
    <w:rsid w:val="434A5F72"/>
    <w:rsid w:val="434B2C17"/>
    <w:rsid w:val="434B5F10"/>
    <w:rsid w:val="434B5F61"/>
    <w:rsid w:val="434B7D0F"/>
    <w:rsid w:val="434C2527"/>
    <w:rsid w:val="434C2DC0"/>
    <w:rsid w:val="434C312A"/>
    <w:rsid w:val="434C645C"/>
    <w:rsid w:val="434D1CD9"/>
    <w:rsid w:val="434D3A87"/>
    <w:rsid w:val="434D5127"/>
    <w:rsid w:val="434D6868"/>
    <w:rsid w:val="434E3D93"/>
    <w:rsid w:val="434E6BD6"/>
    <w:rsid w:val="434F15AD"/>
    <w:rsid w:val="434F3D59"/>
    <w:rsid w:val="434F45F5"/>
    <w:rsid w:val="434F7188"/>
    <w:rsid w:val="434F77FF"/>
    <w:rsid w:val="4350530C"/>
    <w:rsid w:val="4350713C"/>
    <w:rsid w:val="43507984"/>
    <w:rsid w:val="43507DFC"/>
    <w:rsid w:val="43510082"/>
    <w:rsid w:val="43510AEB"/>
    <w:rsid w:val="435141A8"/>
    <w:rsid w:val="43514824"/>
    <w:rsid w:val="4351536C"/>
    <w:rsid w:val="43520A54"/>
    <w:rsid w:val="4352109E"/>
    <w:rsid w:val="43524E1D"/>
    <w:rsid w:val="43525542"/>
    <w:rsid w:val="435272F0"/>
    <w:rsid w:val="43544E16"/>
    <w:rsid w:val="43546891"/>
    <w:rsid w:val="4355065E"/>
    <w:rsid w:val="43551025"/>
    <w:rsid w:val="43551950"/>
    <w:rsid w:val="43560B8E"/>
    <w:rsid w:val="43562F63"/>
    <w:rsid w:val="43565E8E"/>
    <w:rsid w:val="435708DB"/>
    <w:rsid w:val="43570DAA"/>
    <w:rsid w:val="43574906"/>
    <w:rsid w:val="43575D89"/>
    <w:rsid w:val="435769CF"/>
    <w:rsid w:val="435905DC"/>
    <w:rsid w:val="4359067E"/>
    <w:rsid w:val="43590AF8"/>
    <w:rsid w:val="4359242C"/>
    <w:rsid w:val="43594235"/>
    <w:rsid w:val="435A629B"/>
    <w:rsid w:val="435A7091"/>
    <w:rsid w:val="435B22FC"/>
    <w:rsid w:val="435B2648"/>
    <w:rsid w:val="435B3597"/>
    <w:rsid w:val="435B43F6"/>
    <w:rsid w:val="435B48FA"/>
    <w:rsid w:val="435B4D20"/>
    <w:rsid w:val="435C1F1C"/>
    <w:rsid w:val="435D0D45"/>
    <w:rsid w:val="435D4C1C"/>
    <w:rsid w:val="435D6994"/>
    <w:rsid w:val="435D6A99"/>
    <w:rsid w:val="435E3AAC"/>
    <w:rsid w:val="43604CDE"/>
    <w:rsid w:val="43607785"/>
    <w:rsid w:val="43615785"/>
    <w:rsid w:val="43617533"/>
    <w:rsid w:val="43620193"/>
    <w:rsid w:val="436239D7"/>
    <w:rsid w:val="43625EF8"/>
    <w:rsid w:val="43626ED6"/>
    <w:rsid w:val="436314FD"/>
    <w:rsid w:val="436332AB"/>
    <w:rsid w:val="4363365F"/>
    <w:rsid w:val="436467EE"/>
    <w:rsid w:val="4365451E"/>
    <w:rsid w:val="43657023"/>
    <w:rsid w:val="436577AB"/>
    <w:rsid w:val="43664B49"/>
    <w:rsid w:val="43664E89"/>
    <w:rsid w:val="436653E0"/>
    <w:rsid w:val="43675A6B"/>
    <w:rsid w:val="436808C1"/>
    <w:rsid w:val="43683806"/>
    <w:rsid w:val="43683854"/>
    <w:rsid w:val="43684DA3"/>
    <w:rsid w:val="43694383"/>
    <w:rsid w:val="436949CA"/>
    <w:rsid w:val="43697CE0"/>
    <w:rsid w:val="436A07D2"/>
    <w:rsid w:val="436A2A72"/>
    <w:rsid w:val="436A3902"/>
    <w:rsid w:val="436A6F62"/>
    <w:rsid w:val="436B0208"/>
    <w:rsid w:val="436B4727"/>
    <w:rsid w:val="436C1304"/>
    <w:rsid w:val="436C3281"/>
    <w:rsid w:val="436C33A6"/>
    <w:rsid w:val="436C44D7"/>
    <w:rsid w:val="436C5344"/>
    <w:rsid w:val="436D1DC4"/>
    <w:rsid w:val="436D3F5C"/>
    <w:rsid w:val="436D5ED7"/>
    <w:rsid w:val="436E307D"/>
    <w:rsid w:val="436E7420"/>
    <w:rsid w:val="436E7DFC"/>
    <w:rsid w:val="436F1C02"/>
    <w:rsid w:val="436F7EA2"/>
    <w:rsid w:val="43701282"/>
    <w:rsid w:val="43703B36"/>
    <w:rsid w:val="43721740"/>
    <w:rsid w:val="4372256D"/>
    <w:rsid w:val="43722FAC"/>
    <w:rsid w:val="437234EE"/>
    <w:rsid w:val="4374108A"/>
    <w:rsid w:val="4374370A"/>
    <w:rsid w:val="4374388D"/>
    <w:rsid w:val="43744384"/>
    <w:rsid w:val="43745EE8"/>
    <w:rsid w:val="43755730"/>
    <w:rsid w:val="43762FDE"/>
    <w:rsid w:val="43764794"/>
    <w:rsid w:val="43771EED"/>
    <w:rsid w:val="43776D56"/>
    <w:rsid w:val="43790D20"/>
    <w:rsid w:val="43792ACE"/>
    <w:rsid w:val="437943F5"/>
    <w:rsid w:val="437B0C83"/>
    <w:rsid w:val="437B55AE"/>
    <w:rsid w:val="437C1DB9"/>
    <w:rsid w:val="437C5F39"/>
    <w:rsid w:val="437D7292"/>
    <w:rsid w:val="437E0654"/>
    <w:rsid w:val="437E1E93"/>
    <w:rsid w:val="437F0A3B"/>
    <w:rsid w:val="437F6B26"/>
    <w:rsid w:val="4380023E"/>
    <w:rsid w:val="4380468F"/>
    <w:rsid w:val="4381102C"/>
    <w:rsid w:val="43811983"/>
    <w:rsid w:val="43813694"/>
    <w:rsid w:val="43814076"/>
    <w:rsid w:val="438216E6"/>
    <w:rsid w:val="43827B17"/>
    <w:rsid w:val="43831973"/>
    <w:rsid w:val="438324EF"/>
    <w:rsid w:val="438356FB"/>
    <w:rsid w:val="438374A9"/>
    <w:rsid w:val="43842237"/>
    <w:rsid w:val="43853221"/>
    <w:rsid w:val="43857D22"/>
    <w:rsid w:val="43860D47"/>
    <w:rsid w:val="4386210D"/>
    <w:rsid w:val="43863795"/>
    <w:rsid w:val="438653D3"/>
    <w:rsid w:val="438751EB"/>
    <w:rsid w:val="43880F63"/>
    <w:rsid w:val="4388268D"/>
    <w:rsid w:val="43882D11"/>
    <w:rsid w:val="438904C5"/>
    <w:rsid w:val="438922BD"/>
    <w:rsid w:val="438A08E1"/>
    <w:rsid w:val="438A4ADE"/>
    <w:rsid w:val="438A680A"/>
    <w:rsid w:val="438B31BA"/>
    <w:rsid w:val="438B51D4"/>
    <w:rsid w:val="438B66D5"/>
    <w:rsid w:val="438B7CFE"/>
    <w:rsid w:val="438C0A54"/>
    <w:rsid w:val="438C2802"/>
    <w:rsid w:val="438C286B"/>
    <w:rsid w:val="438C45B0"/>
    <w:rsid w:val="438C4FE4"/>
    <w:rsid w:val="438C6F7D"/>
    <w:rsid w:val="438C70EC"/>
    <w:rsid w:val="438D657A"/>
    <w:rsid w:val="438D6DD9"/>
    <w:rsid w:val="438E7A4A"/>
    <w:rsid w:val="438F09D3"/>
    <w:rsid w:val="438F22F2"/>
    <w:rsid w:val="438F4B21"/>
    <w:rsid w:val="438F52E6"/>
    <w:rsid w:val="43901FF7"/>
    <w:rsid w:val="4390390F"/>
    <w:rsid w:val="439131F0"/>
    <w:rsid w:val="43913B0C"/>
    <w:rsid w:val="43914F70"/>
    <w:rsid w:val="4391606A"/>
    <w:rsid w:val="43917E18"/>
    <w:rsid w:val="43917EC4"/>
    <w:rsid w:val="43920AAA"/>
    <w:rsid w:val="43940E05"/>
    <w:rsid w:val="43940FFD"/>
    <w:rsid w:val="4394402F"/>
    <w:rsid w:val="43946D31"/>
    <w:rsid w:val="439478BC"/>
    <w:rsid w:val="43947908"/>
    <w:rsid w:val="43953645"/>
    <w:rsid w:val="43965D59"/>
    <w:rsid w:val="439671DC"/>
    <w:rsid w:val="439711A6"/>
    <w:rsid w:val="43972914"/>
    <w:rsid w:val="43972F54"/>
    <w:rsid w:val="4397797E"/>
    <w:rsid w:val="4398033B"/>
    <w:rsid w:val="43996CCD"/>
    <w:rsid w:val="439A49F5"/>
    <w:rsid w:val="439B4049"/>
    <w:rsid w:val="439B4BBE"/>
    <w:rsid w:val="439D1A6A"/>
    <w:rsid w:val="439D67BD"/>
    <w:rsid w:val="439E42E3"/>
    <w:rsid w:val="439E6DF1"/>
    <w:rsid w:val="439E72BE"/>
    <w:rsid w:val="439F1200"/>
    <w:rsid w:val="43A0005B"/>
    <w:rsid w:val="43A01E09"/>
    <w:rsid w:val="43A044FF"/>
    <w:rsid w:val="43A07690"/>
    <w:rsid w:val="43A1566F"/>
    <w:rsid w:val="43A22025"/>
    <w:rsid w:val="43A221BA"/>
    <w:rsid w:val="43A22E94"/>
    <w:rsid w:val="43A23DD3"/>
    <w:rsid w:val="43A318F9"/>
    <w:rsid w:val="43A35D9D"/>
    <w:rsid w:val="43A35F21"/>
    <w:rsid w:val="43A41F82"/>
    <w:rsid w:val="43A42FC0"/>
    <w:rsid w:val="43A51B15"/>
    <w:rsid w:val="43A538C3"/>
    <w:rsid w:val="43A55671"/>
    <w:rsid w:val="43A674F2"/>
    <w:rsid w:val="43A713E9"/>
    <w:rsid w:val="43A7763B"/>
    <w:rsid w:val="43A85162"/>
    <w:rsid w:val="43A924BF"/>
    <w:rsid w:val="43A931D6"/>
    <w:rsid w:val="43A95097"/>
    <w:rsid w:val="43AA2C88"/>
    <w:rsid w:val="43AA712C"/>
    <w:rsid w:val="43AC23BB"/>
    <w:rsid w:val="43AC2EA4"/>
    <w:rsid w:val="43AC4C52"/>
    <w:rsid w:val="43AC6A00"/>
    <w:rsid w:val="43AD1A57"/>
    <w:rsid w:val="43AD2778"/>
    <w:rsid w:val="43AD4526"/>
    <w:rsid w:val="43AD4E28"/>
    <w:rsid w:val="43AE3034"/>
    <w:rsid w:val="43AE54E0"/>
    <w:rsid w:val="43AE5940"/>
    <w:rsid w:val="43AE5A8D"/>
    <w:rsid w:val="43AF029E"/>
    <w:rsid w:val="43AF4742"/>
    <w:rsid w:val="43B10134"/>
    <w:rsid w:val="43B104BA"/>
    <w:rsid w:val="43B12268"/>
    <w:rsid w:val="43B216FC"/>
    <w:rsid w:val="43B22B71"/>
    <w:rsid w:val="43B239B6"/>
    <w:rsid w:val="43B24761"/>
    <w:rsid w:val="43B24EE7"/>
    <w:rsid w:val="43B2523D"/>
    <w:rsid w:val="43B25B3A"/>
    <w:rsid w:val="43B27D8E"/>
    <w:rsid w:val="43B31080"/>
    <w:rsid w:val="43B33804"/>
    <w:rsid w:val="43B34D58"/>
    <w:rsid w:val="43B35FE0"/>
    <w:rsid w:val="43B41C41"/>
    <w:rsid w:val="43B41D58"/>
    <w:rsid w:val="43B458B4"/>
    <w:rsid w:val="43B45922"/>
    <w:rsid w:val="43B51BBC"/>
    <w:rsid w:val="43B54BBC"/>
    <w:rsid w:val="43B6162D"/>
    <w:rsid w:val="43B65AD0"/>
    <w:rsid w:val="43B6787E"/>
    <w:rsid w:val="43B70F9E"/>
    <w:rsid w:val="43B71C37"/>
    <w:rsid w:val="43B721B7"/>
    <w:rsid w:val="43B753A5"/>
    <w:rsid w:val="43B7662D"/>
    <w:rsid w:val="43B76B38"/>
    <w:rsid w:val="43B835F7"/>
    <w:rsid w:val="43B86CB7"/>
    <w:rsid w:val="43B91888"/>
    <w:rsid w:val="43B928CE"/>
    <w:rsid w:val="43B96CD5"/>
    <w:rsid w:val="43B9736F"/>
    <w:rsid w:val="43BA310E"/>
    <w:rsid w:val="43BA529A"/>
    <w:rsid w:val="43BA54AF"/>
    <w:rsid w:val="43BB30E7"/>
    <w:rsid w:val="43BB3245"/>
    <w:rsid w:val="43BB47EB"/>
    <w:rsid w:val="43BB6D79"/>
    <w:rsid w:val="43BB75BB"/>
    <w:rsid w:val="43BC25A9"/>
    <w:rsid w:val="43BC29BB"/>
    <w:rsid w:val="43BC3F5C"/>
    <w:rsid w:val="43BC4CB6"/>
    <w:rsid w:val="43BD0C0D"/>
    <w:rsid w:val="43BD2CC7"/>
    <w:rsid w:val="43BE143C"/>
    <w:rsid w:val="43BE2EC7"/>
    <w:rsid w:val="43BE4985"/>
    <w:rsid w:val="43BE5346"/>
    <w:rsid w:val="43BE6733"/>
    <w:rsid w:val="43BF14CA"/>
    <w:rsid w:val="43BF2BD7"/>
    <w:rsid w:val="43BF3F28"/>
    <w:rsid w:val="43BF6B8A"/>
    <w:rsid w:val="43BF6CFE"/>
    <w:rsid w:val="43BF6FE3"/>
    <w:rsid w:val="43C02306"/>
    <w:rsid w:val="43C024AB"/>
    <w:rsid w:val="43C05943"/>
    <w:rsid w:val="43C24475"/>
    <w:rsid w:val="43C31F9B"/>
    <w:rsid w:val="43C33DCA"/>
    <w:rsid w:val="43C35F32"/>
    <w:rsid w:val="43C44004"/>
    <w:rsid w:val="43C4431A"/>
    <w:rsid w:val="43C4794F"/>
    <w:rsid w:val="43C53F65"/>
    <w:rsid w:val="43C55D14"/>
    <w:rsid w:val="43C57AC2"/>
    <w:rsid w:val="43C60138"/>
    <w:rsid w:val="43C642DC"/>
    <w:rsid w:val="43C64DCF"/>
    <w:rsid w:val="43C70A83"/>
    <w:rsid w:val="43C7274B"/>
    <w:rsid w:val="43C7378D"/>
    <w:rsid w:val="43C7383A"/>
    <w:rsid w:val="43C7531C"/>
    <w:rsid w:val="43C755E8"/>
    <w:rsid w:val="43C875B2"/>
    <w:rsid w:val="43C933BC"/>
    <w:rsid w:val="43C95804"/>
    <w:rsid w:val="43CA1513"/>
    <w:rsid w:val="43CA2895"/>
    <w:rsid w:val="43CA36EE"/>
    <w:rsid w:val="43CA4702"/>
    <w:rsid w:val="43CA50D8"/>
    <w:rsid w:val="43CB26DF"/>
    <w:rsid w:val="43CB512D"/>
    <w:rsid w:val="43CB5510"/>
    <w:rsid w:val="43CB6BD4"/>
    <w:rsid w:val="43CC36F0"/>
    <w:rsid w:val="43CC4569"/>
    <w:rsid w:val="43CE1BA0"/>
    <w:rsid w:val="43CF6B92"/>
    <w:rsid w:val="43D051CD"/>
    <w:rsid w:val="43D146B8"/>
    <w:rsid w:val="43D16466"/>
    <w:rsid w:val="43D22185"/>
    <w:rsid w:val="43D2368B"/>
    <w:rsid w:val="43D23F8D"/>
    <w:rsid w:val="43D2785E"/>
    <w:rsid w:val="43D279A1"/>
    <w:rsid w:val="43D32F97"/>
    <w:rsid w:val="43D3716C"/>
    <w:rsid w:val="43D441A9"/>
    <w:rsid w:val="43D44AB6"/>
    <w:rsid w:val="43D4518D"/>
    <w:rsid w:val="43D45F57"/>
    <w:rsid w:val="43D4747D"/>
    <w:rsid w:val="43D522E4"/>
    <w:rsid w:val="43D5596A"/>
    <w:rsid w:val="43D57920"/>
    <w:rsid w:val="43D57D85"/>
    <w:rsid w:val="43D61AC8"/>
    <w:rsid w:val="43D632EF"/>
    <w:rsid w:val="43D725BF"/>
    <w:rsid w:val="43D815DD"/>
    <w:rsid w:val="43D84B60"/>
    <w:rsid w:val="43D85A47"/>
    <w:rsid w:val="43D877F5"/>
    <w:rsid w:val="43D906C1"/>
    <w:rsid w:val="43D917BF"/>
    <w:rsid w:val="43D93427"/>
    <w:rsid w:val="43D9356D"/>
    <w:rsid w:val="43D9531B"/>
    <w:rsid w:val="43D97731"/>
    <w:rsid w:val="43DA59D0"/>
    <w:rsid w:val="43DB1093"/>
    <w:rsid w:val="43DC0D53"/>
    <w:rsid w:val="43DC4BB5"/>
    <w:rsid w:val="43DD139C"/>
    <w:rsid w:val="43DE0B83"/>
    <w:rsid w:val="43DE2E22"/>
    <w:rsid w:val="43DE4235"/>
    <w:rsid w:val="43DF35A3"/>
    <w:rsid w:val="43DF3CFA"/>
    <w:rsid w:val="43DF5027"/>
    <w:rsid w:val="43E022CE"/>
    <w:rsid w:val="43E066A9"/>
    <w:rsid w:val="43E06BF4"/>
    <w:rsid w:val="43E10A4B"/>
    <w:rsid w:val="43E12F8C"/>
    <w:rsid w:val="43E17924"/>
    <w:rsid w:val="43E22422"/>
    <w:rsid w:val="43E24D74"/>
    <w:rsid w:val="43E31666"/>
    <w:rsid w:val="43E33A96"/>
    <w:rsid w:val="43E415E6"/>
    <w:rsid w:val="43E50164"/>
    <w:rsid w:val="43E51483"/>
    <w:rsid w:val="43E51F12"/>
    <w:rsid w:val="43E52A64"/>
    <w:rsid w:val="43E6398E"/>
    <w:rsid w:val="43E72CE4"/>
    <w:rsid w:val="43E73EDC"/>
    <w:rsid w:val="43E82053"/>
    <w:rsid w:val="43E837B0"/>
    <w:rsid w:val="43E86369"/>
    <w:rsid w:val="43E9461E"/>
    <w:rsid w:val="43E95AE5"/>
    <w:rsid w:val="43E960F8"/>
    <w:rsid w:val="43E966DD"/>
    <w:rsid w:val="43E9678A"/>
    <w:rsid w:val="43EA13FE"/>
    <w:rsid w:val="43EA39CC"/>
    <w:rsid w:val="43EB5F7C"/>
    <w:rsid w:val="43EB6171"/>
    <w:rsid w:val="43EC1091"/>
    <w:rsid w:val="43EC14F2"/>
    <w:rsid w:val="43EC16AC"/>
    <w:rsid w:val="43EC2E55"/>
    <w:rsid w:val="43EC478C"/>
    <w:rsid w:val="43EC504E"/>
    <w:rsid w:val="43ED0DC6"/>
    <w:rsid w:val="43ED60D3"/>
    <w:rsid w:val="43ED7ECE"/>
    <w:rsid w:val="43EE04C7"/>
    <w:rsid w:val="43EE7018"/>
    <w:rsid w:val="43EF0FE2"/>
    <w:rsid w:val="43EF2D90"/>
    <w:rsid w:val="43EF3098"/>
    <w:rsid w:val="43EF4AE9"/>
    <w:rsid w:val="43EF4B3E"/>
    <w:rsid w:val="43F0439B"/>
    <w:rsid w:val="43F107B0"/>
    <w:rsid w:val="43F108B7"/>
    <w:rsid w:val="43F12851"/>
    <w:rsid w:val="43F1440C"/>
    <w:rsid w:val="43F153C1"/>
    <w:rsid w:val="43F21A19"/>
    <w:rsid w:val="43F226B2"/>
    <w:rsid w:val="43F23F0B"/>
    <w:rsid w:val="43F263DD"/>
    <w:rsid w:val="43F32CEC"/>
    <w:rsid w:val="43F34FE5"/>
    <w:rsid w:val="43F36382"/>
    <w:rsid w:val="43F403A7"/>
    <w:rsid w:val="43F42155"/>
    <w:rsid w:val="43F43588"/>
    <w:rsid w:val="43F50A0E"/>
    <w:rsid w:val="43F56154"/>
    <w:rsid w:val="43F601BF"/>
    <w:rsid w:val="43F6182A"/>
    <w:rsid w:val="43F62371"/>
    <w:rsid w:val="43F65530"/>
    <w:rsid w:val="43F70B63"/>
    <w:rsid w:val="43F71D59"/>
    <w:rsid w:val="43F751F0"/>
    <w:rsid w:val="43F81C45"/>
    <w:rsid w:val="43F84E89"/>
    <w:rsid w:val="43F860E9"/>
    <w:rsid w:val="43F875A6"/>
    <w:rsid w:val="43F91278"/>
    <w:rsid w:val="43F959BD"/>
    <w:rsid w:val="43F9776B"/>
    <w:rsid w:val="43FA05D7"/>
    <w:rsid w:val="43FA77BC"/>
    <w:rsid w:val="43FA7FE9"/>
    <w:rsid w:val="43FB3B18"/>
    <w:rsid w:val="43FB4017"/>
    <w:rsid w:val="43FC77C1"/>
    <w:rsid w:val="43FD36FF"/>
    <w:rsid w:val="43FD53EB"/>
    <w:rsid w:val="43FD54AD"/>
    <w:rsid w:val="43FD6A3E"/>
    <w:rsid w:val="43FD7C73"/>
    <w:rsid w:val="43FE2FD4"/>
    <w:rsid w:val="43FE4C25"/>
    <w:rsid w:val="43FF05AE"/>
    <w:rsid w:val="43FF4CB2"/>
    <w:rsid w:val="44000AFA"/>
    <w:rsid w:val="44005217"/>
    <w:rsid w:val="4400619E"/>
    <w:rsid w:val="44006D4C"/>
    <w:rsid w:val="44007451"/>
    <w:rsid w:val="4401320C"/>
    <w:rsid w:val="4401362E"/>
    <w:rsid w:val="44013D6C"/>
    <w:rsid w:val="4401732F"/>
    <w:rsid w:val="4402099E"/>
    <w:rsid w:val="44021DA7"/>
    <w:rsid w:val="44022E5B"/>
    <w:rsid w:val="44027DCD"/>
    <w:rsid w:val="44030464"/>
    <w:rsid w:val="44042532"/>
    <w:rsid w:val="44043123"/>
    <w:rsid w:val="440525B4"/>
    <w:rsid w:val="44054362"/>
    <w:rsid w:val="44055343"/>
    <w:rsid w:val="44056110"/>
    <w:rsid w:val="4405769C"/>
    <w:rsid w:val="44064171"/>
    <w:rsid w:val="44064915"/>
    <w:rsid w:val="440700DA"/>
    <w:rsid w:val="44070729"/>
    <w:rsid w:val="44071E88"/>
    <w:rsid w:val="4407632C"/>
    <w:rsid w:val="44080852"/>
    <w:rsid w:val="44083C3F"/>
    <w:rsid w:val="44093D0A"/>
    <w:rsid w:val="44093E52"/>
    <w:rsid w:val="44094C94"/>
    <w:rsid w:val="440950CF"/>
    <w:rsid w:val="440A1978"/>
    <w:rsid w:val="440A3726"/>
    <w:rsid w:val="440A7BCA"/>
    <w:rsid w:val="440B79EF"/>
    <w:rsid w:val="440C58D9"/>
    <w:rsid w:val="440C749E"/>
    <w:rsid w:val="440E1469"/>
    <w:rsid w:val="440E3217"/>
    <w:rsid w:val="440E5EDA"/>
    <w:rsid w:val="440F0F41"/>
    <w:rsid w:val="440F51E1"/>
    <w:rsid w:val="440F540E"/>
    <w:rsid w:val="440F6F8F"/>
    <w:rsid w:val="441049B7"/>
    <w:rsid w:val="44110F59"/>
    <w:rsid w:val="44112D07"/>
    <w:rsid w:val="441144E1"/>
    <w:rsid w:val="44114AB5"/>
    <w:rsid w:val="44116432"/>
    <w:rsid w:val="4411661B"/>
    <w:rsid w:val="44120A2C"/>
    <w:rsid w:val="4413082D"/>
    <w:rsid w:val="441440F3"/>
    <w:rsid w:val="441445A5"/>
    <w:rsid w:val="44146651"/>
    <w:rsid w:val="44147055"/>
    <w:rsid w:val="44150A49"/>
    <w:rsid w:val="44151FB1"/>
    <w:rsid w:val="4415745D"/>
    <w:rsid w:val="4415785E"/>
    <w:rsid w:val="441610BF"/>
    <w:rsid w:val="44166243"/>
    <w:rsid w:val="4416656F"/>
    <w:rsid w:val="44177BC5"/>
    <w:rsid w:val="44177E0A"/>
    <w:rsid w:val="441802E7"/>
    <w:rsid w:val="44182410"/>
    <w:rsid w:val="44184095"/>
    <w:rsid w:val="44185E43"/>
    <w:rsid w:val="44196448"/>
    <w:rsid w:val="4419736C"/>
    <w:rsid w:val="44197551"/>
    <w:rsid w:val="441A652C"/>
    <w:rsid w:val="441B5933"/>
    <w:rsid w:val="441C3545"/>
    <w:rsid w:val="441C4C7B"/>
    <w:rsid w:val="441D5B50"/>
    <w:rsid w:val="441F3676"/>
    <w:rsid w:val="441F3B2B"/>
    <w:rsid w:val="441F7EFA"/>
    <w:rsid w:val="4420119C"/>
    <w:rsid w:val="442041BB"/>
    <w:rsid w:val="442073EE"/>
    <w:rsid w:val="44230847"/>
    <w:rsid w:val="44230A0A"/>
    <w:rsid w:val="44232D97"/>
    <w:rsid w:val="442340C7"/>
    <w:rsid w:val="442347E8"/>
    <w:rsid w:val="44236EB8"/>
    <w:rsid w:val="44240C8C"/>
    <w:rsid w:val="44246EDE"/>
    <w:rsid w:val="44247304"/>
    <w:rsid w:val="44251942"/>
    <w:rsid w:val="44254243"/>
    <w:rsid w:val="442567B2"/>
    <w:rsid w:val="44264461"/>
    <w:rsid w:val="44267732"/>
    <w:rsid w:val="44272E82"/>
    <w:rsid w:val="442742D8"/>
    <w:rsid w:val="44283229"/>
    <w:rsid w:val="4429264B"/>
    <w:rsid w:val="4429428D"/>
    <w:rsid w:val="44294471"/>
    <w:rsid w:val="442944F4"/>
    <w:rsid w:val="442962A2"/>
    <w:rsid w:val="4429688B"/>
    <w:rsid w:val="442A0E19"/>
    <w:rsid w:val="442A4BFE"/>
    <w:rsid w:val="442A5B49"/>
    <w:rsid w:val="442A5B77"/>
    <w:rsid w:val="442A7B80"/>
    <w:rsid w:val="442B201A"/>
    <w:rsid w:val="442B3822"/>
    <w:rsid w:val="442B71AC"/>
    <w:rsid w:val="442B7AAC"/>
    <w:rsid w:val="442C18EF"/>
    <w:rsid w:val="442C303A"/>
    <w:rsid w:val="442D0F7F"/>
    <w:rsid w:val="442D54F9"/>
    <w:rsid w:val="442E1B0B"/>
    <w:rsid w:val="442E38B9"/>
    <w:rsid w:val="442E5667"/>
    <w:rsid w:val="442E595A"/>
    <w:rsid w:val="442F13DF"/>
    <w:rsid w:val="442F76B5"/>
    <w:rsid w:val="443142DB"/>
    <w:rsid w:val="44314774"/>
    <w:rsid w:val="443229EA"/>
    <w:rsid w:val="44326EAC"/>
    <w:rsid w:val="44330ECF"/>
    <w:rsid w:val="44334291"/>
    <w:rsid w:val="44336ECC"/>
    <w:rsid w:val="44337DCD"/>
    <w:rsid w:val="443436FA"/>
    <w:rsid w:val="44345962"/>
    <w:rsid w:val="4434688A"/>
    <w:rsid w:val="443469F5"/>
    <w:rsid w:val="443512B1"/>
    <w:rsid w:val="4435368B"/>
    <w:rsid w:val="44356402"/>
    <w:rsid w:val="4436031C"/>
    <w:rsid w:val="44363FF0"/>
    <w:rsid w:val="4436451B"/>
    <w:rsid w:val="44366C11"/>
    <w:rsid w:val="44381F6C"/>
    <w:rsid w:val="44384737"/>
    <w:rsid w:val="44386324"/>
    <w:rsid w:val="44392A6D"/>
    <w:rsid w:val="44397A2A"/>
    <w:rsid w:val="443A225E"/>
    <w:rsid w:val="443A4EBA"/>
    <w:rsid w:val="443B5FD6"/>
    <w:rsid w:val="443C4228"/>
    <w:rsid w:val="443D287E"/>
    <w:rsid w:val="443D3AFC"/>
    <w:rsid w:val="443D3FBF"/>
    <w:rsid w:val="443D58AA"/>
    <w:rsid w:val="443D5B0A"/>
    <w:rsid w:val="443E3548"/>
    <w:rsid w:val="443F1622"/>
    <w:rsid w:val="443F5AC6"/>
    <w:rsid w:val="443F7874"/>
    <w:rsid w:val="444114ED"/>
    <w:rsid w:val="4441183E"/>
    <w:rsid w:val="44427364"/>
    <w:rsid w:val="444412C1"/>
    <w:rsid w:val="44445E76"/>
    <w:rsid w:val="44446C38"/>
    <w:rsid w:val="444529B0"/>
    <w:rsid w:val="44467364"/>
    <w:rsid w:val="44472432"/>
    <w:rsid w:val="44472BCC"/>
    <w:rsid w:val="444733E0"/>
    <w:rsid w:val="44475714"/>
    <w:rsid w:val="44476729"/>
    <w:rsid w:val="444810D2"/>
    <w:rsid w:val="4448333B"/>
    <w:rsid w:val="4449106C"/>
    <w:rsid w:val="44491080"/>
    <w:rsid w:val="44491BBE"/>
    <w:rsid w:val="44492EA4"/>
    <w:rsid w:val="444A0269"/>
    <w:rsid w:val="444A0BCE"/>
    <w:rsid w:val="444A5133"/>
    <w:rsid w:val="444A6219"/>
    <w:rsid w:val="444A7058"/>
    <w:rsid w:val="444B446B"/>
    <w:rsid w:val="444B7A53"/>
    <w:rsid w:val="444C01E3"/>
    <w:rsid w:val="444C1F91"/>
    <w:rsid w:val="444C4400"/>
    <w:rsid w:val="444C7027"/>
    <w:rsid w:val="444D7A22"/>
    <w:rsid w:val="444E2959"/>
    <w:rsid w:val="444E33D0"/>
    <w:rsid w:val="444E3F5B"/>
    <w:rsid w:val="444E530F"/>
    <w:rsid w:val="444E5D09"/>
    <w:rsid w:val="444E6A70"/>
    <w:rsid w:val="444E7AB7"/>
    <w:rsid w:val="4450056A"/>
    <w:rsid w:val="44501A81"/>
    <w:rsid w:val="44503803"/>
    <w:rsid w:val="4450382F"/>
    <w:rsid w:val="44510159"/>
    <w:rsid w:val="44511355"/>
    <w:rsid w:val="44514B9B"/>
    <w:rsid w:val="445175A7"/>
    <w:rsid w:val="44523AB9"/>
    <w:rsid w:val="445275A7"/>
    <w:rsid w:val="44531571"/>
    <w:rsid w:val="4453558D"/>
    <w:rsid w:val="44540989"/>
    <w:rsid w:val="44542172"/>
    <w:rsid w:val="445429F8"/>
    <w:rsid w:val="44543425"/>
    <w:rsid w:val="445458FB"/>
    <w:rsid w:val="445500CB"/>
    <w:rsid w:val="44550E45"/>
    <w:rsid w:val="445510C8"/>
    <w:rsid w:val="44552246"/>
    <w:rsid w:val="4455305E"/>
    <w:rsid w:val="4456346E"/>
    <w:rsid w:val="44563BF6"/>
    <w:rsid w:val="44564BBE"/>
    <w:rsid w:val="4456696C"/>
    <w:rsid w:val="44585669"/>
    <w:rsid w:val="445949D9"/>
    <w:rsid w:val="445A46AE"/>
    <w:rsid w:val="445A5081"/>
    <w:rsid w:val="445A5155"/>
    <w:rsid w:val="445A5BCD"/>
    <w:rsid w:val="445A5F7E"/>
    <w:rsid w:val="445A645C"/>
    <w:rsid w:val="445B0426"/>
    <w:rsid w:val="445B7548"/>
    <w:rsid w:val="445C1F64"/>
    <w:rsid w:val="445D1E68"/>
    <w:rsid w:val="445D419E"/>
    <w:rsid w:val="445D7297"/>
    <w:rsid w:val="445E17B2"/>
    <w:rsid w:val="445E33FB"/>
    <w:rsid w:val="445F1CC4"/>
    <w:rsid w:val="445F3D82"/>
    <w:rsid w:val="445F5EC9"/>
    <w:rsid w:val="445F5EE6"/>
    <w:rsid w:val="446043BF"/>
    <w:rsid w:val="446077EA"/>
    <w:rsid w:val="44613C8E"/>
    <w:rsid w:val="446217B4"/>
    <w:rsid w:val="44623562"/>
    <w:rsid w:val="446310DA"/>
    <w:rsid w:val="446332A5"/>
    <w:rsid w:val="44634E7D"/>
    <w:rsid w:val="44634F3F"/>
    <w:rsid w:val="446472DA"/>
    <w:rsid w:val="44651F6F"/>
    <w:rsid w:val="44654E01"/>
    <w:rsid w:val="446601AB"/>
    <w:rsid w:val="44670B79"/>
    <w:rsid w:val="44672F1A"/>
    <w:rsid w:val="44676CD7"/>
    <w:rsid w:val="44676DCB"/>
    <w:rsid w:val="44676E58"/>
    <w:rsid w:val="446855CD"/>
    <w:rsid w:val="44692B43"/>
    <w:rsid w:val="4469437A"/>
    <w:rsid w:val="4469669F"/>
    <w:rsid w:val="4469678A"/>
    <w:rsid w:val="446A3D06"/>
    <w:rsid w:val="446A7565"/>
    <w:rsid w:val="446B0039"/>
    <w:rsid w:val="446B4FA9"/>
    <w:rsid w:val="446B617D"/>
    <w:rsid w:val="446C04CD"/>
    <w:rsid w:val="446C2633"/>
    <w:rsid w:val="446C618F"/>
    <w:rsid w:val="446C7936"/>
    <w:rsid w:val="446D195D"/>
    <w:rsid w:val="446D1ACB"/>
    <w:rsid w:val="446E2CD5"/>
    <w:rsid w:val="446E5D3B"/>
    <w:rsid w:val="446E63AB"/>
    <w:rsid w:val="446F169C"/>
    <w:rsid w:val="446F5021"/>
    <w:rsid w:val="446F7A2D"/>
    <w:rsid w:val="447001FE"/>
    <w:rsid w:val="44704D63"/>
    <w:rsid w:val="44705C7F"/>
    <w:rsid w:val="44705CD5"/>
    <w:rsid w:val="44712C2D"/>
    <w:rsid w:val="44726109"/>
    <w:rsid w:val="447339C1"/>
    <w:rsid w:val="447342AD"/>
    <w:rsid w:val="44734717"/>
    <w:rsid w:val="44735770"/>
    <w:rsid w:val="447431B5"/>
    <w:rsid w:val="44753296"/>
    <w:rsid w:val="44754026"/>
    <w:rsid w:val="44756BF4"/>
    <w:rsid w:val="44760DBC"/>
    <w:rsid w:val="4476157F"/>
    <w:rsid w:val="44766D69"/>
    <w:rsid w:val="447729BD"/>
    <w:rsid w:val="447733D3"/>
    <w:rsid w:val="4477516C"/>
    <w:rsid w:val="44775260"/>
    <w:rsid w:val="44776E72"/>
    <w:rsid w:val="4477797A"/>
    <w:rsid w:val="447809FD"/>
    <w:rsid w:val="44780FD8"/>
    <w:rsid w:val="44781E36"/>
    <w:rsid w:val="447824A3"/>
    <w:rsid w:val="44782D86"/>
    <w:rsid w:val="44784B34"/>
    <w:rsid w:val="4478718B"/>
    <w:rsid w:val="447943D1"/>
    <w:rsid w:val="447A2CA3"/>
    <w:rsid w:val="447A6AFE"/>
    <w:rsid w:val="447A7410"/>
    <w:rsid w:val="447B05B5"/>
    <w:rsid w:val="447C2876"/>
    <w:rsid w:val="447D039C"/>
    <w:rsid w:val="447D107F"/>
    <w:rsid w:val="447D214A"/>
    <w:rsid w:val="447D65EE"/>
    <w:rsid w:val="447D6881"/>
    <w:rsid w:val="447D7295"/>
    <w:rsid w:val="447F3D2C"/>
    <w:rsid w:val="447F4114"/>
    <w:rsid w:val="447F5EC2"/>
    <w:rsid w:val="44801C3A"/>
    <w:rsid w:val="44807647"/>
    <w:rsid w:val="44810ED1"/>
    <w:rsid w:val="448139E8"/>
    <w:rsid w:val="4481480A"/>
    <w:rsid w:val="448223EC"/>
    <w:rsid w:val="448226F3"/>
    <w:rsid w:val="44823C05"/>
    <w:rsid w:val="448259B3"/>
    <w:rsid w:val="44827761"/>
    <w:rsid w:val="44832A4B"/>
    <w:rsid w:val="448434D9"/>
    <w:rsid w:val="44846754"/>
    <w:rsid w:val="4484797D"/>
    <w:rsid w:val="44850084"/>
    <w:rsid w:val="4485214D"/>
    <w:rsid w:val="448636F5"/>
    <w:rsid w:val="448654A3"/>
    <w:rsid w:val="44865A31"/>
    <w:rsid w:val="4487121B"/>
    <w:rsid w:val="44872FC9"/>
    <w:rsid w:val="44873CE3"/>
    <w:rsid w:val="448750D1"/>
    <w:rsid w:val="4488746D"/>
    <w:rsid w:val="44894F93"/>
    <w:rsid w:val="44896C39"/>
    <w:rsid w:val="448B0ADD"/>
    <w:rsid w:val="448B0D0B"/>
    <w:rsid w:val="448B2AB9"/>
    <w:rsid w:val="448C05DF"/>
    <w:rsid w:val="448C312E"/>
    <w:rsid w:val="448D4A83"/>
    <w:rsid w:val="448D4D60"/>
    <w:rsid w:val="448D4EBA"/>
    <w:rsid w:val="448E07FB"/>
    <w:rsid w:val="448E1545"/>
    <w:rsid w:val="448E23D7"/>
    <w:rsid w:val="448E25A9"/>
    <w:rsid w:val="448E4357"/>
    <w:rsid w:val="448E6105"/>
    <w:rsid w:val="448F777A"/>
    <w:rsid w:val="449000D0"/>
    <w:rsid w:val="44901C22"/>
    <w:rsid w:val="44901E7E"/>
    <w:rsid w:val="44906321"/>
    <w:rsid w:val="449107E6"/>
    <w:rsid w:val="44910D34"/>
    <w:rsid w:val="44911992"/>
    <w:rsid w:val="44912F35"/>
    <w:rsid w:val="44913E48"/>
    <w:rsid w:val="44915BF6"/>
    <w:rsid w:val="44915D3F"/>
    <w:rsid w:val="44917D47"/>
    <w:rsid w:val="44920C29"/>
    <w:rsid w:val="449342EF"/>
    <w:rsid w:val="44935E12"/>
    <w:rsid w:val="44937BC0"/>
    <w:rsid w:val="44937E9F"/>
    <w:rsid w:val="44944159"/>
    <w:rsid w:val="4495487B"/>
    <w:rsid w:val="44957494"/>
    <w:rsid w:val="44957569"/>
    <w:rsid w:val="449578AD"/>
    <w:rsid w:val="44960700"/>
    <w:rsid w:val="4496412F"/>
    <w:rsid w:val="449649FB"/>
    <w:rsid w:val="44965F15"/>
    <w:rsid w:val="44975DA4"/>
    <w:rsid w:val="4498228F"/>
    <w:rsid w:val="44982710"/>
    <w:rsid w:val="44983428"/>
    <w:rsid w:val="4498412E"/>
    <w:rsid w:val="449851D6"/>
    <w:rsid w:val="44986F84"/>
    <w:rsid w:val="449974B9"/>
    <w:rsid w:val="449974E9"/>
    <w:rsid w:val="449A2CFC"/>
    <w:rsid w:val="449B03E9"/>
    <w:rsid w:val="449B0822"/>
    <w:rsid w:val="449B21BC"/>
    <w:rsid w:val="449B2D19"/>
    <w:rsid w:val="449C0130"/>
    <w:rsid w:val="449C1DC6"/>
    <w:rsid w:val="449C6A74"/>
    <w:rsid w:val="449C7BBD"/>
    <w:rsid w:val="449D0A3E"/>
    <w:rsid w:val="449D1280"/>
    <w:rsid w:val="449E059F"/>
    <w:rsid w:val="449E1FFF"/>
    <w:rsid w:val="449F13B6"/>
    <w:rsid w:val="449F1C1A"/>
    <w:rsid w:val="449F2689"/>
    <w:rsid w:val="449F2910"/>
    <w:rsid w:val="449F6565"/>
    <w:rsid w:val="44A0660E"/>
    <w:rsid w:val="44A06709"/>
    <w:rsid w:val="44A122DD"/>
    <w:rsid w:val="44A1408B"/>
    <w:rsid w:val="44A235C7"/>
    <w:rsid w:val="44A26055"/>
    <w:rsid w:val="44A27E03"/>
    <w:rsid w:val="44A3011A"/>
    <w:rsid w:val="44A35E3F"/>
    <w:rsid w:val="44A41DCD"/>
    <w:rsid w:val="44A456DF"/>
    <w:rsid w:val="44A4583F"/>
    <w:rsid w:val="44A45929"/>
    <w:rsid w:val="44A51D8B"/>
    <w:rsid w:val="44A57DC2"/>
    <w:rsid w:val="44A60ABF"/>
    <w:rsid w:val="44A6768C"/>
    <w:rsid w:val="44A703AC"/>
    <w:rsid w:val="44A75419"/>
    <w:rsid w:val="44A771C7"/>
    <w:rsid w:val="44A82D51"/>
    <w:rsid w:val="44A8366B"/>
    <w:rsid w:val="44A860AB"/>
    <w:rsid w:val="44A921A8"/>
    <w:rsid w:val="44A923CF"/>
    <w:rsid w:val="44A92F3F"/>
    <w:rsid w:val="44A958B7"/>
    <w:rsid w:val="44AA046E"/>
    <w:rsid w:val="44AA20EF"/>
    <w:rsid w:val="44AB6CB7"/>
    <w:rsid w:val="44AC30EC"/>
    <w:rsid w:val="44AD0C81"/>
    <w:rsid w:val="44AD379C"/>
    <w:rsid w:val="44AD6C8A"/>
    <w:rsid w:val="44AE0D02"/>
    <w:rsid w:val="44AE16B8"/>
    <w:rsid w:val="44AE1C97"/>
    <w:rsid w:val="44AF1995"/>
    <w:rsid w:val="44AF5328"/>
    <w:rsid w:val="44B02520"/>
    <w:rsid w:val="44B042CE"/>
    <w:rsid w:val="44B06768"/>
    <w:rsid w:val="44B12ED2"/>
    <w:rsid w:val="44B13362"/>
    <w:rsid w:val="44B2288A"/>
    <w:rsid w:val="44B244EA"/>
    <w:rsid w:val="44B25842"/>
    <w:rsid w:val="44B26298"/>
    <w:rsid w:val="44B27E2B"/>
    <w:rsid w:val="44B36E24"/>
    <w:rsid w:val="44B400BF"/>
    <w:rsid w:val="44B440F1"/>
    <w:rsid w:val="44B51EB8"/>
    <w:rsid w:val="44B547C5"/>
    <w:rsid w:val="44B7190B"/>
    <w:rsid w:val="44B74255"/>
    <w:rsid w:val="44B779A5"/>
    <w:rsid w:val="44B77BF8"/>
    <w:rsid w:val="44B813D4"/>
    <w:rsid w:val="44B83736"/>
    <w:rsid w:val="44B85878"/>
    <w:rsid w:val="44B86961"/>
    <w:rsid w:val="44B86CD2"/>
    <w:rsid w:val="44B928EA"/>
    <w:rsid w:val="44B950CC"/>
    <w:rsid w:val="44B951CC"/>
    <w:rsid w:val="44B951D0"/>
    <w:rsid w:val="44B97BDC"/>
    <w:rsid w:val="44BA15F0"/>
    <w:rsid w:val="44BA339E"/>
    <w:rsid w:val="44BA56DC"/>
    <w:rsid w:val="44BA6EFA"/>
    <w:rsid w:val="44BB1632"/>
    <w:rsid w:val="44BB2AC6"/>
    <w:rsid w:val="44BB4CCB"/>
    <w:rsid w:val="44BC0EC5"/>
    <w:rsid w:val="44BD3D13"/>
    <w:rsid w:val="44BD5FC0"/>
    <w:rsid w:val="44BD62B4"/>
    <w:rsid w:val="44BE3738"/>
    <w:rsid w:val="44BE4A55"/>
    <w:rsid w:val="44BF09B5"/>
    <w:rsid w:val="44BF2763"/>
    <w:rsid w:val="44BF2D64"/>
    <w:rsid w:val="44BF55BC"/>
    <w:rsid w:val="44BF7FE8"/>
    <w:rsid w:val="44C00131"/>
    <w:rsid w:val="44C007D6"/>
    <w:rsid w:val="44C0418A"/>
    <w:rsid w:val="44C04CF2"/>
    <w:rsid w:val="44C06A3A"/>
    <w:rsid w:val="44C10289"/>
    <w:rsid w:val="44C1472D"/>
    <w:rsid w:val="44C203A3"/>
    <w:rsid w:val="44C22253"/>
    <w:rsid w:val="44C24B58"/>
    <w:rsid w:val="44C31015"/>
    <w:rsid w:val="44C361AF"/>
    <w:rsid w:val="44C40DBD"/>
    <w:rsid w:val="44C4239B"/>
    <w:rsid w:val="44C4421D"/>
    <w:rsid w:val="44C44928"/>
    <w:rsid w:val="44C45A43"/>
    <w:rsid w:val="44C45DF3"/>
    <w:rsid w:val="44C45E5B"/>
    <w:rsid w:val="44C47D79"/>
    <w:rsid w:val="44C531E1"/>
    <w:rsid w:val="44C64DC5"/>
    <w:rsid w:val="44C66506"/>
    <w:rsid w:val="44C67F95"/>
    <w:rsid w:val="44C71617"/>
    <w:rsid w:val="44C72A9F"/>
    <w:rsid w:val="44C732D5"/>
    <w:rsid w:val="44C74E57"/>
    <w:rsid w:val="44C77996"/>
    <w:rsid w:val="44C807F9"/>
    <w:rsid w:val="44C80E26"/>
    <w:rsid w:val="44C85ABB"/>
    <w:rsid w:val="44C93302"/>
    <w:rsid w:val="44C94E87"/>
    <w:rsid w:val="44C9538F"/>
    <w:rsid w:val="44CA1B65"/>
    <w:rsid w:val="44CA3781"/>
    <w:rsid w:val="44CA4E6C"/>
    <w:rsid w:val="44CA597E"/>
    <w:rsid w:val="44CB1108"/>
    <w:rsid w:val="44CC30CE"/>
    <w:rsid w:val="44CC3808"/>
    <w:rsid w:val="44CD14E0"/>
    <w:rsid w:val="44CD4E80"/>
    <w:rsid w:val="44CD5260"/>
    <w:rsid w:val="44CD7763"/>
    <w:rsid w:val="44CE6128"/>
    <w:rsid w:val="44CE6E4A"/>
    <w:rsid w:val="44CF5718"/>
    <w:rsid w:val="44CF75B8"/>
    <w:rsid w:val="44D013D1"/>
    <w:rsid w:val="44D02BC2"/>
    <w:rsid w:val="44D040BE"/>
    <w:rsid w:val="44D13619"/>
    <w:rsid w:val="44D206E8"/>
    <w:rsid w:val="44D20863"/>
    <w:rsid w:val="44D22496"/>
    <w:rsid w:val="44D2693A"/>
    <w:rsid w:val="44D37FBC"/>
    <w:rsid w:val="44D4506E"/>
    <w:rsid w:val="44D473C9"/>
    <w:rsid w:val="44D501D8"/>
    <w:rsid w:val="44D5347A"/>
    <w:rsid w:val="44D5396D"/>
    <w:rsid w:val="44D55303"/>
    <w:rsid w:val="44D6015C"/>
    <w:rsid w:val="44D60527"/>
    <w:rsid w:val="44D6088E"/>
    <w:rsid w:val="44D6730C"/>
    <w:rsid w:val="44D73F50"/>
    <w:rsid w:val="44D74D32"/>
    <w:rsid w:val="44D75CFE"/>
    <w:rsid w:val="44D76770"/>
    <w:rsid w:val="44D76E82"/>
    <w:rsid w:val="44D77AAC"/>
    <w:rsid w:val="44D80DF9"/>
    <w:rsid w:val="44D816B5"/>
    <w:rsid w:val="44D83A6D"/>
    <w:rsid w:val="44D85BF2"/>
    <w:rsid w:val="44D97CC8"/>
    <w:rsid w:val="44DA134B"/>
    <w:rsid w:val="44DA40C9"/>
    <w:rsid w:val="44DA5705"/>
    <w:rsid w:val="44DA57EF"/>
    <w:rsid w:val="44DA68E1"/>
    <w:rsid w:val="44DB4311"/>
    <w:rsid w:val="44DC0B4D"/>
    <w:rsid w:val="44DC1567"/>
    <w:rsid w:val="44DC39CD"/>
    <w:rsid w:val="44DC50C3"/>
    <w:rsid w:val="44DD155D"/>
    <w:rsid w:val="44DE014B"/>
    <w:rsid w:val="44DE2EA1"/>
    <w:rsid w:val="44DE304C"/>
    <w:rsid w:val="44DE708D"/>
    <w:rsid w:val="44DF1057"/>
    <w:rsid w:val="44DF2E05"/>
    <w:rsid w:val="44DF4BB3"/>
    <w:rsid w:val="44DF60B2"/>
    <w:rsid w:val="44E0053D"/>
    <w:rsid w:val="44E04BA8"/>
    <w:rsid w:val="44E058A3"/>
    <w:rsid w:val="44E126D9"/>
    <w:rsid w:val="44E16B7D"/>
    <w:rsid w:val="44E305FF"/>
    <w:rsid w:val="44E328F5"/>
    <w:rsid w:val="44E34024"/>
    <w:rsid w:val="44E421C9"/>
    <w:rsid w:val="44E42927"/>
    <w:rsid w:val="44E445F8"/>
    <w:rsid w:val="44E45852"/>
    <w:rsid w:val="44E474EF"/>
    <w:rsid w:val="44E52F1F"/>
    <w:rsid w:val="44E5740D"/>
    <w:rsid w:val="44E62288"/>
    <w:rsid w:val="44E63025"/>
    <w:rsid w:val="44E65F41"/>
    <w:rsid w:val="44E66028"/>
    <w:rsid w:val="44E67CEF"/>
    <w:rsid w:val="44E703FF"/>
    <w:rsid w:val="44E801C8"/>
    <w:rsid w:val="44E9006A"/>
    <w:rsid w:val="44E90F65"/>
    <w:rsid w:val="44E93C84"/>
    <w:rsid w:val="44EA17F7"/>
    <w:rsid w:val="44EA3E5F"/>
    <w:rsid w:val="44EA7493"/>
    <w:rsid w:val="44EB4C42"/>
    <w:rsid w:val="44EC107E"/>
    <w:rsid w:val="44EC1E3E"/>
    <w:rsid w:val="44EC38D7"/>
    <w:rsid w:val="44ED0F33"/>
    <w:rsid w:val="44ED72D0"/>
    <w:rsid w:val="44EE129A"/>
    <w:rsid w:val="44EF0897"/>
    <w:rsid w:val="44EF3FD1"/>
    <w:rsid w:val="44EF694E"/>
    <w:rsid w:val="44EF7FAF"/>
    <w:rsid w:val="44F024B0"/>
    <w:rsid w:val="44F04666"/>
    <w:rsid w:val="44F05012"/>
    <w:rsid w:val="44F056F9"/>
    <w:rsid w:val="44F06A79"/>
    <w:rsid w:val="44F06F41"/>
    <w:rsid w:val="44F114C2"/>
    <w:rsid w:val="44F15FB1"/>
    <w:rsid w:val="44F20B0B"/>
    <w:rsid w:val="44F22952"/>
    <w:rsid w:val="44F22B38"/>
    <w:rsid w:val="44F23B97"/>
    <w:rsid w:val="44F248E6"/>
    <w:rsid w:val="44F25523"/>
    <w:rsid w:val="44F25F94"/>
    <w:rsid w:val="44F27C04"/>
    <w:rsid w:val="44F3240C"/>
    <w:rsid w:val="44F3579B"/>
    <w:rsid w:val="44F41584"/>
    <w:rsid w:val="44F41A0C"/>
    <w:rsid w:val="44F52628"/>
    <w:rsid w:val="44F67CE2"/>
    <w:rsid w:val="44F7014F"/>
    <w:rsid w:val="44F71EFD"/>
    <w:rsid w:val="44F764DA"/>
    <w:rsid w:val="44F805E8"/>
    <w:rsid w:val="44F867C4"/>
    <w:rsid w:val="44F92A42"/>
    <w:rsid w:val="44F9685C"/>
    <w:rsid w:val="44FA19ED"/>
    <w:rsid w:val="44FA379B"/>
    <w:rsid w:val="44FC0BA2"/>
    <w:rsid w:val="44FC0C8D"/>
    <w:rsid w:val="44FC1C04"/>
    <w:rsid w:val="44FC39B7"/>
    <w:rsid w:val="44FC40D8"/>
    <w:rsid w:val="44FC51B8"/>
    <w:rsid w:val="44FC5765"/>
    <w:rsid w:val="44FD2306"/>
    <w:rsid w:val="44FD328B"/>
    <w:rsid w:val="44FE14DD"/>
    <w:rsid w:val="44FE157F"/>
    <w:rsid w:val="44FE45A3"/>
    <w:rsid w:val="44FE6931"/>
    <w:rsid w:val="44FE772F"/>
    <w:rsid w:val="44FF0DB1"/>
    <w:rsid w:val="44FF16B4"/>
    <w:rsid w:val="44FF34A7"/>
    <w:rsid w:val="45001100"/>
    <w:rsid w:val="450077EF"/>
    <w:rsid w:val="45010FCD"/>
    <w:rsid w:val="45012D7B"/>
    <w:rsid w:val="450145AF"/>
    <w:rsid w:val="45014B29"/>
    <w:rsid w:val="45027F52"/>
    <w:rsid w:val="45034D45"/>
    <w:rsid w:val="450350A2"/>
    <w:rsid w:val="450353C7"/>
    <w:rsid w:val="450424FE"/>
    <w:rsid w:val="45043752"/>
    <w:rsid w:val="45050ABD"/>
    <w:rsid w:val="450529EE"/>
    <w:rsid w:val="45060392"/>
    <w:rsid w:val="45062140"/>
    <w:rsid w:val="45062258"/>
    <w:rsid w:val="45063999"/>
    <w:rsid w:val="450660AC"/>
    <w:rsid w:val="45080408"/>
    <w:rsid w:val="45080527"/>
    <w:rsid w:val="4508410A"/>
    <w:rsid w:val="4508418D"/>
    <w:rsid w:val="450841F2"/>
    <w:rsid w:val="45085EB8"/>
    <w:rsid w:val="45097E82"/>
    <w:rsid w:val="450A0BD9"/>
    <w:rsid w:val="450A60D4"/>
    <w:rsid w:val="450B0799"/>
    <w:rsid w:val="450B50F0"/>
    <w:rsid w:val="450B59A8"/>
    <w:rsid w:val="450B7CFD"/>
    <w:rsid w:val="450C61CE"/>
    <w:rsid w:val="450D0EF9"/>
    <w:rsid w:val="450D1720"/>
    <w:rsid w:val="450D2B5B"/>
    <w:rsid w:val="450D76D8"/>
    <w:rsid w:val="450E5498"/>
    <w:rsid w:val="450F1CE4"/>
    <w:rsid w:val="450F36EA"/>
    <w:rsid w:val="450F427E"/>
    <w:rsid w:val="45102FBE"/>
    <w:rsid w:val="45102FD9"/>
    <w:rsid w:val="45110C81"/>
    <w:rsid w:val="451136E4"/>
    <w:rsid w:val="45115463"/>
    <w:rsid w:val="451209A2"/>
    <w:rsid w:val="45120AE5"/>
    <w:rsid w:val="4512175E"/>
    <w:rsid w:val="451224C5"/>
    <w:rsid w:val="451231DA"/>
    <w:rsid w:val="45124AED"/>
    <w:rsid w:val="45124F88"/>
    <w:rsid w:val="451276DB"/>
    <w:rsid w:val="451333CC"/>
    <w:rsid w:val="451402BA"/>
    <w:rsid w:val="45140D01"/>
    <w:rsid w:val="4514396B"/>
    <w:rsid w:val="4514742D"/>
    <w:rsid w:val="451505D5"/>
    <w:rsid w:val="4515414C"/>
    <w:rsid w:val="4516168F"/>
    <w:rsid w:val="45164CB0"/>
    <w:rsid w:val="45165A20"/>
    <w:rsid w:val="45167D49"/>
    <w:rsid w:val="451707F1"/>
    <w:rsid w:val="45170F18"/>
    <w:rsid w:val="4517259F"/>
    <w:rsid w:val="451756D1"/>
    <w:rsid w:val="45181E73"/>
    <w:rsid w:val="45187B20"/>
    <w:rsid w:val="451900C5"/>
    <w:rsid w:val="45191D11"/>
    <w:rsid w:val="45192426"/>
    <w:rsid w:val="45192D66"/>
    <w:rsid w:val="451949D9"/>
    <w:rsid w:val="451A06ED"/>
    <w:rsid w:val="451A208F"/>
    <w:rsid w:val="451A21EE"/>
    <w:rsid w:val="451A2466"/>
    <w:rsid w:val="451A3E3D"/>
    <w:rsid w:val="451A4CC6"/>
    <w:rsid w:val="451A525B"/>
    <w:rsid w:val="451A60DF"/>
    <w:rsid w:val="451B0CA1"/>
    <w:rsid w:val="451B472F"/>
    <w:rsid w:val="451B47C9"/>
    <w:rsid w:val="451B5E98"/>
    <w:rsid w:val="451C5BBF"/>
    <w:rsid w:val="451C7BB5"/>
    <w:rsid w:val="451D5DCD"/>
    <w:rsid w:val="451E124A"/>
    <w:rsid w:val="451E4AA4"/>
    <w:rsid w:val="451E56DB"/>
    <w:rsid w:val="451E61E7"/>
    <w:rsid w:val="451E698D"/>
    <w:rsid w:val="451F1453"/>
    <w:rsid w:val="451F4292"/>
    <w:rsid w:val="451F5A1B"/>
    <w:rsid w:val="452005BD"/>
    <w:rsid w:val="45210077"/>
    <w:rsid w:val="45210443"/>
    <w:rsid w:val="452105A1"/>
    <w:rsid w:val="4521341D"/>
    <w:rsid w:val="45216F7A"/>
    <w:rsid w:val="45221BE0"/>
    <w:rsid w:val="45224192"/>
    <w:rsid w:val="452245EB"/>
    <w:rsid w:val="45225817"/>
    <w:rsid w:val="452275A2"/>
    <w:rsid w:val="45227CA1"/>
    <w:rsid w:val="45232EC1"/>
    <w:rsid w:val="45233529"/>
    <w:rsid w:val="45236262"/>
    <w:rsid w:val="45243E8E"/>
    <w:rsid w:val="45246A6A"/>
    <w:rsid w:val="45260A34"/>
    <w:rsid w:val="452627E2"/>
    <w:rsid w:val="45266E38"/>
    <w:rsid w:val="452779D7"/>
    <w:rsid w:val="45277D89"/>
    <w:rsid w:val="45280308"/>
    <w:rsid w:val="45284162"/>
    <w:rsid w:val="452857F2"/>
    <w:rsid w:val="45292F8D"/>
    <w:rsid w:val="452948B5"/>
    <w:rsid w:val="452A1B46"/>
    <w:rsid w:val="452A395F"/>
    <w:rsid w:val="452A3E2A"/>
    <w:rsid w:val="452A752D"/>
    <w:rsid w:val="452B1BA6"/>
    <w:rsid w:val="452B429C"/>
    <w:rsid w:val="452C5959"/>
    <w:rsid w:val="452D0F06"/>
    <w:rsid w:val="452D2652"/>
    <w:rsid w:val="452D591E"/>
    <w:rsid w:val="452D7220"/>
    <w:rsid w:val="452E1696"/>
    <w:rsid w:val="452E5F4C"/>
    <w:rsid w:val="452E7FD4"/>
    <w:rsid w:val="452F3103"/>
    <w:rsid w:val="452F78E8"/>
    <w:rsid w:val="4530035A"/>
    <w:rsid w:val="453018B3"/>
    <w:rsid w:val="45302890"/>
    <w:rsid w:val="45303661"/>
    <w:rsid w:val="4530487C"/>
    <w:rsid w:val="4530540F"/>
    <w:rsid w:val="453065C4"/>
    <w:rsid w:val="45311BBC"/>
    <w:rsid w:val="45312FA1"/>
    <w:rsid w:val="45321187"/>
    <w:rsid w:val="45321F20"/>
    <w:rsid w:val="45322F35"/>
    <w:rsid w:val="453327D6"/>
    <w:rsid w:val="45333E46"/>
    <w:rsid w:val="45341296"/>
    <w:rsid w:val="45343151"/>
    <w:rsid w:val="453452D6"/>
    <w:rsid w:val="45352FE5"/>
    <w:rsid w:val="45353F44"/>
    <w:rsid w:val="453565BB"/>
    <w:rsid w:val="45356765"/>
    <w:rsid w:val="45356EC9"/>
    <w:rsid w:val="45372C41"/>
    <w:rsid w:val="45372E6D"/>
    <w:rsid w:val="45375CEB"/>
    <w:rsid w:val="45382EBA"/>
    <w:rsid w:val="45383C57"/>
    <w:rsid w:val="45390767"/>
    <w:rsid w:val="453942C3"/>
    <w:rsid w:val="453A003B"/>
    <w:rsid w:val="453A5729"/>
    <w:rsid w:val="453A77EC"/>
    <w:rsid w:val="453B1861"/>
    <w:rsid w:val="453C0257"/>
    <w:rsid w:val="453C2005"/>
    <w:rsid w:val="453C3DB3"/>
    <w:rsid w:val="453C68BC"/>
    <w:rsid w:val="453D0ACE"/>
    <w:rsid w:val="453D0CE1"/>
    <w:rsid w:val="453D4240"/>
    <w:rsid w:val="453D4759"/>
    <w:rsid w:val="453D6639"/>
    <w:rsid w:val="453E388A"/>
    <w:rsid w:val="453F019A"/>
    <w:rsid w:val="453F0F59"/>
    <w:rsid w:val="453F5652"/>
    <w:rsid w:val="4540110F"/>
    <w:rsid w:val="45401AF6"/>
    <w:rsid w:val="454113CA"/>
    <w:rsid w:val="45413006"/>
    <w:rsid w:val="454159AC"/>
    <w:rsid w:val="45415AB3"/>
    <w:rsid w:val="454212BC"/>
    <w:rsid w:val="454278DA"/>
    <w:rsid w:val="454315E6"/>
    <w:rsid w:val="45431846"/>
    <w:rsid w:val="45433394"/>
    <w:rsid w:val="45435142"/>
    <w:rsid w:val="454363E3"/>
    <w:rsid w:val="45436F9D"/>
    <w:rsid w:val="4543732B"/>
    <w:rsid w:val="45440EBA"/>
    <w:rsid w:val="454560BA"/>
    <w:rsid w:val="45456A83"/>
    <w:rsid w:val="4545710C"/>
    <w:rsid w:val="45462E84"/>
    <w:rsid w:val="454648E9"/>
    <w:rsid w:val="4546600D"/>
    <w:rsid w:val="454669E0"/>
    <w:rsid w:val="454809AA"/>
    <w:rsid w:val="454812AB"/>
    <w:rsid w:val="45486BFC"/>
    <w:rsid w:val="45495B83"/>
    <w:rsid w:val="454964D0"/>
    <w:rsid w:val="454A2974"/>
    <w:rsid w:val="454A299E"/>
    <w:rsid w:val="454A4211"/>
    <w:rsid w:val="454A4722"/>
    <w:rsid w:val="454A4A14"/>
    <w:rsid w:val="454B049A"/>
    <w:rsid w:val="454B3FF6"/>
    <w:rsid w:val="454C189B"/>
    <w:rsid w:val="454C3490"/>
    <w:rsid w:val="454C36AE"/>
    <w:rsid w:val="454C4D58"/>
    <w:rsid w:val="454C4F71"/>
    <w:rsid w:val="454C5B5F"/>
    <w:rsid w:val="454D4212"/>
    <w:rsid w:val="454D5FC1"/>
    <w:rsid w:val="454D75BE"/>
    <w:rsid w:val="454D7D6F"/>
    <w:rsid w:val="454F36AB"/>
    <w:rsid w:val="454F5E68"/>
    <w:rsid w:val="454F7F8B"/>
    <w:rsid w:val="45505AB1"/>
    <w:rsid w:val="4550785F"/>
    <w:rsid w:val="45514A2F"/>
    <w:rsid w:val="45516EE6"/>
    <w:rsid w:val="45523E80"/>
    <w:rsid w:val="45525385"/>
    <w:rsid w:val="45526132"/>
    <w:rsid w:val="45541CEF"/>
    <w:rsid w:val="45541EA1"/>
    <w:rsid w:val="4554562D"/>
    <w:rsid w:val="4554734F"/>
    <w:rsid w:val="4555317F"/>
    <w:rsid w:val="45554E75"/>
    <w:rsid w:val="45561319"/>
    <w:rsid w:val="45570BED"/>
    <w:rsid w:val="45571DB1"/>
    <w:rsid w:val="4557299B"/>
    <w:rsid w:val="45575091"/>
    <w:rsid w:val="45576E3F"/>
    <w:rsid w:val="45581B00"/>
    <w:rsid w:val="4559180C"/>
    <w:rsid w:val="455946D1"/>
    <w:rsid w:val="455A06DD"/>
    <w:rsid w:val="455A6EFC"/>
    <w:rsid w:val="455B0481"/>
    <w:rsid w:val="455C26A8"/>
    <w:rsid w:val="455C4456"/>
    <w:rsid w:val="455D245B"/>
    <w:rsid w:val="455D248A"/>
    <w:rsid w:val="455D646A"/>
    <w:rsid w:val="455D79E3"/>
    <w:rsid w:val="455E1F7C"/>
    <w:rsid w:val="455E3D2A"/>
    <w:rsid w:val="455E5D12"/>
    <w:rsid w:val="455F0B21"/>
    <w:rsid w:val="455F487B"/>
    <w:rsid w:val="455F623A"/>
    <w:rsid w:val="455F77DE"/>
    <w:rsid w:val="455F7AA2"/>
    <w:rsid w:val="4560483D"/>
    <w:rsid w:val="45611A6C"/>
    <w:rsid w:val="45612018"/>
    <w:rsid w:val="456126CE"/>
    <w:rsid w:val="45614C5E"/>
    <w:rsid w:val="456250BC"/>
    <w:rsid w:val="45625783"/>
    <w:rsid w:val="45630E4D"/>
    <w:rsid w:val="45641C22"/>
    <w:rsid w:val="45644350"/>
    <w:rsid w:val="45644871"/>
    <w:rsid w:val="45644BD0"/>
    <w:rsid w:val="45646A08"/>
    <w:rsid w:val="45647740"/>
    <w:rsid w:val="4565235D"/>
    <w:rsid w:val="45653B00"/>
    <w:rsid w:val="45654205"/>
    <w:rsid w:val="456578A3"/>
    <w:rsid w:val="45660E30"/>
    <w:rsid w:val="45664D54"/>
    <w:rsid w:val="45666313"/>
    <w:rsid w:val="45667082"/>
    <w:rsid w:val="456671A1"/>
    <w:rsid w:val="45667832"/>
    <w:rsid w:val="45674222"/>
    <w:rsid w:val="4568104C"/>
    <w:rsid w:val="456933CC"/>
    <w:rsid w:val="456A0921"/>
    <w:rsid w:val="456A4DC4"/>
    <w:rsid w:val="456B3B33"/>
    <w:rsid w:val="456B6447"/>
    <w:rsid w:val="456C118F"/>
    <w:rsid w:val="456D4F53"/>
    <w:rsid w:val="456D6663"/>
    <w:rsid w:val="456D79CE"/>
    <w:rsid w:val="456E2AE2"/>
    <w:rsid w:val="456E5E6B"/>
    <w:rsid w:val="456E69B6"/>
    <w:rsid w:val="456F00D7"/>
    <w:rsid w:val="456F0BDF"/>
    <w:rsid w:val="456F23DB"/>
    <w:rsid w:val="456F4E04"/>
    <w:rsid w:val="456F5A7E"/>
    <w:rsid w:val="456F5F37"/>
    <w:rsid w:val="456F67B3"/>
    <w:rsid w:val="45701F18"/>
    <w:rsid w:val="45703A5D"/>
    <w:rsid w:val="457050EE"/>
    <w:rsid w:val="4570584C"/>
    <w:rsid w:val="457110A8"/>
    <w:rsid w:val="45715299"/>
    <w:rsid w:val="457208A7"/>
    <w:rsid w:val="45723C79"/>
    <w:rsid w:val="45724079"/>
    <w:rsid w:val="45724207"/>
    <w:rsid w:val="45725649"/>
    <w:rsid w:val="45725A27"/>
    <w:rsid w:val="457277D5"/>
    <w:rsid w:val="45727ECA"/>
    <w:rsid w:val="4574179F"/>
    <w:rsid w:val="45742246"/>
    <w:rsid w:val="4574354D"/>
    <w:rsid w:val="457462A8"/>
    <w:rsid w:val="45746DDE"/>
    <w:rsid w:val="457474B5"/>
    <w:rsid w:val="457479F1"/>
    <w:rsid w:val="4575533A"/>
    <w:rsid w:val="4576003C"/>
    <w:rsid w:val="457625FD"/>
    <w:rsid w:val="457629CC"/>
    <w:rsid w:val="45765517"/>
    <w:rsid w:val="45767D56"/>
    <w:rsid w:val="45777C5A"/>
    <w:rsid w:val="457806B2"/>
    <w:rsid w:val="4578573D"/>
    <w:rsid w:val="45790B3F"/>
    <w:rsid w:val="457A2B2D"/>
    <w:rsid w:val="457A48DC"/>
    <w:rsid w:val="457B2220"/>
    <w:rsid w:val="457B2B2E"/>
    <w:rsid w:val="457C0654"/>
    <w:rsid w:val="457C66B9"/>
    <w:rsid w:val="457C68A6"/>
    <w:rsid w:val="457E4B22"/>
    <w:rsid w:val="457E617A"/>
    <w:rsid w:val="457F1E24"/>
    <w:rsid w:val="457F1EF2"/>
    <w:rsid w:val="457F2580"/>
    <w:rsid w:val="457F5BEA"/>
    <w:rsid w:val="457F63EC"/>
    <w:rsid w:val="45800144"/>
    <w:rsid w:val="45803957"/>
    <w:rsid w:val="458113AD"/>
    <w:rsid w:val="45816F1B"/>
    <w:rsid w:val="4582210E"/>
    <w:rsid w:val="458231B7"/>
    <w:rsid w:val="458319E2"/>
    <w:rsid w:val="45832CFD"/>
    <w:rsid w:val="45833790"/>
    <w:rsid w:val="45835E86"/>
    <w:rsid w:val="45837A3C"/>
    <w:rsid w:val="45837C34"/>
    <w:rsid w:val="4584093C"/>
    <w:rsid w:val="4585575A"/>
    <w:rsid w:val="45857508"/>
    <w:rsid w:val="458614D2"/>
    <w:rsid w:val="45861E88"/>
    <w:rsid w:val="45863281"/>
    <w:rsid w:val="458662BF"/>
    <w:rsid w:val="4586730A"/>
    <w:rsid w:val="458755A4"/>
    <w:rsid w:val="4587584B"/>
    <w:rsid w:val="4588349D"/>
    <w:rsid w:val="45885C28"/>
    <w:rsid w:val="45891350"/>
    <w:rsid w:val="45891FFF"/>
    <w:rsid w:val="458946E9"/>
    <w:rsid w:val="458A0FC3"/>
    <w:rsid w:val="458A27DF"/>
    <w:rsid w:val="458A288C"/>
    <w:rsid w:val="458A2D71"/>
    <w:rsid w:val="458A4B1F"/>
    <w:rsid w:val="458B0897"/>
    <w:rsid w:val="458B103A"/>
    <w:rsid w:val="458B6AE9"/>
    <w:rsid w:val="458B7490"/>
    <w:rsid w:val="458C09F0"/>
    <w:rsid w:val="458C279F"/>
    <w:rsid w:val="458D157C"/>
    <w:rsid w:val="458D460F"/>
    <w:rsid w:val="458E3310"/>
    <w:rsid w:val="458F0387"/>
    <w:rsid w:val="458F0C0A"/>
    <w:rsid w:val="458F1468"/>
    <w:rsid w:val="458F482B"/>
    <w:rsid w:val="459026D1"/>
    <w:rsid w:val="459040FF"/>
    <w:rsid w:val="45905EAD"/>
    <w:rsid w:val="459105AC"/>
    <w:rsid w:val="45911C91"/>
    <w:rsid w:val="45912351"/>
    <w:rsid w:val="459211CC"/>
    <w:rsid w:val="45921C25"/>
    <w:rsid w:val="459260C9"/>
    <w:rsid w:val="45930D2F"/>
    <w:rsid w:val="45931C69"/>
    <w:rsid w:val="45933397"/>
    <w:rsid w:val="45940CC3"/>
    <w:rsid w:val="45942067"/>
    <w:rsid w:val="45943BEF"/>
    <w:rsid w:val="4594599D"/>
    <w:rsid w:val="45950612"/>
    <w:rsid w:val="45951C6D"/>
    <w:rsid w:val="459534C4"/>
    <w:rsid w:val="45957CD3"/>
    <w:rsid w:val="45961716"/>
    <w:rsid w:val="4596783A"/>
    <w:rsid w:val="45974F01"/>
    <w:rsid w:val="4597548E"/>
    <w:rsid w:val="459806D4"/>
    <w:rsid w:val="459825AF"/>
    <w:rsid w:val="4598356A"/>
    <w:rsid w:val="45991416"/>
    <w:rsid w:val="45992278"/>
    <w:rsid w:val="4599607C"/>
    <w:rsid w:val="45997458"/>
    <w:rsid w:val="45997645"/>
    <w:rsid w:val="459A0A2D"/>
    <w:rsid w:val="459B18A7"/>
    <w:rsid w:val="459B31D0"/>
    <w:rsid w:val="459B6204"/>
    <w:rsid w:val="459B6D2C"/>
    <w:rsid w:val="459B7574"/>
    <w:rsid w:val="459C4852"/>
    <w:rsid w:val="459C7C7C"/>
    <w:rsid w:val="459D6B25"/>
    <w:rsid w:val="459E0EDB"/>
    <w:rsid w:val="459E4A6E"/>
    <w:rsid w:val="459E4C37"/>
    <w:rsid w:val="459E681C"/>
    <w:rsid w:val="459F5838"/>
    <w:rsid w:val="459F6E66"/>
    <w:rsid w:val="45A007E6"/>
    <w:rsid w:val="45A01863"/>
    <w:rsid w:val="45A04342"/>
    <w:rsid w:val="45A04A0E"/>
    <w:rsid w:val="45A054B9"/>
    <w:rsid w:val="45A109DD"/>
    <w:rsid w:val="45A32005"/>
    <w:rsid w:val="45A32CAB"/>
    <w:rsid w:val="45A33E32"/>
    <w:rsid w:val="45A402DA"/>
    <w:rsid w:val="45A41082"/>
    <w:rsid w:val="45A467DF"/>
    <w:rsid w:val="45A46C77"/>
    <w:rsid w:val="45A47C0E"/>
    <w:rsid w:val="45A52CD8"/>
    <w:rsid w:val="45A55DFD"/>
    <w:rsid w:val="45A57BAB"/>
    <w:rsid w:val="45A63D52"/>
    <w:rsid w:val="45A656D1"/>
    <w:rsid w:val="45A718A8"/>
    <w:rsid w:val="45A71B75"/>
    <w:rsid w:val="45A731CE"/>
    <w:rsid w:val="45A73923"/>
    <w:rsid w:val="45A77687"/>
    <w:rsid w:val="45A81449"/>
    <w:rsid w:val="45A84357"/>
    <w:rsid w:val="45A86273"/>
    <w:rsid w:val="45A8769B"/>
    <w:rsid w:val="45A92116"/>
    <w:rsid w:val="45A92685"/>
    <w:rsid w:val="45A92AE9"/>
    <w:rsid w:val="45AA149C"/>
    <w:rsid w:val="45AA197C"/>
    <w:rsid w:val="45AA2264"/>
    <w:rsid w:val="45AA3413"/>
    <w:rsid w:val="45AA35F2"/>
    <w:rsid w:val="45AA51C1"/>
    <w:rsid w:val="45AA6F6F"/>
    <w:rsid w:val="45AB2274"/>
    <w:rsid w:val="45AB3A77"/>
    <w:rsid w:val="45AB3C2E"/>
    <w:rsid w:val="45AC0C7D"/>
    <w:rsid w:val="45AC0F39"/>
    <w:rsid w:val="45AC718B"/>
    <w:rsid w:val="45AD2AE0"/>
    <w:rsid w:val="45AD4CB1"/>
    <w:rsid w:val="45AD6F4E"/>
    <w:rsid w:val="45AE54CB"/>
    <w:rsid w:val="45AE5BB5"/>
    <w:rsid w:val="45AF071F"/>
    <w:rsid w:val="45AF0A29"/>
    <w:rsid w:val="45AF27D7"/>
    <w:rsid w:val="45AF4585"/>
    <w:rsid w:val="45AF65CA"/>
    <w:rsid w:val="45AF75D9"/>
    <w:rsid w:val="45B002FD"/>
    <w:rsid w:val="45B0521A"/>
    <w:rsid w:val="45B10AFF"/>
    <w:rsid w:val="45B12399"/>
    <w:rsid w:val="45B128A1"/>
    <w:rsid w:val="45B20519"/>
    <w:rsid w:val="45B2270B"/>
    <w:rsid w:val="45B22C6B"/>
    <w:rsid w:val="45B315A6"/>
    <w:rsid w:val="45B35C90"/>
    <w:rsid w:val="45B3631D"/>
    <w:rsid w:val="45B41382"/>
    <w:rsid w:val="45B422D6"/>
    <w:rsid w:val="45B44292"/>
    <w:rsid w:val="45B46040"/>
    <w:rsid w:val="45B4676C"/>
    <w:rsid w:val="45B47BFC"/>
    <w:rsid w:val="45B47DEE"/>
    <w:rsid w:val="45B50600"/>
    <w:rsid w:val="45B53E4D"/>
    <w:rsid w:val="45B55914"/>
    <w:rsid w:val="45B61DB8"/>
    <w:rsid w:val="45B63B66"/>
    <w:rsid w:val="45B63DEE"/>
    <w:rsid w:val="45B66EAB"/>
    <w:rsid w:val="45B7168C"/>
    <w:rsid w:val="45B71951"/>
    <w:rsid w:val="45B72BF4"/>
    <w:rsid w:val="45B734F6"/>
    <w:rsid w:val="45B74253"/>
    <w:rsid w:val="45B86B5F"/>
    <w:rsid w:val="45B90966"/>
    <w:rsid w:val="45B918A8"/>
    <w:rsid w:val="45B93139"/>
    <w:rsid w:val="45B93656"/>
    <w:rsid w:val="45B94E3D"/>
    <w:rsid w:val="45B9500A"/>
    <w:rsid w:val="45B95404"/>
    <w:rsid w:val="45B95FC9"/>
    <w:rsid w:val="45BA3A6E"/>
    <w:rsid w:val="45BA5821"/>
    <w:rsid w:val="45BB117C"/>
    <w:rsid w:val="45BB1840"/>
    <w:rsid w:val="45BB2050"/>
    <w:rsid w:val="45BB3C89"/>
    <w:rsid w:val="45BB5620"/>
    <w:rsid w:val="45BB73CE"/>
    <w:rsid w:val="45BC2204"/>
    <w:rsid w:val="45BC2FE7"/>
    <w:rsid w:val="45BD38D6"/>
    <w:rsid w:val="45BD448D"/>
    <w:rsid w:val="45BD466F"/>
    <w:rsid w:val="45BE5738"/>
    <w:rsid w:val="45BF4532"/>
    <w:rsid w:val="45C002B0"/>
    <w:rsid w:val="45C00E7A"/>
    <w:rsid w:val="45C049E4"/>
    <w:rsid w:val="45C04D0F"/>
    <w:rsid w:val="45C07141"/>
    <w:rsid w:val="45C073B1"/>
    <w:rsid w:val="45C10E9C"/>
    <w:rsid w:val="45C1250B"/>
    <w:rsid w:val="45C142B9"/>
    <w:rsid w:val="45C14BA3"/>
    <w:rsid w:val="45C20E9E"/>
    <w:rsid w:val="45C220FC"/>
    <w:rsid w:val="45C25725"/>
    <w:rsid w:val="45C269AF"/>
    <w:rsid w:val="45C30031"/>
    <w:rsid w:val="45C3198C"/>
    <w:rsid w:val="45C31EA9"/>
    <w:rsid w:val="45C34DD1"/>
    <w:rsid w:val="45C36F18"/>
    <w:rsid w:val="45C43104"/>
    <w:rsid w:val="45C50B85"/>
    <w:rsid w:val="45C53DA9"/>
    <w:rsid w:val="45C71A34"/>
    <w:rsid w:val="45C71CCD"/>
    <w:rsid w:val="45C73941"/>
    <w:rsid w:val="45C73FC5"/>
    <w:rsid w:val="45C76DDB"/>
    <w:rsid w:val="45C8167A"/>
    <w:rsid w:val="45C81686"/>
    <w:rsid w:val="45C81AEB"/>
    <w:rsid w:val="45C83899"/>
    <w:rsid w:val="45C84168"/>
    <w:rsid w:val="45C849A5"/>
    <w:rsid w:val="45C85647"/>
    <w:rsid w:val="45C86072"/>
    <w:rsid w:val="45C96D61"/>
    <w:rsid w:val="45CA3563"/>
    <w:rsid w:val="45CA5863"/>
    <w:rsid w:val="45CA7611"/>
    <w:rsid w:val="45CC3389"/>
    <w:rsid w:val="45CC33F1"/>
    <w:rsid w:val="45CD0EAF"/>
    <w:rsid w:val="45CD1AFE"/>
    <w:rsid w:val="45CD65B4"/>
    <w:rsid w:val="45CF0619"/>
    <w:rsid w:val="45CF4804"/>
    <w:rsid w:val="45CF69D6"/>
    <w:rsid w:val="45D03BF3"/>
    <w:rsid w:val="45D072B0"/>
    <w:rsid w:val="45D10598"/>
    <w:rsid w:val="45D109A0"/>
    <w:rsid w:val="45D13673"/>
    <w:rsid w:val="45D14358"/>
    <w:rsid w:val="45D21095"/>
    <w:rsid w:val="45D24718"/>
    <w:rsid w:val="45D26D15"/>
    <w:rsid w:val="45D3296A"/>
    <w:rsid w:val="45D4223E"/>
    <w:rsid w:val="45D43FEC"/>
    <w:rsid w:val="45D5615E"/>
    <w:rsid w:val="45D62BB3"/>
    <w:rsid w:val="45D67D64"/>
    <w:rsid w:val="45D7020D"/>
    <w:rsid w:val="45D71D2E"/>
    <w:rsid w:val="45D72AE8"/>
    <w:rsid w:val="45D73ADC"/>
    <w:rsid w:val="45D74009"/>
    <w:rsid w:val="45D77616"/>
    <w:rsid w:val="45D87D92"/>
    <w:rsid w:val="45D93CF8"/>
    <w:rsid w:val="45DA0ED9"/>
    <w:rsid w:val="45DA6425"/>
    <w:rsid w:val="45DA6657"/>
    <w:rsid w:val="45DB131D"/>
    <w:rsid w:val="45DB35CC"/>
    <w:rsid w:val="45DB537A"/>
    <w:rsid w:val="45DC06D0"/>
    <w:rsid w:val="45DC07AB"/>
    <w:rsid w:val="45DC331D"/>
    <w:rsid w:val="45DC3581"/>
    <w:rsid w:val="45DC7BA7"/>
    <w:rsid w:val="45DD274B"/>
    <w:rsid w:val="45DD7344"/>
    <w:rsid w:val="45DE0333"/>
    <w:rsid w:val="45DE19CC"/>
    <w:rsid w:val="45DE19D9"/>
    <w:rsid w:val="45DE30BD"/>
    <w:rsid w:val="45DE4E6B"/>
    <w:rsid w:val="45DF4572"/>
    <w:rsid w:val="45DF4C74"/>
    <w:rsid w:val="45E00663"/>
    <w:rsid w:val="45E00BE3"/>
    <w:rsid w:val="45E020D4"/>
    <w:rsid w:val="45E02DC7"/>
    <w:rsid w:val="45E05087"/>
    <w:rsid w:val="45E06E35"/>
    <w:rsid w:val="45E10B02"/>
    <w:rsid w:val="45E154C8"/>
    <w:rsid w:val="45E16F50"/>
    <w:rsid w:val="45E17391"/>
    <w:rsid w:val="45E2495B"/>
    <w:rsid w:val="45E27051"/>
    <w:rsid w:val="45E306D3"/>
    <w:rsid w:val="45E31539"/>
    <w:rsid w:val="45E34CA5"/>
    <w:rsid w:val="45E5444B"/>
    <w:rsid w:val="45E63D5D"/>
    <w:rsid w:val="45E71F71"/>
    <w:rsid w:val="45E72A8B"/>
    <w:rsid w:val="45E816EF"/>
    <w:rsid w:val="45E83F3B"/>
    <w:rsid w:val="45E858D0"/>
    <w:rsid w:val="45E85CE9"/>
    <w:rsid w:val="45E87A97"/>
    <w:rsid w:val="45E92C81"/>
    <w:rsid w:val="45E92E78"/>
    <w:rsid w:val="45E930EF"/>
    <w:rsid w:val="45E93329"/>
    <w:rsid w:val="45E95C78"/>
    <w:rsid w:val="45E96E20"/>
    <w:rsid w:val="45E97B98"/>
    <w:rsid w:val="45EA0494"/>
    <w:rsid w:val="45EA063F"/>
    <w:rsid w:val="45EA0BB6"/>
    <w:rsid w:val="45EA380F"/>
    <w:rsid w:val="45EA7CB3"/>
    <w:rsid w:val="45EB2763"/>
    <w:rsid w:val="45EB5315"/>
    <w:rsid w:val="45EC0FC0"/>
    <w:rsid w:val="45EC3A2B"/>
    <w:rsid w:val="45EC57D9"/>
    <w:rsid w:val="45EC7588"/>
    <w:rsid w:val="45ED1ACB"/>
    <w:rsid w:val="45ED2DF7"/>
    <w:rsid w:val="45ED44B5"/>
    <w:rsid w:val="45ED50B8"/>
    <w:rsid w:val="45EE240A"/>
    <w:rsid w:val="45EF0E26"/>
    <w:rsid w:val="45EF7078"/>
    <w:rsid w:val="45F00CA3"/>
    <w:rsid w:val="45F0644A"/>
    <w:rsid w:val="45F077EC"/>
    <w:rsid w:val="45F16243"/>
    <w:rsid w:val="45F21B4B"/>
    <w:rsid w:val="45F34DBA"/>
    <w:rsid w:val="45F35010"/>
    <w:rsid w:val="45F40C9E"/>
    <w:rsid w:val="45F42411"/>
    <w:rsid w:val="45F47298"/>
    <w:rsid w:val="45F5597B"/>
    <w:rsid w:val="45F572A7"/>
    <w:rsid w:val="45F60406"/>
    <w:rsid w:val="45F621B4"/>
    <w:rsid w:val="45F74DBF"/>
    <w:rsid w:val="45F83B2E"/>
    <w:rsid w:val="45F83B63"/>
    <w:rsid w:val="45F91CA4"/>
    <w:rsid w:val="45F92683"/>
    <w:rsid w:val="45F96148"/>
    <w:rsid w:val="45F96760"/>
    <w:rsid w:val="45F97EF6"/>
    <w:rsid w:val="45FB2063"/>
    <w:rsid w:val="45FB3C6E"/>
    <w:rsid w:val="45FB5A1D"/>
    <w:rsid w:val="45FB7E44"/>
    <w:rsid w:val="45FC2A11"/>
    <w:rsid w:val="45FC3543"/>
    <w:rsid w:val="45FC3D81"/>
    <w:rsid w:val="45FC49C6"/>
    <w:rsid w:val="45FC4ACC"/>
    <w:rsid w:val="45FC6117"/>
    <w:rsid w:val="45FC7921"/>
    <w:rsid w:val="45FD79E7"/>
    <w:rsid w:val="45FE14EA"/>
    <w:rsid w:val="45FE5116"/>
    <w:rsid w:val="45FE550D"/>
    <w:rsid w:val="45FE72BB"/>
    <w:rsid w:val="45FF1C64"/>
    <w:rsid w:val="45FF4D83"/>
    <w:rsid w:val="45FF5E6E"/>
    <w:rsid w:val="460011AC"/>
    <w:rsid w:val="460046BF"/>
    <w:rsid w:val="460051DB"/>
    <w:rsid w:val="46005811"/>
    <w:rsid w:val="46024DA2"/>
    <w:rsid w:val="460251E8"/>
    <w:rsid w:val="46030B23"/>
    <w:rsid w:val="46032B23"/>
    <w:rsid w:val="460348D1"/>
    <w:rsid w:val="46036BFB"/>
    <w:rsid w:val="46037037"/>
    <w:rsid w:val="4604088B"/>
    <w:rsid w:val="46040D75"/>
    <w:rsid w:val="46043194"/>
    <w:rsid w:val="46045C96"/>
    <w:rsid w:val="4605689B"/>
    <w:rsid w:val="460743C1"/>
    <w:rsid w:val="46074CE0"/>
    <w:rsid w:val="4607616F"/>
    <w:rsid w:val="46076ED6"/>
    <w:rsid w:val="46080139"/>
    <w:rsid w:val="46081EE8"/>
    <w:rsid w:val="46082244"/>
    <w:rsid w:val="46084A19"/>
    <w:rsid w:val="4608511A"/>
    <w:rsid w:val="46093C28"/>
    <w:rsid w:val="46094CC0"/>
    <w:rsid w:val="4609638B"/>
    <w:rsid w:val="46096C70"/>
    <w:rsid w:val="46097B7B"/>
    <w:rsid w:val="460A2104"/>
    <w:rsid w:val="460A3EC6"/>
    <w:rsid w:val="460A5C60"/>
    <w:rsid w:val="460B1E86"/>
    <w:rsid w:val="460B6868"/>
    <w:rsid w:val="460B6B1C"/>
    <w:rsid w:val="460B6BD6"/>
    <w:rsid w:val="460C19D8"/>
    <w:rsid w:val="460C5E7C"/>
    <w:rsid w:val="460C7C2A"/>
    <w:rsid w:val="460D1F14"/>
    <w:rsid w:val="460D5750"/>
    <w:rsid w:val="460D74FE"/>
    <w:rsid w:val="460E5D09"/>
    <w:rsid w:val="460F1D6D"/>
    <w:rsid w:val="460F3276"/>
    <w:rsid w:val="460F606C"/>
    <w:rsid w:val="46115240"/>
    <w:rsid w:val="46115CF7"/>
    <w:rsid w:val="46117C21"/>
    <w:rsid w:val="46121645"/>
    <w:rsid w:val="46125A14"/>
    <w:rsid w:val="46125A46"/>
    <w:rsid w:val="46132D66"/>
    <w:rsid w:val="46133029"/>
    <w:rsid w:val="46133FF3"/>
    <w:rsid w:val="46141B31"/>
    <w:rsid w:val="461431B0"/>
    <w:rsid w:val="46146ADE"/>
    <w:rsid w:val="46155842"/>
    <w:rsid w:val="461574CC"/>
    <w:rsid w:val="461602BA"/>
    <w:rsid w:val="46160CD2"/>
    <w:rsid w:val="46162856"/>
    <w:rsid w:val="461646DC"/>
    <w:rsid w:val="46184820"/>
    <w:rsid w:val="46184F74"/>
    <w:rsid w:val="461865CE"/>
    <w:rsid w:val="461878BD"/>
    <w:rsid w:val="46192347"/>
    <w:rsid w:val="4619280E"/>
    <w:rsid w:val="46192DDB"/>
    <w:rsid w:val="461940F5"/>
    <w:rsid w:val="461A77A5"/>
    <w:rsid w:val="461B1C1B"/>
    <w:rsid w:val="461B24A5"/>
    <w:rsid w:val="461B6B66"/>
    <w:rsid w:val="461B7E6D"/>
    <w:rsid w:val="461C3B64"/>
    <w:rsid w:val="461C6226"/>
    <w:rsid w:val="461D1E37"/>
    <w:rsid w:val="461D3BE5"/>
    <w:rsid w:val="461E157D"/>
    <w:rsid w:val="461F0444"/>
    <w:rsid w:val="461F1B74"/>
    <w:rsid w:val="461F3D43"/>
    <w:rsid w:val="461F4126"/>
    <w:rsid w:val="461F5467"/>
    <w:rsid w:val="461F55F9"/>
    <w:rsid w:val="461F5BAF"/>
    <w:rsid w:val="461F73FB"/>
    <w:rsid w:val="46203170"/>
    <w:rsid w:val="46207231"/>
    <w:rsid w:val="462079F9"/>
    <w:rsid w:val="46211A1A"/>
    <w:rsid w:val="462140AB"/>
    <w:rsid w:val="46217065"/>
    <w:rsid w:val="462211FB"/>
    <w:rsid w:val="462214CE"/>
    <w:rsid w:val="46236D21"/>
    <w:rsid w:val="46237C0C"/>
    <w:rsid w:val="462410FC"/>
    <w:rsid w:val="46242C27"/>
    <w:rsid w:val="462431C5"/>
    <w:rsid w:val="46243C38"/>
    <w:rsid w:val="46244F73"/>
    <w:rsid w:val="46246221"/>
    <w:rsid w:val="46250CEB"/>
    <w:rsid w:val="462521AF"/>
    <w:rsid w:val="4625589C"/>
    <w:rsid w:val="4626100A"/>
    <w:rsid w:val="4626202B"/>
    <w:rsid w:val="46265C21"/>
    <w:rsid w:val="462705C0"/>
    <w:rsid w:val="46271B24"/>
    <w:rsid w:val="46276812"/>
    <w:rsid w:val="46277759"/>
    <w:rsid w:val="462813AD"/>
    <w:rsid w:val="46283CFF"/>
    <w:rsid w:val="46284338"/>
    <w:rsid w:val="4628619C"/>
    <w:rsid w:val="462870BB"/>
    <w:rsid w:val="4629258A"/>
    <w:rsid w:val="46293AD9"/>
    <w:rsid w:val="46295ECD"/>
    <w:rsid w:val="462A0617"/>
    <w:rsid w:val="462A203A"/>
    <w:rsid w:val="462A6302"/>
    <w:rsid w:val="462B4FB8"/>
    <w:rsid w:val="462C273A"/>
    <w:rsid w:val="462C3E28"/>
    <w:rsid w:val="462C5BD6"/>
    <w:rsid w:val="462C6A1A"/>
    <w:rsid w:val="462D2C45"/>
    <w:rsid w:val="462D3044"/>
    <w:rsid w:val="462D39BC"/>
    <w:rsid w:val="462D72B0"/>
    <w:rsid w:val="462E6AB7"/>
    <w:rsid w:val="462F0EAF"/>
    <w:rsid w:val="462F56C6"/>
    <w:rsid w:val="462F66AF"/>
    <w:rsid w:val="4631143E"/>
    <w:rsid w:val="46311FB0"/>
    <w:rsid w:val="46314544"/>
    <w:rsid w:val="463158E2"/>
    <w:rsid w:val="46323DD3"/>
    <w:rsid w:val="46324CB2"/>
    <w:rsid w:val="463253E9"/>
    <w:rsid w:val="46326F64"/>
    <w:rsid w:val="46333408"/>
    <w:rsid w:val="4633699E"/>
    <w:rsid w:val="46342CDD"/>
    <w:rsid w:val="46352E0B"/>
    <w:rsid w:val="463539B1"/>
    <w:rsid w:val="46357180"/>
    <w:rsid w:val="46361DF7"/>
    <w:rsid w:val="46362EF9"/>
    <w:rsid w:val="46364CA7"/>
    <w:rsid w:val="463653D0"/>
    <w:rsid w:val="46366A55"/>
    <w:rsid w:val="463718F5"/>
    <w:rsid w:val="46385F00"/>
    <w:rsid w:val="46386C71"/>
    <w:rsid w:val="463879A4"/>
    <w:rsid w:val="46396545"/>
    <w:rsid w:val="463A1236"/>
    <w:rsid w:val="463A382E"/>
    <w:rsid w:val="463A4797"/>
    <w:rsid w:val="463A767D"/>
    <w:rsid w:val="463B050F"/>
    <w:rsid w:val="463B0C50"/>
    <w:rsid w:val="463B2F04"/>
    <w:rsid w:val="463B406B"/>
    <w:rsid w:val="463B4C52"/>
    <w:rsid w:val="463C063F"/>
    <w:rsid w:val="463C2029"/>
    <w:rsid w:val="463C6E35"/>
    <w:rsid w:val="463D2596"/>
    <w:rsid w:val="463D3884"/>
    <w:rsid w:val="463D6035"/>
    <w:rsid w:val="463D7DE3"/>
    <w:rsid w:val="463E22D9"/>
    <w:rsid w:val="463E3B5B"/>
    <w:rsid w:val="463F0805"/>
    <w:rsid w:val="463F1DAD"/>
    <w:rsid w:val="463F38B1"/>
    <w:rsid w:val="463F3E85"/>
    <w:rsid w:val="463F7FFF"/>
    <w:rsid w:val="46403803"/>
    <w:rsid w:val="46405B25"/>
    <w:rsid w:val="464078D3"/>
    <w:rsid w:val="46407B53"/>
    <w:rsid w:val="4642189D"/>
    <w:rsid w:val="46422A3B"/>
    <w:rsid w:val="4642364B"/>
    <w:rsid w:val="46424B25"/>
    <w:rsid w:val="46425C5B"/>
    <w:rsid w:val="46433589"/>
    <w:rsid w:val="46440B86"/>
    <w:rsid w:val="46445615"/>
    <w:rsid w:val="4645313C"/>
    <w:rsid w:val="46456C98"/>
    <w:rsid w:val="46464E05"/>
    <w:rsid w:val="464720E4"/>
    <w:rsid w:val="46476EB4"/>
    <w:rsid w:val="46480B57"/>
    <w:rsid w:val="46481584"/>
    <w:rsid w:val="464916E9"/>
    <w:rsid w:val="46492C2C"/>
    <w:rsid w:val="464939A9"/>
    <w:rsid w:val="464945FF"/>
    <w:rsid w:val="464949DA"/>
    <w:rsid w:val="464965E1"/>
    <w:rsid w:val="464A0752"/>
    <w:rsid w:val="464A2500"/>
    <w:rsid w:val="464A64BE"/>
    <w:rsid w:val="464B4747"/>
    <w:rsid w:val="464C0026"/>
    <w:rsid w:val="464C6278"/>
    <w:rsid w:val="464C6DD6"/>
    <w:rsid w:val="464D1C38"/>
    <w:rsid w:val="464D6FA5"/>
    <w:rsid w:val="464E72C9"/>
    <w:rsid w:val="464F7B16"/>
    <w:rsid w:val="46503FBA"/>
    <w:rsid w:val="46511A49"/>
    <w:rsid w:val="46511AE0"/>
    <w:rsid w:val="4651388E"/>
    <w:rsid w:val="46517D32"/>
    <w:rsid w:val="46522ED9"/>
    <w:rsid w:val="46523BF3"/>
    <w:rsid w:val="46527772"/>
    <w:rsid w:val="46537607"/>
    <w:rsid w:val="46542E23"/>
    <w:rsid w:val="4654337F"/>
    <w:rsid w:val="4654512D"/>
    <w:rsid w:val="46546942"/>
    <w:rsid w:val="46550474"/>
    <w:rsid w:val="465515D1"/>
    <w:rsid w:val="465545B3"/>
    <w:rsid w:val="46560EA5"/>
    <w:rsid w:val="46563719"/>
    <w:rsid w:val="46564855"/>
    <w:rsid w:val="46565349"/>
    <w:rsid w:val="46566B4B"/>
    <w:rsid w:val="46577FD6"/>
    <w:rsid w:val="465810C1"/>
    <w:rsid w:val="465846BA"/>
    <w:rsid w:val="46584C92"/>
    <w:rsid w:val="465A166B"/>
    <w:rsid w:val="465A2DAC"/>
    <w:rsid w:val="465A4DAB"/>
    <w:rsid w:val="465B0E03"/>
    <w:rsid w:val="465B33D3"/>
    <w:rsid w:val="465B3725"/>
    <w:rsid w:val="465B470D"/>
    <w:rsid w:val="465C6135"/>
    <w:rsid w:val="465C6B97"/>
    <w:rsid w:val="465D0485"/>
    <w:rsid w:val="465E31BF"/>
    <w:rsid w:val="465F41FD"/>
    <w:rsid w:val="465F4E7C"/>
    <w:rsid w:val="465F5FAB"/>
    <w:rsid w:val="466000AE"/>
    <w:rsid w:val="46601D24"/>
    <w:rsid w:val="46603AD2"/>
    <w:rsid w:val="466061EE"/>
    <w:rsid w:val="46607F75"/>
    <w:rsid w:val="4661153E"/>
    <w:rsid w:val="4661696D"/>
    <w:rsid w:val="46624496"/>
    <w:rsid w:val="4662784A"/>
    <w:rsid w:val="46634AE0"/>
    <w:rsid w:val="466435C2"/>
    <w:rsid w:val="4664552E"/>
    <w:rsid w:val="46646A2F"/>
    <w:rsid w:val="46647A66"/>
    <w:rsid w:val="466510E8"/>
    <w:rsid w:val="4665250E"/>
    <w:rsid w:val="4665733A"/>
    <w:rsid w:val="4665779D"/>
    <w:rsid w:val="4666059A"/>
    <w:rsid w:val="4666134F"/>
    <w:rsid w:val="46661C91"/>
    <w:rsid w:val="466664AF"/>
    <w:rsid w:val="46671B49"/>
    <w:rsid w:val="466722E6"/>
    <w:rsid w:val="466730B2"/>
    <w:rsid w:val="4667436A"/>
    <w:rsid w:val="4667540C"/>
    <w:rsid w:val="46676E2F"/>
    <w:rsid w:val="466871EB"/>
    <w:rsid w:val="466A0B83"/>
    <w:rsid w:val="466A28A1"/>
    <w:rsid w:val="466A4950"/>
    <w:rsid w:val="466B0DF4"/>
    <w:rsid w:val="466B2BA2"/>
    <w:rsid w:val="466C0FBD"/>
    <w:rsid w:val="466C1505"/>
    <w:rsid w:val="466C2476"/>
    <w:rsid w:val="466C5826"/>
    <w:rsid w:val="466C70BE"/>
    <w:rsid w:val="466D1222"/>
    <w:rsid w:val="466D6415"/>
    <w:rsid w:val="466E2692"/>
    <w:rsid w:val="466E4989"/>
    <w:rsid w:val="466F0DBD"/>
    <w:rsid w:val="466F1F67"/>
    <w:rsid w:val="466F4980"/>
    <w:rsid w:val="466F5BEA"/>
    <w:rsid w:val="466F6B46"/>
    <w:rsid w:val="466F7D24"/>
    <w:rsid w:val="467001B9"/>
    <w:rsid w:val="46706677"/>
    <w:rsid w:val="46713F31"/>
    <w:rsid w:val="46717A8D"/>
    <w:rsid w:val="46721C10"/>
    <w:rsid w:val="46722A37"/>
    <w:rsid w:val="467236F8"/>
    <w:rsid w:val="46726D27"/>
    <w:rsid w:val="46731554"/>
    <w:rsid w:val="46733805"/>
    <w:rsid w:val="46737CA9"/>
    <w:rsid w:val="46741642"/>
    <w:rsid w:val="46752B77"/>
    <w:rsid w:val="46754891"/>
    <w:rsid w:val="467579B4"/>
    <w:rsid w:val="467632F5"/>
    <w:rsid w:val="46764E21"/>
    <w:rsid w:val="4677113D"/>
    <w:rsid w:val="4677534F"/>
    <w:rsid w:val="46780E1B"/>
    <w:rsid w:val="467852BF"/>
    <w:rsid w:val="467977C5"/>
    <w:rsid w:val="46797CB5"/>
    <w:rsid w:val="467A2DE5"/>
    <w:rsid w:val="467A3084"/>
    <w:rsid w:val="467B090B"/>
    <w:rsid w:val="467B36C4"/>
    <w:rsid w:val="467B6CE8"/>
    <w:rsid w:val="467C4DAF"/>
    <w:rsid w:val="467C4E57"/>
    <w:rsid w:val="467C6146"/>
    <w:rsid w:val="467C74F5"/>
    <w:rsid w:val="467C773A"/>
    <w:rsid w:val="467D0B27"/>
    <w:rsid w:val="467D28D5"/>
    <w:rsid w:val="467D4684"/>
    <w:rsid w:val="467E045F"/>
    <w:rsid w:val="467E4A9B"/>
    <w:rsid w:val="467F02FC"/>
    <w:rsid w:val="467F1EF6"/>
    <w:rsid w:val="467F5974"/>
    <w:rsid w:val="467F5E08"/>
    <w:rsid w:val="467F664E"/>
    <w:rsid w:val="4680322E"/>
    <w:rsid w:val="46804174"/>
    <w:rsid w:val="46805202"/>
    <w:rsid w:val="46805F22"/>
    <w:rsid w:val="468123C6"/>
    <w:rsid w:val="46816A7D"/>
    <w:rsid w:val="4682613E"/>
    <w:rsid w:val="468273E7"/>
    <w:rsid w:val="4684044E"/>
    <w:rsid w:val="4684193D"/>
    <w:rsid w:val="46850939"/>
    <w:rsid w:val="4685178A"/>
    <w:rsid w:val="46853AFC"/>
    <w:rsid w:val="468661F2"/>
    <w:rsid w:val="46867973"/>
    <w:rsid w:val="46873754"/>
    <w:rsid w:val="46873B67"/>
    <w:rsid w:val="46875502"/>
    <w:rsid w:val="468772B0"/>
    <w:rsid w:val="46890F6F"/>
    <w:rsid w:val="46892255"/>
    <w:rsid w:val="4689570C"/>
    <w:rsid w:val="468A0B4E"/>
    <w:rsid w:val="468B1BDA"/>
    <w:rsid w:val="468B4FF2"/>
    <w:rsid w:val="468C0D6B"/>
    <w:rsid w:val="468C2B19"/>
    <w:rsid w:val="468C48C7"/>
    <w:rsid w:val="468C7048"/>
    <w:rsid w:val="468E063F"/>
    <w:rsid w:val="468F0BEE"/>
    <w:rsid w:val="468F1209"/>
    <w:rsid w:val="468F7B20"/>
    <w:rsid w:val="4690085B"/>
    <w:rsid w:val="46901FC9"/>
    <w:rsid w:val="4691024D"/>
    <w:rsid w:val="46933EA7"/>
    <w:rsid w:val="46935C55"/>
    <w:rsid w:val="469443CD"/>
    <w:rsid w:val="4695042E"/>
    <w:rsid w:val="4695154E"/>
    <w:rsid w:val="46954198"/>
    <w:rsid w:val="46957C1F"/>
    <w:rsid w:val="46963712"/>
    <w:rsid w:val="46963997"/>
    <w:rsid w:val="46964F27"/>
    <w:rsid w:val="46970A61"/>
    <w:rsid w:val="46971BE9"/>
    <w:rsid w:val="46985F11"/>
    <w:rsid w:val="4698770F"/>
    <w:rsid w:val="46987E61"/>
    <w:rsid w:val="46997D56"/>
    <w:rsid w:val="469A3487"/>
    <w:rsid w:val="469A4273"/>
    <w:rsid w:val="469A7090"/>
    <w:rsid w:val="469B0FAE"/>
    <w:rsid w:val="469B1105"/>
    <w:rsid w:val="469C4238"/>
    <w:rsid w:val="469C7200"/>
    <w:rsid w:val="469D0882"/>
    <w:rsid w:val="469D1E12"/>
    <w:rsid w:val="469D4BB4"/>
    <w:rsid w:val="469D6AD4"/>
    <w:rsid w:val="469E1AF9"/>
    <w:rsid w:val="469F3711"/>
    <w:rsid w:val="469F40B1"/>
    <w:rsid w:val="469F45FA"/>
    <w:rsid w:val="46A00372"/>
    <w:rsid w:val="46A02F49"/>
    <w:rsid w:val="46A02F52"/>
    <w:rsid w:val="46A04C6D"/>
    <w:rsid w:val="46A071D5"/>
    <w:rsid w:val="46A0776D"/>
    <w:rsid w:val="46A07A0C"/>
    <w:rsid w:val="46A1723C"/>
    <w:rsid w:val="46A17935"/>
    <w:rsid w:val="46A2058E"/>
    <w:rsid w:val="46A2233C"/>
    <w:rsid w:val="46A2261F"/>
    <w:rsid w:val="46A240EA"/>
    <w:rsid w:val="46A27739"/>
    <w:rsid w:val="46A4086E"/>
    <w:rsid w:val="46A41C10"/>
    <w:rsid w:val="46A4259B"/>
    <w:rsid w:val="46A4301F"/>
    <w:rsid w:val="46A462BB"/>
    <w:rsid w:val="46A46F1C"/>
    <w:rsid w:val="46A4772B"/>
    <w:rsid w:val="46A541DC"/>
    <w:rsid w:val="46A5512F"/>
    <w:rsid w:val="46A60640"/>
    <w:rsid w:val="46A617C3"/>
    <w:rsid w:val="46A63BDA"/>
    <w:rsid w:val="46A64429"/>
    <w:rsid w:val="46A71E64"/>
    <w:rsid w:val="46A74818"/>
    <w:rsid w:val="46A76FDC"/>
    <w:rsid w:val="46A77215"/>
    <w:rsid w:val="46A86A8B"/>
    <w:rsid w:val="46A9191C"/>
    <w:rsid w:val="46A936CA"/>
    <w:rsid w:val="46A93F5E"/>
    <w:rsid w:val="46A95163"/>
    <w:rsid w:val="46A95479"/>
    <w:rsid w:val="46AA0BD3"/>
    <w:rsid w:val="46AA2F9F"/>
    <w:rsid w:val="46AA33C7"/>
    <w:rsid w:val="46AA41E6"/>
    <w:rsid w:val="46AA5F4A"/>
    <w:rsid w:val="46AB09A5"/>
    <w:rsid w:val="46AB55E7"/>
    <w:rsid w:val="46AB75EC"/>
    <w:rsid w:val="46AC31BB"/>
    <w:rsid w:val="46AC5466"/>
    <w:rsid w:val="46AC6D17"/>
    <w:rsid w:val="46AD30FB"/>
    <w:rsid w:val="46AD4555"/>
    <w:rsid w:val="46AE0CE1"/>
    <w:rsid w:val="46AE1256"/>
    <w:rsid w:val="46AE69FD"/>
    <w:rsid w:val="46AE6F33"/>
    <w:rsid w:val="46AE7B45"/>
    <w:rsid w:val="46AF075C"/>
    <w:rsid w:val="46B04A59"/>
    <w:rsid w:val="46B166F6"/>
    <w:rsid w:val="46B1784C"/>
    <w:rsid w:val="46B24D85"/>
    <w:rsid w:val="46B2729D"/>
    <w:rsid w:val="46B3324E"/>
    <w:rsid w:val="46B359DE"/>
    <w:rsid w:val="46B362F7"/>
    <w:rsid w:val="46B502C1"/>
    <w:rsid w:val="46B5174F"/>
    <w:rsid w:val="46B547C6"/>
    <w:rsid w:val="46B61944"/>
    <w:rsid w:val="46B62EB9"/>
    <w:rsid w:val="46B651A1"/>
    <w:rsid w:val="46B67358"/>
    <w:rsid w:val="46B70BF7"/>
    <w:rsid w:val="46B72338"/>
    <w:rsid w:val="46B74A6E"/>
    <w:rsid w:val="46B8390E"/>
    <w:rsid w:val="46BA1434"/>
    <w:rsid w:val="46BA5C62"/>
    <w:rsid w:val="46BA64C5"/>
    <w:rsid w:val="46BB6641"/>
    <w:rsid w:val="46BC0042"/>
    <w:rsid w:val="46BC1650"/>
    <w:rsid w:val="46BC1678"/>
    <w:rsid w:val="46BC239E"/>
    <w:rsid w:val="46BC35D9"/>
    <w:rsid w:val="46BC369C"/>
    <w:rsid w:val="46BD0F24"/>
    <w:rsid w:val="46BD2CD2"/>
    <w:rsid w:val="46BD32C9"/>
    <w:rsid w:val="46BD44BC"/>
    <w:rsid w:val="46BD4D70"/>
    <w:rsid w:val="46BD7D17"/>
    <w:rsid w:val="46BE108D"/>
    <w:rsid w:val="46BE5EF9"/>
    <w:rsid w:val="46C028A6"/>
    <w:rsid w:val="46C04FA0"/>
    <w:rsid w:val="46C0680D"/>
    <w:rsid w:val="46C17D8B"/>
    <w:rsid w:val="46C202E8"/>
    <w:rsid w:val="46C2478C"/>
    <w:rsid w:val="46C2487A"/>
    <w:rsid w:val="46C25B9D"/>
    <w:rsid w:val="46C2653A"/>
    <w:rsid w:val="46C277A4"/>
    <w:rsid w:val="46C308DB"/>
    <w:rsid w:val="46C329DE"/>
    <w:rsid w:val="46C36E4A"/>
    <w:rsid w:val="46C40504"/>
    <w:rsid w:val="46C4195A"/>
    <w:rsid w:val="46C517C1"/>
    <w:rsid w:val="46C53717"/>
    <w:rsid w:val="46C6468B"/>
    <w:rsid w:val="46C6602A"/>
    <w:rsid w:val="46C66128"/>
    <w:rsid w:val="46C671A0"/>
    <w:rsid w:val="46C67DD9"/>
    <w:rsid w:val="46C73B51"/>
    <w:rsid w:val="46C83092"/>
    <w:rsid w:val="46C832BD"/>
    <w:rsid w:val="46C85C62"/>
    <w:rsid w:val="46C87FF5"/>
    <w:rsid w:val="46C9022F"/>
    <w:rsid w:val="46C91677"/>
    <w:rsid w:val="46C9474D"/>
    <w:rsid w:val="46C95B1B"/>
    <w:rsid w:val="46C97DAE"/>
    <w:rsid w:val="46CA2312"/>
    <w:rsid w:val="46CA4285"/>
    <w:rsid w:val="46CA4D92"/>
    <w:rsid w:val="46CB26D1"/>
    <w:rsid w:val="46CC04FD"/>
    <w:rsid w:val="46CC3455"/>
    <w:rsid w:val="46CC4478"/>
    <w:rsid w:val="46CC670F"/>
    <w:rsid w:val="46CC6DDB"/>
    <w:rsid w:val="46CD4B6D"/>
    <w:rsid w:val="46CD560B"/>
    <w:rsid w:val="46CE3131"/>
    <w:rsid w:val="46CE4EDF"/>
    <w:rsid w:val="46CF1F85"/>
    <w:rsid w:val="46D00C57"/>
    <w:rsid w:val="46D01A4F"/>
    <w:rsid w:val="46D02A05"/>
    <w:rsid w:val="46D05BA6"/>
    <w:rsid w:val="46D06405"/>
    <w:rsid w:val="46D11FBC"/>
    <w:rsid w:val="46D12EDF"/>
    <w:rsid w:val="46D149CF"/>
    <w:rsid w:val="46D1677D"/>
    <w:rsid w:val="46D17FAE"/>
    <w:rsid w:val="46D257FF"/>
    <w:rsid w:val="46D26F40"/>
    <w:rsid w:val="46D34FDF"/>
    <w:rsid w:val="46D364BA"/>
    <w:rsid w:val="46D440C9"/>
    <w:rsid w:val="46D513E1"/>
    <w:rsid w:val="46D52CF0"/>
    <w:rsid w:val="46D530A1"/>
    <w:rsid w:val="46D538A6"/>
    <w:rsid w:val="46D538E0"/>
    <w:rsid w:val="46D544C0"/>
    <w:rsid w:val="46D54DA8"/>
    <w:rsid w:val="46D5626E"/>
    <w:rsid w:val="46D60EE1"/>
    <w:rsid w:val="46D62AA1"/>
    <w:rsid w:val="46D642A8"/>
    <w:rsid w:val="46D643A4"/>
    <w:rsid w:val="46D72939"/>
    <w:rsid w:val="46D80B14"/>
    <w:rsid w:val="46D8330D"/>
    <w:rsid w:val="46D83FB0"/>
    <w:rsid w:val="46D8622E"/>
    <w:rsid w:val="46D87B0C"/>
    <w:rsid w:val="46D90A0C"/>
    <w:rsid w:val="46D939F4"/>
    <w:rsid w:val="46D955A7"/>
    <w:rsid w:val="46DA1AD6"/>
    <w:rsid w:val="46DB13AA"/>
    <w:rsid w:val="46DB2520"/>
    <w:rsid w:val="46DB624D"/>
    <w:rsid w:val="46DB65DE"/>
    <w:rsid w:val="46DB6B62"/>
    <w:rsid w:val="46DC2BC3"/>
    <w:rsid w:val="46DC584E"/>
    <w:rsid w:val="46DD1985"/>
    <w:rsid w:val="46DD5122"/>
    <w:rsid w:val="46DE008C"/>
    <w:rsid w:val="46DE32DD"/>
    <w:rsid w:val="46DE3DA2"/>
    <w:rsid w:val="46DE54E3"/>
    <w:rsid w:val="46DE5B86"/>
    <w:rsid w:val="46DE5F6A"/>
    <w:rsid w:val="46DF0E9A"/>
    <w:rsid w:val="46DF2787"/>
    <w:rsid w:val="46DF533E"/>
    <w:rsid w:val="46DF5A91"/>
    <w:rsid w:val="46DF70EC"/>
    <w:rsid w:val="46DF787F"/>
    <w:rsid w:val="46E00068"/>
    <w:rsid w:val="46E0127E"/>
    <w:rsid w:val="46E029D4"/>
    <w:rsid w:val="46E057D0"/>
    <w:rsid w:val="46E0750B"/>
    <w:rsid w:val="46E10058"/>
    <w:rsid w:val="46E13E64"/>
    <w:rsid w:val="46E2098A"/>
    <w:rsid w:val="46E22739"/>
    <w:rsid w:val="46E2533D"/>
    <w:rsid w:val="46E464B1"/>
    <w:rsid w:val="46E47C14"/>
    <w:rsid w:val="46E6047B"/>
    <w:rsid w:val="46E62229"/>
    <w:rsid w:val="46E75FA1"/>
    <w:rsid w:val="46E8207A"/>
    <w:rsid w:val="46E910D3"/>
    <w:rsid w:val="46E91D19"/>
    <w:rsid w:val="46E93AC7"/>
    <w:rsid w:val="46E95528"/>
    <w:rsid w:val="46E97F6B"/>
    <w:rsid w:val="46EA7103"/>
    <w:rsid w:val="46EB3CE3"/>
    <w:rsid w:val="46EB783F"/>
    <w:rsid w:val="46EC63A6"/>
    <w:rsid w:val="46ED5417"/>
    <w:rsid w:val="46ED7B16"/>
    <w:rsid w:val="46EE1362"/>
    <w:rsid w:val="46EE37D3"/>
    <w:rsid w:val="46EE5581"/>
    <w:rsid w:val="46EE761B"/>
    <w:rsid w:val="46EE7B05"/>
    <w:rsid w:val="46F012F9"/>
    <w:rsid w:val="46F024C9"/>
    <w:rsid w:val="46F04E55"/>
    <w:rsid w:val="46F10BCE"/>
    <w:rsid w:val="46F13959"/>
    <w:rsid w:val="46F216FD"/>
    <w:rsid w:val="46F233C3"/>
    <w:rsid w:val="46F26E20"/>
    <w:rsid w:val="46F34946"/>
    <w:rsid w:val="46F365B9"/>
    <w:rsid w:val="46F42F70"/>
    <w:rsid w:val="46F43A74"/>
    <w:rsid w:val="46F506BE"/>
    <w:rsid w:val="46F54B62"/>
    <w:rsid w:val="46F56FF8"/>
    <w:rsid w:val="46F62E90"/>
    <w:rsid w:val="46F66186"/>
    <w:rsid w:val="46F7052F"/>
    <w:rsid w:val="46F72688"/>
    <w:rsid w:val="46F81F5C"/>
    <w:rsid w:val="46F9201D"/>
    <w:rsid w:val="46FA5CD4"/>
    <w:rsid w:val="46FA6D9D"/>
    <w:rsid w:val="46FB75DC"/>
    <w:rsid w:val="46FC2996"/>
    <w:rsid w:val="46FC606B"/>
    <w:rsid w:val="46FC7C9E"/>
    <w:rsid w:val="46FD57C4"/>
    <w:rsid w:val="46FD732B"/>
    <w:rsid w:val="46FE7D5F"/>
    <w:rsid w:val="46FF06D8"/>
    <w:rsid w:val="46FF153C"/>
    <w:rsid w:val="46FF2FEB"/>
    <w:rsid w:val="46FF32EA"/>
    <w:rsid w:val="470009EC"/>
    <w:rsid w:val="47007E18"/>
    <w:rsid w:val="47010EFF"/>
    <w:rsid w:val="47012B88"/>
    <w:rsid w:val="47012E44"/>
    <w:rsid w:val="47013507"/>
    <w:rsid w:val="470152B5"/>
    <w:rsid w:val="47017063"/>
    <w:rsid w:val="470248DE"/>
    <w:rsid w:val="47024C1B"/>
    <w:rsid w:val="470323D1"/>
    <w:rsid w:val="4703462D"/>
    <w:rsid w:val="4703605D"/>
    <w:rsid w:val="47040901"/>
    <w:rsid w:val="47041330"/>
    <w:rsid w:val="47043DA9"/>
    <w:rsid w:val="47046B53"/>
    <w:rsid w:val="47052FBE"/>
    <w:rsid w:val="47066C45"/>
    <w:rsid w:val="47073006"/>
    <w:rsid w:val="47073B53"/>
    <w:rsid w:val="47074862"/>
    <w:rsid w:val="47081961"/>
    <w:rsid w:val="47084DA6"/>
    <w:rsid w:val="470A192F"/>
    <w:rsid w:val="470A1DC8"/>
    <w:rsid w:val="470A6A08"/>
    <w:rsid w:val="470B1E43"/>
    <w:rsid w:val="470B2422"/>
    <w:rsid w:val="470B7EE1"/>
    <w:rsid w:val="470C0561"/>
    <w:rsid w:val="470D0B07"/>
    <w:rsid w:val="470D0F87"/>
    <w:rsid w:val="470D0FC5"/>
    <w:rsid w:val="470D149B"/>
    <w:rsid w:val="470D1EAB"/>
    <w:rsid w:val="470D371F"/>
    <w:rsid w:val="470D3C59"/>
    <w:rsid w:val="470D40E8"/>
    <w:rsid w:val="470D45A0"/>
    <w:rsid w:val="470D5A07"/>
    <w:rsid w:val="470D7941"/>
    <w:rsid w:val="470E352E"/>
    <w:rsid w:val="470E79D1"/>
    <w:rsid w:val="470F0AB5"/>
    <w:rsid w:val="470F7109"/>
    <w:rsid w:val="47102A24"/>
    <w:rsid w:val="4710374A"/>
    <w:rsid w:val="471072A6"/>
    <w:rsid w:val="47113998"/>
    <w:rsid w:val="4712105C"/>
    <w:rsid w:val="47121270"/>
    <w:rsid w:val="4712301E"/>
    <w:rsid w:val="471268B3"/>
    <w:rsid w:val="471274C2"/>
    <w:rsid w:val="47133957"/>
    <w:rsid w:val="4714323A"/>
    <w:rsid w:val="47153BAE"/>
    <w:rsid w:val="471548BC"/>
    <w:rsid w:val="47154DC1"/>
    <w:rsid w:val="47156114"/>
    <w:rsid w:val="471579B3"/>
    <w:rsid w:val="471630BE"/>
    <w:rsid w:val="47172AA3"/>
    <w:rsid w:val="4717362E"/>
    <w:rsid w:val="47173F8D"/>
    <w:rsid w:val="47174AD8"/>
    <w:rsid w:val="471843AC"/>
    <w:rsid w:val="471853EF"/>
    <w:rsid w:val="47186B04"/>
    <w:rsid w:val="471876E9"/>
    <w:rsid w:val="47187C8A"/>
    <w:rsid w:val="47190850"/>
    <w:rsid w:val="47196173"/>
    <w:rsid w:val="471A0647"/>
    <w:rsid w:val="471A1ED2"/>
    <w:rsid w:val="471A526A"/>
    <w:rsid w:val="471A6376"/>
    <w:rsid w:val="471B3098"/>
    <w:rsid w:val="471C20EE"/>
    <w:rsid w:val="471C335E"/>
    <w:rsid w:val="471C4883"/>
    <w:rsid w:val="471C5BCD"/>
    <w:rsid w:val="471C683C"/>
    <w:rsid w:val="471D0BAC"/>
    <w:rsid w:val="471D17A3"/>
    <w:rsid w:val="471E5E67"/>
    <w:rsid w:val="471E664E"/>
    <w:rsid w:val="471F0199"/>
    <w:rsid w:val="471F17CF"/>
    <w:rsid w:val="471F459B"/>
    <w:rsid w:val="4720574B"/>
    <w:rsid w:val="47205B04"/>
    <w:rsid w:val="4721182B"/>
    <w:rsid w:val="47213261"/>
    <w:rsid w:val="47213C9A"/>
    <w:rsid w:val="47216E31"/>
    <w:rsid w:val="472172AE"/>
    <w:rsid w:val="47221765"/>
    <w:rsid w:val="47222787"/>
    <w:rsid w:val="47223430"/>
    <w:rsid w:val="47226FD9"/>
    <w:rsid w:val="472450A7"/>
    <w:rsid w:val="47246C2E"/>
    <w:rsid w:val="472471F5"/>
    <w:rsid w:val="472521EA"/>
    <w:rsid w:val="47256537"/>
    <w:rsid w:val="47262F6D"/>
    <w:rsid w:val="472647C7"/>
    <w:rsid w:val="47264D1B"/>
    <w:rsid w:val="472661D1"/>
    <w:rsid w:val="47272028"/>
    <w:rsid w:val="47275169"/>
    <w:rsid w:val="47282841"/>
    <w:rsid w:val="47292BC5"/>
    <w:rsid w:val="47294EB8"/>
    <w:rsid w:val="47297A89"/>
    <w:rsid w:val="472A0F19"/>
    <w:rsid w:val="472B0583"/>
    <w:rsid w:val="472B3950"/>
    <w:rsid w:val="472B40E0"/>
    <w:rsid w:val="472C14A0"/>
    <w:rsid w:val="472C640A"/>
    <w:rsid w:val="472D048E"/>
    <w:rsid w:val="472D286B"/>
    <w:rsid w:val="472D42FC"/>
    <w:rsid w:val="472E597E"/>
    <w:rsid w:val="472E7A45"/>
    <w:rsid w:val="472F1DA7"/>
    <w:rsid w:val="472F1E22"/>
    <w:rsid w:val="472F42D1"/>
    <w:rsid w:val="472F5ACD"/>
    <w:rsid w:val="473016F6"/>
    <w:rsid w:val="47305546"/>
    <w:rsid w:val="47315C38"/>
    <w:rsid w:val="4731621B"/>
    <w:rsid w:val="473204DC"/>
    <w:rsid w:val="47323972"/>
    <w:rsid w:val="4732546E"/>
    <w:rsid w:val="47325B69"/>
    <w:rsid w:val="47332F94"/>
    <w:rsid w:val="47354F5E"/>
    <w:rsid w:val="47354FB0"/>
    <w:rsid w:val="47360BAE"/>
    <w:rsid w:val="47370E61"/>
    <w:rsid w:val="4738008B"/>
    <w:rsid w:val="47385261"/>
    <w:rsid w:val="473867FC"/>
    <w:rsid w:val="47386C5C"/>
    <w:rsid w:val="47392CA0"/>
    <w:rsid w:val="47393B5A"/>
    <w:rsid w:val="47394A4E"/>
    <w:rsid w:val="47396ED2"/>
    <w:rsid w:val="473A2575"/>
    <w:rsid w:val="473C009B"/>
    <w:rsid w:val="473C40E4"/>
    <w:rsid w:val="473C62ED"/>
    <w:rsid w:val="473D3E13"/>
    <w:rsid w:val="473E081F"/>
    <w:rsid w:val="473E2065"/>
    <w:rsid w:val="473E7C34"/>
    <w:rsid w:val="473F01B1"/>
    <w:rsid w:val="473F2CD7"/>
    <w:rsid w:val="473F460B"/>
    <w:rsid w:val="473F4AE6"/>
    <w:rsid w:val="473F7B8B"/>
    <w:rsid w:val="4740402F"/>
    <w:rsid w:val="47411B27"/>
    <w:rsid w:val="47411B55"/>
    <w:rsid w:val="474133A2"/>
    <w:rsid w:val="474167CC"/>
    <w:rsid w:val="47422D97"/>
    <w:rsid w:val="474273C1"/>
    <w:rsid w:val="47432E89"/>
    <w:rsid w:val="4743487A"/>
    <w:rsid w:val="474358CD"/>
    <w:rsid w:val="474433F3"/>
    <w:rsid w:val="47443AD6"/>
    <w:rsid w:val="474451A1"/>
    <w:rsid w:val="47451645"/>
    <w:rsid w:val="47453CDA"/>
    <w:rsid w:val="474565A3"/>
    <w:rsid w:val="474601C2"/>
    <w:rsid w:val="47460F19"/>
    <w:rsid w:val="47464BBD"/>
    <w:rsid w:val="47474EAA"/>
    <w:rsid w:val="4748112D"/>
    <w:rsid w:val="47482EE3"/>
    <w:rsid w:val="47483902"/>
    <w:rsid w:val="47483BE5"/>
    <w:rsid w:val="474868A6"/>
    <w:rsid w:val="47486A40"/>
    <w:rsid w:val="47490A0A"/>
    <w:rsid w:val="474978B5"/>
    <w:rsid w:val="474A6C5C"/>
    <w:rsid w:val="474B043A"/>
    <w:rsid w:val="474B29D4"/>
    <w:rsid w:val="474B4782"/>
    <w:rsid w:val="474B6E87"/>
    <w:rsid w:val="474C0B9A"/>
    <w:rsid w:val="474D22A8"/>
    <w:rsid w:val="474D2918"/>
    <w:rsid w:val="474D4178"/>
    <w:rsid w:val="474E12FD"/>
    <w:rsid w:val="474E5743"/>
    <w:rsid w:val="474E6020"/>
    <w:rsid w:val="474E7388"/>
    <w:rsid w:val="474F00F8"/>
    <w:rsid w:val="474F4272"/>
    <w:rsid w:val="47501534"/>
    <w:rsid w:val="47503A3F"/>
    <w:rsid w:val="47503B46"/>
    <w:rsid w:val="47504375"/>
    <w:rsid w:val="47507FEA"/>
    <w:rsid w:val="47511BBD"/>
    <w:rsid w:val="47515805"/>
    <w:rsid w:val="47523D62"/>
    <w:rsid w:val="47524C24"/>
    <w:rsid w:val="47526C95"/>
    <w:rsid w:val="475278BE"/>
    <w:rsid w:val="47530F1F"/>
    <w:rsid w:val="4753711C"/>
    <w:rsid w:val="47543636"/>
    <w:rsid w:val="475470F8"/>
    <w:rsid w:val="4755098B"/>
    <w:rsid w:val="4755115C"/>
    <w:rsid w:val="47551D2C"/>
    <w:rsid w:val="4755356C"/>
    <w:rsid w:val="4755399D"/>
    <w:rsid w:val="475573AE"/>
    <w:rsid w:val="4756572C"/>
    <w:rsid w:val="475855FA"/>
    <w:rsid w:val="475956E5"/>
    <w:rsid w:val="475A2C17"/>
    <w:rsid w:val="475A5F5D"/>
    <w:rsid w:val="475A6773"/>
    <w:rsid w:val="475B03AC"/>
    <w:rsid w:val="475B10E8"/>
    <w:rsid w:val="475B27DA"/>
    <w:rsid w:val="475C073D"/>
    <w:rsid w:val="475C4A87"/>
    <w:rsid w:val="475D07A2"/>
    <w:rsid w:val="475D2E26"/>
    <w:rsid w:val="475D5424"/>
    <w:rsid w:val="475E1611"/>
    <w:rsid w:val="475E2707"/>
    <w:rsid w:val="475E5238"/>
    <w:rsid w:val="475E6263"/>
    <w:rsid w:val="475E66C8"/>
    <w:rsid w:val="475E6ABA"/>
    <w:rsid w:val="475E7C22"/>
    <w:rsid w:val="475F022D"/>
    <w:rsid w:val="475F1FDB"/>
    <w:rsid w:val="475F5482"/>
    <w:rsid w:val="47603568"/>
    <w:rsid w:val="47604C12"/>
    <w:rsid w:val="47613D2A"/>
    <w:rsid w:val="47613FA5"/>
    <w:rsid w:val="47615D53"/>
    <w:rsid w:val="476160C4"/>
    <w:rsid w:val="47616496"/>
    <w:rsid w:val="4761650B"/>
    <w:rsid w:val="47617AE4"/>
    <w:rsid w:val="47617B01"/>
    <w:rsid w:val="47620699"/>
    <w:rsid w:val="47625049"/>
    <w:rsid w:val="47631ACB"/>
    <w:rsid w:val="47633879"/>
    <w:rsid w:val="47636202"/>
    <w:rsid w:val="47637CCE"/>
    <w:rsid w:val="47637D1D"/>
    <w:rsid w:val="4764152B"/>
    <w:rsid w:val="4764253A"/>
    <w:rsid w:val="47646F3F"/>
    <w:rsid w:val="476475F1"/>
    <w:rsid w:val="47653A95"/>
    <w:rsid w:val="47655545"/>
    <w:rsid w:val="476615BC"/>
    <w:rsid w:val="4766336A"/>
    <w:rsid w:val="47665118"/>
    <w:rsid w:val="476721D3"/>
    <w:rsid w:val="47675DCA"/>
    <w:rsid w:val="4767627D"/>
    <w:rsid w:val="47677A2B"/>
    <w:rsid w:val="4768075B"/>
    <w:rsid w:val="47685334"/>
    <w:rsid w:val="476870E2"/>
    <w:rsid w:val="4769139B"/>
    <w:rsid w:val="476937DB"/>
    <w:rsid w:val="47694C08"/>
    <w:rsid w:val="47694C86"/>
    <w:rsid w:val="476A10AC"/>
    <w:rsid w:val="476A4246"/>
    <w:rsid w:val="476B0980"/>
    <w:rsid w:val="476B40C0"/>
    <w:rsid w:val="476B4E24"/>
    <w:rsid w:val="476B6BD2"/>
    <w:rsid w:val="476B7812"/>
    <w:rsid w:val="476C20A9"/>
    <w:rsid w:val="476C4160"/>
    <w:rsid w:val="476C4CE5"/>
    <w:rsid w:val="476C6162"/>
    <w:rsid w:val="476D294A"/>
    <w:rsid w:val="476D39E1"/>
    <w:rsid w:val="476D46F8"/>
    <w:rsid w:val="476D4D2D"/>
    <w:rsid w:val="476D5FE7"/>
    <w:rsid w:val="476D64A6"/>
    <w:rsid w:val="476E221E"/>
    <w:rsid w:val="476F0250"/>
    <w:rsid w:val="476F0470"/>
    <w:rsid w:val="476F66C2"/>
    <w:rsid w:val="476F79AC"/>
    <w:rsid w:val="47700ADD"/>
    <w:rsid w:val="4770243A"/>
    <w:rsid w:val="477041E8"/>
    <w:rsid w:val="477043DC"/>
    <w:rsid w:val="47705F96"/>
    <w:rsid w:val="47726561"/>
    <w:rsid w:val="47743368"/>
    <w:rsid w:val="47743CD8"/>
    <w:rsid w:val="477517FF"/>
    <w:rsid w:val="4776212D"/>
    <w:rsid w:val="47762584"/>
    <w:rsid w:val="47770B52"/>
    <w:rsid w:val="477737C9"/>
    <w:rsid w:val="47776530"/>
    <w:rsid w:val="47777325"/>
    <w:rsid w:val="47785564"/>
    <w:rsid w:val="477912EF"/>
    <w:rsid w:val="4779309D"/>
    <w:rsid w:val="477B2F1C"/>
    <w:rsid w:val="477B4631"/>
    <w:rsid w:val="477B7331"/>
    <w:rsid w:val="477C2B8D"/>
    <w:rsid w:val="477E4B57"/>
    <w:rsid w:val="477E6905"/>
    <w:rsid w:val="477F5B53"/>
    <w:rsid w:val="477F6B72"/>
    <w:rsid w:val="477F7142"/>
    <w:rsid w:val="478005D2"/>
    <w:rsid w:val="4780267D"/>
    <w:rsid w:val="47806D67"/>
    <w:rsid w:val="478101A3"/>
    <w:rsid w:val="478119FA"/>
    <w:rsid w:val="47812FF2"/>
    <w:rsid w:val="47823D5E"/>
    <w:rsid w:val="47824238"/>
    <w:rsid w:val="47831E8B"/>
    <w:rsid w:val="4783216D"/>
    <w:rsid w:val="47833FA1"/>
    <w:rsid w:val="47835CCA"/>
    <w:rsid w:val="47845072"/>
    <w:rsid w:val="47857C94"/>
    <w:rsid w:val="4786174C"/>
    <w:rsid w:val="478631D4"/>
    <w:rsid w:val="478665C6"/>
    <w:rsid w:val="47867568"/>
    <w:rsid w:val="478754B2"/>
    <w:rsid w:val="478764BE"/>
    <w:rsid w:val="47881532"/>
    <w:rsid w:val="47882D15"/>
    <w:rsid w:val="478832E0"/>
    <w:rsid w:val="47887784"/>
    <w:rsid w:val="478902C6"/>
    <w:rsid w:val="47892735"/>
    <w:rsid w:val="478A34FC"/>
    <w:rsid w:val="478A4254"/>
    <w:rsid w:val="478A5995"/>
    <w:rsid w:val="478B2DD0"/>
    <w:rsid w:val="478B38B6"/>
    <w:rsid w:val="478B3F94"/>
    <w:rsid w:val="478B4B7E"/>
    <w:rsid w:val="478D6B48"/>
    <w:rsid w:val="478E2BCC"/>
    <w:rsid w:val="478F5068"/>
    <w:rsid w:val="47901855"/>
    <w:rsid w:val="47910635"/>
    <w:rsid w:val="4792415F"/>
    <w:rsid w:val="47925F0D"/>
    <w:rsid w:val="47926A9A"/>
    <w:rsid w:val="47931C9E"/>
    <w:rsid w:val="479362F4"/>
    <w:rsid w:val="479368EE"/>
    <w:rsid w:val="47941035"/>
    <w:rsid w:val="47947ED7"/>
    <w:rsid w:val="47952AA8"/>
    <w:rsid w:val="47953C4F"/>
    <w:rsid w:val="479559FD"/>
    <w:rsid w:val="4795758E"/>
    <w:rsid w:val="47961EA1"/>
    <w:rsid w:val="47963ED9"/>
    <w:rsid w:val="47971775"/>
    <w:rsid w:val="479779C7"/>
    <w:rsid w:val="479814DE"/>
    <w:rsid w:val="479A29EE"/>
    <w:rsid w:val="479A77CF"/>
    <w:rsid w:val="479B02AF"/>
    <w:rsid w:val="479B1265"/>
    <w:rsid w:val="479B26AA"/>
    <w:rsid w:val="479B364B"/>
    <w:rsid w:val="479B51D9"/>
    <w:rsid w:val="479B74B7"/>
    <w:rsid w:val="479C322F"/>
    <w:rsid w:val="479C4FDD"/>
    <w:rsid w:val="479C7AAE"/>
    <w:rsid w:val="479C7DAA"/>
    <w:rsid w:val="479D28B5"/>
    <w:rsid w:val="479D620D"/>
    <w:rsid w:val="479D6F35"/>
    <w:rsid w:val="479E0D55"/>
    <w:rsid w:val="479E6CD4"/>
    <w:rsid w:val="479E6FA7"/>
    <w:rsid w:val="479F672B"/>
    <w:rsid w:val="47A04ACD"/>
    <w:rsid w:val="47A06367"/>
    <w:rsid w:val="47A07E0C"/>
    <w:rsid w:val="47A125F4"/>
    <w:rsid w:val="47A143A2"/>
    <w:rsid w:val="47A171EC"/>
    <w:rsid w:val="47A224DB"/>
    <w:rsid w:val="47A22B0F"/>
    <w:rsid w:val="47A2461B"/>
    <w:rsid w:val="47A26F7C"/>
    <w:rsid w:val="47A3011A"/>
    <w:rsid w:val="47A3636C"/>
    <w:rsid w:val="47A3782A"/>
    <w:rsid w:val="47A45C40"/>
    <w:rsid w:val="47A45E91"/>
    <w:rsid w:val="47A479CC"/>
    <w:rsid w:val="47A50E5C"/>
    <w:rsid w:val="47A520E4"/>
    <w:rsid w:val="47A52415"/>
    <w:rsid w:val="47A646BA"/>
    <w:rsid w:val="47A66BF5"/>
    <w:rsid w:val="47A81BD4"/>
    <w:rsid w:val="47A824CD"/>
    <w:rsid w:val="47A8634D"/>
    <w:rsid w:val="47AA1CA0"/>
    <w:rsid w:val="47AA594C"/>
    <w:rsid w:val="47AA76FA"/>
    <w:rsid w:val="47AB25D5"/>
    <w:rsid w:val="47AB598B"/>
    <w:rsid w:val="47AB7721"/>
    <w:rsid w:val="47AC2547"/>
    <w:rsid w:val="47AC3472"/>
    <w:rsid w:val="47AC789F"/>
    <w:rsid w:val="47AD0B4B"/>
    <w:rsid w:val="47AD0F98"/>
    <w:rsid w:val="47AE1F5A"/>
    <w:rsid w:val="47AE56AF"/>
    <w:rsid w:val="47AF6ABF"/>
    <w:rsid w:val="47B02837"/>
    <w:rsid w:val="47B03BC4"/>
    <w:rsid w:val="47B05595"/>
    <w:rsid w:val="47B10A89"/>
    <w:rsid w:val="47B12BBC"/>
    <w:rsid w:val="47B16CDB"/>
    <w:rsid w:val="47B172AE"/>
    <w:rsid w:val="47B2035D"/>
    <w:rsid w:val="47B2359D"/>
    <w:rsid w:val="47B24801"/>
    <w:rsid w:val="47B318AC"/>
    <w:rsid w:val="47B36031"/>
    <w:rsid w:val="47B42327"/>
    <w:rsid w:val="47B42C8C"/>
    <w:rsid w:val="47B464C3"/>
    <w:rsid w:val="47B50951"/>
    <w:rsid w:val="47B605E7"/>
    <w:rsid w:val="47B617EB"/>
    <w:rsid w:val="47B61FD8"/>
    <w:rsid w:val="47B64041"/>
    <w:rsid w:val="47B65AE7"/>
    <w:rsid w:val="47B70069"/>
    <w:rsid w:val="47B72B90"/>
    <w:rsid w:val="47B73271"/>
    <w:rsid w:val="47B73BC5"/>
    <w:rsid w:val="47B84838"/>
    <w:rsid w:val="47B86FD6"/>
    <w:rsid w:val="47B944B8"/>
    <w:rsid w:val="47B95B8F"/>
    <w:rsid w:val="47BA5463"/>
    <w:rsid w:val="47BB1907"/>
    <w:rsid w:val="47BB1BD4"/>
    <w:rsid w:val="47BB36B5"/>
    <w:rsid w:val="47BB4657"/>
    <w:rsid w:val="47BB474E"/>
    <w:rsid w:val="47BB6637"/>
    <w:rsid w:val="47BC11DC"/>
    <w:rsid w:val="47BC33E7"/>
    <w:rsid w:val="47BC543D"/>
    <w:rsid w:val="47BC567F"/>
    <w:rsid w:val="47BC71EA"/>
    <w:rsid w:val="47BC742D"/>
    <w:rsid w:val="47BD5A3C"/>
    <w:rsid w:val="47BE03C0"/>
    <w:rsid w:val="47BE4827"/>
    <w:rsid w:val="47BE4A4F"/>
    <w:rsid w:val="47BE4F54"/>
    <w:rsid w:val="47BE6DA8"/>
    <w:rsid w:val="47BF7CE0"/>
    <w:rsid w:val="47C06F1E"/>
    <w:rsid w:val="47C10635"/>
    <w:rsid w:val="47C167F2"/>
    <w:rsid w:val="47C22C96"/>
    <w:rsid w:val="47C24200"/>
    <w:rsid w:val="47C307BC"/>
    <w:rsid w:val="47C316E5"/>
    <w:rsid w:val="47C32038"/>
    <w:rsid w:val="47C34CFC"/>
    <w:rsid w:val="47C42409"/>
    <w:rsid w:val="47C47F85"/>
    <w:rsid w:val="47C50090"/>
    <w:rsid w:val="47C562E2"/>
    <w:rsid w:val="47C60A18"/>
    <w:rsid w:val="47C6205A"/>
    <w:rsid w:val="47C62373"/>
    <w:rsid w:val="47C65C99"/>
    <w:rsid w:val="47C83BFF"/>
    <w:rsid w:val="47C84024"/>
    <w:rsid w:val="47CA2374"/>
    <w:rsid w:val="47CA38F8"/>
    <w:rsid w:val="47CA56A6"/>
    <w:rsid w:val="47CB141F"/>
    <w:rsid w:val="47CB2B77"/>
    <w:rsid w:val="47CC58C3"/>
    <w:rsid w:val="47CD234C"/>
    <w:rsid w:val="47CD33E9"/>
    <w:rsid w:val="47CD5197"/>
    <w:rsid w:val="47CD6BD8"/>
    <w:rsid w:val="47CE1F77"/>
    <w:rsid w:val="47CF5D47"/>
    <w:rsid w:val="47D040D0"/>
    <w:rsid w:val="47D05559"/>
    <w:rsid w:val="47D06A35"/>
    <w:rsid w:val="47D06CCE"/>
    <w:rsid w:val="47D14C87"/>
    <w:rsid w:val="47D14FED"/>
    <w:rsid w:val="47D209FF"/>
    <w:rsid w:val="47D227AD"/>
    <w:rsid w:val="47D328E5"/>
    <w:rsid w:val="47D3292A"/>
    <w:rsid w:val="47D33EDA"/>
    <w:rsid w:val="47D34905"/>
    <w:rsid w:val="47D4106D"/>
    <w:rsid w:val="47D429C9"/>
    <w:rsid w:val="47D44777"/>
    <w:rsid w:val="47D46525"/>
    <w:rsid w:val="47D52060"/>
    <w:rsid w:val="47D57F3B"/>
    <w:rsid w:val="47D604EF"/>
    <w:rsid w:val="47D610D7"/>
    <w:rsid w:val="47D66712"/>
    <w:rsid w:val="47D75B8A"/>
    <w:rsid w:val="47D77DC3"/>
    <w:rsid w:val="47D851ED"/>
    <w:rsid w:val="47D9485C"/>
    <w:rsid w:val="47D9517B"/>
    <w:rsid w:val="47D97FDF"/>
    <w:rsid w:val="47DA2F58"/>
    <w:rsid w:val="47DA5965"/>
    <w:rsid w:val="47DB3D58"/>
    <w:rsid w:val="47DB5B06"/>
    <w:rsid w:val="47DB778C"/>
    <w:rsid w:val="47DB78B4"/>
    <w:rsid w:val="47DC0AA5"/>
    <w:rsid w:val="47DC187E"/>
    <w:rsid w:val="47DC3E7E"/>
    <w:rsid w:val="47DC529C"/>
    <w:rsid w:val="47DD74FA"/>
    <w:rsid w:val="47DD7AD0"/>
    <w:rsid w:val="47DE1152"/>
    <w:rsid w:val="47DE55F6"/>
    <w:rsid w:val="47DE6D7A"/>
    <w:rsid w:val="47DE73A4"/>
    <w:rsid w:val="47DE7B5D"/>
    <w:rsid w:val="47DF2578"/>
    <w:rsid w:val="47DF460B"/>
    <w:rsid w:val="47E0229E"/>
    <w:rsid w:val="47E03C18"/>
    <w:rsid w:val="47E04C36"/>
    <w:rsid w:val="47E05EA0"/>
    <w:rsid w:val="47E1161E"/>
    <w:rsid w:val="47E179D2"/>
    <w:rsid w:val="47E210AF"/>
    <w:rsid w:val="47E32C0C"/>
    <w:rsid w:val="47E339CF"/>
    <w:rsid w:val="47E349BA"/>
    <w:rsid w:val="47E36768"/>
    <w:rsid w:val="47E401D1"/>
    <w:rsid w:val="47E449FA"/>
    <w:rsid w:val="47E524E0"/>
    <w:rsid w:val="47E532EE"/>
    <w:rsid w:val="47E552A8"/>
    <w:rsid w:val="47E5572E"/>
    <w:rsid w:val="47E56984"/>
    <w:rsid w:val="47E60F98"/>
    <w:rsid w:val="47E6311A"/>
    <w:rsid w:val="47E6466E"/>
    <w:rsid w:val="47E66258"/>
    <w:rsid w:val="47E668FA"/>
    <w:rsid w:val="47E66AAB"/>
    <w:rsid w:val="47E80223"/>
    <w:rsid w:val="47E81FD1"/>
    <w:rsid w:val="47E86474"/>
    <w:rsid w:val="47E8735E"/>
    <w:rsid w:val="47E929BD"/>
    <w:rsid w:val="47E95008"/>
    <w:rsid w:val="47E96DA6"/>
    <w:rsid w:val="47EA40F3"/>
    <w:rsid w:val="47EA43FA"/>
    <w:rsid w:val="47EA6100"/>
    <w:rsid w:val="47EA7AF7"/>
    <w:rsid w:val="47EB2161"/>
    <w:rsid w:val="47EB2B09"/>
    <w:rsid w:val="47EB3AA0"/>
    <w:rsid w:val="47EB6FAC"/>
    <w:rsid w:val="47EC625B"/>
    <w:rsid w:val="47EC7D13"/>
    <w:rsid w:val="47ED2FD9"/>
    <w:rsid w:val="47ED3A8B"/>
    <w:rsid w:val="47ED4A81"/>
    <w:rsid w:val="47EE053F"/>
    <w:rsid w:val="47EF15B1"/>
    <w:rsid w:val="47EF7803"/>
    <w:rsid w:val="47F0094B"/>
    <w:rsid w:val="47F00E85"/>
    <w:rsid w:val="47F03402"/>
    <w:rsid w:val="47F03F6B"/>
    <w:rsid w:val="47F04783"/>
    <w:rsid w:val="47F118FC"/>
    <w:rsid w:val="47F210A1"/>
    <w:rsid w:val="47F21C4B"/>
    <w:rsid w:val="47F22034"/>
    <w:rsid w:val="47F24A8C"/>
    <w:rsid w:val="47F24BFD"/>
    <w:rsid w:val="47F25917"/>
    <w:rsid w:val="47F26A04"/>
    <w:rsid w:val="47F33293"/>
    <w:rsid w:val="47F41EFC"/>
    <w:rsid w:val="47F43BEA"/>
    <w:rsid w:val="47F44E19"/>
    <w:rsid w:val="47F46BC7"/>
    <w:rsid w:val="47F622FE"/>
    <w:rsid w:val="47F646ED"/>
    <w:rsid w:val="47F70466"/>
    <w:rsid w:val="47F71E45"/>
    <w:rsid w:val="47F7280F"/>
    <w:rsid w:val="47F73F7B"/>
    <w:rsid w:val="47F76B92"/>
    <w:rsid w:val="47F81E0A"/>
    <w:rsid w:val="47F857B5"/>
    <w:rsid w:val="47F866B8"/>
    <w:rsid w:val="47F92430"/>
    <w:rsid w:val="47F941DE"/>
    <w:rsid w:val="47F953E6"/>
    <w:rsid w:val="47FB1C56"/>
    <w:rsid w:val="47FC0C05"/>
    <w:rsid w:val="47FC11A5"/>
    <w:rsid w:val="47FC396E"/>
    <w:rsid w:val="47FC6111"/>
    <w:rsid w:val="47FC782A"/>
    <w:rsid w:val="47FD3CCE"/>
    <w:rsid w:val="47FE17F4"/>
    <w:rsid w:val="47FE1C87"/>
    <w:rsid w:val="47FE35A2"/>
    <w:rsid w:val="47FE7A46"/>
    <w:rsid w:val="47FF1A67"/>
    <w:rsid w:val="47FF56FA"/>
    <w:rsid w:val="480015B7"/>
    <w:rsid w:val="48003002"/>
    <w:rsid w:val="4800556C"/>
    <w:rsid w:val="48006E83"/>
    <w:rsid w:val="48006F6A"/>
    <w:rsid w:val="4800731A"/>
    <w:rsid w:val="48010C03"/>
    <w:rsid w:val="48015FA1"/>
    <w:rsid w:val="480212E4"/>
    <w:rsid w:val="48024364"/>
    <w:rsid w:val="48026624"/>
    <w:rsid w:val="48027313"/>
    <w:rsid w:val="4803070C"/>
    <w:rsid w:val="4803505C"/>
    <w:rsid w:val="48036E0A"/>
    <w:rsid w:val="480375AF"/>
    <w:rsid w:val="480558D9"/>
    <w:rsid w:val="48066B36"/>
    <w:rsid w:val="48066D69"/>
    <w:rsid w:val="480713DE"/>
    <w:rsid w:val="48072039"/>
    <w:rsid w:val="48076F55"/>
    <w:rsid w:val="48081689"/>
    <w:rsid w:val="48082673"/>
    <w:rsid w:val="48082692"/>
    <w:rsid w:val="48082DCA"/>
    <w:rsid w:val="48084421"/>
    <w:rsid w:val="480846C7"/>
    <w:rsid w:val="48085C14"/>
    <w:rsid w:val="48087B11"/>
    <w:rsid w:val="4809075C"/>
    <w:rsid w:val="480908C5"/>
    <w:rsid w:val="480933A7"/>
    <w:rsid w:val="480956EA"/>
    <w:rsid w:val="480A0199"/>
    <w:rsid w:val="480A5BBA"/>
    <w:rsid w:val="480A5F6C"/>
    <w:rsid w:val="480A73F6"/>
    <w:rsid w:val="480D1814"/>
    <w:rsid w:val="480D1A37"/>
    <w:rsid w:val="480D34F4"/>
    <w:rsid w:val="480D6A28"/>
    <w:rsid w:val="480F3A01"/>
    <w:rsid w:val="480F4D12"/>
    <w:rsid w:val="480F57AF"/>
    <w:rsid w:val="480F6EB9"/>
    <w:rsid w:val="480F755D"/>
    <w:rsid w:val="480F7E76"/>
    <w:rsid w:val="48103A20"/>
    <w:rsid w:val="48103BC2"/>
    <w:rsid w:val="48104152"/>
    <w:rsid w:val="48107B00"/>
    <w:rsid w:val="48116446"/>
    <w:rsid w:val="481173B1"/>
    <w:rsid w:val="4812530C"/>
    <w:rsid w:val="481334F1"/>
    <w:rsid w:val="48141018"/>
    <w:rsid w:val="4814136D"/>
    <w:rsid w:val="48144CB2"/>
    <w:rsid w:val="48147269"/>
    <w:rsid w:val="48147E14"/>
    <w:rsid w:val="481608EC"/>
    <w:rsid w:val="4816212D"/>
    <w:rsid w:val="48166358"/>
    <w:rsid w:val="481728B6"/>
    <w:rsid w:val="48174664"/>
    <w:rsid w:val="48180B08"/>
    <w:rsid w:val="48183D4F"/>
    <w:rsid w:val="48193C2B"/>
    <w:rsid w:val="48195133"/>
    <w:rsid w:val="4819662E"/>
    <w:rsid w:val="48197D63"/>
    <w:rsid w:val="481A0002"/>
    <w:rsid w:val="481A57A9"/>
    <w:rsid w:val="481B109C"/>
    <w:rsid w:val="481B23A6"/>
    <w:rsid w:val="481C1C7A"/>
    <w:rsid w:val="481C286B"/>
    <w:rsid w:val="481C7631"/>
    <w:rsid w:val="481D241F"/>
    <w:rsid w:val="481E3C44"/>
    <w:rsid w:val="481E4E27"/>
    <w:rsid w:val="481E59F2"/>
    <w:rsid w:val="481E5F6E"/>
    <w:rsid w:val="481F0B6D"/>
    <w:rsid w:val="481F16CC"/>
    <w:rsid w:val="481F1DC1"/>
    <w:rsid w:val="481F54E2"/>
    <w:rsid w:val="48202A46"/>
    <w:rsid w:val="482129F5"/>
    <w:rsid w:val="48212BE3"/>
    <w:rsid w:val="48217291"/>
    <w:rsid w:val="48221986"/>
    <w:rsid w:val="48221A23"/>
    <w:rsid w:val="48222520"/>
    <w:rsid w:val="482249FF"/>
    <w:rsid w:val="482254E2"/>
    <w:rsid w:val="4822746E"/>
    <w:rsid w:val="48236291"/>
    <w:rsid w:val="48244099"/>
    <w:rsid w:val="48251C6A"/>
    <w:rsid w:val="48253782"/>
    <w:rsid w:val="48261581"/>
    <w:rsid w:val="48264B8E"/>
    <w:rsid w:val="48266033"/>
    <w:rsid w:val="48267077"/>
    <w:rsid w:val="48270A94"/>
    <w:rsid w:val="48272AF9"/>
    <w:rsid w:val="482739EF"/>
    <w:rsid w:val="48286871"/>
    <w:rsid w:val="482946B1"/>
    <w:rsid w:val="48297AD3"/>
    <w:rsid w:val="482A3F4C"/>
    <w:rsid w:val="482A512B"/>
    <w:rsid w:val="482A533B"/>
    <w:rsid w:val="482A7B83"/>
    <w:rsid w:val="482B1545"/>
    <w:rsid w:val="482B51BC"/>
    <w:rsid w:val="482B7D05"/>
    <w:rsid w:val="482C45B3"/>
    <w:rsid w:val="482C610A"/>
    <w:rsid w:val="482D5080"/>
    <w:rsid w:val="482E1EEE"/>
    <w:rsid w:val="482E20D9"/>
    <w:rsid w:val="482E3FF1"/>
    <w:rsid w:val="482E4C12"/>
    <w:rsid w:val="482F19AD"/>
    <w:rsid w:val="482F4911"/>
    <w:rsid w:val="48300B8D"/>
    <w:rsid w:val="48302395"/>
    <w:rsid w:val="4830289A"/>
    <w:rsid w:val="48311DB4"/>
    <w:rsid w:val="48312BFE"/>
    <w:rsid w:val="483136D4"/>
    <w:rsid w:val="48313978"/>
    <w:rsid w:val="48315726"/>
    <w:rsid w:val="48315F28"/>
    <w:rsid w:val="48316DCF"/>
    <w:rsid w:val="483231A6"/>
    <w:rsid w:val="48324F67"/>
    <w:rsid w:val="48334CF0"/>
    <w:rsid w:val="48335942"/>
    <w:rsid w:val="483376F0"/>
    <w:rsid w:val="48341402"/>
    <w:rsid w:val="483416BA"/>
    <w:rsid w:val="48345216"/>
    <w:rsid w:val="483461E5"/>
    <w:rsid w:val="48346632"/>
    <w:rsid w:val="48347A0A"/>
    <w:rsid w:val="48351D12"/>
    <w:rsid w:val="4835569B"/>
    <w:rsid w:val="48360F8E"/>
    <w:rsid w:val="48362D3C"/>
    <w:rsid w:val="483724A9"/>
    <w:rsid w:val="48382F58"/>
    <w:rsid w:val="483969EE"/>
    <w:rsid w:val="48396CD0"/>
    <w:rsid w:val="483A1661"/>
    <w:rsid w:val="483A1966"/>
    <w:rsid w:val="483A3E7D"/>
    <w:rsid w:val="483A5C59"/>
    <w:rsid w:val="483B1BA3"/>
    <w:rsid w:val="483B2A48"/>
    <w:rsid w:val="483B3085"/>
    <w:rsid w:val="483B60D2"/>
    <w:rsid w:val="483C014C"/>
    <w:rsid w:val="483D40CA"/>
    <w:rsid w:val="483E6113"/>
    <w:rsid w:val="483E7E7D"/>
    <w:rsid w:val="483F3B01"/>
    <w:rsid w:val="483F42E6"/>
    <w:rsid w:val="483F44A0"/>
    <w:rsid w:val="483F48B4"/>
    <w:rsid w:val="483F581F"/>
    <w:rsid w:val="4840005F"/>
    <w:rsid w:val="48401E0D"/>
    <w:rsid w:val="48403BBB"/>
    <w:rsid w:val="48403CD7"/>
    <w:rsid w:val="48413F3C"/>
    <w:rsid w:val="48415908"/>
    <w:rsid w:val="484216E1"/>
    <w:rsid w:val="48422CAA"/>
    <w:rsid w:val="48425B85"/>
    <w:rsid w:val="48427933"/>
    <w:rsid w:val="4843227E"/>
    <w:rsid w:val="484336AB"/>
    <w:rsid w:val="48435459"/>
    <w:rsid w:val="484418DC"/>
    <w:rsid w:val="484418FD"/>
    <w:rsid w:val="484420B1"/>
    <w:rsid w:val="48457423"/>
    <w:rsid w:val="48463878"/>
    <w:rsid w:val="48467EE9"/>
    <w:rsid w:val="4847086D"/>
    <w:rsid w:val="484713ED"/>
    <w:rsid w:val="48474613"/>
    <w:rsid w:val="484820BD"/>
    <w:rsid w:val="48482A6F"/>
    <w:rsid w:val="48482BD4"/>
    <w:rsid w:val="4848386C"/>
    <w:rsid w:val="484841A9"/>
    <w:rsid w:val="4848451F"/>
    <w:rsid w:val="48485E62"/>
    <w:rsid w:val="48496F13"/>
    <w:rsid w:val="484A2E59"/>
    <w:rsid w:val="484A4A39"/>
    <w:rsid w:val="484A67E7"/>
    <w:rsid w:val="484A77A0"/>
    <w:rsid w:val="484B0905"/>
    <w:rsid w:val="484C175E"/>
    <w:rsid w:val="484C3116"/>
    <w:rsid w:val="484C63F2"/>
    <w:rsid w:val="484C6A03"/>
    <w:rsid w:val="484D3BD3"/>
    <w:rsid w:val="484D45B0"/>
    <w:rsid w:val="484D62D8"/>
    <w:rsid w:val="484E1338"/>
    <w:rsid w:val="484E72FA"/>
    <w:rsid w:val="484E7BF9"/>
    <w:rsid w:val="484F02A2"/>
    <w:rsid w:val="484F1804"/>
    <w:rsid w:val="484F2050"/>
    <w:rsid w:val="484F3DFE"/>
    <w:rsid w:val="484F436A"/>
    <w:rsid w:val="484F781F"/>
    <w:rsid w:val="4850472D"/>
    <w:rsid w:val="48517241"/>
    <w:rsid w:val="48523C7F"/>
    <w:rsid w:val="48524A37"/>
    <w:rsid w:val="48533584"/>
    <w:rsid w:val="485350A5"/>
    <w:rsid w:val="48536C35"/>
    <w:rsid w:val="48537D92"/>
    <w:rsid w:val="48540850"/>
    <w:rsid w:val="48541414"/>
    <w:rsid w:val="48547666"/>
    <w:rsid w:val="485564CD"/>
    <w:rsid w:val="48564F54"/>
    <w:rsid w:val="48573D01"/>
    <w:rsid w:val="48575181"/>
    <w:rsid w:val="485779F4"/>
    <w:rsid w:val="485853A8"/>
    <w:rsid w:val="48587156"/>
    <w:rsid w:val="48590997"/>
    <w:rsid w:val="48592ECE"/>
    <w:rsid w:val="485A035C"/>
    <w:rsid w:val="485B27A2"/>
    <w:rsid w:val="485B4F92"/>
    <w:rsid w:val="485B6C46"/>
    <w:rsid w:val="485C0671"/>
    <w:rsid w:val="485C1423"/>
    <w:rsid w:val="485D29BF"/>
    <w:rsid w:val="485D3431"/>
    <w:rsid w:val="485D78B2"/>
    <w:rsid w:val="485E2293"/>
    <w:rsid w:val="485F13CA"/>
    <w:rsid w:val="485F1C05"/>
    <w:rsid w:val="48601329"/>
    <w:rsid w:val="486038A6"/>
    <w:rsid w:val="4860425D"/>
    <w:rsid w:val="48607053"/>
    <w:rsid w:val="48623B31"/>
    <w:rsid w:val="4862602D"/>
    <w:rsid w:val="48633724"/>
    <w:rsid w:val="486362F5"/>
    <w:rsid w:val="4863723F"/>
    <w:rsid w:val="48645AFB"/>
    <w:rsid w:val="486518B6"/>
    <w:rsid w:val="48655C70"/>
    <w:rsid w:val="48657235"/>
    <w:rsid w:val="48657AC5"/>
    <w:rsid w:val="4866256E"/>
    <w:rsid w:val="486637E6"/>
    <w:rsid w:val="48672DD1"/>
    <w:rsid w:val="48675555"/>
    <w:rsid w:val="486755EB"/>
    <w:rsid w:val="48677399"/>
    <w:rsid w:val="486814F4"/>
    <w:rsid w:val="48686106"/>
    <w:rsid w:val="486A0C38"/>
    <w:rsid w:val="486B0E35"/>
    <w:rsid w:val="486B1193"/>
    <w:rsid w:val="486B4A87"/>
    <w:rsid w:val="486C0702"/>
    <w:rsid w:val="486C0E54"/>
    <w:rsid w:val="486C2C02"/>
    <w:rsid w:val="486C49B0"/>
    <w:rsid w:val="486D0AE8"/>
    <w:rsid w:val="486D52FD"/>
    <w:rsid w:val="486D73A7"/>
    <w:rsid w:val="486E2835"/>
    <w:rsid w:val="486E443B"/>
    <w:rsid w:val="486E697A"/>
    <w:rsid w:val="486F05D1"/>
    <w:rsid w:val="486F21F4"/>
    <w:rsid w:val="48701EB5"/>
    <w:rsid w:val="4870272E"/>
    <w:rsid w:val="48711A69"/>
    <w:rsid w:val="487150F9"/>
    <w:rsid w:val="487171B8"/>
    <w:rsid w:val="48741AB6"/>
    <w:rsid w:val="48742876"/>
    <w:rsid w:val="487448E8"/>
    <w:rsid w:val="48745B01"/>
    <w:rsid w:val="48750D69"/>
    <w:rsid w:val="48755B9A"/>
    <w:rsid w:val="48757D08"/>
    <w:rsid w:val="48760E5F"/>
    <w:rsid w:val="48763A80"/>
    <w:rsid w:val="4876582E"/>
    <w:rsid w:val="48767229"/>
    <w:rsid w:val="487675DC"/>
    <w:rsid w:val="487815A6"/>
    <w:rsid w:val="48785BFB"/>
    <w:rsid w:val="4879053A"/>
    <w:rsid w:val="48790E7B"/>
    <w:rsid w:val="48791073"/>
    <w:rsid w:val="487948F7"/>
    <w:rsid w:val="487970CD"/>
    <w:rsid w:val="487A2FF8"/>
    <w:rsid w:val="487A531F"/>
    <w:rsid w:val="487A69FC"/>
    <w:rsid w:val="487B4F9E"/>
    <w:rsid w:val="487B5562"/>
    <w:rsid w:val="487C3FEE"/>
    <w:rsid w:val="487C5459"/>
    <w:rsid w:val="487D096B"/>
    <w:rsid w:val="487D6BBD"/>
    <w:rsid w:val="487D6E9C"/>
    <w:rsid w:val="487E45E0"/>
    <w:rsid w:val="487F7FF2"/>
    <w:rsid w:val="48802209"/>
    <w:rsid w:val="488066AD"/>
    <w:rsid w:val="48811D03"/>
    <w:rsid w:val="488162D3"/>
    <w:rsid w:val="488217F2"/>
    <w:rsid w:val="48822425"/>
    <w:rsid w:val="4882353B"/>
    <w:rsid w:val="48823938"/>
    <w:rsid w:val="48831CF9"/>
    <w:rsid w:val="48832815"/>
    <w:rsid w:val="48834259"/>
    <w:rsid w:val="488352B7"/>
    <w:rsid w:val="48840529"/>
    <w:rsid w:val="48840FB8"/>
    <w:rsid w:val="488425FC"/>
    <w:rsid w:val="48842BB3"/>
    <w:rsid w:val="48850625"/>
    <w:rsid w:val="488535CA"/>
    <w:rsid w:val="48853CC3"/>
    <w:rsid w:val="48855264"/>
    <w:rsid w:val="48855A71"/>
    <w:rsid w:val="4886168F"/>
    <w:rsid w:val="48863E0A"/>
    <w:rsid w:val="48864FD7"/>
    <w:rsid w:val="48870344"/>
    <w:rsid w:val="48877A3B"/>
    <w:rsid w:val="488820AE"/>
    <w:rsid w:val="48883F5F"/>
    <w:rsid w:val="48890D0E"/>
    <w:rsid w:val="488937B4"/>
    <w:rsid w:val="4889543F"/>
    <w:rsid w:val="48896B80"/>
    <w:rsid w:val="48897310"/>
    <w:rsid w:val="488B752C"/>
    <w:rsid w:val="488C0C0D"/>
    <w:rsid w:val="488C15B3"/>
    <w:rsid w:val="488C18AE"/>
    <w:rsid w:val="488C32A4"/>
    <w:rsid w:val="488C373D"/>
    <w:rsid w:val="488C5052"/>
    <w:rsid w:val="488D3164"/>
    <w:rsid w:val="488E1DE3"/>
    <w:rsid w:val="488E1FA2"/>
    <w:rsid w:val="488E4926"/>
    <w:rsid w:val="488E5E66"/>
    <w:rsid w:val="488F532C"/>
    <w:rsid w:val="488F717B"/>
    <w:rsid w:val="48900E4B"/>
    <w:rsid w:val="48904BC8"/>
    <w:rsid w:val="48905312"/>
    <w:rsid w:val="4891078D"/>
    <w:rsid w:val="48912668"/>
    <w:rsid w:val="48914416"/>
    <w:rsid w:val="48931F3C"/>
    <w:rsid w:val="48932B8A"/>
    <w:rsid w:val="4894000C"/>
    <w:rsid w:val="48943C93"/>
    <w:rsid w:val="489456D0"/>
    <w:rsid w:val="4894639D"/>
    <w:rsid w:val="48961184"/>
    <w:rsid w:val="48961963"/>
    <w:rsid w:val="48961A2D"/>
    <w:rsid w:val="48965ED0"/>
    <w:rsid w:val="4896718C"/>
    <w:rsid w:val="4896764F"/>
    <w:rsid w:val="489723B6"/>
    <w:rsid w:val="48972614"/>
    <w:rsid w:val="489727C8"/>
    <w:rsid w:val="48981C49"/>
    <w:rsid w:val="48987DA5"/>
    <w:rsid w:val="489932CB"/>
    <w:rsid w:val="489A06AD"/>
    <w:rsid w:val="489A151D"/>
    <w:rsid w:val="489A39DB"/>
    <w:rsid w:val="489A5D1F"/>
    <w:rsid w:val="489A68C8"/>
    <w:rsid w:val="489A7086"/>
    <w:rsid w:val="489A74AD"/>
    <w:rsid w:val="489A776F"/>
    <w:rsid w:val="489B34E7"/>
    <w:rsid w:val="489B3856"/>
    <w:rsid w:val="489B7043"/>
    <w:rsid w:val="489C0AAB"/>
    <w:rsid w:val="489D1132"/>
    <w:rsid w:val="489D2DBB"/>
    <w:rsid w:val="489D5CBF"/>
    <w:rsid w:val="489D6486"/>
    <w:rsid w:val="489D725F"/>
    <w:rsid w:val="489E7916"/>
    <w:rsid w:val="489F0FFE"/>
    <w:rsid w:val="489F2FD7"/>
    <w:rsid w:val="489F3DF5"/>
    <w:rsid w:val="489F4D85"/>
    <w:rsid w:val="48A00AFD"/>
    <w:rsid w:val="48A0169B"/>
    <w:rsid w:val="48A028AB"/>
    <w:rsid w:val="48A04F79"/>
    <w:rsid w:val="48A06F69"/>
    <w:rsid w:val="48A203D1"/>
    <w:rsid w:val="48A2301B"/>
    <w:rsid w:val="48A24875"/>
    <w:rsid w:val="48A26614"/>
    <w:rsid w:val="48A30BB7"/>
    <w:rsid w:val="48A31C82"/>
    <w:rsid w:val="48A341E1"/>
    <w:rsid w:val="48A37F90"/>
    <w:rsid w:val="48A405ED"/>
    <w:rsid w:val="48A44912"/>
    <w:rsid w:val="48A50AE2"/>
    <w:rsid w:val="48A51C70"/>
    <w:rsid w:val="48A56114"/>
    <w:rsid w:val="48A577C5"/>
    <w:rsid w:val="48A60C4B"/>
    <w:rsid w:val="48A64317"/>
    <w:rsid w:val="48A64365"/>
    <w:rsid w:val="48A67538"/>
    <w:rsid w:val="48A67773"/>
    <w:rsid w:val="48A67F37"/>
    <w:rsid w:val="48A71E8C"/>
    <w:rsid w:val="48A75B34"/>
    <w:rsid w:val="48A92C89"/>
    <w:rsid w:val="48A94A29"/>
    <w:rsid w:val="48A9531F"/>
    <w:rsid w:val="48A95C04"/>
    <w:rsid w:val="48AA4E97"/>
    <w:rsid w:val="48AA5240"/>
    <w:rsid w:val="48AA54D8"/>
    <w:rsid w:val="48AB197C"/>
    <w:rsid w:val="48AB1FA9"/>
    <w:rsid w:val="48AB372A"/>
    <w:rsid w:val="48AC07D9"/>
    <w:rsid w:val="48AC1250"/>
    <w:rsid w:val="48AC74A2"/>
    <w:rsid w:val="48AD1C1C"/>
    <w:rsid w:val="48AD2BB1"/>
    <w:rsid w:val="48AD7EB1"/>
    <w:rsid w:val="48AE59D5"/>
    <w:rsid w:val="48AE6D76"/>
    <w:rsid w:val="48AF7E4F"/>
    <w:rsid w:val="48B00D40"/>
    <w:rsid w:val="48B06B47"/>
    <w:rsid w:val="48B06F92"/>
    <w:rsid w:val="48B102D4"/>
    <w:rsid w:val="48B11A2E"/>
    <w:rsid w:val="48B12662"/>
    <w:rsid w:val="48B12D0A"/>
    <w:rsid w:val="48B14AB8"/>
    <w:rsid w:val="48B17EE2"/>
    <w:rsid w:val="48B20663"/>
    <w:rsid w:val="48B2260A"/>
    <w:rsid w:val="48B3438D"/>
    <w:rsid w:val="48B35F73"/>
    <w:rsid w:val="48B40105"/>
    <w:rsid w:val="48B4470D"/>
    <w:rsid w:val="48B545A9"/>
    <w:rsid w:val="48B55EDD"/>
    <w:rsid w:val="48B60321"/>
    <w:rsid w:val="48B620CF"/>
    <w:rsid w:val="48B63E7D"/>
    <w:rsid w:val="48B640A1"/>
    <w:rsid w:val="48B65303"/>
    <w:rsid w:val="48B66031"/>
    <w:rsid w:val="48B73CFC"/>
    <w:rsid w:val="48B84099"/>
    <w:rsid w:val="48B85E47"/>
    <w:rsid w:val="48B86E34"/>
    <w:rsid w:val="48B87BF5"/>
    <w:rsid w:val="48B94FFB"/>
    <w:rsid w:val="48B9571B"/>
    <w:rsid w:val="48BA2B87"/>
    <w:rsid w:val="48BA47F7"/>
    <w:rsid w:val="48BB1493"/>
    <w:rsid w:val="48BB438D"/>
    <w:rsid w:val="48BB6E3E"/>
    <w:rsid w:val="48BB76E5"/>
    <w:rsid w:val="48BD0481"/>
    <w:rsid w:val="48BD16AF"/>
    <w:rsid w:val="48BD345D"/>
    <w:rsid w:val="48BD4198"/>
    <w:rsid w:val="48BD4FB2"/>
    <w:rsid w:val="48BD520B"/>
    <w:rsid w:val="48BE15C6"/>
    <w:rsid w:val="48BF2D31"/>
    <w:rsid w:val="48BF514C"/>
    <w:rsid w:val="48C017F9"/>
    <w:rsid w:val="48C07896"/>
    <w:rsid w:val="48C12F4D"/>
    <w:rsid w:val="48C20A74"/>
    <w:rsid w:val="48C21E0A"/>
    <w:rsid w:val="48C2259C"/>
    <w:rsid w:val="48C22822"/>
    <w:rsid w:val="48C30F03"/>
    <w:rsid w:val="48C4659A"/>
    <w:rsid w:val="48C52312"/>
    <w:rsid w:val="48C52A88"/>
    <w:rsid w:val="48C61D6E"/>
    <w:rsid w:val="48C62FBC"/>
    <w:rsid w:val="48C663AF"/>
    <w:rsid w:val="48C742DC"/>
    <w:rsid w:val="48C755D8"/>
    <w:rsid w:val="48C75ACF"/>
    <w:rsid w:val="48C7608A"/>
    <w:rsid w:val="48C86725"/>
    <w:rsid w:val="48C90054"/>
    <w:rsid w:val="48C935BF"/>
    <w:rsid w:val="48C93BB0"/>
    <w:rsid w:val="48C97A69"/>
    <w:rsid w:val="48CB20B8"/>
    <w:rsid w:val="48CB3DCC"/>
    <w:rsid w:val="48CB55FA"/>
    <w:rsid w:val="48CC544E"/>
    <w:rsid w:val="48CC653A"/>
    <w:rsid w:val="48CD3873"/>
    <w:rsid w:val="48CD3E24"/>
    <w:rsid w:val="48CE11C6"/>
    <w:rsid w:val="48CE3503"/>
    <w:rsid w:val="48CE7418"/>
    <w:rsid w:val="48CF7E4A"/>
    <w:rsid w:val="48D013E2"/>
    <w:rsid w:val="48D027A5"/>
    <w:rsid w:val="48D04989"/>
    <w:rsid w:val="48D04C93"/>
    <w:rsid w:val="48D04F3E"/>
    <w:rsid w:val="48D079F1"/>
    <w:rsid w:val="48D1000A"/>
    <w:rsid w:val="48D11CAA"/>
    <w:rsid w:val="48D125A1"/>
    <w:rsid w:val="48D12A65"/>
    <w:rsid w:val="48D16F09"/>
    <w:rsid w:val="48D17EB4"/>
    <w:rsid w:val="48D30AEF"/>
    <w:rsid w:val="48D3130D"/>
    <w:rsid w:val="48D31904"/>
    <w:rsid w:val="48D3318F"/>
    <w:rsid w:val="48D34A2F"/>
    <w:rsid w:val="48D34F31"/>
    <w:rsid w:val="48D428A2"/>
    <w:rsid w:val="48D4336B"/>
    <w:rsid w:val="48D525B6"/>
    <w:rsid w:val="48D569F9"/>
    <w:rsid w:val="48D6279C"/>
    <w:rsid w:val="48D6451F"/>
    <w:rsid w:val="48D662CD"/>
    <w:rsid w:val="48D6720F"/>
    <w:rsid w:val="48D710FA"/>
    <w:rsid w:val="48D7293E"/>
    <w:rsid w:val="48D80297"/>
    <w:rsid w:val="48D80AA5"/>
    <w:rsid w:val="48D80F37"/>
    <w:rsid w:val="48D82045"/>
    <w:rsid w:val="48D82712"/>
    <w:rsid w:val="48D836CD"/>
    <w:rsid w:val="48D936A8"/>
    <w:rsid w:val="48D93B61"/>
    <w:rsid w:val="48D93BA5"/>
    <w:rsid w:val="48D970B1"/>
    <w:rsid w:val="48DA6428"/>
    <w:rsid w:val="48DB1B35"/>
    <w:rsid w:val="48DB38E3"/>
    <w:rsid w:val="48DD035C"/>
    <w:rsid w:val="48DD2DF1"/>
    <w:rsid w:val="48DD58AD"/>
    <w:rsid w:val="48DE22FE"/>
    <w:rsid w:val="48DF1625"/>
    <w:rsid w:val="48DF1660"/>
    <w:rsid w:val="48DF2EB0"/>
    <w:rsid w:val="48DF33D4"/>
    <w:rsid w:val="48DF7244"/>
    <w:rsid w:val="48E0229A"/>
    <w:rsid w:val="48E0616F"/>
    <w:rsid w:val="48E076C9"/>
    <w:rsid w:val="48E11FE9"/>
    <w:rsid w:val="48E12982"/>
    <w:rsid w:val="48E1372A"/>
    <w:rsid w:val="48E30ED1"/>
    <w:rsid w:val="48E31676"/>
    <w:rsid w:val="48E3798F"/>
    <w:rsid w:val="48E431CA"/>
    <w:rsid w:val="48E44E8E"/>
    <w:rsid w:val="48E474DA"/>
    <w:rsid w:val="48E50991"/>
    <w:rsid w:val="48E56510"/>
    <w:rsid w:val="48E57678"/>
    <w:rsid w:val="48E626B6"/>
    <w:rsid w:val="48E72288"/>
    <w:rsid w:val="48E7672C"/>
    <w:rsid w:val="48E8206D"/>
    <w:rsid w:val="48E90838"/>
    <w:rsid w:val="48E92155"/>
    <w:rsid w:val="48E924A4"/>
    <w:rsid w:val="48E94252"/>
    <w:rsid w:val="48E96000"/>
    <w:rsid w:val="48E96E30"/>
    <w:rsid w:val="48EA1689"/>
    <w:rsid w:val="48EA4D4F"/>
    <w:rsid w:val="48EB0D13"/>
    <w:rsid w:val="48EB16F0"/>
    <w:rsid w:val="48EB1D78"/>
    <w:rsid w:val="48EB621C"/>
    <w:rsid w:val="48EB7FCA"/>
    <w:rsid w:val="48EC396C"/>
    <w:rsid w:val="48EC3D42"/>
    <w:rsid w:val="48EC5AF0"/>
    <w:rsid w:val="48EC789E"/>
    <w:rsid w:val="48ED1CCD"/>
    <w:rsid w:val="48EE5167"/>
    <w:rsid w:val="48EF79DD"/>
    <w:rsid w:val="48F03833"/>
    <w:rsid w:val="48F044EA"/>
    <w:rsid w:val="48F055E1"/>
    <w:rsid w:val="48F05FA7"/>
    <w:rsid w:val="48F10807"/>
    <w:rsid w:val="48F13107"/>
    <w:rsid w:val="48F14EB5"/>
    <w:rsid w:val="48F167C7"/>
    <w:rsid w:val="48F21359"/>
    <w:rsid w:val="48F22A5D"/>
    <w:rsid w:val="48F30BBC"/>
    <w:rsid w:val="48F30C2D"/>
    <w:rsid w:val="48F30D3D"/>
    <w:rsid w:val="48F32BEA"/>
    <w:rsid w:val="48F34668"/>
    <w:rsid w:val="48F36E7F"/>
    <w:rsid w:val="48F50E49"/>
    <w:rsid w:val="48F52BF7"/>
    <w:rsid w:val="48F6071D"/>
    <w:rsid w:val="48F61D17"/>
    <w:rsid w:val="48F74BC1"/>
    <w:rsid w:val="48F75950"/>
    <w:rsid w:val="48F80521"/>
    <w:rsid w:val="48F826E7"/>
    <w:rsid w:val="48F84495"/>
    <w:rsid w:val="48F95E36"/>
    <w:rsid w:val="48F97C49"/>
    <w:rsid w:val="48FA020D"/>
    <w:rsid w:val="48FA1FBB"/>
    <w:rsid w:val="48FA6372"/>
    <w:rsid w:val="48FA645F"/>
    <w:rsid w:val="48FB0953"/>
    <w:rsid w:val="48FB41C9"/>
    <w:rsid w:val="48FB5D34"/>
    <w:rsid w:val="48FB5E78"/>
    <w:rsid w:val="48FC21D7"/>
    <w:rsid w:val="48FC35CC"/>
    <w:rsid w:val="48FC7900"/>
    <w:rsid w:val="48FD049F"/>
    <w:rsid w:val="48FD05A2"/>
    <w:rsid w:val="48FD385A"/>
    <w:rsid w:val="48FD5F50"/>
    <w:rsid w:val="48FE25C9"/>
    <w:rsid w:val="48FE2AFB"/>
    <w:rsid w:val="48FF75D2"/>
    <w:rsid w:val="49000143"/>
    <w:rsid w:val="490019CF"/>
    <w:rsid w:val="49001FC6"/>
    <w:rsid w:val="4900334A"/>
    <w:rsid w:val="490037F4"/>
    <w:rsid w:val="49003E49"/>
    <w:rsid w:val="490115D2"/>
    <w:rsid w:val="490125BD"/>
    <w:rsid w:val="49022A62"/>
    <w:rsid w:val="490268FD"/>
    <w:rsid w:val="4902753E"/>
    <w:rsid w:val="49031920"/>
    <w:rsid w:val="490347AA"/>
    <w:rsid w:val="49035633"/>
    <w:rsid w:val="4904108C"/>
    <w:rsid w:val="49041B90"/>
    <w:rsid w:val="49042E3A"/>
    <w:rsid w:val="49044BE8"/>
    <w:rsid w:val="4905177A"/>
    <w:rsid w:val="49057F53"/>
    <w:rsid w:val="49070598"/>
    <w:rsid w:val="49071918"/>
    <w:rsid w:val="49072075"/>
    <w:rsid w:val="4907292A"/>
    <w:rsid w:val="49075B6C"/>
    <w:rsid w:val="4908675A"/>
    <w:rsid w:val="49090450"/>
    <w:rsid w:val="490911CB"/>
    <w:rsid w:val="49091D7C"/>
    <w:rsid w:val="490948F4"/>
    <w:rsid w:val="49094FFB"/>
    <w:rsid w:val="490966A2"/>
    <w:rsid w:val="490A1F2C"/>
    <w:rsid w:val="490B3B57"/>
    <w:rsid w:val="490B7D44"/>
    <w:rsid w:val="490C1A8F"/>
    <w:rsid w:val="490C1CEF"/>
    <w:rsid w:val="490D1094"/>
    <w:rsid w:val="490D2A70"/>
    <w:rsid w:val="490E2EFC"/>
    <w:rsid w:val="49105066"/>
    <w:rsid w:val="49105C83"/>
    <w:rsid w:val="49106A68"/>
    <w:rsid w:val="49107A31"/>
    <w:rsid w:val="49115557"/>
    <w:rsid w:val="491164F6"/>
    <w:rsid w:val="49120DF4"/>
    <w:rsid w:val="49121EEA"/>
    <w:rsid w:val="49122725"/>
    <w:rsid w:val="491237A9"/>
    <w:rsid w:val="491246D0"/>
    <w:rsid w:val="49125524"/>
    <w:rsid w:val="49125B3D"/>
    <w:rsid w:val="491339E7"/>
    <w:rsid w:val="4914045F"/>
    <w:rsid w:val="49144C4F"/>
    <w:rsid w:val="49150CD8"/>
    <w:rsid w:val="491513A5"/>
    <w:rsid w:val="49151A70"/>
    <w:rsid w:val="49152795"/>
    <w:rsid w:val="49156DF5"/>
    <w:rsid w:val="49161781"/>
    <w:rsid w:val="4916491B"/>
    <w:rsid w:val="49172B6D"/>
    <w:rsid w:val="4917379D"/>
    <w:rsid w:val="49177011"/>
    <w:rsid w:val="491843BB"/>
    <w:rsid w:val="49184C88"/>
    <w:rsid w:val="491868E5"/>
    <w:rsid w:val="49191969"/>
    <w:rsid w:val="491A07DB"/>
    <w:rsid w:val="491A440C"/>
    <w:rsid w:val="491B1D88"/>
    <w:rsid w:val="491B38B1"/>
    <w:rsid w:val="491C3795"/>
    <w:rsid w:val="491C63D6"/>
    <w:rsid w:val="491D1296"/>
    <w:rsid w:val="491D3EFC"/>
    <w:rsid w:val="491D766A"/>
    <w:rsid w:val="491E1998"/>
    <w:rsid w:val="491E223B"/>
    <w:rsid w:val="491F1A22"/>
    <w:rsid w:val="491F1F8A"/>
    <w:rsid w:val="491F331C"/>
    <w:rsid w:val="491F37A0"/>
    <w:rsid w:val="491F5EC6"/>
    <w:rsid w:val="491F7C74"/>
    <w:rsid w:val="492054B4"/>
    <w:rsid w:val="49206389"/>
    <w:rsid w:val="49211C3E"/>
    <w:rsid w:val="4922090B"/>
    <w:rsid w:val="49221512"/>
    <w:rsid w:val="4922204C"/>
    <w:rsid w:val="49227764"/>
    <w:rsid w:val="4923483F"/>
    <w:rsid w:val="49236EB7"/>
    <w:rsid w:val="492434DC"/>
    <w:rsid w:val="49245B31"/>
    <w:rsid w:val="492476AB"/>
    <w:rsid w:val="492507A1"/>
    <w:rsid w:val="4925753D"/>
    <w:rsid w:val="49260292"/>
    <w:rsid w:val="49260AEC"/>
    <w:rsid w:val="49267254"/>
    <w:rsid w:val="4926728C"/>
    <w:rsid w:val="49276B29"/>
    <w:rsid w:val="49282FCC"/>
    <w:rsid w:val="49283EF6"/>
    <w:rsid w:val="4928477D"/>
    <w:rsid w:val="49284D7B"/>
    <w:rsid w:val="49290AF3"/>
    <w:rsid w:val="49296D45"/>
    <w:rsid w:val="492A07DE"/>
    <w:rsid w:val="492A3F12"/>
    <w:rsid w:val="492B03C7"/>
    <w:rsid w:val="492B0EAD"/>
    <w:rsid w:val="492B67EB"/>
    <w:rsid w:val="492B6C47"/>
    <w:rsid w:val="492C5DD4"/>
    <w:rsid w:val="492D296F"/>
    <w:rsid w:val="492D458E"/>
    <w:rsid w:val="492E4754"/>
    <w:rsid w:val="49301E81"/>
    <w:rsid w:val="49303C2F"/>
    <w:rsid w:val="49305CE7"/>
    <w:rsid w:val="493078C5"/>
    <w:rsid w:val="4931120E"/>
    <w:rsid w:val="49311755"/>
    <w:rsid w:val="493127F5"/>
    <w:rsid w:val="49315F6B"/>
    <w:rsid w:val="493317BA"/>
    <w:rsid w:val="49331971"/>
    <w:rsid w:val="493351B2"/>
    <w:rsid w:val="49335A35"/>
    <w:rsid w:val="49341C01"/>
    <w:rsid w:val="49342E74"/>
    <w:rsid w:val="49350A2A"/>
    <w:rsid w:val="49351A18"/>
    <w:rsid w:val="49357497"/>
    <w:rsid w:val="493648DD"/>
    <w:rsid w:val="4936582A"/>
    <w:rsid w:val="49373210"/>
    <w:rsid w:val="49374D6D"/>
    <w:rsid w:val="4938292D"/>
    <w:rsid w:val="49382AE4"/>
    <w:rsid w:val="49386700"/>
    <w:rsid w:val="49396F88"/>
    <w:rsid w:val="493A2D00"/>
    <w:rsid w:val="493A4AAE"/>
    <w:rsid w:val="493C25D4"/>
    <w:rsid w:val="493C4382"/>
    <w:rsid w:val="493E00E4"/>
    <w:rsid w:val="493E0A83"/>
    <w:rsid w:val="493E459E"/>
    <w:rsid w:val="493E4F67"/>
    <w:rsid w:val="493E599D"/>
    <w:rsid w:val="493F20C4"/>
    <w:rsid w:val="493F3E72"/>
    <w:rsid w:val="49402FEB"/>
    <w:rsid w:val="494035B4"/>
    <w:rsid w:val="49404905"/>
    <w:rsid w:val="494055D5"/>
    <w:rsid w:val="4941408E"/>
    <w:rsid w:val="49417BEA"/>
    <w:rsid w:val="49423962"/>
    <w:rsid w:val="49423C9C"/>
    <w:rsid w:val="49425710"/>
    <w:rsid w:val="49425E50"/>
    <w:rsid w:val="49431A4D"/>
    <w:rsid w:val="49431BB4"/>
    <w:rsid w:val="49433D88"/>
    <w:rsid w:val="49441A0C"/>
    <w:rsid w:val="49443B8A"/>
    <w:rsid w:val="49457586"/>
    <w:rsid w:val="494616A5"/>
    <w:rsid w:val="4946789C"/>
    <w:rsid w:val="49470BAF"/>
    <w:rsid w:val="49473A6B"/>
    <w:rsid w:val="49474F7F"/>
    <w:rsid w:val="49475D01"/>
    <w:rsid w:val="49477BE3"/>
    <w:rsid w:val="49483D67"/>
    <w:rsid w:val="49490EB7"/>
    <w:rsid w:val="49492D77"/>
    <w:rsid w:val="494A0382"/>
    <w:rsid w:val="494A7DC8"/>
    <w:rsid w:val="494B6CBB"/>
    <w:rsid w:val="494C0609"/>
    <w:rsid w:val="494C26D0"/>
    <w:rsid w:val="494C435E"/>
    <w:rsid w:val="494C6C37"/>
    <w:rsid w:val="494D5B77"/>
    <w:rsid w:val="494D658F"/>
    <w:rsid w:val="494E0559"/>
    <w:rsid w:val="494E5744"/>
    <w:rsid w:val="494F67AB"/>
    <w:rsid w:val="495042D1"/>
    <w:rsid w:val="4950607F"/>
    <w:rsid w:val="49506749"/>
    <w:rsid w:val="49506891"/>
    <w:rsid w:val="49507689"/>
    <w:rsid w:val="49507E2D"/>
    <w:rsid w:val="49520049"/>
    <w:rsid w:val="49531B73"/>
    <w:rsid w:val="495434A1"/>
    <w:rsid w:val="49543A4B"/>
    <w:rsid w:val="49546FB8"/>
    <w:rsid w:val="49555444"/>
    <w:rsid w:val="4956636B"/>
    <w:rsid w:val="49573B45"/>
    <w:rsid w:val="49573D2A"/>
    <w:rsid w:val="495770F6"/>
    <w:rsid w:val="4957740E"/>
    <w:rsid w:val="495806A6"/>
    <w:rsid w:val="49583186"/>
    <w:rsid w:val="4958385C"/>
    <w:rsid w:val="49584F34"/>
    <w:rsid w:val="49590FD1"/>
    <w:rsid w:val="495913D8"/>
    <w:rsid w:val="49592115"/>
    <w:rsid w:val="49594CEC"/>
    <w:rsid w:val="495A2754"/>
    <w:rsid w:val="495B18F1"/>
    <w:rsid w:val="495B2AA9"/>
    <w:rsid w:val="495C20AE"/>
    <w:rsid w:val="495C5B79"/>
    <w:rsid w:val="495C67D2"/>
    <w:rsid w:val="495D254A"/>
    <w:rsid w:val="495D3071"/>
    <w:rsid w:val="495D5D25"/>
    <w:rsid w:val="495E5A1F"/>
    <w:rsid w:val="495F0B5E"/>
    <w:rsid w:val="495F4514"/>
    <w:rsid w:val="495F62C2"/>
    <w:rsid w:val="495F741D"/>
    <w:rsid w:val="49602F8D"/>
    <w:rsid w:val="496041B8"/>
    <w:rsid w:val="496076FB"/>
    <w:rsid w:val="4961028C"/>
    <w:rsid w:val="496115BD"/>
    <w:rsid w:val="4961203A"/>
    <w:rsid w:val="49613DC1"/>
    <w:rsid w:val="4961604F"/>
    <w:rsid w:val="49616443"/>
    <w:rsid w:val="496168F1"/>
    <w:rsid w:val="496206AA"/>
    <w:rsid w:val="49635DB3"/>
    <w:rsid w:val="49637F65"/>
    <w:rsid w:val="49647D7D"/>
    <w:rsid w:val="496549D0"/>
    <w:rsid w:val="49656AE1"/>
    <w:rsid w:val="49660411"/>
    <w:rsid w:val="496625DE"/>
    <w:rsid w:val="49665EE0"/>
    <w:rsid w:val="49667651"/>
    <w:rsid w:val="49674171"/>
    <w:rsid w:val="49675177"/>
    <w:rsid w:val="49675AE0"/>
    <w:rsid w:val="49697141"/>
    <w:rsid w:val="49697F6F"/>
    <w:rsid w:val="496A337A"/>
    <w:rsid w:val="496A4813"/>
    <w:rsid w:val="496A5C71"/>
    <w:rsid w:val="496B1556"/>
    <w:rsid w:val="496B2EB9"/>
    <w:rsid w:val="496C10AF"/>
    <w:rsid w:val="496D01F5"/>
    <w:rsid w:val="496D0DE5"/>
    <w:rsid w:val="496D271F"/>
    <w:rsid w:val="496D45F2"/>
    <w:rsid w:val="496D4D42"/>
    <w:rsid w:val="496D4F07"/>
    <w:rsid w:val="496D6C31"/>
    <w:rsid w:val="496E4757"/>
    <w:rsid w:val="496E4C92"/>
    <w:rsid w:val="496E6505"/>
    <w:rsid w:val="496F0BFB"/>
    <w:rsid w:val="497003A2"/>
    <w:rsid w:val="497004D0"/>
    <w:rsid w:val="4970328B"/>
    <w:rsid w:val="497074B0"/>
    <w:rsid w:val="497172C8"/>
    <w:rsid w:val="4972249A"/>
    <w:rsid w:val="4972418C"/>
    <w:rsid w:val="49724248"/>
    <w:rsid w:val="49732986"/>
    <w:rsid w:val="49733446"/>
    <w:rsid w:val="49735974"/>
    <w:rsid w:val="497418F4"/>
    <w:rsid w:val="49753CC6"/>
    <w:rsid w:val="49753D38"/>
    <w:rsid w:val="49757894"/>
    <w:rsid w:val="49762D55"/>
    <w:rsid w:val="4976422D"/>
    <w:rsid w:val="497707D8"/>
    <w:rsid w:val="4977147E"/>
    <w:rsid w:val="49775666"/>
    <w:rsid w:val="497756A4"/>
    <w:rsid w:val="49776083"/>
    <w:rsid w:val="49777961"/>
    <w:rsid w:val="49793828"/>
    <w:rsid w:val="497951CE"/>
    <w:rsid w:val="497955D6"/>
    <w:rsid w:val="497A134E"/>
    <w:rsid w:val="497A6883"/>
    <w:rsid w:val="497B03D2"/>
    <w:rsid w:val="497B2E05"/>
    <w:rsid w:val="497B639D"/>
    <w:rsid w:val="497B6BF6"/>
    <w:rsid w:val="497C0086"/>
    <w:rsid w:val="497C071F"/>
    <w:rsid w:val="497C0C22"/>
    <w:rsid w:val="497C50C6"/>
    <w:rsid w:val="497C6E74"/>
    <w:rsid w:val="497C750B"/>
    <w:rsid w:val="497D0FCD"/>
    <w:rsid w:val="497D1963"/>
    <w:rsid w:val="497D29A6"/>
    <w:rsid w:val="497D499A"/>
    <w:rsid w:val="497E0E3E"/>
    <w:rsid w:val="497E2BEC"/>
    <w:rsid w:val="497E3493"/>
    <w:rsid w:val="497E5735"/>
    <w:rsid w:val="497E7886"/>
    <w:rsid w:val="497F0713"/>
    <w:rsid w:val="497F16C9"/>
    <w:rsid w:val="497F6965"/>
    <w:rsid w:val="49805976"/>
    <w:rsid w:val="49805B50"/>
    <w:rsid w:val="49811327"/>
    <w:rsid w:val="49811952"/>
    <w:rsid w:val="498126DD"/>
    <w:rsid w:val="4981448B"/>
    <w:rsid w:val="498148FD"/>
    <w:rsid w:val="49816239"/>
    <w:rsid w:val="498306B4"/>
    <w:rsid w:val="49831626"/>
    <w:rsid w:val="49831FB1"/>
    <w:rsid w:val="49832EBB"/>
    <w:rsid w:val="49836455"/>
    <w:rsid w:val="498378EF"/>
    <w:rsid w:val="49837F59"/>
    <w:rsid w:val="4984282A"/>
    <w:rsid w:val="49843F7B"/>
    <w:rsid w:val="49845A0E"/>
    <w:rsid w:val="49845D29"/>
    <w:rsid w:val="49847CA8"/>
    <w:rsid w:val="498502AC"/>
    <w:rsid w:val="49852879"/>
    <w:rsid w:val="498577D8"/>
    <w:rsid w:val="49857DB0"/>
    <w:rsid w:val="49862E17"/>
    <w:rsid w:val="49865B1D"/>
    <w:rsid w:val="4986640F"/>
    <w:rsid w:val="49867CF3"/>
    <w:rsid w:val="49871266"/>
    <w:rsid w:val="49873AA6"/>
    <w:rsid w:val="49877032"/>
    <w:rsid w:val="49877DA8"/>
    <w:rsid w:val="49883A6B"/>
    <w:rsid w:val="49885819"/>
    <w:rsid w:val="4989333F"/>
    <w:rsid w:val="49897AB9"/>
    <w:rsid w:val="498A0891"/>
    <w:rsid w:val="498A3B1A"/>
    <w:rsid w:val="498A525B"/>
    <w:rsid w:val="498A77E3"/>
    <w:rsid w:val="498B70B7"/>
    <w:rsid w:val="498C3781"/>
    <w:rsid w:val="498C63FE"/>
    <w:rsid w:val="498D0F17"/>
    <w:rsid w:val="498D249B"/>
    <w:rsid w:val="498D5DAF"/>
    <w:rsid w:val="498D72D3"/>
    <w:rsid w:val="498E0956"/>
    <w:rsid w:val="498E6BA8"/>
    <w:rsid w:val="498F1B24"/>
    <w:rsid w:val="498F2280"/>
    <w:rsid w:val="498F22CF"/>
    <w:rsid w:val="498F4DFA"/>
    <w:rsid w:val="498F592E"/>
    <w:rsid w:val="4990233E"/>
    <w:rsid w:val="49905938"/>
    <w:rsid w:val="49906221"/>
    <w:rsid w:val="499128FB"/>
    <w:rsid w:val="49916BE6"/>
    <w:rsid w:val="499248EA"/>
    <w:rsid w:val="49924E7D"/>
    <w:rsid w:val="49926698"/>
    <w:rsid w:val="49926DAE"/>
    <w:rsid w:val="4993216D"/>
    <w:rsid w:val="49935F6C"/>
    <w:rsid w:val="499441BE"/>
    <w:rsid w:val="49950C2D"/>
    <w:rsid w:val="49951CE4"/>
    <w:rsid w:val="499620BD"/>
    <w:rsid w:val="499624A2"/>
    <w:rsid w:val="49963B70"/>
    <w:rsid w:val="49971F00"/>
    <w:rsid w:val="49974E88"/>
    <w:rsid w:val="499807FC"/>
    <w:rsid w:val="49986F59"/>
    <w:rsid w:val="49995C78"/>
    <w:rsid w:val="499A360F"/>
    <w:rsid w:val="499A379E"/>
    <w:rsid w:val="499A72FA"/>
    <w:rsid w:val="499A7FD9"/>
    <w:rsid w:val="499B01FC"/>
    <w:rsid w:val="499B0896"/>
    <w:rsid w:val="499C0B00"/>
    <w:rsid w:val="499C3252"/>
    <w:rsid w:val="499C7517"/>
    <w:rsid w:val="499D1675"/>
    <w:rsid w:val="499E328F"/>
    <w:rsid w:val="499E3362"/>
    <w:rsid w:val="499E377C"/>
    <w:rsid w:val="499E41E5"/>
    <w:rsid w:val="499E61AC"/>
    <w:rsid w:val="499E6DEB"/>
    <w:rsid w:val="499E7F53"/>
    <w:rsid w:val="499F0DB5"/>
    <w:rsid w:val="499F48B0"/>
    <w:rsid w:val="499F7D64"/>
    <w:rsid w:val="49A0323E"/>
    <w:rsid w:val="49A05503"/>
    <w:rsid w:val="49A07007"/>
    <w:rsid w:val="49A07A3C"/>
    <w:rsid w:val="49A10689"/>
    <w:rsid w:val="49A14B2D"/>
    <w:rsid w:val="49A168DB"/>
    <w:rsid w:val="49A219D8"/>
    <w:rsid w:val="49A21DA1"/>
    <w:rsid w:val="49A3143A"/>
    <w:rsid w:val="49A32653"/>
    <w:rsid w:val="49A333DA"/>
    <w:rsid w:val="49A40179"/>
    <w:rsid w:val="49A5461D"/>
    <w:rsid w:val="49A563CB"/>
    <w:rsid w:val="49A62FB9"/>
    <w:rsid w:val="49A8026C"/>
    <w:rsid w:val="49A870A3"/>
    <w:rsid w:val="49A94C00"/>
    <w:rsid w:val="49AA19C3"/>
    <w:rsid w:val="49AA3104"/>
    <w:rsid w:val="49AB1508"/>
    <w:rsid w:val="49AB492B"/>
    <w:rsid w:val="49AB775A"/>
    <w:rsid w:val="49AC11BF"/>
    <w:rsid w:val="49AC39AB"/>
    <w:rsid w:val="49AD0CA2"/>
    <w:rsid w:val="49AD1DAD"/>
    <w:rsid w:val="49AD43E2"/>
    <w:rsid w:val="49AD53CA"/>
    <w:rsid w:val="49AD54A3"/>
    <w:rsid w:val="49AF0145"/>
    <w:rsid w:val="49AF0610"/>
    <w:rsid w:val="49AF0FF8"/>
    <w:rsid w:val="49AF14CF"/>
    <w:rsid w:val="49AF724A"/>
    <w:rsid w:val="49B04D70"/>
    <w:rsid w:val="49B05AEA"/>
    <w:rsid w:val="49B06B1E"/>
    <w:rsid w:val="49B16CC5"/>
    <w:rsid w:val="49B23C69"/>
    <w:rsid w:val="49B24C36"/>
    <w:rsid w:val="49B303BC"/>
    <w:rsid w:val="49B35B1D"/>
    <w:rsid w:val="49B404DB"/>
    <w:rsid w:val="49B44860"/>
    <w:rsid w:val="49B65092"/>
    <w:rsid w:val="49B760FE"/>
    <w:rsid w:val="49B81129"/>
    <w:rsid w:val="49B81199"/>
    <w:rsid w:val="49B820A2"/>
    <w:rsid w:val="49B90028"/>
    <w:rsid w:val="49B900C8"/>
    <w:rsid w:val="49BA174B"/>
    <w:rsid w:val="49BA2E42"/>
    <w:rsid w:val="49BA4E2F"/>
    <w:rsid w:val="49BA5AED"/>
    <w:rsid w:val="49BB4089"/>
    <w:rsid w:val="49BB5BEF"/>
    <w:rsid w:val="49BC1967"/>
    <w:rsid w:val="49BC27FF"/>
    <w:rsid w:val="49BC361C"/>
    <w:rsid w:val="49BC3715"/>
    <w:rsid w:val="49BC5720"/>
    <w:rsid w:val="49BD169D"/>
    <w:rsid w:val="49BD20C1"/>
    <w:rsid w:val="49BD5BEA"/>
    <w:rsid w:val="49BD69A9"/>
    <w:rsid w:val="49BE56DF"/>
    <w:rsid w:val="49BE748D"/>
    <w:rsid w:val="49BE7E39"/>
    <w:rsid w:val="49BF43D9"/>
    <w:rsid w:val="49BF4FB3"/>
    <w:rsid w:val="49C00490"/>
    <w:rsid w:val="49C02C56"/>
    <w:rsid w:val="49C03205"/>
    <w:rsid w:val="49C037AB"/>
    <w:rsid w:val="49C0532A"/>
    <w:rsid w:val="49C1138B"/>
    <w:rsid w:val="49C11AC1"/>
    <w:rsid w:val="49C12AD9"/>
    <w:rsid w:val="49C14C65"/>
    <w:rsid w:val="49C16F7D"/>
    <w:rsid w:val="49C17EDE"/>
    <w:rsid w:val="49C17EFB"/>
    <w:rsid w:val="49C30254"/>
    <w:rsid w:val="49C31C2B"/>
    <w:rsid w:val="49C34AA3"/>
    <w:rsid w:val="49C41B7C"/>
    <w:rsid w:val="49C42252"/>
    <w:rsid w:val="49C425C9"/>
    <w:rsid w:val="49C4335C"/>
    <w:rsid w:val="49C5081B"/>
    <w:rsid w:val="49C56A6D"/>
    <w:rsid w:val="49C674A0"/>
    <w:rsid w:val="49C7262C"/>
    <w:rsid w:val="49C820BA"/>
    <w:rsid w:val="49C83E68"/>
    <w:rsid w:val="49C970B8"/>
    <w:rsid w:val="49CA2B1D"/>
    <w:rsid w:val="49CA4084"/>
    <w:rsid w:val="49CA5E32"/>
    <w:rsid w:val="49CA6723"/>
    <w:rsid w:val="49CA7BE0"/>
    <w:rsid w:val="49CB1BAA"/>
    <w:rsid w:val="49CB3352"/>
    <w:rsid w:val="49CB7EBB"/>
    <w:rsid w:val="49CC2D77"/>
    <w:rsid w:val="49CC3B3C"/>
    <w:rsid w:val="49CC43C6"/>
    <w:rsid w:val="49CC4E1C"/>
    <w:rsid w:val="49CC7E2E"/>
    <w:rsid w:val="49CD4750"/>
    <w:rsid w:val="49CD5922"/>
    <w:rsid w:val="49CD6A25"/>
    <w:rsid w:val="49CE0DBE"/>
    <w:rsid w:val="49CE2F31"/>
    <w:rsid w:val="49CF490A"/>
    <w:rsid w:val="49D00F6E"/>
    <w:rsid w:val="49D01A78"/>
    <w:rsid w:val="49D06B70"/>
    <w:rsid w:val="49D071C0"/>
    <w:rsid w:val="49D1249D"/>
    <w:rsid w:val="49D15412"/>
    <w:rsid w:val="49D161C3"/>
    <w:rsid w:val="49D22F38"/>
    <w:rsid w:val="49D40684"/>
    <w:rsid w:val="49D408FC"/>
    <w:rsid w:val="49D4699A"/>
    <w:rsid w:val="49D51330"/>
    <w:rsid w:val="49D55D16"/>
    <w:rsid w:val="49D5691C"/>
    <w:rsid w:val="49D57FB8"/>
    <w:rsid w:val="49D61658"/>
    <w:rsid w:val="49D64583"/>
    <w:rsid w:val="49D73B02"/>
    <w:rsid w:val="49D92519"/>
    <w:rsid w:val="49D92B8C"/>
    <w:rsid w:val="49D942C7"/>
    <w:rsid w:val="49D97AA0"/>
    <w:rsid w:val="49DA3948"/>
    <w:rsid w:val="49DA6460"/>
    <w:rsid w:val="49DA79B2"/>
    <w:rsid w:val="49DB0B27"/>
    <w:rsid w:val="49DC199F"/>
    <w:rsid w:val="49DC2BD2"/>
    <w:rsid w:val="49DC7715"/>
    <w:rsid w:val="49DC7913"/>
    <w:rsid w:val="49DD0E2C"/>
    <w:rsid w:val="49DD4190"/>
    <w:rsid w:val="49DD5ACD"/>
    <w:rsid w:val="49DE02CC"/>
    <w:rsid w:val="49DE08B3"/>
    <w:rsid w:val="49DE368B"/>
    <w:rsid w:val="49DE53F9"/>
    <w:rsid w:val="49DF11B1"/>
    <w:rsid w:val="49DF1BFA"/>
    <w:rsid w:val="49DF1D43"/>
    <w:rsid w:val="49DF61B7"/>
    <w:rsid w:val="49E019BF"/>
    <w:rsid w:val="49E04080"/>
    <w:rsid w:val="49E07403"/>
    <w:rsid w:val="49E113CD"/>
    <w:rsid w:val="49E14F29"/>
    <w:rsid w:val="49E15DA4"/>
    <w:rsid w:val="49E23A16"/>
    <w:rsid w:val="49E25C9B"/>
    <w:rsid w:val="49E309B5"/>
    <w:rsid w:val="49E30CA1"/>
    <w:rsid w:val="49E30F5B"/>
    <w:rsid w:val="49E340B9"/>
    <w:rsid w:val="49E368A8"/>
    <w:rsid w:val="49E36EF3"/>
    <w:rsid w:val="49E40956"/>
    <w:rsid w:val="49E45618"/>
    <w:rsid w:val="49E514EF"/>
    <w:rsid w:val="49E51876"/>
    <w:rsid w:val="49E534EA"/>
    <w:rsid w:val="49E53974"/>
    <w:rsid w:val="49E55BB5"/>
    <w:rsid w:val="49E61D37"/>
    <w:rsid w:val="49E62540"/>
    <w:rsid w:val="49E80617"/>
    <w:rsid w:val="49E8275C"/>
    <w:rsid w:val="49E837D8"/>
    <w:rsid w:val="49E862B8"/>
    <w:rsid w:val="49EA0282"/>
    <w:rsid w:val="49EA2030"/>
    <w:rsid w:val="49EA64D4"/>
    <w:rsid w:val="49EB5DA8"/>
    <w:rsid w:val="49EC224C"/>
    <w:rsid w:val="49EC3FFA"/>
    <w:rsid w:val="49ED033A"/>
    <w:rsid w:val="49ED0C99"/>
    <w:rsid w:val="49ED5932"/>
    <w:rsid w:val="49ED734A"/>
    <w:rsid w:val="49ED7D72"/>
    <w:rsid w:val="49EF1B6F"/>
    <w:rsid w:val="49EF3AEA"/>
    <w:rsid w:val="49EF5898"/>
    <w:rsid w:val="49EF7646"/>
    <w:rsid w:val="49F06755"/>
    <w:rsid w:val="49F1079A"/>
    <w:rsid w:val="49F11610"/>
    <w:rsid w:val="49F11633"/>
    <w:rsid w:val="49F17864"/>
    <w:rsid w:val="49F20E51"/>
    <w:rsid w:val="49F252D7"/>
    <w:rsid w:val="49F27137"/>
    <w:rsid w:val="49F32630"/>
    <w:rsid w:val="49F3676E"/>
    <w:rsid w:val="49F44C5D"/>
    <w:rsid w:val="49F508EA"/>
    <w:rsid w:val="49F509D5"/>
    <w:rsid w:val="49F534BC"/>
    <w:rsid w:val="49F544D5"/>
    <w:rsid w:val="49F556AA"/>
    <w:rsid w:val="49F6170B"/>
    <w:rsid w:val="49F65B1F"/>
    <w:rsid w:val="49F66B3A"/>
    <w:rsid w:val="49F66C27"/>
    <w:rsid w:val="49F66F47"/>
    <w:rsid w:val="49F67B22"/>
    <w:rsid w:val="49F710F5"/>
    <w:rsid w:val="49F73469"/>
    <w:rsid w:val="49F76C71"/>
    <w:rsid w:val="49F8145A"/>
    <w:rsid w:val="49F81F89"/>
    <w:rsid w:val="49F836CC"/>
    <w:rsid w:val="49F92273"/>
    <w:rsid w:val="49F93EC4"/>
    <w:rsid w:val="49F97701"/>
    <w:rsid w:val="49FA008C"/>
    <w:rsid w:val="49FA4A26"/>
    <w:rsid w:val="49FA5FEB"/>
    <w:rsid w:val="49FB423D"/>
    <w:rsid w:val="49FC1D63"/>
    <w:rsid w:val="49FC2B50"/>
    <w:rsid w:val="49FC6E66"/>
    <w:rsid w:val="49FC7FB5"/>
    <w:rsid w:val="49FD6207"/>
    <w:rsid w:val="49FE4F6D"/>
    <w:rsid w:val="49FF29E7"/>
    <w:rsid w:val="4A003601"/>
    <w:rsid w:val="4A007AA5"/>
    <w:rsid w:val="4A0109D8"/>
    <w:rsid w:val="4A010F61"/>
    <w:rsid w:val="4A013465"/>
    <w:rsid w:val="4A013925"/>
    <w:rsid w:val="4A013C4D"/>
    <w:rsid w:val="4A01737A"/>
    <w:rsid w:val="4A023139"/>
    <w:rsid w:val="4A0250DD"/>
    <w:rsid w:val="4A02764A"/>
    <w:rsid w:val="4A030452"/>
    <w:rsid w:val="4A03113E"/>
    <w:rsid w:val="4A031344"/>
    <w:rsid w:val="4A037596"/>
    <w:rsid w:val="4A04058A"/>
    <w:rsid w:val="4A046BA5"/>
    <w:rsid w:val="4A050C18"/>
    <w:rsid w:val="4A0526E0"/>
    <w:rsid w:val="4A052EE0"/>
    <w:rsid w:val="4A05330E"/>
    <w:rsid w:val="4A0550BC"/>
    <w:rsid w:val="4A056DF9"/>
    <w:rsid w:val="4A05755A"/>
    <w:rsid w:val="4A060092"/>
    <w:rsid w:val="4A062BE2"/>
    <w:rsid w:val="4A064990"/>
    <w:rsid w:val="4A064E1D"/>
    <w:rsid w:val="4A06662F"/>
    <w:rsid w:val="4A07044E"/>
    <w:rsid w:val="4A070E34"/>
    <w:rsid w:val="4A0751ED"/>
    <w:rsid w:val="4A084BAC"/>
    <w:rsid w:val="4A08695A"/>
    <w:rsid w:val="4A093B35"/>
    <w:rsid w:val="4A0A248B"/>
    <w:rsid w:val="4A0A2722"/>
    <w:rsid w:val="4A0A4480"/>
    <w:rsid w:val="4A0A4A38"/>
    <w:rsid w:val="4A0A7CF5"/>
    <w:rsid w:val="4A0B01F8"/>
    <w:rsid w:val="4A0B1FA6"/>
    <w:rsid w:val="4A0B277F"/>
    <w:rsid w:val="4A0B5F70"/>
    <w:rsid w:val="4A0C5DFE"/>
    <w:rsid w:val="4A0D21C2"/>
    <w:rsid w:val="4A0D3F70"/>
    <w:rsid w:val="4A0E0B26"/>
    <w:rsid w:val="4A0E17A6"/>
    <w:rsid w:val="4A0E42C4"/>
    <w:rsid w:val="4A0E48CD"/>
    <w:rsid w:val="4A0E6AF1"/>
    <w:rsid w:val="4A0F36E6"/>
    <w:rsid w:val="4A0F39E7"/>
    <w:rsid w:val="4A104EBD"/>
    <w:rsid w:val="4A1053DF"/>
    <w:rsid w:val="4A111CB3"/>
    <w:rsid w:val="4A113A0C"/>
    <w:rsid w:val="4A113A61"/>
    <w:rsid w:val="4A11580F"/>
    <w:rsid w:val="4A1256E6"/>
    <w:rsid w:val="4A126E47"/>
    <w:rsid w:val="4A1277D9"/>
    <w:rsid w:val="4A13038E"/>
    <w:rsid w:val="4A1304B6"/>
    <w:rsid w:val="4A131EAD"/>
    <w:rsid w:val="4A1320AA"/>
    <w:rsid w:val="4A133393"/>
    <w:rsid w:val="4A1420C3"/>
    <w:rsid w:val="4A143551"/>
    <w:rsid w:val="4A143D64"/>
    <w:rsid w:val="4A1452FF"/>
    <w:rsid w:val="4A16040D"/>
    <w:rsid w:val="4A161729"/>
    <w:rsid w:val="4A163850"/>
    <w:rsid w:val="4A1672C9"/>
    <w:rsid w:val="4A17094B"/>
    <w:rsid w:val="4A174DEF"/>
    <w:rsid w:val="4A183041"/>
    <w:rsid w:val="4A185553"/>
    <w:rsid w:val="4A190B67"/>
    <w:rsid w:val="4A192915"/>
    <w:rsid w:val="4A19349D"/>
    <w:rsid w:val="4A1939BF"/>
    <w:rsid w:val="4A193CE9"/>
    <w:rsid w:val="4A1946C3"/>
    <w:rsid w:val="4A197DE0"/>
    <w:rsid w:val="4A1A0C51"/>
    <w:rsid w:val="4A1A32F7"/>
    <w:rsid w:val="4A1B48DF"/>
    <w:rsid w:val="4A1B668D"/>
    <w:rsid w:val="4A1C16AC"/>
    <w:rsid w:val="4A1C1ABF"/>
    <w:rsid w:val="4A1C2405"/>
    <w:rsid w:val="4A1C41B3"/>
    <w:rsid w:val="4A1D1D8E"/>
    <w:rsid w:val="4A1D2A2A"/>
    <w:rsid w:val="4A1D47D9"/>
    <w:rsid w:val="4A1D54B5"/>
    <w:rsid w:val="4A1D7FCA"/>
    <w:rsid w:val="4A1E3175"/>
    <w:rsid w:val="4A1E617D"/>
    <w:rsid w:val="4A1F2091"/>
    <w:rsid w:val="4A201340"/>
    <w:rsid w:val="4A205A52"/>
    <w:rsid w:val="4A206B42"/>
    <w:rsid w:val="4A2117CA"/>
    <w:rsid w:val="4A211AF6"/>
    <w:rsid w:val="4A212F9A"/>
    <w:rsid w:val="4A22215C"/>
    <w:rsid w:val="4A2246C7"/>
    <w:rsid w:val="4A2255B3"/>
    <w:rsid w:val="4A227A1C"/>
    <w:rsid w:val="4A231EA8"/>
    <w:rsid w:val="4A232E2A"/>
    <w:rsid w:val="4A232E8A"/>
    <w:rsid w:val="4A233794"/>
    <w:rsid w:val="4A23700F"/>
    <w:rsid w:val="4A25750C"/>
    <w:rsid w:val="4A2603F9"/>
    <w:rsid w:val="4A280DAA"/>
    <w:rsid w:val="4A2819C9"/>
    <w:rsid w:val="4A281C81"/>
    <w:rsid w:val="4A282240"/>
    <w:rsid w:val="4A282B58"/>
    <w:rsid w:val="4A28573E"/>
    <w:rsid w:val="4A286FFC"/>
    <w:rsid w:val="4A292E59"/>
    <w:rsid w:val="4A296ECE"/>
    <w:rsid w:val="4A297E99"/>
    <w:rsid w:val="4A2A42E9"/>
    <w:rsid w:val="4A2A4B22"/>
    <w:rsid w:val="4A2A5D9D"/>
    <w:rsid w:val="4A2A68D0"/>
    <w:rsid w:val="4A2B3865"/>
    <w:rsid w:val="4A2B43F6"/>
    <w:rsid w:val="4A2B63F5"/>
    <w:rsid w:val="4A2C2648"/>
    <w:rsid w:val="4A2C791A"/>
    <w:rsid w:val="4A2D0BEC"/>
    <w:rsid w:val="4A2D63C1"/>
    <w:rsid w:val="4A2E0DC2"/>
    <w:rsid w:val="4A2E2C6A"/>
    <w:rsid w:val="4A2E5769"/>
    <w:rsid w:val="4A2E7BEA"/>
    <w:rsid w:val="4A2F368F"/>
    <w:rsid w:val="4A2F40FA"/>
    <w:rsid w:val="4A2F6CCB"/>
    <w:rsid w:val="4A30015B"/>
    <w:rsid w:val="4A301A0D"/>
    <w:rsid w:val="4A3069B1"/>
    <w:rsid w:val="4A315EB1"/>
    <w:rsid w:val="4A3161C0"/>
    <w:rsid w:val="4A32283C"/>
    <w:rsid w:val="4A325785"/>
    <w:rsid w:val="4A326368"/>
    <w:rsid w:val="4A33043B"/>
    <w:rsid w:val="4A33165E"/>
    <w:rsid w:val="4A331C29"/>
    <w:rsid w:val="4A345071"/>
    <w:rsid w:val="4A3459A1"/>
    <w:rsid w:val="4A347F6C"/>
    <w:rsid w:val="4A350324"/>
    <w:rsid w:val="4A35299A"/>
    <w:rsid w:val="4A3571DA"/>
    <w:rsid w:val="4A361680"/>
    <w:rsid w:val="4A362F02"/>
    <w:rsid w:val="4A3634C7"/>
    <w:rsid w:val="4A372D9B"/>
    <w:rsid w:val="4A3749B0"/>
    <w:rsid w:val="4A376E49"/>
    <w:rsid w:val="4A381B21"/>
    <w:rsid w:val="4A38682C"/>
    <w:rsid w:val="4A392FB7"/>
    <w:rsid w:val="4A394D65"/>
    <w:rsid w:val="4A396B13"/>
    <w:rsid w:val="4A3A1558"/>
    <w:rsid w:val="4A3A3DDE"/>
    <w:rsid w:val="4A3A62B3"/>
    <w:rsid w:val="4A3B0ADD"/>
    <w:rsid w:val="4A3B288C"/>
    <w:rsid w:val="4A3B2BA3"/>
    <w:rsid w:val="4A3C6604"/>
    <w:rsid w:val="4A3D0385"/>
    <w:rsid w:val="4A3D33C2"/>
    <w:rsid w:val="4A3D5334"/>
    <w:rsid w:val="4A3E05CE"/>
    <w:rsid w:val="4A3E237C"/>
    <w:rsid w:val="4A3E275F"/>
    <w:rsid w:val="4A3E412A"/>
    <w:rsid w:val="4A3E64D4"/>
    <w:rsid w:val="4A3F0AE8"/>
    <w:rsid w:val="4A3F255E"/>
    <w:rsid w:val="4A3F3886"/>
    <w:rsid w:val="4A3F55D1"/>
    <w:rsid w:val="4A400E5B"/>
    <w:rsid w:val="4A404346"/>
    <w:rsid w:val="4A407EA2"/>
    <w:rsid w:val="4A415940"/>
    <w:rsid w:val="4A4200BE"/>
    <w:rsid w:val="4A421E6C"/>
    <w:rsid w:val="4A433A00"/>
    <w:rsid w:val="4A433C50"/>
    <w:rsid w:val="4A435BE4"/>
    <w:rsid w:val="4A4365D1"/>
    <w:rsid w:val="4A436FAB"/>
    <w:rsid w:val="4A43796D"/>
    <w:rsid w:val="4A437992"/>
    <w:rsid w:val="4A452170"/>
    <w:rsid w:val="4A4554B8"/>
    <w:rsid w:val="4A460EC0"/>
    <w:rsid w:val="4A476649"/>
    <w:rsid w:val="4A477DE3"/>
    <w:rsid w:val="4A4831FA"/>
    <w:rsid w:val="4A485DEB"/>
    <w:rsid w:val="4A49144C"/>
    <w:rsid w:val="4A49202A"/>
    <w:rsid w:val="4A494606"/>
    <w:rsid w:val="4A497872"/>
    <w:rsid w:val="4A4A0D02"/>
    <w:rsid w:val="4A4A0D21"/>
    <w:rsid w:val="4A4A2ACF"/>
    <w:rsid w:val="4A4A3C07"/>
    <w:rsid w:val="4A4A3CE5"/>
    <w:rsid w:val="4A4A5813"/>
    <w:rsid w:val="4A4A67C9"/>
    <w:rsid w:val="4A4A6F73"/>
    <w:rsid w:val="4A4B4D63"/>
    <w:rsid w:val="4A4B6664"/>
    <w:rsid w:val="4A4C6847"/>
    <w:rsid w:val="4A4C7934"/>
    <w:rsid w:val="4A4D0811"/>
    <w:rsid w:val="4A4D7D35"/>
    <w:rsid w:val="4A4E1B4D"/>
    <w:rsid w:val="4A4E5E50"/>
    <w:rsid w:val="4A4E6A63"/>
    <w:rsid w:val="4A4F27DB"/>
    <w:rsid w:val="4A4F4589"/>
    <w:rsid w:val="4A5003DE"/>
    <w:rsid w:val="4A502F78"/>
    <w:rsid w:val="4A50392C"/>
    <w:rsid w:val="4A50404B"/>
    <w:rsid w:val="4A5120AF"/>
    <w:rsid w:val="4A5127E7"/>
    <w:rsid w:val="4A514A62"/>
    <w:rsid w:val="4A525E27"/>
    <w:rsid w:val="4A527BD5"/>
    <w:rsid w:val="4A5360C6"/>
    <w:rsid w:val="4A5361C2"/>
    <w:rsid w:val="4A5376B8"/>
    <w:rsid w:val="4A5406A0"/>
    <w:rsid w:val="4A54394D"/>
    <w:rsid w:val="4A546750"/>
    <w:rsid w:val="4A547DF1"/>
    <w:rsid w:val="4A555161"/>
    <w:rsid w:val="4A563B69"/>
    <w:rsid w:val="4A565917"/>
    <w:rsid w:val="4A5751EC"/>
    <w:rsid w:val="4A575C2B"/>
    <w:rsid w:val="4A5816F0"/>
    <w:rsid w:val="4A58386A"/>
    <w:rsid w:val="4A5857D0"/>
    <w:rsid w:val="4A590BAD"/>
    <w:rsid w:val="4A5922DB"/>
    <w:rsid w:val="4A5974BD"/>
    <w:rsid w:val="4A5A0DA2"/>
    <w:rsid w:val="4A5A6E35"/>
    <w:rsid w:val="4A5B4CDC"/>
    <w:rsid w:val="4A5B6485"/>
    <w:rsid w:val="4A5B714C"/>
    <w:rsid w:val="4A5C370E"/>
    <w:rsid w:val="4A5D1534"/>
    <w:rsid w:val="4A5D4EF8"/>
    <w:rsid w:val="4A5D6347"/>
    <w:rsid w:val="4A5E1268"/>
    <w:rsid w:val="4A5E2A1E"/>
    <w:rsid w:val="4A5E4AD1"/>
    <w:rsid w:val="4A5F4669"/>
    <w:rsid w:val="4A5F69CD"/>
    <w:rsid w:val="4A60348D"/>
    <w:rsid w:val="4A606796"/>
    <w:rsid w:val="4A61285F"/>
    <w:rsid w:val="4A6128EE"/>
    <w:rsid w:val="4A613534"/>
    <w:rsid w:val="4A621B5A"/>
    <w:rsid w:val="4A621E0D"/>
    <w:rsid w:val="4A62250E"/>
    <w:rsid w:val="4A6242ED"/>
    <w:rsid w:val="4A624335"/>
    <w:rsid w:val="4A62465B"/>
    <w:rsid w:val="4A6257DA"/>
    <w:rsid w:val="4A630034"/>
    <w:rsid w:val="4A631216"/>
    <w:rsid w:val="4A636FDB"/>
    <w:rsid w:val="4A64138E"/>
    <w:rsid w:val="4A650610"/>
    <w:rsid w:val="4A65243C"/>
    <w:rsid w:val="4A653DE0"/>
    <w:rsid w:val="4A653DFE"/>
    <w:rsid w:val="4A6550FC"/>
    <w:rsid w:val="4A656AA8"/>
    <w:rsid w:val="4A656EA3"/>
    <w:rsid w:val="4A661715"/>
    <w:rsid w:val="4A672A5C"/>
    <w:rsid w:val="4A672DFB"/>
    <w:rsid w:val="4A673681"/>
    <w:rsid w:val="4A680F75"/>
    <w:rsid w:val="4A6873F9"/>
    <w:rsid w:val="4A69389D"/>
    <w:rsid w:val="4A693949"/>
    <w:rsid w:val="4A697967"/>
    <w:rsid w:val="4A6A3171"/>
    <w:rsid w:val="4A6A5651"/>
    <w:rsid w:val="4A6B2B7B"/>
    <w:rsid w:val="4A6B31CD"/>
    <w:rsid w:val="4A6B79F7"/>
    <w:rsid w:val="4A6C05DA"/>
    <w:rsid w:val="4A6C0C97"/>
    <w:rsid w:val="4A6C1D7D"/>
    <w:rsid w:val="4A6C5088"/>
    <w:rsid w:val="4A6D183E"/>
    <w:rsid w:val="4A6D4A0F"/>
    <w:rsid w:val="4A6D7B2D"/>
    <w:rsid w:val="4A6E2C61"/>
    <w:rsid w:val="4A6E37A2"/>
    <w:rsid w:val="4A6F2535"/>
    <w:rsid w:val="4A6F502D"/>
    <w:rsid w:val="4A6F69D9"/>
    <w:rsid w:val="4A705F99"/>
    <w:rsid w:val="4A7144FF"/>
    <w:rsid w:val="4A71452B"/>
    <w:rsid w:val="4A715D6F"/>
    <w:rsid w:val="4A72164F"/>
    <w:rsid w:val="4A722025"/>
    <w:rsid w:val="4A725227"/>
    <w:rsid w:val="4A732ADF"/>
    <w:rsid w:val="4A7346B1"/>
    <w:rsid w:val="4A742D7F"/>
    <w:rsid w:val="4A745D9D"/>
    <w:rsid w:val="4A7553B8"/>
    <w:rsid w:val="4A755582"/>
    <w:rsid w:val="4A76083B"/>
    <w:rsid w:val="4A761C01"/>
    <w:rsid w:val="4A765636"/>
    <w:rsid w:val="4A767D68"/>
    <w:rsid w:val="4A775369"/>
    <w:rsid w:val="4A7754C1"/>
    <w:rsid w:val="4A77763C"/>
    <w:rsid w:val="4A783AE0"/>
    <w:rsid w:val="4A79080E"/>
    <w:rsid w:val="4A791460"/>
    <w:rsid w:val="4A791606"/>
    <w:rsid w:val="4A797DE0"/>
    <w:rsid w:val="4A7A3FB4"/>
    <w:rsid w:val="4A7A6D67"/>
    <w:rsid w:val="4A7A7858"/>
    <w:rsid w:val="4A7B35D0"/>
    <w:rsid w:val="4A7B576F"/>
    <w:rsid w:val="4A7C10E1"/>
    <w:rsid w:val="4A7C638B"/>
    <w:rsid w:val="4A7D066F"/>
    <w:rsid w:val="4A7D2EA4"/>
    <w:rsid w:val="4A7D4C52"/>
    <w:rsid w:val="4A7D5EFD"/>
    <w:rsid w:val="4A7E09CA"/>
    <w:rsid w:val="4A7E6222"/>
    <w:rsid w:val="4A7F0564"/>
    <w:rsid w:val="4A7F1081"/>
    <w:rsid w:val="4A7F4E6E"/>
    <w:rsid w:val="4A7F5C8E"/>
    <w:rsid w:val="4A7F5F45"/>
    <w:rsid w:val="4A7F6689"/>
    <w:rsid w:val="4A800BE6"/>
    <w:rsid w:val="4A801388"/>
    <w:rsid w:val="4A802994"/>
    <w:rsid w:val="4A804742"/>
    <w:rsid w:val="4A807F11"/>
    <w:rsid w:val="4A811448"/>
    <w:rsid w:val="4A817A4D"/>
    <w:rsid w:val="4A821E5D"/>
    <w:rsid w:val="4A823B2D"/>
    <w:rsid w:val="4A82495E"/>
    <w:rsid w:val="4A826E97"/>
    <w:rsid w:val="4A834233"/>
    <w:rsid w:val="4A835FE1"/>
    <w:rsid w:val="4A842484"/>
    <w:rsid w:val="4A851D59"/>
    <w:rsid w:val="4A862B3E"/>
    <w:rsid w:val="4A871C5E"/>
    <w:rsid w:val="4A871F75"/>
    <w:rsid w:val="4A8811E9"/>
    <w:rsid w:val="4A883874"/>
    <w:rsid w:val="4A885446"/>
    <w:rsid w:val="4A886DB3"/>
    <w:rsid w:val="4A891BA0"/>
    <w:rsid w:val="4A892F7B"/>
    <w:rsid w:val="4A895CED"/>
    <w:rsid w:val="4A8B2D8A"/>
    <w:rsid w:val="4A8B7794"/>
    <w:rsid w:val="4A8C15F4"/>
    <w:rsid w:val="4A8C30E7"/>
    <w:rsid w:val="4A8C3685"/>
    <w:rsid w:val="4A8C46F5"/>
    <w:rsid w:val="4A8C54CE"/>
    <w:rsid w:val="4A8C74C8"/>
    <w:rsid w:val="4A8C758B"/>
    <w:rsid w:val="4A8D4454"/>
    <w:rsid w:val="4A8D763B"/>
    <w:rsid w:val="4A8E0B76"/>
    <w:rsid w:val="4A8E50B1"/>
    <w:rsid w:val="4A8F0E29"/>
    <w:rsid w:val="4A8F144F"/>
    <w:rsid w:val="4A8F2006"/>
    <w:rsid w:val="4A8F2BD7"/>
    <w:rsid w:val="4A8F4B67"/>
    <w:rsid w:val="4A910A80"/>
    <w:rsid w:val="4A9122CB"/>
    <w:rsid w:val="4A912CE0"/>
    <w:rsid w:val="4A9138D3"/>
    <w:rsid w:val="4A914BA1"/>
    <w:rsid w:val="4A916067"/>
    <w:rsid w:val="4A91694F"/>
    <w:rsid w:val="4A921B45"/>
    <w:rsid w:val="4A924743"/>
    <w:rsid w:val="4A926343"/>
    <w:rsid w:val="4A931643"/>
    <w:rsid w:val="4A9326C8"/>
    <w:rsid w:val="4A93465E"/>
    <w:rsid w:val="4A934E8E"/>
    <w:rsid w:val="4A93645E"/>
    <w:rsid w:val="4A9425A1"/>
    <w:rsid w:val="4A942E74"/>
    <w:rsid w:val="4A942E83"/>
    <w:rsid w:val="4A952A9D"/>
    <w:rsid w:val="4A955E78"/>
    <w:rsid w:val="4A961A3C"/>
    <w:rsid w:val="4A9621B8"/>
    <w:rsid w:val="4A965D14"/>
    <w:rsid w:val="4A966022"/>
    <w:rsid w:val="4A967308"/>
    <w:rsid w:val="4A971ED9"/>
    <w:rsid w:val="4A985F30"/>
    <w:rsid w:val="4A986173"/>
    <w:rsid w:val="4A987777"/>
    <w:rsid w:val="4A993D9E"/>
    <w:rsid w:val="4A9A1030"/>
    <w:rsid w:val="4A9A7119"/>
    <w:rsid w:val="4A9A7D35"/>
    <w:rsid w:val="4A9B157C"/>
    <w:rsid w:val="4A9D3546"/>
    <w:rsid w:val="4A9E1F83"/>
    <w:rsid w:val="4A9E25F6"/>
    <w:rsid w:val="4A9E2D7F"/>
    <w:rsid w:val="4A9E67FA"/>
    <w:rsid w:val="4A9F106C"/>
    <w:rsid w:val="4A9F72BE"/>
    <w:rsid w:val="4AA06B93"/>
    <w:rsid w:val="4AA13AD4"/>
    <w:rsid w:val="4AA2018C"/>
    <w:rsid w:val="4AA2290B"/>
    <w:rsid w:val="4AA234F0"/>
    <w:rsid w:val="4AA23D74"/>
    <w:rsid w:val="4AA2459F"/>
    <w:rsid w:val="4AA246B9"/>
    <w:rsid w:val="4AA25BA7"/>
    <w:rsid w:val="4AA3304D"/>
    <w:rsid w:val="4AA45E7D"/>
    <w:rsid w:val="4AA46683"/>
    <w:rsid w:val="4AA66BD5"/>
    <w:rsid w:val="4AA7384C"/>
    <w:rsid w:val="4AA7504D"/>
    <w:rsid w:val="4AA80814"/>
    <w:rsid w:val="4AA8652C"/>
    <w:rsid w:val="4AA95C51"/>
    <w:rsid w:val="4AAA0B3D"/>
    <w:rsid w:val="4AAA2FAB"/>
    <w:rsid w:val="4AAA5627"/>
    <w:rsid w:val="4AAA5C63"/>
    <w:rsid w:val="4AAA5D52"/>
    <w:rsid w:val="4AAB0F81"/>
    <w:rsid w:val="4AAB146D"/>
    <w:rsid w:val="4AAB2D94"/>
    <w:rsid w:val="4AAC19DB"/>
    <w:rsid w:val="4AAC3C5B"/>
    <w:rsid w:val="4AAC5537"/>
    <w:rsid w:val="4AAD305D"/>
    <w:rsid w:val="4AAD40FF"/>
    <w:rsid w:val="4AAD41A4"/>
    <w:rsid w:val="4AAE0FE3"/>
    <w:rsid w:val="4AAE12AF"/>
    <w:rsid w:val="4AAE5753"/>
    <w:rsid w:val="4AAF1742"/>
    <w:rsid w:val="4AAF2E68"/>
    <w:rsid w:val="4AAF7382"/>
    <w:rsid w:val="4AAF7F32"/>
    <w:rsid w:val="4AB033A5"/>
    <w:rsid w:val="4AB07EAF"/>
    <w:rsid w:val="4AB10DA0"/>
    <w:rsid w:val="4AB12B4E"/>
    <w:rsid w:val="4AB14E40"/>
    <w:rsid w:val="4AB16D17"/>
    <w:rsid w:val="4AB20F2B"/>
    <w:rsid w:val="4AB21473"/>
    <w:rsid w:val="4AB224B1"/>
    <w:rsid w:val="4AB307FF"/>
    <w:rsid w:val="4AB3299E"/>
    <w:rsid w:val="4AB32D6A"/>
    <w:rsid w:val="4AB42891"/>
    <w:rsid w:val="4AB50890"/>
    <w:rsid w:val="4AB56AE2"/>
    <w:rsid w:val="4AB651B1"/>
    <w:rsid w:val="4AB662CE"/>
    <w:rsid w:val="4AB663B6"/>
    <w:rsid w:val="4AB73604"/>
    <w:rsid w:val="4AB80380"/>
    <w:rsid w:val="4AB820E1"/>
    <w:rsid w:val="4AB8212E"/>
    <w:rsid w:val="4AB83510"/>
    <w:rsid w:val="4AB83EDC"/>
    <w:rsid w:val="4AB861A7"/>
    <w:rsid w:val="4AB903AB"/>
    <w:rsid w:val="4AB94C1E"/>
    <w:rsid w:val="4AB973E7"/>
    <w:rsid w:val="4ABA28A7"/>
    <w:rsid w:val="4ABA3AAD"/>
    <w:rsid w:val="4ABA3B32"/>
    <w:rsid w:val="4ABA4045"/>
    <w:rsid w:val="4ABA40F8"/>
    <w:rsid w:val="4ABA5EA6"/>
    <w:rsid w:val="4ABB39CC"/>
    <w:rsid w:val="4ABC2D18"/>
    <w:rsid w:val="4ABC70AC"/>
    <w:rsid w:val="4ABD03D6"/>
    <w:rsid w:val="4ABD14F2"/>
    <w:rsid w:val="4ABD2B34"/>
    <w:rsid w:val="4ABE526B"/>
    <w:rsid w:val="4ABF34BD"/>
    <w:rsid w:val="4ABF6514"/>
    <w:rsid w:val="4AC03C7C"/>
    <w:rsid w:val="4AC05487"/>
    <w:rsid w:val="4AC057DB"/>
    <w:rsid w:val="4AC07235"/>
    <w:rsid w:val="4AC13F56"/>
    <w:rsid w:val="4AC15A9F"/>
    <w:rsid w:val="4AC15E63"/>
    <w:rsid w:val="4AC21ED8"/>
    <w:rsid w:val="4AC36325"/>
    <w:rsid w:val="4AC37A66"/>
    <w:rsid w:val="4AC40AD3"/>
    <w:rsid w:val="4AC42881"/>
    <w:rsid w:val="4AC42B02"/>
    <w:rsid w:val="4AC46D25"/>
    <w:rsid w:val="4AC53816"/>
    <w:rsid w:val="4AC53904"/>
    <w:rsid w:val="4AC53DBC"/>
    <w:rsid w:val="4AC62A9D"/>
    <w:rsid w:val="4AC65870"/>
    <w:rsid w:val="4AC67B6F"/>
    <w:rsid w:val="4AC72371"/>
    <w:rsid w:val="4AC72B1A"/>
    <w:rsid w:val="4AC7411F"/>
    <w:rsid w:val="4AC77877"/>
    <w:rsid w:val="4AC80D07"/>
    <w:rsid w:val="4AC846A6"/>
    <w:rsid w:val="4AC92197"/>
    <w:rsid w:val="4AC9666C"/>
    <w:rsid w:val="4ACA2D9D"/>
    <w:rsid w:val="4ACA7228"/>
    <w:rsid w:val="4ACA769A"/>
    <w:rsid w:val="4ACB190A"/>
    <w:rsid w:val="4ACC59BF"/>
    <w:rsid w:val="4ACC5A9E"/>
    <w:rsid w:val="4ACC654B"/>
    <w:rsid w:val="4ACC6B34"/>
    <w:rsid w:val="4ACC7988"/>
    <w:rsid w:val="4ACD2569"/>
    <w:rsid w:val="4ACD370E"/>
    <w:rsid w:val="4ACE1D64"/>
    <w:rsid w:val="4ACF1226"/>
    <w:rsid w:val="4ACF6FC9"/>
    <w:rsid w:val="4ACF7478"/>
    <w:rsid w:val="4AD040BF"/>
    <w:rsid w:val="4AD14F9E"/>
    <w:rsid w:val="4AD36F68"/>
    <w:rsid w:val="4AD4683C"/>
    <w:rsid w:val="4AD52CE0"/>
    <w:rsid w:val="4AD578A7"/>
    <w:rsid w:val="4AD64DDE"/>
    <w:rsid w:val="4AD66A58"/>
    <w:rsid w:val="4AD77089"/>
    <w:rsid w:val="4AD827D0"/>
    <w:rsid w:val="4AD84FD2"/>
    <w:rsid w:val="4AD8632C"/>
    <w:rsid w:val="4AD87052"/>
    <w:rsid w:val="4AD907E7"/>
    <w:rsid w:val="4AD9315C"/>
    <w:rsid w:val="4AD95B82"/>
    <w:rsid w:val="4AD978E9"/>
    <w:rsid w:val="4ADA6548"/>
    <w:rsid w:val="4ADB50F4"/>
    <w:rsid w:val="4ADB5F83"/>
    <w:rsid w:val="4ADB7BCB"/>
    <w:rsid w:val="4ADC4775"/>
    <w:rsid w:val="4ADD1A9D"/>
    <w:rsid w:val="4ADD1B95"/>
    <w:rsid w:val="4ADD3943"/>
    <w:rsid w:val="4ADD7792"/>
    <w:rsid w:val="4ADE114A"/>
    <w:rsid w:val="4ADE31AF"/>
    <w:rsid w:val="4ADE77E5"/>
    <w:rsid w:val="4ADF0C4E"/>
    <w:rsid w:val="4ADF2EB9"/>
    <w:rsid w:val="4ADF43BD"/>
    <w:rsid w:val="4ADF4649"/>
    <w:rsid w:val="4ADF5C77"/>
    <w:rsid w:val="4ADF6F8E"/>
    <w:rsid w:val="4AE01685"/>
    <w:rsid w:val="4AE01DD6"/>
    <w:rsid w:val="4AE02C96"/>
    <w:rsid w:val="4AE05B16"/>
    <w:rsid w:val="4AE05FA8"/>
    <w:rsid w:val="4AE10FB0"/>
    <w:rsid w:val="4AE20F59"/>
    <w:rsid w:val="4AE253FD"/>
    <w:rsid w:val="4AE327DE"/>
    <w:rsid w:val="4AE3610B"/>
    <w:rsid w:val="4AE42B1C"/>
    <w:rsid w:val="4AE439BE"/>
    <w:rsid w:val="4AE441AD"/>
    <w:rsid w:val="4AE50A49"/>
    <w:rsid w:val="4AE52AA6"/>
    <w:rsid w:val="4AE616BF"/>
    <w:rsid w:val="4AE63A88"/>
    <w:rsid w:val="4AE7656F"/>
    <w:rsid w:val="4AE802F1"/>
    <w:rsid w:val="4AE86B80"/>
    <w:rsid w:val="4AE922E8"/>
    <w:rsid w:val="4AE946FD"/>
    <w:rsid w:val="4AE9500F"/>
    <w:rsid w:val="4AE9678B"/>
    <w:rsid w:val="4AEA40A1"/>
    <w:rsid w:val="4AEA6060"/>
    <w:rsid w:val="4AEA7280"/>
    <w:rsid w:val="4AEB2504"/>
    <w:rsid w:val="4AEC002A"/>
    <w:rsid w:val="4AEC627C"/>
    <w:rsid w:val="4AED1592"/>
    <w:rsid w:val="4AEE3F4C"/>
    <w:rsid w:val="4AEE4A0B"/>
    <w:rsid w:val="4AEE5C96"/>
    <w:rsid w:val="4AEF3676"/>
    <w:rsid w:val="4AEF6A83"/>
    <w:rsid w:val="4AF03E46"/>
    <w:rsid w:val="4AF05D4A"/>
    <w:rsid w:val="4AF07B1A"/>
    <w:rsid w:val="4AF13892"/>
    <w:rsid w:val="4AF13957"/>
    <w:rsid w:val="4AF173EE"/>
    <w:rsid w:val="4AF20133"/>
    <w:rsid w:val="4AF23F74"/>
    <w:rsid w:val="4AF313B8"/>
    <w:rsid w:val="4AF33166"/>
    <w:rsid w:val="4AF33D06"/>
    <w:rsid w:val="4AF34F14"/>
    <w:rsid w:val="4AF37275"/>
    <w:rsid w:val="4AF37B33"/>
    <w:rsid w:val="4AF408B8"/>
    <w:rsid w:val="4AF42F8E"/>
    <w:rsid w:val="4AF5244C"/>
    <w:rsid w:val="4AF53014"/>
    <w:rsid w:val="4AF55130"/>
    <w:rsid w:val="4AF561A9"/>
    <w:rsid w:val="4AF56EDE"/>
    <w:rsid w:val="4AF57209"/>
    <w:rsid w:val="4AF60EA8"/>
    <w:rsid w:val="4AF62C56"/>
    <w:rsid w:val="4AF64A04"/>
    <w:rsid w:val="4AF869CF"/>
    <w:rsid w:val="4AF92706"/>
    <w:rsid w:val="4AF971FF"/>
    <w:rsid w:val="4AFA21CE"/>
    <w:rsid w:val="4AFA6AD9"/>
    <w:rsid w:val="4AFB026D"/>
    <w:rsid w:val="4AFB1021"/>
    <w:rsid w:val="4AFC379A"/>
    <w:rsid w:val="4AFC64BF"/>
    <w:rsid w:val="4AFD2237"/>
    <w:rsid w:val="4AFD46C8"/>
    <w:rsid w:val="4AFE43FA"/>
    <w:rsid w:val="4AFE7550"/>
    <w:rsid w:val="4AFF47E8"/>
    <w:rsid w:val="4AFF5FAF"/>
    <w:rsid w:val="4AFF6A8B"/>
    <w:rsid w:val="4AFF7D5D"/>
    <w:rsid w:val="4B001672"/>
    <w:rsid w:val="4B0062C7"/>
    <w:rsid w:val="4B007631"/>
    <w:rsid w:val="4B00782E"/>
    <w:rsid w:val="4B013AD5"/>
    <w:rsid w:val="4B01788B"/>
    <w:rsid w:val="4B022328"/>
    <w:rsid w:val="4B0233A9"/>
    <w:rsid w:val="4B0233B1"/>
    <w:rsid w:val="4B025A8C"/>
    <w:rsid w:val="4B025F5D"/>
    <w:rsid w:val="4B026592"/>
    <w:rsid w:val="4B026AB5"/>
    <w:rsid w:val="4B0323C8"/>
    <w:rsid w:val="4B033A83"/>
    <w:rsid w:val="4B03457A"/>
    <w:rsid w:val="4B0347A3"/>
    <w:rsid w:val="4B034EF9"/>
    <w:rsid w:val="4B041A6F"/>
    <w:rsid w:val="4B0435C5"/>
    <w:rsid w:val="4B046E84"/>
    <w:rsid w:val="4B054C48"/>
    <w:rsid w:val="4B0610EB"/>
    <w:rsid w:val="4B063DFE"/>
    <w:rsid w:val="4B0709C0"/>
    <w:rsid w:val="4B070DBE"/>
    <w:rsid w:val="4B074E64"/>
    <w:rsid w:val="4B084110"/>
    <w:rsid w:val="4B090BDC"/>
    <w:rsid w:val="4B094738"/>
    <w:rsid w:val="4B0A0ABA"/>
    <w:rsid w:val="4B0A12D3"/>
    <w:rsid w:val="4B0A368B"/>
    <w:rsid w:val="4B0A42CA"/>
    <w:rsid w:val="4B0A4FD7"/>
    <w:rsid w:val="4B0A717A"/>
    <w:rsid w:val="4B0A7321"/>
    <w:rsid w:val="4B0B1A88"/>
    <w:rsid w:val="4B0B5621"/>
    <w:rsid w:val="4B0C0623"/>
    <w:rsid w:val="4B0C247A"/>
    <w:rsid w:val="4B0C5AA2"/>
    <w:rsid w:val="4B0D06CC"/>
    <w:rsid w:val="4B0D2AAF"/>
    <w:rsid w:val="4B0D30A6"/>
    <w:rsid w:val="4B0D71E2"/>
    <w:rsid w:val="4B0E1D4E"/>
    <w:rsid w:val="4B0E571D"/>
    <w:rsid w:val="4B0E5D36"/>
    <w:rsid w:val="4B0E61F2"/>
    <w:rsid w:val="4B0F02D7"/>
    <w:rsid w:val="4B0F6794"/>
    <w:rsid w:val="4B101F6A"/>
    <w:rsid w:val="4B105AC6"/>
    <w:rsid w:val="4B11183E"/>
    <w:rsid w:val="4B114024"/>
    <w:rsid w:val="4B116CFB"/>
    <w:rsid w:val="4B125CE2"/>
    <w:rsid w:val="4B130258"/>
    <w:rsid w:val="4B1332AD"/>
    <w:rsid w:val="4B133808"/>
    <w:rsid w:val="4B1355B6"/>
    <w:rsid w:val="4B135E7E"/>
    <w:rsid w:val="4B137364"/>
    <w:rsid w:val="4B1530DD"/>
    <w:rsid w:val="4B15353E"/>
    <w:rsid w:val="4B1559B7"/>
    <w:rsid w:val="4B15783A"/>
    <w:rsid w:val="4B166E55"/>
    <w:rsid w:val="4B16705D"/>
    <w:rsid w:val="4B1730BE"/>
    <w:rsid w:val="4B1A4B97"/>
    <w:rsid w:val="4B1A6945"/>
    <w:rsid w:val="4B1A7813"/>
    <w:rsid w:val="4B1B26BD"/>
    <w:rsid w:val="4B1B40A8"/>
    <w:rsid w:val="4B1B446B"/>
    <w:rsid w:val="4B1B4DBC"/>
    <w:rsid w:val="4B1B6E18"/>
    <w:rsid w:val="4B1C03B8"/>
    <w:rsid w:val="4B1C4686"/>
    <w:rsid w:val="4B1C49B4"/>
    <w:rsid w:val="4B1C75E5"/>
    <w:rsid w:val="4B1C7A0A"/>
    <w:rsid w:val="4B1D01E3"/>
    <w:rsid w:val="4B1D4687"/>
    <w:rsid w:val="4B1D6435"/>
    <w:rsid w:val="4B1D6F30"/>
    <w:rsid w:val="4B1F1E4C"/>
    <w:rsid w:val="4B1F21AD"/>
    <w:rsid w:val="4B1F2F07"/>
    <w:rsid w:val="4B20558B"/>
    <w:rsid w:val="4B207D0D"/>
    <w:rsid w:val="4B210482"/>
    <w:rsid w:val="4B2108F3"/>
    <w:rsid w:val="4B21330F"/>
    <w:rsid w:val="4B215FFD"/>
    <w:rsid w:val="4B221E63"/>
    <w:rsid w:val="4B223A4B"/>
    <w:rsid w:val="4B2257F9"/>
    <w:rsid w:val="4B225CF9"/>
    <w:rsid w:val="4B232B7B"/>
    <w:rsid w:val="4B240FB3"/>
    <w:rsid w:val="4B241C17"/>
    <w:rsid w:val="4B245E00"/>
    <w:rsid w:val="4B2477C4"/>
    <w:rsid w:val="4B254A2A"/>
    <w:rsid w:val="4B257098"/>
    <w:rsid w:val="4B2579D9"/>
    <w:rsid w:val="4B2652EA"/>
    <w:rsid w:val="4B27353A"/>
    <w:rsid w:val="4B275459"/>
    <w:rsid w:val="4B283AF2"/>
    <w:rsid w:val="4B284BDC"/>
    <w:rsid w:val="4B285784"/>
    <w:rsid w:val="4B29014C"/>
    <w:rsid w:val="4B29302C"/>
    <w:rsid w:val="4B294DDA"/>
    <w:rsid w:val="4B295727"/>
    <w:rsid w:val="4B296B88"/>
    <w:rsid w:val="4B2B0B52"/>
    <w:rsid w:val="4B2B2900"/>
    <w:rsid w:val="4B2B29C4"/>
    <w:rsid w:val="4B2B6DA4"/>
    <w:rsid w:val="4B2B77A3"/>
    <w:rsid w:val="4B2C0426"/>
    <w:rsid w:val="4B2C447B"/>
    <w:rsid w:val="4B2C5595"/>
    <w:rsid w:val="4B2C5D7D"/>
    <w:rsid w:val="4B2C6678"/>
    <w:rsid w:val="4B2D0336"/>
    <w:rsid w:val="4B2E07CF"/>
    <w:rsid w:val="4B2E5353"/>
    <w:rsid w:val="4B2F3F16"/>
    <w:rsid w:val="4B30028E"/>
    <w:rsid w:val="4B3043BA"/>
    <w:rsid w:val="4B307F16"/>
    <w:rsid w:val="4B313C8F"/>
    <w:rsid w:val="4B315A3D"/>
    <w:rsid w:val="4B320132"/>
    <w:rsid w:val="4B322A64"/>
    <w:rsid w:val="4B340CF1"/>
    <w:rsid w:val="4B344504"/>
    <w:rsid w:val="4B3469D9"/>
    <w:rsid w:val="4B354F31"/>
    <w:rsid w:val="4B36139E"/>
    <w:rsid w:val="4B375749"/>
    <w:rsid w:val="4B380701"/>
    <w:rsid w:val="4B383FB4"/>
    <w:rsid w:val="4B38501D"/>
    <w:rsid w:val="4B386BAF"/>
    <w:rsid w:val="4B386DCB"/>
    <w:rsid w:val="4B390433"/>
    <w:rsid w:val="4B3A0B60"/>
    <w:rsid w:val="4B3A1029"/>
    <w:rsid w:val="4B3B2D08"/>
    <w:rsid w:val="4B3B68BB"/>
    <w:rsid w:val="4B3B6EF7"/>
    <w:rsid w:val="4B3C0126"/>
    <w:rsid w:val="4B3C0E21"/>
    <w:rsid w:val="4B3C2D5F"/>
    <w:rsid w:val="4B3C4B0D"/>
    <w:rsid w:val="4B3C5738"/>
    <w:rsid w:val="4B3C5D15"/>
    <w:rsid w:val="4B3C60EE"/>
    <w:rsid w:val="4B3D0885"/>
    <w:rsid w:val="4B3D0AFC"/>
    <w:rsid w:val="4B3D2633"/>
    <w:rsid w:val="4B3D3B99"/>
    <w:rsid w:val="4B3D4425"/>
    <w:rsid w:val="4B3D651A"/>
    <w:rsid w:val="4B3D6AD7"/>
    <w:rsid w:val="4B3E34EB"/>
    <w:rsid w:val="4B3E37F6"/>
    <w:rsid w:val="4B3F0159"/>
    <w:rsid w:val="4B3F0270"/>
    <w:rsid w:val="4B3F09A8"/>
    <w:rsid w:val="4B3F337C"/>
    <w:rsid w:val="4B40126C"/>
    <w:rsid w:val="4B404CF7"/>
    <w:rsid w:val="4B404E69"/>
    <w:rsid w:val="4B404F60"/>
    <w:rsid w:val="4B4102A7"/>
    <w:rsid w:val="4B410375"/>
    <w:rsid w:val="4B41102A"/>
    <w:rsid w:val="4B411787"/>
    <w:rsid w:val="4B412124"/>
    <w:rsid w:val="4B41632B"/>
    <w:rsid w:val="4B425E9C"/>
    <w:rsid w:val="4B427BF1"/>
    <w:rsid w:val="4B430C4B"/>
    <w:rsid w:val="4B4316AD"/>
    <w:rsid w:val="4B4327E6"/>
    <w:rsid w:val="4B4340EE"/>
    <w:rsid w:val="4B434576"/>
    <w:rsid w:val="4B442CE6"/>
    <w:rsid w:val="4B442FC1"/>
    <w:rsid w:val="4B44381C"/>
    <w:rsid w:val="4B451EBD"/>
    <w:rsid w:val="4B452F6D"/>
    <w:rsid w:val="4B453E97"/>
    <w:rsid w:val="4B456D7D"/>
    <w:rsid w:val="4B46053A"/>
    <w:rsid w:val="4B4614E8"/>
    <w:rsid w:val="4B4734B2"/>
    <w:rsid w:val="4B475260"/>
    <w:rsid w:val="4B481704"/>
    <w:rsid w:val="4B492A9E"/>
    <w:rsid w:val="4B49547C"/>
    <w:rsid w:val="4B495595"/>
    <w:rsid w:val="4B497CCE"/>
    <w:rsid w:val="4B4A201C"/>
    <w:rsid w:val="4B4A6ECF"/>
    <w:rsid w:val="4B4B11F4"/>
    <w:rsid w:val="4B4B4D50"/>
    <w:rsid w:val="4B4B7F55"/>
    <w:rsid w:val="4B4C086D"/>
    <w:rsid w:val="4B4C0AC8"/>
    <w:rsid w:val="4B4C0B87"/>
    <w:rsid w:val="4B4C2876"/>
    <w:rsid w:val="4B4C5E55"/>
    <w:rsid w:val="4B4C70F8"/>
    <w:rsid w:val="4B4D48CE"/>
    <w:rsid w:val="4B4E2A92"/>
    <w:rsid w:val="4B4E46D5"/>
    <w:rsid w:val="4B4E65EF"/>
    <w:rsid w:val="4B4E6DBC"/>
    <w:rsid w:val="4B4F659A"/>
    <w:rsid w:val="4B4F69B2"/>
    <w:rsid w:val="4B5005B9"/>
    <w:rsid w:val="4B50170D"/>
    <w:rsid w:val="4B502367"/>
    <w:rsid w:val="4B50324F"/>
    <w:rsid w:val="4B504DA3"/>
    <w:rsid w:val="4B5053E8"/>
    <w:rsid w:val="4B514A1F"/>
    <w:rsid w:val="4B517E8D"/>
    <w:rsid w:val="4B5236EA"/>
    <w:rsid w:val="4B5300A9"/>
    <w:rsid w:val="4B551F02"/>
    <w:rsid w:val="4B553E21"/>
    <w:rsid w:val="4B5541D6"/>
    <w:rsid w:val="4B555BCF"/>
    <w:rsid w:val="4B555C31"/>
    <w:rsid w:val="4B55797D"/>
    <w:rsid w:val="4B563C89"/>
    <w:rsid w:val="4B573A2A"/>
    <w:rsid w:val="4B576C2F"/>
    <w:rsid w:val="4B577B99"/>
    <w:rsid w:val="4B5856BF"/>
    <w:rsid w:val="4B585A6E"/>
    <w:rsid w:val="4B58626D"/>
    <w:rsid w:val="4B5871AC"/>
    <w:rsid w:val="4B58746D"/>
    <w:rsid w:val="4B5935B0"/>
    <w:rsid w:val="4B5A25B7"/>
    <w:rsid w:val="4B5A31E5"/>
    <w:rsid w:val="4B5A4B64"/>
    <w:rsid w:val="4B5A4F93"/>
    <w:rsid w:val="4B5A5750"/>
    <w:rsid w:val="4B5B534E"/>
    <w:rsid w:val="4B5B5DD4"/>
    <w:rsid w:val="4B5C0D0B"/>
    <w:rsid w:val="4B5C5B6A"/>
    <w:rsid w:val="4B5C6F5D"/>
    <w:rsid w:val="4B5D2CD5"/>
    <w:rsid w:val="4B5D4A84"/>
    <w:rsid w:val="4B5E2C33"/>
    <w:rsid w:val="4B5E5853"/>
    <w:rsid w:val="4B5E60CF"/>
    <w:rsid w:val="4B5F07FC"/>
    <w:rsid w:val="4B5F6A4E"/>
    <w:rsid w:val="4B5F7C80"/>
    <w:rsid w:val="4B6119E3"/>
    <w:rsid w:val="4B614574"/>
    <w:rsid w:val="4B615E5A"/>
    <w:rsid w:val="4B616322"/>
    <w:rsid w:val="4B622061"/>
    <w:rsid w:val="4B62209A"/>
    <w:rsid w:val="4B622B3D"/>
    <w:rsid w:val="4B626DA5"/>
    <w:rsid w:val="4B627FC4"/>
    <w:rsid w:val="4B63024A"/>
    <w:rsid w:val="4B634797"/>
    <w:rsid w:val="4B63653E"/>
    <w:rsid w:val="4B637490"/>
    <w:rsid w:val="4B6403F9"/>
    <w:rsid w:val="4B6422B6"/>
    <w:rsid w:val="4B644064"/>
    <w:rsid w:val="4B64491C"/>
    <w:rsid w:val="4B645D5C"/>
    <w:rsid w:val="4B645E12"/>
    <w:rsid w:val="4B64748B"/>
    <w:rsid w:val="4B653D52"/>
    <w:rsid w:val="4B661B8A"/>
    <w:rsid w:val="4B663938"/>
    <w:rsid w:val="4B670046"/>
    <w:rsid w:val="4B670125"/>
    <w:rsid w:val="4B6725B9"/>
    <w:rsid w:val="4B6769ED"/>
    <w:rsid w:val="4B6776B0"/>
    <w:rsid w:val="4B681D2E"/>
    <w:rsid w:val="4B682692"/>
    <w:rsid w:val="4B68292E"/>
    <w:rsid w:val="4B685902"/>
    <w:rsid w:val="4B687E83"/>
    <w:rsid w:val="4B69167A"/>
    <w:rsid w:val="4B693428"/>
    <w:rsid w:val="4B69347A"/>
    <w:rsid w:val="4B6978CC"/>
    <w:rsid w:val="4B6A3DF6"/>
    <w:rsid w:val="4B6A5865"/>
    <w:rsid w:val="4B6A76EC"/>
    <w:rsid w:val="4B6A78ED"/>
    <w:rsid w:val="4B6B2018"/>
    <w:rsid w:val="4B6B650B"/>
    <w:rsid w:val="4B6B71A0"/>
    <w:rsid w:val="4B6B7E57"/>
    <w:rsid w:val="4B6C2A28"/>
    <w:rsid w:val="4B6C4A23"/>
    <w:rsid w:val="4B6C4CC7"/>
    <w:rsid w:val="4B6D0800"/>
    <w:rsid w:val="4B6D0836"/>
    <w:rsid w:val="4B6D2777"/>
    <w:rsid w:val="4B6D30F4"/>
    <w:rsid w:val="4B6E2DCB"/>
    <w:rsid w:val="4B6E462D"/>
    <w:rsid w:val="4B6E4EE3"/>
    <w:rsid w:val="4B6E73C3"/>
    <w:rsid w:val="4B700C5B"/>
    <w:rsid w:val="4B7047B7"/>
    <w:rsid w:val="4B707176"/>
    <w:rsid w:val="4B71210A"/>
    <w:rsid w:val="4B7122DD"/>
    <w:rsid w:val="4B716EB0"/>
    <w:rsid w:val="4B720D9C"/>
    <w:rsid w:val="4B724E48"/>
    <w:rsid w:val="4B726781"/>
    <w:rsid w:val="4B7324F9"/>
    <w:rsid w:val="4B736055"/>
    <w:rsid w:val="4B746095"/>
    <w:rsid w:val="4B7464EB"/>
    <w:rsid w:val="4B75001F"/>
    <w:rsid w:val="4B751DCD"/>
    <w:rsid w:val="4B756271"/>
    <w:rsid w:val="4B771FE9"/>
    <w:rsid w:val="4B7778F3"/>
    <w:rsid w:val="4B7802DF"/>
    <w:rsid w:val="4B7804F1"/>
    <w:rsid w:val="4B7818BD"/>
    <w:rsid w:val="4B796F10"/>
    <w:rsid w:val="4B797B0F"/>
    <w:rsid w:val="4B7C13AE"/>
    <w:rsid w:val="4B7C2455"/>
    <w:rsid w:val="4B7C2570"/>
    <w:rsid w:val="4B7D0C82"/>
    <w:rsid w:val="4B7D60AB"/>
    <w:rsid w:val="4B7D6ED4"/>
    <w:rsid w:val="4B7E0122"/>
    <w:rsid w:val="4B7E2836"/>
    <w:rsid w:val="4B7E3CEA"/>
    <w:rsid w:val="4B7F0C10"/>
    <w:rsid w:val="4B7F2773"/>
    <w:rsid w:val="4B7F49FA"/>
    <w:rsid w:val="4B7F5883"/>
    <w:rsid w:val="4B7F62CD"/>
    <w:rsid w:val="4B7F62DD"/>
    <w:rsid w:val="4B7F6393"/>
    <w:rsid w:val="4B7F7482"/>
    <w:rsid w:val="4B800E83"/>
    <w:rsid w:val="4B802F8F"/>
    <w:rsid w:val="4B80463C"/>
    <w:rsid w:val="4B805862"/>
    <w:rsid w:val="4B814C16"/>
    <w:rsid w:val="4B8169C4"/>
    <w:rsid w:val="4B821AF3"/>
    <w:rsid w:val="4B83098E"/>
    <w:rsid w:val="4B8322F0"/>
    <w:rsid w:val="4B835837"/>
    <w:rsid w:val="4B840CAF"/>
    <w:rsid w:val="4B842010"/>
    <w:rsid w:val="4B842C60"/>
    <w:rsid w:val="4B853015"/>
    <w:rsid w:val="4B8545B6"/>
    <w:rsid w:val="4B856FDC"/>
    <w:rsid w:val="4B863A81"/>
    <w:rsid w:val="4B863FDA"/>
    <w:rsid w:val="4B865A2C"/>
    <w:rsid w:val="4B8664CD"/>
    <w:rsid w:val="4B8678A9"/>
    <w:rsid w:val="4B872361"/>
    <w:rsid w:val="4B882210"/>
    <w:rsid w:val="4B883A34"/>
    <w:rsid w:val="4B8874CF"/>
    <w:rsid w:val="4B887CA6"/>
    <w:rsid w:val="4B895FDD"/>
    <w:rsid w:val="4B897627"/>
    <w:rsid w:val="4B8A5FB1"/>
    <w:rsid w:val="4B8B15F1"/>
    <w:rsid w:val="4B8B2133"/>
    <w:rsid w:val="4B8B253D"/>
    <w:rsid w:val="4B8B7843"/>
    <w:rsid w:val="4B8C0C0B"/>
    <w:rsid w:val="4B8C328B"/>
    <w:rsid w:val="4B8D5369"/>
    <w:rsid w:val="4B8D7117"/>
    <w:rsid w:val="4B8E31F1"/>
    <w:rsid w:val="4B8E790E"/>
    <w:rsid w:val="4B8F2746"/>
    <w:rsid w:val="4B8F2A67"/>
    <w:rsid w:val="4B8F7333"/>
    <w:rsid w:val="4B9009B5"/>
    <w:rsid w:val="4B906C07"/>
    <w:rsid w:val="4B9106E2"/>
    <w:rsid w:val="4B92297F"/>
    <w:rsid w:val="4B9252EC"/>
    <w:rsid w:val="4B925C57"/>
    <w:rsid w:val="4B930C42"/>
    <w:rsid w:val="4B93319E"/>
    <w:rsid w:val="4B9366F7"/>
    <w:rsid w:val="4B936E1A"/>
    <w:rsid w:val="4B937C85"/>
    <w:rsid w:val="4B940DC2"/>
    <w:rsid w:val="4B941664"/>
    <w:rsid w:val="4B944EC6"/>
    <w:rsid w:val="4B9506C1"/>
    <w:rsid w:val="4B95421D"/>
    <w:rsid w:val="4B954C08"/>
    <w:rsid w:val="4B955DD8"/>
    <w:rsid w:val="4B956A9B"/>
    <w:rsid w:val="4B96081F"/>
    <w:rsid w:val="4B961983"/>
    <w:rsid w:val="4B970143"/>
    <w:rsid w:val="4B971D44"/>
    <w:rsid w:val="4B977F46"/>
    <w:rsid w:val="4B982C84"/>
    <w:rsid w:val="4B987E50"/>
    <w:rsid w:val="4B990AD9"/>
    <w:rsid w:val="4B99165E"/>
    <w:rsid w:val="4B99689A"/>
    <w:rsid w:val="4B9A117C"/>
    <w:rsid w:val="4B9A5CD8"/>
    <w:rsid w:val="4B9A7A7B"/>
    <w:rsid w:val="4B9A7A86"/>
    <w:rsid w:val="4B9B00F7"/>
    <w:rsid w:val="4B9B02F6"/>
    <w:rsid w:val="4B9C1A50"/>
    <w:rsid w:val="4B9C517B"/>
    <w:rsid w:val="4B9C57F5"/>
    <w:rsid w:val="4B9D0B7C"/>
    <w:rsid w:val="4B9E6239"/>
    <w:rsid w:val="4B9E7576"/>
    <w:rsid w:val="4B9E7D1F"/>
    <w:rsid w:val="4B9F1F22"/>
    <w:rsid w:val="4B9F4176"/>
    <w:rsid w:val="4B9F509C"/>
    <w:rsid w:val="4B9F6E4A"/>
    <w:rsid w:val="4BA00B9B"/>
    <w:rsid w:val="4BA05250"/>
    <w:rsid w:val="4BA10E14"/>
    <w:rsid w:val="4BA1252B"/>
    <w:rsid w:val="4BA12BC2"/>
    <w:rsid w:val="4BA15123"/>
    <w:rsid w:val="4BA235D3"/>
    <w:rsid w:val="4BA32466"/>
    <w:rsid w:val="4BA32DDE"/>
    <w:rsid w:val="4BA33F87"/>
    <w:rsid w:val="4BA3693A"/>
    <w:rsid w:val="4BA478B5"/>
    <w:rsid w:val="4BA51A26"/>
    <w:rsid w:val="4BA52506"/>
    <w:rsid w:val="4BA52BB9"/>
    <w:rsid w:val="4BA623E6"/>
    <w:rsid w:val="4BA6467C"/>
    <w:rsid w:val="4BA65874"/>
    <w:rsid w:val="4BA6642B"/>
    <w:rsid w:val="4BA743F3"/>
    <w:rsid w:val="4BA744EF"/>
    <w:rsid w:val="4BA803F5"/>
    <w:rsid w:val="4BA864CD"/>
    <w:rsid w:val="4BA91A77"/>
    <w:rsid w:val="4BA95F1B"/>
    <w:rsid w:val="4BAA526B"/>
    <w:rsid w:val="4BAA594D"/>
    <w:rsid w:val="4BAB1C93"/>
    <w:rsid w:val="4BAB3A41"/>
    <w:rsid w:val="4BAB57EF"/>
    <w:rsid w:val="4BAB6BB2"/>
    <w:rsid w:val="4BAB70BA"/>
    <w:rsid w:val="4BAC2CCE"/>
    <w:rsid w:val="4BAD11F3"/>
    <w:rsid w:val="4BAD1567"/>
    <w:rsid w:val="4BAD5A0B"/>
    <w:rsid w:val="4BAE0BB6"/>
    <w:rsid w:val="4BAE268D"/>
    <w:rsid w:val="4BAE52DF"/>
    <w:rsid w:val="4BAF1783"/>
    <w:rsid w:val="4BAF2602"/>
    <w:rsid w:val="4BAF5928"/>
    <w:rsid w:val="4BAF6755"/>
    <w:rsid w:val="4BB01057"/>
    <w:rsid w:val="4BB0607D"/>
    <w:rsid w:val="4BB072A9"/>
    <w:rsid w:val="4BB07CCC"/>
    <w:rsid w:val="4BB1658B"/>
    <w:rsid w:val="4BB20BB0"/>
    <w:rsid w:val="4BB22C34"/>
    <w:rsid w:val="4BB24DCF"/>
    <w:rsid w:val="4BB26B7D"/>
    <w:rsid w:val="4BB40B47"/>
    <w:rsid w:val="4BB46342"/>
    <w:rsid w:val="4BB46D99"/>
    <w:rsid w:val="4BB50B63"/>
    <w:rsid w:val="4BB52B12"/>
    <w:rsid w:val="4BB5666E"/>
    <w:rsid w:val="4BB60F6D"/>
    <w:rsid w:val="4BB70638"/>
    <w:rsid w:val="4BB711A2"/>
    <w:rsid w:val="4BB723FD"/>
    <w:rsid w:val="4BB77EB1"/>
    <w:rsid w:val="4BB837B1"/>
    <w:rsid w:val="4BB86830"/>
    <w:rsid w:val="4BB876AE"/>
    <w:rsid w:val="4BB90721"/>
    <w:rsid w:val="4BB915F4"/>
    <w:rsid w:val="4BBA0128"/>
    <w:rsid w:val="4BBA34C0"/>
    <w:rsid w:val="4BBA3D87"/>
    <w:rsid w:val="4BBA4992"/>
    <w:rsid w:val="4BBC5A7B"/>
    <w:rsid w:val="4BBC79FC"/>
    <w:rsid w:val="4BBD12BD"/>
    <w:rsid w:val="4BBD2276"/>
    <w:rsid w:val="4BBD5522"/>
    <w:rsid w:val="4BBE0BC6"/>
    <w:rsid w:val="4BBE19C6"/>
    <w:rsid w:val="4BBE33D4"/>
    <w:rsid w:val="4BBE4FA8"/>
    <w:rsid w:val="4BBF129A"/>
    <w:rsid w:val="4BBF201F"/>
    <w:rsid w:val="4BBF4ADB"/>
    <w:rsid w:val="4BBF74EC"/>
    <w:rsid w:val="4BC0573E"/>
    <w:rsid w:val="4BC13264"/>
    <w:rsid w:val="4BC15012"/>
    <w:rsid w:val="4BC2579E"/>
    <w:rsid w:val="4BC307D9"/>
    <w:rsid w:val="4BC36FDC"/>
    <w:rsid w:val="4BC44B03"/>
    <w:rsid w:val="4BC468B1"/>
    <w:rsid w:val="4BC52D91"/>
    <w:rsid w:val="4BC55E91"/>
    <w:rsid w:val="4BC66ACD"/>
    <w:rsid w:val="4BC73382"/>
    <w:rsid w:val="4BC74010"/>
    <w:rsid w:val="4BC82845"/>
    <w:rsid w:val="4BC973E3"/>
    <w:rsid w:val="4BCA12BF"/>
    <w:rsid w:val="4BCA6DC8"/>
    <w:rsid w:val="4BCB5025"/>
    <w:rsid w:val="4BCB7C3F"/>
    <w:rsid w:val="4BCC4D54"/>
    <w:rsid w:val="4BCC5D64"/>
    <w:rsid w:val="4BCC6BD6"/>
    <w:rsid w:val="4BCD39B7"/>
    <w:rsid w:val="4BCD5B11"/>
    <w:rsid w:val="4BCE4281"/>
    <w:rsid w:val="4BCF0039"/>
    <w:rsid w:val="4BCF13C2"/>
    <w:rsid w:val="4BCF3BD3"/>
    <w:rsid w:val="4BD00888"/>
    <w:rsid w:val="4BD0199E"/>
    <w:rsid w:val="4BD033EB"/>
    <w:rsid w:val="4BD034A7"/>
    <w:rsid w:val="4BD046E5"/>
    <w:rsid w:val="4BD05255"/>
    <w:rsid w:val="4BD15B75"/>
    <w:rsid w:val="4BD20FCE"/>
    <w:rsid w:val="4BD21BD6"/>
    <w:rsid w:val="4BD23DD3"/>
    <w:rsid w:val="4BD324AA"/>
    <w:rsid w:val="4BD411EA"/>
    <w:rsid w:val="4BD5286C"/>
    <w:rsid w:val="4BD52D1E"/>
    <w:rsid w:val="4BD53689"/>
    <w:rsid w:val="4BD56EA4"/>
    <w:rsid w:val="4BD619E7"/>
    <w:rsid w:val="4BD702A6"/>
    <w:rsid w:val="4BD703B3"/>
    <w:rsid w:val="4BD72A88"/>
    <w:rsid w:val="4BD73978"/>
    <w:rsid w:val="4BD74836"/>
    <w:rsid w:val="4BD7721E"/>
    <w:rsid w:val="4BD8075A"/>
    <w:rsid w:val="4BD95797"/>
    <w:rsid w:val="4BD96800"/>
    <w:rsid w:val="4BD96D40"/>
    <w:rsid w:val="4BDA11FB"/>
    <w:rsid w:val="4BDA4326"/>
    <w:rsid w:val="4BDA49C7"/>
    <w:rsid w:val="4BDB2578"/>
    <w:rsid w:val="4BDB6362"/>
    <w:rsid w:val="4BDB7F53"/>
    <w:rsid w:val="4BDC009E"/>
    <w:rsid w:val="4BDC1E4C"/>
    <w:rsid w:val="4BDC3DB9"/>
    <w:rsid w:val="4BDC3F89"/>
    <w:rsid w:val="4BDD4118"/>
    <w:rsid w:val="4BDD55A8"/>
    <w:rsid w:val="4BDD5875"/>
    <w:rsid w:val="4BDE5BC4"/>
    <w:rsid w:val="4BDE6E82"/>
    <w:rsid w:val="4BDE7A28"/>
    <w:rsid w:val="4BDE7CD6"/>
    <w:rsid w:val="4BDF1609"/>
    <w:rsid w:val="4BDF193C"/>
    <w:rsid w:val="4BE01E4D"/>
    <w:rsid w:val="4BE02A99"/>
    <w:rsid w:val="4BE07B8E"/>
    <w:rsid w:val="4BE10103"/>
    <w:rsid w:val="4BE11211"/>
    <w:rsid w:val="4BE13F29"/>
    <w:rsid w:val="4BE150DE"/>
    <w:rsid w:val="4BE156B5"/>
    <w:rsid w:val="4BE168AD"/>
    <w:rsid w:val="4BE17463"/>
    <w:rsid w:val="4BE30F3B"/>
    <w:rsid w:val="4BE331DB"/>
    <w:rsid w:val="4BE35CA0"/>
    <w:rsid w:val="4BE40D01"/>
    <w:rsid w:val="4BE4177C"/>
    <w:rsid w:val="4BE41F6F"/>
    <w:rsid w:val="4BE428AA"/>
    <w:rsid w:val="4BE44FEB"/>
    <w:rsid w:val="4BE45480"/>
    <w:rsid w:val="4BE470A4"/>
    <w:rsid w:val="4BE5236A"/>
    <w:rsid w:val="4BE60F1D"/>
    <w:rsid w:val="4BE614DC"/>
    <w:rsid w:val="4BE64A79"/>
    <w:rsid w:val="4BE6690B"/>
    <w:rsid w:val="4BE66D1E"/>
    <w:rsid w:val="4BE73AB6"/>
    <w:rsid w:val="4BE807F1"/>
    <w:rsid w:val="4BE8259F"/>
    <w:rsid w:val="4BE83319"/>
    <w:rsid w:val="4BE86A43"/>
    <w:rsid w:val="4BE9528C"/>
    <w:rsid w:val="4BE96317"/>
    <w:rsid w:val="4BEA14D5"/>
    <w:rsid w:val="4BEA2AC3"/>
    <w:rsid w:val="4BEA36C4"/>
    <w:rsid w:val="4BEA7E5D"/>
    <w:rsid w:val="4BEB02E1"/>
    <w:rsid w:val="4BEB208F"/>
    <w:rsid w:val="4BEB5BB4"/>
    <w:rsid w:val="4BEB6533"/>
    <w:rsid w:val="4BEC277D"/>
    <w:rsid w:val="4BEC2CBC"/>
    <w:rsid w:val="4BED22AB"/>
    <w:rsid w:val="4BED4059"/>
    <w:rsid w:val="4BED5E07"/>
    <w:rsid w:val="4BED6455"/>
    <w:rsid w:val="4BED6AFE"/>
    <w:rsid w:val="4BED6C76"/>
    <w:rsid w:val="4BEE5272"/>
    <w:rsid w:val="4BEF1B80"/>
    <w:rsid w:val="4BEF7B95"/>
    <w:rsid w:val="4BF03B4A"/>
    <w:rsid w:val="4BF1125E"/>
    <w:rsid w:val="4BF11ABA"/>
    <w:rsid w:val="4BF13A1E"/>
    <w:rsid w:val="4BF2065A"/>
    <w:rsid w:val="4BF2341E"/>
    <w:rsid w:val="4BF278C2"/>
    <w:rsid w:val="4BF43789"/>
    <w:rsid w:val="4BF45801"/>
    <w:rsid w:val="4BF508B4"/>
    <w:rsid w:val="4BF541CA"/>
    <w:rsid w:val="4BF54F6F"/>
    <w:rsid w:val="4BF70291"/>
    <w:rsid w:val="4BF70A34"/>
    <w:rsid w:val="4BF754A5"/>
    <w:rsid w:val="4BF76C86"/>
    <w:rsid w:val="4BF80FD2"/>
    <w:rsid w:val="4BF81368"/>
    <w:rsid w:val="4BF90C50"/>
    <w:rsid w:val="4BF929FE"/>
    <w:rsid w:val="4BF947AC"/>
    <w:rsid w:val="4BF9566E"/>
    <w:rsid w:val="4BFA22D2"/>
    <w:rsid w:val="4BFB3CBA"/>
    <w:rsid w:val="4BFB53E8"/>
    <w:rsid w:val="4BFB6342"/>
    <w:rsid w:val="4BFC429C"/>
    <w:rsid w:val="4BFC604B"/>
    <w:rsid w:val="4BFD1BED"/>
    <w:rsid w:val="4BFE0015"/>
    <w:rsid w:val="4BFE3C9D"/>
    <w:rsid w:val="4BFE6267"/>
    <w:rsid w:val="4BFF02FC"/>
    <w:rsid w:val="4BFF0BF2"/>
    <w:rsid w:val="4BFF29C8"/>
    <w:rsid w:val="4BFF5133"/>
    <w:rsid w:val="4BFF74B1"/>
    <w:rsid w:val="4BFF7C3D"/>
    <w:rsid w:val="4C00047A"/>
    <w:rsid w:val="4C003D8D"/>
    <w:rsid w:val="4C0104C1"/>
    <w:rsid w:val="4C012324"/>
    <w:rsid w:val="4C0132BF"/>
    <w:rsid w:val="4C013661"/>
    <w:rsid w:val="4C0160E3"/>
    <w:rsid w:val="4C017910"/>
    <w:rsid w:val="4C024209"/>
    <w:rsid w:val="4C0373D9"/>
    <w:rsid w:val="4C043151"/>
    <w:rsid w:val="4C0459C8"/>
    <w:rsid w:val="4C047A21"/>
    <w:rsid w:val="4C050346"/>
    <w:rsid w:val="4C054A64"/>
    <w:rsid w:val="4C061897"/>
    <w:rsid w:val="4C066EC9"/>
    <w:rsid w:val="4C07336D"/>
    <w:rsid w:val="4C073A5A"/>
    <w:rsid w:val="4C073CC9"/>
    <w:rsid w:val="4C077D8F"/>
    <w:rsid w:val="4C080527"/>
    <w:rsid w:val="4C080E93"/>
    <w:rsid w:val="4C0849EF"/>
    <w:rsid w:val="4C084C42"/>
    <w:rsid w:val="4C0A72D4"/>
    <w:rsid w:val="4C0B0EB0"/>
    <w:rsid w:val="4C0B2731"/>
    <w:rsid w:val="4C0B3787"/>
    <w:rsid w:val="4C0B479C"/>
    <w:rsid w:val="4C0B78B5"/>
    <w:rsid w:val="4C0D0B6E"/>
    <w:rsid w:val="4C0D2006"/>
    <w:rsid w:val="4C0D64AA"/>
    <w:rsid w:val="4C0E0F49"/>
    <w:rsid w:val="4C0E2026"/>
    <w:rsid w:val="4C0E640D"/>
    <w:rsid w:val="4C0F2222"/>
    <w:rsid w:val="4C0F4F55"/>
    <w:rsid w:val="4C0F5D7E"/>
    <w:rsid w:val="4C10068B"/>
    <w:rsid w:val="4C102B15"/>
    <w:rsid w:val="4C107D48"/>
    <w:rsid w:val="4C122435"/>
    <w:rsid w:val="4C12586E"/>
    <w:rsid w:val="4C126A80"/>
    <w:rsid w:val="4C127068"/>
    <w:rsid w:val="4C1302E3"/>
    <w:rsid w:val="4C1326C5"/>
    <w:rsid w:val="4C14066F"/>
    <w:rsid w:val="4C143394"/>
    <w:rsid w:val="4C143D97"/>
    <w:rsid w:val="4C144E0A"/>
    <w:rsid w:val="4C152E18"/>
    <w:rsid w:val="4C15535E"/>
    <w:rsid w:val="4C155B9F"/>
    <w:rsid w:val="4C160AFB"/>
    <w:rsid w:val="4C1635B0"/>
    <w:rsid w:val="4C166E79"/>
    <w:rsid w:val="4C1672F2"/>
    <w:rsid w:val="4C170E71"/>
    <w:rsid w:val="4C1710D6"/>
    <w:rsid w:val="4C172E84"/>
    <w:rsid w:val="4C172F09"/>
    <w:rsid w:val="4C173A9C"/>
    <w:rsid w:val="4C177464"/>
    <w:rsid w:val="4C182651"/>
    <w:rsid w:val="4C196BFC"/>
    <w:rsid w:val="4C1A4723"/>
    <w:rsid w:val="4C1A6C8C"/>
    <w:rsid w:val="4C1A71C0"/>
    <w:rsid w:val="4C1B1C30"/>
    <w:rsid w:val="4C1C049B"/>
    <w:rsid w:val="4C1C35F7"/>
    <w:rsid w:val="4C1C493F"/>
    <w:rsid w:val="4C1C66ED"/>
    <w:rsid w:val="4C1D1FAE"/>
    <w:rsid w:val="4C1E2465"/>
    <w:rsid w:val="4C1E4213"/>
    <w:rsid w:val="4C1E42C6"/>
    <w:rsid w:val="4C1E5BF9"/>
    <w:rsid w:val="4C1F487B"/>
    <w:rsid w:val="4C1F5BC0"/>
    <w:rsid w:val="4C20094D"/>
    <w:rsid w:val="4C201F6A"/>
    <w:rsid w:val="4C2061DD"/>
    <w:rsid w:val="4C207421"/>
    <w:rsid w:val="4C207F8B"/>
    <w:rsid w:val="4C212507"/>
    <w:rsid w:val="4C212AFC"/>
    <w:rsid w:val="4C213D03"/>
    <w:rsid w:val="4C215AB1"/>
    <w:rsid w:val="4C2205FF"/>
    <w:rsid w:val="4C224884"/>
    <w:rsid w:val="4C22541C"/>
    <w:rsid w:val="4C226EE3"/>
    <w:rsid w:val="4C2316E7"/>
    <w:rsid w:val="4C231BC1"/>
    <w:rsid w:val="4C235CCD"/>
    <w:rsid w:val="4C237A7B"/>
    <w:rsid w:val="4C24147D"/>
    <w:rsid w:val="4C250050"/>
    <w:rsid w:val="4C254AA8"/>
    <w:rsid w:val="4C261319"/>
    <w:rsid w:val="4C2630C7"/>
    <w:rsid w:val="4C2635C6"/>
    <w:rsid w:val="4C266086"/>
    <w:rsid w:val="4C2665B0"/>
    <w:rsid w:val="4C26696E"/>
    <w:rsid w:val="4C285091"/>
    <w:rsid w:val="4C287494"/>
    <w:rsid w:val="4C292002"/>
    <w:rsid w:val="4C294226"/>
    <w:rsid w:val="4C2964F2"/>
    <w:rsid w:val="4C2A0E0A"/>
    <w:rsid w:val="4C2A21FE"/>
    <w:rsid w:val="4C2A2657"/>
    <w:rsid w:val="4C2A705C"/>
    <w:rsid w:val="4C2B110D"/>
    <w:rsid w:val="4C2B36B5"/>
    <w:rsid w:val="4C2C15D1"/>
    <w:rsid w:val="4C2C2DD4"/>
    <w:rsid w:val="4C2C351A"/>
    <w:rsid w:val="4C2C52AC"/>
    <w:rsid w:val="4C2D08FA"/>
    <w:rsid w:val="4C2D1536"/>
    <w:rsid w:val="4C2D7292"/>
    <w:rsid w:val="4C2E2B61"/>
    <w:rsid w:val="4C2E4820"/>
    <w:rsid w:val="4C2E5100"/>
    <w:rsid w:val="4C2F01CE"/>
    <w:rsid w:val="4C2F313B"/>
    <w:rsid w:val="4C2F5C8C"/>
    <w:rsid w:val="4C2F6590"/>
    <w:rsid w:val="4C30584E"/>
    <w:rsid w:val="4C3103EA"/>
    <w:rsid w:val="4C312198"/>
    <w:rsid w:val="4C3170F6"/>
    <w:rsid w:val="4C3200F1"/>
    <w:rsid w:val="4C322DD9"/>
    <w:rsid w:val="4C330503"/>
    <w:rsid w:val="4C33092C"/>
    <w:rsid w:val="4C3321FE"/>
    <w:rsid w:val="4C341C88"/>
    <w:rsid w:val="4C343A36"/>
    <w:rsid w:val="4C3457E4"/>
    <w:rsid w:val="4C346A0E"/>
    <w:rsid w:val="4C35155C"/>
    <w:rsid w:val="4C357803"/>
    <w:rsid w:val="4C360F5A"/>
    <w:rsid w:val="4C361137"/>
    <w:rsid w:val="4C362151"/>
    <w:rsid w:val="4C3658A8"/>
    <w:rsid w:val="4C365A00"/>
    <w:rsid w:val="4C371778"/>
    <w:rsid w:val="4C373527"/>
    <w:rsid w:val="4C3752D5"/>
    <w:rsid w:val="4C383131"/>
    <w:rsid w:val="4C39104D"/>
    <w:rsid w:val="4C3910AD"/>
    <w:rsid w:val="4C3918D4"/>
    <w:rsid w:val="4C392DFB"/>
    <w:rsid w:val="4C3A13A5"/>
    <w:rsid w:val="4C3B1BD6"/>
    <w:rsid w:val="4C3B49A3"/>
    <w:rsid w:val="4C3B4DC5"/>
    <w:rsid w:val="4C3B6274"/>
    <w:rsid w:val="4C3C0B94"/>
    <w:rsid w:val="4C3C44A4"/>
    <w:rsid w:val="4C3E15A6"/>
    <w:rsid w:val="4C3E2B07"/>
    <w:rsid w:val="4C3E4868"/>
    <w:rsid w:val="4C3F4944"/>
    <w:rsid w:val="4C3F6085"/>
    <w:rsid w:val="4C40062D"/>
    <w:rsid w:val="4C401AB1"/>
    <w:rsid w:val="4C405DD4"/>
    <w:rsid w:val="4C406A18"/>
    <w:rsid w:val="4C407861"/>
    <w:rsid w:val="4C412DB2"/>
    <w:rsid w:val="4C4146A7"/>
    <w:rsid w:val="4C41565A"/>
    <w:rsid w:val="4C417F01"/>
    <w:rsid w:val="4C421E8C"/>
    <w:rsid w:val="4C424368"/>
    <w:rsid w:val="4C425841"/>
    <w:rsid w:val="4C425E4D"/>
    <w:rsid w:val="4C43011D"/>
    <w:rsid w:val="4C4354B9"/>
    <w:rsid w:val="4C435E96"/>
    <w:rsid w:val="4C436BE5"/>
    <w:rsid w:val="4C447326"/>
    <w:rsid w:val="4C453E95"/>
    <w:rsid w:val="4C454A60"/>
    <w:rsid w:val="4C46376A"/>
    <w:rsid w:val="4C475CA7"/>
    <w:rsid w:val="4C481290"/>
    <w:rsid w:val="4C482703"/>
    <w:rsid w:val="4C485734"/>
    <w:rsid w:val="4C4874E2"/>
    <w:rsid w:val="4C4876FE"/>
    <w:rsid w:val="4C492576"/>
    <w:rsid w:val="4C4A0649"/>
    <w:rsid w:val="4C4A3198"/>
    <w:rsid w:val="4C4A325A"/>
    <w:rsid w:val="4C4A3D19"/>
    <w:rsid w:val="4C4B6313"/>
    <w:rsid w:val="4C4B7FDE"/>
    <w:rsid w:val="4C4C303E"/>
    <w:rsid w:val="4C4C5AB8"/>
    <w:rsid w:val="4C4D29E7"/>
    <w:rsid w:val="4C4D5D9B"/>
    <w:rsid w:val="4C4D6F48"/>
    <w:rsid w:val="4C4E4831"/>
    <w:rsid w:val="4C4F0870"/>
    <w:rsid w:val="4C4F1604"/>
    <w:rsid w:val="4C4F261E"/>
    <w:rsid w:val="4C4F4439"/>
    <w:rsid w:val="4C4F6AC2"/>
    <w:rsid w:val="4C507BE4"/>
    <w:rsid w:val="4C511632"/>
    <w:rsid w:val="4C51283A"/>
    <w:rsid w:val="4C512C69"/>
    <w:rsid w:val="4C515898"/>
    <w:rsid w:val="4C516F03"/>
    <w:rsid w:val="4C525421"/>
    <w:rsid w:val="4C5336D2"/>
    <w:rsid w:val="4C534C6E"/>
    <w:rsid w:val="4C5358CA"/>
    <w:rsid w:val="4C540BCE"/>
    <w:rsid w:val="4C5440D8"/>
    <w:rsid w:val="4C5456DA"/>
    <w:rsid w:val="4C546E1B"/>
    <w:rsid w:val="4C547C35"/>
    <w:rsid w:val="4C555C3D"/>
    <w:rsid w:val="4C55664D"/>
    <w:rsid w:val="4C556A88"/>
    <w:rsid w:val="4C563007"/>
    <w:rsid w:val="4C563B83"/>
    <w:rsid w:val="4C567637"/>
    <w:rsid w:val="4C57579C"/>
    <w:rsid w:val="4C57625F"/>
    <w:rsid w:val="4C577725"/>
    <w:rsid w:val="4C582392"/>
    <w:rsid w:val="4C583BC9"/>
    <w:rsid w:val="4C583E07"/>
    <w:rsid w:val="4C5900BC"/>
    <w:rsid w:val="4C590753"/>
    <w:rsid w:val="4C59379A"/>
    <w:rsid w:val="4C5948FD"/>
    <w:rsid w:val="4C59524B"/>
    <w:rsid w:val="4C5B0FC3"/>
    <w:rsid w:val="4C5B17D5"/>
    <w:rsid w:val="4C5B4DD9"/>
    <w:rsid w:val="4C5B7215"/>
    <w:rsid w:val="4C5C2F8D"/>
    <w:rsid w:val="4C5C4D3B"/>
    <w:rsid w:val="4C5D11DF"/>
    <w:rsid w:val="4C5D160E"/>
    <w:rsid w:val="4C5E6D05"/>
    <w:rsid w:val="4C5E6F43"/>
    <w:rsid w:val="4C5F70AB"/>
    <w:rsid w:val="4C602858"/>
    <w:rsid w:val="4C602A7D"/>
    <w:rsid w:val="4C60482B"/>
    <w:rsid w:val="4C606B6A"/>
    <w:rsid w:val="4C611B45"/>
    <w:rsid w:val="4C612351"/>
    <w:rsid w:val="4C616192"/>
    <w:rsid w:val="4C617F8F"/>
    <w:rsid w:val="4C6201DA"/>
    <w:rsid w:val="4C627CDE"/>
    <w:rsid w:val="4C633D3F"/>
    <w:rsid w:val="4C63427A"/>
    <w:rsid w:val="4C6360CA"/>
    <w:rsid w:val="4C641F25"/>
    <w:rsid w:val="4C643805"/>
    <w:rsid w:val="4C645728"/>
    <w:rsid w:val="4C64639A"/>
    <w:rsid w:val="4C651E42"/>
    <w:rsid w:val="4C652B4F"/>
    <w:rsid w:val="4C653BF0"/>
    <w:rsid w:val="4C654C7A"/>
    <w:rsid w:val="4C6562E6"/>
    <w:rsid w:val="4C65665F"/>
    <w:rsid w:val="4C657DA0"/>
    <w:rsid w:val="4C657DB3"/>
    <w:rsid w:val="4C667968"/>
    <w:rsid w:val="4C6726C0"/>
    <w:rsid w:val="4C675BBA"/>
    <w:rsid w:val="4C682784"/>
    <w:rsid w:val="4C6836E0"/>
    <w:rsid w:val="4C692009"/>
    <w:rsid w:val="4C693341"/>
    <w:rsid w:val="4C6977C5"/>
    <w:rsid w:val="4C6A38FC"/>
    <w:rsid w:val="4C6B4F7E"/>
    <w:rsid w:val="4C6B5228"/>
    <w:rsid w:val="4C6B71E1"/>
    <w:rsid w:val="4C6C1422"/>
    <w:rsid w:val="4C6C27E0"/>
    <w:rsid w:val="4C6C2DBF"/>
    <w:rsid w:val="4C6C3961"/>
    <w:rsid w:val="4C6C3C35"/>
    <w:rsid w:val="4C6D0CF6"/>
    <w:rsid w:val="4C6D4408"/>
    <w:rsid w:val="4C6D519A"/>
    <w:rsid w:val="4C6D6532"/>
    <w:rsid w:val="4C6D6F48"/>
    <w:rsid w:val="4C6E069B"/>
    <w:rsid w:val="4C6E0FF4"/>
    <w:rsid w:val="4C6F0F12"/>
    <w:rsid w:val="4C6F2CC0"/>
    <w:rsid w:val="4C6F2EB1"/>
    <w:rsid w:val="4C6F4A6E"/>
    <w:rsid w:val="4C70222F"/>
    <w:rsid w:val="4C704EB3"/>
    <w:rsid w:val="4C707281"/>
    <w:rsid w:val="4C7142F0"/>
    <w:rsid w:val="4C715CED"/>
    <w:rsid w:val="4C72455F"/>
    <w:rsid w:val="4C725A12"/>
    <w:rsid w:val="4C72630D"/>
    <w:rsid w:val="4C72685D"/>
    <w:rsid w:val="4C731D91"/>
    <w:rsid w:val="4C7327B1"/>
    <w:rsid w:val="4C735844"/>
    <w:rsid w:val="4C7402D7"/>
    <w:rsid w:val="4C742085"/>
    <w:rsid w:val="4C7605FC"/>
    <w:rsid w:val="4C760D25"/>
    <w:rsid w:val="4C760F26"/>
    <w:rsid w:val="4C76404F"/>
    <w:rsid w:val="4C7675E4"/>
    <w:rsid w:val="4C773E2F"/>
    <w:rsid w:val="4C784AD5"/>
    <w:rsid w:val="4C790E8C"/>
    <w:rsid w:val="4C793B3F"/>
    <w:rsid w:val="4C79769B"/>
    <w:rsid w:val="4C7976A6"/>
    <w:rsid w:val="4C7B1665"/>
    <w:rsid w:val="4C7B3413"/>
    <w:rsid w:val="4C7B4A6C"/>
    <w:rsid w:val="4C7B5088"/>
    <w:rsid w:val="4C7B50F0"/>
    <w:rsid w:val="4C7B5CB0"/>
    <w:rsid w:val="4C7B633B"/>
    <w:rsid w:val="4C7C3456"/>
    <w:rsid w:val="4C7C6027"/>
    <w:rsid w:val="4C7D1C18"/>
    <w:rsid w:val="4C7D362F"/>
    <w:rsid w:val="4C7E1155"/>
    <w:rsid w:val="4C7E2F03"/>
    <w:rsid w:val="4C7E4CB1"/>
    <w:rsid w:val="4C7E5DCB"/>
    <w:rsid w:val="4C7E5ECA"/>
    <w:rsid w:val="4C7E5F01"/>
    <w:rsid w:val="4C7E722E"/>
    <w:rsid w:val="4C7F765B"/>
    <w:rsid w:val="4C806C7C"/>
    <w:rsid w:val="4C8106FD"/>
    <w:rsid w:val="4C8147A2"/>
    <w:rsid w:val="4C815E38"/>
    <w:rsid w:val="4C820DF1"/>
    <w:rsid w:val="4C820EB4"/>
    <w:rsid w:val="4C8229F4"/>
    <w:rsid w:val="4C8301AF"/>
    <w:rsid w:val="4C833329"/>
    <w:rsid w:val="4C83676C"/>
    <w:rsid w:val="4C8451A4"/>
    <w:rsid w:val="4C854063"/>
    <w:rsid w:val="4C856040"/>
    <w:rsid w:val="4C87313A"/>
    <w:rsid w:val="4C873AFE"/>
    <w:rsid w:val="4C874849"/>
    <w:rsid w:val="4C876AA5"/>
    <w:rsid w:val="4C880A8E"/>
    <w:rsid w:val="4C882619"/>
    <w:rsid w:val="4C8851E6"/>
    <w:rsid w:val="4C8855F9"/>
    <w:rsid w:val="4C891FD4"/>
    <w:rsid w:val="4C8A18A8"/>
    <w:rsid w:val="4C8A5D4C"/>
    <w:rsid w:val="4C8B54F3"/>
    <w:rsid w:val="4C8C5620"/>
    <w:rsid w:val="4C8C73CE"/>
    <w:rsid w:val="4C8D1398"/>
    <w:rsid w:val="4C8D1EAF"/>
    <w:rsid w:val="4C8D3D54"/>
    <w:rsid w:val="4C8E2C3B"/>
    <w:rsid w:val="4C8F1814"/>
    <w:rsid w:val="4C8F3363"/>
    <w:rsid w:val="4C8F63AD"/>
    <w:rsid w:val="4C900F09"/>
    <w:rsid w:val="4C910E89"/>
    <w:rsid w:val="4C912C37"/>
    <w:rsid w:val="4C9141EC"/>
    <w:rsid w:val="4C9149E5"/>
    <w:rsid w:val="4C92075D"/>
    <w:rsid w:val="4C9331FD"/>
    <w:rsid w:val="4C934BC0"/>
    <w:rsid w:val="4C936233"/>
    <w:rsid w:val="4C936D6E"/>
    <w:rsid w:val="4C937730"/>
    <w:rsid w:val="4C942B6D"/>
    <w:rsid w:val="4C944260"/>
    <w:rsid w:val="4C957630"/>
    <w:rsid w:val="4C96024D"/>
    <w:rsid w:val="4C9603F7"/>
    <w:rsid w:val="4C97005E"/>
    <w:rsid w:val="4C970202"/>
    <w:rsid w:val="4C972C2F"/>
    <w:rsid w:val="4C9743B6"/>
    <w:rsid w:val="4C974589"/>
    <w:rsid w:val="4C975D0B"/>
    <w:rsid w:val="4C983FC5"/>
    <w:rsid w:val="4C991F08"/>
    <w:rsid w:val="4C99371C"/>
    <w:rsid w:val="4C995039"/>
    <w:rsid w:val="4C9978BA"/>
    <w:rsid w:val="4C9B3AB5"/>
    <w:rsid w:val="4C9C18E3"/>
    <w:rsid w:val="4C9C2A40"/>
    <w:rsid w:val="4C9C39AE"/>
    <w:rsid w:val="4C9C559F"/>
    <w:rsid w:val="4C9D06B7"/>
    <w:rsid w:val="4C9D15DC"/>
    <w:rsid w:val="4C9D3A54"/>
    <w:rsid w:val="4C9D5A7F"/>
    <w:rsid w:val="4C9E3C95"/>
    <w:rsid w:val="4C9E5354"/>
    <w:rsid w:val="4C9E67F0"/>
    <w:rsid w:val="4C9E6DC0"/>
    <w:rsid w:val="4C9E7102"/>
    <w:rsid w:val="4C9F2A85"/>
    <w:rsid w:val="4C9F4630"/>
    <w:rsid w:val="4C9F467E"/>
    <w:rsid w:val="4CA02E7A"/>
    <w:rsid w:val="4CA0433D"/>
    <w:rsid w:val="4CA06198"/>
    <w:rsid w:val="4CA17D7D"/>
    <w:rsid w:val="4CA231FB"/>
    <w:rsid w:val="4CA24E44"/>
    <w:rsid w:val="4CA26BF2"/>
    <w:rsid w:val="4CA27D25"/>
    <w:rsid w:val="4CA31BFB"/>
    <w:rsid w:val="4CA3296A"/>
    <w:rsid w:val="4CA46E0E"/>
    <w:rsid w:val="4CA51434"/>
    <w:rsid w:val="4CA66498"/>
    <w:rsid w:val="4CA7245A"/>
    <w:rsid w:val="4CA72622"/>
    <w:rsid w:val="4CA72724"/>
    <w:rsid w:val="4CA77B53"/>
    <w:rsid w:val="4CA84268"/>
    <w:rsid w:val="4CA845D9"/>
    <w:rsid w:val="4CA8645C"/>
    <w:rsid w:val="4CA906E2"/>
    <w:rsid w:val="4CA95438"/>
    <w:rsid w:val="4CA962A7"/>
    <w:rsid w:val="4CA974AC"/>
    <w:rsid w:val="4CAA0A58"/>
    <w:rsid w:val="4CAA3844"/>
    <w:rsid w:val="4CAA3CF8"/>
    <w:rsid w:val="4CAA5AA7"/>
    <w:rsid w:val="4CAA7BB1"/>
    <w:rsid w:val="4CAB7DA9"/>
    <w:rsid w:val="4CAC024B"/>
    <w:rsid w:val="4CAD16C2"/>
    <w:rsid w:val="4CAD2284"/>
    <w:rsid w:val="4CAD4E55"/>
    <w:rsid w:val="4CAE158F"/>
    <w:rsid w:val="4CAE1A3B"/>
    <w:rsid w:val="4CAE37E9"/>
    <w:rsid w:val="4CAE46F8"/>
    <w:rsid w:val="4CAF2607"/>
    <w:rsid w:val="4CAF66DA"/>
    <w:rsid w:val="4CAF7561"/>
    <w:rsid w:val="4CB01B1D"/>
    <w:rsid w:val="4CB06169"/>
    <w:rsid w:val="4CB06596"/>
    <w:rsid w:val="4CB1020D"/>
    <w:rsid w:val="4CB11873"/>
    <w:rsid w:val="4CB132D9"/>
    <w:rsid w:val="4CB137D6"/>
    <w:rsid w:val="4CB15087"/>
    <w:rsid w:val="4CB16912"/>
    <w:rsid w:val="4CB35FD1"/>
    <w:rsid w:val="4CB37051"/>
    <w:rsid w:val="4CB371E7"/>
    <w:rsid w:val="4CB42DC9"/>
    <w:rsid w:val="4CB44B77"/>
    <w:rsid w:val="4CB46149"/>
    <w:rsid w:val="4CB55C44"/>
    <w:rsid w:val="4CB56786"/>
    <w:rsid w:val="4CB62160"/>
    <w:rsid w:val="4CB622D8"/>
    <w:rsid w:val="4CB6269D"/>
    <w:rsid w:val="4CB642BA"/>
    <w:rsid w:val="4CB66B41"/>
    <w:rsid w:val="4CB71349"/>
    <w:rsid w:val="4CB81145"/>
    <w:rsid w:val="4CB84018"/>
    <w:rsid w:val="4CB85AEA"/>
    <w:rsid w:val="4CB86415"/>
    <w:rsid w:val="4CB9218D"/>
    <w:rsid w:val="4CB93F3C"/>
    <w:rsid w:val="4CB964C7"/>
    <w:rsid w:val="4CB96F72"/>
    <w:rsid w:val="4CBA03DF"/>
    <w:rsid w:val="4CBA1EEE"/>
    <w:rsid w:val="4CBA3F14"/>
    <w:rsid w:val="4CBA5CCA"/>
    <w:rsid w:val="4CBA6FA6"/>
    <w:rsid w:val="4CBB2B7F"/>
    <w:rsid w:val="4CBB364F"/>
    <w:rsid w:val="4CBB4158"/>
    <w:rsid w:val="4CBB5F06"/>
    <w:rsid w:val="4CBB7CB4"/>
    <w:rsid w:val="4CBC34BA"/>
    <w:rsid w:val="4CBD54D7"/>
    <w:rsid w:val="4CBE1552"/>
    <w:rsid w:val="4CBE1B0F"/>
    <w:rsid w:val="4CBE4ABF"/>
    <w:rsid w:val="4CBE5DDA"/>
    <w:rsid w:val="4CBE77A4"/>
    <w:rsid w:val="4CBF2100"/>
    <w:rsid w:val="4CBF59F6"/>
    <w:rsid w:val="4CBF7A93"/>
    <w:rsid w:val="4CBF7AF9"/>
    <w:rsid w:val="4CC0351C"/>
    <w:rsid w:val="4CC10E03"/>
    <w:rsid w:val="4CC1157E"/>
    <w:rsid w:val="4CC208D3"/>
    <w:rsid w:val="4CC245E5"/>
    <w:rsid w:val="4CC27B3C"/>
    <w:rsid w:val="4CC319C1"/>
    <w:rsid w:val="4CC3236F"/>
    <w:rsid w:val="4CC34DBA"/>
    <w:rsid w:val="4CC351DA"/>
    <w:rsid w:val="4CC36B68"/>
    <w:rsid w:val="4CC40862"/>
    <w:rsid w:val="4CC411FA"/>
    <w:rsid w:val="4CC425C7"/>
    <w:rsid w:val="4CC451D3"/>
    <w:rsid w:val="4CC5050B"/>
    <w:rsid w:val="4CC528E0"/>
    <w:rsid w:val="4CC56A7E"/>
    <w:rsid w:val="4CC60007"/>
    <w:rsid w:val="4CC6023B"/>
    <w:rsid w:val="4CC6045D"/>
    <w:rsid w:val="4CC614C1"/>
    <w:rsid w:val="4CC72AFC"/>
    <w:rsid w:val="4CC72EDE"/>
    <w:rsid w:val="4CC748AA"/>
    <w:rsid w:val="4CC7713D"/>
    <w:rsid w:val="4CC805CD"/>
    <w:rsid w:val="4CC81293"/>
    <w:rsid w:val="4CC85B76"/>
    <w:rsid w:val="4CC90623"/>
    <w:rsid w:val="4CC91AC1"/>
    <w:rsid w:val="4CC91F76"/>
    <w:rsid w:val="4CC9370E"/>
    <w:rsid w:val="4CC96874"/>
    <w:rsid w:val="4CCA2AA8"/>
    <w:rsid w:val="4CCA439B"/>
    <w:rsid w:val="4CCA7EF7"/>
    <w:rsid w:val="4CCB21D2"/>
    <w:rsid w:val="4CCB50DA"/>
    <w:rsid w:val="4CCB580D"/>
    <w:rsid w:val="4CCC1871"/>
    <w:rsid w:val="4CCC1EC1"/>
    <w:rsid w:val="4CCE3E8B"/>
    <w:rsid w:val="4CCE5E23"/>
    <w:rsid w:val="4CCE6A8F"/>
    <w:rsid w:val="4CCE79E7"/>
    <w:rsid w:val="4CCF3977"/>
    <w:rsid w:val="4CCF6D5F"/>
    <w:rsid w:val="4CD07C03"/>
    <w:rsid w:val="4CD1167F"/>
    <w:rsid w:val="4CD15729"/>
    <w:rsid w:val="4CD25495"/>
    <w:rsid w:val="4CD27244"/>
    <w:rsid w:val="4CD27E1A"/>
    <w:rsid w:val="4CD314A1"/>
    <w:rsid w:val="4CD35713"/>
    <w:rsid w:val="4CD36B70"/>
    <w:rsid w:val="4CD416D1"/>
    <w:rsid w:val="4CD4314F"/>
    <w:rsid w:val="4CD47F1E"/>
    <w:rsid w:val="4CD513A4"/>
    <w:rsid w:val="4CD528D8"/>
    <w:rsid w:val="4CD5363D"/>
    <w:rsid w:val="4CD55219"/>
    <w:rsid w:val="4CD572F2"/>
    <w:rsid w:val="4CD60902"/>
    <w:rsid w:val="4CD60F91"/>
    <w:rsid w:val="4CD61765"/>
    <w:rsid w:val="4CD62D3F"/>
    <w:rsid w:val="4CD64061"/>
    <w:rsid w:val="4CD6475A"/>
    <w:rsid w:val="4CD6689C"/>
    <w:rsid w:val="4CD66B8D"/>
    <w:rsid w:val="4CD75E2C"/>
    <w:rsid w:val="4CD82703"/>
    <w:rsid w:val="4CD8364B"/>
    <w:rsid w:val="4CD86981"/>
    <w:rsid w:val="4CD8739E"/>
    <w:rsid w:val="4CD94010"/>
    <w:rsid w:val="4CD945DE"/>
    <w:rsid w:val="4CDA2830"/>
    <w:rsid w:val="4CDA32AA"/>
    <w:rsid w:val="4CDA3896"/>
    <w:rsid w:val="4CDB0356"/>
    <w:rsid w:val="4CDB2104"/>
    <w:rsid w:val="4CDB3066"/>
    <w:rsid w:val="4CDB47A8"/>
    <w:rsid w:val="4CDB65A8"/>
    <w:rsid w:val="4CDD0A1A"/>
    <w:rsid w:val="4CDD5E7C"/>
    <w:rsid w:val="4CDD7C2A"/>
    <w:rsid w:val="4CDE39A2"/>
    <w:rsid w:val="4CDF1BF4"/>
    <w:rsid w:val="4CDF3C83"/>
    <w:rsid w:val="4CDF614E"/>
    <w:rsid w:val="4CDF6503"/>
    <w:rsid w:val="4CDF7E46"/>
    <w:rsid w:val="4CE03BBE"/>
    <w:rsid w:val="4CE04669"/>
    <w:rsid w:val="4CE0596C"/>
    <w:rsid w:val="4CE0771A"/>
    <w:rsid w:val="4CE10AB5"/>
    <w:rsid w:val="4CE17EB1"/>
    <w:rsid w:val="4CE208F1"/>
    <w:rsid w:val="4CE25872"/>
    <w:rsid w:val="4CE27519"/>
    <w:rsid w:val="4CE30FB8"/>
    <w:rsid w:val="4CE33B79"/>
    <w:rsid w:val="4CE3489E"/>
    <w:rsid w:val="4CE34C1D"/>
    <w:rsid w:val="4CE356D9"/>
    <w:rsid w:val="4CE36A34"/>
    <w:rsid w:val="4CE40CD3"/>
    <w:rsid w:val="4CE54CFF"/>
    <w:rsid w:val="4CE62415"/>
    <w:rsid w:val="4CE63AB6"/>
    <w:rsid w:val="4CE63B56"/>
    <w:rsid w:val="4CE679B9"/>
    <w:rsid w:val="4CE70AA9"/>
    <w:rsid w:val="4CE74093"/>
    <w:rsid w:val="4CE74F4D"/>
    <w:rsid w:val="4CE76CFB"/>
    <w:rsid w:val="4CE8206F"/>
    <w:rsid w:val="4CE83658"/>
    <w:rsid w:val="4CE87C56"/>
    <w:rsid w:val="4CE90CC5"/>
    <w:rsid w:val="4CE924D7"/>
    <w:rsid w:val="4CE92A73"/>
    <w:rsid w:val="4CEA0588"/>
    <w:rsid w:val="4CEA0599"/>
    <w:rsid w:val="4CEA2347"/>
    <w:rsid w:val="4CEC2563"/>
    <w:rsid w:val="4CEC2ED5"/>
    <w:rsid w:val="4CEC4311"/>
    <w:rsid w:val="4CEC60BF"/>
    <w:rsid w:val="4CEC77D5"/>
    <w:rsid w:val="4CED66AC"/>
    <w:rsid w:val="4CEE0A4E"/>
    <w:rsid w:val="4CEE39E6"/>
    <w:rsid w:val="4CEE4856"/>
    <w:rsid w:val="4CEE62DB"/>
    <w:rsid w:val="4CEF23CF"/>
    <w:rsid w:val="4CEF795D"/>
    <w:rsid w:val="4CF02266"/>
    <w:rsid w:val="4CF03E01"/>
    <w:rsid w:val="4CF05B1F"/>
    <w:rsid w:val="4CF136D5"/>
    <w:rsid w:val="4CF13A14"/>
    <w:rsid w:val="4CF16E87"/>
    <w:rsid w:val="4CF17B79"/>
    <w:rsid w:val="4CF17D0F"/>
    <w:rsid w:val="4CF213BF"/>
    <w:rsid w:val="4CF338F1"/>
    <w:rsid w:val="4CF3744D"/>
    <w:rsid w:val="4CF43D45"/>
    <w:rsid w:val="4CF44A19"/>
    <w:rsid w:val="4CF44B7D"/>
    <w:rsid w:val="4CF46753"/>
    <w:rsid w:val="4CF51418"/>
    <w:rsid w:val="4CF5512A"/>
    <w:rsid w:val="4CF55FFC"/>
    <w:rsid w:val="4CF60CEC"/>
    <w:rsid w:val="4CF64446"/>
    <w:rsid w:val="4CF65B9C"/>
    <w:rsid w:val="4CF66040"/>
    <w:rsid w:val="4CF73886"/>
    <w:rsid w:val="4CF8263C"/>
    <w:rsid w:val="4CF82CB6"/>
    <w:rsid w:val="4CF907DC"/>
    <w:rsid w:val="4CF95AB8"/>
    <w:rsid w:val="4CFA21AD"/>
    <w:rsid w:val="4CFA4C80"/>
    <w:rsid w:val="4CFA6A2E"/>
    <w:rsid w:val="4CFB09F8"/>
    <w:rsid w:val="4CFB10FF"/>
    <w:rsid w:val="4CFB1BA9"/>
    <w:rsid w:val="4CFB27A6"/>
    <w:rsid w:val="4CFB3E59"/>
    <w:rsid w:val="4CFB4554"/>
    <w:rsid w:val="4CFB6302"/>
    <w:rsid w:val="4CFD1977"/>
    <w:rsid w:val="4CFD651E"/>
    <w:rsid w:val="4CFE5DF2"/>
    <w:rsid w:val="4CFF2296"/>
    <w:rsid w:val="4CFF5785"/>
    <w:rsid w:val="4CFF6EE0"/>
    <w:rsid w:val="4D000D8C"/>
    <w:rsid w:val="4D001B6A"/>
    <w:rsid w:val="4D002C56"/>
    <w:rsid w:val="4D01600E"/>
    <w:rsid w:val="4D01701D"/>
    <w:rsid w:val="4D021ED2"/>
    <w:rsid w:val="4D023B34"/>
    <w:rsid w:val="4D0258E3"/>
    <w:rsid w:val="4D027691"/>
    <w:rsid w:val="4D031A83"/>
    <w:rsid w:val="4D052C3A"/>
    <w:rsid w:val="4D063625"/>
    <w:rsid w:val="4D070F4E"/>
    <w:rsid w:val="4D07114B"/>
    <w:rsid w:val="4D073405"/>
    <w:rsid w:val="4D07629A"/>
    <w:rsid w:val="4D07739D"/>
    <w:rsid w:val="4D080CA4"/>
    <w:rsid w:val="4D081A62"/>
    <w:rsid w:val="4D08260F"/>
    <w:rsid w:val="4D08431F"/>
    <w:rsid w:val="4D090380"/>
    <w:rsid w:val="4D095AF7"/>
    <w:rsid w:val="4D096D0D"/>
    <w:rsid w:val="4D0A1810"/>
    <w:rsid w:val="4D0A2F51"/>
    <w:rsid w:val="4D0B0C3B"/>
    <w:rsid w:val="4D0B2CA0"/>
    <w:rsid w:val="4D0B5C2F"/>
    <w:rsid w:val="4D0C0E22"/>
    <w:rsid w:val="4D0C49B3"/>
    <w:rsid w:val="4D0C5302"/>
    <w:rsid w:val="4D0D0569"/>
    <w:rsid w:val="4D0D2F13"/>
    <w:rsid w:val="4D0E00FB"/>
    <w:rsid w:val="4D0E072B"/>
    <w:rsid w:val="4D0E2176"/>
    <w:rsid w:val="4D0E267D"/>
    <w:rsid w:val="4D0E4287"/>
    <w:rsid w:val="4D0E4A4F"/>
    <w:rsid w:val="4D0E6AEB"/>
    <w:rsid w:val="4D0F1DAD"/>
    <w:rsid w:val="4D0F2340"/>
    <w:rsid w:val="4D0F41F2"/>
    <w:rsid w:val="4D0F7FFF"/>
    <w:rsid w:val="4D11040C"/>
    <w:rsid w:val="4D111FCA"/>
    <w:rsid w:val="4D11296A"/>
    <w:rsid w:val="4D115B26"/>
    <w:rsid w:val="4D123632"/>
    <w:rsid w:val="4D137AF0"/>
    <w:rsid w:val="4D14446C"/>
    <w:rsid w:val="4D145493"/>
    <w:rsid w:val="4D1473C4"/>
    <w:rsid w:val="4D15004A"/>
    <w:rsid w:val="4D151ABA"/>
    <w:rsid w:val="4D153868"/>
    <w:rsid w:val="4D1554C9"/>
    <w:rsid w:val="4D157ECE"/>
    <w:rsid w:val="4D160A89"/>
    <w:rsid w:val="4D161505"/>
    <w:rsid w:val="4D163647"/>
    <w:rsid w:val="4D163C3E"/>
    <w:rsid w:val="4D16575F"/>
    <w:rsid w:val="4D1657A4"/>
    <w:rsid w:val="4D17300C"/>
    <w:rsid w:val="4D176606"/>
    <w:rsid w:val="4D181DE3"/>
    <w:rsid w:val="4D183358"/>
    <w:rsid w:val="4D186EB4"/>
    <w:rsid w:val="4D193516"/>
    <w:rsid w:val="4D193A6D"/>
    <w:rsid w:val="4D19531B"/>
    <w:rsid w:val="4D1A1305"/>
    <w:rsid w:val="4D1A1A87"/>
    <w:rsid w:val="4D1A650D"/>
    <w:rsid w:val="4D1B09DA"/>
    <w:rsid w:val="4D1B1D7F"/>
    <w:rsid w:val="4D1B2EDF"/>
    <w:rsid w:val="4D1B4331"/>
    <w:rsid w:val="4D1B4BF6"/>
    <w:rsid w:val="4D1B65FF"/>
    <w:rsid w:val="4D1B69A4"/>
    <w:rsid w:val="4D1C2EB6"/>
    <w:rsid w:val="4D1C2EF1"/>
    <w:rsid w:val="4D1C4D73"/>
    <w:rsid w:val="4D1C7EAA"/>
    <w:rsid w:val="4D1D14BA"/>
    <w:rsid w:val="4D1D5E80"/>
    <w:rsid w:val="4D1D7FAD"/>
    <w:rsid w:val="4D1F0243"/>
    <w:rsid w:val="4D1F028C"/>
    <w:rsid w:val="4D1F0944"/>
    <w:rsid w:val="4D1F46E6"/>
    <w:rsid w:val="4D201391"/>
    <w:rsid w:val="4D207734"/>
    <w:rsid w:val="4D21063A"/>
    <w:rsid w:val="4D211650"/>
    <w:rsid w:val="4D2211D8"/>
    <w:rsid w:val="4D241CFD"/>
    <w:rsid w:val="4D24341A"/>
    <w:rsid w:val="4D244CBF"/>
    <w:rsid w:val="4D24699C"/>
    <w:rsid w:val="4D2506D7"/>
    <w:rsid w:val="4D254816"/>
    <w:rsid w:val="4D25687F"/>
    <w:rsid w:val="4D260379"/>
    <w:rsid w:val="4D263576"/>
    <w:rsid w:val="4D267823"/>
    <w:rsid w:val="4D267F38"/>
    <w:rsid w:val="4D271345"/>
    <w:rsid w:val="4D2717ED"/>
    <w:rsid w:val="4D272479"/>
    <w:rsid w:val="4D27359B"/>
    <w:rsid w:val="4D2770F7"/>
    <w:rsid w:val="4D286C8E"/>
    <w:rsid w:val="4D291576"/>
    <w:rsid w:val="4D292E6F"/>
    <w:rsid w:val="4D293F48"/>
    <w:rsid w:val="4D294D99"/>
    <w:rsid w:val="4D2954C5"/>
    <w:rsid w:val="4D295E56"/>
    <w:rsid w:val="4D296C01"/>
    <w:rsid w:val="4D2A05E8"/>
    <w:rsid w:val="4D2A28E5"/>
    <w:rsid w:val="4D2B308B"/>
    <w:rsid w:val="4D2B4E39"/>
    <w:rsid w:val="4D2C0BB1"/>
    <w:rsid w:val="4D2C295F"/>
    <w:rsid w:val="4D2C2C79"/>
    <w:rsid w:val="4D2C54D2"/>
    <w:rsid w:val="4D2C583A"/>
    <w:rsid w:val="4D2C6E03"/>
    <w:rsid w:val="4D2D2AB6"/>
    <w:rsid w:val="4D2F07C8"/>
    <w:rsid w:val="4D2F1D3D"/>
    <w:rsid w:val="4D2F2177"/>
    <w:rsid w:val="4D2F304D"/>
    <w:rsid w:val="4D2F5DDE"/>
    <w:rsid w:val="4D2F68CF"/>
    <w:rsid w:val="4D2F7140"/>
    <w:rsid w:val="4D2F7A65"/>
    <w:rsid w:val="4D302450"/>
    <w:rsid w:val="4D310332"/>
    <w:rsid w:val="4D3124AA"/>
    <w:rsid w:val="4D31282B"/>
    <w:rsid w:val="4D31441A"/>
    <w:rsid w:val="4D3161C8"/>
    <w:rsid w:val="4D3175D0"/>
    <w:rsid w:val="4D317F76"/>
    <w:rsid w:val="4D321EEC"/>
    <w:rsid w:val="4D327B66"/>
    <w:rsid w:val="4D331F40"/>
    <w:rsid w:val="4D3335ED"/>
    <w:rsid w:val="4D3354CE"/>
    <w:rsid w:val="4D33703F"/>
    <w:rsid w:val="4D3412AE"/>
    <w:rsid w:val="4D35120C"/>
    <w:rsid w:val="4D356CEC"/>
    <w:rsid w:val="4D360ADE"/>
    <w:rsid w:val="4D3637DE"/>
    <w:rsid w:val="4D36558C"/>
    <w:rsid w:val="4D366C69"/>
    <w:rsid w:val="4D371F6E"/>
    <w:rsid w:val="4D3729A8"/>
    <w:rsid w:val="4D381304"/>
    <w:rsid w:val="4D381CBD"/>
    <w:rsid w:val="4D385576"/>
    <w:rsid w:val="4D3857A8"/>
    <w:rsid w:val="4D387556"/>
    <w:rsid w:val="4D39434A"/>
    <w:rsid w:val="4D3A1043"/>
    <w:rsid w:val="4D3A507C"/>
    <w:rsid w:val="4D3A6EA3"/>
    <w:rsid w:val="4D3B063E"/>
    <w:rsid w:val="4D3B0DF4"/>
    <w:rsid w:val="4D3B2BA3"/>
    <w:rsid w:val="4D3B3CAF"/>
    <w:rsid w:val="4D3C320F"/>
    <w:rsid w:val="4D3C5DDD"/>
    <w:rsid w:val="4D3C6C8D"/>
    <w:rsid w:val="4D3C6F84"/>
    <w:rsid w:val="4D3C7046"/>
    <w:rsid w:val="4D3D00D9"/>
    <w:rsid w:val="4D3D2620"/>
    <w:rsid w:val="4D3D2DBF"/>
    <w:rsid w:val="4D3D469F"/>
    <w:rsid w:val="4D3D691B"/>
    <w:rsid w:val="4D3F08E5"/>
    <w:rsid w:val="4D3F6B37"/>
    <w:rsid w:val="4D4001B9"/>
    <w:rsid w:val="4D40241F"/>
    <w:rsid w:val="4D4128AF"/>
    <w:rsid w:val="4D41465D"/>
    <w:rsid w:val="4D4203D5"/>
    <w:rsid w:val="4D43162C"/>
    <w:rsid w:val="4D4327B0"/>
    <w:rsid w:val="4D4330E2"/>
    <w:rsid w:val="4D4350F1"/>
    <w:rsid w:val="4D44414D"/>
    <w:rsid w:val="4D444572"/>
    <w:rsid w:val="4D444646"/>
    <w:rsid w:val="4D445597"/>
    <w:rsid w:val="4D4526F2"/>
    <w:rsid w:val="4D455A02"/>
    <w:rsid w:val="4D464AB5"/>
    <w:rsid w:val="4D477799"/>
    <w:rsid w:val="4D487C17"/>
    <w:rsid w:val="4D490D91"/>
    <w:rsid w:val="4D491763"/>
    <w:rsid w:val="4D493511"/>
    <w:rsid w:val="4D4A7BE1"/>
    <w:rsid w:val="4D4B0133"/>
    <w:rsid w:val="4D4B2544"/>
    <w:rsid w:val="4D4B4653"/>
    <w:rsid w:val="4D4B7289"/>
    <w:rsid w:val="4D4C3002"/>
    <w:rsid w:val="4D4C4DB0"/>
    <w:rsid w:val="4D4D1254"/>
    <w:rsid w:val="4D4D4DDF"/>
    <w:rsid w:val="4D4D75AB"/>
    <w:rsid w:val="4D4E54D9"/>
    <w:rsid w:val="4D4F1685"/>
    <w:rsid w:val="4D4F5166"/>
    <w:rsid w:val="4D5018B2"/>
    <w:rsid w:val="4D502AF2"/>
    <w:rsid w:val="4D5048A0"/>
    <w:rsid w:val="4D50765F"/>
    <w:rsid w:val="4D507F44"/>
    <w:rsid w:val="4D5100F0"/>
    <w:rsid w:val="4D510618"/>
    <w:rsid w:val="4D513928"/>
    <w:rsid w:val="4D515DB4"/>
    <w:rsid w:val="4D516679"/>
    <w:rsid w:val="4D530006"/>
    <w:rsid w:val="4D5325E2"/>
    <w:rsid w:val="4D532CFB"/>
    <w:rsid w:val="4D534875"/>
    <w:rsid w:val="4D537EEC"/>
    <w:rsid w:val="4D5476D3"/>
    <w:rsid w:val="4D551EB6"/>
    <w:rsid w:val="4D56230A"/>
    <w:rsid w:val="4D5665E0"/>
    <w:rsid w:val="4D5679DC"/>
    <w:rsid w:val="4D57435B"/>
    <w:rsid w:val="4D583E78"/>
    <w:rsid w:val="4D587BF8"/>
    <w:rsid w:val="4D591183"/>
    <w:rsid w:val="4D592737"/>
    <w:rsid w:val="4D5932A3"/>
    <w:rsid w:val="4D5954A8"/>
    <w:rsid w:val="4D5A127B"/>
    <w:rsid w:val="4D5A3BC7"/>
    <w:rsid w:val="4D5A593F"/>
    <w:rsid w:val="4D5A7023"/>
    <w:rsid w:val="4D5A74CD"/>
    <w:rsid w:val="4D5B09D5"/>
    <w:rsid w:val="4D5B1ADC"/>
    <w:rsid w:val="4D5B2B82"/>
    <w:rsid w:val="4D5B7C28"/>
    <w:rsid w:val="4D5C3245"/>
    <w:rsid w:val="4D5C33CD"/>
    <w:rsid w:val="4D5C5644"/>
    <w:rsid w:val="4D5C7866"/>
    <w:rsid w:val="4D5D0B93"/>
    <w:rsid w:val="4D5D520F"/>
    <w:rsid w:val="4D5D7491"/>
    <w:rsid w:val="4D5E368A"/>
    <w:rsid w:val="4D5E453C"/>
    <w:rsid w:val="4D5E5F88"/>
    <w:rsid w:val="4D5F0F87"/>
    <w:rsid w:val="4D5F100A"/>
    <w:rsid w:val="4D5F45EE"/>
    <w:rsid w:val="4D5F4AE3"/>
    <w:rsid w:val="4D5F4F1C"/>
    <w:rsid w:val="4D5F5A1A"/>
    <w:rsid w:val="4D60310C"/>
    <w:rsid w:val="4D605D68"/>
    <w:rsid w:val="4D606C2D"/>
    <w:rsid w:val="4D616AAD"/>
    <w:rsid w:val="4D616B71"/>
    <w:rsid w:val="4D6229C2"/>
    <w:rsid w:val="4D64034B"/>
    <w:rsid w:val="4D651E53"/>
    <w:rsid w:val="4D653147"/>
    <w:rsid w:val="4D662315"/>
    <w:rsid w:val="4D6640C3"/>
    <w:rsid w:val="4D664D3B"/>
    <w:rsid w:val="4D666E75"/>
    <w:rsid w:val="4D671BE9"/>
    <w:rsid w:val="4D673998"/>
    <w:rsid w:val="4D6761CB"/>
    <w:rsid w:val="4D677E3B"/>
    <w:rsid w:val="4D680118"/>
    <w:rsid w:val="4D69222C"/>
    <w:rsid w:val="4D693BB4"/>
    <w:rsid w:val="4D694DD5"/>
    <w:rsid w:val="4D694DFD"/>
    <w:rsid w:val="4D695962"/>
    <w:rsid w:val="4D697710"/>
    <w:rsid w:val="4D6A38FE"/>
    <w:rsid w:val="4D6A5AC6"/>
    <w:rsid w:val="4D6B16DA"/>
    <w:rsid w:val="4D6B3488"/>
    <w:rsid w:val="4D6B792C"/>
    <w:rsid w:val="4D6D1D86"/>
    <w:rsid w:val="4D6D2BF0"/>
    <w:rsid w:val="4D6D36A4"/>
    <w:rsid w:val="4D6E08C5"/>
    <w:rsid w:val="4D6E11CA"/>
    <w:rsid w:val="4D6E2F78"/>
    <w:rsid w:val="4D6E4D26"/>
    <w:rsid w:val="4D6E5D95"/>
    <w:rsid w:val="4D6F3625"/>
    <w:rsid w:val="4D6F478C"/>
    <w:rsid w:val="4D7009BD"/>
    <w:rsid w:val="4D70226F"/>
    <w:rsid w:val="4D703440"/>
    <w:rsid w:val="4D7035CF"/>
    <w:rsid w:val="4D706CF0"/>
    <w:rsid w:val="4D7109F4"/>
    <w:rsid w:val="4D714816"/>
    <w:rsid w:val="4D715103"/>
    <w:rsid w:val="4D720CBA"/>
    <w:rsid w:val="4D722A68"/>
    <w:rsid w:val="4D730311"/>
    <w:rsid w:val="4D731F9A"/>
    <w:rsid w:val="4D732205"/>
    <w:rsid w:val="4D7367E0"/>
    <w:rsid w:val="4D737BCA"/>
    <w:rsid w:val="4D753674"/>
    <w:rsid w:val="4D755D19"/>
    <w:rsid w:val="4D757D4E"/>
    <w:rsid w:val="4D78714F"/>
    <w:rsid w:val="4D793CA5"/>
    <w:rsid w:val="4D7A36CB"/>
    <w:rsid w:val="4D7A50A5"/>
    <w:rsid w:val="4D7A68BD"/>
    <w:rsid w:val="4D7C38E7"/>
    <w:rsid w:val="4D7C5695"/>
    <w:rsid w:val="4D7C5DE7"/>
    <w:rsid w:val="4D7D1B31"/>
    <w:rsid w:val="4D7D31BB"/>
    <w:rsid w:val="4D7D65B1"/>
    <w:rsid w:val="4D7D692C"/>
    <w:rsid w:val="4D7E6C27"/>
    <w:rsid w:val="4D7F21B3"/>
    <w:rsid w:val="4D7F33D7"/>
    <w:rsid w:val="4D7F6F33"/>
    <w:rsid w:val="4D7F7F40"/>
    <w:rsid w:val="4D801AEF"/>
    <w:rsid w:val="4D803D4D"/>
    <w:rsid w:val="4D8052E4"/>
    <w:rsid w:val="4D810EFD"/>
    <w:rsid w:val="4D812CAB"/>
    <w:rsid w:val="4D822DD2"/>
    <w:rsid w:val="4D8352F8"/>
    <w:rsid w:val="4D8409ED"/>
    <w:rsid w:val="4D844549"/>
    <w:rsid w:val="4D8502C3"/>
    <w:rsid w:val="4D852E94"/>
    <w:rsid w:val="4D87059A"/>
    <w:rsid w:val="4D876D1B"/>
    <w:rsid w:val="4D881B7D"/>
    <w:rsid w:val="4D88228C"/>
    <w:rsid w:val="4D892A45"/>
    <w:rsid w:val="4D8A0683"/>
    <w:rsid w:val="4D8B1D7C"/>
    <w:rsid w:val="4D8B2069"/>
    <w:rsid w:val="4D8B34B4"/>
    <w:rsid w:val="4D8B3B2A"/>
    <w:rsid w:val="4D8C1650"/>
    <w:rsid w:val="4D8C33FE"/>
    <w:rsid w:val="4D8C5624"/>
    <w:rsid w:val="4D8D78A2"/>
    <w:rsid w:val="4D8E2AB6"/>
    <w:rsid w:val="4D8E361A"/>
    <w:rsid w:val="4D8E53C8"/>
    <w:rsid w:val="4D8E5687"/>
    <w:rsid w:val="4D8E608C"/>
    <w:rsid w:val="4D8F6B17"/>
    <w:rsid w:val="4D8F7340"/>
    <w:rsid w:val="4D8F76D3"/>
    <w:rsid w:val="4D911DA1"/>
    <w:rsid w:val="4D913557"/>
    <w:rsid w:val="4D922250"/>
    <w:rsid w:val="4D92310A"/>
    <w:rsid w:val="4D924EB8"/>
    <w:rsid w:val="4D926C66"/>
    <w:rsid w:val="4D931B82"/>
    <w:rsid w:val="4D9329DF"/>
    <w:rsid w:val="4D933B71"/>
    <w:rsid w:val="4D934966"/>
    <w:rsid w:val="4D937972"/>
    <w:rsid w:val="4D944593"/>
    <w:rsid w:val="4D946928"/>
    <w:rsid w:val="4D950505"/>
    <w:rsid w:val="4D952989"/>
    <w:rsid w:val="4D9555CE"/>
    <w:rsid w:val="4D9662FC"/>
    <w:rsid w:val="4D9724CF"/>
    <w:rsid w:val="4D973DDB"/>
    <w:rsid w:val="4D974E85"/>
    <w:rsid w:val="4D98024B"/>
    <w:rsid w:val="4D980D45"/>
    <w:rsid w:val="4D981DA3"/>
    <w:rsid w:val="4D986247"/>
    <w:rsid w:val="4D987FF5"/>
    <w:rsid w:val="4D9923C8"/>
    <w:rsid w:val="4D996685"/>
    <w:rsid w:val="4D9A0864"/>
    <w:rsid w:val="4D9A1FBF"/>
    <w:rsid w:val="4D9A27D1"/>
    <w:rsid w:val="4D9A2D9D"/>
    <w:rsid w:val="4D9A3C2A"/>
    <w:rsid w:val="4D9A3D6D"/>
    <w:rsid w:val="4D9A55DF"/>
    <w:rsid w:val="4D9B4CFD"/>
    <w:rsid w:val="4D9B50BA"/>
    <w:rsid w:val="4D9B6278"/>
    <w:rsid w:val="4D9C0793"/>
    <w:rsid w:val="4D9C13B3"/>
    <w:rsid w:val="4D9C6513"/>
    <w:rsid w:val="4D9C6910"/>
    <w:rsid w:val="4D9C7694"/>
    <w:rsid w:val="4D9C7AE5"/>
    <w:rsid w:val="4D9D385D"/>
    <w:rsid w:val="4D9D79DA"/>
    <w:rsid w:val="4D9E1AAF"/>
    <w:rsid w:val="4D9E1F61"/>
    <w:rsid w:val="4D9E37FA"/>
    <w:rsid w:val="4D9E7443"/>
    <w:rsid w:val="4D9E7587"/>
    <w:rsid w:val="4D9F1383"/>
    <w:rsid w:val="4D9F3131"/>
    <w:rsid w:val="4D9F5602"/>
    <w:rsid w:val="4D9F660C"/>
    <w:rsid w:val="4DA00871"/>
    <w:rsid w:val="4DA022AA"/>
    <w:rsid w:val="4DA04ECB"/>
    <w:rsid w:val="4DA1116C"/>
    <w:rsid w:val="4DA130C5"/>
    <w:rsid w:val="4DA223BC"/>
    <w:rsid w:val="4DA22C22"/>
    <w:rsid w:val="4DA24A79"/>
    <w:rsid w:val="4DA35692"/>
    <w:rsid w:val="4DA370C6"/>
    <w:rsid w:val="4DA37C53"/>
    <w:rsid w:val="4DA400C4"/>
    <w:rsid w:val="4DA41222"/>
    <w:rsid w:val="4DA42BE1"/>
    <w:rsid w:val="4DA42E3E"/>
    <w:rsid w:val="4DA437AE"/>
    <w:rsid w:val="4DA45221"/>
    <w:rsid w:val="4DA4641D"/>
    <w:rsid w:val="4DA4699A"/>
    <w:rsid w:val="4DA4715E"/>
    <w:rsid w:val="4DA60964"/>
    <w:rsid w:val="4DA70238"/>
    <w:rsid w:val="4DA768AC"/>
    <w:rsid w:val="4DA818A3"/>
    <w:rsid w:val="4DA837CC"/>
    <w:rsid w:val="4DA846DC"/>
    <w:rsid w:val="4DA8648A"/>
    <w:rsid w:val="4DA90454"/>
    <w:rsid w:val="4DA91C75"/>
    <w:rsid w:val="4DA96587"/>
    <w:rsid w:val="4DAB46E8"/>
    <w:rsid w:val="4DAB5F7A"/>
    <w:rsid w:val="4DAB60AB"/>
    <w:rsid w:val="4DAB7D28"/>
    <w:rsid w:val="4DAC07FF"/>
    <w:rsid w:val="4DAC584E"/>
    <w:rsid w:val="4DAD3AA0"/>
    <w:rsid w:val="4DAD7E6E"/>
    <w:rsid w:val="4DAE15C6"/>
    <w:rsid w:val="4DAE1980"/>
    <w:rsid w:val="4DAE5A6A"/>
    <w:rsid w:val="4DAE6685"/>
    <w:rsid w:val="4DAE7818"/>
    <w:rsid w:val="4DB03590"/>
    <w:rsid w:val="4DB049C0"/>
    <w:rsid w:val="4DB0533F"/>
    <w:rsid w:val="4DB059B3"/>
    <w:rsid w:val="4DB05E50"/>
    <w:rsid w:val="4DB12E65"/>
    <w:rsid w:val="4DB14284"/>
    <w:rsid w:val="4DB1767E"/>
    <w:rsid w:val="4DB2111E"/>
    <w:rsid w:val="4DB30B60"/>
    <w:rsid w:val="4DB33341"/>
    <w:rsid w:val="4DB341F0"/>
    <w:rsid w:val="4DB34209"/>
    <w:rsid w:val="4DB37DB7"/>
    <w:rsid w:val="4DB41AB9"/>
    <w:rsid w:val="4DB43081"/>
    <w:rsid w:val="4DB45069"/>
    <w:rsid w:val="4DB53377"/>
    <w:rsid w:val="4DB54912"/>
    <w:rsid w:val="4DB57861"/>
    <w:rsid w:val="4DB63E04"/>
    <w:rsid w:val="4DB66C1C"/>
    <w:rsid w:val="4DB708A2"/>
    <w:rsid w:val="4DB72B71"/>
    <w:rsid w:val="4DB766CD"/>
    <w:rsid w:val="4DB76DBD"/>
    <w:rsid w:val="4DB841F3"/>
    <w:rsid w:val="4DB85E98"/>
    <w:rsid w:val="4DB90697"/>
    <w:rsid w:val="4DB90E66"/>
    <w:rsid w:val="4DB9552E"/>
    <w:rsid w:val="4DB964A1"/>
    <w:rsid w:val="4DBA54D7"/>
    <w:rsid w:val="4DBA61BD"/>
    <w:rsid w:val="4DBA7F6B"/>
    <w:rsid w:val="4DBB3A99"/>
    <w:rsid w:val="4DBB5413"/>
    <w:rsid w:val="4DBC0187"/>
    <w:rsid w:val="4DBC2E93"/>
    <w:rsid w:val="4DBC3274"/>
    <w:rsid w:val="4DBD6FC4"/>
    <w:rsid w:val="4DBD7A51"/>
    <w:rsid w:val="4DBD7A5B"/>
    <w:rsid w:val="4DBE107C"/>
    <w:rsid w:val="4DBE1B95"/>
    <w:rsid w:val="4DBE3EFF"/>
    <w:rsid w:val="4DBF18E4"/>
    <w:rsid w:val="4DBF3025"/>
    <w:rsid w:val="4DBF37D4"/>
    <w:rsid w:val="4DBF5582"/>
    <w:rsid w:val="4DC06C81"/>
    <w:rsid w:val="4DC112FA"/>
    <w:rsid w:val="4DC1173F"/>
    <w:rsid w:val="4DC31516"/>
    <w:rsid w:val="4DC33239"/>
    <w:rsid w:val="4DC332C4"/>
    <w:rsid w:val="4DC374C3"/>
    <w:rsid w:val="4DC37806"/>
    <w:rsid w:val="4DC42B98"/>
    <w:rsid w:val="4DC4528E"/>
    <w:rsid w:val="4DC50327"/>
    <w:rsid w:val="4DC62DB4"/>
    <w:rsid w:val="4DC65200"/>
    <w:rsid w:val="4DC66910"/>
    <w:rsid w:val="4DC755CE"/>
    <w:rsid w:val="4DC757F7"/>
    <w:rsid w:val="4DC8168A"/>
    <w:rsid w:val="4DC8396C"/>
    <w:rsid w:val="4DC86B2C"/>
    <w:rsid w:val="4DC94652"/>
    <w:rsid w:val="4DC95567"/>
    <w:rsid w:val="4DC97B82"/>
    <w:rsid w:val="4DCA0B22"/>
    <w:rsid w:val="4DCA0FA6"/>
    <w:rsid w:val="4DCA28A4"/>
    <w:rsid w:val="4DCA32CE"/>
    <w:rsid w:val="4DCB03CA"/>
    <w:rsid w:val="4DCB2178"/>
    <w:rsid w:val="4DCB3E1E"/>
    <w:rsid w:val="4DCB44B3"/>
    <w:rsid w:val="4DCB56CC"/>
    <w:rsid w:val="4DCC2C28"/>
    <w:rsid w:val="4DCC4AAA"/>
    <w:rsid w:val="4DCC4D0C"/>
    <w:rsid w:val="4DCD2506"/>
    <w:rsid w:val="4DCD321F"/>
    <w:rsid w:val="4DCD4142"/>
    <w:rsid w:val="4DCD4B02"/>
    <w:rsid w:val="4DCD751B"/>
    <w:rsid w:val="4DCE25D9"/>
    <w:rsid w:val="4DCE39F7"/>
    <w:rsid w:val="4DCF07E5"/>
    <w:rsid w:val="4DCF5C0E"/>
    <w:rsid w:val="4DCF7EBB"/>
    <w:rsid w:val="4DD01E87"/>
    <w:rsid w:val="4DD036B6"/>
    <w:rsid w:val="4DD10ED8"/>
    <w:rsid w:val="4DD13F67"/>
    <w:rsid w:val="4DD164C4"/>
    <w:rsid w:val="4DD20A64"/>
    <w:rsid w:val="4DD21759"/>
    <w:rsid w:val="4DD22BE0"/>
    <w:rsid w:val="4DD277F6"/>
    <w:rsid w:val="4DD27D5A"/>
    <w:rsid w:val="4DD35783"/>
    <w:rsid w:val="4DD37534"/>
    <w:rsid w:val="4DD41008"/>
    <w:rsid w:val="4DD42ADC"/>
    <w:rsid w:val="4DD42B6D"/>
    <w:rsid w:val="4DD51249"/>
    <w:rsid w:val="4DD52FF7"/>
    <w:rsid w:val="4DD57C24"/>
    <w:rsid w:val="4DD65E9C"/>
    <w:rsid w:val="4DD70B1D"/>
    <w:rsid w:val="4DD70FFB"/>
    <w:rsid w:val="4DD728CB"/>
    <w:rsid w:val="4DD74934"/>
    <w:rsid w:val="4DD74FC1"/>
    <w:rsid w:val="4DD75353"/>
    <w:rsid w:val="4DD76D6F"/>
    <w:rsid w:val="4DD80483"/>
    <w:rsid w:val="4DD82044"/>
    <w:rsid w:val="4DD820A8"/>
    <w:rsid w:val="4DD86F98"/>
    <w:rsid w:val="4DD909BC"/>
    <w:rsid w:val="4DD90BD6"/>
    <w:rsid w:val="4DDA23BB"/>
    <w:rsid w:val="4DDA4FE1"/>
    <w:rsid w:val="4DDC25D7"/>
    <w:rsid w:val="4DDC45EB"/>
    <w:rsid w:val="4DDC507E"/>
    <w:rsid w:val="4DDD3C5A"/>
    <w:rsid w:val="4DDD4E6D"/>
    <w:rsid w:val="4DDE493C"/>
    <w:rsid w:val="4DDE4A89"/>
    <w:rsid w:val="4DDE6EB9"/>
    <w:rsid w:val="4DDE7A3E"/>
    <w:rsid w:val="4DDF1AE9"/>
    <w:rsid w:val="4DDF2416"/>
    <w:rsid w:val="4DDF3E76"/>
    <w:rsid w:val="4DDF48B4"/>
    <w:rsid w:val="4DE11820"/>
    <w:rsid w:val="4DE13545"/>
    <w:rsid w:val="4DE1374A"/>
    <w:rsid w:val="4DE13DC5"/>
    <w:rsid w:val="4DE17BEE"/>
    <w:rsid w:val="4DE26F7D"/>
    <w:rsid w:val="4DE30C07"/>
    <w:rsid w:val="4DE374C2"/>
    <w:rsid w:val="4DE4148C"/>
    <w:rsid w:val="4DE4323A"/>
    <w:rsid w:val="4DE43E50"/>
    <w:rsid w:val="4DE44FE8"/>
    <w:rsid w:val="4DE50EDB"/>
    <w:rsid w:val="4DE52DC1"/>
    <w:rsid w:val="4DE57304"/>
    <w:rsid w:val="4DE60D60"/>
    <w:rsid w:val="4DE62DA3"/>
    <w:rsid w:val="4DE65204"/>
    <w:rsid w:val="4DE66FB2"/>
    <w:rsid w:val="4DE80F7C"/>
    <w:rsid w:val="4DE84AD8"/>
    <w:rsid w:val="4DE90850"/>
    <w:rsid w:val="4DE94698"/>
    <w:rsid w:val="4DEA50C8"/>
    <w:rsid w:val="4DEA7907"/>
    <w:rsid w:val="4DEB281B"/>
    <w:rsid w:val="4DEB45C9"/>
    <w:rsid w:val="4DEC4FB0"/>
    <w:rsid w:val="4DED5C5C"/>
    <w:rsid w:val="4DED62A8"/>
    <w:rsid w:val="4DED6593"/>
    <w:rsid w:val="4DEE47A1"/>
    <w:rsid w:val="4DEE4A39"/>
    <w:rsid w:val="4DEF230B"/>
    <w:rsid w:val="4DEF40B9"/>
    <w:rsid w:val="4DEF7C05"/>
    <w:rsid w:val="4DF01BDF"/>
    <w:rsid w:val="4DF05D30"/>
    <w:rsid w:val="4DF05F69"/>
    <w:rsid w:val="4DF07E31"/>
    <w:rsid w:val="4DF203D5"/>
    <w:rsid w:val="4DF26445"/>
    <w:rsid w:val="4DF26BF1"/>
    <w:rsid w:val="4DF27705"/>
    <w:rsid w:val="4DF3347D"/>
    <w:rsid w:val="4DF37080"/>
    <w:rsid w:val="4DF416CF"/>
    <w:rsid w:val="4DF427AC"/>
    <w:rsid w:val="4DF47921"/>
    <w:rsid w:val="4DF52DA3"/>
    <w:rsid w:val="4DF53699"/>
    <w:rsid w:val="4DF571F5"/>
    <w:rsid w:val="4DF5761F"/>
    <w:rsid w:val="4DF711BF"/>
    <w:rsid w:val="4DF7188A"/>
    <w:rsid w:val="4DF72F6D"/>
    <w:rsid w:val="4DF73D65"/>
    <w:rsid w:val="4DF80A94"/>
    <w:rsid w:val="4DF83972"/>
    <w:rsid w:val="4DF869F8"/>
    <w:rsid w:val="4DF9095E"/>
    <w:rsid w:val="4DF9338C"/>
    <w:rsid w:val="4DF943B3"/>
    <w:rsid w:val="4DF95936"/>
    <w:rsid w:val="4DF96CE5"/>
    <w:rsid w:val="4DFA0CB0"/>
    <w:rsid w:val="4DFA18B2"/>
    <w:rsid w:val="4DFA2A5E"/>
    <w:rsid w:val="4DFA30E6"/>
    <w:rsid w:val="4DFA480C"/>
    <w:rsid w:val="4DFA5D5B"/>
    <w:rsid w:val="4DFB4A57"/>
    <w:rsid w:val="4DFB53BA"/>
    <w:rsid w:val="4DFB54C3"/>
    <w:rsid w:val="4DFC0584"/>
    <w:rsid w:val="4DFC1886"/>
    <w:rsid w:val="4DFC2C44"/>
    <w:rsid w:val="4DFC4A28"/>
    <w:rsid w:val="4DFE254E"/>
    <w:rsid w:val="4DFE42FC"/>
    <w:rsid w:val="4DFE57D9"/>
    <w:rsid w:val="4DFE60AA"/>
    <w:rsid w:val="4DFF1E22"/>
    <w:rsid w:val="4DFF53BE"/>
    <w:rsid w:val="4DFF6D77"/>
    <w:rsid w:val="4E001C00"/>
    <w:rsid w:val="4E002E1A"/>
    <w:rsid w:val="4E01203E"/>
    <w:rsid w:val="4E014268"/>
    <w:rsid w:val="4E015B9A"/>
    <w:rsid w:val="4E0256F8"/>
    <w:rsid w:val="4E025B51"/>
    <w:rsid w:val="4E0320EB"/>
    <w:rsid w:val="4E035DB6"/>
    <w:rsid w:val="4E044EA3"/>
    <w:rsid w:val="4E045185"/>
    <w:rsid w:val="4E04568A"/>
    <w:rsid w:val="4E047438"/>
    <w:rsid w:val="4E05189A"/>
    <w:rsid w:val="4E057BC2"/>
    <w:rsid w:val="4E0631B0"/>
    <w:rsid w:val="4E064079"/>
    <w:rsid w:val="4E073727"/>
    <w:rsid w:val="4E07594E"/>
    <w:rsid w:val="4E075D8A"/>
    <w:rsid w:val="4E076473"/>
    <w:rsid w:val="4E0833CC"/>
    <w:rsid w:val="4E087B9B"/>
    <w:rsid w:val="4E092CA1"/>
    <w:rsid w:val="4E09441A"/>
    <w:rsid w:val="4E0A24EF"/>
    <w:rsid w:val="4E0A69E7"/>
    <w:rsid w:val="4E0B03E6"/>
    <w:rsid w:val="4E0B4B13"/>
    <w:rsid w:val="4E0C5FEE"/>
    <w:rsid w:val="4E0D09E3"/>
    <w:rsid w:val="4E0D2791"/>
    <w:rsid w:val="4E0D419C"/>
    <w:rsid w:val="4E0D453F"/>
    <w:rsid w:val="4E0F02B7"/>
    <w:rsid w:val="4E0F1F90"/>
    <w:rsid w:val="4E0F2740"/>
    <w:rsid w:val="4E0F6509"/>
    <w:rsid w:val="4E101E26"/>
    <w:rsid w:val="4E102281"/>
    <w:rsid w:val="4E1025ED"/>
    <w:rsid w:val="4E103920"/>
    <w:rsid w:val="4E10402F"/>
    <w:rsid w:val="4E105DDD"/>
    <w:rsid w:val="4E113D5D"/>
    <w:rsid w:val="4E116CCD"/>
    <w:rsid w:val="4E127DA7"/>
    <w:rsid w:val="4E136780"/>
    <w:rsid w:val="4E14124E"/>
    <w:rsid w:val="4E1434BE"/>
    <w:rsid w:val="4E143B1F"/>
    <w:rsid w:val="4E143C53"/>
    <w:rsid w:val="4E143CB5"/>
    <w:rsid w:val="4E145A05"/>
    <w:rsid w:val="4E151645"/>
    <w:rsid w:val="4E157897"/>
    <w:rsid w:val="4E164D91"/>
    <w:rsid w:val="4E17299D"/>
    <w:rsid w:val="4E173610"/>
    <w:rsid w:val="4E17716C"/>
    <w:rsid w:val="4E181D79"/>
    <w:rsid w:val="4E18432A"/>
    <w:rsid w:val="4E1924EF"/>
    <w:rsid w:val="4E197388"/>
    <w:rsid w:val="4E1A5501"/>
    <w:rsid w:val="4E1A6C5C"/>
    <w:rsid w:val="4E1B3333"/>
    <w:rsid w:val="4E1C0C26"/>
    <w:rsid w:val="4E1C6E78"/>
    <w:rsid w:val="4E1D21B1"/>
    <w:rsid w:val="4E1D7913"/>
    <w:rsid w:val="4E1E04FA"/>
    <w:rsid w:val="4E1E499E"/>
    <w:rsid w:val="4E1E674C"/>
    <w:rsid w:val="4E1E6D2A"/>
    <w:rsid w:val="4E1E77F5"/>
    <w:rsid w:val="4E1E7E6B"/>
    <w:rsid w:val="4E1F40E7"/>
    <w:rsid w:val="4E1F51EB"/>
    <w:rsid w:val="4E1F5313"/>
    <w:rsid w:val="4E1F6361"/>
    <w:rsid w:val="4E1F7810"/>
    <w:rsid w:val="4E200564"/>
    <w:rsid w:val="4E200716"/>
    <w:rsid w:val="4E205844"/>
    <w:rsid w:val="4E21623C"/>
    <w:rsid w:val="4E22354A"/>
    <w:rsid w:val="4E23147B"/>
    <w:rsid w:val="4E2331E6"/>
    <w:rsid w:val="4E235FB3"/>
    <w:rsid w:val="4E24035E"/>
    <w:rsid w:val="4E240D43"/>
    <w:rsid w:val="4E247043"/>
    <w:rsid w:val="4E250A92"/>
    <w:rsid w:val="4E2528C4"/>
    <w:rsid w:val="4E2536FB"/>
    <w:rsid w:val="4E255D2C"/>
    <w:rsid w:val="4E2628EC"/>
    <w:rsid w:val="4E281530"/>
    <w:rsid w:val="4E2816F8"/>
    <w:rsid w:val="4E281CA7"/>
    <w:rsid w:val="4E2842B6"/>
    <w:rsid w:val="4E28581D"/>
    <w:rsid w:val="4E296E9F"/>
    <w:rsid w:val="4E2A48E5"/>
    <w:rsid w:val="4E2B0945"/>
    <w:rsid w:val="4E2B0E69"/>
    <w:rsid w:val="4E2C2350"/>
    <w:rsid w:val="4E2C5D94"/>
    <w:rsid w:val="4E2D2DD8"/>
    <w:rsid w:val="4E2D2E33"/>
    <w:rsid w:val="4E2D4761"/>
    <w:rsid w:val="4E2D4BE1"/>
    <w:rsid w:val="4E2E1F86"/>
    <w:rsid w:val="4E2E44B5"/>
    <w:rsid w:val="4E2E6D87"/>
    <w:rsid w:val="4E2F6F28"/>
    <w:rsid w:val="4E30022D"/>
    <w:rsid w:val="4E30189F"/>
    <w:rsid w:val="4E310709"/>
    <w:rsid w:val="4E312556"/>
    <w:rsid w:val="4E313347"/>
    <w:rsid w:val="4E313B5E"/>
    <w:rsid w:val="4E3221F7"/>
    <w:rsid w:val="4E322848"/>
    <w:rsid w:val="4E322F9B"/>
    <w:rsid w:val="4E323FA5"/>
    <w:rsid w:val="4E335282"/>
    <w:rsid w:val="4E335C67"/>
    <w:rsid w:val="4E3441C2"/>
    <w:rsid w:val="4E345F70"/>
    <w:rsid w:val="4E3470F7"/>
    <w:rsid w:val="4E347D1E"/>
    <w:rsid w:val="4E3640E0"/>
    <w:rsid w:val="4E364E46"/>
    <w:rsid w:val="4E36713D"/>
    <w:rsid w:val="4E38143A"/>
    <w:rsid w:val="4E381B90"/>
    <w:rsid w:val="4E382911"/>
    <w:rsid w:val="4E3917D8"/>
    <w:rsid w:val="4E393586"/>
    <w:rsid w:val="4E393AB8"/>
    <w:rsid w:val="4E3973ED"/>
    <w:rsid w:val="4E3A10AC"/>
    <w:rsid w:val="4E3A18AF"/>
    <w:rsid w:val="4E3A2F69"/>
    <w:rsid w:val="4E3A6DAE"/>
    <w:rsid w:val="4E3B076D"/>
    <w:rsid w:val="4E3B4FC5"/>
    <w:rsid w:val="4E3B623E"/>
    <w:rsid w:val="4E3C2D91"/>
    <w:rsid w:val="4E3C7DE2"/>
    <w:rsid w:val="4E3D1085"/>
    <w:rsid w:val="4E3E0BA7"/>
    <w:rsid w:val="4E3E1419"/>
    <w:rsid w:val="4E3E4261"/>
    <w:rsid w:val="4E3E6DEE"/>
    <w:rsid w:val="4E3F4407"/>
    <w:rsid w:val="4E400B59"/>
    <w:rsid w:val="4E402B66"/>
    <w:rsid w:val="4E406DDB"/>
    <w:rsid w:val="4E4102D6"/>
    <w:rsid w:val="4E41068C"/>
    <w:rsid w:val="4E416712"/>
    <w:rsid w:val="4E4168DE"/>
    <w:rsid w:val="4E4306F0"/>
    <w:rsid w:val="4E434405"/>
    <w:rsid w:val="4E4354A1"/>
    <w:rsid w:val="4E435760"/>
    <w:rsid w:val="4E437F61"/>
    <w:rsid w:val="4E4400D3"/>
    <w:rsid w:val="4E451F2B"/>
    <w:rsid w:val="4E460FDA"/>
    <w:rsid w:val="4E473EF5"/>
    <w:rsid w:val="4E4806F1"/>
    <w:rsid w:val="4E48180D"/>
    <w:rsid w:val="4E484D59"/>
    <w:rsid w:val="4E486C6C"/>
    <w:rsid w:val="4E48707E"/>
    <w:rsid w:val="4E487C6D"/>
    <w:rsid w:val="4E494A76"/>
    <w:rsid w:val="4E496790"/>
    <w:rsid w:val="4E497E8D"/>
    <w:rsid w:val="4E4A12EF"/>
    <w:rsid w:val="4E4A5E3B"/>
    <w:rsid w:val="4E4A6CEE"/>
    <w:rsid w:val="4E4A7541"/>
    <w:rsid w:val="4E4B0865"/>
    <w:rsid w:val="4E4B2311"/>
    <w:rsid w:val="4E4B32B9"/>
    <w:rsid w:val="4E4B6DFA"/>
    <w:rsid w:val="4E4C13DF"/>
    <w:rsid w:val="4E4C150B"/>
    <w:rsid w:val="4E4C41CE"/>
    <w:rsid w:val="4E4C6238"/>
    <w:rsid w:val="4E4C7D17"/>
    <w:rsid w:val="4E4D0DDF"/>
    <w:rsid w:val="4E4D5283"/>
    <w:rsid w:val="4E4D7031"/>
    <w:rsid w:val="4E4E286F"/>
    <w:rsid w:val="4E4E4D49"/>
    <w:rsid w:val="4E4F37E5"/>
    <w:rsid w:val="4E4F4B57"/>
    <w:rsid w:val="4E4F6905"/>
    <w:rsid w:val="4E500575"/>
    <w:rsid w:val="4E5008D0"/>
    <w:rsid w:val="4E50229D"/>
    <w:rsid w:val="4E513BA5"/>
    <w:rsid w:val="4E5263F6"/>
    <w:rsid w:val="4E527F45"/>
    <w:rsid w:val="4E531EBA"/>
    <w:rsid w:val="4E5361A9"/>
    <w:rsid w:val="4E537616"/>
    <w:rsid w:val="4E54216E"/>
    <w:rsid w:val="4E545991"/>
    <w:rsid w:val="4E546612"/>
    <w:rsid w:val="4E55422B"/>
    <w:rsid w:val="4E557C94"/>
    <w:rsid w:val="4E564138"/>
    <w:rsid w:val="4E56477F"/>
    <w:rsid w:val="4E571C5E"/>
    <w:rsid w:val="4E574A3A"/>
    <w:rsid w:val="4E577EB0"/>
    <w:rsid w:val="4E581E19"/>
    <w:rsid w:val="4E593A09"/>
    <w:rsid w:val="4E5959D6"/>
    <w:rsid w:val="4E597784"/>
    <w:rsid w:val="4E5A610A"/>
    <w:rsid w:val="4E5B6EC8"/>
    <w:rsid w:val="4E5C054F"/>
    <w:rsid w:val="4E5C1022"/>
    <w:rsid w:val="4E5C7274"/>
    <w:rsid w:val="4E5D20A8"/>
    <w:rsid w:val="4E5E2364"/>
    <w:rsid w:val="4E5F20B3"/>
    <w:rsid w:val="4E5F4D70"/>
    <w:rsid w:val="4E5F6EB8"/>
    <w:rsid w:val="4E5F72F8"/>
    <w:rsid w:val="4E604C84"/>
    <w:rsid w:val="4E612ADD"/>
    <w:rsid w:val="4E61488B"/>
    <w:rsid w:val="4E6265FA"/>
    <w:rsid w:val="4E630603"/>
    <w:rsid w:val="4E630A34"/>
    <w:rsid w:val="4E631412"/>
    <w:rsid w:val="4E636855"/>
    <w:rsid w:val="4E641163"/>
    <w:rsid w:val="4E651A7E"/>
    <w:rsid w:val="4E65410A"/>
    <w:rsid w:val="4E65437B"/>
    <w:rsid w:val="4E654BE9"/>
    <w:rsid w:val="4E6612E6"/>
    <w:rsid w:val="4E6673B5"/>
    <w:rsid w:val="4E676E44"/>
    <w:rsid w:val="4E677D04"/>
    <w:rsid w:val="4E693CC8"/>
    <w:rsid w:val="4E6A373F"/>
    <w:rsid w:val="4E6B144B"/>
    <w:rsid w:val="4E6B1D97"/>
    <w:rsid w:val="4E6B470D"/>
    <w:rsid w:val="4E6B69ED"/>
    <w:rsid w:val="4E6C3432"/>
    <w:rsid w:val="4E6C55E4"/>
    <w:rsid w:val="4E6D1482"/>
    <w:rsid w:val="4E6D3230"/>
    <w:rsid w:val="4E6D76D3"/>
    <w:rsid w:val="4E6E7E0A"/>
    <w:rsid w:val="4E6F22F6"/>
    <w:rsid w:val="4E6F43D7"/>
    <w:rsid w:val="4E6F5EFF"/>
    <w:rsid w:val="4E6F6833"/>
    <w:rsid w:val="4E702607"/>
    <w:rsid w:val="4E7038FF"/>
    <w:rsid w:val="4E710F72"/>
    <w:rsid w:val="4E7116BE"/>
    <w:rsid w:val="4E712D20"/>
    <w:rsid w:val="4E7145EE"/>
    <w:rsid w:val="4E715C09"/>
    <w:rsid w:val="4E720529"/>
    <w:rsid w:val="4E736BF3"/>
    <w:rsid w:val="4E736E68"/>
    <w:rsid w:val="4E740A3B"/>
    <w:rsid w:val="4E742810"/>
    <w:rsid w:val="4E74327E"/>
    <w:rsid w:val="4E74636C"/>
    <w:rsid w:val="4E7505EB"/>
    <w:rsid w:val="4E7520E4"/>
    <w:rsid w:val="4E754096"/>
    <w:rsid w:val="4E755EBB"/>
    <w:rsid w:val="4E766588"/>
    <w:rsid w:val="4E775E5C"/>
    <w:rsid w:val="4E78071F"/>
    <w:rsid w:val="4E782804"/>
    <w:rsid w:val="4E785865"/>
    <w:rsid w:val="4E787CAC"/>
    <w:rsid w:val="4E791834"/>
    <w:rsid w:val="4E791BD4"/>
    <w:rsid w:val="4E792951"/>
    <w:rsid w:val="4E797E26"/>
    <w:rsid w:val="4E7B3B9E"/>
    <w:rsid w:val="4E7B65B4"/>
    <w:rsid w:val="4E7B76FB"/>
    <w:rsid w:val="4E7C16C5"/>
    <w:rsid w:val="4E7C3473"/>
    <w:rsid w:val="4E7C58ED"/>
    <w:rsid w:val="4E7D2168"/>
    <w:rsid w:val="4E7D64C6"/>
    <w:rsid w:val="4E7D656C"/>
    <w:rsid w:val="4E7D7917"/>
    <w:rsid w:val="4E7E16CB"/>
    <w:rsid w:val="4E7E368F"/>
    <w:rsid w:val="4E7E543D"/>
    <w:rsid w:val="4E7E71EB"/>
    <w:rsid w:val="4E800E78"/>
    <w:rsid w:val="4E810075"/>
    <w:rsid w:val="4E810A89"/>
    <w:rsid w:val="4E816B8E"/>
    <w:rsid w:val="4E816CDB"/>
    <w:rsid w:val="4E824F2D"/>
    <w:rsid w:val="4E8314AE"/>
    <w:rsid w:val="4E832A53"/>
    <w:rsid w:val="4E832BEF"/>
    <w:rsid w:val="4E8373FE"/>
    <w:rsid w:val="4E843280"/>
    <w:rsid w:val="4E847452"/>
    <w:rsid w:val="4E850579"/>
    <w:rsid w:val="4E853C65"/>
    <w:rsid w:val="4E8559DE"/>
    <w:rsid w:val="4E8567CB"/>
    <w:rsid w:val="4E862011"/>
    <w:rsid w:val="4E8642F1"/>
    <w:rsid w:val="4E864C08"/>
    <w:rsid w:val="4E86609F"/>
    <w:rsid w:val="4E8672DF"/>
    <w:rsid w:val="4E870795"/>
    <w:rsid w:val="4E872543"/>
    <w:rsid w:val="4E880069"/>
    <w:rsid w:val="4E8812BF"/>
    <w:rsid w:val="4E881E17"/>
    <w:rsid w:val="4E89376C"/>
    <w:rsid w:val="4E894541"/>
    <w:rsid w:val="4E8A3DE2"/>
    <w:rsid w:val="4E8A7EF1"/>
    <w:rsid w:val="4E8B1796"/>
    <w:rsid w:val="4E8B1908"/>
    <w:rsid w:val="4E8B5F1A"/>
    <w:rsid w:val="4E8C720B"/>
    <w:rsid w:val="4E8D051F"/>
    <w:rsid w:val="4E8D4714"/>
    <w:rsid w:val="4E8D4C9B"/>
    <w:rsid w:val="4E8D742E"/>
    <w:rsid w:val="4E8F13F8"/>
    <w:rsid w:val="4E8F70B3"/>
    <w:rsid w:val="4E9133C2"/>
    <w:rsid w:val="4E915170"/>
    <w:rsid w:val="4E916F1E"/>
    <w:rsid w:val="4E920EE8"/>
    <w:rsid w:val="4E9213FF"/>
    <w:rsid w:val="4E922C96"/>
    <w:rsid w:val="4E931886"/>
    <w:rsid w:val="4E932E39"/>
    <w:rsid w:val="4E944C60"/>
    <w:rsid w:val="4E946A0E"/>
    <w:rsid w:val="4E94773B"/>
    <w:rsid w:val="4E9538C3"/>
    <w:rsid w:val="4E9609D8"/>
    <w:rsid w:val="4E962786"/>
    <w:rsid w:val="4E964E3C"/>
    <w:rsid w:val="4E97098D"/>
    <w:rsid w:val="4E977E6E"/>
    <w:rsid w:val="4E980DB4"/>
    <w:rsid w:val="4E980FF5"/>
    <w:rsid w:val="4E984750"/>
    <w:rsid w:val="4E985137"/>
    <w:rsid w:val="4E992277"/>
    <w:rsid w:val="4E994025"/>
    <w:rsid w:val="4E994E15"/>
    <w:rsid w:val="4E9B0304"/>
    <w:rsid w:val="4E9B5FEF"/>
    <w:rsid w:val="4E9C30C6"/>
    <w:rsid w:val="4E9C3C1A"/>
    <w:rsid w:val="4E9C454B"/>
    <w:rsid w:val="4E9C58C3"/>
    <w:rsid w:val="4E9D0327"/>
    <w:rsid w:val="4E9D1D67"/>
    <w:rsid w:val="4E9D4C26"/>
    <w:rsid w:val="4E9D5819"/>
    <w:rsid w:val="4E9E0DB4"/>
    <w:rsid w:val="4E9E163B"/>
    <w:rsid w:val="4E9E5A9C"/>
    <w:rsid w:val="4E9F5515"/>
    <w:rsid w:val="4EA01857"/>
    <w:rsid w:val="4EA053B3"/>
    <w:rsid w:val="4EA07161"/>
    <w:rsid w:val="4EA11B79"/>
    <w:rsid w:val="4EA16333"/>
    <w:rsid w:val="4EA24952"/>
    <w:rsid w:val="4EA2737D"/>
    <w:rsid w:val="4EA330F5"/>
    <w:rsid w:val="4EA33DF2"/>
    <w:rsid w:val="4EA41F28"/>
    <w:rsid w:val="4EA50C1B"/>
    <w:rsid w:val="4EA529C9"/>
    <w:rsid w:val="4EA554AE"/>
    <w:rsid w:val="4EA561A8"/>
    <w:rsid w:val="4EA66E96"/>
    <w:rsid w:val="4EA67550"/>
    <w:rsid w:val="4EA74993"/>
    <w:rsid w:val="4EA7554A"/>
    <w:rsid w:val="4EA75FDE"/>
    <w:rsid w:val="4EA76741"/>
    <w:rsid w:val="4EA84268"/>
    <w:rsid w:val="4EA85D29"/>
    <w:rsid w:val="4EA94225"/>
    <w:rsid w:val="4EA95380"/>
    <w:rsid w:val="4EAA0377"/>
    <w:rsid w:val="4EAA7FE0"/>
    <w:rsid w:val="4EAB31D2"/>
    <w:rsid w:val="4EAC01FC"/>
    <w:rsid w:val="4EAC552A"/>
    <w:rsid w:val="4EAD08EE"/>
    <w:rsid w:val="4EAD187E"/>
    <w:rsid w:val="4EAD18A3"/>
    <w:rsid w:val="4EAD37AE"/>
    <w:rsid w:val="4EAD5C30"/>
    <w:rsid w:val="4EAD5D22"/>
    <w:rsid w:val="4EAF03E0"/>
    <w:rsid w:val="4EAF55F6"/>
    <w:rsid w:val="4EB017D6"/>
    <w:rsid w:val="4EB01A24"/>
    <w:rsid w:val="4EB01C0C"/>
    <w:rsid w:val="4EB15812"/>
    <w:rsid w:val="4EB219A5"/>
    <w:rsid w:val="4EB250E6"/>
    <w:rsid w:val="4EB26E94"/>
    <w:rsid w:val="4EB3158A"/>
    <w:rsid w:val="4EB32846"/>
    <w:rsid w:val="4EB33338"/>
    <w:rsid w:val="4EB37AB8"/>
    <w:rsid w:val="4EB4593E"/>
    <w:rsid w:val="4EB45F1A"/>
    <w:rsid w:val="4EB66985"/>
    <w:rsid w:val="4EB71044"/>
    <w:rsid w:val="4EB71907"/>
    <w:rsid w:val="4EB726FD"/>
    <w:rsid w:val="4EB757CD"/>
    <w:rsid w:val="4EB8094F"/>
    <w:rsid w:val="4EB81A43"/>
    <w:rsid w:val="4EB86BA1"/>
    <w:rsid w:val="4EB91AB7"/>
    <w:rsid w:val="4EB93137"/>
    <w:rsid w:val="4EB93BC5"/>
    <w:rsid w:val="4EB93C5E"/>
    <w:rsid w:val="4EB97735"/>
    <w:rsid w:val="4EBA07C6"/>
    <w:rsid w:val="4EBB0742"/>
    <w:rsid w:val="4EBC5614"/>
    <w:rsid w:val="4EBD41B7"/>
    <w:rsid w:val="4EBD731A"/>
    <w:rsid w:val="4EBE4C0B"/>
    <w:rsid w:val="4EBF460D"/>
    <w:rsid w:val="4EBF50FA"/>
    <w:rsid w:val="4EC00FAD"/>
    <w:rsid w:val="4EC01567"/>
    <w:rsid w:val="4EC04278"/>
    <w:rsid w:val="4EC05A55"/>
    <w:rsid w:val="4EC067E0"/>
    <w:rsid w:val="4EC07803"/>
    <w:rsid w:val="4EC114AA"/>
    <w:rsid w:val="4EC15329"/>
    <w:rsid w:val="4EC217CD"/>
    <w:rsid w:val="4EC27A6A"/>
    <w:rsid w:val="4EC27F94"/>
    <w:rsid w:val="4EC341A4"/>
    <w:rsid w:val="4EC3530D"/>
    <w:rsid w:val="4EC372F3"/>
    <w:rsid w:val="4EC4525F"/>
    <w:rsid w:val="4EC512BE"/>
    <w:rsid w:val="4EC51BB6"/>
    <w:rsid w:val="4EC529A2"/>
    <w:rsid w:val="4EC5306C"/>
    <w:rsid w:val="4EC54E15"/>
    <w:rsid w:val="4EC56BC8"/>
    <w:rsid w:val="4EC60748"/>
    <w:rsid w:val="4EC65458"/>
    <w:rsid w:val="4EC66A03"/>
    <w:rsid w:val="4EC66BCA"/>
    <w:rsid w:val="4EC70B92"/>
    <w:rsid w:val="4EC72940"/>
    <w:rsid w:val="4EC76DE4"/>
    <w:rsid w:val="4EC80360"/>
    <w:rsid w:val="4EC81323"/>
    <w:rsid w:val="4EC84BE2"/>
    <w:rsid w:val="4EC861FB"/>
    <w:rsid w:val="4EC866B8"/>
    <w:rsid w:val="4EC874CA"/>
    <w:rsid w:val="4EC87A49"/>
    <w:rsid w:val="4EC93EF7"/>
    <w:rsid w:val="4EC94B84"/>
    <w:rsid w:val="4EC95EDF"/>
    <w:rsid w:val="4ECA0682"/>
    <w:rsid w:val="4ECA7440"/>
    <w:rsid w:val="4ECC5337"/>
    <w:rsid w:val="4ECC53FA"/>
    <w:rsid w:val="4ECC75F6"/>
    <w:rsid w:val="4ECC7CA4"/>
    <w:rsid w:val="4ECD1F20"/>
    <w:rsid w:val="4ECD340C"/>
    <w:rsid w:val="4ECD3D05"/>
    <w:rsid w:val="4ECD6362"/>
    <w:rsid w:val="4ECE00BD"/>
    <w:rsid w:val="4ECE42F8"/>
    <w:rsid w:val="4ECE502E"/>
    <w:rsid w:val="4ECE5EF4"/>
    <w:rsid w:val="4ECF1335"/>
    <w:rsid w:val="4ECF4EE4"/>
    <w:rsid w:val="4ECF4EFE"/>
    <w:rsid w:val="4ECF5951"/>
    <w:rsid w:val="4ECF5C98"/>
    <w:rsid w:val="4ED078CB"/>
    <w:rsid w:val="4ED07AB5"/>
    <w:rsid w:val="4ED108D9"/>
    <w:rsid w:val="4ED134A2"/>
    <w:rsid w:val="4ED14431"/>
    <w:rsid w:val="4ED151E6"/>
    <w:rsid w:val="4ED15304"/>
    <w:rsid w:val="4ED17560"/>
    <w:rsid w:val="4ED17C62"/>
    <w:rsid w:val="4ED240DA"/>
    <w:rsid w:val="4ED24FA6"/>
    <w:rsid w:val="4ED33865"/>
    <w:rsid w:val="4ED34441"/>
    <w:rsid w:val="4ED35788"/>
    <w:rsid w:val="4ED41007"/>
    <w:rsid w:val="4ED432AF"/>
    <w:rsid w:val="4ED46DD5"/>
    <w:rsid w:val="4ED52254"/>
    <w:rsid w:val="4ED55103"/>
    <w:rsid w:val="4ED60DD5"/>
    <w:rsid w:val="4ED65279"/>
    <w:rsid w:val="4ED67027"/>
    <w:rsid w:val="4ED710D0"/>
    <w:rsid w:val="4ED714F0"/>
    <w:rsid w:val="4ED77CFA"/>
    <w:rsid w:val="4ED80FF1"/>
    <w:rsid w:val="4ED90B67"/>
    <w:rsid w:val="4ED92673"/>
    <w:rsid w:val="4ED96B17"/>
    <w:rsid w:val="4ED97564"/>
    <w:rsid w:val="4EDA4031"/>
    <w:rsid w:val="4EDA4726"/>
    <w:rsid w:val="4EDA77B7"/>
    <w:rsid w:val="4EDB22D7"/>
    <w:rsid w:val="4EDB288F"/>
    <w:rsid w:val="4EDB4350"/>
    <w:rsid w:val="4EDB463D"/>
    <w:rsid w:val="4EDB4BC8"/>
    <w:rsid w:val="4EDB5D5F"/>
    <w:rsid w:val="4EDB63EB"/>
    <w:rsid w:val="4EDB76C2"/>
    <w:rsid w:val="4EDB7799"/>
    <w:rsid w:val="4EDC531E"/>
    <w:rsid w:val="4EDD03B5"/>
    <w:rsid w:val="4EDD1A32"/>
    <w:rsid w:val="4EDD2163"/>
    <w:rsid w:val="4EDD6607"/>
    <w:rsid w:val="4EDE1B6A"/>
    <w:rsid w:val="4EDF14B8"/>
    <w:rsid w:val="4EDF237F"/>
    <w:rsid w:val="4EDF64CF"/>
    <w:rsid w:val="4EE03A01"/>
    <w:rsid w:val="4EE113CF"/>
    <w:rsid w:val="4EE22FF9"/>
    <w:rsid w:val="4EE259CC"/>
    <w:rsid w:val="4EE26AD2"/>
    <w:rsid w:val="4EE334F2"/>
    <w:rsid w:val="4EE36C55"/>
    <w:rsid w:val="4EE37297"/>
    <w:rsid w:val="4EE42453"/>
    <w:rsid w:val="4EE42C72"/>
    <w:rsid w:val="4EE473BA"/>
    <w:rsid w:val="4EE47996"/>
    <w:rsid w:val="4EE554BC"/>
    <w:rsid w:val="4EE5726A"/>
    <w:rsid w:val="4EE60237"/>
    <w:rsid w:val="4EE62E74"/>
    <w:rsid w:val="4EE66ACD"/>
    <w:rsid w:val="4EE71E64"/>
    <w:rsid w:val="4EE72FE2"/>
    <w:rsid w:val="4EE74CA3"/>
    <w:rsid w:val="4EE74D90"/>
    <w:rsid w:val="4EE75D3B"/>
    <w:rsid w:val="4EE75DD9"/>
    <w:rsid w:val="4EE76478"/>
    <w:rsid w:val="4EE76741"/>
    <w:rsid w:val="4EE8062D"/>
    <w:rsid w:val="4EE871CB"/>
    <w:rsid w:val="4EE9460F"/>
    <w:rsid w:val="4EEA0D24"/>
    <w:rsid w:val="4EEA1426"/>
    <w:rsid w:val="4EEA1AEB"/>
    <w:rsid w:val="4EEA4FE0"/>
    <w:rsid w:val="4EEA5DFE"/>
    <w:rsid w:val="4EEA6837"/>
    <w:rsid w:val="4EEA6F88"/>
    <w:rsid w:val="4EEC05F8"/>
    <w:rsid w:val="4EEC0DD2"/>
    <w:rsid w:val="4EEC23A6"/>
    <w:rsid w:val="4EEC684A"/>
    <w:rsid w:val="4EED12A0"/>
    <w:rsid w:val="4EED611E"/>
    <w:rsid w:val="4EED6729"/>
    <w:rsid w:val="4EEE25C2"/>
    <w:rsid w:val="4EEE3D1E"/>
    <w:rsid w:val="4EEE4370"/>
    <w:rsid w:val="4EEE4F76"/>
    <w:rsid w:val="4EEF00E8"/>
    <w:rsid w:val="4EEF5810"/>
    <w:rsid w:val="4EEF584E"/>
    <w:rsid w:val="4EEF633A"/>
    <w:rsid w:val="4EF01D1C"/>
    <w:rsid w:val="4EF0622D"/>
    <w:rsid w:val="4EF1019F"/>
    <w:rsid w:val="4EF12017"/>
    <w:rsid w:val="4EF120B3"/>
    <w:rsid w:val="4EF2267F"/>
    <w:rsid w:val="4EF23735"/>
    <w:rsid w:val="4EF249D7"/>
    <w:rsid w:val="4EF332BF"/>
    <w:rsid w:val="4EF37BD9"/>
    <w:rsid w:val="4EF401BD"/>
    <w:rsid w:val="4EF456FF"/>
    <w:rsid w:val="4EF46EAF"/>
    <w:rsid w:val="4EF4706F"/>
    <w:rsid w:val="4EF474AD"/>
    <w:rsid w:val="4EF57460"/>
    <w:rsid w:val="4EF67531"/>
    <w:rsid w:val="4EF676C9"/>
    <w:rsid w:val="4EF7020E"/>
    <w:rsid w:val="4EF75830"/>
    <w:rsid w:val="4EF76AD4"/>
    <w:rsid w:val="4EF770CB"/>
    <w:rsid w:val="4EF81544"/>
    <w:rsid w:val="4EF835AE"/>
    <w:rsid w:val="4EF851EF"/>
    <w:rsid w:val="4EF86F9D"/>
    <w:rsid w:val="4EF906EC"/>
    <w:rsid w:val="4EF91D54"/>
    <w:rsid w:val="4EF94AC3"/>
    <w:rsid w:val="4EFA2D21"/>
    <w:rsid w:val="4EFB083B"/>
    <w:rsid w:val="4EFB1504"/>
    <w:rsid w:val="4EFB2A70"/>
    <w:rsid w:val="4EFB41B1"/>
    <w:rsid w:val="4EFB6A8D"/>
    <w:rsid w:val="4EFC3EDC"/>
    <w:rsid w:val="4EFC5641"/>
    <w:rsid w:val="4EFD44FC"/>
    <w:rsid w:val="4EFD45B3"/>
    <w:rsid w:val="4EFD6AD1"/>
    <w:rsid w:val="4EFE032C"/>
    <w:rsid w:val="4EFE1B36"/>
    <w:rsid w:val="4EFE20DA"/>
    <w:rsid w:val="4EFE2AC3"/>
    <w:rsid w:val="4EFE6F6C"/>
    <w:rsid w:val="4EFF4CBA"/>
    <w:rsid w:val="4EFF657E"/>
    <w:rsid w:val="4F000FA0"/>
    <w:rsid w:val="4F001156"/>
    <w:rsid w:val="4F0022F6"/>
    <w:rsid w:val="4F0153F6"/>
    <w:rsid w:val="4F023DC9"/>
    <w:rsid w:val="4F02606E"/>
    <w:rsid w:val="4F027D72"/>
    <w:rsid w:val="4F03299E"/>
    <w:rsid w:val="4F043895"/>
    <w:rsid w:val="4F043B94"/>
    <w:rsid w:val="4F0452A7"/>
    <w:rsid w:val="4F0516BA"/>
    <w:rsid w:val="4F053468"/>
    <w:rsid w:val="4F0612C4"/>
    <w:rsid w:val="4F065C92"/>
    <w:rsid w:val="4F06780C"/>
    <w:rsid w:val="4F0716E9"/>
    <w:rsid w:val="4F073684"/>
    <w:rsid w:val="4F075432"/>
    <w:rsid w:val="4F075F67"/>
    <w:rsid w:val="4F082F58"/>
    <w:rsid w:val="4F083447"/>
    <w:rsid w:val="4F08487E"/>
    <w:rsid w:val="4F08769F"/>
    <w:rsid w:val="4F0911AA"/>
    <w:rsid w:val="4F0A556F"/>
    <w:rsid w:val="4F0A6CD0"/>
    <w:rsid w:val="4F0B0854"/>
    <w:rsid w:val="4F0B3174"/>
    <w:rsid w:val="4F0B542A"/>
    <w:rsid w:val="4F0B5486"/>
    <w:rsid w:val="4F0C47F7"/>
    <w:rsid w:val="4F0C611A"/>
    <w:rsid w:val="4F0C78AF"/>
    <w:rsid w:val="4F0C7900"/>
    <w:rsid w:val="4F0C7E74"/>
    <w:rsid w:val="4F0D04E9"/>
    <w:rsid w:val="4F0D4C66"/>
    <w:rsid w:val="4F0E056F"/>
    <w:rsid w:val="4F0E2841"/>
    <w:rsid w:val="4F0E67C1"/>
    <w:rsid w:val="4F0E7ECB"/>
    <w:rsid w:val="4F0F42E7"/>
    <w:rsid w:val="4F10078B"/>
    <w:rsid w:val="4F112E45"/>
    <w:rsid w:val="4F115A09"/>
    <w:rsid w:val="4F1162B1"/>
    <w:rsid w:val="4F123AE9"/>
    <w:rsid w:val="4F1276E6"/>
    <w:rsid w:val="4F131C5D"/>
    <w:rsid w:val="4F132029"/>
    <w:rsid w:val="4F133DD7"/>
    <w:rsid w:val="4F135B85"/>
    <w:rsid w:val="4F1418FD"/>
    <w:rsid w:val="4F144D58"/>
    <w:rsid w:val="4F147704"/>
    <w:rsid w:val="4F153094"/>
    <w:rsid w:val="4F155DA1"/>
    <w:rsid w:val="4F161B19"/>
    <w:rsid w:val="4F1624D8"/>
    <w:rsid w:val="4F1638C7"/>
    <w:rsid w:val="4F165675"/>
    <w:rsid w:val="4F167594"/>
    <w:rsid w:val="4F17405E"/>
    <w:rsid w:val="4F180C11"/>
    <w:rsid w:val="4F18600C"/>
    <w:rsid w:val="4F193BC2"/>
    <w:rsid w:val="4F195165"/>
    <w:rsid w:val="4F196F13"/>
    <w:rsid w:val="4F1A0BCA"/>
    <w:rsid w:val="4F1B07C8"/>
    <w:rsid w:val="4F1B1CEC"/>
    <w:rsid w:val="4F1B2FA8"/>
    <w:rsid w:val="4F1B712F"/>
    <w:rsid w:val="4F1C399F"/>
    <w:rsid w:val="4F1C60BB"/>
    <w:rsid w:val="4F1D2EA8"/>
    <w:rsid w:val="4F1D4592"/>
    <w:rsid w:val="4F1D6A04"/>
    <w:rsid w:val="4F1E1A22"/>
    <w:rsid w:val="4F1E3C36"/>
    <w:rsid w:val="4F1E54D0"/>
    <w:rsid w:val="4F1F20D3"/>
    <w:rsid w:val="4F1F277C"/>
    <w:rsid w:val="4F1F3041"/>
    <w:rsid w:val="4F2064F4"/>
    <w:rsid w:val="4F211CB6"/>
    <w:rsid w:val="4F2204BE"/>
    <w:rsid w:val="4F22226C"/>
    <w:rsid w:val="4F22401A"/>
    <w:rsid w:val="4F22735C"/>
    <w:rsid w:val="4F245FE4"/>
    <w:rsid w:val="4F2466B0"/>
    <w:rsid w:val="4F247CF0"/>
    <w:rsid w:val="4F247D92"/>
    <w:rsid w:val="4F251090"/>
    <w:rsid w:val="4F251D5C"/>
    <w:rsid w:val="4F253B0A"/>
    <w:rsid w:val="4F2603B2"/>
    <w:rsid w:val="4F26066A"/>
    <w:rsid w:val="4F263988"/>
    <w:rsid w:val="4F271630"/>
    <w:rsid w:val="4F27536F"/>
    <w:rsid w:val="4F275AD4"/>
    <w:rsid w:val="4F27623E"/>
    <w:rsid w:val="4F2831CE"/>
    <w:rsid w:val="4F294525"/>
    <w:rsid w:val="4F2A015D"/>
    <w:rsid w:val="4F2A2745"/>
    <w:rsid w:val="4F2A2ECF"/>
    <w:rsid w:val="4F2A7373"/>
    <w:rsid w:val="4F2B1B4F"/>
    <w:rsid w:val="4F2C4E99"/>
    <w:rsid w:val="4F2D35DE"/>
    <w:rsid w:val="4F2D7040"/>
    <w:rsid w:val="4F2E00DF"/>
    <w:rsid w:val="4F2E0C11"/>
    <w:rsid w:val="4F2F543A"/>
    <w:rsid w:val="4F304989"/>
    <w:rsid w:val="4F3124AF"/>
    <w:rsid w:val="4F31425D"/>
    <w:rsid w:val="4F3245D9"/>
    <w:rsid w:val="4F3322A9"/>
    <w:rsid w:val="4F3328D0"/>
    <w:rsid w:val="4F336CF6"/>
    <w:rsid w:val="4F337FD5"/>
    <w:rsid w:val="4F342C01"/>
    <w:rsid w:val="4F343D4D"/>
    <w:rsid w:val="4F344554"/>
    <w:rsid w:val="4F346E01"/>
    <w:rsid w:val="4F363F69"/>
    <w:rsid w:val="4F36475A"/>
    <w:rsid w:val="4F365D17"/>
    <w:rsid w:val="4F377438"/>
    <w:rsid w:val="4F377D4C"/>
    <w:rsid w:val="4F381582"/>
    <w:rsid w:val="4F381A8F"/>
    <w:rsid w:val="4F38383D"/>
    <w:rsid w:val="4F384153"/>
    <w:rsid w:val="4F3855EC"/>
    <w:rsid w:val="4F3A2ACE"/>
    <w:rsid w:val="4F3B332E"/>
    <w:rsid w:val="4F3B50DC"/>
    <w:rsid w:val="4F3C13E6"/>
    <w:rsid w:val="4F3C384A"/>
    <w:rsid w:val="4F3C3EF2"/>
    <w:rsid w:val="4F3C74A9"/>
    <w:rsid w:val="4F3D3F64"/>
    <w:rsid w:val="4F3E697A"/>
    <w:rsid w:val="4F3F1455"/>
    <w:rsid w:val="4F3F3010"/>
    <w:rsid w:val="4F401206"/>
    <w:rsid w:val="4F402440"/>
    <w:rsid w:val="4F410059"/>
    <w:rsid w:val="4F420D88"/>
    <w:rsid w:val="4F4241F6"/>
    <w:rsid w:val="4F42440D"/>
    <w:rsid w:val="4F42646A"/>
    <w:rsid w:val="4F4326D4"/>
    <w:rsid w:val="4F440434"/>
    <w:rsid w:val="4F443F90"/>
    <w:rsid w:val="4F453B86"/>
    <w:rsid w:val="4F455F5A"/>
    <w:rsid w:val="4F457CC7"/>
    <w:rsid w:val="4F47707E"/>
    <w:rsid w:val="4F477B6E"/>
    <w:rsid w:val="4F477BE7"/>
    <w:rsid w:val="4F491588"/>
    <w:rsid w:val="4F492507"/>
    <w:rsid w:val="4F495A7F"/>
    <w:rsid w:val="4F4A2BA6"/>
    <w:rsid w:val="4F4B02A6"/>
    <w:rsid w:val="4F4B34C3"/>
    <w:rsid w:val="4F4C1097"/>
    <w:rsid w:val="4F4C1232"/>
    <w:rsid w:val="4F4C553B"/>
    <w:rsid w:val="4F4C72E9"/>
    <w:rsid w:val="4F4D5A86"/>
    <w:rsid w:val="4F4D67A1"/>
    <w:rsid w:val="4F4D684F"/>
    <w:rsid w:val="4F4E3061"/>
    <w:rsid w:val="4F4E4A64"/>
    <w:rsid w:val="4F4E4E0F"/>
    <w:rsid w:val="4F4E6379"/>
    <w:rsid w:val="4F4F0E67"/>
    <w:rsid w:val="4F4F1C96"/>
    <w:rsid w:val="4F4F4334"/>
    <w:rsid w:val="4F504AF8"/>
    <w:rsid w:val="4F506DD9"/>
    <w:rsid w:val="4F510CC7"/>
    <w:rsid w:val="4F512B51"/>
    <w:rsid w:val="4F5148FF"/>
    <w:rsid w:val="4F5166AD"/>
    <w:rsid w:val="4F522B7B"/>
    <w:rsid w:val="4F523BE8"/>
    <w:rsid w:val="4F525FCE"/>
    <w:rsid w:val="4F5265F3"/>
    <w:rsid w:val="4F527EC4"/>
    <w:rsid w:val="4F530677"/>
    <w:rsid w:val="4F5323A5"/>
    <w:rsid w:val="4F532425"/>
    <w:rsid w:val="4F53305F"/>
    <w:rsid w:val="4F533199"/>
    <w:rsid w:val="4F5368C9"/>
    <w:rsid w:val="4F537114"/>
    <w:rsid w:val="4F541381"/>
    <w:rsid w:val="4F5421BB"/>
    <w:rsid w:val="4F5433E8"/>
    <w:rsid w:val="4F5435EB"/>
    <w:rsid w:val="4F545534"/>
    <w:rsid w:val="4F547761"/>
    <w:rsid w:val="4F5539B1"/>
    <w:rsid w:val="4F5543EF"/>
    <w:rsid w:val="4F55619D"/>
    <w:rsid w:val="4F557603"/>
    <w:rsid w:val="4F560168"/>
    <w:rsid w:val="4F561F16"/>
    <w:rsid w:val="4F56339E"/>
    <w:rsid w:val="4F563CC4"/>
    <w:rsid w:val="4F564023"/>
    <w:rsid w:val="4F5733FF"/>
    <w:rsid w:val="4F5735C9"/>
    <w:rsid w:val="4F580B6C"/>
    <w:rsid w:val="4F585191"/>
    <w:rsid w:val="4F586469"/>
    <w:rsid w:val="4F5902F9"/>
    <w:rsid w:val="4F5A7C58"/>
    <w:rsid w:val="4F5B6CE5"/>
    <w:rsid w:val="4F5B752C"/>
    <w:rsid w:val="4F5C52B6"/>
    <w:rsid w:val="4F5D32A4"/>
    <w:rsid w:val="4F5F0DCA"/>
    <w:rsid w:val="4F5F12B1"/>
    <w:rsid w:val="4F5F526E"/>
    <w:rsid w:val="4F5F701C"/>
    <w:rsid w:val="4F60672A"/>
    <w:rsid w:val="4F610FE6"/>
    <w:rsid w:val="4F611C1E"/>
    <w:rsid w:val="4F61335F"/>
    <w:rsid w:val="4F61648F"/>
    <w:rsid w:val="4F621D1C"/>
    <w:rsid w:val="4F622668"/>
    <w:rsid w:val="4F626B0C"/>
    <w:rsid w:val="4F6271DE"/>
    <w:rsid w:val="4F6273C0"/>
    <w:rsid w:val="4F6435A6"/>
    <w:rsid w:val="4F644633"/>
    <w:rsid w:val="4F6463E1"/>
    <w:rsid w:val="4F652159"/>
    <w:rsid w:val="4F6541BD"/>
    <w:rsid w:val="4F6552C0"/>
    <w:rsid w:val="4F6603AB"/>
    <w:rsid w:val="4F675ED1"/>
    <w:rsid w:val="4F681AF1"/>
    <w:rsid w:val="4F686F20"/>
    <w:rsid w:val="4F6875C9"/>
    <w:rsid w:val="4F691C49"/>
    <w:rsid w:val="4F697E9B"/>
    <w:rsid w:val="4F6B3C13"/>
    <w:rsid w:val="4F6B58A1"/>
    <w:rsid w:val="4F6B59C1"/>
    <w:rsid w:val="4F6C10C4"/>
    <w:rsid w:val="4F6C1739"/>
    <w:rsid w:val="4F6C2660"/>
    <w:rsid w:val="4F6C34E7"/>
    <w:rsid w:val="4F6D1555"/>
    <w:rsid w:val="4F6D1902"/>
    <w:rsid w:val="4F6D374B"/>
    <w:rsid w:val="4F6F2C5D"/>
    <w:rsid w:val="4F6F4B49"/>
    <w:rsid w:val="4F6F572A"/>
    <w:rsid w:val="4F6F63AC"/>
    <w:rsid w:val="4F700FBB"/>
    <w:rsid w:val="4F701229"/>
    <w:rsid w:val="4F702FD7"/>
    <w:rsid w:val="4F710AFD"/>
    <w:rsid w:val="4F71139B"/>
    <w:rsid w:val="4F711713"/>
    <w:rsid w:val="4F7147B9"/>
    <w:rsid w:val="4F716D4F"/>
    <w:rsid w:val="4F726BA6"/>
    <w:rsid w:val="4F735774"/>
    <w:rsid w:val="4F741E69"/>
    <w:rsid w:val="4F74239C"/>
    <w:rsid w:val="4F743105"/>
    <w:rsid w:val="4F743B1D"/>
    <w:rsid w:val="4F744D32"/>
    <w:rsid w:val="4F7556CD"/>
    <w:rsid w:val="4F756840"/>
    <w:rsid w:val="4F756871"/>
    <w:rsid w:val="4F7573AA"/>
    <w:rsid w:val="4F7626B4"/>
    <w:rsid w:val="4F7632C5"/>
    <w:rsid w:val="4F763D8A"/>
    <w:rsid w:val="4F764366"/>
    <w:rsid w:val="4F764860"/>
    <w:rsid w:val="4F767364"/>
    <w:rsid w:val="4F7679CC"/>
    <w:rsid w:val="4F7725B8"/>
    <w:rsid w:val="4F7800DE"/>
    <w:rsid w:val="4F782B8C"/>
    <w:rsid w:val="4F78365A"/>
    <w:rsid w:val="4F790026"/>
    <w:rsid w:val="4F792A76"/>
    <w:rsid w:val="4F7948B9"/>
    <w:rsid w:val="4F7A20A8"/>
    <w:rsid w:val="4F7A5C7B"/>
    <w:rsid w:val="4F7B372A"/>
    <w:rsid w:val="4F7B48BD"/>
    <w:rsid w:val="4F7B6AD7"/>
    <w:rsid w:val="4F7C5E20"/>
    <w:rsid w:val="4F7C6076"/>
    <w:rsid w:val="4F7D3A22"/>
    <w:rsid w:val="4F7D5A21"/>
    <w:rsid w:val="4F7D71C2"/>
    <w:rsid w:val="4F7E2AB0"/>
    <w:rsid w:val="4F7E40B8"/>
    <w:rsid w:val="4F7E42C4"/>
    <w:rsid w:val="4F7E5458"/>
    <w:rsid w:val="4F7F146C"/>
    <w:rsid w:val="4F7F25C4"/>
    <w:rsid w:val="4F7F42D2"/>
    <w:rsid w:val="4F7F4733"/>
    <w:rsid w:val="4F7F628D"/>
    <w:rsid w:val="4F801C09"/>
    <w:rsid w:val="4F805B37"/>
    <w:rsid w:val="4F811C88"/>
    <w:rsid w:val="4F8162A9"/>
    <w:rsid w:val="4F820463"/>
    <w:rsid w:val="4F820F5D"/>
    <w:rsid w:val="4F821874"/>
    <w:rsid w:val="4F822D0B"/>
    <w:rsid w:val="4F827F90"/>
    <w:rsid w:val="4F83129E"/>
    <w:rsid w:val="4F833B28"/>
    <w:rsid w:val="4F844CD5"/>
    <w:rsid w:val="4F845FFF"/>
    <w:rsid w:val="4F8538E2"/>
    <w:rsid w:val="4F857DBD"/>
    <w:rsid w:val="4F8624A9"/>
    <w:rsid w:val="4F8627FB"/>
    <w:rsid w:val="4F8648DA"/>
    <w:rsid w:val="4F870321"/>
    <w:rsid w:val="4F870FEC"/>
    <w:rsid w:val="4F876573"/>
    <w:rsid w:val="4F877CA2"/>
    <w:rsid w:val="4F8847C5"/>
    <w:rsid w:val="4F89131B"/>
    <w:rsid w:val="4F893E05"/>
    <w:rsid w:val="4F893F63"/>
    <w:rsid w:val="4F894099"/>
    <w:rsid w:val="4F896A11"/>
    <w:rsid w:val="4F8A278A"/>
    <w:rsid w:val="4F8A4324"/>
    <w:rsid w:val="4F8A7CF8"/>
    <w:rsid w:val="4F8B1BBF"/>
    <w:rsid w:val="4F8C0284"/>
    <w:rsid w:val="4F8C2AEA"/>
    <w:rsid w:val="4F8C637A"/>
    <w:rsid w:val="4F8C7126"/>
    <w:rsid w:val="4F8C7A5C"/>
    <w:rsid w:val="4F8D008A"/>
    <w:rsid w:val="4F8D0A11"/>
    <w:rsid w:val="4F8D30FB"/>
    <w:rsid w:val="4F8D64B3"/>
    <w:rsid w:val="4F8E1F1D"/>
    <w:rsid w:val="4F8E345D"/>
    <w:rsid w:val="4F8E3FE0"/>
    <w:rsid w:val="4F8E6612"/>
    <w:rsid w:val="4F90283F"/>
    <w:rsid w:val="4F90367A"/>
    <w:rsid w:val="4F905428"/>
    <w:rsid w:val="4F9071D6"/>
    <w:rsid w:val="4F912F4E"/>
    <w:rsid w:val="4F9143A0"/>
    <w:rsid w:val="4F916733"/>
    <w:rsid w:val="4F921896"/>
    <w:rsid w:val="4F9273F2"/>
    <w:rsid w:val="4F93316A"/>
    <w:rsid w:val="4F934F18"/>
    <w:rsid w:val="4F9361EE"/>
    <w:rsid w:val="4F950C90"/>
    <w:rsid w:val="4F9667B6"/>
    <w:rsid w:val="4F9669DA"/>
    <w:rsid w:val="4F9754F7"/>
    <w:rsid w:val="4F98252E"/>
    <w:rsid w:val="4F9839AD"/>
    <w:rsid w:val="4F9842DC"/>
    <w:rsid w:val="4F9843DC"/>
    <w:rsid w:val="4F990F87"/>
    <w:rsid w:val="4F993CDD"/>
    <w:rsid w:val="4F997613"/>
    <w:rsid w:val="4F9A1AE0"/>
    <w:rsid w:val="4F9A34F0"/>
    <w:rsid w:val="4F9C3DCC"/>
    <w:rsid w:val="4F9C4392"/>
    <w:rsid w:val="4F9D203F"/>
    <w:rsid w:val="4F9D3A90"/>
    <w:rsid w:val="4F9D5D96"/>
    <w:rsid w:val="4F9D7B44"/>
    <w:rsid w:val="4F9E0730"/>
    <w:rsid w:val="4F9E5E12"/>
    <w:rsid w:val="4F9F02EF"/>
    <w:rsid w:val="4F9F5943"/>
    <w:rsid w:val="4FA03191"/>
    <w:rsid w:val="4FA03B8B"/>
    <w:rsid w:val="4FA05C21"/>
    <w:rsid w:val="4FA113E3"/>
    <w:rsid w:val="4FA233AD"/>
    <w:rsid w:val="4FA2515B"/>
    <w:rsid w:val="4FA26F09"/>
    <w:rsid w:val="4FA314B5"/>
    <w:rsid w:val="4FA329A4"/>
    <w:rsid w:val="4FA36019"/>
    <w:rsid w:val="4FA407B6"/>
    <w:rsid w:val="4FA40ED3"/>
    <w:rsid w:val="4FA41E87"/>
    <w:rsid w:val="4FA42819"/>
    <w:rsid w:val="4FA42C81"/>
    <w:rsid w:val="4FA47125"/>
    <w:rsid w:val="4FA47173"/>
    <w:rsid w:val="4FA5228A"/>
    <w:rsid w:val="4FA62737"/>
    <w:rsid w:val="4FA65A18"/>
    <w:rsid w:val="4FA66CFD"/>
    <w:rsid w:val="4FA7436E"/>
    <w:rsid w:val="4FA8127B"/>
    <w:rsid w:val="4FA82B06"/>
    <w:rsid w:val="4FA82D1D"/>
    <w:rsid w:val="4FA901DB"/>
    <w:rsid w:val="4FA90414"/>
    <w:rsid w:val="4FA964E9"/>
    <w:rsid w:val="4FAA2F37"/>
    <w:rsid w:val="4FAA2FE5"/>
    <w:rsid w:val="4FAB04B3"/>
    <w:rsid w:val="4FAB0A79"/>
    <w:rsid w:val="4FAB5709"/>
    <w:rsid w:val="4FAB6D53"/>
    <w:rsid w:val="4FAC1DFB"/>
    <w:rsid w:val="4FAC1EB3"/>
    <w:rsid w:val="4FAC26B0"/>
    <w:rsid w:val="4FAC7D88"/>
    <w:rsid w:val="4FAD1966"/>
    <w:rsid w:val="4FAD422B"/>
    <w:rsid w:val="4FAD67E7"/>
    <w:rsid w:val="4FAE1A74"/>
    <w:rsid w:val="4FAE1D52"/>
    <w:rsid w:val="4FAE3B00"/>
    <w:rsid w:val="4FAE4A08"/>
    <w:rsid w:val="4FAF4286"/>
    <w:rsid w:val="4FB10788"/>
    <w:rsid w:val="4FB1539E"/>
    <w:rsid w:val="4FB17B8B"/>
    <w:rsid w:val="4FB20036"/>
    <w:rsid w:val="4FB200C6"/>
    <w:rsid w:val="4FB203B9"/>
    <w:rsid w:val="4FB21554"/>
    <w:rsid w:val="4FB21842"/>
    <w:rsid w:val="4FB263B9"/>
    <w:rsid w:val="4FB27BB7"/>
    <w:rsid w:val="4FB31116"/>
    <w:rsid w:val="4FB346A4"/>
    <w:rsid w:val="4FB34C94"/>
    <w:rsid w:val="4FB355BA"/>
    <w:rsid w:val="4FB37368"/>
    <w:rsid w:val="4FB40783"/>
    <w:rsid w:val="4FB540E7"/>
    <w:rsid w:val="4FB629B4"/>
    <w:rsid w:val="4FB67197"/>
    <w:rsid w:val="4FB67737"/>
    <w:rsid w:val="4FB742D1"/>
    <w:rsid w:val="4FB74A06"/>
    <w:rsid w:val="4FB777D7"/>
    <w:rsid w:val="4FB808D2"/>
    <w:rsid w:val="4FB8497E"/>
    <w:rsid w:val="4FB86A79"/>
    <w:rsid w:val="4FB875D6"/>
    <w:rsid w:val="4FB9022A"/>
    <w:rsid w:val="4FB90B64"/>
    <w:rsid w:val="4FB90FAB"/>
    <w:rsid w:val="4FB925DA"/>
    <w:rsid w:val="4FB966B4"/>
    <w:rsid w:val="4FB9753E"/>
    <w:rsid w:val="4FBA06F6"/>
    <w:rsid w:val="4FBA24A4"/>
    <w:rsid w:val="4FBA295A"/>
    <w:rsid w:val="4FBA39C5"/>
    <w:rsid w:val="4FBA4052"/>
    <w:rsid w:val="4FBA4253"/>
    <w:rsid w:val="4FBA658A"/>
    <w:rsid w:val="4FBB0F18"/>
    <w:rsid w:val="4FBB7FCB"/>
    <w:rsid w:val="4FBC1425"/>
    <w:rsid w:val="4FBC1484"/>
    <w:rsid w:val="4FBC15F9"/>
    <w:rsid w:val="4FBC446F"/>
    <w:rsid w:val="4FBC621D"/>
    <w:rsid w:val="4FBD11EC"/>
    <w:rsid w:val="4FBD1F95"/>
    <w:rsid w:val="4FBD3D43"/>
    <w:rsid w:val="4FBD44E4"/>
    <w:rsid w:val="4FBD50D3"/>
    <w:rsid w:val="4FBD51E1"/>
    <w:rsid w:val="4FBD688A"/>
    <w:rsid w:val="4FBD7292"/>
    <w:rsid w:val="4FBE01E7"/>
    <w:rsid w:val="4FBE1161"/>
    <w:rsid w:val="4FBE1A37"/>
    <w:rsid w:val="4FBF4584"/>
    <w:rsid w:val="4FBF7ABB"/>
    <w:rsid w:val="4FC06EDF"/>
    <w:rsid w:val="4FC12F4D"/>
    <w:rsid w:val="4FC21359"/>
    <w:rsid w:val="4FC275AB"/>
    <w:rsid w:val="4FC30FBB"/>
    <w:rsid w:val="4FC33198"/>
    <w:rsid w:val="4FC346CE"/>
    <w:rsid w:val="4FC36648"/>
    <w:rsid w:val="4FC43323"/>
    <w:rsid w:val="4FC43E30"/>
    <w:rsid w:val="4FC623A7"/>
    <w:rsid w:val="4FC62A8C"/>
    <w:rsid w:val="4FC652ED"/>
    <w:rsid w:val="4FC76CBB"/>
    <w:rsid w:val="4FC82E13"/>
    <w:rsid w:val="4FC83BFD"/>
    <w:rsid w:val="4FC86B92"/>
    <w:rsid w:val="4FC91BCF"/>
    <w:rsid w:val="4FC926E8"/>
    <w:rsid w:val="4FC94E2D"/>
    <w:rsid w:val="4FC96B8B"/>
    <w:rsid w:val="4FC97201"/>
    <w:rsid w:val="4FCA1BA6"/>
    <w:rsid w:val="4FCA5D6F"/>
    <w:rsid w:val="4FCA61E4"/>
    <w:rsid w:val="4FCB231E"/>
    <w:rsid w:val="4FCB2904"/>
    <w:rsid w:val="4FCB38F5"/>
    <w:rsid w:val="4FCB6460"/>
    <w:rsid w:val="4FCC21D8"/>
    <w:rsid w:val="4FCC3F86"/>
    <w:rsid w:val="4FCC4556"/>
    <w:rsid w:val="4FCD6802"/>
    <w:rsid w:val="4FCD70C9"/>
    <w:rsid w:val="4FCE1A58"/>
    <w:rsid w:val="4FCE7424"/>
    <w:rsid w:val="4FCE7CFE"/>
    <w:rsid w:val="4FCF0C9F"/>
    <w:rsid w:val="4FCF151E"/>
    <w:rsid w:val="4FCF3502"/>
    <w:rsid w:val="4FCF3BAC"/>
    <w:rsid w:val="4FCF7E2D"/>
    <w:rsid w:val="4FD01CC8"/>
    <w:rsid w:val="4FD03A76"/>
    <w:rsid w:val="4FD0780F"/>
    <w:rsid w:val="4FD07F1A"/>
    <w:rsid w:val="4FD25A40"/>
    <w:rsid w:val="4FD27620"/>
    <w:rsid w:val="4FD277EE"/>
    <w:rsid w:val="4FD33ECE"/>
    <w:rsid w:val="4FD34E87"/>
    <w:rsid w:val="4FD478D1"/>
    <w:rsid w:val="4FD5108C"/>
    <w:rsid w:val="4FD53C69"/>
    <w:rsid w:val="4FD55FA1"/>
    <w:rsid w:val="4FD56669"/>
    <w:rsid w:val="4FD60B72"/>
    <w:rsid w:val="4FD631D9"/>
    <w:rsid w:val="4FD7252C"/>
    <w:rsid w:val="4FD728D5"/>
    <w:rsid w:val="4FD73056"/>
    <w:rsid w:val="4FD738A3"/>
    <w:rsid w:val="4FD74E04"/>
    <w:rsid w:val="4FD80B7D"/>
    <w:rsid w:val="4FD81CAD"/>
    <w:rsid w:val="4FD8407F"/>
    <w:rsid w:val="4FD93D53"/>
    <w:rsid w:val="4FD94922"/>
    <w:rsid w:val="4FD95020"/>
    <w:rsid w:val="4FD95B8A"/>
    <w:rsid w:val="4FD9651E"/>
    <w:rsid w:val="4FDA2B47"/>
    <w:rsid w:val="4FDA5DB2"/>
    <w:rsid w:val="4FDA66A3"/>
    <w:rsid w:val="4FDA7242"/>
    <w:rsid w:val="4FDA7714"/>
    <w:rsid w:val="4FDC241B"/>
    <w:rsid w:val="4FDD43E5"/>
    <w:rsid w:val="4FDD4BB4"/>
    <w:rsid w:val="4FDE0794"/>
    <w:rsid w:val="4FDE2637"/>
    <w:rsid w:val="4FDE275E"/>
    <w:rsid w:val="4FDE4ABC"/>
    <w:rsid w:val="4FDE5BC3"/>
    <w:rsid w:val="4FDE6FBC"/>
    <w:rsid w:val="4FDF59D4"/>
    <w:rsid w:val="4FDF63AF"/>
    <w:rsid w:val="4FE047F5"/>
    <w:rsid w:val="4FE11016"/>
    <w:rsid w:val="4FE12B17"/>
    <w:rsid w:val="4FE14544"/>
    <w:rsid w:val="4FE15C83"/>
    <w:rsid w:val="4FE17A31"/>
    <w:rsid w:val="4FE20F0D"/>
    <w:rsid w:val="4FE21DBD"/>
    <w:rsid w:val="4FE224C4"/>
    <w:rsid w:val="4FE44462"/>
    <w:rsid w:val="4FE47521"/>
    <w:rsid w:val="4FE51552"/>
    <w:rsid w:val="4FE603BC"/>
    <w:rsid w:val="4FE614EB"/>
    <w:rsid w:val="4FE63592"/>
    <w:rsid w:val="4FE64355"/>
    <w:rsid w:val="4FE65048"/>
    <w:rsid w:val="4FE6773D"/>
    <w:rsid w:val="4FE70DC0"/>
    <w:rsid w:val="4FE8185E"/>
    <w:rsid w:val="4FE8205F"/>
    <w:rsid w:val="4FE87012"/>
    <w:rsid w:val="4FE91AB3"/>
    <w:rsid w:val="4FE94B38"/>
    <w:rsid w:val="4FE94F5F"/>
    <w:rsid w:val="4FEA6D2C"/>
    <w:rsid w:val="4FEA6D37"/>
    <w:rsid w:val="4FEA752D"/>
    <w:rsid w:val="4FEB08B0"/>
    <w:rsid w:val="4FEB3A2C"/>
    <w:rsid w:val="4FEC0C0F"/>
    <w:rsid w:val="4FED287A"/>
    <w:rsid w:val="4FED2BC9"/>
    <w:rsid w:val="4FED4628"/>
    <w:rsid w:val="4FED6DF9"/>
    <w:rsid w:val="4FEE214E"/>
    <w:rsid w:val="4FEE2EE2"/>
    <w:rsid w:val="4FEE56B8"/>
    <w:rsid w:val="4FEE65F2"/>
    <w:rsid w:val="4FEF1293"/>
    <w:rsid w:val="4FEF28E2"/>
    <w:rsid w:val="4FEF4E4F"/>
    <w:rsid w:val="4FEF520F"/>
    <w:rsid w:val="4FEF6B48"/>
    <w:rsid w:val="4FF01AB5"/>
    <w:rsid w:val="4FF0492B"/>
    <w:rsid w:val="4FF05EC6"/>
    <w:rsid w:val="4FF0626B"/>
    <w:rsid w:val="4FF069ED"/>
    <w:rsid w:val="4FF12D75"/>
    <w:rsid w:val="4FF14039"/>
    <w:rsid w:val="4FF21C3E"/>
    <w:rsid w:val="4FF234A2"/>
    <w:rsid w:val="4FF2477D"/>
    <w:rsid w:val="4FF260E2"/>
    <w:rsid w:val="4FF2635A"/>
    <w:rsid w:val="4FF27E90"/>
    <w:rsid w:val="4FF359B6"/>
    <w:rsid w:val="4FF4152A"/>
    <w:rsid w:val="4FF425EE"/>
    <w:rsid w:val="4FF43C08"/>
    <w:rsid w:val="4FF445DA"/>
    <w:rsid w:val="4FF476D2"/>
    <w:rsid w:val="4FF51E6C"/>
    <w:rsid w:val="4FF534DD"/>
    <w:rsid w:val="4FF5626C"/>
    <w:rsid w:val="4FF65D82"/>
    <w:rsid w:val="4FF736F9"/>
    <w:rsid w:val="4FF73FD4"/>
    <w:rsid w:val="4FF74EA9"/>
    <w:rsid w:val="4FF77EAB"/>
    <w:rsid w:val="4FF80694"/>
    <w:rsid w:val="4FF8112F"/>
    <w:rsid w:val="4FF8133B"/>
    <w:rsid w:val="4FF82FCD"/>
    <w:rsid w:val="4FF84D7B"/>
    <w:rsid w:val="4FF9121F"/>
    <w:rsid w:val="4FF9528C"/>
    <w:rsid w:val="4FF97471"/>
    <w:rsid w:val="4FFA6D45"/>
    <w:rsid w:val="4FFB1253"/>
    <w:rsid w:val="4FFC0D0F"/>
    <w:rsid w:val="4FFC114C"/>
    <w:rsid w:val="4FFC288D"/>
    <w:rsid w:val="4FFC486B"/>
    <w:rsid w:val="4FFD05E3"/>
    <w:rsid w:val="4FFD1E81"/>
    <w:rsid w:val="4FFD3063"/>
    <w:rsid w:val="4FFD595B"/>
    <w:rsid w:val="4FFE6835"/>
    <w:rsid w:val="50006A3F"/>
    <w:rsid w:val="500100D3"/>
    <w:rsid w:val="50011A12"/>
    <w:rsid w:val="50011E81"/>
    <w:rsid w:val="50015864"/>
    <w:rsid w:val="500159CA"/>
    <w:rsid w:val="5002017E"/>
    <w:rsid w:val="50020B50"/>
    <w:rsid w:val="50021A1C"/>
    <w:rsid w:val="50023AF7"/>
    <w:rsid w:val="500241D6"/>
    <w:rsid w:val="50024E1A"/>
    <w:rsid w:val="50024FBE"/>
    <w:rsid w:val="50025BF9"/>
    <w:rsid w:val="50027980"/>
    <w:rsid w:val="5003209D"/>
    <w:rsid w:val="500323AF"/>
    <w:rsid w:val="5003327D"/>
    <w:rsid w:val="50033E4B"/>
    <w:rsid w:val="500362FC"/>
    <w:rsid w:val="50037BD8"/>
    <w:rsid w:val="50040AC5"/>
    <w:rsid w:val="5005393F"/>
    <w:rsid w:val="50061AF7"/>
    <w:rsid w:val="5006393C"/>
    <w:rsid w:val="500656EA"/>
    <w:rsid w:val="50067498"/>
    <w:rsid w:val="500742A8"/>
    <w:rsid w:val="50077CB2"/>
    <w:rsid w:val="500806A1"/>
    <w:rsid w:val="5008372D"/>
    <w:rsid w:val="50084C22"/>
    <w:rsid w:val="500876B4"/>
    <w:rsid w:val="50090CDA"/>
    <w:rsid w:val="500951DA"/>
    <w:rsid w:val="500976AA"/>
    <w:rsid w:val="500A1AFB"/>
    <w:rsid w:val="500A6321"/>
    <w:rsid w:val="500B0C4A"/>
    <w:rsid w:val="500B71A4"/>
    <w:rsid w:val="500B77B1"/>
    <w:rsid w:val="500C303F"/>
    <w:rsid w:val="500C3162"/>
    <w:rsid w:val="500D3812"/>
    <w:rsid w:val="500D64D4"/>
    <w:rsid w:val="500D6683"/>
    <w:rsid w:val="500D7747"/>
    <w:rsid w:val="500E20C0"/>
    <w:rsid w:val="500E27F0"/>
    <w:rsid w:val="500E5886"/>
    <w:rsid w:val="500F6132"/>
    <w:rsid w:val="50100316"/>
    <w:rsid w:val="50102FC6"/>
    <w:rsid w:val="5010439C"/>
    <w:rsid w:val="50106568"/>
    <w:rsid w:val="50120532"/>
    <w:rsid w:val="501222E0"/>
    <w:rsid w:val="50122FA0"/>
    <w:rsid w:val="5012408F"/>
    <w:rsid w:val="50126A04"/>
    <w:rsid w:val="50131BB5"/>
    <w:rsid w:val="50141F79"/>
    <w:rsid w:val="50146059"/>
    <w:rsid w:val="501473D3"/>
    <w:rsid w:val="50151DD1"/>
    <w:rsid w:val="5015592D"/>
    <w:rsid w:val="5016652C"/>
    <w:rsid w:val="50170AF5"/>
    <w:rsid w:val="50175B49"/>
    <w:rsid w:val="501839CB"/>
    <w:rsid w:val="501871E4"/>
    <w:rsid w:val="50191C9C"/>
    <w:rsid w:val="50191DB5"/>
    <w:rsid w:val="5019541D"/>
    <w:rsid w:val="501954C7"/>
    <w:rsid w:val="501A1195"/>
    <w:rsid w:val="501A2F43"/>
    <w:rsid w:val="501A474E"/>
    <w:rsid w:val="501B2F32"/>
    <w:rsid w:val="501B46D5"/>
    <w:rsid w:val="501C2892"/>
    <w:rsid w:val="501C6CBB"/>
    <w:rsid w:val="501D5EB6"/>
    <w:rsid w:val="501E2A33"/>
    <w:rsid w:val="501E4BFD"/>
    <w:rsid w:val="501E605A"/>
    <w:rsid w:val="501F019B"/>
    <w:rsid w:val="501F0559"/>
    <w:rsid w:val="501F44E6"/>
    <w:rsid w:val="501F4FB5"/>
    <w:rsid w:val="50200642"/>
    <w:rsid w:val="502019D2"/>
    <w:rsid w:val="5020391B"/>
    <w:rsid w:val="50212A6B"/>
    <w:rsid w:val="50222E67"/>
    <w:rsid w:val="50234160"/>
    <w:rsid w:val="502344EE"/>
    <w:rsid w:val="5023629C"/>
    <w:rsid w:val="5023680D"/>
    <w:rsid w:val="50236A74"/>
    <w:rsid w:val="5024348B"/>
    <w:rsid w:val="50243DC2"/>
    <w:rsid w:val="50250043"/>
    <w:rsid w:val="50250266"/>
    <w:rsid w:val="50252E00"/>
    <w:rsid w:val="5026167C"/>
    <w:rsid w:val="50265D8C"/>
    <w:rsid w:val="50267B3A"/>
    <w:rsid w:val="50272E51"/>
    <w:rsid w:val="50276254"/>
    <w:rsid w:val="50280D8F"/>
    <w:rsid w:val="50281B04"/>
    <w:rsid w:val="502838A0"/>
    <w:rsid w:val="502838B2"/>
    <w:rsid w:val="502913D8"/>
    <w:rsid w:val="502A2ED0"/>
    <w:rsid w:val="502A6852"/>
    <w:rsid w:val="502A6997"/>
    <w:rsid w:val="502A762A"/>
    <w:rsid w:val="502B0F13"/>
    <w:rsid w:val="502B33A2"/>
    <w:rsid w:val="502C2772"/>
    <w:rsid w:val="502D711A"/>
    <w:rsid w:val="502E0C0B"/>
    <w:rsid w:val="502E5D8D"/>
    <w:rsid w:val="502F2E92"/>
    <w:rsid w:val="502F4545"/>
    <w:rsid w:val="502F6569"/>
    <w:rsid w:val="5030003C"/>
    <w:rsid w:val="503009B9"/>
    <w:rsid w:val="503070FF"/>
    <w:rsid w:val="50323589"/>
    <w:rsid w:val="503249EB"/>
    <w:rsid w:val="503264DF"/>
    <w:rsid w:val="50326515"/>
    <w:rsid w:val="50334005"/>
    <w:rsid w:val="503372DE"/>
    <w:rsid w:val="50337B98"/>
    <w:rsid w:val="503404A9"/>
    <w:rsid w:val="50342257"/>
    <w:rsid w:val="50342F2D"/>
    <w:rsid w:val="50344005"/>
    <w:rsid w:val="503520B4"/>
    <w:rsid w:val="50354221"/>
    <w:rsid w:val="5035449D"/>
    <w:rsid w:val="50355FCF"/>
    <w:rsid w:val="50357C81"/>
    <w:rsid w:val="50357D7D"/>
    <w:rsid w:val="50357E4D"/>
    <w:rsid w:val="50371D47"/>
    <w:rsid w:val="50373F95"/>
    <w:rsid w:val="5037533E"/>
    <w:rsid w:val="50377A90"/>
    <w:rsid w:val="50377F99"/>
    <w:rsid w:val="50380C7E"/>
    <w:rsid w:val="503811CE"/>
    <w:rsid w:val="50387F1A"/>
    <w:rsid w:val="5039282F"/>
    <w:rsid w:val="50395ABF"/>
    <w:rsid w:val="5039786D"/>
    <w:rsid w:val="50397C5E"/>
    <w:rsid w:val="503A00AC"/>
    <w:rsid w:val="503A4183"/>
    <w:rsid w:val="503A52C6"/>
    <w:rsid w:val="503A5393"/>
    <w:rsid w:val="503B1837"/>
    <w:rsid w:val="503B1D58"/>
    <w:rsid w:val="503C0241"/>
    <w:rsid w:val="503C096C"/>
    <w:rsid w:val="503C110B"/>
    <w:rsid w:val="503C55AF"/>
    <w:rsid w:val="503C7D43"/>
    <w:rsid w:val="503D00F2"/>
    <w:rsid w:val="503D0A8A"/>
    <w:rsid w:val="503D28AE"/>
    <w:rsid w:val="503E30D6"/>
    <w:rsid w:val="503E6C32"/>
    <w:rsid w:val="503F39BD"/>
    <w:rsid w:val="50404ED7"/>
    <w:rsid w:val="50405F0E"/>
    <w:rsid w:val="50411B51"/>
    <w:rsid w:val="50414974"/>
    <w:rsid w:val="504176E3"/>
    <w:rsid w:val="50421D33"/>
    <w:rsid w:val="504306EC"/>
    <w:rsid w:val="5043249A"/>
    <w:rsid w:val="504360B8"/>
    <w:rsid w:val="5043693E"/>
    <w:rsid w:val="50443BED"/>
    <w:rsid w:val="50444DEF"/>
    <w:rsid w:val="50447FC0"/>
    <w:rsid w:val="50450DD2"/>
    <w:rsid w:val="50454464"/>
    <w:rsid w:val="50454CBC"/>
    <w:rsid w:val="504601DC"/>
    <w:rsid w:val="504636D8"/>
    <w:rsid w:val="50463F34"/>
    <w:rsid w:val="50465BA4"/>
    <w:rsid w:val="504723DC"/>
    <w:rsid w:val="50482D28"/>
    <w:rsid w:val="50484285"/>
    <w:rsid w:val="50491CCF"/>
    <w:rsid w:val="50491EE6"/>
    <w:rsid w:val="50493828"/>
    <w:rsid w:val="50494988"/>
    <w:rsid w:val="504A1A7A"/>
    <w:rsid w:val="504B60F8"/>
    <w:rsid w:val="504B6D9E"/>
    <w:rsid w:val="504C22CB"/>
    <w:rsid w:val="504D3D84"/>
    <w:rsid w:val="504E42D9"/>
    <w:rsid w:val="504E6A51"/>
    <w:rsid w:val="504F17AD"/>
    <w:rsid w:val="504F685F"/>
    <w:rsid w:val="504F7091"/>
    <w:rsid w:val="5050002F"/>
    <w:rsid w:val="50502E87"/>
    <w:rsid w:val="50504C4B"/>
    <w:rsid w:val="50506965"/>
    <w:rsid w:val="50517375"/>
    <w:rsid w:val="505209F3"/>
    <w:rsid w:val="50520AB0"/>
    <w:rsid w:val="50526B81"/>
    <w:rsid w:val="505369BD"/>
    <w:rsid w:val="505428F9"/>
    <w:rsid w:val="50543BB4"/>
    <w:rsid w:val="505446A7"/>
    <w:rsid w:val="50546455"/>
    <w:rsid w:val="5055041F"/>
    <w:rsid w:val="505521CD"/>
    <w:rsid w:val="50561435"/>
    <w:rsid w:val="50562B48"/>
    <w:rsid w:val="50563F14"/>
    <w:rsid w:val="50570F57"/>
    <w:rsid w:val="50574197"/>
    <w:rsid w:val="5057674A"/>
    <w:rsid w:val="505853B2"/>
    <w:rsid w:val="50591CBD"/>
    <w:rsid w:val="50593A6B"/>
    <w:rsid w:val="50595004"/>
    <w:rsid w:val="505952AE"/>
    <w:rsid w:val="50597F0F"/>
    <w:rsid w:val="505A5A36"/>
    <w:rsid w:val="505B41FA"/>
    <w:rsid w:val="505B7A42"/>
    <w:rsid w:val="505C355C"/>
    <w:rsid w:val="505D14FA"/>
    <w:rsid w:val="505D4996"/>
    <w:rsid w:val="505E0383"/>
    <w:rsid w:val="505E0C01"/>
    <w:rsid w:val="505E1082"/>
    <w:rsid w:val="505E5390"/>
    <w:rsid w:val="505E5526"/>
    <w:rsid w:val="505F4561"/>
    <w:rsid w:val="50600E53"/>
    <w:rsid w:val="5060129E"/>
    <w:rsid w:val="50615016"/>
    <w:rsid w:val="50615526"/>
    <w:rsid w:val="50616F4B"/>
    <w:rsid w:val="506202F9"/>
    <w:rsid w:val="50622E19"/>
    <w:rsid w:val="50623676"/>
    <w:rsid w:val="50625E80"/>
    <w:rsid w:val="5062775E"/>
    <w:rsid w:val="50627F73"/>
    <w:rsid w:val="50630D8E"/>
    <w:rsid w:val="5063220D"/>
    <w:rsid w:val="50632B3C"/>
    <w:rsid w:val="50633F1C"/>
    <w:rsid w:val="506348EA"/>
    <w:rsid w:val="506367D6"/>
    <w:rsid w:val="50642410"/>
    <w:rsid w:val="50644982"/>
    <w:rsid w:val="5066262C"/>
    <w:rsid w:val="506640F7"/>
    <w:rsid w:val="50666C7A"/>
    <w:rsid w:val="50676DBD"/>
    <w:rsid w:val="50680152"/>
    <w:rsid w:val="506809F8"/>
    <w:rsid w:val="506863A4"/>
    <w:rsid w:val="50690D05"/>
    <w:rsid w:val="50697A27"/>
    <w:rsid w:val="506A32CF"/>
    <w:rsid w:val="506A3ECB"/>
    <w:rsid w:val="506B2AEC"/>
    <w:rsid w:val="506B379F"/>
    <w:rsid w:val="506B7C43"/>
    <w:rsid w:val="506D1BA0"/>
    <w:rsid w:val="506D39BB"/>
    <w:rsid w:val="506D7517"/>
    <w:rsid w:val="506E7735"/>
    <w:rsid w:val="506F0A87"/>
    <w:rsid w:val="506F14E1"/>
    <w:rsid w:val="506F5990"/>
    <w:rsid w:val="506F7733"/>
    <w:rsid w:val="50700DB5"/>
    <w:rsid w:val="5070485E"/>
    <w:rsid w:val="50707007"/>
    <w:rsid w:val="507073E4"/>
    <w:rsid w:val="50713D8D"/>
    <w:rsid w:val="5072152F"/>
    <w:rsid w:val="50722D7F"/>
    <w:rsid w:val="50726F87"/>
    <w:rsid w:val="50734E8D"/>
    <w:rsid w:val="507408A5"/>
    <w:rsid w:val="50744D49"/>
    <w:rsid w:val="50746AF7"/>
    <w:rsid w:val="50751155"/>
    <w:rsid w:val="507533CC"/>
    <w:rsid w:val="5076098E"/>
    <w:rsid w:val="50761340"/>
    <w:rsid w:val="5076676F"/>
    <w:rsid w:val="50770396"/>
    <w:rsid w:val="507704A7"/>
    <w:rsid w:val="5077149B"/>
    <w:rsid w:val="50772144"/>
    <w:rsid w:val="507765E7"/>
    <w:rsid w:val="50785EEB"/>
    <w:rsid w:val="50792360"/>
    <w:rsid w:val="5079410E"/>
    <w:rsid w:val="507A1C34"/>
    <w:rsid w:val="507A6580"/>
    <w:rsid w:val="507B49F2"/>
    <w:rsid w:val="507B60AB"/>
    <w:rsid w:val="507B7E86"/>
    <w:rsid w:val="507C1E50"/>
    <w:rsid w:val="507C3BFE"/>
    <w:rsid w:val="507C59AC"/>
    <w:rsid w:val="507C775A"/>
    <w:rsid w:val="507D4F01"/>
    <w:rsid w:val="507D6642"/>
    <w:rsid w:val="507E7AD2"/>
    <w:rsid w:val="507F0620"/>
    <w:rsid w:val="507F31AE"/>
    <w:rsid w:val="507F567B"/>
    <w:rsid w:val="507F5F32"/>
    <w:rsid w:val="50801DCA"/>
    <w:rsid w:val="508036EE"/>
    <w:rsid w:val="50811214"/>
    <w:rsid w:val="50812FC2"/>
    <w:rsid w:val="50816136"/>
    <w:rsid w:val="50823763"/>
    <w:rsid w:val="50827466"/>
    <w:rsid w:val="50830AE8"/>
    <w:rsid w:val="50834F8C"/>
    <w:rsid w:val="50837736"/>
    <w:rsid w:val="50842203"/>
    <w:rsid w:val="50842628"/>
    <w:rsid w:val="508472B4"/>
    <w:rsid w:val="50847E24"/>
    <w:rsid w:val="5085081D"/>
    <w:rsid w:val="50850B05"/>
    <w:rsid w:val="50850D04"/>
    <w:rsid w:val="50852AB2"/>
    <w:rsid w:val="50854817"/>
    <w:rsid w:val="508550E2"/>
    <w:rsid w:val="508605D9"/>
    <w:rsid w:val="50865970"/>
    <w:rsid w:val="508676F4"/>
    <w:rsid w:val="508722C5"/>
    <w:rsid w:val="50874A7C"/>
    <w:rsid w:val="50882BE1"/>
    <w:rsid w:val="50883DF4"/>
    <w:rsid w:val="50884351"/>
    <w:rsid w:val="508A1108"/>
    <w:rsid w:val="508A1318"/>
    <w:rsid w:val="508A631B"/>
    <w:rsid w:val="508A78D6"/>
    <w:rsid w:val="508B56C8"/>
    <w:rsid w:val="508B69A7"/>
    <w:rsid w:val="508D0734"/>
    <w:rsid w:val="508D1967"/>
    <w:rsid w:val="508D70E5"/>
    <w:rsid w:val="508D7BB9"/>
    <w:rsid w:val="508E3819"/>
    <w:rsid w:val="508F03CF"/>
    <w:rsid w:val="508F0A57"/>
    <w:rsid w:val="508F39B6"/>
    <w:rsid w:val="508F4A37"/>
    <w:rsid w:val="50903205"/>
    <w:rsid w:val="50912610"/>
    <w:rsid w:val="50915F48"/>
    <w:rsid w:val="509244E5"/>
    <w:rsid w:val="50925F1B"/>
    <w:rsid w:val="5093448B"/>
    <w:rsid w:val="50934EE3"/>
    <w:rsid w:val="50935F88"/>
    <w:rsid w:val="50936184"/>
    <w:rsid w:val="5093674F"/>
    <w:rsid w:val="50936E44"/>
    <w:rsid w:val="50940F47"/>
    <w:rsid w:val="50942CF5"/>
    <w:rsid w:val="50943ED2"/>
    <w:rsid w:val="5095081C"/>
    <w:rsid w:val="50964618"/>
    <w:rsid w:val="50966A6E"/>
    <w:rsid w:val="50970A38"/>
    <w:rsid w:val="50976479"/>
    <w:rsid w:val="5098229E"/>
    <w:rsid w:val="5099030C"/>
    <w:rsid w:val="509947B0"/>
    <w:rsid w:val="50994912"/>
    <w:rsid w:val="509A58F9"/>
    <w:rsid w:val="509A64F7"/>
    <w:rsid w:val="509B4084"/>
    <w:rsid w:val="509B53DD"/>
    <w:rsid w:val="509C1BAA"/>
    <w:rsid w:val="509C604E"/>
    <w:rsid w:val="509C6E7C"/>
    <w:rsid w:val="509E1DC6"/>
    <w:rsid w:val="509E5922"/>
    <w:rsid w:val="509F0864"/>
    <w:rsid w:val="509F0BBE"/>
    <w:rsid w:val="509F5358"/>
    <w:rsid w:val="50A019DC"/>
    <w:rsid w:val="50A01E88"/>
    <w:rsid w:val="50A02441"/>
    <w:rsid w:val="50A078EC"/>
    <w:rsid w:val="50A12591"/>
    <w:rsid w:val="50A218B6"/>
    <w:rsid w:val="50A32F39"/>
    <w:rsid w:val="50A337A9"/>
    <w:rsid w:val="50A34980"/>
    <w:rsid w:val="50A373DC"/>
    <w:rsid w:val="50A470A2"/>
    <w:rsid w:val="50A50592"/>
    <w:rsid w:val="50A53155"/>
    <w:rsid w:val="50A559BC"/>
    <w:rsid w:val="50A55BC5"/>
    <w:rsid w:val="50A62576"/>
    <w:rsid w:val="50A82C45"/>
    <w:rsid w:val="50A849F3"/>
    <w:rsid w:val="50A867A1"/>
    <w:rsid w:val="50A9081D"/>
    <w:rsid w:val="50A91656"/>
    <w:rsid w:val="50A93F97"/>
    <w:rsid w:val="50A941CF"/>
    <w:rsid w:val="50A97A80"/>
    <w:rsid w:val="50AA42C7"/>
    <w:rsid w:val="50AB003F"/>
    <w:rsid w:val="50AB12C3"/>
    <w:rsid w:val="50AC0EAB"/>
    <w:rsid w:val="50AC2B50"/>
    <w:rsid w:val="50AC6191"/>
    <w:rsid w:val="50AD2009"/>
    <w:rsid w:val="50AD3DB7"/>
    <w:rsid w:val="50AE4337"/>
    <w:rsid w:val="50AF3F0B"/>
    <w:rsid w:val="50AF5D81"/>
    <w:rsid w:val="50AF6900"/>
    <w:rsid w:val="50B0138F"/>
    <w:rsid w:val="50B05986"/>
    <w:rsid w:val="50B11AF9"/>
    <w:rsid w:val="50B12173"/>
    <w:rsid w:val="50B16527"/>
    <w:rsid w:val="50B172E2"/>
    <w:rsid w:val="50B25872"/>
    <w:rsid w:val="50B27620"/>
    <w:rsid w:val="50B276A6"/>
    <w:rsid w:val="50B34216"/>
    <w:rsid w:val="50B40AA3"/>
    <w:rsid w:val="50B43398"/>
    <w:rsid w:val="50B45146"/>
    <w:rsid w:val="50B52C6C"/>
    <w:rsid w:val="50B5407E"/>
    <w:rsid w:val="50B56BCB"/>
    <w:rsid w:val="50B60EBE"/>
    <w:rsid w:val="50B618F8"/>
    <w:rsid w:val="50B61C88"/>
    <w:rsid w:val="50B667D3"/>
    <w:rsid w:val="50B73B1C"/>
    <w:rsid w:val="50B74C36"/>
    <w:rsid w:val="50B762D9"/>
    <w:rsid w:val="50B8303F"/>
    <w:rsid w:val="50B909AE"/>
    <w:rsid w:val="50B94F68"/>
    <w:rsid w:val="50B9508D"/>
    <w:rsid w:val="50B96C00"/>
    <w:rsid w:val="50BB4726"/>
    <w:rsid w:val="50BB4CF5"/>
    <w:rsid w:val="50BB64D4"/>
    <w:rsid w:val="50BB7EA0"/>
    <w:rsid w:val="50BC4DDA"/>
    <w:rsid w:val="50BD0599"/>
    <w:rsid w:val="50BD0E2B"/>
    <w:rsid w:val="50BD3AD5"/>
    <w:rsid w:val="50BD6164"/>
    <w:rsid w:val="50BE1A68"/>
    <w:rsid w:val="50BE7D72"/>
    <w:rsid w:val="50BF7C0A"/>
    <w:rsid w:val="50C01865"/>
    <w:rsid w:val="50C024C8"/>
    <w:rsid w:val="50C04140"/>
    <w:rsid w:val="50C07F8E"/>
    <w:rsid w:val="50C10D15"/>
    <w:rsid w:val="50C17089"/>
    <w:rsid w:val="50C17838"/>
    <w:rsid w:val="50C23D07"/>
    <w:rsid w:val="50C3065C"/>
    <w:rsid w:val="50C30992"/>
    <w:rsid w:val="50C3182D"/>
    <w:rsid w:val="50C335DB"/>
    <w:rsid w:val="50C36206"/>
    <w:rsid w:val="50C47696"/>
    <w:rsid w:val="50C555A5"/>
    <w:rsid w:val="50C57353"/>
    <w:rsid w:val="50C604DD"/>
    <w:rsid w:val="50C61B92"/>
    <w:rsid w:val="50C636F7"/>
    <w:rsid w:val="50C64B87"/>
    <w:rsid w:val="50C64C5B"/>
    <w:rsid w:val="50C65A57"/>
    <w:rsid w:val="50C7083B"/>
    <w:rsid w:val="50C7083D"/>
    <w:rsid w:val="50C730CB"/>
    <w:rsid w:val="50C77758"/>
    <w:rsid w:val="50C80BE8"/>
    <w:rsid w:val="50C80BF1"/>
    <w:rsid w:val="50C86E43"/>
    <w:rsid w:val="50C874A7"/>
    <w:rsid w:val="50C9180D"/>
    <w:rsid w:val="50CA2BBB"/>
    <w:rsid w:val="50CA588C"/>
    <w:rsid w:val="50CA5CAE"/>
    <w:rsid w:val="50CA6717"/>
    <w:rsid w:val="50CB494A"/>
    <w:rsid w:val="50CB7056"/>
    <w:rsid w:val="50CC06E1"/>
    <w:rsid w:val="50CC45A5"/>
    <w:rsid w:val="50CC6933"/>
    <w:rsid w:val="50CC6EA1"/>
    <w:rsid w:val="50CD3F13"/>
    <w:rsid w:val="50CE0E86"/>
    <w:rsid w:val="50CE26AB"/>
    <w:rsid w:val="50CE2822"/>
    <w:rsid w:val="50CE6931"/>
    <w:rsid w:val="50CF3B20"/>
    <w:rsid w:val="50CF3D2E"/>
    <w:rsid w:val="50CF5B6E"/>
    <w:rsid w:val="50CF5CB2"/>
    <w:rsid w:val="50D050C3"/>
    <w:rsid w:val="50D0659E"/>
    <w:rsid w:val="50D1080A"/>
    <w:rsid w:val="50D13F4A"/>
    <w:rsid w:val="50D15CF8"/>
    <w:rsid w:val="50D17AA6"/>
    <w:rsid w:val="50D2149F"/>
    <w:rsid w:val="50D22164"/>
    <w:rsid w:val="50D27593"/>
    <w:rsid w:val="50D4274A"/>
    <w:rsid w:val="50D457E8"/>
    <w:rsid w:val="50D46A96"/>
    <w:rsid w:val="50D47596"/>
    <w:rsid w:val="50D47836"/>
    <w:rsid w:val="50D6330E"/>
    <w:rsid w:val="50D650BC"/>
    <w:rsid w:val="50D70DDD"/>
    <w:rsid w:val="50D756B0"/>
    <w:rsid w:val="50D83DE3"/>
    <w:rsid w:val="50D8436A"/>
    <w:rsid w:val="50D94BAC"/>
    <w:rsid w:val="50DA390C"/>
    <w:rsid w:val="50DB6B76"/>
    <w:rsid w:val="50DC1BFB"/>
    <w:rsid w:val="50DC591D"/>
    <w:rsid w:val="50DC610E"/>
    <w:rsid w:val="50DC6A77"/>
    <w:rsid w:val="50DD1265"/>
    <w:rsid w:val="50DD197E"/>
    <w:rsid w:val="50DD469C"/>
    <w:rsid w:val="50DE0415"/>
    <w:rsid w:val="50DE6047"/>
    <w:rsid w:val="50DE6609"/>
    <w:rsid w:val="50DE6667"/>
    <w:rsid w:val="50DF1E02"/>
    <w:rsid w:val="50DF38ED"/>
    <w:rsid w:val="50E0053E"/>
    <w:rsid w:val="50E01FD8"/>
    <w:rsid w:val="50E04C73"/>
    <w:rsid w:val="50E05F3B"/>
    <w:rsid w:val="50E104DF"/>
    <w:rsid w:val="50E1178F"/>
    <w:rsid w:val="50E15247"/>
    <w:rsid w:val="50E15FBF"/>
    <w:rsid w:val="50E22C1F"/>
    <w:rsid w:val="50E2344A"/>
    <w:rsid w:val="50E24360"/>
    <w:rsid w:val="50E27F05"/>
    <w:rsid w:val="50E35A2B"/>
    <w:rsid w:val="50E377D9"/>
    <w:rsid w:val="50E608C3"/>
    <w:rsid w:val="50E61077"/>
    <w:rsid w:val="50E653B9"/>
    <w:rsid w:val="50E7376D"/>
    <w:rsid w:val="50E7551B"/>
    <w:rsid w:val="50E75AA3"/>
    <w:rsid w:val="50E76F40"/>
    <w:rsid w:val="50E827FF"/>
    <w:rsid w:val="50E84DEF"/>
    <w:rsid w:val="50E8514B"/>
    <w:rsid w:val="50E9467F"/>
    <w:rsid w:val="50EA500B"/>
    <w:rsid w:val="50EA6DB9"/>
    <w:rsid w:val="50EB3F82"/>
    <w:rsid w:val="50EB4717"/>
    <w:rsid w:val="50EC1D3D"/>
    <w:rsid w:val="50EC42FD"/>
    <w:rsid w:val="50EC48E0"/>
    <w:rsid w:val="50EC5412"/>
    <w:rsid w:val="50EC6405"/>
    <w:rsid w:val="50EC68A2"/>
    <w:rsid w:val="50EC7FE3"/>
    <w:rsid w:val="50ED0658"/>
    <w:rsid w:val="50EE11C2"/>
    <w:rsid w:val="50EE1CF2"/>
    <w:rsid w:val="50EE4049"/>
    <w:rsid w:val="50EF10F8"/>
    <w:rsid w:val="50EF1D4C"/>
    <w:rsid w:val="50EF3D93"/>
    <w:rsid w:val="50EF43D0"/>
    <w:rsid w:val="50EF617E"/>
    <w:rsid w:val="50EF668F"/>
    <w:rsid w:val="50F11EF6"/>
    <w:rsid w:val="50F12186"/>
    <w:rsid w:val="50F12A1F"/>
    <w:rsid w:val="50F1386B"/>
    <w:rsid w:val="50F23CDB"/>
    <w:rsid w:val="50F25A6F"/>
    <w:rsid w:val="50F31F00"/>
    <w:rsid w:val="50F33EC0"/>
    <w:rsid w:val="50F45B34"/>
    <w:rsid w:val="50F46789"/>
    <w:rsid w:val="50F47C38"/>
    <w:rsid w:val="50F5027B"/>
    <w:rsid w:val="50F50A37"/>
    <w:rsid w:val="50F639B0"/>
    <w:rsid w:val="50F6575E"/>
    <w:rsid w:val="50F65D23"/>
    <w:rsid w:val="50F67DF5"/>
    <w:rsid w:val="50F750F6"/>
    <w:rsid w:val="50F774B1"/>
    <w:rsid w:val="50F829C8"/>
    <w:rsid w:val="50F83676"/>
    <w:rsid w:val="50F84E45"/>
    <w:rsid w:val="50F9524E"/>
    <w:rsid w:val="50F96FFC"/>
    <w:rsid w:val="50F97EFC"/>
    <w:rsid w:val="50FA7739"/>
    <w:rsid w:val="50FB2D75"/>
    <w:rsid w:val="50FB4B23"/>
    <w:rsid w:val="50FB4F07"/>
    <w:rsid w:val="50FB6D62"/>
    <w:rsid w:val="50FC089B"/>
    <w:rsid w:val="50FC3764"/>
    <w:rsid w:val="50FC37C6"/>
    <w:rsid w:val="50FD4D3F"/>
    <w:rsid w:val="50FE2865"/>
    <w:rsid w:val="50FE47F3"/>
    <w:rsid w:val="50FE4AF9"/>
    <w:rsid w:val="50FE5E29"/>
    <w:rsid w:val="5100482F"/>
    <w:rsid w:val="5101457B"/>
    <w:rsid w:val="510161A8"/>
    <w:rsid w:val="51022355"/>
    <w:rsid w:val="51022CCA"/>
    <w:rsid w:val="51023184"/>
    <w:rsid w:val="51031C29"/>
    <w:rsid w:val="510333B7"/>
    <w:rsid w:val="51034D02"/>
    <w:rsid w:val="51035130"/>
    <w:rsid w:val="51036DC7"/>
    <w:rsid w:val="51043E1D"/>
    <w:rsid w:val="51044B29"/>
    <w:rsid w:val="51045953"/>
    <w:rsid w:val="510460CD"/>
    <w:rsid w:val="51051131"/>
    <w:rsid w:val="510514F3"/>
    <w:rsid w:val="51051E45"/>
    <w:rsid w:val="51052624"/>
    <w:rsid w:val="51053BF3"/>
    <w:rsid w:val="510559A1"/>
    <w:rsid w:val="51061278"/>
    <w:rsid w:val="51066381"/>
    <w:rsid w:val="510874DD"/>
    <w:rsid w:val="5109239E"/>
    <w:rsid w:val="510936E3"/>
    <w:rsid w:val="51093F81"/>
    <w:rsid w:val="510949ED"/>
    <w:rsid w:val="51094E52"/>
    <w:rsid w:val="5109578A"/>
    <w:rsid w:val="51095C3F"/>
    <w:rsid w:val="51097FF1"/>
    <w:rsid w:val="510A0EA1"/>
    <w:rsid w:val="510A2FB8"/>
    <w:rsid w:val="510A5883"/>
    <w:rsid w:val="510B2C54"/>
    <w:rsid w:val="510B49FC"/>
    <w:rsid w:val="510B6E04"/>
    <w:rsid w:val="510C31D4"/>
    <w:rsid w:val="510C33D4"/>
    <w:rsid w:val="510C4F82"/>
    <w:rsid w:val="510C5E8C"/>
    <w:rsid w:val="510D4856"/>
    <w:rsid w:val="510E0CFA"/>
    <w:rsid w:val="510E73D9"/>
    <w:rsid w:val="510F05CE"/>
    <w:rsid w:val="510F0C5F"/>
    <w:rsid w:val="510F43AE"/>
    <w:rsid w:val="51106900"/>
    <w:rsid w:val="511107EA"/>
    <w:rsid w:val="51112598"/>
    <w:rsid w:val="51114346"/>
    <w:rsid w:val="51121E6C"/>
    <w:rsid w:val="5112712D"/>
    <w:rsid w:val="5113318E"/>
    <w:rsid w:val="51140C8C"/>
    <w:rsid w:val="51141FCD"/>
    <w:rsid w:val="5115113C"/>
    <w:rsid w:val="511557F8"/>
    <w:rsid w:val="51156A77"/>
    <w:rsid w:val="5116195C"/>
    <w:rsid w:val="511633C3"/>
    <w:rsid w:val="51165E00"/>
    <w:rsid w:val="51167BAE"/>
    <w:rsid w:val="51167F46"/>
    <w:rsid w:val="51170758"/>
    <w:rsid w:val="51175B71"/>
    <w:rsid w:val="51183927"/>
    <w:rsid w:val="511856D5"/>
    <w:rsid w:val="511915CF"/>
    <w:rsid w:val="511936B0"/>
    <w:rsid w:val="511A2590"/>
    <w:rsid w:val="511A58F1"/>
    <w:rsid w:val="511A6D4F"/>
    <w:rsid w:val="511A7325"/>
    <w:rsid w:val="511B1CC5"/>
    <w:rsid w:val="511B3417"/>
    <w:rsid w:val="511B65A8"/>
    <w:rsid w:val="511B6F73"/>
    <w:rsid w:val="511D0F3D"/>
    <w:rsid w:val="511D2CEB"/>
    <w:rsid w:val="511D451C"/>
    <w:rsid w:val="511D718F"/>
    <w:rsid w:val="511E4CB5"/>
    <w:rsid w:val="511E7D8A"/>
    <w:rsid w:val="511F1E3A"/>
    <w:rsid w:val="511F2FC3"/>
    <w:rsid w:val="511F3418"/>
    <w:rsid w:val="511F38AB"/>
    <w:rsid w:val="511F502D"/>
    <w:rsid w:val="511F63C5"/>
    <w:rsid w:val="512027DB"/>
    <w:rsid w:val="51204589"/>
    <w:rsid w:val="51216983"/>
    <w:rsid w:val="51217AF5"/>
    <w:rsid w:val="51220301"/>
    <w:rsid w:val="512247A5"/>
    <w:rsid w:val="512322CB"/>
    <w:rsid w:val="512325CF"/>
    <w:rsid w:val="5123361C"/>
    <w:rsid w:val="51234079"/>
    <w:rsid w:val="51237DD2"/>
    <w:rsid w:val="512410D5"/>
    <w:rsid w:val="51244113"/>
    <w:rsid w:val="51246B4D"/>
    <w:rsid w:val="51253E0F"/>
    <w:rsid w:val="51257DF2"/>
    <w:rsid w:val="51266A33"/>
    <w:rsid w:val="51271DBC"/>
    <w:rsid w:val="51272A94"/>
    <w:rsid w:val="51273B6A"/>
    <w:rsid w:val="51275918"/>
    <w:rsid w:val="51281690"/>
    <w:rsid w:val="51283F24"/>
    <w:rsid w:val="51287195"/>
    <w:rsid w:val="51287F04"/>
    <w:rsid w:val="512963B4"/>
    <w:rsid w:val="51297106"/>
    <w:rsid w:val="512A1D0B"/>
    <w:rsid w:val="512A69D1"/>
    <w:rsid w:val="512B1206"/>
    <w:rsid w:val="512B1415"/>
    <w:rsid w:val="512C2F2E"/>
    <w:rsid w:val="512C5166"/>
    <w:rsid w:val="512D6667"/>
    <w:rsid w:val="512E2D95"/>
    <w:rsid w:val="512E314A"/>
    <w:rsid w:val="512E4C18"/>
    <w:rsid w:val="512E76E9"/>
    <w:rsid w:val="512F0C70"/>
    <w:rsid w:val="512F7688"/>
    <w:rsid w:val="51305287"/>
    <w:rsid w:val="5130697F"/>
    <w:rsid w:val="51312C3A"/>
    <w:rsid w:val="5131391E"/>
    <w:rsid w:val="513149E8"/>
    <w:rsid w:val="51314B0E"/>
    <w:rsid w:val="513242BC"/>
    <w:rsid w:val="5132451E"/>
    <w:rsid w:val="51325367"/>
    <w:rsid w:val="51327BA7"/>
    <w:rsid w:val="51330760"/>
    <w:rsid w:val="5133250E"/>
    <w:rsid w:val="51332751"/>
    <w:rsid w:val="51334D72"/>
    <w:rsid w:val="51346287"/>
    <w:rsid w:val="51353957"/>
    <w:rsid w:val="51355098"/>
    <w:rsid w:val="513604D0"/>
    <w:rsid w:val="5136225D"/>
    <w:rsid w:val="513656C9"/>
    <w:rsid w:val="51375F82"/>
    <w:rsid w:val="513822D8"/>
    <w:rsid w:val="51383FC9"/>
    <w:rsid w:val="51385D77"/>
    <w:rsid w:val="51387B25"/>
    <w:rsid w:val="5139389D"/>
    <w:rsid w:val="5139546E"/>
    <w:rsid w:val="5139564B"/>
    <w:rsid w:val="51395C8B"/>
    <w:rsid w:val="513962A2"/>
    <w:rsid w:val="513A2307"/>
    <w:rsid w:val="513A3AC8"/>
    <w:rsid w:val="513A6A24"/>
    <w:rsid w:val="513B5867"/>
    <w:rsid w:val="513B620E"/>
    <w:rsid w:val="513B7615"/>
    <w:rsid w:val="513C4833"/>
    <w:rsid w:val="513D08D8"/>
    <w:rsid w:val="513D15DF"/>
    <w:rsid w:val="513D4FCE"/>
    <w:rsid w:val="513E2C61"/>
    <w:rsid w:val="513E77D2"/>
    <w:rsid w:val="513F0D1B"/>
    <w:rsid w:val="513F7105"/>
    <w:rsid w:val="51402E7D"/>
    <w:rsid w:val="514040A4"/>
    <w:rsid w:val="514069D9"/>
    <w:rsid w:val="51410C1C"/>
    <w:rsid w:val="514126C7"/>
    <w:rsid w:val="51422751"/>
    <w:rsid w:val="5142314A"/>
    <w:rsid w:val="51424ACB"/>
    <w:rsid w:val="51426B01"/>
    <w:rsid w:val="514307FA"/>
    <w:rsid w:val="51440262"/>
    <w:rsid w:val="5144296E"/>
    <w:rsid w:val="5144471C"/>
    <w:rsid w:val="514576A8"/>
    <w:rsid w:val="514637AF"/>
    <w:rsid w:val="5147420C"/>
    <w:rsid w:val="51475FBA"/>
    <w:rsid w:val="51477879"/>
    <w:rsid w:val="51481E7E"/>
    <w:rsid w:val="5148330E"/>
    <w:rsid w:val="5148350E"/>
    <w:rsid w:val="514946EA"/>
    <w:rsid w:val="51496D42"/>
    <w:rsid w:val="514A1C84"/>
    <w:rsid w:val="514A3694"/>
    <w:rsid w:val="514A3A74"/>
    <w:rsid w:val="514A5AAA"/>
    <w:rsid w:val="514A7858"/>
    <w:rsid w:val="514A7B26"/>
    <w:rsid w:val="514C1822"/>
    <w:rsid w:val="514C1D44"/>
    <w:rsid w:val="514C331F"/>
    <w:rsid w:val="514C56F5"/>
    <w:rsid w:val="514E10F6"/>
    <w:rsid w:val="514F30C0"/>
    <w:rsid w:val="51501312"/>
    <w:rsid w:val="51501385"/>
    <w:rsid w:val="51504E72"/>
    <w:rsid w:val="515057DB"/>
    <w:rsid w:val="515147E3"/>
    <w:rsid w:val="51514AF5"/>
    <w:rsid w:val="5151508A"/>
    <w:rsid w:val="51525A50"/>
    <w:rsid w:val="5152733B"/>
    <w:rsid w:val="5152780E"/>
    <w:rsid w:val="5153495F"/>
    <w:rsid w:val="515406D7"/>
    <w:rsid w:val="51552C51"/>
    <w:rsid w:val="5156444F"/>
    <w:rsid w:val="51565449"/>
    <w:rsid w:val="515661FD"/>
    <w:rsid w:val="51566FA2"/>
    <w:rsid w:val="51567012"/>
    <w:rsid w:val="51570432"/>
    <w:rsid w:val="51572125"/>
    <w:rsid w:val="51575861"/>
    <w:rsid w:val="5158008D"/>
    <w:rsid w:val="515801C7"/>
    <w:rsid w:val="51581829"/>
    <w:rsid w:val="51583680"/>
    <w:rsid w:val="51586419"/>
    <w:rsid w:val="515879F7"/>
    <w:rsid w:val="51594984"/>
    <w:rsid w:val="51597A9B"/>
    <w:rsid w:val="51597C87"/>
    <w:rsid w:val="515A41E2"/>
    <w:rsid w:val="515A5923"/>
    <w:rsid w:val="515B3813"/>
    <w:rsid w:val="515B6DB3"/>
    <w:rsid w:val="515B715C"/>
    <w:rsid w:val="515C15D6"/>
    <w:rsid w:val="515C2E14"/>
    <w:rsid w:val="515C48D2"/>
    <w:rsid w:val="515C61C8"/>
    <w:rsid w:val="515C6E2F"/>
    <w:rsid w:val="515D0EEA"/>
    <w:rsid w:val="515E50B1"/>
    <w:rsid w:val="515F092C"/>
    <w:rsid w:val="515F3303"/>
    <w:rsid w:val="515F33A9"/>
    <w:rsid w:val="515F35B2"/>
    <w:rsid w:val="515F6418"/>
    <w:rsid w:val="516052CE"/>
    <w:rsid w:val="51605783"/>
    <w:rsid w:val="5160733F"/>
    <w:rsid w:val="51610F5D"/>
    <w:rsid w:val="516114E4"/>
    <w:rsid w:val="516140B5"/>
    <w:rsid w:val="5162104E"/>
    <w:rsid w:val="51622DF4"/>
    <w:rsid w:val="51624BA2"/>
    <w:rsid w:val="51626305"/>
    <w:rsid w:val="516401E3"/>
    <w:rsid w:val="516415A6"/>
    <w:rsid w:val="516448B1"/>
    <w:rsid w:val="51651C9A"/>
    <w:rsid w:val="516528E4"/>
    <w:rsid w:val="51652C53"/>
    <w:rsid w:val="516579ED"/>
    <w:rsid w:val="51662699"/>
    <w:rsid w:val="51662F8F"/>
    <w:rsid w:val="5167040A"/>
    <w:rsid w:val="516721B8"/>
    <w:rsid w:val="516722E5"/>
    <w:rsid w:val="516728DB"/>
    <w:rsid w:val="51676F9F"/>
    <w:rsid w:val="51680294"/>
    <w:rsid w:val="51681689"/>
    <w:rsid w:val="516923D4"/>
    <w:rsid w:val="51694C1F"/>
    <w:rsid w:val="516A1079"/>
    <w:rsid w:val="516A14FF"/>
    <w:rsid w:val="516A1996"/>
    <w:rsid w:val="516A3A56"/>
    <w:rsid w:val="516A5353"/>
    <w:rsid w:val="516A66F6"/>
    <w:rsid w:val="516A7EFA"/>
    <w:rsid w:val="516C3C72"/>
    <w:rsid w:val="516C5A20"/>
    <w:rsid w:val="516C5BA3"/>
    <w:rsid w:val="516C77CE"/>
    <w:rsid w:val="516C7B3B"/>
    <w:rsid w:val="516D2658"/>
    <w:rsid w:val="516D5B93"/>
    <w:rsid w:val="516E0B42"/>
    <w:rsid w:val="516E0CD0"/>
    <w:rsid w:val="516E1DA6"/>
    <w:rsid w:val="516E2A1C"/>
    <w:rsid w:val="516E2E74"/>
    <w:rsid w:val="516E79EA"/>
    <w:rsid w:val="516F2F4B"/>
    <w:rsid w:val="516F66B9"/>
    <w:rsid w:val="516F7A24"/>
    <w:rsid w:val="5170361D"/>
    <w:rsid w:val="51703763"/>
    <w:rsid w:val="51705B67"/>
    <w:rsid w:val="51710FD9"/>
    <w:rsid w:val="51713037"/>
    <w:rsid w:val="5171637C"/>
    <w:rsid w:val="51720883"/>
    <w:rsid w:val="51723A03"/>
    <w:rsid w:val="51730B5D"/>
    <w:rsid w:val="517378D5"/>
    <w:rsid w:val="5174795A"/>
    <w:rsid w:val="51750D79"/>
    <w:rsid w:val="5175252B"/>
    <w:rsid w:val="51752B27"/>
    <w:rsid w:val="51754B1E"/>
    <w:rsid w:val="51762FB6"/>
    <w:rsid w:val="51763C03"/>
    <w:rsid w:val="51764AF1"/>
    <w:rsid w:val="5176689F"/>
    <w:rsid w:val="51771A2A"/>
    <w:rsid w:val="51772672"/>
    <w:rsid w:val="5177276F"/>
    <w:rsid w:val="51786B5C"/>
    <w:rsid w:val="51786EAE"/>
    <w:rsid w:val="51791222"/>
    <w:rsid w:val="51791EEB"/>
    <w:rsid w:val="51795F86"/>
    <w:rsid w:val="51797438"/>
    <w:rsid w:val="517A1C4C"/>
    <w:rsid w:val="517A638F"/>
    <w:rsid w:val="517A784B"/>
    <w:rsid w:val="517B2107"/>
    <w:rsid w:val="517B3EB5"/>
    <w:rsid w:val="517B4BB8"/>
    <w:rsid w:val="517B4C5C"/>
    <w:rsid w:val="517B7AAD"/>
    <w:rsid w:val="517C40C9"/>
    <w:rsid w:val="517C595B"/>
    <w:rsid w:val="517D16C1"/>
    <w:rsid w:val="517D2B58"/>
    <w:rsid w:val="517D3DF4"/>
    <w:rsid w:val="517D5E7F"/>
    <w:rsid w:val="517E1341"/>
    <w:rsid w:val="517E187C"/>
    <w:rsid w:val="517E4D1E"/>
    <w:rsid w:val="517F38CC"/>
    <w:rsid w:val="517F39A6"/>
    <w:rsid w:val="517F4A6D"/>
    <w:rsid w:val="517F5754"/>
    <w:rsid w:val="517F5C86"/>
    <w:rsid w:val="517F7502"/>
    <w:rsid w:val="517F7751"/>
    <w:rsid w:val="518014CC"/>
    <w:rsid w:val="5180357E"/>
    <w:rsid w:val="51803ABE"/>
    <w:rsid w:val="51804A07"/>
    <w:rsid w:val="51821F5E"/>
    <w:rsid w:val="51823496"/>
    <w:rsid w:val="51824B2F"/>
    <w:rsid w:val="51824F3B"/>
    <w:rsid w:val="51825244"/>
    <w:rsid w:val="5182543B"/>
    <w:rsid w:val="5182675F"/>
    <w:rsid w:val="518333EE"/>
    <w:rsid w:val="51834A12"/>
    <w:rsid w:val="51835FBF"/>
    <w:rsid w:val="51842D6A"/>
    <w:rsid w:val="5184720E"/>
    <w:rsid w:val="51851D47"/>
    <w:rsid w:val="51852FA3"/>
    <w:rsid w:val="518571EC"/>
    <w:rsid w:val="518606C9"/>
    <w:rsid w:val="51864D34"/>
    <w:rsid w:val="51870AB3"/>
    <w:rsid w:val="5187285A"/>
    <w:rsid w:val="51874099"/>
    <w:rsid w:val="5187446D"/>
    <w:rsid w:val="51877443"/>
    <w:rsid w:val="51883BC9"/>
    <w:rsid w:val="51890380"/>
    <w:rsid w:val="51892913"/>
    <w:rsid w:val="51893E80"/>
    <w:rsid w:val="51894068"/>
    <w:rsid w:val="518965D2"/>
    <w:rsid w:val="5189685A"/>
    <w:rsid w:val="518A0A04"/>
    <w:rsid w:val="518A1B80"/>
    <w:rsid w:val="518A7682"/>
    <w:rsid w:val="518B1EA1"/>
    <w:rsid w:val="518B1F55"/>
    <w:rsid w:val="518B234A"/>
    <w:rsid w:val="518B4751"/>
    <w:rsid w:val="518B6A1C"/>
    <w:rsid w:val="518C1C1F"/>
    <w:rsid w:val="518C4DAA"/>
    <w:rsid w:val="518C5157"/>
    <w:rsid w:val="518C66C3"/>
    <w:rsid w:val="518C7E71"/>
    <w:rsid w:val="518D4BB3"/>
    <w:rsid w:val="518E1E3B"/>
    <w:rsid w:val="518E3BE9"/>
    <w:rsid w:val="518E4841"/>
    <w:rsid w:val="518F0BBA"/>
    <w:rsid w:val="518F170F"/>
    <w:rsid w:val="519047C4"/>
    <w:rsid w:val="51904AB6"/>
    <w:rsid w:val="51907961"/>
    <w:rsid w:val="51915487"/>
    <w:rsid w:val="51917713"/>
    <w:rsid w:val="519257B9"/>
    <w:rsid w:val="51930982"/>
    <w:rsid w:val="519311FF"/>
    <w:rsid w:val="51932FAD"/>
    <w:rsid w:val="51933230"/>
    <w:rsid w:val="519503D4"/>
    <w:rsid w:val="519509B1"/>
    <w:rsid w:val="51952C83"/>
    <w:rsid w:val="51954F77"/>
    <w:rsid w:val="519600D3"/>
    <w:rsid w:val="51960CEF"/>
    <w:rsid w:val="51964435"/>
    <w:rsid w:val="51965319"/>
    <w:rsid w:val="51967AFD"/>
    <w:rsid w:val="51976F41"/>
    <w:rsid w:val="519805C3"/>
    <w:rsid w:val="51984A67"/>
    <w:rsid w:val="51990B14"/>
    <w:rsid w:val="51994939"/>
    <w:rsid w:val="5199746A"/>
    <w:rsid w:val="519A07DF"/>
    <w:rsid w:val="519A258E"/>
    <w:rsid w:val="519A433C"/>
    <w:rsid w:val="519A5843"/>
    <w:rsid w:val="519B00B4"/>
    <w:rsid w:val="519C1A24"/>
    <w:rsid w:val="519C60FA"/>
    <w:rsid w:val="519D207E"/>
    <w:rsid w:val="519D5FDF"/>
    <w:rsid w:val="519D74DD"/>
    <w:rsid w:val="519E577C"/>
    <w:rsid w:val="519F1952"/>
    <w:rsid w:val="519F7BA4"/>
    <w:rsid w:val="51A00CDD"/>
    <w:rsid w:val="51A03636"/>
    <w:rsid w:val="51A0391C"/>
    <w:rsid w:val="51A05920"/>
    <w:rsid w:val="51A100B8"/>
    <w:rsid w:val="51A151AA"/>
    <w:rsid w:val="51A21442"/>
    <w:rsid w:val="51A258E6"/>
    <w:rsid w:val="51A33930"/>
    <w:rsid w:val="51A37EE0"/>
    <w:rsid w:val="51A42425"/>
    <w:rsid w:val="51A4340C"/>
    <w:rsid w:val="51A451BA"/>
    <w:rsid w:val="51A50D41"/>
    <w:rsid w:val="51A51E0B"/>
    <w:rsid w:val="51A52C52"/>
    <w:rsid w:val="51A5377F"/>
    <w:rsid w:val="51A56788"/>
    <w:rsid w:val="51A60F32"/>
    <w:rsid w:val="51A7033C"/>
    <w:rsid w:val="51A74CAA"/>
    <w:rsid w:val="51A74E45"/>
    <w:rsid w:val="51A76A58"/>
    <w:rsid w:val="51A90A15"/>
    <w:rsid w:val="51A90A23"/>
    <w:rsid w:val="51A9116D"/>
    <w:rsid w:val="51A927D1"/>
    <w:rsid w:val="51A94BDB"/>
    <w:rsid w:val="51A9575D"/>
    <w:rsid w:val="51A96C75"/>
    <w:rsid w:val="51AA02F7"/>
    <w:rsid w:val="51AA35E8"/>
    <w:rsid w:val="51AA4D36"/>
    <w:rsid w:val="51AA7671"/>
    <w:rsid w:val="51AB479B"/>
    <w:rsid w:val="51AB5688"/>
    <w:rsid w:val="51AB6549"/>
    <w:rsid w:val="51AC0513"/>
    <w:rsid w:val="51AC22C1"/>
    <w:rsid w:val="51AC3379"/>
    <w:rsid w:val="51AC5E5D"/>
    <w:rsid w:val="51AD3527"/>
    <w:rsid w:val="51AD3F0B"/>
    <w:rsid w:val="51AE428B"/>
    <w:rsid w:val="51AF0886"/>
    <w:rsid w:val="51B01DB1"/>
    <w:rsid w:val="51B03FA7"/>
    <w:rsid w:val="51B1088E"/>
    <w:rsid w:val="51B1103D"/>
    <w:rsid w:val="51B13C95"/>
    <w:rsid w:val="51B15B29"/>
    <w:rsid w:val="51B2240A"/>
    <w:rsid w:val="51B27044"/>
    <w:rsid w:val="51B318A1"/>
    <w:rsid w:val="51B3364F"/>
    <w:rsid w:val="51B34E7A"/>
    <w:rsid w:val="51B400CB"/>
    <w:rsid w:val="51B40F0D"/>
    <w:rsid w:val="51B51175"/>
    <w:rsid w:val="51B515C0"/>
    <w:rsid w:val="51B54B6B"/>
    <w:rsid w:val="51B55152"/>
    <w:rsid w:val="51B555A4"/>
    <w:rsid w:val="51B56442"/>
    <w:rsid w:val="51B57CA3"/>
    <w:rsid w:val="51B64DE5"/>
    <w:rsid w:val="51B65558"/>
    <w:rsid w:val="51B70AE3"/>
    <w:rsid w:val="51B7313F"/>
    <w:rsid w:val="51B74DCB"/>
    <w:rsid w:val="51B8156B"/>
    <w:rsid w:val="51B90BB8"/>
    <w:rsid w:val="51B92B3B"/>
    <w:rsid w:val="51BA2C30"/>
    <w:rsid w:val="51BA49DE"/>
    <w:rsid w:val="51BB2504"/>
    <w:rsid w:val="51BC0756"/>
    <w:rsid w:val="51BC4EC0"/>
    <w:rsid w:val="51BC69A8"/>
    <w:rsid w:val="51BC6CAE"/>
    <w:rsid w:val="51BD5467"/>
    <w:rsid w:val="51BD7215"/>
    <w:rsid w:val="51BD75E0"/>
    <w:rsid w:val="51BD7DF7"/>
    <w:rsid w:val="51BE3C46"/>
    <w:rsid w:val="51BE666A"/>
    <w:rsid w:val="51BF0246"/>
    <w:rsid w:val="51BF1FF4"/>
    <w:rsid w:val="51BF3DA2"/>
    <w:rsid w:val="51BF3F5A"/>
    <w:rsid w:val="51C00E6C"/>
    <w:rsid w:val="51C07B1A"/>
    <w:rsid w:val="51C1065C"/>
    <w:rsid w:val="51C1416C"/>
    <w:rsid w:val="51C17485"/>
    <w:rsid w:val="51C219AB"/>
    <w:rsid w:val="51C23AC2"/>
    <w:rsid w:val="51C23FCC"/>
    <w:rsid w:val="51C25640"/>
    <w:rsid w:val="51C2690A"/>
    <w:rsid w:val="51C27D36"/>
    <w:rsid w:val="51C40647"/>
    <w:rsid w:val="51C413B8"/>
    <w:rsid w:val="51C47283"/>
    <w:rsid w:val="51C4760A"/>
    <w:rsid w:val="51C55131"/>
    <w:rsid w:val="51C57916"/>
    <w:rsid w:val="51C63383"/>
    <w:rsid w:val="51C634A9"/>
    <w:rsid w:val="51C63E1E"/>
    <w:rsid w:val="51C70EA9"/>
    <w:rsid w:val="51C7295E"/>
    <w:rsid w:val="51C72C23"/>
    <w:rsid w:val="51C770FB"/>
    <w:rsid w:val="51C84F35"/>
    <w:rsid w:val="51C8534D"/>
    <w:rsid w:val="51C92E73"/>
    <w:rsid w:val="51C969CF"/>
    <w:rsid w:val="51C972C4"/>
    <w:rsid w:val="51CA0754"/>
    <w:rsid w:val="51CA243A"/>
    <w:rsid w:val="51CA3664"/>
    <w:rsid w:val="51CB1571"/>
    <w:rsid w:val="51CB7346"/>
    <w:rsid w:val="51CC3074"/>
    <w:rsid w:val="51CC4711"/>
    <w:rsid w:val="51CC6196"/>
    <w:rsid w:val="51CC6EC2"/>
    <w:rsid w:val="51CC6F1C"/>
    <w:rsid w:val="51CC7E25"/>
    <w:rsid w:val="51CD2250"/>
    <w:rsid w:val="51CE0489"/>
    <w:rsid w:val="51CE0565"/>
    <w:rsid w:val="51CE0DD3"/>
    <w:rsid w:val="51CE66DB"/>
    <w:rsid w:val="51CE7FD5"/>
    <w:rsid w:val="51CF030E"/>
    <w:rsid w:val="51CF7950"/>
    <w:rsid w:val="51CF7FEC"/>
    <w:rsid w:val="51D00906"/>
    <w:rsid w:val="51D02E85"/>
    <w:rsid w:val="51D04201"/>
    <w:rsid w:val="51D07D5D"/>
    <w:rsid w:val="51D17981"/>
    <w:rsid w:val="51D26210"/>
    <w:rsid w:val="51D26EE6"/>
    <w:rsid w:val="51D31DC6"/>
    <w:rsid w:val="51D3636A"/>
    <w:rsid w:val="51D373D1"/>
    <w:rsid w:val="51D54601"/>
    <w:rsid w:val="51D623B8"/>
    <w:rsid w:val="51D62D0D"/>
    <w:rsid w:val="51D6733E"/>
    <w:rsid w:val="51D704FA"/>
    <w:rsid w:val="51D774E7"/>
    <w:rsid w:val="51D81308"/>
    <w:rsid w:val="51D83FD4"/>
    <w:rsid w:val="51D84E64"/>
    <w:rsid w:val="51D93031"/>
    <w:rsid w:val="51D9429B"/>
    <w:rsid w:val="51DA072C"/>
    <w:rsid w:val="51DA0BDC"/>
    <w:rsid w:val="51DA1F6A"/>
    <w:rsid w:val="51DA3285"/>
    <w:rsid w:val="51DA6B07"/>
    <w:rsid w:val="51DB0862"/>
    <w:rsid w:val="51DB6702"/>
    <w:rsid w:val="51DC2BA6"/>
    <w:rsid w:val="51DD247A"/>
    <w:rsid w:val="51DD2EAE"/>
    <w:rsid w:val="51DD2FA8"/>
    <w:rsid w:val="51DE0059"/>
    <w:rsid w:val="51DF1A13"/>
    <w:rsid w:val="51DF2696"/>
    <w:rsid w:val="51DF61F2"/>
    <w:rsid w:val="51E05BAE"/>
    <w:rsid w:val="51E11F6A"/>
    <w:rsid w:val="51E1515F"/>
    <w:rsid w:val="51E1640E"/>
    <w:rsid w:val="51E205A4"/>
    <w:rsid w:val="51E23F34"/>
    <w:rsid w:val="51E242A8"/>
    <w:rsid w:val="51E41A5B"/>
    <w:rsid w:val="51E44B4F"/>
    <w:rsid w:val="51E46FBA"/>
    <w:rsid w:val="51E47CAD"/>
    <w:rsid w:val="51E56BFC"/>
    <w:rsid w:val="51E63A25"/>
    <w:rsid w:val="51E64545"/>
    <w:rsid w:val="51E64E08"/>
    <w:rsid w:val="51E657D3"/>
    <w:rsid w:val="51E66672"/>
    <w:rsid w:val="51E67581"/>
    <w:rsid w:val="51E80B22"/>
    <w:rsid w:val="51E837D3"/>
    <w:rsid w:val="51E859D5"/>
    <w:rsid w:val="51E91230"/>
    <w:rsid w:val="51E952C3"/>
    <w:rsid w:val="51EA28FF"/>
    <w:rsid w:val="51EB103B"/>
    <w:rsid w:val="51EB2DE9"/>
    <w:rsid w:val="51EC290B"/>
    <w:rsid w:val="51EC52DA"/>
    <w:rsid w:val="51ED1A91"/>
    <w:rsid w:val="51ED2825"/>
    <w:rsid w:val="51ED2F1C"/>
    <w:rsid w:val="51ED3749"/>
    <w:rsid w:val="51ED6B61"/>
    <w:rsid w:val="51ED7960"/>
    <w:rsid w:val="51EE39B0"/>
    <w:rsid w:val="51EE4687"/>
    <w:rsid w:val="51EE4F7D"/>
    <w:rsid w:val="51EE53FD"/>
    <w:rsid w:val="51EF4D44"/>
    <w:rsid w:val="51EF68F9"/>
    <w:rsid w:val="51F00784"/>
    <w:rsid w:val="51F0246E"/>
    <w:rsid w:val="51F04709"/>
    <w:rsid w:val="51F06651"/>
    <w:rsid w:val="51F138FE"/>
    <w:rsid w:val="51F15F26"/>
    <w:rsid w:val="51F21D52"/>
    <w:rsid w:val="51F223CA"/>
    <w:rsid w:val="51F231A6"/>
    <w:rsid w:val="51F24178"/>
    <w:rsid w:val="51F25F01"/>
    <w:rsid w:val="51F3044B"/>
    <w:rsid w:val="51F37EF0"/>
    <w:rsid w:val="51F42604"/>
    <w:rsid w:val="51F53C68"/>
    <w:rsid w:val="51F577C4"/>
    <w:rsid w:val="51F57F66"/>
    <w:rsid w:val="51F6353C"/>
    <w:rsid w:val="51F64FB2"/>
    <w:rsid w:val="51F6696B"/>
    <w:rsid w:val="51F7178E"/>
    <w:rsid w:val="51F7602F"/>
    <w:rsid w:val="51F76066"/>
    <w:rsid w:val="51F77770"/>
    <w:rsid w:val="51F8045C"/>
    <w:rsid w:val="51F83758"/>
    <w:rsid w:val="51FA302C"/>
    <w:rsid w:val="51FB670C"/>
    <w:rsid w:val="51FC1166"/>
    <w:rsid w:val="51FC2306"/>
    <w:rsid w:val="51FC5FD7"/>
    <w:rsid w:val="51FC6DA4"/>
    <w:rsid w:val="51FD0675"/>
    <w:rsid w:val="51FD28D1"/>
    <w:rsid w:val="51FD2B1C"/>
    <w:rsid w:val="51FD59C8"/>
    <w:rsid w:val="51FD7B5D"/>
    <w:rsid w:val="51FE3B55"/>
    <w:rsid w:val="51FE7691"/>
    <w:rsid w:val="51FF6894"/>
    <w:rsid w:val="51FF737B"/>
    <w:rsid w:val="51FF7611"/>
    <w:rsid w:val="5200478D"/>
    <w:rsid w:val="520067D9"/>
    <w:rsid w:val="52013405"/>
    <w:rsid w:val="520143BB"/>
    <w:rsid w:val="52020133"/>
    <w:rsid w:val="520211A2"/>
    <w:rsid w:val="5202225D"/>
    <w:rsid w:val="520248B8"/>
    <w:rsid w:val="520420FD"/>
    <w:rsid w:val="52045C59"/>
    <w:rsid w:val="52056DC1"/>
    <w:rsid w:val="52061478"/>
    <w:rsid w:val="52064694"/>
    <w:rsid w:val="52065E75"/>
    <w:rsid w:val="52067C23"/>
    <w:rsid w:val="52071583"/>
    <w:rsid w:val="520774F7"/>
    <w:rsid w:val="52081BED"/>
    <w:rsid w:val="5208691B"/>
    <w:rsid w:val="520914C1"/>
    <w:rsid w:val="520919B3"/>
    <w:rsid w:val="52091B85"/>
    <w:rsid w:val="52097713"/>
    <w:rsid w:val="520B0404"/>
    <w:rsid w:val="520B14C8"/>
    <w:rsid w:val="520B5239"/>
    <w:rsid w:val="520B7076"/>
    <w:rsid w:val="520C0728"/>
    <w:rsid w:val="520C0C67"/>
    <w:rsid w:val="520C0CAF"/>
    <w:rsid w:val="520C2A65"/>
    <w:rsid w:val="520C2D5F"/>
    <w:rsid w:val="520D0FB1"/>
    <w:rsid w:val="520D3AF7"/>
    <w:rsid w:val="520D7C2C"/>
    <w:rsid w:val="520E066F"/>
    <w:rsid w:val="520E3CF1"/>
    <w:rsid w:val="520E4D2A"/>
    <w:rsid w:val="520E4EBA"/>
    <w:rsid w:val="520E6AD8"/>
    <w:rsid w:val="520F53AD"/>
    <w:rsid w:val="52100AA2"/>
    <w:rsid w:val="52101854"/>
    <w:rsid w:val="52102850"/>
    <w:rsid w:val="521045FE"/>
    <w:rsid w:val="521060F1"/>
    <w:rsid w:val="521072FC"/>
    <w:rsid w:val="52110978"/>
    <w:rsid w:val="521126CE"/>
    <w:rsid w:val="5211427C"/>
    <w:rsid w:val="52120FE5"/>
    <w:rsid w:val="52127F01"/>
    <w:rsid w:val="5213242D"/>
    <w:rsid w:val="521329AA"/>
    <w:rsid w:val="52143074"/>
    <w:rsid w:val="5214356A"/>
    <w:rsid w:val="52146C98"/>
    <w:rsid w:val="52151C14"/>
    <w:rsid w:val="52151EB7"/>
    <w:rsid w:val="52152CF9"/>
    <w:rsid w:val="52157E66"/>
    <w:rsid w:val="52160AC6"/>
    <w:rsid w:val="52163F8C"/>
    <w:rsid w:val="521701EA"/>
    <w:rsid w:val="521746A4"/>
    <w:rsid w:val="521773DA"/>
    <w:rsid w:val="5218264C"/>
    <w:rsid w:val="52186A99"/>
    <w:rsid w:val="52186CFB"/>
    <w:rsid w:val="52187821"/>
    <w:rsid w:val="52196589"/>
    <w:rsid w:val="5219698F"/>
    <w:rsid w:val="521A251D"/>
    <w:rsid w:val="521A36CE"/>
    <w:rsid w:val="521A65FA"/>
    <w:rsid w:val="521A722A"/>
    <w:rsid w:val="521C0FA5"/>
    <w:rsid w:val="521C11F4"/>
    <w:rsid w:val="521C2FA3"/>
    <w:rsid w:val="521C3071"/>
    <w:rsid w:val="521C4BC8"/>
    <w:rsid w:val="521C51A2"/>
    <w:rsid w:val="521C5DB3"/>
    <w:rsid w:val="521F0CE5"/>
    <w:rsid w:val="521F28F3"/>
    <w:rsid w:val="5221680B"/>
    <w:rsid w:val="52223C47"/>
    <w:rsid w:val="52225714"/>
    <w:rsid w:val="522330CE"/>
    <w:rsid w:val="522352FD"/>
    <w:rsid w:val="5223678D"/>
    <w:rsid w:val="522400F0"/>
    <w:rsid w:val="522435D1"/>
    <w:rsid w:val="52245660"/>
    <w:rsid w:val="5224710F"/>
    <w:rsid w:val="52247E3B"/>
    <w:rsid w:val="52270784"/>
    <w:rsid w:val="52271947"/>
    <w:rsid w:val="5227510E"/>
    <w:rsid w:val="52275EEE"/>
    <w:rsid w:val="522762D7"/>
    <w:rsid w:val="5228176B"/>
    <w:rsid w:val="522859DF"/>
    <w:rsid w:val="52285DC3"/>
    <w:rsid w:val="52285DEB"/>
    <w:rsid w:val="52287B99"/>
    <w:rsid w:val="52287E8E"/>
    <w:rsid w:val="52291C30"/>
    <w:rsid w:val="52293911"/>
    <w:rsid w:val="522956BF"/>
    <w:rsid w:val="5229634E"/>
    <w:rsid w:val="522A0590"/>
    <w:rsid w:val="522A0EBE"/>
    <w:rsid w:val="522A27A6"/>
    <w:rsid w:val="522B1438"/>
    <w:rsid w:val="522C59B0"/>
    <w:rsid w:val="522C61C6"/>
    <w:rsid w:val="522C6C26"/>
    <w:rsid w:val="522C7AF0"/>
    <w:rsid w:val="522D0C45"/>
    <w:rsid w:val="522D5379"/>
    <w:rsid w:val="522D6160"/>
    <w:rsid w:val="522E07FA"/>
    <w:rsid w:val="522E1853"/>
    <w:rsid w:val="522E2CD6"/>
    <w:rsid w:val="522F234E"/>
    <w:rsid w:val="522F34EF"/>
    <w:rsid w:val="52304646"/>
    <w:rsid w:val="52306A4E"/>
    <w:rsid w:val="523147F6"/>
    <w:rsid w:val="523172BF"/>
    <w:rsid w:val="52320C9F"/>
    <w:rsid w:val="523227C6"/>
    <w:rsid w:val="52324640"/>
    <w:rsid w:val="52326F79"/>
    <w:rsid w:val="5233019D"/>
    <w:rsid w:val="523302EC"/>
    <w:rsid w:val="5233653E"/>
    <w:rsid w:val="52340E87"/>
    <w:rsid w:val="52344B41"/>
    <w:rsid w:val="52347712"/>
    <w:rsid w:val="52350508"/>
    <w:rsid w:val="52350998"/>
    <w:rsid w:val="523522B6"/>
    <w:rsid w:val="52354064"/>
    <w:rsid w:val="523634E2"/>
    <w:rsid w:val="52364FDC"/>
    <w:rsid w:val="52365BD9"/>
    <w:rsid w:val="523678C6"/>
    <w:rsid w:val="523734C2"/>
    <w:rsid w:val="52375DF3"/>
    <w:rsid w:val="5237602E"/>
    <w:rsid w:val="52377DDC"/>
    <w:rsid w:val="52377F7F"/>
    <w:rsid w:val="52384CA0"/>
    <w:rsid w:val="52391DA6"/>
    <w:rsid w:val="52393F2D"/>
    <w:rsid w:val="52397FF8"/>
    <w:rsid w:val="523A44E6"/>
    <w:rsid w:val="523A67F7"/>
    <w:rsid w:val="523A7580"/>
    <w:rsid w:val="523B025C"/>
    <w:rsid w:val="523C0133"/>
    <w:rsid w:val="523C0C24"/>
    <w:rsid w:val="523C53F3"/>
    <w:rsid w:val="523C5E06"/>
    <w:rsid w:val="523D0A75"/>
    <w:rsid w:val="523E3BCA"/>
    <w:rsid w:val="523E4E45"/>
    <w:rsid w:val="523E560F"/>
    <w:rsid w:val="523F26F9"/>
    <w:rsid w:val="523F3135"/>
    <w:rsid w:val="523F4825"/>
    <w:rsid w:val="523F6CC2"/>
    <w:rsid w:val="524022AC"/>
    <w:rsid w:val="52402E8F"/>
    <w:rsid w:val="52405526"/>
    <w:rsid w:val="52410C5B"/>
    <w:rsid w:val="52417690"/>
    <w:rsid w:val="52426460"/>
    <w:rsid w:val="52426781"/>
    <w:rsid w:val="52432C25"/>
    <w:rsid w:val="52435D77"/>
    <w:rsid w:val="524424F9"/>
    <w:rsid w:val="524437F6"/>
    <w:rsid w:val="52443A9E"/>
    <w:rsid w:val="524440E9"/>
    <w:rsid w:val="52451CB6"/>
    <w:rsid w:val="52453AE1"/>
    <w:rsid w:val="5245699D"/>
    <w:rsid w:val="5246001F"/>
    <w:rsid w:val="52462962"/>
    <w:rsid w:val="52462FF1"/>
    <w:rsid w:val="52464B59"/>
    <w:rsid w:val="52466271"/>
    <w:rsid w:val="52467451"/>
    <w:rsid w:val="52470CD5"/>
    <w:rsid w:val="52475CC5"/>
    <w:rsid w:val="5248023B"/>
    <w:rsid w:val="52481762"/>
    <w:rsid w:val="52483D98"/>
    <w:rsid w:val="52484447"/>
    <w:rsid w:val="524904A8"/>
    <w:rsid w:val="52491B07"/>
    <w:rsid w:val="52495D62"/>
    <w:rsid w:val="52497B10"/>
    <w:rsid w:val="524A01D5"/>
    <w:rsid w:val="524A1B17"/>
    <w:rsid w:val="524A3FB4"/>
    <w:rsid w:val="524B1ADA"/>
    <w:rsid w:val="524B4509"/>
    <w:rsid w:val="524B7D2C"/>
    <w:rsid w:val="524D13AE"/>
    <w:rsid w:val="524E1462"/>
    <w:rsid w:val="524E286F"/>
    <w:rsid w:val="524E5126"/>
    <w:rsid w:val="524F036A"/>
    <w:rsid w:val="524F2D1F"/>
    <w:rsid w:val="524F431A"/>
    <w:rsid w:val="524F4B96"/>
    <w:rsid w:val="52500E9E"/>
    <w:rsid w:val="525070F0"/>
    <w:rsid w:val="52520A7B"/>
    <w:rsid w:val="52520E35"/>
    <w:rsid w:val="525210BA"/>
    <w:rsid w:val="52522E68"/>
    <w:rsid w:val="5253098E"/>
    <w:rsid w:val="5253273C"/>
    <w:rsid w:val="525343BA"/>
    <w:rsid w:val="52543277"/>
    <w:rsid w:val="52546BE0"/>
    <w:rsid w:val="52551E4E"/>
    <w:rsid w:val="52552958"/>
    <w:rsid w:val="52554233"/>
    <w:rsid w:val="52554706"/>
    <w:rsid w:val="52555D0A"/>
    <w:rsid w:val="525564B4"/>
    <w:rsid w:val="5257047F"/>
    <w:rsid w:val="525705B5"/>
    <w:rsid w:val="52570E95"/>
    <w:rsid w:val="5257222D"/>
    <w:rsid w:val="525766D1"/>
    <w:rsid w:val="52583F3C"/>
    <w:rsid w:val="525874BA"/>
    <w:rsid w:val="525941F7"/>
    <w:rsid w:val="52597F9D"/>
    <w:rsid w:val="525A142D"/>
    <w:rsid w:val="525A3ACB"/>
    <w:rsid w:val="525A5EC6"/>
    <w:rsid w:val="525A5FBE"/>
    <w:rsid w:val="525A7C82"/>
    <w:rsid w:val="525A7F6F"/>
    <w:rsid w:val="525B3B29"/>
    <w:rsid w:val="525B3CE2"/>
    <w:rsid w:val="525B6CCF"/>
    <w:rsid w:val="525C2B86"/>
    <w:rsid w:val="525C3CE7"/>
    <w:rsid w:val="525C48DB"/>
    <w:rsid w:val="525C637C"/>
    <w:rsid w:val="525C6C27"/>
    <w:rsid w:val="525C7843"/>
    <w:rsid w:val="525D497E"/>
    <w:rsid w:val="525D7430"/>
    <w:rsid w:val="525E180D"/>
    <w:rsid w:val="525E297F"/>
    <w:rsid w:val="525E7A5F"/>
    <w:rsid w:val="525F27E1"/>
    <w:rsid w:val="525F7333"/>
    <w:rsid w:val="526008F6"/>
    <w:rsid w:val="526010C2"/>
    <w:rsid w:val="52602B13"/>
    <w:rsid w:val="526037D7"/>
    <w:rsid w:val="5260653B"/>
    <w:rsid w:val="52616C26"/>
    <w:rsid w:val="52625A37"/>
    <w:rsid w:val="52630BD1"/>
    <w:rsid w:val="5263104F"/>
    <w:rsid w:val="52635075"/>
    <w:rsid w:val="52636E23"/>
    <w:rsid w:val="52642B9B"/>
    <w:rsid w:val="5264494A"/>
    <w:rsid w:val="52650DED"/>
    <w:rsid w:val="526513ED"/>
    <w:rsid w:val="5265579F"/>
    <w:rsid w:val="526606C2"/>
    <w:rsid w:val="52666F88"/>
    <w:rsid w:val="5267283A"/>
    <w:rsid w:val="52674B02"/>
    <w:rsid w:val="52682409"/>
    <w:rsid w:val="5268443A"/>
    <w:rsid w:val="526861E8"/>
    <w:rsid w:val="5268643E"/>
    <w:rsid w:val="5269065C"/>
    <w:rsid w:val="52691FE2"/>
    <w:rsid w:val="52697A92"/>
    <w:rsid w:val="526A03D3"/>
    <w:rsid w:val="526A0F22"/>
    <w:rsid w:val="526A1F83"/>
    <w:rsid w:val="526A3005"/>
    <w:rsid w:val="526A3DEA"/>
    <w:rsid w:val="526A3F41"/>
    <w:rsid w:val="526A6404"/>
    <w:rsid w:val="526B217C"/>
    <w:rsid w:val="526B3F2A"/>
    <w:rsid w:val="526B5CD8"/>
    <w:rsid w:val="526C36B4"/>
    <w:rsid w:val="526D1A50"/>
    <w:rsid w:val="526D37BF"/>
    <w:rsid w:val="526D37FE"/>
    <w:rsid w:val="526D6A4B"/>
    <w:rsid w:val="526E2C9E"/>
    <w:rsid w:val="526E57C6"/>
    <w:rsid w:val="526E5EA4"/>
    <w:rsid w:val="526F21C3"/>
    <w:rsid w:val="526F3A1A"/>
    <w:rsid w:val="526F5D79"/>
    <w:rsid w:val="526F73C5"/>
    <w:rsid w:val="52700D89"/>
    <w:rsid w:val="52701540"/>
    <w:rsid w:val="52707792"/>
    <w:rsid w:val="52721545"/>
    <w:rsid w:val="527226B3"/>
    <w:rsid w:val="5272350A"/>
    <w:rsid w:val="5272388D"/>
    <w:rsid w:val="52723BA8"/>
    <w:rsid w:val="527259A4"/>
    <w:rsid w:val="52726493"/>
    <w:rsid w:val="52727066"/>
    <w:rsid w:val="52732519"/>
    <w:rsid w:val="52733715"/>
    <w:rsid w:val="52734B8D"/>
    <w:rsid w:val="52737DEB"/>
    <w:rsid w:val="52742968"/>
    <w:rsid w:val="52742DDF"/>
    <w:rsid w:val="52745FD3"/>
    <w:rsid w:val="52750905"/>
    <w:rsid w:val="52756B57"/>
    <w:rsid w:val="52760C06"/>
    <w:rsid w:val="52765CB8"/>
    <w:rsid w:val="52770B21"/>
    <w:rsid w:val="527728CF"/>
    <w:rsid w:val="5277467D"/>
    <w:rsid w:val="52774DB3"/>
    <w:rsid w:val="52775988"/>
    <w:rsid w:val="52780B05"/>
    <w:rsid w:val="527821A3"/>
    <w:rsid w:val="52796647"/>
    <w:rsid w:val="527A1452"/>
    <w:rsid w:val="527A2EE8"/>
    <w:rsid w:val="527A416D"/>
    <w:rsid w:val="527A587C"/>
    <w:rsid w:val="527A79B4"/>
    <w:rsid w:val="527B0BBB"/>
    <w:rsid w:val="527B30F9"/>
    <w:rsid w:val="527B3527"/>
    <w:rsid w:val="527C647C"/>
    <w:rsid w:val="527C7EE5"/>
    <w:rsid w:val="527D1264"/>
    <w:rsid w:val="527D5F08"/>
    <w:rsid w:val="527E0709"/>
    <w:rsid w:val="527E5A0B"/>
    <w:rsid w:val="527E6640"/>
    <w:rsid w:val="527E7795"/>
    <w:rsid w:val="527F1762"/>
    <w:rsid w:val="52800918"/>
    <w:rsid w:val="52801B17"/>
    <w:rsid w:val="528026A1"/>
    <w:rsid w:val="52803C92"/>
    <w:rsid w:val="528060BA"/>
    <w:rsid w:val="52810377"/>
    <w:rsid w:val="52811A88"/>
    <w:rsid w:val="52811C3B"/>
    <w:rsid w:val="5281374D"/>
    <w:rsid w:val="52815244"/>
    <w:rsid w:val="528154FB"/>
    <w:rsid w:val="52815D19"/>
    <w:rsid w:val="52824171"/>
    <w:rsid w:val="52830639"/>
    <w:rsid w:val="52830A87"/>
    <w:rsid w:val="52831C08"/>
    <w:rsid w:val="5283320A"/>
    <w:rsid w:val="52833B14"/>
    <w:rsid w:val="528377D0"/>
    <w:rsid w:val="52840D63"/>
    <w:rsid w:val="52841AC9"/>
    <w:rsid w:val="5284224E"/>
    <w:rsid w:val="52844E28"/>
    <w:rsid w:val="5284744B"/>
    <w:rsid w:val="52856E05"/>
    <w:rsid w:val="528648C0"/>
    <w:rsid w:val="52865B57"/>
    <w:rsid w:val="528713EA"/>
    <w:rsid w:val="52876867"/>
    <w:rsid w:val="52876B8A"/>
    <w:rsid w:val="52880638"/>
    <w:rsid w:val="52885BD8"/>
    <w:rsid w:val="52891B7E"/>
    <w:rsid w:val="528943B0"/>
    <w:rsid w:val="528A0854"/>
    <w:rsid w:val="528B14D5"/>
    <w:rsid w:val="528B1ED6"/>
    <w:rsid w:val="528B413E"/>
    <w:rsid w:val="528C45CC"/>
    <w:rsid w:val="528D20F2"/>
    <w:rsid w:val="528D22F5"/>
    <w:rsid w:val="528D2EAA"/>
    <w:rsid w:val="528D42BC"/>
    <w:rsid w:val="528D4716"/>
    <w:rsid w:val="528D5C4E"/>
    <w:rsid w:val="528D6A25"/>
    <w:rsid w:val="528D6D3F"/>
    <w:rsid w:val="528E18A9"/>
    <w:rsid w:val="528E4F5E"/>
    <w:rsid w:val="528E6905"/>
    <w:rsid w:val="528F19C6"/>
    <w:rsid w:val="528F2803"/>
    <w:rsid w:val="528F54BB"/>
    <w:rsid w:val="528F5E6A"/>
    <w:rsid w:val="528F67D2"/>
    <w:rsid w:val="52904836"/>
    <w:rsid w:val="529067FC"/>
    <w:rsid w:val="52911BE2"/>
    <w:rsid w:val="52912004"/>
    <w:rsid w:val="5291586A"/>
    <w:rsid w:val="52916A84"/>
    <w:rsid w:val="52920A7B"/>
    <w:rsid w:val="52923265"/>
    <w:rsid w:val="5292391B"/>
    <w:rsid w:val="52926B35"/>
    <w:rsid w:val="52927709"/>
    <w:rsid w:val="52931BC7"/>
    <w:rsid w:val="52934BCD"/>
    <w:rsid w:val="5294003D"/>
    <w:rsid w:val="52946FDD"/>
    <w:rsid w:val="529532F4"/>
    <w:rsid w:val="5295454A"/>
    <w:rsid w:val="5295561F"/>
    <w:rsid w:val="5295562D"/>
    <w:rsid w:val="52955DB2"/>
    <w:rsid w:val="5296264C"/>
    <w:rsid w:val="52962F38"/>
    <w:rsid w:val="5296536E"/>
    <w:rsid w:val="52975C05"/>
    <w:rsid w:val="52992845"/>
    <w:rsid w:val="529A036B"/>
    <w:rsid w:val="529A3FDC"/>
    <w:rsid w:val="529A5F79"/>
    <w:rsid w:val="529A65BD"/>
    <w:rsid w:val="529B480F"/>
    <w:rsid w:val="529B60BF"/>
    <w:rsid w:val="529C2335"/>
    <w:rsid w:val="529C35F0"/>
    <w:rsid w:val="529E1C09"/>
    <w:rsid w:val="529E228A"/>
    <w:rsid w:val="529E3592"/>
    <w:rsid w:val="529F2723"/>
    <w:rsid w:val="529F4A52"/>
    <w:rsid w:val="529F5982"/>
    <w:rsid w:val="52A02732"/>
    <w:rsid w:val="52A03BD4"/>
    <w:rsid w:val="52A106B6"/>
    <w:rsid w:val="52A13A48"/>
    <w:rsid w:val="52A13BC2"/>
    <w:rsid w:val="52A166D0"/>
    <w:rsid w:val="52A1794C"/>
    <w:rsid w:val="52A17CE9"/>
    <w:rsid w:val="52A337BC"/>
    <w:rsid w:val="52A35472"/>
    <w:rsid w:val="52A35B9D"/>
    <w:rsid w:val="52A41FE7"/>
    <w:rsid w:val="52A42F98"/>
    <w:rsid w:val="52A44A9E"/>
    <w:rsid w:val="52A523FC"/>
    <w:rsid w:val="52A5743C"/>
    <w:rsid w:val="52A576FA"/>
    <w:rsid w:val="52A62D55"/>
    <w:rsid w:val="52A631B4"/>
    <w:rsid w:val="52A66FD1"/>
    <w:rsid w:val="52A762F3"/>
    <w:rsid w:val="52A77B7B"/>
    <w:rsid w:val="52A80CDA"/>
    <w:rsid w:val="52A82A88"/>
    <w:rsid w:val="52A87801"/>
    <w:rsid w:val="52A87B2A"/>
    <w:rsid w:val="52A91260"/>
    <w:rsid w:val="52A93107"/>
    <w:rsid w:val="52A948EB"/>
    <w:rsid w:val="52A973E8"/>
    <w:rsid w:val="52AA100F"/>
    <w:rsid w:val="52AA31EC"/>
    <w:rsid w:val="52AA4082"/>
    <w:rsid w:val="52AA4A52"/>
    <w:rsid w:val="52AB0E1C"/>
    <w:rsid w:val="52AB2578"/>
    <w:rsid w:val="52AD4542"/>
    <w:rsid w:val="52AD62F0"/>
    <w:rsid w:val="52AE1D99"/>
    <w:rsid w:val="52AF3E17"/>
    <w:rsid w:val="52AF3FE4"/>
    <w:rsid w:val="52B00DBD"/>
    <w:rsid w:val="52B0193D"/>
    <w:rsid w:val="52B136B7"/>
    <w:rsid w:val="52B14033"/>
    <w:rsid w:val="52B209CE"/>
    <w:rsid w:val="52B21B59"/>
    <w:rsid w:val="52B23907"/>
    <w:rsid w:val="52B256B5"/>
    <w:rsid w:val="52B30BA8"/>
    <w:rsid w:val="52B3267A"/>
    <w:rsid w:val="52B33B12"/>
    <w:rsid w:val="52B34E04"/>
    <w:rsid w:val="52B35EBB"/>
    <w:rsid w:val="52B41E73"/>
    <w:rsid w:val="52B42038"/>
    <w:rsid w:val="52B458D1"/>
    <w:rsid w:val="52B508F7"/>
    <w:rsid w:val="52B51139"/>
    <w:rsid w:val="52B53B80"/>
    <w:rsid w:val="52B551A5"/>
    <w:rsid w:val="52B63A70"/>
    <w:rsid w:val="52B64958"/>
    <w:rsid w:val="52B718B6"/>
    <w:rsid w:val="52B728C4"/>
    <w:rsid w:val="52B753C1"/>
    <w:rsid w:val="52B76009"/>
    <w:rsid w:val="52B77529"/>
    <w:rsid w:val="52B8420C"/>
    <w:rsid w:val="52B87278"/>
    <w:rsid w:val="52B953A8"/>
    <w:rsid w:val="52B96A43"/>
    <w:rsid w:val="52BA27BB"/>
    <w:rsid w:val="52BB0A0D"/>
    <w:rsid w:val="52BB1697"/>
    <w:rsid w:val="52BB1AD9"/>
    <w:rsid w:val="52BB222A"/>
    <w:rsid w:val="52BB2AA6"/>
    <w:rsid w:val="52BB330E"/>
    <w:rsid w:val="52BB415A"/>
    <w:rsid w:val="52BB5A9B"/>
    <w:rsid w:val="52BC0A4C"/>
    <w:rsid w:val="52BC3D06"/>
    <w:rsid w:val="52BC6534"/>
    <w:rsid w:val="52BD6CE2"/>
    <w:rsid w:val="52BE0C1A"/>
    <w:rsid w:val="52BE405A"/>
    <w:rsid w:val="52BE482B"/>
    <w:rsid w:val="52BF5CBB"/>
    <w:rsid w:val="52C019F6"/>
    <w:rsid w:val="52C04276"/>
    <w:rsid w:val="52C06024"/>
    <w:rsid w:val="52C11A6B"/>
    <w:rsid w:val="52C15674"/>
    <w:rsid w:val="52C16435"/>
    <w:rsid w:val="52C16A1D"/>
    <w:rsid w:val="52C2081E"/>
    <w:rsid w:val="52C2463C"/>
    <w:rsid w:val="52C25111"/>
    <w:rsid w:val="52C27FEE"/>
    <w:rsid w:val="52C308EE"/>
    <w:rsid w:val="52C35C4B"/>
    <w:rsid w:val="52C378C2"/>
    <w:rsid w:val="52C451E0"/>
    <w:rsid w:val="52C47EB0"/>
    <w:rsid w:val="52C5188C"/>
    <w:rsid w:val="52C553E8"/>
    <w:rsid w:val="52C56D38"/>
    <w:rsid w:val="52C61160"/>
    <w:rsid w:val="52C673B2"/>
    <w:rsid w:val="52C703DE"/>
    <w:rsid w:val="52C7263E"/>
    <w:rsid w:val="52C75604"/>
    <w:rsid w:val="52C75F9C"/>
    <w:rsid w:val="52C8137C"/>
    <w:rsid w:val="52C83225"/>
    <w:rsid w:val="52C8474A"/>
    <w:rsid w:val="52C9316F"/>
    <w:rsid w:val="52C943C1"/>
    <w:rsid w:val="52C97248"/>
    <w:rsid w:val="52CA0C50"/>
    <w:rsid w:val="52CA29FF"/>
    <w:rsid w:val="52CA50F4"/>
    <w:rsid w:val="52CA6EA2"/>
    <w:rsid w:val="52CA73B4"/>
    <w:rsid w:val="52CA76D1"/>
    <w:rsid w:val="52CB4EE4"/>
    <w:rsid w:val="52CC30A1"/>
    <w:rsid w:val="52CC3E18"/>
    <w:rsid w:val="52CE189B"/>
    <w:rsid w:val="52CE1F68"/>
    <w:rsid w:val="52CE4D1E"/>
    <w:rsid w:val="52CF1868"/>
    <w:rsid w:val="52CF270B"/>
    <w:rsid w:val="52CF44B9"/>
    <w:rsid w:val="52D00C3F"/>
    <w:rsid w:val="52D01119"/>
    <w:rsid w:val="52D16FDC"/>
    <w:rsid w:val="52D20737"/>
    <w:rsid w:val="52D220B3"/>
    <w:rsid w:val="52D229F0"/>
    <w:rsid w:val="52D22B66"/>
    <w:rsid w:val="52D23FA9"/>
    <w:rsid w:val="52D272B2"/>
    <w:rsid w:val="52D31E34"/>
    <w:rsid w:val="52D355C1"/>
    <w:rsid w:val="52D37D2F"/>
    <w:rsid w:val="52D4387D"/>
    <w:rsid w:val="52D44E6D"/>
    <w:rsid w:val="52D47D21"/>
    <w:rsid w:val="52D52AB2"/>
    <w:rsid w:val="52D63A99"/>
    <w:rsid w:val="52D675F5"/>
    <w:rsid w:val="52D71E08"/>
    <w:rsid w:val="52D7511B"/>
    <w:rsid w:val="52D8155C"/>
    <w:rsid w:val="52D87ECE"/>
    <w:rsid w:val="52D90E94"/>
    <w:rsid w:val="52D95337"/>
    <w:rsid w:val="52D970E6"/>
    <w:rsid w:val="52DA4652"/>
    <w:rsid w:val="52DB0CD1"/>
    <w:rsid w:val="52DB19CE"/>
    <w:rsid w:val="52DC0984"/>
    <w:rsid w:val="52DC1FEA"/>
    <w:rsid w:val="52DC23ED"/>
    <w:rsid w:val="52DC6BD6"/>
    <w:rsid w:val="52DC7DB4"/>
    <w:rsid w:val="52DD1A14"/>
    <w:rsid w:val="52DD4E28"/>
    <w:rsid w:val="52DE46FC"/>
    <w:rsid w:val="52DE64AA"/>
    <w:rsid w:val="52DF0BA9"/>
    <w:rsid w:val="52DF3B64"/>
    <w:rsid w:val="52DF571B"/>
    <w:rsid w:val="52E0027D"/>
    <w:rsid w:val="52E00474"/>
    <w:rsid w:val="52E05339"/>
    <w:rsid w:val="52E12617"/>
    <w:rsid w:val="52E15F9A"/>
    <w:rsid w:val="52E24A6B"/>
    <w:rsid w:val="52E33AC0"/>
    <w:rsid w:val="52E405D0"/>
    <w:rsid w:val="52E4581B"/>
    <w:rsid w:val="52E46094"/>
    <w:rsid w:val="52E53CDC"/>
    <w:rsid w:val="52E576F3"/>
    <w:rsid w:val="52E62A6A"/>
    <w:rsid w:val="52E71025"/>
    <w:rsid w:val="52E74A3B"/>
    <w:rsid w:val="52E7544B"/>
    <w:rsid w:val="52E80F7C"/>
    <w:rsid w:val="52E8557B"/>
    <w:rsid w:val="52E9577A"/>
    <w:rsid w:val="52EA0C77"/>
    <w:rsid w:val="52EA12F3"/>
    <w:rsid w:val="52EA1CFD"/>
    <w:rsid w:val="52EA30A1"/>
    <w:rsid w:val="52EA4E4F"/>
    <w:rsid w:val="52EB0BC7"/>
    <w:rsid w:val="52EB5081"/>
    <w:rsid w:val="52EC21C2"/>
    <w:rsid w:val="52EC3401"/>
    <w:rsid w:val="52EC36E0"/>
    <w:rsid w:val="52EC4D12"/>
    <w:rsid w:val="52EC506B"/>
    <w:rsid w:val="52EC5663"/>
    <w:rsid w:val="52ED0DE3"/>
    <w:rsid w:val="52ED143F"/>
    <w:rsid w:val="52ED493F"/>
    <w:rsid w:val="52ED6E7D"/>
    <w:rsid w:val="52EE0E81"/>
    <w:rsid w:val="52EE2245"/>
    <w:rsid w:val="52EE4F2D"/>
    <w:rsid w:val="52EE745D"/>
    <w:rsid w:val="52EF06B7"/>
    <w:rsid w:val="52EF456A"/>
    <w:rsid w:val="52EF60D7"/>
    <w:rsid w:val="52F00DCD"/>
    <w:rsid w:val="52F061DD"/>
    <w:rsid w:val="52F0698F"/>
    <w:rsid w:val="52F0758B"/>
    <w:rsid w:val="52F1075A"/>
    <w:rsid w:val="52F12681"/>
    <w:rsid w:val="52F1442F"/>
    <w:rsid w:val="52F201A7"/>
    <w:rsid w:val="52F256D0"/>
    <w:rsid w:val="52F25D4B"/>
    <w:rsid w:val="52F263F9"/>
    <w:rsid w:val="52F2661B"/>
    <w:rsid w:val="52F447A8"/>
    <w:rsid w:val="52F53207"/>
    <w:rsid w:val="52F55100"/>
    <w:rsid w:val="52F61A46"/>
    <w:rsid w:val="52F6582A"/>
    <w:rsid w:val="52F66C8A"/>
    <w:rsid w:val="52F812A9"/>
    <w:rsid w:val="52F8516F"/>
    <w:rsid w:val="52F902CC"/>
    <w:rsid w:val="52F91536"/>
    <w:rsid w:val="52F932E4"/>
    <w:rsid w:val="52F97788"/>
    <w:rsid w:val="52FA333D"/>
    <w:rsid w:val="52FA64AF"/>
    <w:rsid w:val="52FB1BFC"/>
    <w:rsid w:val="52FB3500"/>
    <w:rsid w:val="52FC308C"/>
    <w:rsid w:val="52FC7D5A"/>
    <w:rsid w:val="52FD0A91"/>
    <w:rsid w:val="52FD1026"/>
    <w:rsid w:val="52FD7010"/>
    <w:rsid w:val="52FE4D9E"/>
    <w:rsid w:val="52FE6B4C"/>
    <w:rsid w:val="52FF314E"/>
    <w:rsid w:val="53004672"/>
    <w:rsid w:val="53007249"/>
    <w:rsid w:val="53007EB6"/>
    <w:rsid w:val="530103EA"/>
    <w:rsid w:val="53011A03"/>
    <w:rsid w:val="5302038E"/>
    <w:rsid w:val="53021ACF"/>
    <w:rsid w:val="530262D5"/>
    <w:rsid w:val="530323B4"/>
    <w:rsid w:val="5304393F"/>
    <w:rsid w:val="530461A9"/>
    <w:rsid w:val="530509CB"/>
    <w:rsid w:val="53051C89"/>
    <w:rsid w:val="53054E8D"/>
    <w:rsid w:val="5305612D"/>
    <w:rsid w:val="53057EDB"/>
    <w:rsid w:val="530608AC"/>
    <w:rsid w:val="53065BEF"/>
    <w:rsid w:val="5306768C"/>
    <w:rsid w:val="5307072C"/>
    <w:rsid w:val="53071EA5"/>
    <w:rsid w:val="53072D70"/>
    <w:rsid w:val="530733DE"/>
    <w:rsid w:val="53073C53"/>
    <w:rsid w:val="53074C46"/>
    <w:rsid w:val="5307545F"/>
    <w:rsid w:val="53081779"/>
    <w:rsid w:val="53093984"/>
    <w:rsid w:val="530A3743"/>
    <w:rsid w:val="530A589B"/>
    <w:rsid w:val="530A729F"/>
    <w:rsid w:val="530B5FDC"/>
    <w:rsid w:val="530B714E"/>
    <w:rsid w:val="530C1269"/>
    <w:rsid w:val="530C3017"/>
    <w:rsid w:val="530C4011"/>
    <w:rsid w:val="530C65DC"/>
    <w:rsid w:val="530F127F"/>
    <w:rsid w:val="530F2B07"/>
    <w:rsid w:val="530F302D"/>
    <w:rsid w:val="530F6A42"/>
    <w:rsid w:val="530F6FAB"/>
    <w:rsid w:val="530F7C6E"/>
    <w:rsid w:val="531041A7"/>
    <w:rsid w:val="53105FEE"/>
    <w:rsid w:val="53113E22"/>
    <w:rsid w:val="53114AD1"/>
    <w:rsid w:val="531169F3"/>
    <w:rsid w:val="53121F07"/>
    <w:rsid w:val="53124FDB"/>
    <w:rsid w:val="5312669B"/>
    <w:rsid w:val="53127E83"/>
    <w:rsid w:val="53131E78"/>
    <w:rsid w:val="53133071"/>
    <w:rsid w:val="5313352D"/>
    <w:rsid w:val="53133901"/>
    <w:rsid w:val="5314011E"/>
    <w:rsid w:val="531445C2"/>
    <w:rsid w:val="5314593E"/>
    <w:rsid w:val="53147955"/>
    <w:rsid w:val="5316015D"/>
    <w:rsid w:val="53160BA2"/>
    <w:rsid w:val="531620E8"/>
    <w:rsid w:val="53162CCF"/>
    <w:rsid w:val="531632F5"/>
    <w:rsid w:val="53165C44"/>
    <w:rsid w:val="531713ED"/>
    <w:rsid w:val="531719BC"/>
    <w:rsid w:val="53173AD9"/>
    <w:rsid w:val="53177C0E"/>
    <w:rsid w:val="5318287F"/>
    <w:rsid w:val="53185E60"/>
    <w:rsid w:val="53191BD8"/>
    <w:rsid w:val="53195734"/>
    <w:rsid w:val="53197D00"/>
    <w:rsid w:val="531A0872"/>
    <w:rsid w:val="531B048E"/>
    <w:rsid w:val="531B1B5A"/>
    <w:rsid w:val="531B2907"/>
    <w:rsid w:val="531B5950"/>
    <w:rsid w:val="531C6FD2"/>
    <w:rsid w:val="531D3F07"/>
    <w:rsid w:val="531D5224"/>
    <w:rsid w:val="531D6664"/>
    <w:rsid w:val="531D66D7"/>
    <w:rsid w:val="531D7BA8"/>
    <w:rsid w:val="531E0AB3"/>
    <w:rsid w:val="531E1B88"/>
    <w:rsid w:val="531F12F8"/>
    <w:rsid w:val="531F3A56"/>
    <w:rsid w:val="531F6ADC"/>
    <w:rsid w:val="53201E76"/>
    <w:rsid w:val="53204D14"/>
    <w:rsid w:val="53205B80"/>
    <w:rsid w:val="53206AC2"/>
    <w:rsid w:val="53213917"/>
    <w:rsid w:val="532145E9"/>
    <w:rsid w:val="532239D6"/>
    <w:rsid w:val="53224DA7"/>
    <w:rsid w:val="53226CDE"/>
    <w:rsid w:val="53227096"/>
    <w:rsid w:val="53230361"/>
    <w:rsid w:val="53232546"/>
    <w:rsid w:val="53234805"/>
    <w:rsid w:val="532372D5"/>
    <w:rsid w:val="5324029F"/>
    <w:rsid w:val="5325057D"/>
    <w:rsid w:val="5325232B"/>
    <w:rsid w:val="53256D3A"/>
    <w:rsid w:val="53260185"/>
    <w:rsid w:val="532608A9"/>
    <w:rsid w:val="5326139F"/>
    <w:rsid w:val="532658B7"/>
    <w:rsid w:val="532665FD"/>
    <w:rsid w:val="53270C19"/>
    <w:rsid w:val="5327235A"/>
    <w:rsid w:val="532757AA"/>
    <w:rsid w:val="532760A3"/>
    <w:rsid w:val="532778A3"/>
    <w:rsid w:val="53277E51"/>
    <w:rsid w:val="532819F3"/>
    <w:rsid w:val="53281A25"/>
    <w:rsid w:val="53281E1B"/>
    <w:rsid w:val="5328202D"/>
    <w:rsid w:val="53295E18"/>
    <w:rsid w:val="53297D5E"/>
    <w:rsid w:val="532A16EF"/>
    <w:rsid w:val="532A2722"/>
    <w:rsid w:val="532A610A"/>
    <w:rsid w:val="532A7941"/>
    <w:rsid w:val="532B2800"/>
    <w:rsid w:val="532B4372"/>
    <w:rsid w:val="532C35FB"/>
    <w:rsid w:val="532C460B"/>
    <w:rsid w:val="532C5467"/>
    <w:rsid w:val="532E5683"/>
    <w:rsid w:val="532E7431"/>
    <w:rsid w:val="532F0AEC"/>
    <w:rsid w:val="532F0B46"/>
    <w:rsid w:val="532F1E1E"/>
    <w:rsid w:val="532F4F57"/>
    <w:rsid w:val="532F5FEC"/>
    <w:rsid w:val="532F6D06"/>
    <w:rsid w:val="532F73AB"/>
    <w:rsid w:val="53300CCB"/>
    <w:rsid w:val="53300D07"/>
    <w:rsid w:val="53301F7C"/>
    <w:rsid w:val="533050C8"/>
    <w:rsid w:val="53312A7E"/>
    <w:rsid w:val="53313160"/>
    <w:rsid w:val="53313B8A"/>
    <w:rsid w:val="53314871"/>
    <w:rsid w:val="53314CEC"/>
    <w:rsid w:val="533174DC"/>
    <w:rsid w:val="533267F6"/>
    <w:rsid w:val="53332781"/>
    <w:rsid w:val="53332C9A"/>
    <w:rsid w:val="5334431C"/>
    <w:rsid w:val="53352323"/>
    <w:rsid w:val="53355DEE"/>
    <w:rsid w:val="533635B1"/>
    <w:rsid w:val="53364538"/>
    <w:rsid w:val="533662E6"/>
    <w:rsid w:val="53367743"/>
    <w:rsid w:val="5337070E"/>
    <w:rsid w:val="53370B35"/>
    <w:rsid w:val="53371AB2"/>
    <w:rsid w:val="53373E0C"/>
    <w:rsid w:val="53381012"/>
    <w:rsid w:val="5338205E"/>
    <w:rsid w:val="53386BD9"/>
    <w:rsid w:val="53394028"/>
    <w:rsid w:val="53395AA8"/>
    <w:rsid w:val="53395DD6"/>
    <w:rsid w:val="53397A15"/>
    <w:rsid w:val="533A4525"/>
    <w:rsid w:val="533A4A30"/>
    <w:rsid w:val="533A78E6"/>
    <w:rsid w:val="533B389F"/>
    <w:rsid w:val="533C1422"/>
    <w:rsid w:val="533C70E4"/>
    <w:rsid w:val="533E555E"/>
    <w:rsid w:val="533E5E8A"/>
    <w:rsid w:val="533F163E"/>
    <w:rsid w:val="533F38C2"/>
    <w:rsid w:val="533F5C48"/>
    <w:rsid w:val="534024E8"/>
    <w:rsid w:val="53404402"/>
    <w:rsid w:val="53407165"/>
    <w:rsid w:val="53407856"/>
    <w:rsid w:val="53422EDD"/>
    <w:rsid w:val="53424C8B"/>
    <w:rsid w:val="53424CE4"/>
    <w:rsid w:val="534327B1"/>
    <w:rsid w:val="534401AB"/>
    <w:rsid w:val="53441673"/>
    <w:rsid w:val="53441882"/>
    <w:rsid w:val="5344413A"/>
    <w:rsid w:val="534450B3"/>
    <w:rsid w:val="53447441"/>
    <w:rsid w:val="53447ADD"/>
    <w:rsid w:val="5345477B"/>
    <w:rsid w:val="53454AAF"/>
    <w:rsid w:val="53456529"/>
    <w:rsid w:val="5346195D"/>
    <w:rsid w:val="53463166"/>
    <w:rsid w:val="53466918"/>
    <w:rsid w:val="53466D73"/>
    <w:rsid w:val="534704F3"/>
    <w:rsid w:val="534722A1"/>
    <w:rsid w:val="53473EE3"/>
    <w:rsid w:val="534741B0"/>
    <w:rsid w:val="534753D8"/>
    <w:rsid w:val="534762E7"/>
    <w:rsid w:val="53476745"/>
    <w:rsid w:val="5348381A"/>
    <w:rsid w:val="53486019"/>
    <w:rsid w:val="53487DC7"/>
    <w:rsid w:val="5349426B"/>
    <w:rsid w:val="534A3B3F"/>
    <w:rsid w:val="534B1313"/>
    <w:rsid w:val="534B1F5A"/>
    <w:rsid w:val="534D3630"/>
    <w:rsid w:val="534E35BC"/>
    <w:rsid w:val="534F1156"/>
    <w:rsid w:val="534F55FA"/>
    <w:rsid w:val="534F73A8"/>
    <w:rsid w:val="535029F5"/>
    <w:rsid w:val="53504128"/>
    <w:rsid w:val="53511372"/>
    <w:rsid w:val="53513120"/>
    <w:rsid w:val="53514ECE"/>
    <w:rsid w:val="535200F2"/>
    <w:rsid w:val="53530C46"/>
    <w:rsid w:val="53532097"/>
    <w:rsid w:val="535369B8"/>
    <w:rsid w:val="5354676C"/>
    <w:rsid w:val="53547C35"/>
    <w:rsid w:val="535509A7"/>
    <w:rsid w:val="535640EB"/>
    <w:rsid w:val="53564B87"/>
    <w:rsid w:val="53566988"/>
    <w:rsid w:val="535671E8"/>
    <w:rsid w:val="53570C57"/>
    <w:rsid w:val="53572529"/>
    <w:rsid w:val="53577CF7"/>
    <w:rsid w:val="53582700"/>
    <w:rsid w:val="535844AE"/>
    <w:rsid w:val="535848AC"/>
    <w:rsid w:val="53584D4B"/>
    <w:rsid w:val="5358625C"/>
    <w:rsid w:val="53590226"/>
    <w:rsid w:val="535A2119"/>
    <w:rsid w:val="535A3AB4"/>
    <w:rsid w:val="535B51EF"/>
    <w:rsid w:val="535B7777"/>
    <w:rsid w:val="535B7B08"/>
    <w:rsid w:val="535C256F"/>
    <w:rsid w:val="535D1AC5"/>
    <w:rsid w:val="535D2428"/>
    <w:rsid w:val="535D3873"/>
    <w:rsid w:val="535D521A"/>
    <w:rsid w:val="535D6D40"/>
    <w:rsid w:val="535E583D"/>
    <w:rsid w:val="535E75EB"/>
    <w:rsid w:val="535F0F2F"/>
    <w:rsid w:val="535F4969"/>
    <w:rsid w:val="536015B5"/>
    <w:rsid w:val="53610DA9"/>
    <w:rsid w:val="5361682C"/>
    <w:rsid w:val="53624E0A"/>
    <w:rsid w:val="5362532D"/>
    <w:rsid w:val="536270DB"/>
    <w:rsid w:val="536321AB"/>
    <w:rsid w:val="53632AEA"/>
    <w:rsid w:val="536410A5"/>
    <w:rsid w:val="53641365"/>
    <w:rsid w:val="53670B95"/>
    <w:rsid w:val="536714D0"/>
    <w:rsid w:val="53672943"/>
    <w:rsid w:val="536746F1"/>
    <w:rsid w:val="5367649F"/>
    <w:rsid w:val="536777EC"/>
    <w:rsid w:val="5368002E"/>
    <w:rsid w:val="53680BF8"/>
    <w:rsid w:val="53680C7C"/>
    <w:rsid w:val="536841C1"/>
    <w:rsid w:val="536863BA"/>
    <w:rsid w:val="536965A8"/>
    <w:rsid w:val="536A2433"/>
    <w:rsid w:val="536A359C"/>
    <w:rsid w:val="536A3C09"/>
    <w:rsid w:val="536A571C"/>
    <w:rsid w:val="536C61AC"/>
    <w:rsid w:val="536C6954"/>
    <w:rsid w:val="536C7F5A"/>
    <w:rsid w:val="536D31F4"/>
    <w:rsid w:val="536D39B3"/>
    <w:rsid w:val="536D512B"/>
    <w:rsid w:val="536D65D4"/>
    <w:rsid w:val="536E0AE0"/>
    <w:rsid w:val="536E275A"/>
    <w:rsid w:val="536E3CD2"/>
    <w:rsid w:val="536E5600"/>
    <w:rsid w:val="536F0BFE"/>
    <w:rsid w:val="536F1009"/>
    <w:rsid w:val="536F17F8"/>
    <w:rsid w:val="536F35A6"/>
    <w:rsid w:val="536F4DA8"/>
    <w:rsid w:val="536F7A4A"/>
    <w:rsid w:val="53710C1F"/>
    <w:rsid w:val="53715570"/>
    <w:rsid w:val="5371731E"/>
    <w:rsid w:val="53721216"/>
    <w:rsid w:val="537248FF"/>
    <w:rsid w:val="537263D9"/>
    <w:rsid w:val="537312E8"/>
    <w:rsid w:val="53736C6A"/>
    <w:rsid w:val="537371F9"/>
    <w:rsid w:val="53740BBC"/>
    <w:rsid w:val="53741097"/>
    <w:rsid w:val="53742AA8"/>
    <w:rsid w:val="53744FA3"/>
    <w:rsid w:val="53755060"/>
    <w:rsid w:val="53756D57"/>
    <w:rsid w:val="53762F21"/>
    <w:rsid w:val="53764C7F"/>
    <w:rsid w:val="53772AD1"/>
    <w:rsid w:val="537763F2"/>
    <w:rsid w:val="53776741"/>
    <w:rsid w:val="53784B50"/>
    <w:rsid w:val="53786817"/>
    <w:rsid w:val="537868FE"/>
    <w:rsid w:val="53790827"/>
    <w:rsid w:val="53791C01"/>
    <w:rsid w:val="537961D3"/>
    <w:rsid w:val="537A4716"/>
    <w:rsid w:val="537A6C7C"/>
    <w:rsid w:val="537B22D7"/>
    <w:rsid w:val="537B4521"/>
    <w:rsid w:val="537B72D2"/>
    <w:rsid w:val="537C08FA"/>
    <w:rsid w:val="537D3F15"/>
    <w:rsid w:val="537D5CC3"/>
    <w:rsid w:val="537D6CEF"/>
    <w:rsid w:val="537D74EE"/>
    <w:rsid w:val="537E257C"/>
    <w:rsid w:val="537F7156"/>
    <w:rsid w:val="53801187"/>
    <w:rsid w:val="538021FD"/>
    <w:rsid w:val="53803A05"/>
    <w:rsid w:val="53807561"/>
    <w:rsid w:val="5381031B"/>
    <w:rsid w:val="53811484"/>
    <w:rsid w:val="538232D9"/>
    <w:rsid w:val="538243F4"/>
    <w:rsid w:val="53832D04"/>
    <w:rsid w:val="53835884"/>
    <w:rsid w:val="53837051"/>
    <w:rsid w:val="53843C12"/>
    <w:rsid w:val="538452A3"/>
    <w:rsid w:val="53846D14"/>
    <w:rsid w:val="538501A4"/>
    <w:rsid w:val="538518D3"/>
    <w:rsid w:val="53852DC9"/>
    <w:rsid w:val="53856834"/>
    <w:rsid w:val="53857342"/>
    <w:rsid w:val="5386612E"/>
    <w:rsid w:val="538708F0"/>
    <w:rsid w:val="538748BD"/>
    <w:rsid w:val="53874D93"/>
    <w:rsid w:val="53890B0C"/>
    <w:rsid w:val="538928BA"/>
    <w:rsid w:val="538944C3"/>
    <w:rsid w:val="53894668"/>
    <w:rsid w:val="5389607C"/>
    <w:rsid w:val="538A2662"/>
    <w:rsid w:val="538A6632"/>
    <w:rsid w:val="538B6B95"/>
    <w:rsid w:val="538C0077"/>
    <w:rsid w:val="538C54A6"/>
    <w:rsid w:val="538C5F06"/>
    <w:rsid w:val="538C618B"/>
    <w:rsid w:val="538C6936"/>
    <w:rsid w:val="538E10A8"/>
    <w:rsid w:val="538E2A2E"/>
    <w:rsid w:val="538E7ED0"/>
    <w:rsid w:val="538F3E27"/>
    <w:rsid w:val="538F59F6"/>
    <w:rsid w:val="538F5D77"/>
    <w:rsid w:val="538F6B60"/>
    <w:rsid w:val="53902EF3"/>
    <w:rsid w:val="53904CB7"/>
    <w:rsid w:val="539066F6"/>
    <w:rsid w:val="539100AE"/>
    <w:rsid w:val="5391176E"/>
    <w:rsid w:val="53916534"/>
    <w:rsid w:val="53917AA7"/>
    <w:rsid w:val="53924DBE"/>
    <w:rsid w:val="5393341E"/>
    <w:rsid w:val="539354E6"/>
    <w:rsid w:val="53935897"/>
    <w:rsid w:val="53937294"/>
    <w:rsid w:val="53941EC9"/>
    <w:rsid w:val="5394300C"/>
    <w:rsid w:val="539574B0"/>
    <w:rsid w:val="53961129"/>
    <w:rsid w:val="53961650"/>
    <w:rsid w:val="53961FAA"/>
    <w:rsid w:val="53964FD7"/>
    <w:rsid w:val="53965622"/>
    <w:rsid w:val="53966D85"/>
    <w:rsid w:val="53972FDA"/>
    <w:rsid w:val="53980D4F"/>
    <w:rsid w:val="53983A49"/>
    <w:rsid w:val="53985783"/>
    <w:rsid w:val="53986FA1"/>
    <w:rsid w:val="53987BA2"/>
    <w:rsid w:val="53990E85"/>
    <w:rsid w:val="53996235"/>
    <w:rsid w:val="539969CD"/>
    <w:rsid w:val="539A2215"/>
    <w:rsid w:val="539B083F"/>
    <w:rsid w:val="539B23CA"/>
    <w:rsid w:val="539B3B0B"/>
    <w:rsid w:val="539B4955"/>
    <w:rsid w:val="539B4F02"/>
    <w:rsid w:val="539C096A"/>
    <w:rsid w:val="539D0113"/>
    <w:rsid w:val="539D0F31"/>
    <w:rsid w:val="539D2161"/>
    <w:rsid w:val="539D45B7"/>
    <w:rsid w:val="539D60E2"/>
    <w:rsid w:val="539E00AE"/>
    <w:rsid w:val="539E0D31"/>
    <w:rsid w:val="539F35FD"/>
    <w:rsid w:val="539F3E8B"/>
    <w:rsid w:val="53A0269D"/>
    <w:rsid w:val="53A039CC"/>
    <w:rsid w:val="53A07C03"/>
    <w:rsid w:val="53A1013D"/>
    <w:rsid w:val="53A1505A"/>
    <w:rsid w:val="53A16DA2"/>
    <w:rsid w:val="53A17E44"/>
    <w:rsid w:val="53A269A7"/>
    <w:rsid w:val="53A409F2"/>
    <w:rsid w:val="53A44BBD"/>
    <w:rsid w:val="53A45945"/>
    <w:rsid w:val="53A5346C"/>
    <w:rsid w:val="53A56FC8"/>
    <w:rsid w:val="53A616BE"/>
    <w:rsid w:val="53A632B1"/>
    <w:rsid w:val="53A64CC8"/>
    <w:rsid w:val="53A6666D"/>
    <w:rsid w:val="53A70621"/>
    <w:rsid w:val="53A771E4"/>
    <w:rsid w:val="53A77611"/>
    <w:rsid w:val="53A80893"/>
    <w:rsid w:val="53A81339"/>
    <w:rsid w:val="53A92F5C"/>
    <w:rsid w:val="53A948D4"/>
    <w:rsid w:val="53A94D0A"/>
    <w:rsid w:val="53AA09E3"/>
    <w:rsid w:val="53AA0A2F"/>
    <w:rsid w:val="53AA2830"/>
    <w:rsid w:val="53AB0A82"/>
    <w:rsid w:val="53AB2F32"/>
    <w:rsid w:val="53AC0BFD"/>
    <w:rsid w:val="53AD2462"/>
    <w:rsid w:val="53AE0572"/>
    <w:rsid w:val="53AE6558"/>
    <w:rsid w:val="53AF1CD0"/>
    <w:rsid w:val="53B00A70"/>
    <w:rsid w:val="53B02BCD"/>
    <w:rsid w:val="53B042EA"/>
    <w:rsid w:val="53B06152"/>
    <w:rsid w:val="53B10062"/>
    <w:rsid w:val="53B11E10"/>
    <w:rsid w:val="53B20651"/>
    <w:rsid w:val="53B27FC3"/>
    <w:rsid w:val="53B316E5"/>
    <w:rsid w:val="53B373CC"/>
    <w:rsid w:val="53B37937"/>
    <w:rsid w:val="53B4150C"/>
    <w:rsid w:val="53B446B2"/>
    <w:rsid w:val="53B4545D"/>
    <w:rsid w:val="53B45D18"/>
    <w:rsid w:val="53B518FF"/>
    <w:rsid w:val="53B61BA2"/>
    <w:rsid w:val="53B65679"/>
    <w:rsid w:val="53B6696C"/>
    <w:rsid w:val="53B67427"/>
    <w:rsid w:val="53B713DF"/>
    <w:rsid w:val="53B733E6"/>
    <w:rsid w:val="53B759FD"/>
    <w:rsid w:val="53B7609F"/>
    <w:rsid w:val="53B760C0"/>
    <w:rsid w:val="53B8319F"/>
    <w:rsid w:val="53B97025"/>
    <w:rsid w:val="53BA17E2"/>
    <w:rsid w:val="53BB481D"/>
    <w:rsid w:val="53BB67EB"/>
    <w:rsid w:val="53BC0B3C"/>
    <w:rsid w:val="53BC2E44"/>
    <w:rsid w:val="53BD2563"/>
    <w:rsid w:val="53BD6A07"/>
    <w:rsid w:val="53BE5488"/>
    <w:rsid w:val="53BF0089"/>
    <w:rsid w:val="53BF452D"/>
    <w:rsid w:val="53BF62DB"/>
    <w:rsid w:val="53BF6ACB"/>
    <w:rsid w:val="53C00539"/>
    <w:rsid w:val="53C03AE0"/>
    <w:rsid w:val="53C04396"/>
    <w:rsid w:val="53C15826"/>
    <w:rsid w:val="53C16120"/>
    <w:rsid w:val="53C22465"/>
    <w:rsid w:val="53C2530B"/>
    <w:rsid w:val="53C41B44"/>
    <w:rsid w:val="53C44E06"/>
    <w:rsid w:val="53C47D96"/>
    <w:rsid w:val="53C5119D"/>
    <w:rsid w:val="53C51418"/>
    <w:rsid w:val="53C52166"/>
    <w:rsid w:val="53C5766A"/>
    <w:rsid w:val="53C61C42"/>
    <w:rsid w:val="53C6520D"/>
    <w:rsid w:val="53C658BC"/>
    <w:rsid w:val="53C66ABF"/>
    <w:rsid w:val="53C71634"/>
    <w:rsid w:val="53C72B28"/>
    <w:rsid w:val="53C733E2"/>
    <w:rsid w:val="53C75190"/>
    <w:rsid w:val="53C813E7"/>
    <w:rsid w:val="53C90F08"/>
    <w:rsid w:val="53C91322"/>
    <w:rsid w:val="53C917D0"/>
    <w:rsid w:val="53C953AC"/>
    <w:rsid w:val="53C968C6"/>
    <w:rsid w:val="53CA4C80"/>
    <w:rsid w:val="53CB6D98"/>
    <w:rsid w:val="53CC09F8"/>
    <w:rsid w:val="53CC27A6"/>
    <w:rsid w:val="53CC2C3D"/>
    <w:rsid w:val="53CC6C4A"/>
    <w:rsid w:val="53CD61C2"/>
    <w:rsid w:val="53CD6C6B"/>
    <w:rsid w:val="53CE29C2"/>
    <w:rsid w:val="53CE651E"/>
    <w:rsid w:val="53CE7DCD"/>
    <w:rsid w:val="53CF12BA"/>
    <w:rsid w:val="53CF5651"/>
    <w:rsid w:val="53D0531B"/>
    <w:rsid w:val="53D10BEC"/>
    <w:rsid w:val="53D15683"/>
    <w:rsid w:val="53D1688B"/>
    <w:rsid w:val="53D17DBD"/>
    <w:rsid w:val="53D20AF3"/>
    <w:rsid w:val="53D24EAB"/>
    <w:rsid w:val="53D25B41"/>
    <w:rsid w:val="53D31D87"/>
    <w:rsid w:val="53D33D94"/>
    <w:rsid w:val="53D419E6"/>
    <w:rsid w:val="53D42DDE"/>
    <w:rsid w:val="53D43C9C"/>
    <w:rsid w:val="53D43CA6"/>
    <w:rsid w:val="53D46549"/>
    <w:rsid w:val="53D516FD"/>
    <w:rsid w:val="53D51735"/>
    <w:rsid w:val="53D53D51"/>
    <w:rsid w:val="53D57701"/>
    <w:rsid w:val="53D63625"/>
    <w:rsid w:val="53D70D89"/>
    <w:rsid w:val="53D77AC9"/>
    <w:rsid w:val="53D81069"/>
    <w:rsid w:val="53D82D55"/>
    <w:rsid w:val="53D8382B"/>
    <w:rsid w:val="53D855EF"/>
    <w:rsid w:val="53D9759C"/>
    <w:rsid w:val="53DA0401"/>
    <w:rsid w:val="53DA267E"/>
    <w:rsid w:val="53DA32FF"/>
    <w:rsid w:val="53DA4EC3"/>
    <w:rsid w:val="53DA5003"/>
    <w:rsid w:val="53DA6993"/>
    <w:rsid w:val="53DA7E36"/>
    <w:rsid w:val="53DB0C3B"/>
    <w:rsid w:val="53DB3A72"/>
    <w:rsid w:val="53DB600C"/>
    <w:rsid w:val="53DB7DFA"/>
    <w:rsid w:val="53DC0CED"/>
    <w:rsid w:val="53DC50DF"/>
    <w:rsid w:val="53DD2C05"/>
    <w:rsid w:val="53DD3CD7"/>
    <w:rsid w:val="53DE0039"/>
    <w:rsid w:val="53DF1BBD"/>
    <w:rsid w:val="53DF24DA"/>
    <w:rsid w:val="53DF697E"/>
    <w:rsid w:val="53DF766E"/>
    <w:rsid w:val="53E06252"/>
    <w:rsid w:val="53E2021C"/>
    <w:rsid w:val="53E21D0E"/>
    <w:rsid w:val="53E26421"/>
    <w:rsid w:val="53E2646E"/>
    <w:rsid w:val="53E30BC0"/>
    <w:rsid w:val="53E42050"/>
    <w:rsid w:val="53E43BE9"/>
    <w:rsid w:val="53E45D42"/>
    <w:rsid w:val="53E534E0"/>
    <w:rsid w:val="53E5776E"/>
    <w:rsid w:val="53E57E7C"/>
    <w:rsid w:val="53E61ABA"/>
    <w:rsid w:val="53E6260A"/>
    <w:rsid w:val="53E63719"/>
    <w:rsid w:val="53E66C1A"/>
    <w:rsid w:val="53E74940"/>
    <w:rsid w:val="53E779DA"/>
    <w:rsid w:val="53E80CB0"/>
    <w:rsid w:val="53E835A2"/>
    <w:rsid w:val="53E85C39"/>
    <w:rsid w:val="53E86AF5"/>
    <w:rsid w:val="53E904E2"/>
    <w:rsid w:val="53E915AA"/>
    <w:rsid w:val="53E918B8"/>
    <w:rsid w:val="53E93358"/>
    <w:rsid w:val="53E94A32"/>
    <w:rsid w:val="53EA3662"/>
    <w:rsid w:val="53EB234C"/>
    <w:rsid w:val="53EB335F"/>
    <w:rsid w:val="53EB47E6"/>
    <w:rsid w:val="53EB52CD"/>
    <w:rsid w:val="53EC07F7"/>
    <w:rsid w:val="53EC193E"/>
    <w:rsid w:val="53EC1ECF"/>
    <w:rsid w:val="53EC2E48"/>
    <w:rsid w:val="53ED036E"/>
    <w:rsid w:val="53ED07AB"/>
    <w:rsid w:val="53ED1C72"/>
    <w:rsid w:val="53ED41A3"/>
    <w:rsid w:val="53ED4F93"/>
    <w:rsid w:val="53ED77A6"/>
    <w:rsid w:val="53EE096F"/>
    <w:rsid w:val="53EE2320"/>
    <w:rsid w:val="53EE4A37"/>
    <w:rsid w:val="53EE4E13"/>
    <w:rsid w:val="53EE5CD3"/>
    <w:rsid w:val="53EF08A4"/>
    <w:rsid w:val="53EF642B"/>
    <w:rsid w:val="53EF66C3"/>
    <w:rsid w:val="53F02939"/>
    <w:rsid w:val="53F046E7"/>
    <w:rsid w:val="53F109E6"/>
    <w:rsid w:val="53F11DDB"/>
    <w:rsid w:val="53F15823"/>
    <w:rsid w:val="53F1678A"/>
    <w:rsid w:val="53F229C4"/>
    <w:rsid w:val="53F23456"/>
    <w:rsid w:val="53F266B1"/>
    <w:rsid w:val="53F32EE8"/>
    <w:rsid w:val="53F341D7"/>
    <w:rsid w:val="53F35F85"/>
    <w:rsid w:val="53F40C0E"/>
    <w:rsid w:val="53F503FB"/>
    <w:rsid w:val="53F50937"/>
    <w:rsid w:val="53F51CFD"/>
    <w:rsid w:val="53F52DB0"/>
    <w:rsid w:val="53F561A1"/>
    <w:rsid w:val="53F65B66"/>
    <w:rsid w:val="53F67036"/>
    <w:rsid w:val="53F67D52"/>
    <w:rsid w:val="53F70ADE"/>
    <w:rsid w:val="53F71F19"/>
    <w:rsid w:val="53F758F5"/>
    <w:rsid w:val="53F817ED"/>
    <w:rsid w:val="53F92DE6"/>
    <w:rsid w:val="53F94527"/>
    <w:rsid w:val="53F947A1"/>
    <w:rsid w:val="53F94BD2"/>
    <w:rsid w:val="53FA3924"/>
    <w:rsid w:val="53FA3B07"/>
    <w:rsid w:val="53FA5565"/>
    <w:rsid w:val="53FA7459"/>
    <w:rsid w:val="53FC12DE"/>
    <w:rsid w:val="53FC752F"/>
    <w:rsid w:val="53FD0BB2"/>
    <w:rsid w:val="53FE3D2B"/>
    <w:rsid w:val="53FE57C8"/>
    <w:rsid w:val="53FE6710"/>
    <w:rsid w:val="53FF1B7A"/>
    <w:rsid w:val="53FF2B7C"/>
    <w:rsid w:val="53FF314C"/>
    <w:rsid w:val="53FF4F44"/>
    <w:rsid w:val="54001829"/>
    <w:rsid w:val="54007B39"/>
    <w:rsid w:val="54011578"/>
    <w:rsid w:val="54015456"/>
    <w:rsid w:val="5401741B"/>
    <w:rsid w:val="54025021"/>
    <w:rsid w:val="54027CA6"/>
    <w:rsid w:val="54034428"/>
    <w:rsid w:val="54041F40"/>
    <w:rsid w:val="54047EF9"/>
    <w:rsid w:val="54051F9A"/>
    <w:rsid w:val="5405315E"/>
    <w:rsid w:val="54056EBB"/>
    <w:rsid w:val="5406215C"/>
    <w:rsid w:val="5406312E"/>
    <w:rsid w:val="54063E08"/>
    <w:rsid w:val="54066B2B"/>
    <w:rsid w:val="54066C17"/>
    <w:rsid w:val="54072112"/>
    <w:rsid w:val="540733D5"/>
    <w:rsid w:val="54073F49"/>
    <w:rsid w:val="54086E0D"/>
    <w:rsid w:val="54092AF9"/>
    <w:rsid w:val="540939FA"/>
    <w:rsid w:val="5409426E"/>
    <w:rsid w:val="540A30AF"/>
    <w:rsid w:val="540A3D6B"/>
    <w:rsid w:val="540B1521"/>
    <w:rsid w:val="540B32CF"/>
    <w:rsid w:val="540B3F15"/>
    <w:rsid w:val="540C1BB2"/>
    <w:rsid w:val="540C5299"/>
    <w:rsid w:val="540C7047"/>
    <w:rsid w:val="540D3E2D"/>
    <w:rsid w:val="540D599F"/>
    <w:rsid w:val="540E1011"/>
    <w:rsid w:val="540E28BB"/>
    <w:rsid w:val="540E2DBF"/>
    <w:rsid w:val="540E3B7C"/>
    <w:rsid w:val="540F674D"/>
    <w:rsid w:val="541008E5"/>
    <w:rsid w:val="541014F5"/>
    <w:rsid w:val="541025FE"/>
    <w:rsid w:val="54102FDB"/>
    <w:rsid w:val="541035C1"/>
    <w:rsid w:val="541127AE"/>
    <w:rsid w:val="54113D67"/>
    <w:rsid w:val="54113F0F"/>
    <w:rsid w:val="54122313"/>
    <w:rsid w:val="541303D5"/>
    <w:rsid w:val="54137013"/>
    <w:rsid w:val="54147239"/>
    <w:rsid w:val="54151EA4"/>
    <w:rsid w:val="54152F34"/>
    <w:rsid w:val="54153D27"/>
    <w:rsid w:val="5415414D"/>
    <w:rsid w:val="54161C73"/>
    <w:rsid w:val="54170730"/>
    <w:rsid w:val="54176117"/>
    <w:rsid w:val="541805AF"/>
    <w:rsid w:val="54180F40"/>
    <w:rsid w:val="5418636F"/>
    <w:rsid w:val="541A2579"/>
    <w:rsid w:val="541A3860"/>
    <w:rsid w:val="541A5C08"/>
    <w:rsid w:val="541A5F48"/>
    <w:rsid w:val="541A6600"/>
    <w:rsid w:val="541A79B6"/>
    <w:rsid w:val="541C016B"/>
    <w:rsid w:val="541C1980"/>
    <w:rsid w:val="541C372E"/>
    <w:rsid w:val="541C6BFC"/>
    <w:rsid w:val="541C77D0"/>
    <w:rsid w:val="541C78C1"/>
    <w:rsid w:val="541E0414"/>
    <w:rsid w:val="541E4338"/>
    <w:rsid w:val="541E5716"/>
    <w:rsid w:val="541E6261"/>
    <w:rsid w:val="541F36CE"/>
    <w:rsid w:val="541F4FCC"/>
    <w:rsid w:val="541F6D7A"/>
    <w:rsid w:val="54200610"/>
    <w:rsid w:val="54204C8E"/>
    <w:rsid w:val="54205307"/>
    <w:rsid w:val="54205743"/>
    <w:rsid w:val="54205F92"/>
    <w:rsid w:val="54210D44"/>
    <w:rsid w:val="54212AF2"/>
    <w:rsid w:val="542138DE"/>
    <w:rsid w:val="54224BC3"/>
    <w:rsid w:val="5422503E"/>
    <w:rsid w:val="54226667"/>
    <w:rsid w:val="5422686A"/>
    <w:rsid w:val="54232D0E"/>
    <w:rsid w:val="54240834"/>
    <w:rsid w:val="54240E39"/>
    <w:rsid w:val="542425E2"/>
    <w:rsid w:val="542520B4"/>
    <w:rsid w:val="542556B3"/>
    <w:rsid w:val="54256BD0"/>
    <w:rsid w:val="54260108"/>
    <w:rsid w:val="54261E03"/>
    <w:rsid w:val="5427381E"/>
    <w:rsid w:val="54275BEC"/>
    <w:rsid w:val="54280210"/>
    <w:rsid w:val="54284F4C"/>
    <w:rsid w:val="54286D1A"/>
    <w:rsid w:val="542919A7"/>
    <w:rsid w:val="54295E4B"/>
    <w:rsid w:val="54297BF9"/>
    <w:rsid w:val="542A007C"/>
    <w:rsid w:val="542A496E"/>
    <w:rsid w:val="542B0A8A"/>
    <w:rsid w:val="542B0CA0"/>
    <w:rsid w:val="542B3255"/>
    <w:rsid w:val="542B3971"/>
    <w:rsid w:val="542B571F"/>
    <w:rsid w:val="542B6279"/>
    <w:rsid w:val="542B7B6C"/>
    <w:rsid w:val="542C164A"/>
    <w:rsid w:val="542C5C75"/>
    <w:rsid w:val="542C713E"/>
    <w:rsid w:val="542D10CA"/>
    <w:rsid w:val="542D45F4"/>
    <w:rsid w:val="542D4F25"/>
    <w:rsid w:val="542D5399"/>
    <w:rsid w:val="542D593B"/>
    <w:rsid w:val="542D7105"/>
    <w:rsid w:val="542E16B3"/>
    <w:rsid w:val="542E1865"/>
    <w:rsid w:val="542E520F"/>
    <w:rsid w:val="542E6547"/>
    <w:rsid w:val="54300F87"/>
    <w:rsid w:val="543071D9"/>
    <w:rsid w:val="54314400"/>
    <w:rsid w:val="54316AAD"/>
    <w:rsid w:val="54322F51"/>
    <w:rsid w:val="5433462E"/>
    <w:rsid w:val="54336CC9"/>
    <w:rsid w:val="543437E8"/>
    <w:rsid w:val="5435330D"/>
    <w:rsid w:val="5435659E"/>
    <w:rsid w:val="543618F8"/>
    <w:rsid w:val="54364B1A"/>
    <w:rsid w:val="54364B2F"/>
    <w:rsid w:val="5436653D"/>
    <w:rsid w:val="54370568"/>
    <w:rsid w:val="543717DE"/>
    <w:rsid w:val="54374886"/>
    <w:rsid w:val="543807EB"/>
    <w:rsid w:val="54382673"/>
    <w:rsid w:val="54383648"/>
    <w:rsid w:val="543842E0"/>
    <w:rsid w:val="5438608E"/>
    <w:rsid w:val="54387F99"/>
    <w:rsid w:val="54394C6C"/>
    <w:rsid w:val="54396F6E"/>
    <w:rsid w:val="543A0058"/>
    <w:rsid w:val="543A1E06"/>
    <w:rsid w:val="543A46A6"/>
    <w:rsid w:val="543A6DC3"/>
    <w:rsid w:val="543B1AE2"/>
    <w:rsid w:val="543B2094"/>
    <w:rsid w:val="543B290B"/>
    <w:rsid w:val="543C0F32"/>
    <w:rsid w:val="543C16DA"/>
    <w:rsid w:val="543C2198"/>
    <w:rsid w:val="543C25D5"/>
    <w:rsid w:val="543C3DD0"/>
    <w:rsid w:val="543C4D6F"/>
    <w:rsid w:val="543C792C"/>
    <w:rsid w:val="543F11CA"/>
    <w:rsid w:val="543F4ACA"/>
    <w:rsid w:val="543F566E"/>
    <w:rsid w:val="544016B9"/>
    <w:rsid w:val="54403894"/>
    <w:rsid w:val="5440557B"/>
    <w:rsid w:val="54413194"/>
    <w:rsid w:val="54420CBA"/>
    <w:rsid w:val="54427613"/>
    <w:rsid w:val="54427E9B"/>
    <w:rsid w:val="54433F0F"/>
    <w:rsid w:val="54436F0C"/>
    <w:rsid w:val="54440F8A"/>
    <w:rsid w:val="544413FE"/>
    <w:rsid w:val="544467E1"/>
    <w:rsid w:val="5445084F"/>
    <w:rsid w:val="54462559"/>
    <w:rsid w:val="54462620"/>
    <w:rsid w:val="544669FD"/>
    <w:rsid w:val="54472C5E"/>
    <w:rsid w:val="5447369C"/>
    <w:rsid w:val="544762D1"/>
    <w:rsid w:val="54477609"/>
    <w:rsid w:val="54481AB1"/>
    <w:rsid w:val="54482857"/>
    <w:rsid w:val="54484523"/>
    <w:rsid w:val="5448686B"/>
    <w:rsid w:val="544913E4"/>
    <w:rsid w:val="54493026"/>
    <w:rsid w:val="54493DF7"/>
    <w:rsid w:val="54495535"/>
    <w:rsid w:val="544A16F4"/>
    <w:rsid w:val="544B0005"/>
    <w:rsid w:val="544B4013"/>
    <w:rsid w:val="544B5DC1"/>
    <w:rsid w:val="544B5E3B"/>
    <w:rsid w:val="544B7B6F"/>
    <w:rsid w:val="544C01DA"/>
    <w:rsid w:val="544C04D7"/>
    <w:rsid w:val="544C3B1E"/>
    <w:rsid w:val="544C7812"/>
    <w:rsid w:val="544D1B39"/>
    <w:rsid w:val="544D3472"/>
    <w:rsid w:val="544D38E7"/>
    <w:rsid w:val="544D7AA7"/>
    <w:rsid w:val="544E100F"/>
    <w:rsid w:val="544E36DD"/>
    <w:rsid w:val="544E4861"/>
    <w:rsid w:val="544E4C48"/>
    <w:rsid w:val="544E58B1"/>
    <w:rsid w:val="544F3B03"/>
    <w:rsid w:val="545033D7"/>
    <w:rsid w:val="54511586"/>
    <w:rsid w:val="54514662"/>
    <w:rsid w:val="54520271"/>
    <w:rsid w:val="54520EFE"/>
    <w:rsid w:val="5452714F"/>
    <w:rsid w:val="54527990"/>
    <w:rsid w:val="5453019B"/>
    <w:rsid w:val="54532EC8"/>
    <w:rsid w:val="54535504"/>
    <w:rsid w:val="54546507"/>
    <w:rsid w:val="54546D09"/>
    <w:rsid w:val="54555BD2"/>
    <w:rsid w:val="54556311"/>
    <w:rsid w:val="54562E88"/>
    <w:rsid w:val="54564F61"/>
    <w:rsid w:val="54572372"/>
    <w:rsid w:val="54576146"/>
    <w:rsid w:val="54576514"/>
    <w:rsid w:val="5457734A"/>
    <w:rsid w:val="545804DE"/>
    <w:rsid w:val="54581E59"/>
    <w:rsid w:val="5458228C"/>
    <w:rsid w:val="54583304"/>
    <w:rsid w:val="54586B20"/>
    <w:rsid w:val="54596730"/>
    <w:rsid w:val="545C13E4"/>
    <w:rsid w:val="545C1CB4"/>
    <w:rsid w:val="545C1D7C"/>
    <w:rsid w:val="545C4D54"/>
    <w:rsid w:val="545C775F"/>
    <w:rsid w:val="545D00E4"/>
    <w:rsid w:val="545D087D"/>
    <w:rsid w:val="545D08A3"/>
    <w:rsid w:val="545D4AA3"/>
    <w:rsid w:val="545D5EF6"/>
    <w:rsid w:val="545E3EE5"/>
    <w:rsid w:val="545F186C"/>
    <w:rsid w:val="545F361A"/>
    <w:rsid w:val="545F4C69"/>
    <w:rsid w:val="545F7ABE"/>
    <w:rsid w:val="5460481C"/>
    <w:rsid w:val="546121BB"/>
    <w:rsid w:val="54613836"/>
    <w:rsid w:val="54614CD4"/>
    <w:rsid w:val="546155E5"/>
    <w:rsid w:val="54615FF5"/>
    <w:rsid w:val="546217EC"/>
    <w:rsid w:val="54624EB9"/>
    <w:rsid w:val="54625BA7"/>
    <w:rsid w:val="5463135D"/>
    <w:rsid w:val="5463310B"/>
    <w:rsid w:val="546334E6"/>
    <w:rsid w:val="54633517"/>
    <w:rsid w:val="54633683"/>
    <w:rsid w:val="546420B5"/>
    <w:rsid w:val="54644976"/>
    <w:rsid w:val="546450D5"/>
    <w:rsid w:val="54646081"/>
    <w:rsid w:val="54646AB9"/>
    <w:rsid w:val="54647B90"/>
    <w:rsid w:val="54652A21"/>
    <w:rsid w:val="5465689A"/>
    <w:rsid w:val="546609D7"/>
    <w:rsid w:val="54662BFB"/>
    <w:rsid w:val="5466366B"/>
    <w:rsid w:val="546649A9"/>
    <w:rsid w:val="54666214"/>
    <w:rsid w:val="54666CBD"/>
    <w:rsid w:val="5467271A"/>
    <w:rsid w:val="54672B21"/>
    <w:rsid w:val="5468091A"/>
    <w:rsid w:val="54684BC5"/>
    <w:rsid w:val="546926EB"/>
    <w:rsid w:val="54696256"/>
    <w:rsid w:val="546A41AC"/>
    <w:rsid w:val="546A4302"/>
    <w:rsid w:val="546A7DCE"/>
    <w:rsid w:val="546B0211"/>
    <w:rsid w:val="546B1FBF"/>
    <w:rsid w:val="546B6463"/>
    <w:rsid w:val="546C2D5F"/>
    <w:rsid w:val="546C6D7C"/>
    <w:rsid w:val="546D203B"/>
    <w:rsid w:val="546D3F89"/>
    <w:rsid w:val="546D6916"/>
    <w:rsid w:val="546E28BC"/>
    <w:rsid w:val="546E2F9B"/>
    <w:rsid w:val="546E421C"/>
    <w:rsid w:val="546E7CE9"/>
    <w:rsid w:val="546F05D6"/>
    <w:rsid w:val="546F0BF7"/>
    <w:rsid w:val="546F4642"/>
    <w:rsid w:val="54702A8C"/>
    <w:rsid w:val="54705828"/>
    <w:rsid w:val="547075D6"/>
    <w:rsid w:val="547122D0"/>
    <w:rsid w:val="54717010"/>
    <w:rsid w:val="54721596"/>
    <w:rsid w:val="5472334E"/>
    <w:rsid w:val="5472380F"/>
    <w:rsid w:val="54725BB9"/>
    <w:rsid w:val="54732B1A"/>
    <w:rsid w:val="54740753"/>
    <w:rsid w:val="5474294A"/>
    <w:rsid w:val="54743353"/>
    <w:rsid w:val="54745318"/>
    <w:rsid w:val="54751EC7"/>
    <w:rsid w:val="54762A11"/>
    <w:rsid w:val="5476494D"/>
    <w:rsid w:val="54764980"/>
    <w:rsid w:val="54774E08"/>
    <w:rsid w:val="54775F0E"/>
    <w:rsid w:val="54776C1D"/>
    <w:rsid w:val="54782FBD"/>
    <w:rsid w:val="547905A2"/>
    <w:rsid w:val="54794EEA"/>
    <w:rsid w:val="54795E85"/>
    <w:rsid w:val="547A02DD"/>
    <w:rsid w:val="547A0454"/>
    <w:rsid w:val="547A48F8"/>
    <w:rsid w:val="547A5773"/>
    <w:rsid w:val="547A66A6"/>
    <w:rsid w:val="547B002C"/>
    <w:rsid w:val="547B1E90"/>
    <w:rsid w:val="547B2146"/>
    <w:rsid w:val="547B2E80"/>
    <w:rsid w:val="547B4526"/>
    <w:rsid w:val="547B6B92"/>
    <w:rsid w:val="547C241E"/>
    <w:rsid w:val="547C354C"/>
    <w:rsid w:val="547C41CC"/>
    <w:rsid w:val="547C5C78"/>
    <w:rsid w:val="547D2123"/>
    <w:rsid w:val="547D30D0"/>
    <w:rsid w:val="547E59B2"/>
    <w:rsid w:val="547E6196"/>
    <w:rsid w:val="547E729C"/>
    <w:rsid w:val="547E7F44"/>
    <w:rsid w:val="547F3CBD"/>
    <w:rsid w:val="547F5A6B"/>
    <w:rsid w:val="54802663"/>
    <w:rsid w:val="5480645A"/>
    <w:rsid w:val="54807C7E"/>
    <w:rsid w:val="54815C87"/>
    <w:rsid w:val="54816D63"/>
    <w:rsid w:val="54817A35"/>
    <w:rsid w:val="548313A0"/>
    <w:rsid w:val="5483555B"/>
    <w:rsid w:val="548412D3"/>
    <w:rsid w:val="54843E53"/>
    <w:rsid w:val="54851639"/>
    <w:rsid w:val="54854E7E"/>
    <w:rsid w:val="54856696"/>
    <w:rsid w:val="5486504B"/>
    <w:rsid w:val="54866880"/>
    <w:rsid w:val="5487606E"/>
    <w:rsid w:val="548765B5"/>
    <w:rsid w:val="54881A60"/>
    <w:rsid w:val="54882B71"/>
    <w:rsid w:val="5488366D"/>
    <w:rsid w:val="548866AD"/>
    <w:rsid w:val="54890697"/>
    <w:rsid w:val="54894B13"/>
    <w:rsid w:val="54895201"/>
    <w:rsid w:val="548A3202"/>
    <w:rsid w:val="548A5AC1"/>
    <w:rsid w:val="548A6691"/>
    <w:rsid w:val="548A6D58"/>
    <w:rsid w:val="548B0DF1"/>
    <w:rsid w:val="548C1B1D"/>
    <w:rsid w:val="548C2009"/>
    <w:rsid w:val="548D226F"/>
    <w:rsid w:val="548D2388"/>
    <w:rsid w:val="548D4494"/>
    <w:rsid w:val="548D63DA"/>
    <w:rsid w:val="548E1336"/>
    <w:rsid w:val="548E5CAE"/>
    <w:rsid w:val="548E65FB"/>
    <w:rsid w:val="548F2152"/>
    <w:rsid w:val="548F2AA2"/>
    <w:rsid w:val="549009D2"/>
    <w:rsid w:val="549029D8"/>
    <w:rsid w:val="5490540A"/>
    <w:rsid w:val="54905ECA"/>
    <w:rsid w:val="5491494D"/>
    <w:rsid w:val="5491544C"/>
    <w:rsid w:val="54921C42"/>
    <w:rsid w:val="549239F0"/>
    <w:rsid w:val="5492579E"/>
    <w:rsid w:val="54931516"/>
    <w:rsid w:val="549332C4"/>
    <w:rsid w:val="549362BC"/>
    <w:rsid w:val="5494116A"/>
    <w:rsid w:val="54942314"/>
    <w:rsid w:val="5494389B"/>
    <w:rsid w:val="549459BA"/>
    <w:rsid w:val="54951696"/>
    <w:rsid w:val="54951E2F"/>
    <w:rsid w:val="549534E0"/>
    <w:rsid w:val="549538E7"/>
    <w:rsid w:val="5495703C"/>
    <w:rsid w:val="54962ACC"/>
    <w:rsid w:val="5496418B"/>
    <w:rsid w:val="549675C0"/>
    <w:rsid w:val="549709B0"/>
    <w:rsid w:val="54971006"/>
    <w:rsid w:val="54975655"/>
    <w:rsid w:val="54977805"/>
    <w:rsid w:val="5498081B"/>
    <w:rsid w:val="54981CEB"/>
    <w:rsid w:val="54983866"/>
    <w:rsid w:val="549A0AF6"/>
    <w:rsid w:val="549A26FE"/>
    <w:rsid w:val="549A27D7"/>
    <w:rsid w:val="549A28A4"/>
    <w:rsid w:val="549A7C30"/>
    <w:rsid w:val="549C0831"/>
    <w:rsid w:val="549C661D"/>
    <w:rsid w:val="549D35C9"/>
    <w:rsid w:val="549D533B"/>
    <w:rsid w:val="549D7BDE"/>
    <w:rsid w:val="549E09C6"/>
    <w:rsid w:val="549E2395"/>
    <w:rsid w:val="549E36F6"/>
    <w:rsid w:val="549F0B68"/>
    <w:rsid w:val="549F2868"/>
    <w:rsid w:val="549F3674"/>
    <w:rsid w:val="549F5212"/>
    <w:rsid w:val="549F610D"/>
    <w:rsid w:val="54A01AA9"/>
    <w:rsid w:val="54A05231"/>
    <w:rsid w:val="54A11E85"/>
    <w:rsid w:val="54A14A42"/>
    <w:rsid w:val="54A16E86"/>
    <w:rsid w:val="54A24918"/>
    <w:rsid w:val="54A26BAF"/>
    <w:rsid w:val="54A30BE9"/>
    <w:rsid w:val="54A379AB"/>
    <w:rsid w:val="54A51975"/>
    <w:rsid w:val="54A52362"/>
    <w:rsid w:val="54A5345E"/>
    <w:rsid w:val="54A55CD5"/>
    <w:rsid w:val="54A61249"/>
    <w:rsid w:val="54A62134"/>
    <w:rsid w:val="54A656ED"/>
    <w:rsid w:val="54A6749B"/>
    <w:rsid w:val="54A731B4"/>
    <w:rsid w:val="54A73BE5"/>
    <w:rsid w:val="54A77D22"/>
    <w:rsid w:val="54A823BF"/>
    <w:rsid w:val="54A83213"/>
    <w:rsid w:val="54A84FC1"/>
    <w:rsid w:val="54A934C4"/>
    <w:rsid w:val="54AA0D3A"/>
    <w:rsid w:val="54AA1651"/>
    <w:rsid w:val="54AA453A"/>
    <w:rsid w:val="54AA6037"/>
    <w:rsid w:val="54AA6F8B"/>
    <w:rsid w:val="54AB1518"/>
    <w:rsid w:val="54AB3641"/>
    <w:rsid w:val="54AB4BBE"/>
    <w:rsid w:val="54AB59CA"/>
    <w:rsid w:val="54AB6860"/>
    <w:rsid w:val="54AB710B"/>
    <w:rsid w:val="54AB73DC"/>
    <w:rsid w:val="54AC7026"/>
    <w:rsid w:val="54AD082A"/>
    <w:rsid w:val="54AD3AEF"/>
    <w:rsid w:val="54AD532E"/>
    <w:rsid w:val="54AE3A56"/>
    <w:rsid w:val="54AF3E9E"/>
    <w:rsid w:val="54AF434B"/>
    <w:rsid w:val="54B03E76"/>
    <w:rsid w:val="54B06BC3"/>
    <w:rsid w:val="54B12F3C"/>
    <w:rsid w:val="54B221E4"/>
    <w:rsid w:val="54B24FA6"/>
    <w:rsid w:val="54B251FD"/>
    <w:rsid w:val="54B26D18"/>
    <w:rsid w:val="54B27BEE"/>
    <w:rsid w:val="54B30B34"/>
    <w:rsid w:val="54B31952"/>
    <w:rsid w:val="54B33B88"/>
    <w:rsid w:val="54B41BB8"/>
    <w:rsid w:val="54B43DCB"/>
    <w:rsid w:val="54B43EE2"/>
    <w:rsid w:val="54B46D2D"/>
    <w:rsid w:val="54B5093F"/>
    <w:rsid w:val="54B52D8E"/>
    <w:rsid w:val="54B62F54"/>
    <w:rsid w:val="54B63168"/>
    <w:rsid w:val="54B677C0"/>
    <w:rsid w:val="54B716A8"/>
    <w:rsid w:val="54B73456"/>
    <w:rsid w:val="54B770B3"/>
    <w:rsid w:val="54B90F7D"/>
    <w:rsid w:val="54B9614F"/>
    <w:rsid w:val="54B96C73"/>
    <w:rsid w:val="54BA4CF5"/>
    <w:rsid w:val="54BA6AA3"/>
    <w:rsid w:val="54BB1F57"/>
    <w:rsid w:val="54BB4B37"/>
    <w:rsid w:val="54BB7A1B"/>
    <w:rsid w:val="54BC0090"/>
    <w:rsid w:val="54BC0A6D"/>
    <w:rsid w:val="54BC0D31"/>
    <w:rsid w:val="54BC6CBF"/>
    <w:rsid w:val="54BE21EE"/>
    <w:rsid w:val="54BE2573"/>
    <w:rsid w:val="54BE2A37"/>
    <w:rsid w:val="54BE31E7"/>
    <w:rsid w:val="54BE5E30"/>
    <w:rsid w:val="54BE6593"/>
    <w:rsid w:val="54BE7214"/>
    <w:rsid w:val="54BF1E86"/>
    <w:rsid w:val="54BF234A"/>
    <w:rsid w:val="54BF3E40"/>
    <w:rsid w:val="54C0055D"/>
    <w:rsid w:val="54C052D0"/>
    <w:rsid w:val="54C067AF"/>
    <w:rsid w:val="54C07B17"/>
    <w:rsid w:val="54C12889"/>
    <w:rsid w:val="54C12EAA"/>
    <w:rsid w:val="54C1333C"/>
    <w:rsid w:val="54C13CA3"/>
    <w:rsid w:val="54C140C3"/>
    <w:rsid w:val="54C142D5"/>
    <w:rsid w:val="54C146ED"/>
    <w:rsid w:val="54C14E84"/>
    <w:rsid w:val="54C16083"/>
    <w:rsid w:val="54C1695D"/>
    <w:rsid w:val="54C17E31"/>
    <w:rsid w:val="54C278E4"/>
    <w:rsid w:val="54C3004D"/>
    <w:rsid w:val="54C30B58"/>
    <w:rsid w:val="54C31DFB"/>
    <w:rsid w:val="54C33BA9"/>
    <w:rsid w:val="54C343AC"/>
    <w:rsid w:val="54C3746B"/>
    <w:rsid w:val="54C374D8"/>
    <w:rsid w:val="54C37F86"/>
    <w:rsid w:val="54C40A1E"/>
    <w:rsid w:val="54C40FED"/>
    <w:rsid w:val="54C438C4"/>
    <w:rsid w:val="54C47921"/>
    <w:rsid w:val="54C53DC5"/>
    <w:rsid w:val="54C616CE"/>
    <w:rsid w:val="54C6369A"/>
    <w:rsid w:val="54C63734"/>
    <w:rsid w:val="54C80AC8"/>
    <w:rsid w:val="54C811C0"/>
    <w:rsid w:val="54C82821"/>
    <w:rsid w:val="54C86632"/>
    <w:rsid w:val="54C87412"/>
    <w:rsid w:val="54C93B7E"/>
    <w:rsid w:val="54C9771A"/>
    <w:rsid w:val="54CA318A"/>
    <w:rsid w:val="54CB0CB0"/>
    <w:rsid w:val="54CB3308"/>
    <w:rsid w:val="54CB48B1"/>
    <w:rsid w:val="54CB6F02"/>
    <w:rsid w:val="54CC1434"/>
    <w:rsid w:val="54CC5110"/>
    <w:rsid w:val="54CC5154"/>
    <w:rsid w:val="54CC6443"/>
    <w:rsid w:val="54CD2C7A"/>
    <w:rsid w:val="54CD4325"/>
    <w:rsid w:val="54CD4A28"/>
    <w:rsid w:val="54CE554E"/>
    <w:rsid w:val="54CF07A0"/>
    <w:rsid w:val="54CF69F2"/>
    <w:rsid w:val="54CF7C02"/>
    <w:rsid w:val="54D02B4A"/>
    <w:rsid w:val="54D053DA"/>
    <w:rsid w:val="54D07995"/>
    <w:rsid w:val="54D114E0"/>
    <w:rsid w:val="54D1276A"/>
    <w:rsid w:val="54D14F7C"/>
    <w:rsid w:val="54D2090E"/>
    <w:rsid w:val="54D23DEC"/>
    <w:rsid w:val="54D264E2"/>
    <w:rsid w:val="54D36C38"/>
    <w:rsid w:val="54D42D95"/>
    <w:rsid w:val="54D43036"/>
    <w:rsid w:val="54D44BD5"/>
    <w:rsid w:val="54D45DB6"/>
    <w:rsid w:val="54D462AE"/>
    <w:rsid w:val="54D47790"/>
    <w:rsid w:val="54D52B25"/>
    <w:rsid w:val="54D538DD"/>
    <w:rsid w:val="54D548CB"/>
    <w:rsid w:val="54D70171"/>
    <w:rsid w:val="54D73AF9"/>
    <w:rsid w:val="54D83166"/>
    <w:rsid w:val="54D83641"/>
    <w:rsid w:val="54D868E4"/>
    <w:rsid w:val="54D918C2"/>
    <w:rsid w:val="54D9517B"/>
    <w:rsid w:val="54DA05FA"/>
    <w:rsid w:val="54DA0EF3"/>
    <w:rsid w:val="54DA4971"/>
    <w:rsid w:val="54DA7145"/>
    <w:rsid w:val="54DB5397"/>
    <w:rsid w:val="54DC18AC"/>
    <w:rsid w:val="54DC1C5B"/>
    <w:rsid w:val="54DC2C38"/>
    <w:rsid w:val="54DC2EBD"/>
    <w:rsid w:val="54DC3DA5"/>
    <w:rsid w:val="54DC5F38"/>
    <w:rsid w:val="54DD0B09"/>
    <w:rsid w:val="54DD2EC7"/>
    <w:rsid w:val="54DE6C35"/>
    <w:rsid w:val="54DF4009"/>
    <w:rsid w:val="54DF6509"/>
    <w:rsid w:val="54E01DBB"/>
    <w:rsid w:val="54E029AD"/>
    <w:rsid w:val="54E05D49"/>
    <w:rsid w:val="54E0734C"/>
    <w:rsid w:val="54E12281"/>
    <w:rsid w:val="54E16529"/>
    <w:rsid w:val="54E16725"/>
    <w:rsid w:val="54E20CF0"/>
    <w:rsid w:val="54E23A02"/>
    <w:rsid w:val="54E258C7"/>
    <w:rsid w:val="54E25A5F"/>
    <w:rsid w:val="54E35FFA"/>
    <w:rsid w:val="54E446CA"/>
    <w:rsid w:val="54E55B5A"/>
    <w:rsid w:val="54E57FC4"/>
    <w:rsid w:val="54E62581"/>
    <w:rsid w:val="54E63D3C"/>
    <w:rsid w:val="54E6429A"/>
    <w:rsid w:val="54E6445F"/>
    <w:rsid w:val="54E77E71"/>
    <w:rsid w:val="54E83610"/>
    <w:rsid w:val="54E87AB4"/>
    <w:rsid w:val="54E93041"/>
    <w:rsid w:val="54E961EC"/>
    <w:rsid w:val="54EA382C"/>
    <w:rsid w:val="54EA3898"/>
    <w:rsid w:val="54EA4856"/>
    <w:rsid w:val="54EA7388"/>
    <w:rsid w:val="54EB1352"/>
    <w:rsid w:val="54EB3100"/>
    <w:rsid w:val="54EB4781"/>
    <w:rsid w:val="54EB638E"/>
    <w:rsid w:val="54EC3843"/>
    <w:rsid w:val="54EC3C1B"/>
    <w:rsid w:val="54EC75A4"/>
    <w:rsid w:val="54EC7C52"/>
    <w:rsid w:val="54ED0C26"/>
    <w:rsid w:val="54ED1FEE"/>
    <w:rsid w:val="54ED50CA"/>
    <w:rsid w:val="54ED5B16"/>
    <w:rsid w:val="54ED6E78"/>
    <w:rsid w:val="54EF0E42"/>
    <w:rsid w:val="54EF499E"/>
    <w:rsid w:val="54F00014"/>
    <w:rsid w:val="54F00716"/>
    <w:rsid w:val="54F02C0A"/>
    <w:rsid w:val="54F036D4"/>
    <w:rsid w:val="54F04B2F"/>
    <w:rsid w:val="54F14A64"/>
    <w:rsid w:val="54F14BBA"/>
    <w:rsid w:val="54F16968"/>
    <w:rsid w:val="54F2448F"/>
    <w:rsid w:val="54F2522D"/>
    <w:rsid w:val="54F266BC"/>
    <w:rsid w:val="54F34717"/>
    <w:rsid w:val="54F41FB5"/>
    <w:rsid w:val="54F45305"/>
    <w:rsid w:val="54F46459"/>
    <w:rsid w:val="54F46D90"/>
    <w:rsid w:val="54F541E7"/>
    <w:rsid w:val="54F56541"/>
    <w:rsid w:val="54F61579"/>
    <w:rsid w:val="54F711F3"/>
    <w:rsid w:val="54F73313"/>
    <w:rsid w:val="54F77CF7"/>
    <w:rsid w:val="54F77D7B"/>
    <w:rsid w:val="54F80955"/>
    <w:rsid w:val="54F9129B"/>
    <w:rsid w:val="54F93A6F"/>
    <w:rsid w:val="54F9581D"/>
    <w:rsid w:val="54FA3343"/>
    <w:rsid w:val="54FA6A32"/>
    <w:rsid w:val="54FB03B7"/>
    <w:rsid w:val="54FB1595"/>
    <w:rsid w:val="54FB30C8"/>
    <w:rsid w:val="54FB3A21"/>
    <w:rsid w:val="54FB4890"/>
    <w:rsid w:val="54FB53F8"/>
    <w:rsid w:val="54FB5AA3"/>
    <w:rsid w:val="54FC4F7F"/>
    <w:rsid w:val="54FC7620"/>
    <w:rsid w:val="54FD3E80"/>
    <w:rsid w:val="54FE0609"/>
    <w:rsid w:val="54FE2AEC"/>
    <w:rsid w:val="54FE2FE7"/>
    <w:rsid w:val="54FE4BE1"/>
    <w:rsid w:val="54FF223B"/>
    <w:rsid w:val="54FF63E3"/>
    <w:rsid w:val="55002762"/>
    <w:rsid w:val="550045F1"/>
    <w:rsid w:val="55005333"/>
    <w:rsid w:val="5500538A"/>
    <w:rsid w:val="55007BC9"/>
    <w:rsid w:val="55014365"/>
    <w:rsid w:val="5503166C"/>
    <w:rsid w:val="55033835"/>
    <w:rsid w:val="55050666"/>
    <w:rsid w:val="5505574B"/>
    <w:rsid w:val="550619EB"/>
    <w:rsid w:val="55061CE8"/>
    <w:rsid w:val="55067F3A"/>
    <w:rsid w:val="55083CB2"/>
    <w:rsid w:val="550846F8"/>
    <w:rsid w:val="55085A60"/>
    <w:rsid w:val="550A17D8"/>
    <w:rsid w:val="550A34A0"/>
    <w:rsid w:val="550A477B"/>
    <w:rsid w:val="550B0877"/>
    <w:rsid w:val="550B1D46"/>
    <w:rsid w:val="550B5550"/>
    <w:rsid w:val="550B72FE"/>
    <w:rsid w:val="550C0B99"/>
    <w:rsid w:val="550C1545"/>
    <w:rsid w:val="550C37A2"/>
    <w:rsid w:val="550D12C8"/>
    <w:rsid w:val="550D3076"/>
    <w:rsid w:val="550D751A"/>
    <w:rsid w:val="550D7E44"/>
    <w:rsid w:val="550E0320"/>
    <w:rsid w:val="550F1E2E"/>
    <w:rsid w:val="550F3998"/>
    <w:rsid w:val="550F5041"/>
    <w:rsid w:val="550F78AC"/>
    <w:rsid w:val="550F7CA6"/>
    <w:rsid w:val="5510379B"/>
    <w:rsid w:val="55106D44"/>
    <w:rsid w:val="55110DB9"/>
    <w:rsid w:val="55115317"/>
    <w:rsid w:val="5512068D"/>
    <w:rsid w:val="55125270"/>
    <w:rsid w:val="55130BD8"/>
    <w:rsid w:val="55132319"/>
    <w:rsid w:val="551323BC"/>
    <w:rsid w:val="55132520"/>
    <w:rsid w:val="5513729A"/>
    <w:rsid w:val="551408A9"/>
    <w:rsid w:val="55140F2F"/>
    <w:rsid w:val="55142657"/>
    <w:rsid w:val="55144405"/>
    <w:rsid w:val="551458FF"/>
    <w:rsid w:val="55146546"/>
    <w:rsid w:val="55147A1E"/>
    <w:rsid w:val="55151B4A"/>
    <w:rsid w:val="551663CF"/>
    <w:rsid w:val="55172147"/>
    <w:rsid w:val="55175CA3"/>
    <w:rsid w:val="551804A1"/>
    <w:rsid w:val="55187F1F"/>
    <w:rsid w:val="55191A1B"/>
    <w:rsid w:val="55192603"/>
    <w:rsid w:val="551A5986"/>
    <w:rsid w:val="551A5EDA"/>
    <w:rsid w:val="551B1885"/>
    <w:rsid w:val="551B1C37"/>
    <w:rsid w:val="551B39E5"/>
    <w:rsid w:val="551B4F99"/>
    <w:rsid w:val="551B555A"/>
    <w:rsid w:val="551B6816"/>
    <w:rsid w:val="551C0E7F"/>
    <w:rsid w:val="551C1AB4"/>
    <w:rsid w:val="551C1E13"/>
    <w:rsid w:val="551C37AD"/>
    <w:rsid w:val="551C4226"/>
    <w:rsid w:val="551C574A"/>
    <w:rsid w:val="551C730E"/>
    <w:rsid w:val="551D3B59"/>
    <w:rsid w:val="551D46E0"/>
    <w:rsid w:val="551D6358"/>
    <w:rsid w:val="551D7CC7"/>
    <w:rsid w:val="551E01F5"/>
    <w:rsid w:val="551E08BC"/>
    <w:rsid w:val="551E7032"/>
    <w:rsid w:val="551F1CBA"/>
    <w:rsid w:val="551F37CB"/>
    <w:rsid w:val="5520071A"/>
    <w:rsid w:val="5521118A"/>
    <w:rsid w:val="55212DAA"/>
    <w:rsid w:val="55213E45"/>
    <w:rsid w:val="55214D74"/>
    <w:rsid w:val="55216B22"/>
    <w:rsid w:val="552218BF"/>
    <w:rsid w:val="55222FC6"/>
    <w:rsid w:val="55224EF3"/>
    <w:rsid w:val="5522547A"/>
    <w:rsid w:val="5522762D"/>
    <w:rsid w:val="55230002"/>
    <w:rsid w:val="5523124D"/>
    <w:rsid w:val="55231869"/>
    <w:rsid w:val="5523329E"/>
    <w:rsid w:val="55236D3E"/>
    <w:rsid w:val="55237DD9"/>
    <w:rsid w:val="55241768"/>
    <w:rsid w:val="55251E16"/>
    <w:rsid w:val="55252EB4"/>
    <w:rsid w:val="55253A96"/>
    <w:rsid w:val="55254864"/>
    <w:rsid w:val="55264138"/>
    <w:rsid w:val="5526704E"/>
    <w:rsid w:val="55272AAB"/>
    <w:rsid w:val="5527639D"/>
    <w:rsid w:val="55277D28"/>
    <w:rsid w:val="55284BB8"/>
    <w:rsid w:val="55286102"/>
    <w:rsid w:val="55290ED1"/>
    <w:rsid w:val="55291629"/>
    <w:rsid w:val="55292DFE"/>
    <w:rsid w:val="5529453F"/>
    <w:rsid w:val="552A00CC"/>
    <w:rsid w:val="552A0727"/>
    <w:rsid w:val="552A0F02"/>
    <w:rsid w:val="552A1E7A"/>
    <w:rsid w:val="552A4FD9"/>
    <w:rsid w:val="552A59CF"/>
    <w:rsid w:val="552B0183"/>
    <w:rsid w:val="552B01E9"/>
    <w:rsid w:val="552B3A2B"/>
    <w:rsid w:val="552B4BC1"/>
    <w:rsid w:val="552B5846"/>
    <w:rsid w:val="552B6CDF"/>
    <w:rsid w:val="552B7027"/>
    <w:rsid w:val="552C2D71"/>
    <w:rsid w:val="552C5BF2"/>
    <w:rsid w:val="552C7ADE"/>
    <w:rsid w:val="552D3719"/>
    <w:rsid w:val="552D4350"/>
    <w:rsid w:val="552D54C7"/>
    <w:rsid w:val="552E2B4C"/>
    <w:rsid w:val="552E71C5"/>
    <w:rsid w:val="552F123F"/>
    <w:rsid w:val="552F78AA"/>
    <w:rsid w:val="5531145B"/>
    <w:rsid w:val="55313784"/>
    <w:rsid w:val="553164FF"/>
    <w:rsid w:val="55320D2F"/>
    <w:rsid w:val="55322ADD"/>
    <w:rsid w:val="553304D8"/>
    <w:rsid w:val="5534220A"/>
    <w:rsid w:val="553426D6"/>
    <w:rsid w:val="55344AA7"/>
    <w:rsid w:val="55346855"/>
    <w:rsid w:val="553524F0"/>
    <w:rsid w:val="553556B3"/>
    <w:rsid w:val="5536081F"/>
    <w:rsid w:val="553625CD"/>
    <w:rsid w:val="55366A71"/>
    <w:rsid w:val="55367759"/>
    <w:rsid w:val="553700F3"/>
    <w:rsid w:val="55376C92"/>
    <w:rsid w:val="55377577"/>
    <w:rsid w:val="5539030F"/>
    <w:rsid w:val="553920BD"/>
    <w:rsid w:val="55394A6A"/>
    <w:rsid w:val="553A18EB"/>
    <w:rsid w:val="553A7CB7"/>
    <w:rsid w:val="553C395C"/>
    <w:rsid w:val="553C4EFA"/>
    <w:rsid w:val="553C74D6"/>
    <w:rsid w:val="553D7E00"/>
    <w:rsid w:val="553E76D4"/>
    <w:rsid w:val="553F4D06"/>
    <w:rsid w:val="55400B18"/>
    <w:rsid w:val="554027C6"/>
    <w:rsid w:val="554058F4"/>
    <w:rsid w:val="55407939"/>
    <w:rsid w:val="55407BF5"/>
    <w:rsid w:val="554107AA"/>
    <w:rsid w:val="554108DD"/>
    <w:rsid w:val="55410F72"/>
    <w:rsid w:val="554177EE"/>
    <w:rsid w:val="55421D9E"/>
    <w:rsid w:val="55425416"/>
    <w:rsid w:val="554271C4"/>
    <w:rsid w:val="5543118E"/>
    <w:rsid w:val="55436A98"/>
    <w:rsid w:val="554378E6"/>
    <w:rsid w:val="554438B8"/>
    <w:rsid w:val="55452810"/>
    <w:rsid w:val="554529E7"/>
    <w:rsid w:val="55457656"/>
    <w:rsid w:val="55460BEB"/>
    <w:rsid w:val="55466588"/>
    <w:rsid w:val="55472A2C"/>
    <w:rsid w:val="554747DA"/>
    <w:rsid w:val="55476387"/>
    <w:rsid w:val="5548648A"/>
    <w:rsid w:val="554967A4"/>
    <w:rsid w:val="554975EC"/>
    <w:rsid w:val="554A5B42"/>
    <w:rsid w:val="554A5D68"/>
    <w:rsid w:val="554A5E7C"/>
    <w:rsid w:val="554A6079"/>
    <w:rsid w:val="554B4C2D"/>
    <w:rsid w:val="554B79BA"/>
    <w:rsid w:val="554C11A0"/>
    <w:rsid w:val="554C1DF1"/>
    <w:rsid w:val="554C3023"/>
    <w:rsid w:val="554C58EA"/>
    <w:rsid w:val="554C742E"/>
    <w:rsid w:val="554D3BF0"/>
    <w:rsid w:val="554D3C11"/>
    <w:rsid w:val="554E13D1"/>
    <w:rsid w:val="554E175D"/>
    <w:rsid w:val="554E1B07"/>
    <w:rsid w:val="554E1B40"/>
    <w:rsid w:val="554E1D72"/>
    <w:rsid w:val="554E3DBB"/>
    <w:rsid w:val="554E56D0"/>
    <w:rsid w:val="554F4585"/>
    <w:rsid w:val="55500B7A"/>
    <w:rsid w:val="555076EA"/>
    <w:rsid w:val="555111B5"/>
    <w:rsid w:val="55511492"/>
    <w:rsid w:val="5551200A"/>
    <w:rsid w:val="55515659"/>
    <w:rsid w:val="555170A7"/>
    <w:rsid w:val="55517407"/>
    <w:rsid w:val="55517A88"/>
    <w:rsid w:val="55517D68"/>
    <w:rsid w:val="55524496"/>
    <w:rsid w:val="555313D1"/>
    <w:rsid w:val="55535B32"/>
    <w:rsid w:val="55540CA5"/>
    <w:rsid w:val="55543E92"/>
    <w:rsid w:val="55546B21"/>
    <w:rsid w:val="55546EF7"/>
    <w:rsid w:val="555574ED"/>
    <w:rsid w:val="555606B6"/>
    <w:rsid w:val="55560EC1"/>
    <w:rsid w:val="55562C6F"/>
    <w:rsid w:val="5556306F"/>
    <w:rsid w:val="555649EC"/>
    <w:rsid w:val="55564A1D"/>
    <w:rsid w:val="55572544"/>
    <w:rsid w:val="55574A5A"/>
    <w:rsid w:val="55575E7C"/>
    <w:rsid w:val="55577A9A"/>
    <w:rsid w:val="555863AA"/>
    <w:rsid w:val="5558730C"/>
    <w:rsid w:val="55590B84"/>
    <w:rsid w:val="55592760"/>
    <w:rsid w:val="5559450E"/>
    <w:rsid w:val="555A15D5"/>
    <w:rsid w:val="555A5D4A"/>
    <w:rsid w:val="555B2034"/>
    <w:rsid w:val="555B32D8"/>
    <w:rsid w:val="555B517B"/>
    <w:rsid w:val="555C085E"/>
    <w:rsid w:val="555D2250"/>
    <w:rsid w:val="555D3FFE"/>
    <w:rsid w:val="555E7D76"/>
    <w:rsid w:val="555F2A91"/>
    <w:rsid w:val="555F3F23"/>
    <w:rsid w:val="555F4E6D"/>
    <w:rsid w:val="555F63B4"/>
    <w:rsid w:val="555F700B"/>
    <w:rsid w:val="55602309"/>
    <w:rsid w:val="55603AEE"/>
    <w:rsid w:val="556052DD"/>
    <w:rsid w:val="55617F52"/>
    <w:rsid w:val="556233C2"/>
    <w:rsid w:val="55627866"/>
    <w:rsid w:val="55630EE8"/>
    <w:rsid w:val="5563538C"/>
    <w:rsid w:val="55635669"/>
    <w:rsid w:val="55652EB2"/>
    <w:rsid w:val="55653051"/>
    <w:rsid w:val="556709D9"/>
    <w:rsid w:val="55674E7D"/>
    <w:rsid w:val="55676C2B"/>
    <w:rsid w:val="55680017"/>
    <w:rsid w:val="5568304C"/>
    <w:rsid w:val="55683ADA"/>
    <w:rsid w:val="55684751"/>
    <w:rsid w:val="5568597E"/>
    <w:rsid w:val="55693F23"/>
    <w:rsid w:val="556A04C9"/>
    <w:rsid w:val="556A1CC2"/>
    <w:rsid w:val="556A2277"/>
    <w:rsid w:val="556A671B"/>
    <w:rsid w:val="556B377E"/>
    <w:rsid w:val="556B5782"/>
    <w:rsid w:val="556B5794"/>
    <w:rsid w:val="556B5BEC"/>
    <w:rsid w:val="556B6EC3"/>
    <w:rsid w:val="556C2493"/>
    <w:rsid w:val="556C6C12"/>
    <w:rsid w:val="556D0A6C"/>
    <w:rsid w:val="556D1B46"/>
    <w:rsid w:val="556D2EE9"/>
    <w:rsid w:val="556D411B"/>
    <w:rsid w:val="556E2BE2"/>
    <w:rsid w:val="556E4A43"/>
    <w:rsid w:val="556E51DD"/>
    <w:rsid w:val="556F1183"/>
    <w:rsid w:val="556F1F83"/>
    <w:rsid w:val="556F3D31"/>
    <w:rsid w:val="556F788D"/>
    <w:rsid w:val="55703DF7"/>
    <w:rsid w:val="55710D9F"/>
    <w:rsid w:val="55711857"/>
    <w:rsid w:val="55712022"/>
    <w:rsid w:val="55713CB5"/>
    <w:rsid w:val="55714021"/>
    <w:rsid w:val="55722A84"/>
    <w:rsid w:val="55727548"/>
    <w:rsid w:val="557355CF"/>
    <w:rsid w:val="55735655"/>
    <w:rsid w:val="557356BF"/>
    <w:rsid w:val="55747599"/>
    <w:rsid w:val="55755AEA"/>
    <w:rsid w:val="55757E45"/>
    <w:rsid w:val="55757F75"/>
    <w:rsid w:val="557650C0"/>
    <w:rsid w:val="55766E6E"/>
    <w:rsid w:val="55772302"/>
    <w:rsid w:val="55782BE6"/>
    <w:rsid w:val="557868F6"/>
    <w:rsid w:val="55787AE9"/>
    <w:rsid w:val="55793425"/>
    <w:rsid w:val="55794BB0"/>
    <w:rsid w:val="5579695E"/>
    <w:rsid w:val="557A0C4C"/>
    <w:rsid w:val="557B0928"/>
    <w:rsid w:val="557B26D6"/>
    <w:rsid w:val="557B4484"/>
    <w:rsid w:val="557B5277"/>
    <w:rsid w:val="557C1FAA"/>
    <w:rsid w:val="557C3CE0"/>
    <w:rsid w:val="557C6707"/>
    <w:rsid w:val="557D01FC"/>
    <w:rsid w:val="557D12D8"/>
    <w:rsid w:val="557D6163"/>
    <w:rsid w:val="557E2692"/>
    <w:rsid w:val="557E3F74"/>
    <w:rsid w:val="55801A9A"/>
    <w:rsid w:val="55804E70"/>
    <w:rsid w:val="55805313"/>
    <w:rsid w:val="55806E0B"/>
    <w:rsid w:val="55807C59"/>
    <w:rsid w:val="55807CEC"/>
    <w:rsid w:val="55812122"/>
    <w:rsid w:val="55814EC1"/>
    <w:rsid w:val="55825812"/>
    <w:rsid w:val="55826A53"/>
    <w:rsid w:val="5583158B"/>
    <w:rsid w:val="55833339"/>
    <w:rsid w:val="55834437"/>
    <w:rsid w:val="5584559D"/>
    <w:rsid w:val="558477DD"/>
    <w:rsid w:val="55862155"/>
    <w:rsid w:val="55865BC1"/>
    <w:rsid w:val="55870A29"/>
    <w:rsid w:val="55872E29"/>
    <w:rsid w:val="5587381A"/>
    <w:rsid w:val="5587536D"/>
    <w:rsid w:val="558754B4"/>
    <w:rsid w:val="558772CD"/>
    <w:rsid w:val="5588208A"/>
    <w:rsid w:val="558843CD"/>
    <w:rsid w:val="55884BFF"/>
    <w:rsid w:val="55886BA1"/>
    <w:rsid w:val="558959AE"/>
    <w:rsid w:val="558973AD"/>
    <w:rsid w:val="558A2602"/>
    <w:rsid w:val="558A2919"/>
    <w:rsid w:val="558A38DC"/>
    <w:rsid w:val="558A46C7"/>
    <w:rsid w:val="558B0F30"/>
    <w:rsid w:val="558B12F0"/>
    <w:rsid w:val="558B15C3"/>
    <w:rsid w:val="558B4D6C"/>
    <w:rsid w:val="558C48E3"/>
    <w:rsid w:val="558C6691"/>
    <w:rsid w:val="558D3EF5"/>
    <w:rsid w:val="558D41B7"/>
    <w:rsid w:val="558E2409"/>
    <w:rsid w:val="558E2F1D"/>
    <w:rsid w:val="558F1CDD"/>
    <w:rsid w:val="558F6181"/>
    <w:rsid w:val="558F7F2F"/>
    <w:rsid w:val="55911EF9"/>
    <w:rsid w:val="55913CA7"/>
    <w:rsid w:val="559315FE"/>
    <w:rsid w:val="55937A20"/>
    <w:rsid w:val="55943798"/>
    <w:rsid w:val="55944A92"/>
    <w:rsid w:val="55945546"/>
    <w:rsid w:val="55945837"/>
    <w:rsid w:val="55951476"/>
    <w:rsid w:val="55952056"/>
    <w:rsid w:val="55952EC4"/>
    <w:rsid w:val="559568DC"/>
    <w:rsid w:val="559612BE"/>
    <w:rsid w:val="559644E5"/>
    <w:rsid w:val="55976E37"/>
    <w:rsid w:val="55982C61"/>
    <w:rsid w:val="5598479F"/>
    <w:rsid w:val="55985036"/>
    <w:rsid w:val="55985182"/>
    <w:rsid w:val="55985762"/>
    <w:rsid w:val="55990DAE"/>
    <w:rsid w:val="55992B5C"/>
    <w:rsid w:val="559936A1"/>
    <w:rsid w:val="55994B6E"/>
    <w:rsid w:val="559A00B1"/>
    <w:rsid w:val="559A0305"/>
    <w:rsid w:val="559A33D1"/>
    <w:rsid w:val="559B174B"/>
    <w:rsid w:val="559B571B"/>
    <w:rsid w:val="559B68D4"/>
    <w:rsid w:val="559C30D6"/>
    <w:rsid w:val="559C795F"/>
    <w:rsid w:val="559D1324"/>
    <w:rsid w:val="559D5E51"/>
    <w:rsid w:val="559E522D"/>
    <w:rsid w:val="559E63C4"/>
    <w:rsid w:val="559F3837"/>
    <w:rsid w:val="55A00E78"/>
    <w:rsid w:val="55A0213D"/>
    <w:rsid w:val="55A03EEB"/>
    <w:rsid w:val="55A05F59"/>
    <w:rsid w:val="55A106D3"/>
    <w:rsid w:val="55A150EB"/>
    <w:rsid w:val="55A177A4"/>
    <w:rsid w:val="55A20422"/>
    <w:rsid w:val="55A21511"/>
    <w:rsid w:val="55A21A11"/>
    <w:rsid w:val="55A251C3"/>
    <w:rsid w:val="55A25988"/>
    <w:rsid w:val="55A3400F"/>
    <w:rsid w:val="55A35789"/>
    <w:rsid w:val="55A37E05"/>
    <w:rsid w:val="55A41C2D"/>
    <w:rsid w:val="55A421C8"/>
    <w:rsid w:val="55A43458"/>
    <w:rsid w:val="55A43730"/>
    <w:rsid w:val="55A44E80"/>
    <w:rsid w:val="55A4659C"/>
    <w:rsid w:val="55A5058A"/>
    <w:rsid w:val="55A51337"/>
    <w:rsid w:val="55A7171D"/>
    <w:rsid w:val="55A75279"/>
    <w:rsid w:val="55A77164"/>
    <w:rsid w:val="55A80627"/>
    <w:rsid w:val="55A86E0F"/>
    <w:rsid w:val="55A90FF1"/>
    <w:rsid w:val="55A938D2"/>
    <w:rsid w:val="55A9556F"/>
    <w:rsid w:val="55AA2FBB"/>
    <w:rsid w:val="55AA3B4B"/>
    <w:rsid w:val="55AA3C0D"/>
    <w:rsid w:val="55AA552D"/>
    <w:rsid w:val="55AB1113"/>
    <w:rsid w:val="55AB1BE9"/>
    <w:rsid w:val="55AC57E6"/>
    <w:rsid w:val="55AC6D33"/>
    <w:rsid w:val="55AC781A"/>
    <w:rsid w:val="55AD03B6"/>
    <w:rsid w:val="55AD1A98"/>
    <w:rsid w:val="55AD46DE"/>
    <w:rsid w:val="55AD602D"/>
    <w:rsid w:val="55AE4B30"/>
    <w:rsid w:val="55AE6607"/>
    <w:rsid w:val="55AE7B8F"/>
    <w:rsid w:val="55AF05D2"/>
    <w:rsid w:val="55B01E00"/>
    <w:rsid w:val="55B05424"/>
    <w:rsid w:val="55B055F7"/>
    <w:rsid w:val="55B11152"/>
    <w:rsid w:val="55B13B28"/>
    <w:rsid w:val="55B1434A"/>
    <w:rsid w:val="55B15A0D"/>
    <w:rsid w:val="55B16B7D"/>
    <w:rsid w:val="55B261C7"/>
    <w:rsid w:val="55B31E70"/>
    <w:rsid w:val="55B32AE8"/>
    <w:rsid w:val="55B3376A"/>
    <w:rsid w:val="55B3499F"/>
    <w:rsid w:val="55B41744"/>
    <w:rsid w:val="55B42837"/>
    <w:rsid w:val="55B50492"/>
    <w:rsid w:val="55B53419"/>
    <w:rsid w:val="55B56F58"/>
    <w:rsid w:val="55B57FD9"/>
    <w:rsid w:val="55B61960"/>
    <w:rsid w:val="55B62BC9"/>
    <w:rsid w:val="55B654BC"/>
    <w:rsid w:val="55B70C0A"/>
    <w:rsid w:val="55B74E37"/>
    <w:rsid w:val="55B75898"/>
    <w:rsid w:val="55B811D4"/>
    <w:rsid w:val="55B81234"/>
    <w:rsid w:val="55B853A3"/>
    <w:rsid w:val="55B856D8"/>
    <w:rsid w:val="55B866A4"/>
    <w:rsid w:val="55B87486"/>
    <w:rsid w:val="55B92605"/>
    <w:rsid w:val="55B9334E"/>
    <w:rsid w:val="55B93FBC"/>
    <w:rsid w:val="55B94A5E"/>
    <w:rsid w:val="55BA127A"/>
    <w:rsid w:val="55BA1450"/>
    <w:rsid w:val="55BB0D24"/>
    <w:rsid w:val="55BB597E"/>
    <w:rsid w:val="55BD2CEE"/>
    <w:rsid w:val="55BD3A86"/>
    <w:rsid w:val="55BD684B"/>
    <w:rsid w:val="55BF0815"/>
    <w:rsid w:val="55BF6A67"/>
    <w:rsid w:val="55C009B3"/>
    <w:rsid w:val="55C01AA6"/>
    <w:rsid w:val="55C04A3F"/>
    <w:rsid w:val="55C04C11"/>
    <w:rsid w:val="55C05294"/>
    <w:rsid w:val="55C07D29"/>
    <w:rsid w:val="55C13859"/>
    <w:rsid w:val="55C139AB"/>
    <w:rsid w:val="55C1657C"/>
    <w:rsid w:val="55C16E70"/>
    <w:rsid w:val="55C21356"/>
    <w:rsid w:val="55C220B3"/>
    <w:rsid w:val="55C22346"/>
    <w:rsid w:val="55C234B0"/>
    <w:rsid w:val="55C23E61"/>
    <w:rsid w:val="55C314A0"/>
    <w:rsid w:val="55C35D9E"/>
    <w:rsid w:val="55C367D4"/>
    <w:rsid w:val="55C41430"/>
    <w:rsid w:val="55C4232C"/>
    <w:rsid w:val="55C43A6D"/>
    <w:rsid w:val="55C445B9"/>
    <w:rsid w:val="55C44C77"/>
    <w:rsid w:val="55C44E8D"/>
    <w:rsid w:val="55C45E2B"/>
    <w:rsid w:val="55C53951"/>
    <w:rsid w:val="55C57E50"/>
    <w:rsid w:val="55C60660"/>
    <w:rsid w:val="55C639B5"/>
    <w:rsid w:val="55C70316"/>
    <w:rsid w:val="55C71477"/>
    <w:rsid w:val="55C723EE"/>
    <w:rsid w:val="55C762A1"/>
    <w:rsid w:val="55C8213D"/>
    <w:rsid w:val="55C83126"/>
    <w:rsid w:val="55C94D0E"/>
    <w:rsid w:val="55C951EF"/>
    <w:rsid w:val="55CA0F67"/>
    <w:rsid w:val="55CA5232"/>
    <w:rsid w:val="55CA619E"/>
    <w:rsid w:val="55CB0292"/>
    <w:rsid w:val="55CB4084"/>
    <w:rsid w:val="55CB585D"/>
    <w:rsid w:val="55CC368F"/>
    <w:rsid w:val="55CE0A58"/>
    <w:rsid w:val="55CE0CF4"/>
    <w:rsid w:val="55CF096F"/>
    <w:rsid w:val="55CF1D34"/>
    <w:rsid w:val="55CF657E"/>
    <w:rsid w:val="55CF7E7A"/>
    <w:rsid w:val="55D00815"/>
    <w:rsid w:val="55D05227"/>
    <w:rsid w:val="55D10548"/>
    <w:rsid w:val="55D11DEA"/>
    <w:rsid w:val="55D122F6"/>
    <w:rsid w:val="55D12737"/>
    <w:rsid w:val="55D1679A"/>
    <w:rsid w:val="55D2403E"/>
    <w:rsid w:val="55D32512"/>
    <w:rsid w:val="55D34A00"/>
    <w:rsid w:val="55D3606E"/>
    <w:rsid w:val="55D41DE6"/>
    <w:rsid w:val="55D41E21"/>
    <w:rsid w:val="55D43B94"/>
    <w:rsid w:val="55D50C40"/>
    <w:rsid w:val="55D50E22"/>
    <w:rsid w:val="55D50F5A"/>
    <w:rsid w:val="55D5627A"/>
    <w:rsid w:val="55D64741"/>
    <w:rsid w:val="55D65B5E"/>
    <w:rsid w:val="55D6790C"/>
    <w:rsid w:val="55D707A2"/>
    <w:rsid w:val="55D70BBB"/>
    <w:rsid w:val="55D72CA5"/>
    <w:rsid w:val="55D80B7D"/>
    <w:rsid w:val="55D818D6"/>
    <w:rsid w:val="55D8687A"/>
    <w:rsid w:val="55D911AB"/>
    <w:rsid w:val="55D930C2"/>
    <w:rsid w:val="55D956A7"/>
    <w:rsid w:val="55DA73FC"/>
    <w:rsid w:val="55DB13C7"/>
    <w:rsid w:val="55DB5B33"/>
    <w:rsid w:val="55DB5F9C"/>
    <w:rsid w:val="55DB7FBE"/>
    <w:rsid w:val="55DC34F6"/>
    <w:rsid w:val="55DC556F"/>
    <w:rsid w:val="55DD0C9B"/>
    <w:rsid w:val="55DD513F"/>
    <w:rsid w:val="55DD5B36"/>
    <w:rsid w:val="55DD766C"/>
    <w:rsid w:val="55DE39FE"/>
    <w:rsid w:val="55DE5D56"/>
    <w:rsid w:val="55DF0EB7"/>
    <w:rsid w:val="55DF2809"/>
    <w:rsid w:val="55DF4A13"/>
    <w:rsid w:val="55E0078B"/>
    <w:rsid w:val="55E024FE"/>
    <w:rsid w:val="55E02539"/>
    <w:rsid w:val="55E05452"/>
    <w:rsid w:val="55E21119"/>
    <w:rsid w:val="55E34FB7"/>
    <w:rsid w:val="55E36AC2"/>
    <w:rsid w:val="55E37141"/>
    <w:rsid w:val="55E50B5B"/>
    <w:rsid w:val="55E53550"/>
    <w:rsid w:val="55E53563"/>
    <w:rsid w:val="55E53FF3"/>
    <w:rsid w:val="55E55DA1"/>
    <w:rsid w:val="55E62245"/>
    <w:rsid w:val="55E64236"/>
    <w:rsid w:val="55E71B19"/>
    <w:rsid w:val="55E727B5"/>
    <w:rsid w:val="55E82B84"/>
    <w:rsid w:val="55E875EF"/>
    <w:rsid w:val="55E92F5E"/>
    <w:rsid w:val="55E93AE3"/>
    <w:rsid w:val="55E95892"/>
    <w:rsid w:val="55E966BD"/>
    <w:rsid w:val="55E97640"/>
    <w:rsid w:val="55EA33B8"/>
    <w:rsid w:val="55EA5EC2"/>
    <w:rsid w:val="55EA6C97"/>
    <w:rsid w:val="55EB2648"/>
    <w:rsid w:val="55EB36C7"/>
    <w:rsid w:val="55EB682F"/>
    <w:rsid w:val="55EC00A8"/>
    <w:rsid w:val="55EC4AF5"/>
    <w:rsid w:val="55EC7C86"/>
    <w:rsid w:val="55ED23FA"/>
    <w:rsid w:val="55ED7157"/>
    <w:rsid w:val="55ED7B8B"/>
    <w:rsid w:val="55EE2EA8"/>
    <w:rsid w:val="55F00C7B"/>
    <w:rsid w:val="55F02393"/>
    <w:rsid w:val="55F04E72"/>
    <w:rsid w:val="55F06C20"/>
    <w:rsid w:val="55F07EB9"/>
    <w:rsid w:val="55F11349"/>
    <w:rsid w:val="55F12998"/>
    <w:rsid w:val="55F13374"/>
    <w:rsid w:val="55F155D1"/>
    <w:rsid w:val="55F15FA4"/>
    <w:rsid w:val="55F16113"/>
    <w:rsid w:val="55F1735A"/>
    <w:rsid w:val="55F304BE"/>
    <w:rsid w:val="55F31078"/>
    <w:rsid w:val="55F3561B"/>
    <w:rsid w:val="55F35E17"/>
    <w:rsid w:val="55F37AE8"/>
    <w:rsid w:val="55F44F16"/>
    <w:rsid w:val="55F54236"/>
    <w:rsid w:val="55F66200"/>
    <w:rsid w:val="55F67FAE"/>
    <w:rsid w:val="55F70B1B"/>
    <w:rsid w:val="55F804F6"/>
    <w:rsid w:val="55F81F79"/>
    <w:rsid w:val="55F82B46"/>
    <w:rsid w:val="55F83C24"/>
    <w:rsid w:val="55F83D27"/>
    <w:rsid w:val="55F84694"/>
    <w:rsid w:val="55F86103"/>
    <w:rsid w:val="55F86516"/>
    <w:rsid w:val="55F90B4F"/>
    <w:rsid w:val="55F931AE"/>
    <w:rsid w:val="55FA7725"/>
    <w:rsid w:val="55FB03CA"/>
    <w:rsid w:val="55FB32AF"/>
    <w:rsid w:val="55FB4449"/>
    <w:rsid w:val="55FB55C5"/>
    <w:rsid w:val="55FC6467"/>
    <w:rsid w:val="55FD30EB"/>
    <w:rsid w:val="55FD4720"/>
    <w:rsid w:val="55FD639A"/>
    <w:rsid w:val="55FD7055"/>
    <w:rsid w:val="55FD738A"/>
    <w:rsid w:val="55FE1C3A"/>
    <w:rsid w:val="55FE3B80"/>
    <w:rsid w:val="55FF3307"/>
    <w:rsid w:val="55FF50B5"/>
    <w:rsid w:val="56002BDB"/>
    <w:rsid w:val="56004B04"/>
    <w:rsid w:val="56010B07"/>
    <w:rsid w:val="56015C5E"/>
    <w:rsid w:val="56024BA5"/>
    <w:rsid w:val="56031516"/>
    <w:rsid w:val="56031C3A"/>
    <w:rsid w:val="56033763"/>
    <w:rsid w:val="5603632F"/>
    <w:rsid w:val="560364D8"/>
    <w:rsid w:val="56041DBB"/>
    <w:rsid w:val="56043840"/>
    <w:rsid w:val="56044998"/>
    <w:rsid w:val="5604729E"/>
    <w:rsid w:val="560476EB"/>
    <w:rsid w:val="56051070"/>
    <w:rsid w:val="56061419"/>
    <w:rsid w:val="56063820"/>
    <w:rsid w:val="56066443"/>
    <w:rsid w:val="56067310"/>
    <w:rsid w:val="560721BC"/>
    <w:rsid w:val="56075D18"/>
    <w:rsid w:val="5607674A"/>
    <w:rsid w:val="56080DC4"/>
    <w:rsid w:val="560836E3"/>
    <w:rsid w:val="5608702A"/>
    <w:rsid w:val="56087FCA"/>
    <w:rsid w:val="560901AF"/>
    <w:rsid w:val="56090DC7"/>
    <w:rsid w:val="56091A90"/>
    <w:rsid w:val="56095F34"/>
    <w:rsid w:val="56097CE2"/>
    <w:rsid w:val="560A5808"/>
    <w:rsid w:val="560B1CAC"/>
    <w:rsid w:val="560B3A5A"/>
    <w:rsid w:val="560B522F"/>
    <w:rsid w:val="560C1580"/>
    <w:rsid w:val="560C332E"/>
    <w:rsid w:val="560C551A"/>
    <w:rsid w:val="560D19DC"/>
    <w:rsid w:val="560D288B"/>
    <w:rsid w:val="560E39DC"/>
    <w:rsid w:val="560E70A6"/>
    <w:rsid w:val="560F48D2"/>
    <w:rsid w:val="56101070"/>
    <w:rsid w:val="56102E1E"/>
    <w:rsid w:val="561072C2"/>
    <w:rsid w:val="56113503"/>
    <w:rsid w:val="56114DE8"/>
    <w:rsid w:val="56116B96"/>
    <w:rsid w:val="561203B9"/>
    <w:rsid w:val="5612303A"/>
    <w:rsid w:val="56124432"/>
    <w:rsid w:val="56130317"/>
    <w:rsid w:val="5613082E"/>
    <w:rsid w:val="561313A7"/>
    <w:rsid w:val="56132512"/>
    <w:rsid w:val="561346BC"/>
    <w:rsid w:val="56150435"/>
    <w:rsid w:val="56153315"/>
    <w:rsid w:val="561548D9"/>
    <w:rsid w:val="56156687"/>
    <w:rsid w:val="561604B4"/>
    <w:rsid w:val="56160623"/>
    <w:rsid w:val="56160ACB"/>
    <w:rsid w:val="56160F2C"/>
    <w:rsid w:val="561623FF"/>
    <w:rsid w:val="561641AD"/>
    <w:rsid w:val="56166AC5"/>
    <w:rsid w:val="561736FF"/>
    <w:rsid w:val="56181056"/>
    <w:rsid w:val="561843C9"/>
    <w:rsid w:val="56186556"/>
    <w:rsid w:val="56187F25"/>
    <w:rsid w:val="56191C96"/>
    <w:rsid w:val="56196DFF"/>
    <w:rsid w:val="561A2661"/>
    <w:rsid w:val="561C1CF9"/>
    <w:rsid w:val="561C59B2"/>
    <w:rsid w:val="561D19DF"/>
    <w:rsid w:val="561D36A5"/>
    <w:rsid w:val="561D553B"/>
    <w:rsid w:val="561E1A58"/>
    <w:rsid w:val="561F5757"/>
    <w:rsid w:val="56206DD9"/>
    <w:rsid w:val="5621105A"/>
    <w:rsid w:val="5621502B"/>
    <w:rsid w:val="56216E39"/>
    <w:rsid w:val="56217428"/>
    <w:rsid w:val="56220DA3"/>
    <w:rsid w:val="56221408"/>
    <w:rsid w:val="56222B52"/>
    <w:rsid w:val="562253FD"/>
    <w:rsid w:val="5623019D"/>
    <w:rsid w:val="562426B7"/>
    <w:rsid w:val="562468CA"/>
    <w:rsid w:val="56247A78"/>
    <w:rsid w:val="56247EC6"/>
    <w:rsid w:val="56251DC9"/>
    <w:rsid w:val="56252C8B"/>
    <w:rsid w:val="562542C8"/>
    <w:rsid w:val="562543F0"/>
    <w:rsid w:val="56260894"/>
    <w:rsid w:val="5626429A"/>
    <w:rsid w:val="562648FB"/>
    <w:rsid w:val="562649FE"/>
    <w:rsid w:val="56267C1D"/>
    <w:rsid w:val="56270168"/>
    <w:rsid w:val="56271907"/>
    <w:rsid w:val="5627460C"/>
    <w:rsid w:val="562763BA"/>
    <w:rsid w:val="56284342"/>
    <w:rsid w:val="562846B0"/>
    <w:rsid w:val="5629200C"/>
    <w:rsid w:val="56292079"/>
    <w:rsid w:val="56293EE0"/>
    <w:rsid w:val="562A4B2E"/>
    <w:rsid w:val="562B40FC"/>
    <w:rsid w:val="562B53BB"/>
    <w:rsid w:val="562B5EAA"/>
    <w:rsid w:val="562B7C58"/>
    <w:rsid w:val="562C010C"/>
    <w:rsid w:val="562C08FD"/>
    <w:rsid w:val="562C28B6"/>
    <w:rsid w:val="562C39D0"/>
    <w:rsid w:val="562C3AFC"/>
    <w:rsid w:val="562C577E"/>
    <w:rsid w:val="562C718C"/>
    <w:rsid w:val="562D7239"/>
    <w:rsid w:val="562D7E5B"/>
    <w:rsid w:val="562E4C15"/>
    <w:rsid w:val="562E569E"/>
    <w:rsid w:val="562F1756"/>
    <w:rsid w:val="562F3BF3"/>
    <w:rsid w:val="563009B9"/>
    <w:rsid w:val="56305D62"/>
    <w:rsid w:val="56310FE7"/>
    <w:rsid w:val="56311516"/>
    <w:rsid w:val="56312D95"/>
    <w:rsid w:val="563138A2"/>
    <w:rsid w:val="5632076C"/>
    <w:rsid w:val="5632631D"/>
    <w:rsid w:val="56330066"/>
    <w:rsid w:val="563306E0"/>
    <w:rsid w:val="56332FB1"/>
    <w:rsid w:val="56334D5F"/>
    <w:rsid w:val="56340DF6"/>
    <w:rsid w:val="5634603B"/>
    <w:rsid w:val="56350AD7"/>
    <w:rsid w:val="56355852"/>
    <w:rsid w:val="563576D1"/>
    <w:rsid w:val="56366403"/>
    <w:rsid w:val="56367BC0"/>
    <w:rsid w:val="5637332C"/>
    <w:rsid w:val="5637484F"/>
    <w:rsid w:val="56382375"/>
    <w:rsid w:val="56383ADE"/>
    <w:rsid w:val="56384123"/>
    <w:rsid w:val="56384F6E"/>
    <w:rsid w:val="56396706"/>
    <w:rsid w:val="563A3FF5"/>
    <w:rsid w:val="563A7E9B"/>
    <w:rsid w:val="563B3C13"/>
    <w:rsid w:val="563C00B7"/>
    <w:rsid w:val="563C40E5"/>
    <w:rsid w:val="563D0F57"/>
    <w:rsid w:val="563D52E6"/>
    <w:rsid w:val="563D59A7"/>
    <w:rsid w:val="563D798B"/>
    <w:rsid w:val="563E61C8"/>
    <w:rsid w:val="563F1955"/>
    <w:rsid w:val="563F753A"/>
    <w:rsid w:val="56401FB6"/>
    <w:rsid w:val="56413980"/>
    <w:rsid w:val="5641747C"/>
    <w:rsid w:val="56417539"/>
    <w:rsid w:val="56420A9E"/>
    <w:rsid w:val="5642691E"/>
    <w:rsid w:val="56426B33"/>
    <w:rsid w:val="56426F24"/>
    <w:rsid w:val="564358BF"/>
    <w:rsid w:val="5643639E"/>
    <w:rsid w:val="56440D1A"/>
    <w:rsid w:val="56443B98"/>
    <w:rsid w:val="564451BE"/>
    <w:rsid w:val="56446F6C"/>
    <w:rsid w:val="56454D26"/>
    <w:rsid w:val="564551F9"/>
    <w:rsid w:val="56455319"/>
    <w:rsid w:val="564557B0"/>
    <w:rsid w:val="5646003B"/>
    <w:rsid w:val="56461F01"/>
    <w:rsid w:val="56462F23"/>
    <w:rsid w:val="56463818"/>
    <w:rsid w:val="56464A92"/>
    <w:rsid w:val="564668F8"/>
    <w:rsid w:val="564861A3"/>
    <w:rsid w:val="56490F3E"/>
    <w:rsid w:val="56495D96"/>
    <w:rsid w:val="564A48D7"/>
    <w:rsid w:val="564A6CA3"/>
    <w:rsid w:val="564B02FA"/>
    <w:rsid w:val="564B3E56"/>
    <w:rsid w:val="564B43CE"/>
    <w:rsid w:val="564B5BB5"/>
    <w:rsid w:val="564C33E3"/>
    <w:rsid w:val="564C5FB4"/>
    <w:rsid w:val="564E1B99"/>
    <w:rsid w:val="564E304F"/>
    <w:rsid w:val="564E3947"/>
    <w:rsid w:val="564E7DEA"/>
    <w:rsid w:val="564F0A47"/>
    <w:rsid w:val="564F1D64"/>
    <w:rsid w:val="564F34A5"/>
    <w:rsid w:val="564F49C2"/>
    <w:rsid w:val="56501167"/>
    <w:rsid w:val="565018FC"/>
    <w:rsid w:val="56503B63"/>
    <w:rsid w:val="56505911"/>
    <w:rsid w:val="565076BF"/>
    <w:rsid w:val="56511C98"/>
    <w:rsid w:val="56514C1D"/>
    <w:rsid w:val="56517F8A"/>
    <w:rsid w:val="565306E5"/>
    <w:rsid w:val="56530F5D"/>
    <w:rsid w:val="56531871"/>
    <w:rsid w:val="5653231D"/>
    <w:rsid w:val="56532FDA"/>
    <w:rsid w:val="565524DA"/>
    <w:rsid w:val="565545BB"/>
    <w:rsid w:val="56560772"/>
    <w:rsid w:val="5656110D"/>
    <w:rsid w:val="5656436E"/>
    <w:rsid w:val="565644B1"/>
    <w:rsid w:val="565656CF"/>
    <w:rsid w:val="565745AF"/>
    <w:rsid w:val="56574EF1"/>
    <w:rsid w:val="56576C9F"/>
    <w:rsid w:val="56583407"/>
    <w:rsid w:val="56584CC4"/>
    <w:rsid w:val="56586573"/>
    <w:rsid w:val="56586F52"/>
    <w:rsid w:val="565952BB"/>
    <w:rsid w:val="565965A4"/>
    <w:rsid w:val="565A053D"/>
    <w:rsid w:val="565A05DF"/>
    <w:rsid w:val="565A22EB"/>
    <w:rsid w:val="565A374F"/>
    <w:rsid w:val="565A4685"/>
    <w:rsid w:val="565A5F67"/>
    <w:rsid w:val="565A699C"/>
    <w:rsid w:val="565A7E54"/>
    <w:rsid w:val="565B1BFE"/>
    <w:rsid w:val="565B237D"/>
    <w:rsid w:val="565B2B5B"/>
    <w:rsid w:val="565C123F"/>
    <w:rsid w:val="565D3322"/>
    <w:rsid w:val="565D343D"/>
    <w:rsid w:val="565D408D"/>
    <w:rsid w:val="565E57F8"/>
    <w:rsid w:val="565E627F"/>
    <w:rsid w:val="565F3DA6"/>
    <w:rsid w:val="565F4D5F"/>
    <w:rsid w:val="565F6AEE"/>
    <w:rsid w:val="565F7902"/>
    <w:rsid w:val="566029D6"/>
    <w:rsid w:val="56602CE9"/>
    <w:rsid w:val="5660442A"/>
    <w:rsid w:val="5660517B"/>
    <w:rsid w:val="566118CC"/>
    <w:rsid w:val="5661228B"/>
    <w:rsid w:val="56612489"/>
    <w:rsid w:val="5661367A"/>
    <w:rsid w:val="5661528F"/>
    <w:rsid w:val="56621E36"/>
    <w:rsid w:val="56625644"/>
    <w:rsid w:val="56635FD2"/>
    <w:rsid w:val="566376FA"/>
    <w:rsid w:val="56645C60"/>
    <w:rsid w:val="56652726"/>
    <w:rsid w:val="56660C90"/>
    <w:rsid w:val="56664646"/>
    <w:rsid w:val="566650E9"/>
    <w:rsid w:val="566662CB"/>
    <w:rsid w:val="56670EB9"/>
    <w:rsid w:val="5667605F"/>
    <w:rsid w:val="56680EAC"/>
    <w:rsid w:val="56684C7E"/>
    <w:rsid w:val="56686813"/>
    <w:rsid w:val="56687B29"/>
    <w:rsid w:val="56692B11"/>
    <w:rsid w:val="56694C24"/>
    <w:rsid w:val="56696F00"/>
    <w:rsid w:val="566B457E"/>
    <w:rsid w:val="566C201F"/>
    <w:rsid w:val="566C29CD"/>
    <w:rsid w:val="566C39D2"/>
    <w:rsid w:val="566C7E86"/>
    <w:rsid w:val="566E3C82"/>
    <w:rsid w:val="566E3FE9"/>
    <w:rsid w:val="566E5D97"/>
    <w:rsid w:val="566E677D"/>
    <w:rsid w:val="566F234F"/>
    <w:rsid w:val="566F33D2"/>
    <w:rsid w:val="56707387"/>
    <w:rsid w:val="5671442C"/>
    <w:rsid w:val="5671683F"/>
    <w:rsid w:val="56720B88"/>
    <w:rsid w:val="56723AD9"/>
    <w:rsid w:val="56727B44"/>
    <w:rsid w:val="5673568A"/>
    <w:rsid w:val="56737851"/>
    <w:rsid w:val="567535C9"/>
    <w:rsid w:val="56757125"/>
    <w:rsid w:val="56764C4B"/>
    <w:rsid w:val="56765263"/>
    <w:rsid w:val="56766650"/>
    <w:rsid w:val="56770254"/>
    <w:rsid w:val="567710EF"/>
    <w:rsid w:val="56771994"/>
    <w:rsid w:val="56772E9D"/>
    <w:rsid w:val="56774584"/>
    <w:rsid w:val="56774F68"/>
    <w:rsid w:val="567809C3"/>
    <w:rsid w:val="56781057"/>
    <w:rsid w:val="56783140"/>
    <w:rsid w:val="567A0BDF"/>
    <w:rsid w:val="567A473C"/>
    <w:rsid w:val="567A6356"/>
    <w:rsid w:val="567A6665"/>
    <w:rsid w:val="567C5AE1"/>
    <w:rsid w:val="567C6706"/>
    <w:rsid w:val="567D422C"/>
    <w:rsid w:val="567E306B"/>
    <w:rsid w:val="567E6E66"/>
    <w:rsid w:val="567F1D52"/>
    <w:rsid w:val="567F21D7"/>
    <w:rsid w:val="567F61F6"/>
    <w:rsid w:val="567F6F04"/>
    <w:rsid w:val="567F7FA4"/>
    <w:rsid w:val="568043CA"/>
    <w:rsid w:val="56804A33"/>
    <w:rsid w:val="56813763"/>
    <w:rsid w:val="56813D1C"/>
    <w:rsid w:val="56815ACA"/>
    <w:rsid w:val="56821764"/>
    <w:rsid w:val="56823F0C"/>
    <w:rsid w:val="568321BB"/>
    <w:rsid w:val="56837A94"/>
    <w:rsid w:val="56837DBC"/>
    <w:rsid w:val="56840A94"/>
    <w:rsid w:val="5684508C"/>
    <w:rsid w:val="568455BA"/>
    <w:rsid w:val="56856583"/>
    <w:rsid w:val="56861DA8"/>
    <w:rsid w:val="568627ED"/>
    <w:rsid w:val="568630E0"/>
    <w:rsid w:val="56866CFB"/>
    <w:rsid w:val="56867584"/>
    <w:rsid w:val="56881EF5"/>
    <w:rsid w:val="568832FC"/>
    <w:rsid w:val="568850AA"/>
    <w:rsid w:val="56890E23"/>
    <w:rsid w:val="56891D2C"/>
    <w:rsid w:val="56892BD1"/>
    <w:rsid w:val="5689497F"/>
    <w:rsid w:val="56894F10"/>
    <w:rsid w:val="568A1DEA"/>
    <w:rsid w:val="568A220F"/>
    <w:rsid w:val="568A653E"/>
    <w:rsid w:val="568A7075"/>
    <w:rsid w:val="568B4B9B"/>
    <w:rsid w:val="568B53C7"/>
    <w:rsid w:val="568C4883"/>
    <w:rsid w:val="568D0913"/>
    <w:rsid w:val="568D26C1"/>
    <w:rsid w:val="568E01E7"/>
    <w:rsid w:val="568E5D67"/>
    <w:rsid w:val="568E7F08"/>
    <w:rsid w:val="568F0938"/>
    <w:rsid w:val="569021B1"/>
    <w:rsid w:val="56902599"/>
    <w:rsid w:val="569177A9"/>
    <w:rsid w:val="5692172C"/>
    <w:rsid w:val="56921A85"/>
    <w:rsid w:val="5692595D"/>
    <w:rsid w:val="56925F29"/>
    <w:rsid w:val="5693042F"/>
    <w:rsid w:val="569357FD"/>
    <w:rsid w:val="56951575"/>
    <w:rsid w:val="56952097"/>
    <w:rsid w:val="56955A19"/>
    <w:rsid w:val="569577C7"/>
    <w:rsid w:val="56971EFA"/>
    <w:rsid w:val="5697353F"/>
    <w:rsid w:val="569752EE"/>
    <w:rsid w:val="56976E3A"/>
    <w:rsid w:val="5697709C"/>
    <w:rsid w:val="56981066"/>
    <w:rsid w:val="56982E14"/>
    <w:rsid w:val="569844F5"/>
    <w:rsid w:val="569A1D83"/>
    <w:rsid w:val="569A3030"/>
    <w:rsid w:val="569A40F6"/>
    <w:rsid w:val="569A6B8C"/>
    <w:rsid w:val="569B1BC1"/>
    <w:rsid w:val="569C2904"/>
    <w:rsid w:val="569C2F3C"/>
    <w:rsid w:val="569D042A"/>
    <w:rsid w:val="569D3AAB"/>
    <w:rsid w:val="569D5C6F"/>
    <w:rsid w:val="569F0646"/>
    <w:rsid w:val="569F144F"/>
    <w:rsid w:val="569F1D25"/>
    <w:rsid w:val="569F23F4"/>
    <w:rsid w:val="569F41A2"/>
    <w:rsid w:val="56A0017C"/>
    <w:rsid w:val="56A00650"/>
    <w:rsid w:val="56A02494"/>
    <w:rsid w:val="56A143BE"/>
    <w:rsid w:val="56A1616C"/>
    <w:rsid w:val="56A16473"/>
    <w:rsid w:val="56A2408D"/>
    <w:rsid w:val="56A25616"/>
    <w:rsid w:val="56A25A40"/>
    <w:rsid w:val="56A330E5"/>
    <w:rsid w:val="56A44938"/>
    <w:rsid w:val="56A46B6A"/>
    <w:rsid w:val="56A47A0A"/>
    <w:rsid w:val="56A52001"/>
    <w:rsid w:val="56A619D5"/>
    <w:rsid w:val="56A63783"/>
    <w:rsid w:val="56A63FEE"/>
    <w:rsid w:val="56A65F13"/>
    <w:rsid w:val="56A66856"/>
    <w:rsid w:val="56A7129B"/>
    <w:rsid w:val="56A7183C"/>
    <w:rsid w:val="56A72C7F"/>
    <w:rsid w:val="56A73E59"/>
    <w:rsid w:val="56A75A24"/>
    <w:rsid w:val="56A75DA2"/>
    <w:rsid w:val="56A774B5"/>
    <w:rsid w:val="56A77BCA"/>
    <w:rsid w:val="56A814DF"/>
    <w:rsid w:val="56A83DD4"/>
    <w:rsid w:val="56A8574D"/>
    <w:rsid w:val="56A8690E"/>
    <w:rsid w:val="56A949C2"/>
    <w:rsid w:val="56A96DCF"/>
    <w:rsid w:val="56AA059F"/>
    <w:rsid w:val="56AA21E0"/>
    <w:rsid w:val="56AA2258"/>
    <w:rsid w:val="56AA5540"/>
    <w:rsid w:val="56AA5C3E"/>
    <w:rsid w:val="56AB0D99"/>
    <w:rsid w:val="56AB262D"/>
    <w:rsid w:val="56AC58A8"/>
    <w:rsid w:val="56AC619E"/>
    <w:rsid w:val="56AC7E60"/>
    <w:rsid w:val="56AD2D63"/>
    <w:rsid w:val="56AD4B11"/>
    <w:rsid w:val="56AE43B1"/>
    <w:rsid w:val="56AE55E1"/>
    <w:rsid w:val="56AF0268"/>
    <w:rsid w:val="56AF0889"/>
    <w:rsid w:val="56AF1A06"/>
    <w:rsid w:val="56AF6ADB"/>
    <w:rsid w:val="56B0015D"/>
    <w:rsid w:val="56B04B74"/>
    <w:rsid w:val="56B063AF"/>
    <w:rsid w:val="56B11101"/>
    <w:rsid w:val="56B13CD2"/>
    <w:rsid w:val="56B20379"/>
    <w:rsid w:val="56B22127"/>
    <w:rsid w:val="56B22A9C"/>
    <w:rsid w:val="56B24F6A"/>
    <w:rsid w:val="56B30473"/>
    <w:rsid w:val="56B34FD7"/>
    <w:rsid w:val="56B37C4E"/>
    <w:rsid w:val="56B417B4"/>
    <w:rsid w:val="56B42DBD"/>
    <w:rsid w:val="56B51C18"/>
    <w:rsid w:val="56B539C6"/>
    <w:rsid w:val="56B54C1D"/>
    <w:rsid w:val="56B551FF"/>
    <w:rsid w:val="56B57E6A"/>
    <w:rsid w:val="56B61219"/>
    <w:rsid w:val="56B618F1"/>
    <w:rsid w:val="56B62312"/>
    <w:rsid w:val="56B714EC"/>
    <w:rsid w:val="56B72805"/>
    <w:rsid w:val="56B748A2"/>
    <w:rsid w:val="56B748BB"/>
    <w:rsid w:val="56B75990"/>
    <w:rsid w:val="56B85264"/>
    <w:rsid w:val="56B868CC"/>
    <w:rsid w:val="56B87BDA"/>
    <w:rsid w:val="56B914FA"/>
    <w:rsid w:val="56B92A6E"/>
    <w:rsid w:val="56B95317"/>
    <w:rsid w:val="56B97B68"/>
    <w:rsid w:val="56BA6B02"/>
    <w:rsid w:val="56BC2FA6"/>
    <w:rsid w:val="56BC4D54"/>
    <w:rsid w:val="56BC5A0F"/>
    <w:rsid w:val="56BD287A"/>
    <w:rsid w:val="56BE7E5B"/>
    <w:rsid w:val="56BF2058"/>
    <w:rsid w:val="56BF4844"/>
    <w:rsid w:val="56C02A96"/>
    <w:rsid w:val="56C072E4"/>
    <w:rsid w:val="56C077AA"/>
    <w:rsid w:val="56C10BF6"/>
    <w:rsid w:val="56C1236A"/>
    <w:rsid w:val="56C1680E"/>
    <w:rsid w:val="56C17C0F"/>
    <w:rsid w:val="56C251C0"/>
    <w:rsid w:val="56C252B0"/>
    <w:rsid w:val="56C25D72"/>
    <w:rsid w:val="56C30EB0"/>
    <w:rsid w:val="56C32250"/>
    <w:rsid w:val="56C340BC"/>
    <w:rsid w:val="56C34335"/>
    <w:rsid w:val="56C36348"/>
    <w:rsid w:val="56C41E5B"/>
    <w:rsid w:val="56C47577"/>
    <w:rsid w:val="56C53780"/>
    <w:rsid w:val="56C5564A"/>
    <w:rsid w:val="56C62E2E"/>
    <w:rsid w:val="56C62E6D"/>
    <w:rsid w:val="56C63E25"/>
    <w:rsid w:val="56C64655"/>
    <w:rsid w:val="56C67981"/>
    <w:rsid w:val="56C836F9"/>
    <w:rsid w:val="56C853AF"/>
    <w:rsid w:val="56C85B33"/>
    <w:rsid w:val="56C87B9D"/>
    <w:rsid w:val="56C97869"/>
    <w:rsid w:val="56CB2D43"/>
    <w:rsid w:val="56CB31E9"/>
    <w:rsid w:val="56CB6F14"/>
    <w:rsid w:val="56CB7468"/>
    <w:rsid w:val="56CC4DE0"/>
    <w:rsid w:val="56CD1D6A"/>
    <w:rsid w:val="56CD49AA"/>
    <w:rsid w:val="56CD51B3"/>
    <w:rsid w:val="56CD7B3B"/>
    <w:rsid w:val="56CE1969"/>
    <w:rsid w:val="56CE3F2B"/>
    <w:rsid w:val="56CF0E06"/>
    <w:rsid w:val="56CF0F2B"/>
    <w:rsid w:val="56CF2CD9"/>
    <w:rsid w:val="56CF4F2F"/>
    <w:rsid w:val="56D007FF"/>
    <w:rsid w:val="56D0597B"/>
    <w:rsid w:val="56D17C19"/>
    <w:rsid w:val="56D26326"/>
    <w:rsid w:val="56D3300B"/>
    <w:rsid w:val="56D35C3B"/>
    <w:rsid w:val="56D4209E"/>
    <w:rsid w:val="56D46542"/>
    <w:rsid w:val="56D524B3"/>
    <w:rsid w:val="56D54DC7"/>
    <w:rsid w:val="56D57BC4"/>
    <w:rsid w:val="56D6198C"/>
    <w:rsid w:val="56D64A8E"/>
    <w:rsid w:val="56D71B8E"/>
    <w:rsid w:val="56D7393C"/>
    <w:rsid w:val="56D7455D"/>
    <w:rsid w:val="56D823DB"/>
    <w:rsid w:val="56D84AD3"/>
    <w:rsid w:val="56D86546"/>
    <w:rsid w:val="56D93B58"/>
    <w:rsid w:val="56D952A8"/>
    <w:rsid w:val="56D95906"/>
    <w:rsid w:val="56DA2EDE"/>
    <w:rsid w:val="56DA342C"/>
    <w:rsid w:val="56DA5E49"/>
    <w:rsid w:val="56DA744F"/>
    <w:rsid w:val="56DB436E"/>
    <w:rsid w:val="56DB4899"/>
    <w:rsid w:val="56DB78D0"/>
    <w:rsid w:val="56DC0F52"/>
    <w:rsid w:val="56DC24B6"/>
    <w:rsid w:val="56DC71A4"/>
    <w:rsid w:val="56DD1B24"/>
    <w:rsid w:val="56DE116E"/>
    <w:rsid w:val="56DE2F1C"/>
    <w:rsid w:val="56DE6BE5"/>
    <w:rsid w:val="56DF0A43"/>
    <w:rsid w:val="56DF60CC"/>
    <w:rsid w:val="56DF6C95"/>
    <w:rsid w:val="56E01379"/>
    <w:rsid w:val="56E05BB4"/>
    <w:rsid w:val="56E101E0"/>
    <w:rsid w:val="56E10C5F"/>
    <w:rsid w:val="56E12A0D"/>
    <w:rsid w:val="56E21670"/>
    <w:rsid w:val="56E224F6"/>
    <w:rsid w:val="56E26E86"/>
    <w:rsid w:val="56E30533"/>
    <w:rsid w:val="56E4369A"/>
    <w:rsid w:val="56E46A8E"/>
    <w:rsid w:val="56E52553"/>
    <w:rsid w:val="56E542AB"/>
    <w:rsid w:val="56E568B0"/>
    <w:rsid w:val="56E60023"/>
    <w:rsid w:val="56E602CA"/>
    <w:rsid w:val="56E6209D"/>
    <w:rsid w:val="56E6539D"/>
    <w:rsid w:val="56E66106"/>
    <w:rsid w:val="56E71797"/>
    <w:rsid w:val="56E85B49"/>
    <w:rsid w:val="56E87193"/>
    <w:rsid w:val="56E878F7"/>
    <w:rsid w:val="56E95231"/>
    <w:rsid w:val="56E966AB"/>
    <w:rsid w:val="56EA7B13"/>
    <w:rsid w:val="56EB388B"/>
    <w:rsid w:val="56EB5639"/>
    <w:rsid w:val="56ED13B1"/>
    <w:rsid w:val="56ED1C78"/>
    <w:rsid w:val="56ED315F"/>
    <w:rsid w:val="56ED3C1D"/>
    <w:rsid w:val="56ED6718"/>
    <w:rsid w:val="56EE0C86"/>
    <w:rsid w:val="56EE4F2B"/>
    <w:rsid w:val="56EF6ED8"/>
    <w:rsid w:val="56F049FE"/>
    <w:rsid w:val="56F131A4"/>
    <w:rsid w:val="56F20776"/>
    <w:rsid w:val="56F2139A"/>
    <w:rsid w:val="56F24C1A"/>
    <w:rsid w:val="56F27A24"/>
    <w:rsid w:val="56F3629C"/>
    <w:rsid w:val="56F379AE"/>
    <w:rsid w:val="56F37F17"/>
    <w:rsid w:val="56F42ADC"/>
    <w:rsid w:val="56F444EE"/>
    <w:rsid w:val="56F45596"/>
    <w:rsid w:val="56F50266"/>
    <w:rsid w:val="56F50625"/>
    <w:rsid w:val="56F5666F"/>
    <w:rsid w:val="56F613B1"/>
    <w:rsid w:val="56F62872"/>
    <w:rsid w:val="56F71C0B"/>
    <w:rsid w:val="56F72230"/>
    <w:rsid w:val="56F75251"/>
    <w:rsid w:val="56F75D8C"/>
    <w:rsid w:val="56F77E2F"/>
    <w:rsid w:val="56F83896"/>
    <w:rsid w:val="56F83F8C"/>
    <w:rsid w:val="56F84D6A"/>
    <w:rsid w:val="56F852F2"/>
    <w:rsid w:val="56F853E0"/>
    <w:rsid w:val="56F921F4"/>
    <w:rsid w:val="56F94548"/>
    <w:rsid w:val="56FA0CB7"/>
    <w:rsid w:val="56FA0D87"/>
    <w:rsid w:val="56FA188F"/>
    <w:rsid w:val="56FA3704"/>
    <w:rsid w:val="56FA755E"/>
    <w:rsid w:val="56FA762A"/>
    <w:rsid w:val="56FB3378"/>
    <w:rsid w:val="56FB46F5"/>
    <w:rsid w:val="56FC15F5"/>
    <w:rsid w:val="56FC3212"/>
    <w:rsid w:val="56FC7193"/>
    <w:rsid w:val="56FE711B"/>
    <w:rsid w:val="56FF2E93"/>
    <w:rsid w:val="570010E5"/>
    <w:rsid w:val="57002130"/>
    <w:rsid w:val="57004D88"/>
    <w:rsid w:val="570057E7"/>
    <w:rsid w:val="57014969"/>
    <w:rsid w:val="57014E5D"/>
    <w:rsid w:val="57021979"/>
    <w:rsid w:val="570222B1"/>
    <w:rsid w:val="57024B59"/>
    <w:rsid w:val="57030BD5"/>
    <w:rsid w:val="5703357A"/>
    <w:rsid w:val="57033CEB"/>
    <w:rsid w:val="57034731"/>
    <w:rsid w:val="57035150"/>
    <w:rsid w:val="570404A9"/>
    <w:rsid w:val="57040AD4"/>
    <w:rsid w:val="570425E8"/>
    <w:rsid w:val="57044CB1"/>
    <w:rsid w:val="570550AF"/>
    <w:rsid w:val="57055595"/>
    <w:rsid w:val="57055E9A"/>
    <w:rsid w:val="57062473"/>
    <w:rsid w:val="57067644"/>
    <w:rsid w:val="57080108"/>
    <w:rsid w:val="5708338B"/>
    <w:rsid w:val="5709675A"/>
    <w:rsid w:val="570A1F63"/>
    <w:rsid w:val="570A2678"/>
    <w:rsid w:val="570A6BD7"/>
    <w:rsid w:val="570C0E32"/>
    <w:rsid w:val="570C2B57"/>
    <w:rsid w:val="570D09E8"/>
    <w:rsid w:val="570D3802"/>
    <w:rsid w:val="570D55B0"/>
    <w:rsid w:val="570D735E"/>
    <w:rsid w:val="570D7BCB"/>
    <w:rsid w:val="570E6AC4"/>
    <w:rsid w:val="570E7565"/>
    <w:rsid w:val="570F1328"/>
    <w:rsid w:val="570F757A"/>
    <w:rsid w:val="57106E4E"/>
    <w:rsid w:val="571078B3"/>
    <w:rsid w:val="57110691"/>
    <w:rsid w:val="571132F2"/>
    <w:rsid w:val="5711443D"/>
    <w:rsid w:val="571164F6"/>
    <w:rsid w:val="57116F42"/>
    <w:rsid w:val="57122BC6"/>
    <w:rsid w:val="5712700E"/>
    <w:rsid w:val="571407D2"/>
    <w:rsid w:val="57144B90"/>
    <w:rsid w:val="5714693E"/>
    <w:rsid w:val="5714705F"/>
    <w:rsid w:val="571477B0"/>
    <w:rsid w:val="5715026D"/>
    <w:rsid w:val="57155E26"/>
    <w:rsid w:val="571644B3"/>
    <w:rsid w:val="57164A53"/>
    <w:rsid w:val="5716516A"/>
    <w:rsid w:val="571700C1"/>
    <w:rsid w:val="571701DC"/>
    <w:rsid w:val="57171A7A"/>
    <w:rsid w:val="57177F8E"/>
    <w:rsid w:val="57181A24"/>
    <w:rsid w:val="57182E93"/>
    <w:rsid w:val="57184FAD"/>
    <w:rsid w:val="5718516B"/>
    <w:rsid w:val="571903F8"/>
    <w:rsid w:val="571921A6"/>
    <w:rsid w:val="57194FC3"/>
    <w:rsid w:val="57197B91"/>
    <w:rsid w:val="571B3425"/>
    <w:rsid w:val="571B4AF5"/>
    <w:rsid w:val="571B5F1F"/>
    <w:rsid w:val="571C1C97"/>
    <w:rsid w:val="571C3A45"/>
    <w:rsid w:val="571D2D4D"/>
    <w:rsid w:val="571E050C"/>
    <w:rsid w:val="571E2AC9"/>
    <w:rsid w:val="571E514A"/>
    <w:rsid w:val="571E5A0F"/>
    <w:rsid w:val="571E5DE4"/>
    <w:rsid w:val="571F7091"/>
    <w:rsid w:val="57201787"/>
    <w:rsid w:val="57202356"/>
    <w:rsid w:val="572052E3"/>
    <w:rsid w:val="57212E09"/>
    <w:rsid w:val="572160DF"/>
    <w:rsid w:val="5722022C"/>
    <w:rsid w:val="57224041"/>
    <w:rsid w:val="57226BA7"/>
    <w:rsid w:val="5723008E"/>
    <w:rsid w:val="57235D52"/>
    <w:rsid w:val="57235EB0"/>
    <w:rsid w:val="57236B81"/>
    <w:rsid w:val="57241153"/>
    <w:rsid w:val="5724407D"/>
    <w:rsid w:val="57244339"/>
    <w:rsid w:val="57245BAA"/>
    <w:rsid w:val="57250B4B"/>
    <w:rsid w:val="572525AE"/>
    <w:rsid w:val="57252941"/>
    <w:rsid w:val="57266671"/>
    <w:rsid w:val="57267EAD"/>
    <w:rsid w:val="57270142"/>
    <w:rsid w:val="572702DF"/>
    <w:rsid w:val="57272673"/>
    <w:rsid w:val="57272B15"/>
    <w:rsid w:val="5727456B"/>
    <w:rsid w:val="57274EB7"/>
    <w:rsid w:val="572752E3"/>
    <w:rsid w:val="57277B93"/>
    <w:rsid w:val="5728063B"/>
    <w:rsid w:val="572823EA"/>
    <w:rsid w:val="57284198"/>
    <w:rsid w:val="572861B0"/>
    <w:rsid w:val="57294DB9"/>
    <w:rsid w:val="572A655F"/>
    <w:rsid w:val="572A7F10"/>
    <w:rsid w:val="572B1EDA"/>
    <w:rsid w:val="572B2F77"/>
    <w:rsid w:val="572B6B56"/>
    <w:rsid w:val="572B7BB5"/>
    <w:rsid w:val="572D0B48"/>
    <w:rsid w:val="572D17AE"/>
    <w:rsid w:val="572D1AB2"/>
    <w:rsid w:val="572D1FAA"/>
    <w:rsid w:val="572D21B4"/>
    <w:rsid w:val="572D385D"/>
    <w:rsid w:val="572D5A94"/>
    <w:rsid w:val="572D5C52"/>
    <w:rsid w:val="572D6DE5"/>
    <w:rsid w:val="572D7C2E"/>
    <w:rsid w:val="572E1597"/>
    <w:rsid w:val="572E185E"/>
    <w:rsid w:val="572E5D44"/>
    <w:rsid w:val="572F6095"/>
    <w:rsid w:val="572F7695"/>
    <w:rsid w:val="57302597"/>
    <w:rsid w:val="57315742"/>
    <w:rsid w:val="573174F0"/>
    <w:rsid w:val="573214BA"/>
    <w:rsid w:val="57321EB2"/>
    <w:rsid w:val="57323D7D"/>
    <w:rsid w:val="57334162"/>
    <w:rsid w:val="57341714"/>
    <w:rsid w:val="57342B3C"/>
    <w:rsid w:val="57343D1F"/>
    <w:rsid w:val="573553E8"/>
    <w:rsid w:val="5736007C"/>
    <w:rsid w:val="57360676"/>
    <w:rsid w:val="57364B06"/>
    <w:rsid w:val="573667FA"/>
    <w:rsid w:val="57370DAE"/>
    <w:rsid w:val="5737262D"/>
    <w:rsid w:val="57377899"/>
    <w:rsid w:val="573844FF"/>
    <w:rsid w:val="5738746C"/>
    <w:rsid w:val="5739028B"/>
    <w:rsid w:val="57391243"/>
    <w:rsid w:val="57391A72"/>
    <w:rsid w:val="573939AB"/>
    <w:rsid w:val="573945F7"/>
    <w:rsid w:val="573A0BD3"/>
    <w:rsid w:val="573A1AF4"/>
    <w:rsid w:val="573A75A8"/>
    <w:rsid w:val="573B268A"/>
    <w:rsid w:val="573C2744"/>
    <w:rsid w:val="573C40E7"/>
    <w:rsid w:val="573C4C37"/>
    <w:rsid w:val="573E0931"/>
    <w:rsid w:val="573E1C0D"/>
    <w:rsid w:val="573E39BB"/>
    <w:rsid w:val="573E7E5F"/>
    <w:rsid w:val="573F5C50"/>
    <w:rsid w:val="573F78A4"/>
    <w:rsid w:val="574014E1"/>
    <w:rsid w:val="574134AB"/>
    <w:rsid w:val="5741351C"/>
    <w:rsid w:val="57415259"/>
    <w:rsid w:val="574154C6"/>
    <w:rsid w:val="57416D00"/>
    <w:rsid w:val="5742757D"/>
    <w:rsid w:val="57430FD1"/>
    <w:rsid w:val="57431493"/>
    <w:rsid w:val="57431F17"/>
    <w:rsid w:val="57435475"/>
    <w:rsid w:val="57437223"/>
    <w:rsid w:val="5744373B"/>
    <w:rsid w:val="574437F9"/>
    <w:rsid w:val="57444202"/>
    <w:rsid w:val="57444EAB"/>
    <w:rsid w:val="574472CC"/>
    <w:rsid w:val="574511ED"/>
    <w:rsid w:val="57452801"/>
    <w:rsid w:val="57452F9B"/>
    <w:rsid w:val="57454D4A"/>
    <w:rsid w:val="57460AC2"/>
    <w:rsid w:val="574619CA"/>
    <w:rsid w:val="57462B9C"/>
    <w:rsid w:val="57476D14"/>
    <w:rsid w:val="574777D2"/>
    <w:rsid w:val="57487160"/>
    <w:rsid w:val="57492610"/>
    <w:rsid w:val="574A16AC"/>
    <w:rsid w:val="574A2244"/>
    <w:rsid w:val="574A45CE"/>
    <w:rsid w:val="574B2B9D"/>
    <w:rsid w:val="574B4300"/>
    <w:rsid w:val="574B5607"/>
    <w:rsid w:val="574C1A20"/>
    <w:rsid w:val="574C257C"/>
    <w:rsid w:val="574C432A"/>
    <w:rsid w:val="574D1ABF"/>
    <w:rsid w:val="574D1E50"/>
    <w:rsid w:val="574D4690"/>
    <w:rsid w:val="574E56BB"/>
    <w:rsid w:val="574E5B20"/>
    <w:rsid w:val="574E5FF4"/>
    <w:rsid w:val="574F0AD3"/>
    <w:rsid w:val="574F11E3"/>
    <w:rsid w:val="574F5BC8"/>
    <w:rsid w:val="5750131B"/>
    <w:rsid w:val="57501B81"/>
    <w:rsid w:val="57511940"/>
    <w:rsid w:val="575136EE"/>
    <w:rsid w:val="57514C7C"/>
    <w:rsid w:val="57527466"/>
    <w:rsid w:val="575332B3"/>
    <w:rsid w:val="5753390A"/>
    <w:rsid w:val="57535931"/>
    <w:rsid w:val="575376E0"/>
    <w:rsid w:val="57544F8D"/>
    <w:rsid w:val="57546DC1"/>
    <w:rsid w:val="57551EFD"/>
    <w:rsid w:val="575556B1"/>
    <w:rsid w:val="57557AE8"/>
    <w:rsid w:val="5756111B"/>
    <w:rsid w:val="57563CF4"/>
    <w:rsid w:val="575651A9"/>
    <w:rsid w:val="57566F57"/>
    <w:rsid w:val="575718B6"/>
    <w:rsid w:val="575729E9"/>
    <w:rsid w:val="57572CCF"/>
    <w:rsid w:val="57575DBC"/>
    <w:rsid w:val="575767BC"/>
    <w:rsid w:val="57581692"/>
    <w:rsid w:val="57583CE7"/>
    <w:rsid w:val="57590062"/>
    <w:rsid w:val="575907F5"/>
    <w:rsid w:val="575929A2"/>
    <w:rsid w:val="57595DF5"/>
    <w:rsid w:val="57596A47"/>
    <w:rsid w:val="57597AFD"/>
    <w:rsid w:val="575A33BD"/>
    <w:rsid w:val="575B456D"/>
    <w:rsid w:val="575B5F96"/>
    <w:rsid w:val="575B6C94"/>
    <w:rsid w:val="575C02E5"/>
    <w:rsid w:val="575C24E9"/>
    <w:rsid w:val="575C5C60"/>
    <w:rsid w:val="575D1F51"/>
    <w:rsid w:val="575D4949"/>
    <w:rsid w:val="575D5EE9"/>
    <w:rsid w:val="575D65A5"/>
    <w:rsid w:val="575D77D3"/>
    <w:rsid w:val="575E22AF"/>
    <w:rsid w:val="575E3AFD"/>
    <w:rsid w:val="575E5E0B"/>
    <w:rsid w:val="575F507B"/>
    <w:rsid w:val="575F58A9"/>
    <w:rsid w:val="575F6068"/>
    <w:rsid w:val="57601B83"/>
    <w:rsid w:val="57603EB1"/>
    <w:rsid w:val="57614D6B"/>
    <w:rsid w:val="576176AA"/>
    <w:rsid w:val="57623B4D"/>
    <w:rsid w:val="57626CED"/>
    <w:rsid w:val="57631674"/>
    <w:rsid w:val="57632745"/>
    <w:rsid w:val="57633422"/>
    <w:rsid w:val="57641FFF"/>
    <w:rsid w:val="5764751B"/>
    <w:rsid w:val="576553EC"/>
    <w:rsid w:val="576617DC"/>
    <w:rsid w:val="57670A72"/>
    <w:rsid w:val="57672F12"/>
    <w:rsid w:val="57677DAD"/>
    <w:rsid w:val="5768064B"/>
    <w:rsid w:val="57681F50"/>
    <w:rsid w:val="57681F6D"/>
    <w:rsid w:val="57686C8A"/>
    <w:rsid w:val="576909AD"/>
    <w:rsid w:val="57691D4D"/>
    <w:rsid w:val="57691DE7"/>
    <w:rsid w:val="57697B57"/>
    <w:rsid w:val="576A2A02"/>
    <w:rsid w:val="576A36D7"/>
    <w:rsid w:val="576A47B0"/>
    <w:rsid w:val="576B22D6"/>
    <w:rsid w:val="576C0528"/>
    <w:rsid w:val="576C677A"/>
    <w:rsid w:val="576D24F2"/>
    <w:rsid w:val="576D42A0"/>
    <w:rsid w:val="576D604E"/>
    <w:rsid w:val="576D7968"/>
    <w:rsid w:val="576F1DC6"/>
    <w:rsid w:val="576F23D5"/>
    <w:rsid w:val="576F2F9D"/>
    <w:rsid w:val="57705C34"/>
    <w:rsid w:val="57710EBA"/>
    <w:rsid w:val="57713D91"/>
    <w:rsid w:val="57714035"/>
    <w:rsid w:val="57715B3F"/>
    <w:rsid w:val="577160F4"/>
    <w:rsid w:val="57723665"/>
    <w:rsid w:val="5772575D"/>
    <w:rsid w:val="57727B09"/>
    <w:rsid w:val="57732535"/>
    <w:rsid w:val="57740C05"/>
    <w:rsid w:val="57751D0C"/>
    <w:rsid w:val="577613A7"/>
    <w:rsid w:val="57763155"/>
    <w:rsid w:val="57763F9C"/>
    <w:rsid w:val="57774D2C"/>
    <w:rsid w:val="577817D0"/>
    <w:rsid w:val="57783371"/>
    <w:rsid w:val="57785D2A"/>
    <w:rsid w:val="57787490"/>
    <w:rsid w:val="57792C45"/>
    <w:rsid w:val="5779314B"/>
    <w:rsid w:val="577A101C"/>
    <w:rsid w:val="577B076B"/>
    <w:rsid w:val="577B4C0F"/>
    <w:rsid w:val="577B762F"/>
    <w:rsid w:val="577B7AF3"/>
    <w:rsid w:val="577B7E06"/>
    <w:rsid w:val="577C1460"/>
    <w:rsid w:val="577C1B2F"/>
    <w:rsid w:val="577C44E3"/>
    <w:rsid w:val="577C5FCD"/>
    <w:rsid w:val="577D0987"/>
    <w:rsid w:val="577D0E2D"/>
    <w:rsid w:val="577D2735"/>
    <w:rsid w:val="577D5207"/>
    <w:rsid w:val="577E025B"/>
    <w:rsid w:val="577E200A"/>
    <w:rsid w:val="577E202E"/>
    <w:rsid w:val="577E46FF"/>
    <w:rsid w:val="577E64AD"/>
    <w:rsid w:val="577F01F2"/>
    <w:rsid w:val="577F2AA1"/>
    <w:rsid w:val="577F494E"/>
    <w:rsid w:val="57802226"/>
    <w:rsid w:val="57802D19"/>
    <w:rsid w:val="57804957"/>
    <w:rsid w:val="57805D82"/>
    <w:rsid w:val="5780751F"/>
    <w:rsid w:val="57821731"/>
    <w:rsid w:val="578300CC"/>
    <w:rsid w:val="5784475F"/>
    <w:rsid w:val="5784708D"/>
    <w:rsid w:val="57847330"/>
    <w:rsid w:val="578515EA"/>
    <w:rsid w:val="57861C50"/>
    <w:rsid w:val="5787228F"/>
    <w:rsid w:val="57876D39"/>
    <w:rsid w:val="57877110"/>
    <w:rsid w:val="57877DA9"/>
    <w:rsid w:val="57880B5D"/>
    <w:rsid w:val="578810DA"/>
    <w:rsid w:val="57882E88"/>
    <w:rsid w:val="57885D08"/>
    <w:rsid w:val="57887A2B"/>
    <w:rsid w:val="578A0A11"/>
    <w:rsid w:val="578A1A61"/>
    <w:rsid w:val="578A202A"/>
    <w:rsid w:val="578A29C3"/>
    <w:rsid w:val="578A4585"/>
    <w:rsid w:val="578C3620"/>
    <w:rsid w:val="578C3DD8"/>
    <w:rsid w:val="578D7D69"/>
    <w:rsid w:val="578E1EDB"/>
    <w:rsid w:val="578F20F6"/>
    <w:rsid w:val="578F2469"/>
    <w:rsid w:val="578F4217"/>
    <w:rsid w:val="57901CB9"/>
    <w:rsid w:val="579023EC"/>
    <w:rsid w:val="57911709"/>
    <w:rsid w:val="57916020"/>
    <w:rsid w:val="579161E1"/>
    <w:rsid w:val="57916F1A"/>
    <w:rsid w:val="57923D07"/>
    <w:rsid w:val="579266C3"/>
    <w:rsid w:val="57931F59"/>
    <w:rsid w:val="57940921"/>
    <w:rsid w:val="5794182D"/>
    <w:rsid w:val="57941896"/>
    <w:rsid w:val="57945CD1"/>
    <w:rsid w:val="57946E25"/>
    <w:rsid w:val="57947A7F"/>
    <w:rsid w:val="57950643"/>
    <w:rsid w:val="57954028"/>
    <w:rsid w:val="57961A49"/>
    <w:rsid w:val="57962F95"/>
    <w:rsid w:val="579637F7"/>
    <w:rsid w:val="57964763"/>
    <w:rsid w:val="57970E6E"/>
    <w:rsid w:val="5797214F"/>
    <w:rsid w:val="579730CB"/>
    <w:rsid w:val="579834B7"/>
    <w:rsid w:val="57983CCC"/>
    <w:rsid w:val="579900C6"/>
    <w:rsid w:val="57990312"/>
    <w:rsid w:val="579923B0"/>
    <w:rsid w:val="57995095"/>
    <w:rsid w:val="57996E43"/>
    <w:rsid w:val="579B0E0D"/>
    <w:rsid w:val="579B4127"/>
    <w:rsid w:val="579B51BE"/>
    <w:rsid w:val="579B705F"/>
    <w:rsid w:val="579C7748"/>
    <w:rsid w:val="579D0B6C"/>
    <w:rsid w:val="579D2DD8"/>
    <w:rsid w:val="579D2FFE"/>
    <w:rsid w:val="579E26AC"/>
    <w:rsid w:val="579E4A3A"/>
    <w:rsid w:val="579E626B"/>
    <w:rsid w:val="579E7089"/>
    <w:rsid w:val="579F3F56"/>
    <w:rsid w:val="57A001D2"/>
    <w:rsid w:val="57A008FD"/>
    <w:rsid w:val="57A032F3"/>
    <w:rsid w:val="57A04FE6"/>
    <w:rsid w:val="57A06424"/>
    <w:rsid w:val="57A07E39"/>
    <w:rsid w:val="57A157B9"/>
    <w:rsid w:val="57A16CEC"/>
    <w:rsid w:val="57A23F4A"/>
    <w:rsid w:val="57A2475E"/>
    <w:rsid w:val="57A27CE8"/>
    <w:rsid w:val="57A31A70"/>
    <w:rsid w:val="57A328B9"/>
    <w:rsid w:val="57A32CBE"/>
    <w:rsid w:val="57A357D6"/>
    <w:rsid w:val="57A37CC2"/>
    <w:rsid w:val="57A46928"/>
    <w:rsid w:val="57A540AA"/>
    <w:rsid w:val="57A56669"/>
    <w:rsid w:val="57A57DAA"/>
    <w:rsid w:val="57A660A6"/>
    <w:rsid w:val="57A852D8"/>
    <w:rsid w:val="57A874DF"/>
    <w:rsid w:val="57A87B51"/>
    <w:rsid w:val="57A9177C"/>
    <w:rsid w:val="57AA2DFF"/>
    <w:rsid w:val="57AA72A2"/>
    <w:rsid w:val="57AB1FCB"/>
    <w:rsid w:val="57AB45A5"/>
    <w:rsid w:val="57AB58F8"/>
    <w:rsid w:val="57AC1F5D"/>
    <w:rsid w:val="57AC301B"/>
    <w:rsid w:val="57AC6B77"/>
    <w:rsid w:val="57AD745F"/>
    <w:rsid w:val="57AD7817"/>
    <w:rsid w:val="57AE0B41"/>
    <w:rsid w:val="57AE7E8C"/>
    <w:rsid w:val="57AF48B9"/>
    <w:rsid w:val="57B02E32"/>
    <w:rsid w:val="57B12C0B"/>
    <w:rsid w:val="57B1634D"/>
    <w:rsid w:val="57B22162"/>
    <w:rsid w:val="57B25601"/>
    <w:rsid w:val="57B272F8"/>
    <w:rsid w:val="57B34E87"/>
    <w:rsid w:val="57B36157"/>
    <w:rsid w:val="57B37607"/>
    <w:rsid w:val="57B43C7D"/>
    <w:rsid w:val="57B515AD"/>
    <w:rsid w:val="57B51AF6"/>
    <w:rsid w:val="57B533B7"/>
    <w:rsid w:val="57B577BE"/>
    <w:rsid w:val="57B64460"/>
    <w:rsid w:val="57B715F4"/>
    <w:rsid w:val="57B72A76"/>
    <w:rsid w:val="57B74FB6"/>
    <w:rsid w:val="57B859AF"/>
    <w:rsid w:val="57B91294"/>
    <w:rsid w:val="57B95737"/>
    <w:rsid w:val="57B974E6"/>
    <w:rsid w:val="57BB07B6"/>
    <w:rsid w:val="57BB14B0"/>
    <w:rsid w:val="57BB325E"/>
    <w:rsid w:val="57BB61BB"/>
    <w:rsid w:val="57BC1EB0"/>
    <w:rsid w:val="57BC2B32"/>
    <w:rsid w:val="57BC3513"/>
    <w:rsid w:val="57BD5228"/>
    <w:rsid w:val="57BE1D80"/>
    <w:rsid w:val="57BE50C3"/>
    <w:rsid w:val="57BE5D7F"/>
    <w:rsid w:val="57BE68AA"/>
    <w:rsid w:val="57BF122B"/>
    <w:rsid w:val="57BF16EF"/>
    <w:rsid w:val="57BF2D4E"/>
    <w:rsid w:val="57BF4B68"/>
    <w:rsid w:val="57BF6D47"/>
    <w:rsid w:val="57C00874"/>
    <w:rsid w:val="57C00A91"/>
    <w:rsid w:val="57C06AC6"/>
    <w:rsid w:val="57C07378"/>
    <w:rsid w:val="57C1227D"/>
    <w:rsid w:val="57C14282"/>
    <w:rsid w:val="57C14295"/>
    <w:rsid w:val="57C15E41"/>
    <w:rsid w:val="57C20776"/>
    <w:rsid w:val="57C21903"/>
    <w:rsid w:val="57C2283E"/>
    <w:rsid w:val="57C245EC"/>
    <w:rsid w:val="57C31C44"/>
    <w:rsid w:val="57C3426C"/>
    <w:rsid w:val="57C342EB"/>
    <w:rsid w:val="57C40364"/>
    <w:rsid w:val="57C42735"/>
    <w:rsid w:val="57C42FBC"/>
    <w:rsid w:val="57C43751"/>
    <w:rsid w:val="57C4436C"/>
    <w:rsid w:val="57C51F9D"/>
    <w:rsid w:val="57C52157"/>
    <w:rsid w:val="57C5306A"/>
    <w:rsid w:val="57C53554"/>
    <w:rsid w:val="57C538FF"/>
    <w:rsid w:val="57C540DC"/>
    <w:rsid w:val="57C5456B"/>
    <w:rsid w:val="57C55E8A"/>
    <w:rsid w:val="57C57C38"/>
    <w:rsid w:val="57C67C13"/>
    <w:rsid w:val="57C71C02"/>
    <w:rsid w:val="57C739B1"/>
    <w:rsid w:val="57C74311"/>
    <w:rsid w:val="57C830F1"/>
    <w:rsid w:val="57C83AB2"/>
    <w:rsid w:val="57C955F2"/>
    <w:rsid w:val="57CA16F3"/>
    <w:rsid w:val="57CA34A1"/>
    <w:rsid w:val="57CA3670"/>
    <w:rsid w:val="57CA61FB"/>
    <w:rsid w:val="57CB1185"/>
    <w:rsid w:val="57CB1AC4"/>
    <w:rsid w:val="57CB5E90"/>
    <w:rsid w:val="57CB7CF4"/>
    <w:rsid w:val="57CC1ADA"/>
    <w:rsid w:val="57CC28DF"/>
    <w:rsid w:val="57CC3FF9"/>
    <w:rsid w:val="57CC546B"/>
    <w:rsid w:val="57CD1D15"/>
    <w:rsid w:val="57CD4D3F"/>
    <w:rsid w:val="57CE1F93"/>
    <w:rsid w:val="57CF2865"/>
    <w:rsid w:val="57CF7691"/>
    <w:rsid w:val="57D02229"/>
    <w:rsid w:val="57D02D65"/>
    <w:rsid w:val="57D0303B"/>
    <w:rsid w:val="57D12A81"/>
    <w:rsid w:val="57D1482F"/>
    <w:rsid w:val="57D15936"/>
    <w:rsid w:val="57D15B2D"/>
    <w:rsid w:val="57D17194"/>
    <w:rsid w:val="57D20B66"/>
    <w:rsid w:val="57D2301A"/>
    <w:rsid w:val="57D32CB6"/>
    <w:rsid w:val="57D367F9"/>
    <w:rsid w:val="57D4431F"/>
    <w:rsid w:val="57D4527B"/>
    <w:rsid w:val="57D46BB2"/>
    <w:rsid w:val="57D51955"/>
    <w:rsid w:val="57D52571"/>
    <w:rsid w:val="57D55747"/>
    <w:rsid w:val="57D57B62"/>
    <w:rsid w:val="57D60097"/>
    <w:rsid w:val="57D605C7"/>
    <w:rsid w:val="57D61E46"/>
    <w:rsid w:val="57D64006"/>
    <w:rsid w:val="57D744C5"/>
    <w:rsid w:val="57D74D28"/>
    <w:rsid w:val="57D80A5C"/>
    <w:rsid w:val="57D83E10"/>
    <w:rsid w:val="57D8721E"/>
    <w:rsid w:val="57D9190C"/>
    <w:rsid w:val="57D91936"/>
    <w:rsid w:val="57D936E4"/>
    <w:rsid w:val="57D97825"/>
    <w:rsid w:val="57DA63E5"/>
    <w:rsid w:val="57DB3900"/>
    <w:rsid w:val="57DC1CD2"/>
    <w:rsid w:val="57DC2896"/>
    <w:rsid w:val="57DC48D5"/>
    <w:rsid w:val="57DC7E83"/>
    <w:rsid w:val="57DD09CA"/>
    <w:rsid w:val="57DD342F"/>
    <w:rsid w:val="57DD4F82"/>
    <w:rsid w:val="57DD7A72"/>
    <w:rsid w:val="57DE0CFA"/>
    <w:rsid w:val="57DF519E"/>
    <w:rsid w:val="57E00F16"/>
    <w:rsid w:val="57E01127"/>
    <w:rsid w:val="57E016F1"/>
    <w:rsid w:val="57E05E54"/>
    <w:rsid w:val="57E073CC"/>
    <w:rsid w:val="57E079C3"/>
    <w:rsid w:val="57E07C89"/>
    <w:rsid w:val="57E13CBE"/>
    <w:rsid w:val="57E14B9B"/>
    <w:rsid w:val="57E14D89"/>
    <w:rsid w:val="57E15B41"/>
    <w:rsid w:val="57E207EA"/>
    <w:rsid w:val="57E27CCA"/>
    <w:rsid w:val="57E301F5"/>
    <w:rsid w:val="57E30858"/>
    <w:rsid w:val="57E3453E"/>
    <w:rsid w:val="57E36310"/>
    <w:rsid w:val="57E40882"/>
    <w:rsid w:val="57E4312C"/>
    <w:rsid w:val="57E44562"/>
    <w:rsid w:val="57E466B2"/>
    <w:rsid w:val="57E4733F"/>
    <w:rsid w:val="57E5252E"/>
    <w:rsid w:val="57E61028"/>
    <w:rsid w:val="57E664AA"/>
    <w:rsid w:val="57E666CC"/>
    <w:rsid w:val="57E722A5"/>
    <w:rsid w:val="57E73420"/>
    <w:rsid w:val="57E738C1"/>
    <w:rsid w:val="57E74053"/>
    <w:rsid w:val="57E74E5F"/>
    <w:rsid w:val="57E75E01"/>
    <w:rsid w:val="57E83927"/>
    <w:rsid w:val="57E9601D"/>
    <w:rsid w:val="57E97A7F"/>
    <w:rsid w:val="57E97DCB"/>
    <w:rsid w:val="57EA58F1"/>
    <w:rsid w:val="57EA653E"/>
    <w:rsid w:val="57EB5E03"/>
    <w:rsid w:val="57EB796D"/>
    <w:rsid w:val="57EC3417"/>
    <w:rsid w:val="57EC74DD"/>
    <w:rsid w:val="57EE3633"/>
    <w:rsid w:val="57EF1159"/>
    <w:rsid w:val="57EF1EA6"/>
    <w:rsid w:val="57EF268E"/>
    <w:rsid w:val="57EF4CB5"/>
    <w:rsid w:val="57EF62EE"/>
    <w:rsid w:val="57F05763"/>
    <w:rsid w:val="57F10C0E"/>
    <w:rsid w:val="57F16C7F"/>
    <w:rsid w:val="57F21060"/>
    <w:rsid w:val="57F24C6F"/>
    <w:rsid w:val="57F25E5A"/>
    <w:rsid w:val="57F263A9"/>
    <w:rsid w:val="57F360FF"/>
    <w:rsid w:val="57F42CA4"/>
    <w:rsid w:val="57F4552E"/>
    <w:rsid w:val="57F535F0"/>
    <w:rsid w:val="57F53F26"/>
    <w:rsid w:val="57F549C2"/>
    <w:rsid w:val="57F56770"/>
    <w:rsid w:val="57F60919"/>
    <w:rsid w:val="57F64296"/>
    <w:rsid w:val="57F64A80"/>
    <w:rsid w:val="57F8404E"/>
    <w:rsid w:val="57F86260"/>
    <w:rsid w:val="57F9058B"/>
    <w:rsid w:val="57F928D4"/>
    <w:rsid w:val="57F95B34"/>
    <w:rsid w:val="57F95F1E"/>
    <w:rsid w:val="57FA1FD8"/>
    <w:rsid w:val="57FA4677"/>
    <w:rsid w:val="57FB18AC"/>
    <w:rsid w:val="57FB28B2"/>
    <w:rsid w:val="57FC6388"/>
    <w:rsid w:val="57FD05CB"/>
    <w:rsid w:val="57FD3876"/>
    <w:rsid w:val="57FD4205"/>
    <w:rsid w:val="57FE314A"/>
    <w:rsid w:val="57FE389B"/>
    <w:rsid w:val="57FE50EE"/>
    <w:rsid w:val="57FE712D"/>
    <w:rsid w:val="57FF139C"/>
    <w:rsid w:val="57FF1E60"/>
    <w:rsid w:val="57FF7273"/>
    <w:rsid w:val="58003366"/>
    <w:rsid w:val="58005F33"/>
    <w:rsid w:val="58006EC2"/>
    <w:rsid w:val="5800746A"/>
    <w:rsid w:val="58012F16"/>
    <w:rsid w:val="580158F7"/>
    <w:rsid w:val="58015A54"/>
    <w:rsid w:val="58016BCD"/>
    <w:rsid w:val="58030761"/>
    <w:rsid w:val="58040088"/>
    <w:rsid w:val="58042CF9"/>
    <w:rsid w:val="58044C05"/>
    <w:rsid w:val="58045B99"/>
    <w:rsid w:val="58047084"/>
    <w:rsid w:val="58047BC4"/>
    <w:rsid w:val="5805272B"/>
    <w:rsid w:val="5806097D"/>
    <w:rsid w:val="58062B6A"/>
    <w:rsid w:val="58073C52"/>
    <w:rsid w:val="580746F5"/>
    <w:rsid w:val="580756F5"/>
    <w:rsid w:val="58075A05"/>
    <w:rsid w:val="580863F2"/>
    <w:rsid w:val="5809221B"/>
    <w:rsid w:val="58093327"/>
    <w:rsid w:val="58095D77"/>
    <w:rsid w:val="580A1AEF"/>
    <w:rsid w:val="580A51F2"/>
    <w:rsid w:val="580B0D23"/>
    <w:rsid w:val="580B2BA5"/>
    <w:rsid w:val="580B5F93"/>
    <w:rsid w:val="580B6F57"/>
    <w:rsid w:val="580D7190"/>
    <w:rsid w:val="580D7529"/>
    <w:rsid w:val="580E1BF0"/>
    <w:rsid w:val="580E6CB0"/>
    <w:rsid w:val="580E7831"/>
    <w:rsid w:val="580F192B"/>
    <w:rsid w:val="580F2C77"/>
    <w:rsid w:val="580F2EF4"/>
    <w:rsid w:val="580F32B9"/>
    <w:rsid w:val="580F6D68"/>
    <w:rsid w:val="580F7106"/>
    <w:rsid w:val="581035A9"/>
    <w:rsid w:val="58104E13"/>
    <w:rsid w:val="5810551C"/>
    <w:rsid w:val="5810594D"/>
    <w:rsid w:val="58110E74"/>
    <w:rsid w:val="581110D0"/>
    <w:rsid w:val="5811241E"/>
    <w:rsid w:val="58112E7E"/>
    <w:rsid w:val="58113DA1"/>
    <w:rsid w:val="5812190A"/>
    <w:rsid w:val="58124259"/>
    <w:rsid w:val="58125F42"/>
    <w:rsid w:val="58130B85"/>
    <w:rsid w:val="5813309A"/>
    <w:rsid w:val="5813513D"/>
    <w:rsid w:val="58136BF6"/>
    <w:rsid w:val="581373FA"/>
    <w:rsid w:val="58142175"/>
    <w:rsid w:val="5814369A"/>
    <w:rsid w:val="5814473E"/>
    <w:rsid w:val="581450C2"/>
    <w:rsid w:val="5814625D"/>
    <w:rsid w:val="581476D0"/>
    <w:rsid w:val="58150BC0"/>
    <w:rsid w:val="58151317"/>
    <w:rsid w:val="58156596"/>
    <w:rsid w:val="581616F7"/>
    <w:rsid w:val="58164938"/>
    <w:rsid w:val="581715DB"/>
    <w:rsid w:val="58177D2F"/>
    <w:rsid w:val="58191195"/>
    <w:rsid w:val="581A3733"/>
    <w:rsid w:val="581A3F0C"/>
    <w:rsid w:val="581A61D6"/>
    <w:rsid w:val="581A7F84"/>
    <w:rsid w:val="581B6ADF"/>
    <w:rsid w:val="581C03F5"/>
    <w:rsid w:val="581D136C"/>
    <w:rsid w:val="581D5CC6"/>
    <w:rsid w:val="581D5F68"/>
    <w:rsid w:val="581E1370"/>
    <w:rsid w:val="581E3D09"/>
    <w:rsid w:val="581F0CB3"/>
    <w:rsid w:val="581F2BDA"/>
    <w:rsid w:val="581F37ED"/>
    <w:rsid w:val="581F559B"/>
    <w:rsid w:val="58205C46"/>
    <w:rsid w:val="582145F5"/>
    <w:rsid w:val="58214B31"/>
    <w:rsid w:val="582157B7"/>
    <w:rsid w:val="58222C73"/>
    <w:rsid w:val="5822508B"/>
    <w:rsid w:val="5822761C"/>
    <w:rsid w:val="58227A4D"/>
    <w:rsid w:val="5823306C"/>
    <w:rsid w:val="582367B8"/>
    <w:rsid w:val="58240E03"/>
    <w:rsid w:val="58242BB1"/>
    <w:rsid w:val="58247055"/>
    <w:rsid w:val="58252215"/>
    <w:rsid w:val="5825330B"/>
    <w:rsid w:val="58256929"/>
    <w:rsid w:val="58262A5E"/>
    <w:rsid w:val="582651ED"/>
    <w:rsid w:val="5827049A"/>
    <w:rsid w:val="582708F3"/>
    <w:rsid w:val="582726A1"/>
    <w:rsid w:val="58276B45"/>
    <w:rsid w:val="58284976"/>
    <w:rsid w:val="582930E6"/>
    <w:rsid w:val="582940E7"/>
    <w:rsid w:val="582951BF"/>
    <w:rsid w:val="58295842"/>
    <w:rsid w:val="58296419"/>
    <w:rsid w:val="5829790F"/>
    <w:rsid w:val="582A0D9F"/>
    <w:rsid w:val="582A5808"/>
    <w:rsid w:val="582B03E3"/>
    <w:rsid w:val="582B2191"/>
    <w:rsid w:val="582B6A01"/>
    <w:rsid w:val="582C0B68"/>
    <w:rsid w:val="582C415B"/>
    <w:rsid w:val="582C48B7"/>
    <w:rsid w:val="582C7422"/>
    <w:rsid w:val="582D4257"/>
    <w:rsid w:val="582E1C82"/>
    <w:rsid w:val="582E3A30"/>
    <w:rsid w:val="582E3D7B"/>
    <w:rsid w:val="582E57DE"/>
    <w:rsid w:val="582F1556"/>
    <w:rsid w:val="583024E1"/>
    <w:rsid w:val="583059FA"/>
    <w:rsid w:val="583077A8"/>
    <w:rsid w:val="583114F6"/>
    <w:rsid w:val="583123B9"/>
    <w:rsid w:val="58314982"/>
    <w:rsid w:val="58320DBB"/>
    <w:rsid w:val="583348BA"/>
    <w:rsid w:val="583354EA"/>
    <w:rsid w:val="58340BB1"/>
    <w:rsid w:val="58343D8F"/>
    <w:rsid w:val="58345199"/>
    <w:rsid w:val="58346B6C"/>
    <w:rsid w:val="58350440"/>
    <w:rsid w:val="5835070A"/>
    <w:rsid w:val="58354DBE"/>
    <w:rsid w:val="5835523D"/>
    <w:rsid w:val="58360B36"/>
    <w:rsid w:val="58362591"/>
    <w:rsid w:val="583628E4"/>
    <w:rsid w:val="58366B04"/>
    <w:rsid w:val="5837203C"/>
    <w:rsid w:val="58374567"/>
    <w:rsid w:val="58374AF3"/>
    <w:rsid w:val="58381F6C"/>
    <w:rsid w:val="58382B00"/>
    <w:rsid w:val="583835F4"/>
    <w:rsid w:val="583848AE"/>
    <w:rsid w:val="58385019"/>
    <w:rsid w:val="58387191"/>
    <w:rsid w:val="583912E0"/>
    <w:rsid w:val="58395CC0"/>
    <w:rsid w:val="58397404"/>
    <w:rsid w:val="583A0626"/>
    <w:rsid w:val="583A0709"/>
    <w:rsid w:val="583A4E13"/>
    <w:rsid w:val="583A5161"/>
    <w:rsid w:val="583B1D24"/>
    <w:rsid w:val="583C439E"/>
    <w:rsid w:val="583D521D"/>
    <w:rsid w:val="583D59A4"/>
    <w:rsid w:val="583E06A5"/>
    <w:rsid w:val="583F13D4"/>
    <w:rsid w:val="583F3D2A"/>
    <w:rsid w:val="583F5C3D"/>
    <w:rsid w:val="583F72E1"/>
    <w:rsid w:val="58404706"/>
    <w:rsid w:val="584119B5"/>
    <w:rsid w:val="584147CA"/>
    <w:rsid w:val="58417C07"/>
    <w:rsid w:val="584261BB"/>
    <w:rsid w:val="58427CB3"/>
    <w:rsid w:val="5843644A"/>
    <w:rsid w:val="58437CE1"/>
    <w:rsid w:val="584414A5"/>
    <w:rsid w:val="58450A07"/>
    <w:rsid w:val="58450D79"/>
    <w:rsid w:val="584636E7"/>
    <w:rsid w:val="58464603"/>
    <w:rsid w:val="58466FCB"/>
    <w:rsid w:val="58467CB4"/>
    <w:rsid w:val="584721FB"/>
    <w:rsid w:val="584771DE"/>
    <w:rsid w:val="58492617"/>
    <w:rsid w:val="584A0389"/>
    <w:rsid w:val="584A1390"/>
    <w:rsid w:val="584A6390"/>
    <w:rsid w:val="584B64EC"/>
    <w:rsid w:val="584B78DD"/>
    <w:rsid w:val="584C5EF5"/>
    <w:rsid w:val="584D01A7"/>
    <w:rsid w:val="584D4252"/>
    <w:rsid w:val="584D5401"/>
    <w:rsid w:val="584E7C2E"/>
    <w:rsid w:val="584F2A29"/>
    <w:rsid w:val="584F6F7E"/>
    <w:rsid w:val="5850159A"/>
    <w:rsid w:val="58501BF8"/>
    <w:rsid w:val="58502D54"/>
    <w:rsid w:val="58506862"/>
    <w:rsid w:val="58515970"/>
    <w:rsid w:val="5851771E"/>
    <w:rsid w:val="58521E89"/>
    <w:rsid w:val="585316E8"/>
    <w:rsid w:val="58533496"/>
    <w:rsid w:val="5853399A"/>
    <w:rsid w:val="58535244"/>
    <w:rsid w:val="5853677A"/>
    <w:rsid w:val="5853793A"/>
    <w:rsid w:val="585422C8"/>
    <w:rsid w:val="585428CB"/>
    <w:rsid w:val="58543994"/>
    <w:rsid w:val="58546B3F"/>
    <w:rsid w:val="58550FBC"/>
    <w:rsid w:val="58555EFF"/>
    <w:rsid w:val="58564D34"/>
    <w:rsid w:val="58580AAD"/>
    <w:rsid w:val="58584F50"/>
    <w:rsid w:val="58586714"/>
    <w:rsid w:val="58586CFE"/>
    <w:rsid w:val="58590AD0"/>
    <w:rsid w:val="58595CC5"/>
    <w:rsid w:val="585969EE"/>
    <w:rsid w:val="585A076F"/>
    <w:rsid w:val="585A130E"/>
    <w:rsid w:val="585A4673"/>
    <w:rsid w:val="585A4825"/>
    <w:rsid w:val="585B234B"/>
    <w:rsid w:val="585B3B38"/>
    <w:rsid w:val="585B4ED6"/>
    <w:rsid w:val="585B5FB1"/>
    <w:rsid w:val="585B7A5B"/>
    <w:rsid w:val="585B7BCD"/>
    <w:rsid w:val="585D0B51"/>
    <w:rsid w:val="585D0BA4"/>
    <w:rsid w:val="585D4315"/>
    <w:rsid w:val="585D536E"/>
    <w:rsid w:val="585E0F3F"/>
    <w:rsid w:val="585E2C46"/>
    <w:rsid w:val="585E4C9C"/>
    <w:rsid w:val="585F008D"/>
    <w:rsid w:val="586014D2"/>
    <w:rsid w:val="58601CC0"/>
    <w:rsid w:val="58602475"/>
    <w:rsid w:val="5860322D"/>
    <w:rsid w:val="58603A98"/>
    <w:rsid w:val="58605891"/>
    <w:rsid w:val="5861257C"/>
    <w:rsid w:val="58613E05"/>
    <w:rsid w:val="58615BB3"/>
    <w:rsid w:val="58617BA5"/>
    <w:rsid w:val="5862215A"/>
    <w:rsid w:val="58623230"/>
    <w:rsid w:val="58623574"/>
    <w:rsid w:val="586236D9"/>
    <w:rsid w:val="58627B7D"/>
    <w:rsid w:val="58631095"/>
    <w:rsid w:val="58631232"/>
    <w:rsid w:val="58631D16"/>
    <w:rsid w:val="58632717"/>
    <w:rsid w:val="58636B8E"/>
    <w:rsid w:val="58640EBA"/>
    <w:rsid w:val="586456A3"/>
    <w:rsid w:val="5864776B"/>
    <w:rsid w:val="58661294"/>
    <w:rsid w:val="586631C9"/>
    <w:rsid w:val="5866766D"/>
    <w:rsid w:val="58667F89"/>
    <w:rsid w:val="58672927"/>
    <w:rsid w:val="586734AA"/>
    <w:rsid w:val="58675193"/>
    <w:rsid w:val="58676F42"/>
    <w:rsid w:val="58683912"/>
    <w:rsid w:val="58685C90"/>
    <w:rsid w:val="58690F0C"/>
    <w:rsid w:val="58694DA2"/>
    <w:rsid w:val="58695B91"/>
    <w:rsid w:val="586A45B5"/>
    <w:rsid w:val="586B07E0"/>
    <w:rsid w:val="586C27AA"/>
    <w:rsid w:val="586C3723"/>
    <w:rsid w:val="586C4558"/>
    <w:rsid w:val="586C4C5A"/>
    <w:rsid w:val="586D2B2C"/>
    <w:rsid w:val="586E0172"/>
    <w:rsid w:val="586E02D0"/>
    <w:rsid w:val="586E207E"/>
    <w:rsid w:val="586E4418"/>
    <w:rsid w:val="586F0298"/>
    <w:rsid w:val="586F20F3"/>
    <w:rsid w:val="586F5155"/>
    <w:rsid w:val="5870229A"/>
    <w:rsid w:val="58704048"/>
    <w:rsid w:val="58711B6E"/>
    <w:rsid w:val="58712080"/>
    <w:rsid w:val="58712BBA"/>
    <w:rsid w:val="58713D7B"/>
    <w:rsid w:val="58715BE7"/>
    <w:rsid w:val="587160D8"/>
    <w:rsid w:val="587221CF"/>
    <w:rsid w:val="58722240"/>
    <w:rsid w:val="58723D88"/>
    <w:rsid w:val="58726012"/>
    <w:rsid w:val="58727DC0"/>
    <w:rsid w:val="58733B38"/>
    <w:rsid w:val="58736CEA"/>
    <w:rsid w:val="58737694"/>
    <w:rsid w:val="587425A5"/>
    <w:rsid w:val="5875340D"/>
    <w:rsid w:val="58753885"/>
    <w:rsid w:val="587578B0"/>
    <w:rsid w:val="5876686B"/>
    <w:rsid w:val="58767185"/>
    <w:rsid w:val="5878114F"/>
    <w:rsid w:val="58781A4A"/>
    <w:rsid w:val="58785923"/>
    <w:rsid w:val="58793156"/>
    <w:rsid w:val="5879339B"/>
    <w:rsid w:val="58794897"/>
    <w:rsid w:val="587A0A23"/>
    <w:rsid w:val="587A4EC7"/>
    <w:rsid w:val="587A6C75"/>
    <w:rsid w:val="587B1D88"/>
    <w:rsid w:val="587C0498"/>
    <w:rsid w:val="587C29ED"/>
    <w:rsid w:val="587C3218"/>
    <w:rsid w:val="587D0513"/>
    <w:rsid w:val="587D473C"/>
    <w:rsid w:val="587D49B7"/>
    <w:rsid w:val="587F1238"/>
    <w:rsid w:val="587F24DD"/>
    <w:rsid w:val="587F428B"/>
    <w:rsid w:val="587F43BC"/>
    <w:rsid w:val="587F6FC8"/>
    <w:rsid w:val="58801DB1"/>
    <w:rsid w:val="58816331"/>
    <w:rsid w:val="588211A8"/>
    <w:rsid w:val="58823D7B"/>
    <w:rsid w:val="58826B02"/>
    <w:rsid w:val="58830E15"/>
    <w:rsid w:val="58833B98"/>
    <w:rsid w:val="588367EB"/>
    <w:rsid w:val="58837C50"/>
    <w:rsid w:val="58845AE8"/>
    <w:rsid w:val="58847AF3"/>
    <w:rsid w:val="588673C8"/>
    <w:rsid w:val="5887183A"/>
    <w:rsid w:val="58872F04"/>
    <w:rsid w:val="588743D1"/>
    <w:rsid w:val="58876D61"/>
    <w:rsid w:val="5887701A"/>
    <w:rsid w:val="58892F66"/>
    <w:rsid w:val="5889335C"/>
    <w:rsid w:val="5889510A"/>
    <w:rsid w:val="588962EC"/>
    <w:rsid w:val="588A6E09"/>
    <w:rsid w:val="588B0E82"/>
    <w:rsid w:val="588B70D4"/>
    <w:rsid w:val="588D2A5C"/>
    <w:rsid w:val="588D4BFA"/>
    <w:rsid w:val="588D66DB"/>
    <w:rsid w:val="588D71B2"/>
    <w:rsid w:val="588E0972"/>
    <w:rsid w:val="588F168E"/>
    <w:rsid w:val="58900246"/>
    <w:rsid w:val="589046EA"/>
    <w:rsid w:val="58906B0C"/>
    <w:rsid w:val="58910F7F"/>
    <w:rsid w:val="589124EF"/>
    <w:rsid w:val="58922210"/>
    <w:rsid w:val="5893000F"/>
    <w:rsid w:val="58931118"/>
    <w:rsid w:val="58940D2D"/>
    <w:rsid w:val="589472C1"/>
    <w:rsid w:val="5895585D"/>
    <w:rsid w:val="58955D01"/>
    <w:rsid w:val="5895746F"/>
    <w:rsid w:val="589715D5"/>
    <w:rsid w:val="58977655"/>
    <w:rsid w:val="5898359F"/>
    <w:rsid w:val="58983AEB"/>
    <w:rsid w:val="5898534D"/>
    <w:rsid w:val="589870FB"/>
    <w:rsid w:val="589907AF"/>
    <w:rsid w:val="58992394"/>
    <w:rsid w:val="58995D36"/>
    <w:rsid w:val="589A10C5"/>
    <w:rsid w:val="589A4781"/>
    <w:rsid w:val="589B5FCD"/>
    <w:rsid w:val="589C10C1"/>
    <w:rsid w:val="589C308F"/>
    <w:rsid w:val="589C442A"/>
    <w:rsid w:val="589C4E3D"/>
    <w:rsid w:val="589D0B96"/>
    <w:rsid w:val="589D0BB5"/>
    <w:rsid w:val="589D2EB3"/>
    <w:rsid w:val="589D6301"/>
    <w:rsid w:val="589E6E07"/>
    <w:rsid w:val="589E7A7A"/>
    <w:rsid w:val="589F0EF6"/>
    <w:rsid w:val="589F32FA"/>
    <w:rsid w:val="589F66B3"/>
    <w:rsid w:val="58A0720E"/>
    <w:rsid w:val="58A106A5"/>
    <w:rsid w:val="58A12453"/>
    <w:rsid w:val="58A177A1"/>
    <w:rsid w:val="58A23F37"/>
    <w:rsid w:val="58A24F33"/>
    <w:rsid w:val="58A25F95"/>
    <w:rsid w:val="58A3441E"/>
    <w:rsid w:val="58A37F55"/>
    <w:rsid w:val="58A40196"/>
    <w:rsid w:val="58A41F44"/>
    <w:rsid w:val="58A42635"/>
    <w:rsid w:val="58A43CF2"/>
    <w:rsid w:val="58A45FE9"/>
    <w:rsid w:val="58A46651"/>
    <w:rsid w:val="58A52C90"/>
    <w:rsid w:val="58A53D86"/>
    <w:rsid w:val="58A540DC"/>
    <w:rsid w:val="58A612FD"/>
    <w:rsid w:val="58A61818"/>
    <w:rsid w:val="58A65CBC"/>
    <w:rsid w:val="58A66BBE"/>
    <w:rsid w:val="58A67A6A"/>
    <w:rsid w:val="58A77521"/>
    <w:rsid w:val="58A77C59"/>
    <w:rsid w:val="58A80BFE"/>
    <w:rsid w:val="58A837E2"/>
    <w:rsid w:val="58A87748"/>
    <w:rsid w:val="58A91308"/>
    <w:rsid w:val="58A91860"/>
    <w:rsid w:val="58A96F31"/>
    <w:rsid w:val="58A9755A"/>
    <w:rsid w:val="58AA3618"/>
    <w:rsid w:val="58AA37DC"/>
    <w:rsid w:val="58AA6296"/>
    <w:rsid w:val="58AB32D2"/>
    <w:rsid w:val="58AB35F3"/>
    <w:rsid w:val="58AB4B55"/>
    <w:rsid w:val="58AB5080"/>
    <w:rsid w:val="58AB6E2E"/>
    <w:rsid w:val="58AC2BA6"/>
    <w:rsid w:val="58AC5FE5"/>
    <w:rsid w:val="58AD0DF8"/>
    <w:rsid w:val="58AD3520"/>
    <w:rsid w:val="58AE14E6"/>
    <w:rsid w:val="58AE73DB"/>
    <w:rsid w:val="58B02697"/>
    <w:rsid w:val="58B061F7"/>
    <w:rsid w:val="58B101BD"/>
    <w:rsid w:val="58B1275E"/>
    <w:rsid w:val="58B16DE5"/>
    <w:rsid w:val="58B23BD3"/>
    <w:rsid w:val="58B24994"/>
    <w:rsid w:val="58B24C75"/>
    <w:rsid w:val="58B2640F"/>
    <w:rsid w:val="58B31F22"/>
    <w:rsid w:val="58B32187"/>
    <w:rsid w:val="58B33CCF"/>
    <w:rsid w:val="58B34AE2"/>
    <w:rsid w:val="58B42919"/>
    <w:rsid w:val="58B472A9"/>
    <w:rsid w:val="58B507D8"/>
    <w:rsid w:val="58B51DB1"/>
    <w:rsid w:val="58B55EFF"/>
    <w:rsid w:val="58B569BD"/>
    <w:rsid w:val="58B57CAD"/>
    <w:rsid w:val="58B57EAC"/>
    <w:rsid w:val="58B633A9"/>
    <w:rsid w:val="58B72394"/>
    <w:rsid w:val="58B73A25"/>
    <w:rsid w:val="58B757D6"/>
    <w:rsid w:val="58B75AA8"/>
    <w:rsid w:val="58B75CC9"/>
    <w:rsid w:val="58B77EC9"/>
    <w:rsid w:val="58B77F1B"/>
    <w:rsid w:val="58B80A02"/>
    <w:rsid w:val="58B82132"/>
    <w:rsid w:val="58B852E0"/>
    <w:rsid w:val="58B92F82"/>
    <w:rsid w:val="58BA76CE"/>
    <w:rsid w:val="58BB6419"/>
    <w:rsid w:val="58BC0E07"/>
    <w:rsid w:val="58BC340F"/>
    <w:rsid w:val="58BC5A66"/>
    <w:rsid w:val="58BC7AA8"/>
    <w:rsid w:val="58BD28DE"/>
    <w:rsid w:val="58BD3D04"/>
    <w:rsid w:val="58BD4DB3"/>
    <w:rsid w:val="58BD6A84"/>
    <w:rsid w:val="58BD71CE"/>
    <w:rsid w:val="58BE247D"/>
    <w:rsid w:val="58BE55EE"/>
    <w:rsid w:val="58BF6D7E"/>
    <w:rsid w:val="58C0702C"/>
    <w:rsid w:val="58C12AF6"/>
    <w:rsid w:val="58C161B4"/>
    <w:rsid w:val="58C2075D"/>
    <w:rsid w:val="58C224BF"/>
    <w:rsid w:val="58C26CBB"/>
    <w:rsid w:val="58C3061C"/>
    <w:rsid w:val="58C3426C"/>
    <w:rsid w:val="58C37209"/>
    <w:rsid w:val="58C425E6"/>
    <w:rsid w:val="58C44394"/>
    <w:rsid w:val="58C51C5D"/>
    <w:rsid w:val="58C55072"/>
    <w:rsid w:val="58C61EBA"/>
    <w:rsid w:val="58C62CC0"/>
    <w:rsid w:val="58C63C68"/>
    <w:rsid w:val="58C641C0"/>
    <w:rsid w:val="58C765B6"/>
    <w:rsid w:val="58C779E0"/>
    <w:rsid w:val="58C83E84"/>
    <w:rsid w:val="58C86C4E"/>
    <w:rsid w:val="58C8702E"/>
    <w:rsid w:val="58C87A61"/>
    <w:rsid w:val="58C9057C"/>
    <w:rsid w:val="58C9181F"/>
    <w:rsid w:val="58C919AA"/>
    <w:rsid w:val="58C93758"/>
    <w:rsid w:val="58CA295E"/>
    <w:rsid w:val="58CB01FE"/>
    <w:rsid w:val="58CB127E"/>
    <w:rsid w:val="58CB74D0"/>
    <w:rsid w:val="58CC01A0"/>
    <w:rsid w:val="58CC5B09"/>
    <w:rsid w:val="58CD149A"/>
    <w:rsid w:val="58CD6FE3"/>
    <w:rsid w:val="58CE075A"/>
    <w:rsid w:val="58CE0D6F"/>
    <w:rsid w:val="58CE0F37"/>
    <w:rsid w:val="58CE6F8E"/>
    <w:rsid w:val="58CE6FC1"/>
    <w:rsid w:val="58CF09EC"/>
    <w:rsid w:val="58CF0B8B"/>
    <w:rsid w:val="58CF29C4"/>
    <w:rsid w:val="58CF33BC"/>
    <w:rsid w:val="58CF3F50"/>
    <w:rsid w:val="58D00F8B"/>
    <w:rsid w:val="58D027AF"/>
    <w:rsid w:val="58D02D39"/>
    <w:rsid w:val="58D053E0"/>
    <w:rsid w:val="58D16870"/>
    <w:rsid w:val="58D16E92"/>
    <w:rsid w:val="58D177F1"/>
    <w:rsid w:val="58D2085F"/>
    <w:rsid w:val="58D2219E"/>
    <w:rsid w:val="58D2260D"/>
    <w:rsid w:val="58D23533"/>
    <w:rsid w:val="58D26AB1"/>
    <w:rsid w:val="58D330C0"/>
    <w:rsid w:val="58D354A2"/>
    <w:rsid w:val="58D356D2"/>
    <w:rsid w:val="58D36385"/>
    <w:rsid w:val="58D41197"/>
    <w:rsid w:val="58D41B18"/>
    <w:rsid w:val="58D41D88"/>
    <w:rsid w:val="58D42829"/>
    <w:rsid w:val="58D43AEF"/>
    <w:rsid w:val="58D45022"/>
    <w:rsid w:val="58D451F1"/>
    <w:rsid w:val="58D45A54"/>
    <w:rsid w:val="58D46167"/>
    <w:rsid w:val="58D534BA"/>
    <w:rsid w:val="58D536CC"/>
    <w:rsid w:val="58D53AF8"/>
    <w:rsid w:val="58D61252"/>
    <w:rsid w:val="58D61911"/>
    <w:rsid w:val="58D62EE5"/>
    <w:rsid w:val="58D63201"/>
    <w:rsid w:val="58D66635"/>
    <w:rsid w:val="58D66D2D"/>
    <w:rsid w:val="58D73BD1"/>
    <w:rsid w:val="58D83B72"/>
    <w:rsid w:val="58D92D4F"/>
    <w:rsid w:val="58D946B1"/>
    <w:rsid w:val="58D946F7"/>
    <w:rsid w:val="58D95C71"/>
    <w:rsid w:val="58D97E3F"/>
    <w:rsid w:val="58DA3BB7"/>
    <w:rsid w:val="58DA5965"/>
    <w:rsid w:val="58DA5E43"/>
    <w:rsid w:val="58DA79DE"/>
    <w:rsid w:val="58DB24F3"/>
    <w:rsid w:val="58DC16DE"/>
    <w:rsid w:val="58DC3E49"/>
    <w:rsid w:val="58DC7930"/>
    <w:rsid w:val="58DD027A"/>
    <w:rsid w:val="58DD0FB2"/>
    <w:rsid w:val="58DE2787"/>
    <w:rsid w:val="58DE40AB"/>
    <w:rsid w:val="58DE7204"/>
    <w:rsid w:val="58DF4D2A"/>
    <w:rsid w:val="58E01FBF"/>
    <w:rsid w:val="58E027D9"/>
    <w:rsid w:val="58E10C84"/>
    <w:rsid w:val="58E10F36"/>
    <w:rsid w:val="58E14F46"/>
    <w:rsid w:val="58E20155"/>
    <w:rsid w:val="58E21C7F"/>
    <w:rsid w:val="58E23D5B"/>
    <w:rsid w:val="58E30C85"/>
    <w:rsid w:val="58E30CBE"/>
    <w:rsid w:val="58E40592"/>
    <w:rsid w:val="58E42340"/>
    <w:rsid w:val="58E60D47"/>
    <w:rsid w:val="58E6255C"/>
    <w:rsid w:val="58E6430A"/>
    <w:rsid w:val="58E660B8"/>
    <w:rsid w:val="58E6724D"/>
    <w:rsid w:val="58E80082"/>
    <w:rsid w:val="58E81E30"/>
    <w:rsid w:val="58E84AF7"/>
    <w:rsid w:val="58E862D4"/>
    <w:rsid w:val="58E86386"/>
    <w:rsid w:val="58E86F94"/>
    <w:rsid w:val="58E87218"/>
    <w:rsid w:val="58E90BE9"/>
    <w:rsid w:val="58E95F87"/>
    <w:rsid w:val="58E97957"/>
    <w:rsid w:val="58EA204C"/>
    <w:rsid w:val="58EB36CF"/>
    <w:rsid w:val="58EB7B73"/>
    <w:rsid w:val="58EC2171"/>
    <w:rsid w:val="58EC6049"/>
    <w:rsid w:val="58EC6D45"/>
    <w:rsid w:val="58ED38EB"/>
    <w:rsid w:val="58ED4908"/>
    <w:rsid w:val="58ED4A43"/>
    <w:rsid w:val="58ED51CF"/>
    <w:rsid w:val="58ED5699"/>
    <w:rsid w:val="58ED5ED8"/>
    <w:rsid w:val="58ED7447"/>
    <w:rsid w:val="58EE4099"/>
    <w:rsid w:val="58EF7663"/>
    <w:rsid w:val="58F01409"/>
    <w:rsid w:val="58F033DB"/>
    <w:rsid w:val="58F0498E"/>
    <w:rsid w:val="58F112D0"/>
    <w:rsid w:val="58F1329E"/>
    <w:rsid w:val="58F20F01"/>
    <w:rsid w:val="58F22CAF"/>
    <w:rsid w:val="58F24A5D"/>
    <w:rsid w:val="58F26E37"/>
    <w:rsid w:val="58F3077A"/>
    <w:rsid w:val="58F3334B"/>
    <w:rsid w:val="58F4020E"/>
    <w:rsid w:val="58F44C79"/>
    <w:rsid w:val="58F46A27"/>
    <w:rsid w:val="58F475CA"/>
    <w:rsid w:val="58F509F1"/>
    <w:rsid w:val="58F5279F"/>
    <w:rsid w:val="58F53BD9"/>
    <w:rsid w:val="58F5454D"/>
    <w:rsid w:val="58F6083C"/>
    <w:rsid w:val="58F62B32"/>
    <w:rsid w:val="58F72073"/>
    <w:rsid w:val="58F721E3"/>
    <w:rsid w:val="58F76517"/>
    <w:rsid w:val="58F83E64"/>
    <w:rsid w:val="58F929DB"/>
    <w:rsid w:val="58F9403E"/>
    <w:rsid w:val="58FA09F0"/>
    <w:rsid w:val="58FA1B64"/>
    <w:rsid w:val="58FA1DFD"/>
    <w:rsid w:val="58FA2BAD"/>
    <w:rsid w:val="58FA6008"/>
    <w:rsid w:val="58FA747A"/>
    <w:rsid w:val="58FA7DB6"/>
    <w:rsid w:val="58FB5533"/>
    <w:rsid w:val="58FC02AD"/>
    <w:rsid w:val="58FC3385"/>
    <w:rsid w:val="58FC3B2E"/>
    <w:rsid w:val="58FC58DC"/>
    <w:rsid w:val="58FC6858"/>
    <w:rsid w:val="58FC6D00"/>
    <w:rsid w:val="58FC79A3"/>
    <w:rsid w:val="58FD7B91"/>
    <w:rsid w:val="58FE01DE"/>
    <w:rsid w:val="58FE045E"/>
    <w:rsid w:val="58FE1654"/>
    <w:rsid w:val="58FE3C44"/>
    <w:rsid w:val="58FE525C"/>
    <w:rsid w:val="58FE588D"/>
    <w:rsid w:val="58FE6DA1"/>
    <w:rsid w:val="58FF53CC"/>
    <w:rsid w:val="58FF717A"/>
    <w:rsid w:val="59002D7E"/>
    <w:rsid w:val="5900361E"/>
    <w:rsid w:val="590044BF"/>
    <w:rsid w:val="5900647A"/>
    <w:rsid w:val="59011144"/>
    <w:rsid w:val="59011212"/>
    <w:rsid w:val="59015B59"/>
    <w:rsid w:val="59023E26"/>
    <w:rsid w:val="59026DDF"/>
    <w:rsid w:val="5903310E"/>
    <w:rsid w:val="59034EBC"/>
    <w:rsid w:val="59034F2B"/>
    <w:rsid w:val="59036C6A"/>
    <w:rsid w:val="590442D0"/>
    <w:rsid w:val="59044790"/>
    <w:rsid w:val="59050C34"/>
    <w:rsid w:val="5906350F"/>
    <w:rsid w:val="59065E48"/>
    <w:rsid w:val="5906675A"/>
    <w:rsid w:val="590725AF"/>
    <w:rsid w:val="59072B6C"/>
    <w:rsid w:val="5907335D"/>
    <w:rsid w:val="5907336E"/>
    <w:rsid w:val="590766A7"/>
    <w:rsid w:val="5908598F"/>
    <w:rsid w:val="59087044"/>
    <w:rsid w:val="59087431"/>
    <w:rsid w:val="59091DA7"/>
    <w:rsid w:val="5909466C"/>
    <w:rsid w:val="590A16F4"/>
    <w:rsid w:val="590A1F1E"/>
    <w:rsid w:val="590A5668"/>
    <w:rsid w:val="590B1FC3"/>
    <w:rsid w:val="590B3D71"/>
    <w:rsid w:val="590B7E91"/>
    <w:rsid w:val="590C0161"/>
    <w:rsid w:val="590C12BE"/>
    <w:rsid w:val="590C286E"/>
    <w:rsid w:val="590C36B9"/>
    <w:rsid w:val="590D0011"/>
    <w:rsid w:val="590F1AB3"/>
    <w:rsid w:val="590F3861"/>
    <w:rsid w:val="590F7ABB"/>
    <w:rsid w:val="591000D4"/>
    <w:rsid w:val="59101207"/>
    <w:rsid w:val="591056E7"/>
    <w:rsid w:val="59115444"/>
    <w:rsid w:val="59116013"/>
    <w:rsid w:val="5912075A"/>
    <w:rsid w:val="59123665"/>
    <w:rsid w:val="591250FF"/>
    <w:rsid w:val="591332A3"/>
    <w:rsid w:val="5914020D"/>
    <w:rsid w:val="59142174"/>
    <w:rsid w:val="59142684"/>
    <w:rsid w:val="59142C25"/>
    <w:rsid w:val="591438A3"/>
    <w:rsid w:val="59154BEF"/>
    <w:rsid w:val="5915699E"/>
    <w:rsid w:val="59162E41"/>
    <w:rsid w:val="59163636"/>
    <w:rsid w:val="59164226"/>
    <w:rsid w:val="59170968"/>
    <w:rsid w:val="5917349C"/>
    <w:rsid w:val="591744C4"/>
    <w:rsid w:val="59182517"/>
    <w:rsid w:val="5919023C"/>
    <w:rsid w:val="591923BD"/>
    <w:rsid w:val="59192495"/>
    <w:rsid w:val="591946E0"/>
    <w:rsid w:val="5919648E"/>
    <w:rsid w:val="591A2206"/>
    <w:rsid w:val="591A7E3E"/>
    <w:rsid w:val="591C0E16"/>
    <w:rsid w:val="591C1ADA"/>
    <w:rsid w:val="591C41D0"/>
    <w:rsid w:val="591C5F7E"/>
    <w:rsid w:val="591C7C07"/>
    <w:rsid w:val="591C7D2C"/>
    <w:rsid w:val="591D2213"/>
    <w:rsid w:val="591E1CF6"/>
    <w:rsid w:val="591E6A76"/>
    <w:rsid w:val="591F15CA"/>
    <w:rsid w:val="591F781C"/>
    <w:rsid w:val="59202935"/>
    <w:rsid w:val="59205A6E"/>
    <w:rsid w:val="592117DB"/>
    <w:rsid w:val="59213594"/>
    <w:rsid w:val="592137F8"/>
    <w:rsid w:val="59215342"/>
    <w:rsid w:val="592310BA"/>
    <w:rsid w:val="59232E69"/>
    <w:rsid w:val="59244BE6"/>
    <w:rsid w:val="59246BE1"/>
    <w:rsid w:val="59247E56"/>
    <w:rsid w:val="59247F34"/>
    <w:rsid w:val="59254D4A"/>
    <w:rsid w:val="59254E33"/>
    <w:rsid w:val="59260BAB"/>
    <w:rsid w:val="592613B8"/>
    <w:rsid w:val="592620C9"/>
    <w:rsid w:val="59262959"/>
    <w:rsid w:val="592661DA"/>
    <w:rsid w:val="59266DFD"/>
    <w:rsid w:val="59272B82"/>
    <w:rsid w:val="59275F76"/>
    <w:rsid w:val="59280C08"/>
    <w:rsid w:val="592863DC"/>
    <w:rsid w:val="592866D1"/>
    <w:rsid w:val="59290942"/>
    <w:rsid w:val="592A069B"/>
    <w:rsid w:val="592A2449"/>
    <w:rsid w:val="592A7461"/>
    <w:rsid w:val="592C389A"/>
    <w:rsid w:val="592C469D"/>
    <w:rsid w:val="592C676D"/>
    <w:rsid w:val="592D1F39"/>
    <w:rsid w:val="592D3CE7"/>
    <w:rsid w:val="592E34CE"/>
    <w:rsid w:val="592E3820"/>
    <w:rsid w:val="592E6ADF"/>
    <w:rsid w:val="592F3F03"/>
    <w:rsid w:val="592F587F"/>
    <w:rsid w:val="592F5CB1"/>
    <w:rsid w:val="592F728C"/>
    <w:rsid w:val="592F7A5F"/>
    <w:rsid w:val="59301A29"/>
    <w:rsid w:val="59305585"/>
    <w:rsid w:val="593066F1"/>
    <w:rsid w:val="593212FE"/>
    <w:rsid w:val="593254E5"/>
    <w:rsid w:val="593257A1"/>
    <w:rsid w:val="593333F2"/>
    <w:rsid w:val="593368A1"/>
    <w:rsid w:val="59345076"/>
    <w:rsid w:val="593459EF"/>
    <w:rsid w:val="59350DEE"/>
    <w:rsid w:val="59352B9C"/>
    <w:rsid w:val="593612C5"/>
    <w:rsid w:val="59372DB8"/>
    <w:rsid w:val="59376914"/>
    <w:rsid w:val="593773EE"/>
    <w:rsid w:val="59380668"/>
    <w:rsid w:val="59381A7E"/>
    <w:rsid w:val="59384784"/>
    <w:rsid w:val="5939268C"/>
    <w:rsid w:val="5939309D"/>
    <w:rsid w:val="59396B30"/>
    <w:rsid w:val="593A1111"/>
    <w:rsid w:val="593A597E"/>
    <w:rsid w:val="593A6404"/>
    <w:rsid w:val="593B3532"/>
    <w:rsid w:val="593B4656"/>
    <w:rsid w:val="593B60AD"/>
    <w:rsid w:val="593C0CA9"/>
    <w:rsid w:val="593C217C"/>
    <w:rsid w:val="593C6994"/>
    <w:rsid w:val="593D549C"/>
    <w:rsid w:val="593D6EE9"/>
    <w:rsid w:val="593E5532"/>
    <w:rsid w:val="593E58F0"/>
    <w:rsid w:val="593F0A05"/>
    <w:rsid w:val="593F20B7"/>
    <w:rsid w:val="593F3A1A"/>
    <w:rsid w:val="5940342F"/>
    <w:rsid w:val="59407906"/>
    <w:rsid w:val="59410B35"/>
    <w:rsid w:val="59411541"/>
    <w:rsid w:val="59412334"/>
    <w:rsid w:val="59412DE1"/>
    <w:rsid w:val="59413C36"/>
    <w:rsid w:val="59415079"/>
    <w:rsid w:val="594159E5"/>
    <w:rsid w:val="59417793"/>
    <w:rsid w:val="59420519"/>
    <w:rsid w:val="59421FDC"/>
    <w:rsid w:val="5942215D"/>
    <w:rsid w:val="59423346"/>
    <w:rsid w:val="59424433"/>
    <w:rsid w:val="59426E4E"/>
    <w:rsid w:val="5943110E"/>
    <w:rsid w:val="5943112E"/>
    <w:rsid w:val="59434AC4"/>
    <w:rsid w:val="59434F08"/>
    <w:rsid w:val="594352B9"/>
    <w:rsid w:val="59435E87"/>
    <w:rsid w:val="59442D7B"/>
    <w:rsid w:val="594432EF"/>
    <w:rsid w:val="59443C51"/>
    <w:rsid w:val="594445FC"/>
    <w:rsid w:val="594564B2"/>
    <w:rsid w:val="594612F2"/>
    <w:rsid w:val="59464DA9"/>
    <w:rsid w:val="594700E3"/>
    <w:rsid w:val="5947124D"/>
    <w:rsid w:val="59473E55"/>
    <w:rsid w:val="59475512"/>
    <w:rsid w:val="594828CF"/>
    <w:rsid w:val="59482AA6"/>
    <w:rsid w:val="594873E4"/>
    <w:rsid w:val="59492A03"/>
    <w:rsid w:val="594953CE"/>
    <w:rsid w:val="594975DD"/>
    <w:rsid w:val="594A5B4D"/>
    <w:rsid w:val="594A6647"/>
    <w:rsid w:val="594B0611"/>
    <w:rsid w:val="594B23BF"/>
    <w:rsid w:val="594B35C4"/>
    <w:rsid w:val="594B7EAF"/>
    <w:rsid w:val="594C0338"/>
    <w:rsid w:val="594C6863"/>
    <w:rsid w:val="594D0969"/>
    <w:rsid w:val="594D2448"/>
    <w:rsid w:val="594D4389"/>
    <w:rsid w:val="594D6137"/>
    <w:rsid w:val="594E3790"/>
    <w:rsid w:val="594E3CA4"/>
    <w:rsid w:val="594E3FF0"/>
    <w:rsid w:val="594E53E5"/>
    <w:rsid w:val="594E6200"/>
    <w:rsid w:val="594F0101"/>
    <w:rsid w:val="594F1EAF"/>
    <w:rsid w:val="594F3C5E"/>
    <w:rsid w:val="594F4A95"/>
    <w:rsid w:val="594F68EF"/>
    <w:rsid w:val="59501239"/>
    <w:rsid w:val="59505C28"/>
    <w:rsid w:val="595079D6"/>
    <w:rsid w:val="59513E7A"/>
    <w:rsid w:val="5951505E"/>
    <w:rsid w:val="595222AB"/>
    <w:rsid w:val="5952374E"/>
    <w:rsid w:val="595272C1"/>
    <w:rsid w:val="5953321D"/>
    <w:rsid w:val="595419DA"/>
    <w:rsid w:val="5954305C"/>
    <w:rsid w:val="59545051"/>
    <w:rsid w:val="59545718"/>
    <w:rsid w:val="59554FEC"/>
    <w:rsid w:val="5955770B"/>
    <w:rsid w:val="59572B86"/>
    <w:rsid w:val="59575007"/>
    <w:rsid w:val="595764E2"/>
    <w:rsid w:val="59580388"/>
    <w:rsid w:val="5958611D"/>
    <w:rsid w:val="59590F80"/>
    <w:rsid w:val="59592D2E"/>
    <w:rsid w:val="595A2602"/>
    <w:rsid w:val="595B05E7"/>
    <w:rsid w:val="595B0854"/>
    <w:rsid w:val="595B4E18"/>
    <w:rsid w:val="595B648D"/>
    <w:rsid w:val="595B6559"/>
    <w:rsid w:val="595B6AA6"/>
    <w:rsid w:val="595B7B57"/>
    <w:rsid w:val="595C1E69"/>
    <w:rsid w:val="595C281E"/>
    <w:rsid w:val="595C45CC"/>
    <w:rsid w:val="595D7738"/>
    <w:rsid w:val="595E0A50"/>
    <w:rsid w:val="595E20F3"/>
    <w:rsid w:val="595E4EDA"/>
    <w:rsid w:val="595E6596"/>
    <w:rsid w:val="595F4C29"/>
    <w:rsid w:val="59600F92"/>
    <w:rsid w:val="59601815"/>
    <w:rsid w:val="5960230F"/>
    <w:rsid w:val="596040BD"/>
    <w:rsid w:val="59611BE3"/>
    <w:rsid w:val="59613640"/>
    <w:rsid w:val="5961677D"/>
    <w:rsid w:val="596173AF"/>
    <w:rsid w:val="59617A7C"/>
    <w:rsid w:val="59617E35"/>
    <w:rsid w:val="5962565A"/>
    <w:rsid w:val="596335AA"/>
    <w:rsid w:val="5963595B"/>
    <w:rsid w:val="59637709"/>
    <w:rsid w:val="596377A1"/>
    <w:rsid w:val="59641EA2"/>
    <w:rsid w:val="596508EF"/>
    <w:rsid w:val="596516D3"/>
    <w:rsid w:val="59657925"/>
    <w:rsid w:val="59662674"/>
    <w:rsid w:val="5966458A"/>
    <w:rsid w:val="59665C11"/>
    <w:rsid w:val="59670634"/>
    <w:rsid w:val="59670EB0"/>
    <w:rsid w:val="5967258A"/>
    <w:rsid w:val="5967369D"/>
    <w:rsid w:val="59682F71"/>
    <w:rsid w:val="5968741C"/>
    <w:rsid w:val="596908AC"/>
    <w:rsid w:val="596921AE"/>
    <w:rsid w:val="59694D38"/>
    <w:rsid w:val="596A0A97"/>
    <w:rsid w:val="596A7DCD"/>
    <w:rsid w:val="596B0AA6"/>
    <w:rsid w:val="596B6FBD"/>
    <w:rsid w:val="596C0CB3"/>
    <w:rsid w:val="596C66E6"/>
    <w:rsid w:val="596C74DE"/>
    <w:rsid w:val="596C75CE"/>
    <w:rsid w:val="596D0588"/>
    <w:rsid w:val="596D7189"/>
    <w:rsid w:val="596F4300"/>
    <w:rsid w:val="596F5DC6"/>
    <w:rsid w:val="59700C71"/>
    <w:rsid w:val="59701E26"/>
    <w:rsid w:val="597072EF"/>
    <w:rsid w:val="59710078"/>
    <w:rsid w:val="59710BF6"/>
    <w:rsid w:val="5971703E"/>
    <w:rsid w:val="5972392C"/>
    <w:rsid w:val="59723DF0"/>
    <w:rsid w:val="59725AF3"/>
    <w:rsid w:val="59725B9E"/>
    <w:rsid w:val="59741916"/>
    <w:rsid w:val="59746740"/>
    <w:rsid w:val="59750590"/>
    <w:rsid w:val="5975743C"/>
    <w:rsid w:val="59760330"/>
    <w:rsid w:val="59771406"/>
    <w:rsid w:val="59771588"/>
    <w:rsid w:val="59771E7D"/>
    <w:rsid w:val="597727E3"/>
    <w:rsid w:val="597731B4"/>
    <w:rsid w:val="597933D0"/>
    <w:rsid w:val="5979517E"/>
    <w:rsid w:val="59796F2C"/>
    <w:rsid w:val="597A1BE3"/>
    <w:rsid w:val="597A4A53"/>
    <w:rsid w:val="597B0D4A"/>
    <w:rsid w:val="597B4402"/>
    <w:rsid w:val="597B7DE5"/>
    <w:rsid w:val="597B7E05"/>
    <w:rsid w:val="597C04CE"/>
    <w:rsid w:val="597C1D67"/>
    <w:rsid w:val="597C53CD"/>
    <w:rsid w:val="597E09E7"/>
    <w:rsid w:val="597E38B0"/>
    <w:rsid w:val="597E4825"/>
    <w:rsid w:val="597E69FA"/>
    <w:rsid w:val="597F13A4"/>
    <w:rsid w:val="597F4F29"/>
    <w:rsid w:val="598002BB"/>
    <w:rsid w:val="59814033"/>
    <w:rsid w:val="59815DE1"/>
    <w:rsid w:val="5982194E"/>
    <w:rsid w:val="59822285"/>
    <w:rsid w:val="5982618D"/>
    <w:rsid w:val="59826F78"/>
    <w:rsid w:val="59830A08"/>
    <w:rsid w:val="59831B59"/>
    <w:rsid w:val="59833D47"/>
    <w:rsid w:val="59835FFD"/>
    <w:rsid w:val="598377C9"/>
    <w:rsid w:val="59837DAB"/>
    <w:rsid w:val="59843C6A"/>
    <w:rsid w:val="598445D7"/>
    <w:rsid w:val="598516EC"/>
    <w:rsid w:val="59851D75"/>
    <w:rsid w:val="59853B23"/>
    <w:rsid w:val="59855904"/>
    <w:rsid w:val="598619AA"/>
    <w:rsid w:val="598633F7"/>
    <w:rsid w:val="59865323"/>
    <w:rsid w:val="598723FB"/>
    <w:rsid w:val="59874A90"/>
    <w:rsid w:val="59875AED"/>
    <w:rsid w:val="59876A59"/>
    <w:rsid w:val="59884257"/>
    <w:rsid w:val="598853C1"/>
    <w:rsid w:val="59885BA3"/>
    <w:rsid w:val="598870DA"/>
    <w:rsid w:val="59891641"/>
    <w:rsid w:val="5989462F"/>
    <w:rsid w:val="598A5B73"/>
    <w:rsid w:val="598A738C"/>
    <w:rsid w:val="598B4D2E"/>
    <w:rsid w:val="598B6C60"/>
    <w:rsid w:val="598C254A"/>
    <w:rsid w:val="598C4FDD"/>
    <w:rsid w:val="598C7161"/>
    <w:rsid w:val="598D1B8C"/>
    <w:rsid w:val="598D29D8"/>
    <w:rsid w:val="598D4786"/>
    <w:rsid w:val="598D6D7B"/>
    <w:rsid w:val="598E1A4B"/>
    <w:rsid w:val="598E2878"/>
    <w:rsid w:val="598E7CA7"/>
    <w:rsid w:val="598F1658"/>
    <w:rsid w:val="598F1C47"/>
    <w:rsid w:val="598F40FD"/>
    <w:rsid w:val="598F49A2"/>
    <w:rsid w:val="598F6750"/>
    <w:rsid w:val="599004C0"/>
    <w:rsid w:val="599013CB"/>
    <w:rsid w:val="59905198"/>
    <w:rsid w:val="59914276"/>
    <w:rsid w:val="59926240"/>
    <w:rsid w:val="59926803"/>
    <w:rsid w:val="59934492"/>
    <w:rsid w:val="59944FA9"/>
    <w:rsid w:val="59945B14"/>
    <w:rsid w:val="59953293"/>
    <w:rsid w:val="5996100A"/>
    <w:rsid w:val="5996188C"/>
    <w:rsid w:val="5996337C"/>
    <w:rsid w:val="59965D30"/>
    <w:rsid w:val="59965FE5"/>
    <w:rsid w:val="59973856"/>
    <w:rsid w:val="59974BEA"/>
    <w:rsid w:val="59975605"/>
    <w:rsid w:val="59976A37"/>
    <w:rsid w:val="59977BFE"/>
    <w:rsid w:val="59981AA8"/>
    <w:rsid w:val="59983EBE"/>
    <w:rsid w:val="59992B12"/>
    <w:rsid w:val="5999312B"/>
    <w:rsid w:val="599A3342"/>
    <w:rsid w:val="599A3D7C"/>
    <w:rsid w:val="599B50F5"/>
    <w:rsid w:val="599B6EA3"/>
    <w:rsid w:val="599C0E6D"/>
    <w:rsid w:val="599C29E3"/>
    <w:rsid w:val="599C7F9A"/>
    <w:rsid w:val="599D3AED"/>
    <w:rsid w:val="599D770E"/>
    <w:rsid w:val="599E0C2C"/>
    <w:rsid w:val="599E2561"/>
    <w:rsid w:val="599E2E37"/>
    <w:rsid w:val="599E6993"/>
    <w:rsid w:val="599E748D"/>
    <w:rsid w:val="59A003B7"/>
    <w:rsid w:val="59A01CE7"/>
    <w:rsid w:val="59A01E04"/>
    <w:rsid w:val="59A0270B"/>
    <w:rsid w:val="59A10841"/>
    <w:rsid w:val="59A146EF"/>
    <w:rsid w:val="59A2217E"/>
    <w:rsid w:val="59A23CB9"/>
    <w:rsid w:val="59A246D5"/>
    <w:rsid w:val="59A26483"/>
    <w:rsid w:val="59A27223"/>
    <w:rsid w:val="59A3044D"/>
    <w:rsid w:val="59A321FB"/>
    <w:rsid w:val="59A324BD"/>
    <w:rsid w:val="59A3360E"/>
    <w:rsid w:val="59A440B3"/>
    <w:rsid w:val="59A51AAD"/>
    <w:rsid w:val="59A541C5"/>
    <w:rsid w:val="59A557EF"/>
    <w:rsid w:val="59A57D21"/>
    <w:rsid w:val="59A61035"/>
    <w:rsid w:val="59A62BC5"/>
    <w:rsid w:val="59A631D6"/>
    <w:rsid w:val="59A637A5"/>
    <w:rsid w:val="59A64D1A"/>
    <w:rsid w:val="59A65848"/>
    <w:rsid w:val="59A71CEC"/>
    <w:rsid w:val="59A73A9A"/>
    <w:rsid w:val="59A815C0"/>
    <w:rsid w:val="59A858EE"/>
    <w:rsid w:val="59A87728"/>
    <w:rsid w:val="59A96204"/>
    <w:rsid w:val="59AA358A"/>
    <w:rsid w:val="59AA73E6"/>
    <w:rsid w:val="59AB1C1C"/>
    <w:rsid w:val="59AC10B0"/>
    <w:rsid w:val="59AC11EF"/>
    <w:rsid w:val="59AC19B3"/>
    <w:rsid w:val="59AC5554"/>
    <w:rsid w:val="59AC7302"/>
    <w:rsid w:val="59AD0FCD"/>
    <w:rsid w:val="59AD307A"/>
    <w:rsid w:val="59AD4E28"/>
    <w:rsid w:val="59AD53F3"/>
    <w:rsid w:val="59AE3068"/>
    <w:rsid w:val="59AF0BA0"/>
    <w:rsid w:val="59AF194C"/>
    <w:rsid w:val="59AF31AA"/>
    <w:rsid w:val="59AF3B15"/>
    <w:rsid w:val="59B04EC1"/>
    <w:rsid w:val="59B14918"/>
    <w:rsid w:val="59B2243E"/>
    <w:rsid w:val="59B23CDF"/>
    <w:rsid w:val="59B241EC"/>
    <w:rsid w:val="59B24684"/>
    <w:rsid w:val="59B3027F"/>
    <w:rsid w:val="59B32542"/>
    <w:rsid w:val="59B368E2"/>
    <w:rsid w:val="59B419C2"/>
    <w:rsid w:val="59B44408"/>
    <w:rsid w:val="59B457A0"/>
    <w:rsid w:val="59B4682A"/>
    <w:rsid w:val="59B47F65"/>
    <w:rsid w:val="59B54A80"/>
    <w:rsid w:val="59B56945"/>
    <w:rsid w:val="59B60181"/>
    <w:rsid w:val="59B61940"/>
    <w:rsid w:val="59B63CDD"/>
    <w:rsid w:val="59B75B90"/>
    <w:rsid w:val="59B777C6"/>
    <w:rsid w:val="59B77A55"/>
    <w:rsid w:val="59B77D1A"/>
    <w:rsid w:val="59B813F9"/>
    <w:rsid w:val="59B817D3"/>
    <w:rsid w:val="59B822EC"/>
    <w:rsid w:val="59B85CA7"/>
    <w:rsid w:val="59B85D5D"/>
    <w:rsid w:val="59B9363D"/>
    <w:rsid w:val="59B94D22"/>
    <w:rsid w:val="59B9557B"/>
    <w:rsid w:val="59BA195E"/>
    <w:rsid w:val="59BA1AFF"/>
    <w:rsid w:val="59BB12F3"/>
    <w:rsid w:val="59BB5797"/>
    <w:rsid w:val="59BB6525"/>
    <w:rsid w:val="59BC16A1"/>
    <w:rsid w:val="59BC2D25"/>
    <w:rsid w:val="59BC677A"/>
    <w:rsid w:val="59BD32BD"/>
    <w:rsid w:val="59BD3F73"/>
    <w:rsid w:val="59BD4194"/>
    <w:rsid w:val="59BD41B5"/>
    <w:rsid w:val="59BE18A7"/>
    <w:rsid w:val="59BE7035"/>
    <w:rsid w:val="59BF5E61"/>
    <w:rsid w:val="59BF62F8"/>
    <w:rsid w:val="59C02DAD"/>
    <w:rsid w:val="59C040E4"/>
    <w:rsid w:val="59C0439F"/>
    <w:rsid w:val="59C05D5F"/>
    <w:rsid w:val="59C06909"/>
    <w:rsid w:val="59C12681"/>
    <w:rsid w:val="59C146DB"/>
    <w:rsid w:val="59C148D7"/>
    <w:rsid w:val="59C1603F"/>
    <w:rsid w:val="59C171FA"/>
    <w:rsid w:val="59C208D3"/>
    <w:rsid w:val="59C2281F"/>
    <w:rsid w:val="59C30A49"/>
    <w:rsid w:val="59C350B5"/>
    <w:rsid w:val="59C363FA"/>
    <w:rsid w:val="59C44F92"/>
    <w:rsid w:val="59C503C4"/>
    <w:rsid w:val="59C52172"/>
    <w:rsid w:val="59C54111"/>
    <w:rsid w:val="59C56616"/>
    <w:rsid w:val="59C67E07"/>
    <w:rsid w:val="59C76D47"/>
    <w:rsid w:val="59C81FC7"/>
    <w:rsid w:val="59C84CF3"/>
    <w:rsid w:val="59C86FEF"/>
    <w:rsid w:val="59C879D0"/>
    <w:rsid w:val="59C9173A"/>
    <w:rsid w:val="59C97EB4"/>
    <w:rsid w:val="59CA1091"/>
    <w:rsid w:val="59CA3C2C"/>
    <w:rsid w:val="59CA59DA"/>
    <w:rsid w:val="59CB03D4"/>
    <w:rsid w:val="59CB27DC"/>
    <w:rsid w:val="59CB72A0"/>
    <w:rsid w:val="59CC1E60"/>
    <w:rsid w:val="59CC281A"/>
    <w:rsid w:val="59CC3500"/>
    <w:rsid w:val="59CC471F"/>
    <w:rsid w:val="59CD1026"/>
    <w:rsid w:val="59CD14A9"/>
    <w:rsid w:val="59CD7278"/>
    <w:rsid w:val="59CE513A"/>
    <w:rsid w:val="59CE514F"/>
    <w:rsid w:val="59CE718B"/>
    <w:rsid w:val="59CF2FF0"/>
    <w:rsid w:val="59CF4798"/>
    <w:rsid w:val="59CF5EBD"/>
    <w:rsid w:val="59D008FC"/>
    <w:rsid w:val="59D114AF"/>
    <w:rsid w:val="59D13728"/>
    <w:rsid w:val="59D2488F"/>
    <w:rsid w:val="59D27B1C"/>
    <w:rsid w:val="59D303F7"/>
    <w:rsid w:val="59D40607"/>
    <w:rsid w:val="59D40C86"/>
    <w:rsid w:val="59D423B5"/>
    <w:rsid w:val="59D46859"/>
    <w:rsid w:val="59D538CC"/>
    <w:rsid w:val="59D6437F"/>
    <w:rsid w:val="59D6612D"/>
    <w:rsid w:val="59D670D0"/>
    <w:rsid w:val="59D7546A"/>
    <w:rsid w:val="59D76434"/>
    <w:rsid w:val="59D77217"/>
    <w:rsid w:val="59D8098F"/>
    <w:rsid w:val="59D81EA5"/>
    <w:rsid w:val="59D86349"/>
    <w:rsid w:val="59D874BF"/>
    <w:rsid w:val="59D9224D"/>
    <w:rsid w:val="59D95C1D"/>
    <w:rsid w:val="59DA60D8"/>
    <w:rsid w:val="59DB1995"/>
    <w:rsid w:val="59DB27BD"/>
    <w:rsid w:val="59DB3743"/>
    <w:rsid w:val="59DD0435"/>
    <w:rsid w:val="59DD28C5"/>
    <w:rsid w:val="59DD2EFB"/>
    <w:rsid w:val="59DD3310"/>
    <w:rsid w:val="59DD74BB"/>
    <w:rsid w:val="59DE0997"/>
    <w:rsid w:val="59DE1485"/>
    <w:rsid w:val="59DE5CEC"/>
    <w:rsid w:val="59DF482A"/>
    <w:rsid w:val="59E00821"/>
    <w:rsid w:val="59E039B2"/>
    <w:rsid w:val="59E07248"/>
    <w:rsid w:val="59E07296"/>
    <w:rsid w:val="59E13BDC"/>
    <w:rsid w:val="59E152CA"/>
    <w:rsid w:val="59E20F76"/>
    <w:rsid w:val="59E21F44"/>
    <w:rsid w:val="59E24AD2"/>
    <w:rsid w:val="59E27E5B"/>
    <w:rsid w:val="59E3084A"/>
    <w:rsid w:val="59E30CB0"/>
    <w:rsid w:val="59E35E84"/>
    <w:rsid w:val="59E41003"/>
    <w:rsid w:val="59E44A42"/>
    <w:rsid w:val="59E52AA6"/>
    <w:rsid w:val="59E56370"/>
    <w:rsid w:val="59E57B15"/>
    <w:rsid w:val="59E6181C"/>
    <w:rsid w:val="59E65F92"/>
    <w:rsid w:val="59E736B1"/>
    <w:rsid w:val="59E75CE1"/>
    <w:rsid w:val="59E7658C"/>
    <w:rsid w:val="59E81E58"/>
    <w:rsid w:val="59E92304"/>
    <w:rsid w:val="59E93868"/>
    <w:rsid w:val="59E9425F"/>
    <w:rsid w:val="59EA5DA3"/>
    <w:rsid w:val="59EA607C"/>
    <w:rsid w:val="59EA7E2A"/>
    <w:rsid w:val="59EB7019"/>
    <w:rsid w:val="59EB7CCA"/>
    <w:rsid w:val="59EC150B"/>
    <w:rsid w:val="59EC4514"/>
    <w:rsid w:val="59EC5CC1"/>
    <w:rsid w:val="59ED3294"/>
    <w:rsid w:val="59ED3476"/>
    <w:rsid w:val="59ED7DCB"/>
    <w:rsid w:val="59EE16C8"/>
    <w:rsid w:val="59EE2FE3"/>
    <w:rsid w:val="59EF3692"/>
    <w:rsid w:val="59EF5113"/>
    <w:rsid w:val="59EF5441"/>
    <w:rsid w:val="59F01C15"/>
    <w:rsid w:val="59F0601A"/>
    <w:rsid w:val="59F1240F"/>
    <w:rsid w:val="59F12F67"/>
    <w:rsid w:val="59F14D15"/>
    <w:rsid w:val="59F15728"/>
    <w:rsid w:val="59F16733"/>
    <w:rsid w:val="59F23F00"/>
    <w:rsid w:val="59F2790A"/>
    <w:rsid w:val="59F27AC0"/>
    <w:rsid w:val="59F31338"/>
    <w:rsid w:val="59F34F31"/>
    <w:rsid w:val="59F40973"/>
    <w:rsid w:val="59F40CA9"/>
    <w:rsid w:val="59F41C54"/>
    <w:rsid w:val="59F42A57"/>
    <w:rsid w:val="59F474CF"/>
    <w:rsid w:val="59F57697"/>
    <w:rsid w:val="59F600D4"/>
    <w:rsid w:val="59F64A21"/>
    <w:rsid w:val="59F667CF"/>
    <w:rsid w:val="59F760A3"/>
    <w:rsid w:val="59F76FF3"/>
    <w:rsid w:val="59F82332"/>
    <w:rsid w:val="59F82C5A"/>
    <w:rsid w:val="59F842F5"/>
    <w:rsid w:val="59F861A7"/>
    <w:rsid w:val="59F91E1B"/>
    <w:rsid w:val="59FA62BF"/>
    <w:rsid w:val="59FB2025"/>
    <w:rsid w:val="59FB398C"/>
    <w:rsid w:val="59FB3DE5"/>
    <w:rsid w:val="59FB7EC1"/>
    <w:rsid w:val="59FE34D1"/>
    <w:rsid w:val="59FE5108"/>
    <w:rsid w:val="5A000038"/>
    <w:rsid w:val="5A0013FC"/>
    <w:rsid w:val="5A003607"/>
    <w:rsid w:val="5A004DC5"/>
    <w:rsid w:val="5A015998"/>
    <w:rsid w:val="5A0233C6"/>
    <w:rsid w:val="5A023E3C"/>
    <w:rsid w:val="5A025174"/>
    <w:rsid w:val="5A026F22"/>
    <w:rsid w:val="5A0314C7"/>
    <w:rsid w:val="5A033FD0"/>
    <w:rsid w:val="5A03581A"/>
    <w:rsid w:val="5A036A58"/>
    <w:rsid w:val="5A040EEC"/>
    <w:rsid w:val="5A045FAC"/>
    <w:rsid w:val="5A047DDA"/>
    <w:rsid w:val="5A0507C0"/>
    <w:rsid w:val="5A055F9C"/>
    <w:rsid w:val="5A056A12"/>
    <w:rsid w:val="5A061ADA"/>
    <w:rsid w:val="5A06516A"/>
    <w:rsid w:val="5A0652E7"/>
    <w:rsid w:val="5A0667C2"/>
    <w:rsid w:val="5A0709DC"/>
    <w:rsid w:val="5A070ABB"/>
    <w:rsid w:val="5A07278A"/>
    <w:rsid w:val="5A07589F"/>
    <w:rsid w:val="5A081CC5"/>
    <w:rsid w:val="5A08675B"/>
    <w:rsid w:val="5A090A0D"/>
    <w:rsid w:val="5A0930AE"/>
    <w:rsid w:val="5A0A04CC"/>
    <w:rsid w:val="5A0A1945"/>
    <w:rsid w:val="5A0A3C4C"/>
    <w:rsid w:val="5A0A4028"/>
    <w:rsid w:val="5A0A426F"/>
    <w:rsid w:val="5A0A6C1F"/>
    <w:rsid w:val="5A0A75B7"/>
    <w:rsid w:val="5A0A7B67"/>
    <w:rsid w:val="5A0B2AA0"/>
    <w:rsid w:val="5A0C49A0"/>
    <w:rsid w:val="5A0C5FF2"/>
    <w:rsid w:val="5A0C7F96"/>
    <w:rsid w:val="5A0D1F2D"/>
    <w:rsid w:val="5A0D6BDE"/>
    <w:rsid w:val="5A0D7B97"/>
    <w:rsid w:val="5A0E1D6B"/>
    <w:rsid w:val="5A0E3B19"/>
    <w:rsid w:val="5A0E43F7"/>
    <w:rsid w:val="5A0E58C7"/>
    <w:rsid w:val="5A0E6E91"/>
    <w:rsid w:val="5A0F1BDE"/>
    <w:rsid w:val="5A0F7584"/>
    <w:rsid w:val="5A0F7891"/>
    <w:rsid w:val="5A101373"/>
    <w:rsid w:val="5A1017B7"/>
    <w:rsid w:val="5A104F2B"/>
    <w:rsid w:val="5A113609"/>
    <w:rsid w:val="5A117165"/>
    <w:rsid w:val="5A1179C4"/>
    <w:rsid w:val="5A1223DE"/>
    <w:rsid w:val="5A133146"/>
    <w:rsid w:val="5A137381"/>
    <w:rsid w:val="5A141852"/>
    <w:rsid w:val="5A141DEB"/>
    <w:rsid w:val="5A142217"/>
    <w:rsid w:val="5A142A22"/>
    <w:rsid w:val="5A1432F7"/>
    <w:rsid w:val="5A1478CF"/>
    <w:rsid w:val="5A150D5F"/>
    <w:rsid w:val="5A1524A8"/>
    <w:rsid w:val="5A1530F9"/>
    <w:rsid w:val="5A155769"/>
    <w:rsid w:val="5A1561AD"/>
    <w:rsid w:val="5A157CD6"/>
    <w:rsid w:val="5A1621EF"/>
    <w:rsid w:val="5A1645AB"/>
    <w:rsid w:val="5A171DE1"/>
    <w:rsid w:val="5A176C23"/>
    <w:rsid w:val="5A1804F3"/>
    <w:rsid w:val="5A1844C8"/>
    <w:rsid w:val="5A1844F7"/>
    <w:rsid w:val="5A184BE5"/>
    <w:rsid w:val="5A186745"/>
    <w:rsid w:val="5A1867E8"/>
    <w:rsid w:val="5A1924BD"/>
    <w:rsid w:val="5A1976E0"/>
    <w:rsid w:val="5A1A070F"/>
    <w:rsid w:val="5A1A0B6E"/>
    <w:rsid w:val="5A1A73E5"/>
    <w:rsid w:val="5A1B09C5"/>
    <w:rsid w:val="5A1B10FF"/>
    <w:rsid w:val="5A1B4BD1"/>
    <w:rsid w:val="5A1B6236"/>
    <w:rsid w:val="5A1C7FD4"/>
    <w:rsid w:val="5A1D0200"/>
    <w:rsid w:val="5A1D1FAE"/>
    <w:rsid w:val="5A1D3C0D"/>
    <w:rsid w:val="5A1D41B7"/>
    <w:rsid w:val="5A1D5F5A"/>
    <w:rsid w:val="5A1F01E5"/>
    <w:rsid w:val="5A1F5D26"/>
    <w:rsid w:val="5A1F5E80"/>
    <w:rsid w:val="5A1F75E1"/>
    <w:rsid w:val="5A2013E8"/>
    <w:rsid w:val="5A201A9E"/>
    <w:rsid w:val="5A2055FA"/>
    <w:rsid w:val="5A207377"/>
    <w:rsid w:val="5A214787"/>
    <w:rsid w:val="5A214DED"/>
    <w:rsid w:val="5A217302"/>
    <w:rsid w:val="5A221372"/>
    <w:rsid w:val="5A222A2B"/>
    <w:rsid w:val="5A22360B"/>
    <w:rsid w:val="5A226ABA"/>
    <w:rsid w:val="5A235F34"/>
    <w:rsid w:val="5A250E62"/>
    <w:rsid w:val="5A252C10"/>
    <w:rsid w:val="5A262421"/>
    <w:rsid w:val="5A26308B"/>
    <w:rsid w:val="5A263AEE"/>
    <w:rsid w:val="5A272E2C"/>
    <w:rsid w:val="5A2739C7"/>
    <w:rsid w:val="5A2748B5"/>
    <w:rsid w:val="5A276988"/>
    <w:rsid w:val="5A283B4A"/>
    <w:rsid w:val="5A290736"/>
    <w:rsid w:val="5A292701"/>
    <w:rsid w:val="5A296A09"/>
    <w:rsid w:val="5A296BA4"/>
    <w:rsid w:val="5A2A0227"/>
    <w:rsid w:val="5A2A29A6"/>
    <w:rsid w:val="5A2A3450"/>
    <w:rsid w:val="5A2A6F71"/>
    <w:rsid w:val="5A2A786D"/>
    <w:rsid w:val="5A2B23A0"/>
    <w:rsid w:val="5A2C3F9F"/>
    <w:rsid w:val="5A2C5B56"/>
    <w:rsid w:val="5A2D0972"/>
    <w:rsid w:val="5A2E0F1A"/>
    <w:rsid w:val="5A2E1A75"/>
    <w:rsid w:val="5A2E2CC9"/>
    <w:rsid w:val="5A2E2DE5"/>
    <w:rsid w:val="5A2F19F0"/>
    <w:rsid w:val="5A2F1CE1"/>
    <w:rsid w:val="5A2F3452"/>
    <w:rsid w:val="5A2F34FB"/>
    <w:rsid w:val="5A2F3A8F"/>
    <w:rsid w:val="5A2F4103"/>
    <w:rsid w:val="5A2F4251"/>
    <w:rsid w:val="5A2F55FE"/>
    <w:rsid w:val="5A304162"/>
    <w:rsid w:val="5A307F33"/>
    <w:rsid w:val="5A3115B5"/>
    <w:rsid w:val="5A317807"/>
    <w:rsid w:val="5A3201A4"/>
    <w:rsid w:val="5A3219C8"/>
    <w:rsid w:val="5A32541C"/>
    <w:rsid w:val="5A3317D1"/>
    <w:rsid w:val="5A3319A0"/>
    <w:rsid w:val="5A33532D"/>
    <w:rsid w:val="5A336A53"/>
    <w:rsid w:val="5A34058B"/>
    <w:rsid w:val="5A351F4D"/>
    <w:rsid w:val="5A355549"/>
    <w:rsid w:val="5A3570F8"/>
    <w:rsid w:val="5A3612C1"/>
    <w:rsid w:val="5A36148E"/>
    <w:rsid w:val="5A3617D9"/>
    <w:rsid w:val="5A364B59"/>
    <w:rsid w:val="5A373959"/>
    <w:rsid w:val="5A376B0B"/>
    <w:rsid w:val="5A380C4D"/>
    <w:rsid w:val="5A38495A"/>
    <w:rsid w:val="5A386DE8"/>
    <w:rsid w:val="5A39015A"/>
    <w:rsid w:val="5A3966BC"/>
    <w:rsid w:val="5A3A006F"/>
    <w:rsid w:val="5A3A2B60"/>
    <w:rsid w:val="5A3A490E"/>
    <w:rsid w:val="5A3B09E5"/>
    <w:rsid w:val="5A3B1D99"/>
    <w:rsid w:val="5A3B2434"/>
    <w:rsid w:val="5A3B26BF"/>
    <w:rsid w:val="5A3B2D8E"/>
    <w:rsid w:val="5A3B41BB"/>
    <w:rsid w:val="5A3B5590"/>
    <w:rsid w:val="5A3B5777"/>
    <w:rsid w:val="5A3B68D8"/>
    <w:rsid w:val="5A3B79B5"/>
    <w:rsid w:val="5A3C0CDA"/>
    <w:rsid w:val="5A3C57D7"/>
    <w:rsid w:val="5A3D1E99"/>
    <w:rsid w:val="5A3D31AE"/>
    <w:rsid w:val="5A3D38B7"/>
    <w:rsid w:val="5A3D41A9"/>
    <w:rsid w:val="5A3D5D31"/>
    <w:rsid w:val="5A3D61AC"/>
    <w:rsid w:val="5A3D7BB3"/>
    <w:rsid w:val="5A3D7F5A"/>
    <w:rsid w:val="5A3E3516"/>
    <w:rsid w:val="5A3E3CD2"/>
    <w:rsid w:val="5A3F1F24"/>
    <w:rsid w:val="5A3F2AD6"/>
    <w:rsid w:val="5A4006AD"/>
    <w:rsid w:val="5A400957"/>
    <w:rsid w:val="5A401AEB"/>
    <w:rsid w:val="5A4021FB"/>
    <w:rsid w:val="5A402ED2"/>
    <w:rsid w:val="5A403EEE"/>
    <w:rsid w:val="5A40545C"/>
    <w:rsid w:val="5A410C83"/>
    <w:rsid w:val="5A416278"/>
    <w:rsid w:val="5A421A14"/>
    <w:rsid w:val="5A4237C2"/>
    <w:rsid w:val="5A427C66"/>
    <w:rsid w:val="5A427D7C"/>
    <w:rsid w:val="5A443187"/>
    <w:rsid w:val="5A447DA9"/>
    <w:rsid w:val="5A4524C4"/>
    <w:rsid w:val="5A4549C0"/>
    <w:rsid w:val="5A45526D"/>
    <w:rsid w:val="5A457E3E"/>
    <w:rsid w:val="5A461504"/>
    <w:rsid w:val="5A464A33"/>
    <w:rsid w:val="5A464A9F"/>
    <w:rsid w:val="5A471654"/>
    <w:rsid w:val="5A47502D"/>
    <w:rsid w:val="5A4825B9"/>
    <w:rsid w:val="5A485073"/>
    <w:rsid w:val="5A490BF5"/>
    <w:rsid w:val="5A492DA3"/>
    <w:rsid w:val="5A494B51"/>
    <w:rsid w:val="5A495791"/>
    <w:rsid w:val="5A496E9E"/>
    <w:rsid w:val="5A4A08C9"/>
    <w:rsid w:val="5A4A47BE"/>
    <w:rsid w:val="5A4B6B1B"/>
    <w:rsid w:val="5A4B7ED6"/>
    <w:rsid w:val="5A4C2893"/>
    <w:rsid w:val="5A4D3A95"/>
    <w:rsid w:val="5A4D4E8F"/>
    <w:rsid w:val="5A4E2167"/>
    <w:rsid w:val="5A4E4EBF"/>
    <w:rsid w:val="5A4E4EC7"/>
    <w:rsid w:val="5A4E660B"/>
    <w:rsid w:val="5A4F2199"/>
    <w:rsid w:val="5A4F5EDF"/>
    <w:rsid w:val="5A4F6A7A"/>
    <w:rsid w:val="5A501756"/>
    <w:rsid w:val="5A512D1C"/>
    <w:rsid w:val="5A513A05"/>
    <w:rsid w:val="5A516674"/>
    <w:rsid w:val="5A517EA9"/>
    <w:rsid w:val="5A5220D0"/>
    <w:rsid w:val="5A523C38"/>
    <w:rsid w:val="5A530D01"/>
    <w:rsid w:val="5A532442"/>
    <w:rsid w:val="5A533803"/>
    <w:rsid w:val="5A5359CF"/>
    <w:rsid w:val="5A541296"/>
    <w:rsid w:val="5A546114"/>
    <w:rsid w:val="5A547EB1"/>
    <w:rsid w:val="5A551326"/>
    <w:rsid w:val="5A551748"/>
    <w:rsid w:val="5A555AC8"/>
    <w:rsid w:val="5A555D78"/>
    <w:rsid w:val="5A5561F2"/>
    <w:rsid w:val="5A557999"/>
    <w:rsid w:val="5A56101C"/>
    <w:rsid w:val="5A5669C0"/>
    <w:rsid w:val="5A5709EA"/>
    <w:rsid w:val="5A581029"/>
    <w:rsid w:val="5A581238"/>
    <w:rsid w:val="5A584D94"/>
    <w:rsid w:val="5A5866B1"/>
    <w:rsid w:val="5A587151"/>
    <w:rsid w:val="5A5A0B0C"/>
    <w:rsid w:val="5A5A0B57"/>
    <w:rsid w:val="5A5A4FB0"/>
    <w:rsid w:val="5A5A6358"/>
    <w:rsid w:val="5A5A6D5E"/>
    <w:rsid w:val="5A5B13AA"/>
    <w:rsid w:val="5A5B444D"/>
    <w:rsid w:val="5A5C0657"/>
    <w:rsid w:val="5A5C3AE8"/>
    <w:rsid w:val="5A5D31A1"/>
    <w:rsid w:val="5A5D3887"/>
    <w:rsid w:val="5A5D7C3D"/>
    <w:rsid w:val="5A5F119F"/>
    <w:rsid w:val="5A5F25C6"/>
    <w:rsid w:val="5A5F5C3B"/>
    <w:rsid w:val="5A5F6122"/>
    <w:rsid w:val="5A6000EC"/>
    <w:rsid w:val="5A601E9A"/>
    <w:rsid w:val="5A60349D"/>
    <w:rsid w:val="5A605398"/>
    <w:rsid w:val="5A60756D"/>
    <w:rsid w:val="5A625C12"/>
    <w:rsid w:val="5A627366"/>
    <w:rsid w:val="5A6333C7"/>
    <w:rsid w:val="5A633F8B"/>
    <w:rsid w:val="5A63501F"/>
    <w:rsid w:val="5A635F19"/>
    <w:rsid w:val="5A6379CB"/>
    <w:rsid w:val="5A644212"/>
    <w:rsid w:val="5A6459BF"/>
    <w:rsid w:val="5A647BDD"/>
    <w:rsid w:val="5A655703"/>
    <w:rsid w:val="5A655E0E"/>
    <w:rsid w:val="5A6574B1"/>
    <w:rsid w:val="5A6636D6"/>
    <w:rsid w:val="5A663955"/>
    <w:rsid w:val="5A671D48"/>
    <w:rsid w:val="5A68526F"/>
    <w:rsid w:val="5A68656B"/>
    <w:rsid w:val="5A686DB7"/>
    <w:rsid w:val="5A690D4F"/>
    <w:rsid w:val="5A695C2E"/>
    <w:rsid w:val="5A696FA1"/>
    <w:rsid w:val="5A6A4AC7"/>
    <w:rsid w:val="5A6B0321"/>
    <w:rsid w:val="5A6B2D19"/>
    <w:rsid w:val="5A6B69EA"/>
    <w:rsid w:val="5A6C4CE3"/>
    <w:rsid w:val="5A6E4072"/>
    <w:rsid w:val="5A6E5EB4"/>
    <w:rsid w:val="5A6E6D68"/>
    <w:rsid w:val="5A6E6FF9"/>
    <w:rsid w:val="5A6F20DD"/>
    <w:rsid w:val="5A6F78F1"/>
    <w:rsid w:val="5A700229"/>
    <w:rsid w:val="5A706581"/>
    <w:rsid w:val="5A710CEC"/>
    <w:rsid w:val="5A7159CB"/>
    <w:rsid w:val="5A732A0C"/>
    <w:rsid w:val="5A734481"/>
    <w:rsid w:val="5A736072"/>
    <w:rsid w:val="5A737E20"/>
    <w:rsid w:val="5A743A3B"/>
    <w:rsid w:val="5A744553"/>
    <w:rsid w:val="5A745534"/>
    <w:rsid w:val="5A7476F4"/>
    <w:rsid w:val="5A751DEA"/>
    <w:rsid w:val="5A7557DC"/>
    <w:rsid w:val="5A755946"/>
    <w:rsid w:val="5A75672B"/>
    <w:rsid w:val="5A7573AF"/>
    <w:rsid w:val="5A7602B6"/>
    <w:rsid w:val="5A7616BE"/>
    <w:rsid w:val="5A76552B"/>
    <w:rsid w:val="5A770ED5"/>
    <w:rsid w:val="5A772EEE"/>
    <w:rsid w:val="5A781F79"/>
    <w:rsid w:val="5A785436"/>
    <w:rsid w:val="5A792A1C"/>
    <w:rsid w:val="5A79415D"/>
    <w:rsid w:val="5A795CEF"/>
    <w:rsid w:val="5A7A09D4"/>
    <w:rsid w:val="5A7A11AE"/>
    <w:rsid w:val="5A7A2F5C"/>
    <w:rsid w:val="5A7A72EA"/>
    <w:rsid w:val="5A7C4FD7"/>
    <w:rsid w:val="5A7C60D9"/>
    <w:rsid w:val="5A7D47FA"/>
    <w:rsid w:val="5A7E47EA"/>
    <w:rsid w:val="5A7F014E"/>
    <w:rsid w:val="5A7F4A16"/>
    <w:rsid w:val="5A8063F2"/>
    <w:rsid w:val="5A8073A9"/>
    <w:rsid w:val="5A81078E"/>
    <w:rsid w:val="5A815DC2"/>
    <w:rsid w:val="5A816520"/>
    <w:rsid w:val="5A820063"/>
    <w:rsid w:val="5A8262B5"/>
    <w:rsid w:val="5A836351"/>
    <w:rsid w:val="5A840D97"/>
    <w:rsid w:val="5A844068"/>
    <w:rsid w:val="5A850909"/>
    <w:rsid w:val="5A851901"/>
    <w:rsid w:val="5A851DAC"/>
    <w:rsid w:val="5A85681A"/>
    <w:rsid w:val="5A866761"/>
    <w:rsid w:val="5A866EA7"/>
    <w:rsid w:val="5A871B1D"/>
    <w:rsid w:val="5A8720A7"/>
    <w:rsid w:val="5A87351F"/>
    <w:rsid w:val="5A8738CB"/>
    <w:rsid w:val="5A875679"/>
    <w:rsid w:val="5A877BF1"/>
    <w:rsid w:val="5A8913F1"/>
    <w:rsid w:val="5A8921D3"/>
    <w:rsid w:val="5A89319F"/>
    <w:rsid w:val="5A893A09"/>
    <w:rsid w:val="5A897643"/>
    <w:rsid w:val="5A8A39A1"/>
    <w:rsid w:val="5A8A7C23"/>
    <w:rsid w:val="5A8B1072"/>
    <w:rsid w:val="5A8B1EB0"/>
    <w:rsid w:val="5A8B233A"/>
    <w:rsid w:val="5A8B2434"/>
    <w:rsid w:val="5A8B5169"/>
    <w:rsid w:val="5A8B6F17"/>
    <w:rsid w:val="5A8B6FEB"/>
    <w:rsid w:val="5A8C0E92"/>
    <w:rsid w:val="5A8C0EE1"/>
    <w:rsid w:val="5A8C2C8F"/>
    <w:rsid w:val="5A8C5C4E"/>
    <w:rsid w:val="5A8D11CD"/>
    <w:rsid w:val="5A8D2322"/>
    <w:rsid w:val="5A8D2874"/>
    <w:rsid w:val="5A8D2E09"/>
    <w:rsid w:val="5A8D703A"/>
    <w:rsid w:val="5A8E07B6"/>
    <w:rsid w:val="5A8E2EB8"/>
    <w:rsid w:val="5A8E6A07"/>
    <w:rsid w:val="5A8F2484"/>
    <w:rsid w:val="5A902780"/>
    <w:rsid w:val="5A90452E"/>
    <w:rsid w:val="5A910CA3"/>
    <w:rsid w:val="5A910E47"/>
    <w:rsid w:val="5A9130D1"/>
    <w:rsid w:val="5A9164F8"/>
    <w:rsid w:val="5A922006"/>
    <w:rsid w:val="5A9226C1"/>
    <w:rsid w:val="5A925F77"/>
    <w:rsid w:val="5A9303F0"/>
    <w:rsid w:val="5A93208E"/>
    <w:rsid w:val="5A932270"/>
    <w:rsid w:val="5A932272"/>
    <w:rsid w:val="5A932869"/>
    <w:rsid w:val="5A933CC4"/>
    <w:rsid w:val="5A93401E"/>
    <w:rsid w:val="5A9340F5"/>
    <w:rsid w:val="5A93582F"/>
    <w:rsid w:val="5A936194"/>
    <w:rsid w:val="5A9424E8"/>
    <w:rsid w:val="5A956F0C"/>
    <w:rsid w:val="5A957D96"/>
    <w:rsid w:val="5A960EB7"/>
    <w:rsid w:val="5A963B0E"/>
    <w:rsid w:val="5A9658BC"/>
    <w:rsid w:val="5A966E99"/>
    <w:rsid w:val="5A971BE5"/>
    <w:rsid w:val="5A971D60"/>
    <w:rsid w:val="5A974857"/>
    <w:rsid w:val="5A975FA5"/>
    <w:rsid w:val="5A9776E6"/>
    <w:rsid w:val="5A9817D2"/>
    <w:rsid w:val="5A987886"/>
    <w:rsid w:val="5A9A1850"/>
    <w:rsid w:val="5A9A25A2"/>
    <w:rsid w:val="5A9A4367"/>
    <w:rsid w:val="5A9A79A0"/>
    <w:rsid w:val="5A9B0F8D"/>
    <w:rsid w:val="5A9B2ED2"/>
    <w:rsid w:val="5A9B610F"/>
    <w:rsid w:val="5A9B6A06"/>
    <w:rsid w:val="5A9B73A6"/>
    <w:rsid w:val="5A9C1476"/>
    <w:rsid w:val="5A9D01E2"/>
    <w:rsid w:val="5A9D28FB"/>
    <w:rsid w:val="5A9E261C"/>
    <w:rsid w:val="5A9E32A7"/>
    <w:rsid w:val="5A9F443E"/>
    <w:rsid w:val="5A9F4737"/>
    <w:rsid w:val="5A9F4787"/>
    <w:rsid w:val="5AA004E9"/>
    <w:rsid w:val="5AA006AA"/>
    <w:rsid w:val="5AA049C5"/>
    <w:rsid w:val="5AA11C28"/>
    <w:rsid w:val="5AA12BDF"/>
    <w:rsid w:val="5AA1498D"/>
    <w:rsid w:val="5AA1673B"/>
    <w:rsid w:val="5AA17C75"/>
    <w:rsid w:val="5AA2024C"/>
    <w:rsid w:val="5AA20705"/>
    <w:rsid w:val="5AA24261"/>
    <w:rsid w:val="5AA25FBF"/>
    <w:rsid w:val="5AA35C89"/>
    <w:rsid w:val="5AA37BFA"/>
    <w:rsid w:val="5AA4622B"/>
    <w:rsid w:val="5AA472C5"/>
    <w:rsid w:val="5AA47FD9"/>
    <w:rsid w:val="5AA505A9"/>
    <w:rsid w:val="5AA51D39"/>
    <w:rsid w:val="5AA55791"/>
    <w:rsid w:val="5AA601F5"/>
    <w:rsid w:val="5AA71877"/>
    <w:rsid w:val="5AA77AC9"/>
    <w:rsid w:val="5AA8066B"/>
    <w:rsid w:val="5AA8538D"/>
    <w:rsid w:val="5AA90FE3"/>
    <w:rsid w:val="5AA93841"/>
    <w:rsid w:val="5AA93C52"/>
    <w:rsid w:val="5AA95E0F"/>
    <w:rsid w:val="5AAA2F8A"/>
    <w:rsid w:val="5AAA33BD"/>
    <w:rsid w:val="5AAA72D0"/>
    <w:rsid w:val="5AAB1367"/>
    <w:rsid w:val="5AAB1D32"/>
    <w:rsid w:val="5AAB7E89"/>
    <w:rsid w:val="5AAC3332"/>
    <w:rsid w:val="5AAC50E0"/>
    <w:rsid w:val="5AAC5D2F"/>
    <w:rsid w:val="5AAD17DD"/>
    <w:rsid w:val="5AAD553B"/>
    <w:rsid w:val="5AAD66C5"/>
    <w:rsid w:val="5AAE0E58"/>
    <w:rsid w:val="5AAE180E"/>
    <w:rsid w:val="5AAE2C06"/>
    <w:rsid w:val="5AAE4249"/>
    <w:rsid w:val="5AB01005"/>
    <w:rsid w:val="5AB026D8"/>
    <w:rsid w:val="5AB126F6"/>
    <w:rsid w:val="5AB20948"/>
    <w:rsid w:val="5AB26B9A"/>
    <w:rsid w:val="5AB32C62"/>
    <w:rsid w:val="5AB3503A"/>
    <w:rsid w:val="5AB4095F"/>
    <w:rsid w:val="5AB41A71"/>
    <w:rsid w:val="5AB4500B"/>
    <w:rsid w:val="5AB5009D"/>
    <w:rsid w:val="5AB521E6"/>
    <w:rsid w:val="5AB54B3D"/>
    <w:rsid w:val="5AB56474"/>
    <w:rsid w:val="5AB60226"/>
    <w:rsid w:val="5AB65981"/>
    <w:rsid w:val="5AB65E2A"/>
    <w:rsid w:val="5AB67D0C"/>
    <w:rsid w:val="5AB72D08"/>
    <w:rsid w:val="5AB75F5E"/>
    <w:rsid w:val="5AB81CD6"/>
    <w:rsid w:val="5AB83A84"/>
    <w:rsid w:val="5AB8573A"/>
    <w:rsid w:val="5AB86A1E"/>
    <w:rsid w:val="5AB90B7F"/>
    <w:rsid w:val="5AB92CAB"/>
    <w:rsid w:val="5ABA15AB"/>
    <w:rsid w:val="5ABA35A2"/>
    <w:rsid w:val="5ABA5A4E"/>
    <w:rsid w:val="5ABA77FD"/>
    <w:rsid w:val="5ABB539F"/>
    <w:rsid w:val="5ABC3449"/>
    <w:rsid w:val="5ABC3575"/>
    <w:rsid w:val="5ABD553F"/>
    <w:rsid w:val="5ABD57E0"/>
    <w:rsid w:val="5ABD72ED"/>
    <w:rsid w:val="5ABE0CF7"/>
    <w:rsid w:val="5ABE1D47"/>
    <w:rsid w:val="5ABE2233"/>
    <w:rsid w:val="5ABF12B7"/>
    <w:rsid w:val="5ABF6042"/>
    <w:rsid w:val="5ABF63A6"/>
    <w:rsid w:val="5ABF70CA"/>
    <w:rsid w:val="5AC015EA"/>
    <w:rsid w:val="5AC01B77"/>
    <w:rsid w:val="5AC02939"/>
    <w:rsid w:val="5AC07378"/>
    <w:rsid w:val="5AC076C9"/>
    <w:rsid w:val="5AC10B8B"/>
    <w:rsid w:val="5AC16C57"/>
    <w:rsid w:val="5AC17406"/>
    <w:rsid w:val="5AC226A1"/>
    <w:rsid w:val="5AC266B1"/>
    <w:rsid w:val="5AC26C4B"/>
    <w:rsid w:val="5AC35791"/>
    <w:rsid w:val="5AC35F2E"/>
    <w:rsid w:val="5AC36D8D"/>
    <w:rsid w:val="5AC4067B"/>
    <w:rsid w:val="5AC40943"/>
    <w:rsid w:val="5AC46060"/>
    <w:rsid w:val="5AC47D89"/>
    <w:rsid w:val="5AC643F3"/>
    <w:rsid w:val="5AC665E9"/>
    <w:rsid w:val="5AC676C9"/>
    <w:rsid w:val="5AC75A14"/>
    <w:rsid w:val="5AC8016B"/>
    <w:rsid w:val="5AC80A2C"/>
    <w:rsid w:val="5AC93EE4"/>
    <w:rsid w:val="5AC95C92"/>
    <w:rsid w:val="5AC97A40"/>
    <w:rsid w:val="5ACB1A0A"/>
    <w:rsid w:val="5ACB721C"/>
    <w:rsid w:val="5ACB7C5C"/>
    <w:rsid w:val="5ACC2EAA"/>
    <w:rsid w:val="5ACC3ACD"/>
    <w:rsid w:val="5ACC5D4E"/>
    <w:rsid w:val="5ACD26CB"/>
    <w:rsid w:val="5ACD39D4"/>
    <w:rsid w:val="5ACE0A2B"/>
    <w:rsid w:val="5ACE0C48"/>
    <w:rsid w:val="5ACF7D2C"/>
    <w:rsid w:val="5AD10D06"/>
    <w:rsid w:val="5AD15071"/>
    <w:rsid w:val="5AD15490"/>
    <w:rsid w:val="5AD20FEA"/>
    <w:rsid w:val="5AD24E93"/>
    <w:rsid w:val="5AD2655E"/>
    <w:rsid w:val="5AD32184"/>
    <w:rsid w:val="5AD3266C"/>
    <w:rsid w:val="5AD33626"/>
    <w:rsid w:val="5AD36B10"/>
    <w:rsid w:val="5AD37AF4"/>
    <w:rsid w:val="5AD52888"/>
    <w:rsid w:val="5AD60436"/>
    <w:rsid w:val="5AD63C32"/>
    <w:rsid w:val="5AD70FD5"/>
    <w:rsid w:val="5AD72002"/>
    <w:rsid w:val="5AD7215D"/>
    <w:rsid w:val="5AD73437"/>
    <w:rsid w:val="5AD81B99"/>
    <w:rsid w:val="5AD84AEB"/>
    <w:rsid w:val="5AD84F11"/>
    <w:rsid w:val="5AD85C2E"/>
    <w:rsid w:val="5AD85ED5"/>
    <w:rsid w:val="5AD94DAE"/>
    <w:rsid w:val="5ADA201D"/>
    <w:rsid w:val="5ADA39FB"/>
    <w:rsid w:val="5ADB07F9"/>
    <w:rsid w:val="5ADB1972"/>
    <w:rsid w:val="5ADB7F50"/>
    <w:rsid w:val="5ADC1E90"/>
    <w:rsid w:val="5ADC59C5"/>
    <w:rsid w:val="5ADD173D"/>
    <w:rsid w:val="5ADD2FA2"/>
    <w:rsid w:val="5ADD34EB"/>
    <w:rsid w:val="5ADE30F8"/>
    <w:rsid w:val="5ADE437E"/>
    <w:rsid w:val="5ADE790C"/>
    <w:rsid w:val="5ADE798F"/>
    <w:rsid w:val="5ADF05BE"/>
    <w:rsid w:val="5ADF1BC9"/>
    <w:rsid w:val="5ADF330A"/>
    <w:rsid w:val="5ADF3707"/>
    <w:rsid w:val="5ADF3818"/>
    <w:rsid w:val="5ADF54B5"/>
    <w:rsid w:val="5ADF5B4E"/>
    <w:rsid w:val="5ADF6775"/>
    <w:rsid w:val="5ADF7263"/>
    <w:rsid w:val="5ADF7500"/>
    <w:rsid w:val="5AE03098"/>
    <w:rsid w:val="5AE0768E"/>
    <w:rsid w:val="5AE109B1"/>
    <w:rsid w:val="5AE13CFF"/>
    <w:rsid w:val="5AE141E7"/>
    <w:rsid w:val="5AE143DD"/>
    <w:rsid w:val="5AE14D89"/>
    <w:rsid w:val="5AE15F27"/>
    <w:rsid w:val="5AE240ED"/>
    <w:rsid w:val="5AE26034"/>
    <w:rsid w:val="5AE26D53"/>
    <w:rsid w:val="5AE3287C"/>
    <w:rsid w:val="5AE34AD6"/>
    <w:rsid w:val="5AE40174"/>
    <w:rsid w:val="5AE42ACB"/>
    <w:rsid w:val="5AE44879"/>
    <w:rsid w:val="5AE4717C"/>
    <w:rsid w:val="5AE514C8"/>
    <w:rsid w:val="5AE51B06"/>
    <w:rsid w:val="5AE53801"/>
    <w:rsid w:val="5AE64A95"/>
    <w:rsid w:val="5AE7393E"/>
    <w:rsid w:val="5AE73BFA"/>
    <w:rsid w:val="5AE74990"/>
    <w:rsid w:val="5AE76118"/>
    <w:rsid w:val="5AE843BC"/>
    <w:rsid w:val="5AE85AFD"/>
    <w:rsid w:val="5AE91E90"/>
    <w:rsid w:val="5AE9584C"/>
    <w:rsid w:val="5AE96334"/>
    <w:rsid w:val="5AEA041D"/>
    <w:rsid w:val="5AEA2425"/>
    <w:rsid w:val="5AEB20AC"/>
    <w:rsid w:val="5AEB4CAC"/>
    <w:rsid w:val="5AEB5D39"/>
    <w:rsid w:val="5AEB644A"/>
    <w:rsid w:val="5AEC1152"/>
    <w:rsid w:val="5AEC2C48"/>
    <w:rsid w:val="5AED1980"/>
    <w:rsid w:val="5AED1C1F"/>
    <w:rsid w:val="5AED6D9E"/>
    <w:rsid w:val="5AEE00E5"/>
    <w:rsid w:val="5AEE394A"/>
    <w:rsid w:val="5AEE74A6"/>
    <w:rsid w:val="5AEF2DFF"/>
    <w:rsid w:val="5AEF3D67"/>
    <w:rsid w:val="5AEF428F"/>
    <w:rsid w:val="5AEF720A"/>
    <w:rsid w:val="5AF01470"/>
    <w:rsid w:val="5AF0501D"/>
    <w:rsid w:val="5AF06CAB"/>
    <w:rsid w:val="5AF21780"/>
    <w:rsid w:val="5AF23219"/>
    <w:rsid w:val="5AF251E8"/>
    <w:rsid w:val="5AF26F96"/>
    <w:rsid w:val="5AF37BFF"/>
    <w:rsid w:val="5AF4295F"/>
    <w:rsid w:val="5AF441EA"/>
    <w:rsid w:val="5AF50835"/>
    <w:rsid w:val="5AF5541F"/>
    <w:rsid w:val="5AF56A87"/>
    <w:rsid w:val="5AF57114"/>
    <w:rsid w:val="5AF61EC6"/>
    <w:rsid w:val="5AF641B2"/>
    <w:rsid w:val="5AF70FCD"/>
    <w:rsid w:val="5AF727FF"/>
    <w:rsid w:val="5AF77072"/>
    <w:rsid w:val="5AF80325"/>
    <w:rsid w:val="5AF80981"/>
    <w:rsid w:val="5AF820D3"/>
    <w:rsid w:val="5AF84D50"/>
    <w:rsid w:val="5AF87B55"/>
    <w:rsid w:val="5AF95341"/>
    <w:rsid w:val="5AF96577"/>
    <w:rsid w:val="5AF96A82"/>
    <w:rsid w:val="5AFA409D"/>
    <w:rsid w:val="5AFA6E60"/>
    <w:rsid w:val="5AFC0BB3"/>
    <w:rsid w:val="5AFC1BC3"/>
    <w:rsid w:val="5AFC2477"/>
    <w:rsid w:val="5AFC3A2E"/>
    <w:rsid w:val="5AFC6067"/>
    <w:rsid w:val="5AFC6DAF"/>
    <w:rsid w:val="5AFD1C3B"/>
    <w:rsid w:val="5AFD256F"/>
    <w:rsid w:val="5AFE0644"/>
    <w:rsid w:val="5AFF16B3"/>
    <w:rsid w:val="5AFF32E3"/>
    <w:rsid w:val="5AFF3461"/>
    <w:rsid w:val="5AFF74AC"/>
    <w:rsid w:val="5B01367D"/>
    <w:rsid w:val="5B026AD8"/>
    <w:rsid w:val="5B0311A3"/>
    <w:rsid w:val="5B032363"/>
    <w:rsid w:val="5B03409B"/>
    <w:rsid w:val="5B0373F5"/>
    <w:rsid w:val="5B046CCA"/>
    <w:rsid w:val="5B0538E4"/>
    <w:rsid w:val="5B055025"/>
    <w:rsid w:val="5B0608E3"/>
    <w:rsid w:val="5B060C94"/>
    <w:rsid w:val="5B062596"/>
    <w:rsid w:val="5B062A42"/>
    <w:rsid w:val="5B067945"/>
    <w:rsid w:val="5B070568"/>
    <w:rsid w:val="5B081542"/>
    <w:rsid w:val="5B082265"/>
    <w:rsid w:val="5B084A0C"/>
    <w:rsid w:val="5B08503A"/>
    <w:rsid w:val="5B0867BA"/>
    <w:rsid w:val="5B091590"/>
    <w:rsid w:val="5B091926"/>
    <w:rsid w:val="5B092532"/>
    <w:rsid w:val="5B0928D0"/>
    <w:rsid w:val="5B0942E0"/>
    <w:rsid w:val="5B0A0784"/>
    <w:rsid w:val="5B0A5E51"/>
    <w:rsid w:val="5B0B0058"/>
    <w:rsid w:val="5B0B4E63"/>
    <w:rsid w:val="5B0B4E8E"/>
    <w:rsid w:val="5B0D1FE8"/>
    <w:rsid w:val="5B0D2FCE"/>
    <w:rsid w:val="5B0D577B"/>
    <w:rsid w:val="5B0D7F40"/>
    <w:rsid w:val="5B0E3DAB"/>
    <w:rsid w:val="5B0E7B48"/>
    <w:rsid w:val="5B0F637C"/>
    <w:rsid w:val="5B0F7567"/>
    <w:rsid w:val="5B0F7F42"/>
    <w:rsid w:val="5B1036BE"/>
    <w:rsid w:val="5B105354"/>
    <w:rsid w:val="5B105C48"/>
    <w:rsid w:val="5B105DDE"/>
    <w:rsid w:val="5B116E35"/>
    <w:rsid w:val="5B127639"/>
    <w:rsid w:val="5B130AB9"/>
    <w:rsid w:val="5B13515F"/>
    <w:rsid w:val="5B142584"/>
    <w:rsid w:val="5B1502BF"/>
    <w:rsid w:val="5B150ED7"/>
    <w:rsid w:val="5B152313"/>
    <w:rsid w:val="5B152C85"/>
    <w:rsid w:val="5B1533D9"/>
    <w:rsid w:val="5B155FAA"/>
    <w:rsid w:val="5B161574"/>
    <w:rsid w:val="5B167A65"/>
    <w:rsid w:val="5B170F8F"/>
    <w:rsid w:val="5B174697"/>
    <w:rsid w:val="5B175BCD"/>
    <w:rsid w:val="5B1769FD"/>
    <w:rsid w:val="5B182775"/>
    <w:rsid w:val="5B182ACC"/>
    <w:rsid w:val="5B18349B"/>
    <w:rsid w:val="5B183DB2"/>
    <w:rsid w:val="5B193CC6"/>
    <w:rsid w:val="5B1A1E2F"/>
    <w:rsid w:val="5B1A5DBB"/>
    <w:rsid w:val="5B1A64ED"/>
    <w:rsid w:val="5B1B05D8"/>
    <w:rsid w:val="5B1B6909"/>
    <w:rsid w:val="5B1C04B7"/>
    <w:rsid w:val="5B1C2265"/>
    <w:rsid w:val="5B1D26A9"/>
    <w:rsid w:val="5B1D7AB4"/>
    <w:rsid w:val="5B1E422F"/>
    <w:rsid w:val="5B1E5215"/>
    <w:rsid w:val="5B1E5BCC"/>
    <w:rsid w:val="5B1F58B2"/>
    <w:rsid w:val="5B1F6F47"/>
    <w:rsid w:val="5B20148D"/>
    <w:rsid w:val="5B202F43"/>
    <w:rsid w:val="5B231846"/>
    <w:rsid w:val="5B23320E"/>
    <w:rsid w:val="5B2335F4"/>
    <w:rsid w:val="5B2367B9"/>
    <w:rsid w:val="5B241A3E"/>
    <w:rsid w:val="5B242EC8"/>
    <w:rsid w:val="5B2435F7"/>
    <w:rsid w:val="5B246D9E"/>
    <w:rsid w:val="5B251198"/>
    <w:rsid w:val="5B252CE1"/>
    <w:rsid w:val="5B2532E8"/>
    <w:rsid w:val="5B2555BE"/>
    <w:rsid w:val="5B255A9F"/>
    <w:rsid w:val="5B2564F8"/>
    <w:rsid w:val="5B260139"/>
    <w:rsid w:val="5B26435E"/>
    <w:rsid w:val="5B264B90"/>
    <w:rsid w:val="5B2663C3"/>
    <w:rsid w:val="5B274456"/>
    <w:rsid w:val="5B2829B8"/>
    <w:rsid w:val="5B28417F"/>
    <w:rsid w:val="5B2871D6"/>
    <w:rsid w:val="5B287ECC"/>
    <w:rsid w:val="5B2911EF"/>
    <w:rsid w:val="5B291D9C"/>
    <w:rsid w:val="5B294420"/>
    <w:rsid w:val="5B2A2BD4"/>
    <w:rsid w:val="5B2B24A8"/>
    <w:rsid w:val="5B2B78C6"/>
    <w:rsid w:val="5B2C42DB"/>
    <w:rsid w:val="5B2D049B"/>
    <w:rsid w:val="5B2D2E9B"/>
    <w:rsid w:val="5B2D4231"/>
    <w:rsid w:val="5B2D6220"/>
    <w:rsid w:val="5B2D677A"/>
    <w:rsid w:val="5B2D7786"/>
    <w:rsid w:val="5B2E478C"/>
    <w:rsid w:val="5B2E55C0"/>
    <w:rsid w:val="5B2E56C1"/>
    <w:rsid w:val="5B2E6991"/>
    <w:rsid w:val="5B2F6BD7"/>
    <w:rsid w:val="5B30071F"/>
    <w:rsid w:val="5B301722"/>
    <w:rsid w:val="5B303A59"/>
    <w:rsid w:val="5B303E52"/>
    <w:rsid w:val="5B303F63"/>
    <w:rsid w:val="5B304FAA"/>
    <w:rsid w:val="5B305D11"/>
    <w:rsid w:val="5B306BB7"/>
    <w:rsid w:val="5B317A04"/>
    <w:rsid w:val="5B317D9E"/>
    <w:rsid w:val="5B3254D2"/>
    <w:rsid w:val="5B3255E5"/>
    <w:rsid w:val="5B3319B1"/>
    <w:rsid w:val="5B334661"/>
    <w:rsid w:val="5B341205"/>
    <w:rsid w:val="5B342501"/>
    <w:rsid w:val="5B3436B8"/>
    <w:rsid w:val="5B344A0E"/>
    <w:rsid w:val="5B34507D"/>
    <w:rsid w:val="5B3475AF"/>
    <w:rsid w:val="5B353327"/>
    <w:rsid w:val="5B353E88"/>
    <w:rsid w:val="5B3550D5"/>
    <w:rsid w:val="5B370E4D"/>
    <w:rsid w:val="5B3728E1"/>
    <w:rsid w:val="5B37791B"/>
    <w:rsid w:val="5B377EB4"/>
    <w:rsid w:val="5B386973"/>
    <w:rsid w:val="5B3A093D"/>
    <w:rsid w:val="5B3A253C"/>
    <w:rsid w:val="5B3A4CB8"/>
    <w:rsid w:val="5B3A5112"/>
    <w:rsid w:val="5B3B3A67"/>
    <w:rsid w:val="5B3B7B32"/>
    <w:rsid w:val="5B3B7BB5"/>
    <w:rsid w:val="5B3C46B5"/>
    <w:rsid w:val="5B3C5E8B"/>
    <w:rsid w:val="5B3C7526"/>
    <w:rsid w:val="5B3D25E5"/>
    <w:rsid w:val="5B3D7621"/>
    <w:rsid w:val="5B3E042E"/>
    <w:rsid w:val="5B3E38F4"/>
    <w:rsid w:val="5B3E6680"/>
    <w:rsid w:val="5B3F3505"/>
    <w:rsid w:val="5B3F6646"/>
    <w:rsid w:val="5B402059"/>
    <w:rsid w:val="5B4041A6"/>
    <w:rsid w:val="5B405992"/>
    <w:rsid w:val="5B407AD6"/>
    <w:rsid w:val="5B410B52"/>
    <w:rsid w:val="5B411CCC"/>
    <w:rsid w:val="5B421B6B"/>
    <w:rsid w:val="5B424FC7"/>
    <w:rsid w:val="5B433C96"/>
    <w:rsid w:val="5B435A44"/>
    <w:rsid w:val="5B440AC5"/>
    <w:rsid w:val="5B44356A"/>
    <w:rsid w:val="5B4450E7"/>
    <w:rsid w:val="5B445318"/>
    <w:rsid w:val="5B461090"/>
    <w:rsid w:val="5B463224"/>
    <w:rsid w:val="5B463785"/>
    <w:rsid w:val="5B4638CB"/>
    <w:rsid w:val="5B46490B"/>
    <w:rsid w:val="5B467D2A"/>
    <w:rsid w:val="5B4721DC"/>
    <w:rsid w:val="5B4812AC"/>
    <w:rsid w:val="5B48305A"/>
    <w:rsid w:val="5B487E87"/>
    <w:rsid w:val="5B492DC1"/>
    <w:rsid w:val="5B494EF4"/>
    <w:rsid w:val="5B4A5737"/>
    <w:rsid w:val="5B4B45EA"/>
    <w:rsid w:val="5B4B66A7"/>
    <w:rsid w:val="5B4C1439"/>
    <w:rsid w:val="5B4C1D1F"/>
    <w:rsid w:val="5B4D241F"/>
    <w:rsid w:val="5B4D457C"/>
    <w:rsid w:val="5B4D6ED8"/>
    <w:rsid w:val="5B4D71D2"/>
    <w:rsid w:val="5B4E087A"/>
    <w:rsid w:val="5B4E4D05"/>
    <w:rsid w:val="5B4E5876"/>
    <w:rsid w:val="5B4E6197"/>
    <w:rsid w:val="5B4F0BAF"/>
    <w:rsid w:val="5B4F61E9"/>
    <w:rsid w:val="5B4F7694"/>
    <w:rsid w:val="5B500161"/>
    <w:rsid w:val="5B501F0F"/>
    <w:rsid w:val="5B50716E"/>
    <w:rsid w:val="5B516417"/>
    <w:rsid w:val="5B525C87"/>
    <w:rsid w:val="5B527780"/>
    <w:rsid w:val="5B5312F2"/>
    <w:rsid w:val="5B537EED"/>
    <w:rsid w:val="5B5404D6"/>
    <w:rsid w:val="5B5437AD"/>
    <w:rsid w:val="5B545C1D"/>
    <w:rsid w:val="5B555777"/>
    <w:rsid w:val="5B557525"/>
    <w:rsid w:val="5B563EF6"/>
    <w:rsid w:val="5B566D33"/>
    <w:rsid w:val="5B5718F2"/>
    <w:rsid w:val="5B571FE3"/>
    <w:rsid w:val="5B57504B"/>
    <w:rsid w:val="5B587751"/>
    <w:rsid w:val="5B5900DD"/>
    <w:rsid w:val="5B59067D"/>
    <w:rsid w:val="5B596DB6"/>
    <w:rsid w:val="5B5976A4"/>
    <w:rsid w:val="5B5A1146"/>
    <w:rsid w:val="5B5A2D8E"/>
    <w:rsid w:val="5B5A4B3C"/>
    <w:rsid w:val="5B5B0FE0"/>
    <w:rsid w:val="5B5B1C39"/>
    <w:rsid w:val="5B5B4626"/>
    <w:rsid w:val="5B5B46DE"/>
    <w:rsid w:val="5B5C08B4"/>
    <w:rsid w:val="5B5C0D15"/>
    <w:rsid w:val="5B5C436D"/>
    <w:rsid w:val="5B5C5660"/>
    <w:rsid w:val="5B5C5B6E"/>
    <w:rsid w:val="5B5C73BE"/>
    <w:rsid w:val="5B5D626A"/>
    <w:rsid w:val="5B5E1068"/>
    <w:rsid w:val="5B5E3FD6"/>
    <w:rsid w:val="5B5E4FCB"/>
    <w:rsid w:val="5B5E63DA"/>
    <w:rsid w:val="5B5F03A4"/>
    <w:rsid w:val="5B5F2152"/>
    <w:rsid w:val="5B6065F6"/>
    <w:rsid w:val="5B6073A6"/>
    <w:rsid w:val="5B61236E"/>
    <w:rsid w:val="5B61314E"/>
    <w:rsid w:val="5B620508"/>
    <w:rsid w:val="5B620669"/>
    <w:rsid w:val="5B6209E7"/>
    <w:rsid w:val="5B6219E0"/>
    <w:rsid w:val="5B624559"/>
    <w:rsid w:val="5B626359"/>
    <w:rsid w:val="5B634300"/>
    <w:rsid w:val="5B635A41"/>
    <w:rsid w:val="5B642E16"/>
    <w:rsid w:val="5B647768"/>
    <w:rsid w:val="5B651D73"/>
    <w:rsid w:val="5B653C0C"/>
    <w:rsid w:val="5B654162"/>
    <w:rsid w:val="5B656F7D"/>
    <w:rsid w:val="5B661732"/>
    <w:rsid w:val="5B6641ED"/>
    <w:rsid w:val="5B672793"/>
    <w:rsid w:val="5B672C81"/>
    <w:rsid w:val="5B6775B8"/>
    <w:rsid w:val="5B6854AA"/>
    <w:rsid w:val="5B692A0A"/>
    <w:rsid w:val="5B694FC7"/>
    <w:rsid w:val="5B6A69E5"/>
    <w:rsid w:val="5B6A7475"/>
    <w:rsid w:val="5B6B2A69"/>
    <w:rsid w:val="5B6B4F9B"/>
    <w:rsid w:val="5B6C1577"/>
    <w:rsid w:val="5B6C22F2"/>
    <w:rsid w:val="5B6D0D13"/>
    <w:rsid w:val="5B6D2AC1"/>
    <w:rsid w:val="5B6E08AB"/>
    <w:rsid w:val="5B6E1B18"/>
    <w:rsid w:val="5B6E7783"/>
    <w:rsid w:val="5B6F3FE4"/>
    <w:rsid w:val="5B6F4A8B"/>
    <w:rsid w:val="5B6F5BFD"/>
    <w:rsid w:val="5B70096B"/>
    <w:rsid w:val="5B7025B1"/>
    <w:rsid w:val="5B703BC1"/>
    <w:rsid w:val="5B70435F"/>
    <w:rsid w:val="5B70585B"/>
    <w:rsid w:val="5B714DC4"/>
    <w:rsid w:val="5B7174CC"/>
    <w:rsid w:val="5B7200D7"/>
    <w:rsid w:val="5B721E85"/>
    <w:rsid w:val="5B723E47"/>
    <w:rsid w:val="5B724748"/>
    <w:rsid w:val="5B7331D9"/>
    <w:rsid w:val="5B7367AC"/>
    <w:rsid w:val="5B745285"/>
    <w:rsid w:val="5B745BFD"/>
    <w:rsid w:val="5B751975"/>
    <w:rsid w:val="5B757A61"/>
    <w:rsid w:val="5B76313A"/>
    <w:rsid w:val="5B763D98"/>
    <w:rsid w:val="5B7705D8"/>
    <w:rsid w:val="5B773940"/>
    <w:rsid w:val="5B7756EE"/>
    <w:rsid w:val="5B7770CB"/>
    <w:rsid w:val="5B791466"/>
    <w:rsid w:val="5B793214"/>
    <w:rsid w:val="5B7976B8"/>
    <w:rsid w:val="5B7A175B"/>
    <w:rsid w:val="5B7A2838"/>
    <w:rsid w:val="5B7A6F8C"/>
    <w:rsid w:val="5B7B07D5"/>
    <w:rsid w:val="5B7B3430"/>
    <w:rsid w:val="5B7C0F56"/>
    <w:rsid w:val="5B7C4516"/>
    <w:rsid w:val="5B7C6E79"/>
    <w:rsid w:val="5B7C71A8"/>
    <w:rsid w:val="5B7D7A78"/>
    <w:rsid w:val="5B7E2649"/>
    <w:rsid w:val="5B7E680D"/>
    <w:rsid w:val="5B7F3B46"/>
    <w:rsid w:val="5B800A46"/>
    <w:rsid w:val="5B8027F4"/>
    <w:rsid w:val="5B803869"/>
    <w:rsid w:val="5B816560"/>
    <w:rsid w:val="5B81656C"/>
    <w:rsid w:val="5B8322E4"/>
    <w:rsid w:val="5B835E40"/>
    <w:rsid w:val="5B84427B"/>
    <w:rsid w:val="5B844D7A"/>
    <w:rsid w:val="5B846329"/>
    <w:rsid w:val="5B853696"/>
    <w:rsid w:val="5B85605C"/>
    <w:rsid w:val="5B8609F1"/>
    <w:rsid w:val="5B864775"/>
    <w:rsid w:val="5B86789B"/>
    <w:rsid w:val="5B871EA9"/>
    <w:rsid w:val="5B87226B"/>
    <w:rsid w:val="5B874E3C"/>
    <w:rsid w:val="5B877578"/>
    <w:rsid w:val="5B880B7C"/>
    <w:rsid w:val="5B8816A9"/>
    <w:rsid w:val="5B88346D"/>
    <w:rsid w:val="5B884B8B"/>
    <w:rsid w:val="5B89053F"/>
    <w:rsid w:val="5B891348"/>
    <w:rsid w:val="5B89229B"/>
    <w:rsid w:val="5B893B43"/>
    <w:rsid w:val="5B89601B"/>
    <w:rsid w:val="5B8A0C0A"/>
    <w:rsid w:val="5B8A113B"/>
    <w:rsid w:val="5B8A3673"/>
    <w:rsid w:val="5B8A6792"/>
    <w:rsid w:val="5B8A71CF"/>
    <w:rsid w:val="5B8B1199"/>
    <w:rsid w:val="5B8B207C"/>
    <w:rsid w:val="5B8B2F47"/>
    <w:rsid w:val="5B8C1D0F"/>
    <w:rsid w:val="5B8D315C"/>
    <w:rsid w:val="5B8D5FE9"/>
    <w:rsid w:val="5B8D6CBF"/>
    <w:rsid w:val="5B8D756D"/>
    <w:rsid w:val="5B8E1DED"/>
    <w:rsid w:val="5B8E2808"/>
    <w:rsid w:val="5B8F0C89"/>
    <w:rsid w:val="5B8F1398"/>
    <w:rsid w:val="5B8F35CE"/>
    <w:rsid w:val="5B8F47E5"/>
    <w:rsid w:val="5B8F4FC4"/>
    <w:rsid w:val="5B90055D"/>
    <w:rsid w:val="5B904A5E"/>
    <w:rsid w:val="5B905AD9"/>
    <w:rsid w:val="5B90718A"/>
    <w:rsid w:val="5B910182"/>
    <w:rsid w:val="5B9166A3"/>
    <w:rsid w:val="5B920779"/>
    <w:rsid w:val="5B922527"/>
    <w:rsid w:val="5B9240CB"/>
    <w:rsid w:val="5B9242D5"/>
    <w:rsid w:val="5B93012D"/>
    <w:rsid w:val="5B9306C1"/>
    <w:rsid w:val="5B931ECE"/>
    <w:rsid w:val="5B9333DF"/>
    <w:rsid w:val="5B9348D6"/>
    <w:rsid w:val="5B947CAF"/>
    <w:rsid w:val="5B953DC6"/>
    <w:rsid w:val="5B955628"/>
    <w:rsid w:val="5B955B74"/>
    <w:rsid w:val="5B9718EC"/>
    <w:rsid w:val="5B973A7B"/>
    <w:rsid w:val="5B977B3E"/>
    <w:rsid w:val="5B987310"/>
    <w:rsid w:val="5B987706"/>
    <w:rsid w:val="5B991B08"/>
    <w:rsid w:val="5B9938B6"/>
    <w:rsid w:val="5B996E51"/>
    <w:rsid w:val="5B9A5508"/>
    <w:rsid w:val="5B9B13DC"/>
    <w:rsid w:val="5B9B1B71"/>
    <w:rsid w:val="5B9C0614"/>
    <w:rsid w:val="5B9C3001"/>
    <w:rsid w:val="5B9C5AAD"/>
    <w:rsid w:val="5B9C6F02"/>
    <w:rsid w:val="5B9D7062"/>
    <w:rsid w:val="5B9D7C01"/>
    <w:rsid w:val="5B9E0ECC"/>
    <w:rsid w:val="5B9E2C7A"/>
    <w:rsid w:val="5B9E6334"/>
    <w:rsid w:val="5B9F1982"/>
    <w:rsid w:val="5BA00E99"/>
    <w:rsid w:val="5BA02E96"/>
    <w:rsid w:val="5BA04553"/>
    <w:rsid w:val="5BA04C44"/>
    <w:rsid w:val="5BA11C13"/>
    <w:rsid w:val="5BA1276A"/>
    <w:rsid w:val="5BA164AF"/>
    <w:rsid w:val="5BA16F7A"/>
    <w:rsid w:val="5BA20303"/>
    <w:rsid w:val="5BA2287A"/>
    <w:rsid w:val="5BA22B03"/>
    <w:rsid w:val="5BA230B9"/>
    <w:rsid w:val="5BA26C0E"/>
    <w:rsid w:val="5BA30291"/>
    <w:rsid w:val="5BA31FB4"/>
    <w:rsid w:val="5BA32ED4"/>
    <w:rsid w:val="5BA34735"/>
    <w:rsid w:val="5BA364E3"/>
    <w:rsid w:val="5BA44364"/>
    <w:rsid w:val="5BA477A6"/>
    <w:rsid w:val="5BA504AD"/>
    <w:rsid w:val="5BA525F2"/>
    <w:rsid w:val="5BA54009"/>
    <w:rsid w:val="5BA639C4"/>
    <w:rsid w:val="5BA67D81"/>
    <w:rsid w:val="5BA81D4B"/>
    <w:rsid w:val="5BA858A7"/>
    <w:rsid w:val="5BA86C3F"/>
    <w:rsid w:val="5BA90BC9"/>
    <w:rsid w:val="5BA93FBD"/>
    <w:rsid w:val="5BA94D31"/>
    <w:rsid w:val="5BA9570C"/>
    <w:rsid w:val="5BA95F91"/>
    <w:rsid w:val="5BAA5AC3"/>
    <w:rsid w:val="5BAA68AB"/>
    <w:rsid w:val="5BAB0978"/>
    <w:rsid w:val="5BAB3E1F"/>
    <w:rsid w:val="5BAB5397"/>
    <w:rsid w:val="5BAC183B"/>
    <w:rsid w:val="5BAC7B83"/>
    <w:rsid w:val="5BAD12E6"/>
    <w:rsid w:val="5BAD2995"/>
    <w:rsid w:val="5BAD364E"/>
    <w:rsid w:val="5BAD3F86"/>
    <w:rsid w:val="5BAD3FA7"/>
    <w:rsid w:val="5BAD55B3"/>
    <w:rsid w:val="5BAD6B57"/>
    <w:rsid w:val="5BAD7DF7"/>
    <w:rsid w:val="5BAE3FA6"/>
    <w:rsid w:val="5BAF1477"/>
    <w:rsid w:val="5BAF6C35"/>
    <w:rsid w:val="5BB05C07"/>
    <w:rsid w:val="5BB06961"/>
    <w:rsid w:val="5BB10BFF"/>
    <w:rsid w:val="5BB1318C"/>
    <w:rsid w:val="5BB13D97"/>
    <w:rsid w:val="5BB2091F"/>
    <w:rsid w:val="5BB20BF1"/>
    <w:rsid w:val="5BB21741"/>
    <w:rsid w:val="5BB26726"/>
    <w:rsid w:val="5BB268BB"/>
    <w:rsid w:val="5BB308F0"/>
    <w:rsid w:val="5BB42718"/>
    <w:rsid w:val="5BB575B8"/>
    <w:rsid w:val="5BB57FC4"/>
    <w:rsid w:val="5BB61F39"/>
    <w:rsid w:val="5BB64468"/>
    <w:rsid w:val="5BB66216"/>
    <w:rsid w:val="5BB679B1"/>
    <w:rsid w:val="5BB701E0"/>
    <w:rsid w:val="5BB727DA"/>
    <w:rsid w:val="5BB73D3C"/>
    <w:rsid w:val="5BB85F08"/>
    <w:rsid w:val="5BB86188"/>
    <w:rsid w:val="5BB92529"/>
    <w:rsid w:val="5BB950FA"/>
    <w:rsid w:val="5BB95D06"/>
    <w:rsid w:val="5BB97AB4"/>
    <w:rsid w:val="5BBA05CD"/>
    <w:rsid w:val="5BBA38B1"/>
    <w:rsid w:val="5BBA7DB4"/>
    <w:rsid w:val="5BBB1A7E"/>
    <w:rsid w:val="5BBC2C60"/>
    <w:rsid w:val="5BBD06F3"/>
    <w:rsid w:val="5BBD57F6"/>
    <w:rsid w:val="5BBF782B"/>
    <w:rsid w:val="5BC07095"/>
    <w:rsid w:val="5BC12FA5"/>
    <w:rsid w:val="5BC1423B"/>
    <w:rsid w:val="5BC16601"/>
    <w:rsid w:val="5BC22E0D"/>
    <w:rsid w:val="5BC261CE"/>
    <w:rsid w:val="5BC326E1"/>
    <w:rsid w:val="5BC32810"/>
    <w:rsid w:val="5BC36B85"/>
    <w:rsid w:val="5BC45966"/>
    <w:rsid w:val="5BC52561"/>
    <w:rsid w:val="5BC528FD"/>
    <w:rsid w:val="5BC546AB"/>
    <w:rsid w:val="5BC54DDE"/>
    <w:rsid w:val="5BC56459"/>
    <w:rsid w:val="5BC56630"/>
    <w:rsid w:val="5BC71EB1"/>
    <w:rsid w:val="5BC749BE"/>
    <w:rsid w:val="5BC760F3"/>
    <w:rsid w:val="5BC76675"/>
    <w:rsid w:val="5BC76D7B"/>
    <w:rsid w:val="5BC77AD0"/>
    <w:rsid w:val="5BC8220C"/>
    <w:rsid w:val="5BC835A7"/>
    <w:rsid w:val="5BC8419B"/>
    <w:rsid w:val="5BC85F49"/>
    <w:rsid w:val="5BC87CF7"/>
    <w:rsid w:val="5BC92803"/>
    <w:rsid w:val="5BC934AE"/>
    <w:rsid w:val="5BC94477"/>
    <w:rsid w:val="5BC95A51"/>
    <w:rsid w:val="5BCA1CC1"/>
    <w:rsid w:val="5BCA3A6F"/>
    <w:rsid w:val="5BCA61A8"/>
    <w:rsid w:val="5BCA7F13"/>
    <w:rsid w:val="5BCC0F14"/>
    <w:rsid w:val="5BCC3945"/>
    <w:rsid w:val="5BCC3C8B"/>
    <w:rsid w:val="5BCC4E69"/>
    <w:rsid w:val="5BCD20F1"/>
    <w:rsid w:val="5BCD355F"/>
    <w:rsid w:val="5BCD67E0"/>
    <w:rsid w:val="5BCF11AE"/>
    <w:rsid w:val="5BD01EF1"/>
    <w:rsid w:val="5BD0768A"/>
    <w:rsid w:val="5BD112A2"/>
    <w:rsid w:val="5BD13092"/>
    <w:rsid w:val="5BD13BC9"/>
    <w:rsid w:val="5BD14DFE"/>
    <w:rsid w:val="5BD26DC8"/>
    <w:rsid w:val="5BD40D92"/>
    <w:rsid w:val="5BD41669"/>
    <w:rsid w:val="5BD42B40"/>
    <w:rsid w:val="5BD43D75"/>
    <w:rsid w:val="5BD45872"/>
    <w:rsid w:val="5BD51D05"/>
    <w:rsid w:val="5BD566AF"/>
    <w:rsid w:val="5BD64622"/>
    <w:rsid w:val="5BD668B8"/>
    <w:rsid w:val="5BD77678"/>
    <w:rsid w:val="5BD92D30"/>
    <w:rsid w:val="5BD935B6"/>
    <w:rsid w:val="5BDA1E2A"/>
    <w:rsid w:val="5BDB3ECE"/>
    <w:rsid w:val="5BDC19F5"/>
    <w:rsid w:val="5BDC3065"/>
    <w:rsid w:val="5BDC37A3"/>
    <w:rsid w:val="5BDC4E3C"/>
    <w:rsid w:val="5BDC57DA"/>
    <w:rsid w:val="5BDC590D"/>
    <w:rsid w:val="5BDD2446"/>
    <w:rsid w:val="5BDE39BF"/>
    <w:rsid w:val="5BDE576D"/>
    <w:rsid w:val="5BDF4A8F"/>
    <w:rsid w:val="5BDF5D95"/>
    <w:rsid w:val="5BDF6BBC"/>
    <w:rsid w:val="5BDF6E15"/>
    <w:rsid w:val="5BDF71A8"/>
    <w:rsid w:val="5BDF71E4"/>
    <w:rsid w:val="5BE002A5"/>
    <w:rsid w:val="5BE014E5"/>
    <w:rsid w:val="5BE03293"/>
    <w:rsid w:val="5BE05F4F"/>
    <w:rsid w:val="5BE07737"/>
    <w:rsid w:val="5BE10DB9"/>
    <w:rsid w:val="5BE16D8E"/>
    <w:rsid w:val="5BE20856"/>
    <w:rsid w:val="5BE24E75"/>
    <w:rsid w:val="5BE2525D"/>
    <w:rsid w:val="5BE2700B"/>
    <w:rsid w:val="5BE34680"/>
    <w:rsid w:val="5BE469EC"/>
    <w:rsid w:val="5BE52CCA"/>
    <w:rsid w:val="5BE56AFB"/>
    <w:rsid w:val="5BE579D9"/>
    <w:rsid w:val="5BE57DB8"/>
    <w:rsid w:val="5BE6171B"/>
    <w:rsid w:val="5BE64117"/>
    <w:rsid w:val="5BE72873"/>
    <w:rsid w:val="5BE82147"/>
    <w:rsid w:val="5BE83874"/>
    <w:rsid w:val="5BE865EB"/>
    <w:rsid w:val="5BE93AAA"/>
    <w:rsid w:val="5BEA2363"/>
    <w:rsid w:val="5BEA261B"/>
    <w:rsid w:val="5BEA5EBF"/>
    <w:rsid w:val="5BEB6BC0"/>
    <w:rsid w:val="5BEC1A5C"/>
    <w:rsid w:val="5BEC1C38"/>
    <w:rsid w:val="5BEC2C8D"/>
    <w:rsid w:val="5BEC3CBC"/>
    <w:rsid w:val="5BEC60DC"/>
    <w:rsid w:val="5BED59B0"/>
    <w:rsid w:val="5BEE04E8"/>
    <w:rsid w:val="5BEE0B3E"/>
    <w:rsid w:val="5BEE226D"/>
    <w:rsid w:val="5BEF1728"/>
    <w:rsid w:val="5BEF18A9"/>
    <w:rsid w:val="5BEF27F5"/>
    <w:rsid w:val="5BEF797A"/>
    <w:rsid w:val="5BF04597"/>
    <w:rsid w:val="5BF07D9A"/>
    <w:rsid w:val="5BF117E5"/>
    <w:rsid w:val="5BF136F2"/>
    <w:rsid w:val="5BF154A0"/>
    <w:rsid w:val="5BF1724E"/>
    <w:rsid w:val="5BF172E7"/>
    <w:rsid w:val="5BF2002D"/>
    <w:rsid w:val="5BF31926"/>
    <w:rsid w:val="5BF33B63"/>
    <w:rsid w:val="5BF34BE0"/>
    <w:rsid w:val="5BF3671B"/>
    <w:rsid w:val="5BF40AEC"/>
    <w:rsid w:val="5BF46D24"/>
    <w:rsid w:val="5BF530A5"/>
    <w:rsid w:val="5BF56BCA"/>
    <w:rsid w:val="5BF60D08"/>
    <w:rsid w:val="5BF6266E"/>
    <w:rsid w:val="5BF63943"/>
    <w:rsid w:val="5BF64864"/>
    <w:rsid w:val="5BF705DC"/>
    <w:rsid w:val="5BF70A64"/>
    <w:rsid w:val="5BF77C6D"/>
    <w:rsid w:val="5BF846A1"/>
    <w:rsid w:val="5BF8652C"/>
    <w:rsid w:val="5BF8682E"/>
    <w:rsid w:val="5BF90B21"/>
    <w:rsid w:val="5BF90F02"/>
    <w:rsid w:val="5BF925A6"/>
    <w:rsid w:val="5BF95BF7"/>
    <w:rsid w:val="5BFA1F99"/>
    <w:rsid w:val="5BFA340D"/>
    <w:rsid w:val="5BFB4B8D"/>
    <w:rsid w:val="5BFC62C9"/>
    <w:rsid w:val="5BFD0B79"/>
    <w:rsid w:val="5BFD0FB4"/>
    <w:rsid w:val="5BFD2097"/>
    <w:rsid w:val="5BFD372D"/>
    <w:rsid w:val="5BFD3E45"/>
    <w:rsid w:val="5BFD450A"/>
    <w:rsid w:val="5BFD49CE"/>
    <w:rsid w:val="5BFE7528"/>
    <w:rsid w:val="5BFE7BBD"/>
    <w:rsid w:val="5BFF0ABC"/>
    <w:rsid w:val="5BFF25D9"/>
    <w:rsid w:val="5BFF46E2"/>
    <w:rsid w:val="5BFF4CBE"/>
    <w:rsid w:val="5BFF4D2F"/>
    <w:rsid w:val="5BFF63FF"/>
    <w:rsid w:val="5C0017AD"/>
    <w:rsid w:val="5C013209"/>
    <w:rsid w:val="5C02145B"/>
    <w:rsid w:val="5C0276AD"/>
    <w:rsid w:val="5C0427F6"/>
    <w:rsid w:val="5C043425"/>
    <w:rsid w:val="5C044ACF"/>
    <w:rsid w:val="5C050F4B"/>
    <w:rsid w:val="5C051711"/>
    <w:rsid w:val="5C06456D"/>
    <w:rsid w:val="5C074942"/>
    <w:rsid w:val="5C074CC3"/>
    <w:rsid w:val="5C074E77"/>
    <w:rsid w:val="5C074EE8"/>
    <w:rsid w:val="5C0764E2"/>
    <w:rsid w:val="5C076A71"/>
    <w:rsid w:val="5C080ABF"/>
    <w:rsid w:val="5C080BF2"/>
    <w:rsid w:val="5C084598"/>
    <w:rsid w:val="5C0A3706"/>
    <w:rsid w:val="5C0A6562"/>
    <w:rsid w:val="5C0A7E5D"/>
    <w:rsid w:val="5C0A7FEF"/>
    <w:rsid w:val="5C0B0191"/>
    <w:rsid w:val="5C0B16CD"/>
    <w:rsid w:val="5C0B1FF6"/>
    <w:rsid w:val="5C0B3304"/>
    <w:rsid w:val="5C0B7550"/>
    <w:rsid w:val="5C0B7862"/>
    <w:rsid w:val="5C0C052C"/>
    <w:rsid w:val="5C0C1A9E"/>
    <w:rsid w:val="5C0C4088"/>
    <w:rsid w:val="5C0C7573"/>
    <w:rsid w:val="5C0C7E31"/>
    <w:rsid w:val="5C0D1BAE"/>
    <w:rsid w:val="5C0D4B4D"/>
    <w:rsid w:val="5C0D7E00"/>
    <w:rsid w:val="5C0F1DCA"/>
    <w:rsid w:val="5C1072E3"/>
    <w:rsid w:val="5C1075E8"/>
    <w:rsid w:val="5C110814"/>
    <w:rsid w:val="5C11169E"/>
    <w:rsid w:val="5C113810"/>
    <w:rsid w:val="5C115B42"/>
    <w:rsid w:val="5C1178F0"/>
    <w:rsid w:val="5C124875"/>
    <w:rsid w:val="5C1271C4"/>
    <w:rsid w:val="5C1318BA"/>
    <w:rsid w:val="5C133134"/>
    <w:rsid w:val="5C133668"/>
    <w:rsid w:val="5C1360AC"/>
    <w:rsid w:val="5C14118E"/>
    <w:rsid w:val="5C142F3C"/>
    <w:rsid w:val="5C145A54"/>
    <w:rsid w:val="5C152EDA"/>
    <w:rsid w:val="5C161AB5"/>
    <w:rsid w:val="5C163158"/>
    <w:rsid w:val="5C164A62"/>
    <w:rsid w:val="5C164F06"/>
    <w:rsid w:val="5C166CB5"/>
    <w:rsid w:val="5C166E64"/>
    <w:rsid w:val="5C17200E"/>
    <w:rsid w:val="5C180C7F"/>
    <w:rsid w:val="5C182A2D"/>
    <w:rsid w:val="5C186ED1"/>
    <w:rsid w:val="5C192E43"/>
    <w:rsid w:val="5C194704"/>
    <w:rsid w:val="5C1949F7"/>
    <w:rsid w:val="5C19509B"/>
    <w:rsid w:val="5C195F6E"/>
    <w:rsid w:val="5C1967A5"/>
    <w:rsid w:val="5C1A18C6"/>
    <w:rsid w:val="5C1A210E"/>
    <w:rsid w:val="5C1B076F"/>
    <w:rsid w:val="5C1B19F6"/>
    <w:rsid w:val="5C1B251D"/>
    <w:rsid w:val="5C1B2D56"/>
    <w:rsid w:val="5C1B5569"/>
    <w:rsid w:val="5C1B79DA"/>
    <w:rsid w:val="5C1C0299"/>
    <w:rsid w:val="5C1C06E1"/>
    <w:rsid w:val="5C1C5927"/>
    <w:rsid w:val="5C1C79E2"/>
    <w:rsid w:val="5C1D44E7"/>
    <w:rsid w:val="5C1D7440"/>
    <w:rsid w:val="5C1E06D4"/>
    <w:rsid w:val="5C1E479A"/>
    <w:rsid w:val="5C1E6D45"/>
    <w:rsid w:val="5C1E7C90"/>
    <w:rsid w:val="5C1F31C3"/>
    <w:rsid w:val="5C20178C"/>
    <w:rsid w:val="5C2018E1"/>
    <w:rsid w:val="5C205D85"/>
    <w:rsid w:val="5C217DC4"/>
    <w:rsid w:val="5C220C9C"/>
    <w:rsid w:val="5C221798"/>
    <w:rsid w:val="5C221AFD"/>
    <w:rsid w:val="5C221E63"/>
    <w:rsid w:val="5C2238AB"/>
    <w:rsid w:val="5C225659"/>
    <w:rsid w:val="5C2313D1"/>
    <w:rsid w:val="5C2314C8"/>
    <w:rsid w:val="5C241013"/>
    <w:rsid w:val="5C245C7D"/>
    <w:rsid w:val="5C246C89"/>
    <w:rsid w:val="5C247E7A"/>
    <w:rsid w:val="5C250DA0"/>
    <w:rsid w:val="5C25105F"/>
    <w:rsid w:val="5C25339C"/>
    <w:rsid w:val="5C254D44"/>
    <w:rsid w:val="5C25514A"/>
    <w:rsid w:val="5C263B5B"/>
    <w:rsid w:val="5C263CF4"/>
    <w:rsid w:val="5C267CE8"/>
    <w:rsid w:val="5C267E27"/>
    <w:rsid w:val="5C270EC2"/>
    <w:rsid w:val="5C272A39"/>
    <w:rsid w:val="5C275536"/>
    <w:rsid w:val="5C283EC9"/>
    <w:rsid w:val="5C2869E8"/>
    <w:rsid w:val="5C292E8C"/>
    <w:rsid w:val="5C293A7C"/>
    <w:rsid w:val="5C29444E"/>
    <w:rsid w:val="5C296D51"/>
    <w:rsid w:val="5C296FB2"/>
    <w:rsid w:val="5C2B19E9"/>
    <w:rsid w:val="5C2B284A"/>
    <w:rsid w:val="5C2B39D4"/>
    <w:rsid w:val="5C2B64E9"/>
    <w:rsid w:val="5C2C297C"/>
    <w:rsid w:val="5C2C4A5B"/>
    <w:rsid w:val="5C2C541B"/>
    <w:rsid w:val="5C2C5531"/>
    <w:rsid w:val="5C2C64D8"/>
    <w:rsid w:val="5C2D3FFE"/>
    <w:rsid w:val="5C2E2250"/>
    <w:rsid w:val="5C2F11CB"/>
    <w:rsid w:val="5C2F265B"/>
    <w:rsid w:val="5C2F421A"/>
    <w:rsid w:val="5C2F7D76"/>
    <w:rsid w:val="5C3011D6"/>
    <w:rsid w:val="5C313919"/>
    <w:rsid w:val="5C316701"/>
    <w:rsid w:val="5C320050"/>
    <w:rsid w:val="5C32128D"/>
    <w:rsid w:val="5C321615"/>
    <w:rsid w:val="5C3317B3"/>
    <w:rsid w:val="5C333BAD"/>
    <w:rsid w:val="5C335072"/>
    <w:rsid w:val="5C33711A"/>
    <w:rsid w:val="5C3564CD"/>
    <w:rsid w:val="5C35673C"/>
    <w:rsid w:val="5C36109E"/>
    <w:rsid w:val="5C364F80"/>
    <w:rsid w:val="5C365391"/>
    <w:rsid w:val="5C3655A9"/>
    <w:rsid w:val="5C3744D8"/>
    <w:rsid w:val="5C381321"/>
    <w:rsid w:val="5C382608"/>
    <w:rsid w:val="5C384E7D"/>
    <w:rsid w:val="5C38721E"/>
    <w:rsid w:val="5C390BF5"/>
    <w:rsid w:val="5C392508"/>
    <w:rsid w:val="5C3978BC"/>
    <w:rsid w:val="5C3A3E1D"/>
    <w:rsid w:val="5C3A6E47"/>
    <w:rsid w:val="5C3B496D"/>
    <w:rsid w:val="5C3B4C65"/>
    <w:rsid w:val="5C3B671B"/>
    <w:rsid w:val="5C3D4C5F"/>
    <w:rsid w:val="5C3D781A"/>
    <w:rsid w:val="5C3D7831"/>
    <w:rsid w:val="5C3F076D"/>
    <w:rsid w:val="5C3F26AF"/>
    <w:rsid w:val="5C3F612E"/>
    <w:rsid w:val="5C401F83"/>
    <w:rsid w:val="5C404D21"/>
    <w:rsid w:val="5C414CEA"/>
    <w:rsid w:val="5C41558F"/>
    <w:rsid w:val="5C423DD8"/>
    <w:rsid w:val="5C423F4D"/>
    <w:rsid w:val="5C425CFC"/>
    <w:rsid w:val="5C433822"/>
    <w:rsid w:val="5C433D3C"/>
    <w:rsid w:val="5C441C47"/>
    <w:rsid w:val="5C445C13"/>
    <w:rsid w:val="5C447CC6"/>
    <w:rsid w:val="5C452FC8"/>
    <w:rsid w:val="5C457832"/>
    <w:rsid w:val="5C4672AF"/>
    <w:rsid w:val="5C4708E2"/>
    <w:rsid w:val="5C473312"/>
    <w:rsid w:val="5C474B09"/>
    <w:rsid w:val="5C4750B5"/>
    <w:rsid w:val="5C4750C0"/>
    <w:rsid w:val="5C480E38"/>
    <w:rsid w:val="5C487DBB"/>
    <w:rsid w:val="5C4900A4"/>
    <w:rsid w:val="5C49226D"/>
    <w:rsid w:val="5C492F91"/>
    <w:rsid w:val="5C493FE5"/>
    <w:rsid w:val="5C49708A"/>
    <w:rsid w:val="5C4A12B0"/>
    <w:rsid w:val="5C4A2E02"/>
    <w:rsid w:val="5C4A4BB0"/>
    <w:rsid w:val="5C4B444E"/>
    <w:rsid w:val="5C4C26D6"/>
    <w:rsid w:val="5C4C28AD"/>
    <w:rsid w:val="5C4C6B7A"/>
    <w:rsid w:val="5C4D01D6"/>
    <w:rsid w:val="5C4E28F2"/>
    <w:rsid w:val="5C4E458C"/>
    <w:rsid w:val="5C4E644E"/>
    <w:rsid w:val="5C4F0418"/>
    <w:rsid w:val="5C4F17D1"/>
    <w:rsid w:val="5C4F21C6"/>
    <w:rsid w:val="5C501641"/>
    <w:rsid w:val="5C501AC6"/>
    <w:rsid w:val="5C50239C"/>
    <w:rsid w:val="5C50666A"/>
    <w:rsid w:val="5C51323E"/>
    <w:rsid w:val="5C514191"/>
    <w:rsid w:val="5C514E2F"/>
    <w:rsid w:val="5C515F3F"/>
    <w:rsid w:val="5C525426"/>
    <w:rsid w:val="5C531BBB"/>
    <w:rsid w:val="5C531CB7"/>
    <w:rsid w:val="5C536D10"/>
    <w:rsid w:val="5C545A2F"/>
    <w:rsid w:val="5C5477DD"/>
    <w:rsid w:val="5C552EE6"/>
    <w:rsid w:val="5C553C81"/>
    <w:rsid w:val="5C56150A"/>
    <w:rsid w:val="5C56162E"/>
    <w:rsid w:val="5C5617A7"/>
    <w:rsid w:val="5C56542E"/>
    <w:rsid w:val="5C5679F9"/>
    <w:rsid w:val="5C58107B"/>
    <w:rsid w:val="5C581C15"/>
    <w:rsid w:val="5C582FA8"/>
    <w:rsid w:val="5C585659"/>
    <w:rsid w:val="5C585A2B"/>
    <w:rsid w:val="5C5872CD"/>
    <w:rsid w:val="5C5A0499"/>
    <w:rsid w:val="5C5A1297"/>
    <w:rsid w:val="5C5A6D58"/>
    <w:rsid w:val="5C5B0B6B"/>
    <w:rsid w:val="5C5B500F"/>
    <w:rsid w:val="5C5B6963"/>
    <w:rsid w:val="5C5B6DBD"/>
    <w:rsid w:val="5C5C5B3C"/>
    <w:rsid w:val="5C5D2C69"/>
    <w:rsid w:val="5C5E0D45"/>
    <w:rsid w:val="5C5E210D"/>
    <w:rsid w:val="5C5E2F13"/>
    <w:rsid w:val="5C5F173A"/>
    <w:rsid w:val="5C5F68AD"/>
    <w:rsid w:val="5C5F6B69"/>
    <w:rsid w:val="5C5F7FE6"/>
    <w:rsid w:val="5C602626"/>
    <w:rsid w:val="5C6043D4"/>
    <w:rsid w:val="5C606182"/>
    <w:rsid w:val="5C610054"/>
    <w:rsid w:val="5C61144A"/>
    <w:rsid w:val="5C612876"/>
    <w:rsid w:val="5C612E76"/>
    <w:rsid w:val="5C614145"/>
    <w:rsid w:val="5C617363"/>
    <w:rsid w:val="5C62014C"/>
    <w:rsid w:val="5C6207A8"/>
    <w:rsid w:val="5C62639E"/>
    <w:rsid w:val="5C627C53"/>
    <w:rsid w:val="5C6334A3"/>
    <w:rsid w:val="5C6340A3"/>
    <w:rsid w:val="5C636DC0"/>
    <w:rsid w:val="5C6375C0"/>
    <w:rsid w:val="5C642116"/>
    <w:rsid w:val="5C643492"/>
    <w:rsid w:val="5C643EC4"/>
    <w:rsid w:val="5C64411C"/>
    <w:rsid w:val="5C645C72"/>
    <w:rsid w:val="5C6519EA"/>
    <w:rsid w:val="5C655C22"/>
    <w:rsid w:val="5C657C3C"/>
    <w:rsid w:val="5C6623B6"/>
    <w:rsid w:val="5C663A43"/>
    <w:rsid w:val="5C670E9C"/>
    <w:rsid w:val="5C674914"/>
    <w:rsid w:val="5C677510"/>
    <w:rsid w:val="5C680238"/>
    <w:rsid w:val="5C6803E2"/>
    <w:rsid w:val="5C687F31"/>
    <w:rsid w:val="5C6913FE"/>
    <w:rsid w:val="5C6914DA"/>
    <w:rsid w:val="5C693288"/>
    <w:rsid w:val="5C6949CD"/>
    <w:rsid w:val="5C69772C"/>
    <w:rsid w:val="5C6A3177"/>
    <w:rsid w:val="5C6A5252"/>
    <w:rsid w:val="5C6A7000"/>
    <w:rsid w:val="5C6B34A4"/>
    <w:rsid w:val="5C6C0FCA"/>
    <w:rsid w:val="5C6C1E2A"/>
    <w:rsid w:val="5C6D4219"/>
    <w:rsid w:val="5C6D45FA"/>
    <w:rsid w:val="5C6D6519"/>
    <w:rsid w:val="5C6E089F"/>
    <w:rsid w:val="5C6E2624"/>
    <w:rsid w:val="5C6E57F5"/>
    <w:rsid w:val="5C6E6AF1"/>
    <w:rsid w:val="5C6E7D9F"/>
    <w:rsid w:val="5C6F1132"/>
    <w:rsid w:val="5C6F122F"/>
    <w:rsid w:val="5C6F4617"/>
    <w:rsid w:val="5C702869"/>
    <w:rsid w:val="5C70659A"/>
    <w:rsid w:val="5C707482"/>
    <w:rsid w:val="5C71038F"/>
    <w:rsid w:val="5C71213D"/>
    <w:rsid w:val="5C713B4F"/>
    <w:rsid w:val="5C7165E1"/>
    <w:rsid w:val="5C725121"/>
    <w:rsid w:val="5C727CF2"/>
    <w:rsid w:val="5C732FCD"/>
    <w:rsid w:val="5C734107"/>
    <w:rsid w:val="5C741C2D"/>
    <w:rsid w:val="5C755D8C"/>
    <w:rsid w:val="5C7562EE"/>
    <w:rsid w:val="5C764DF0"/>
    <w:rsid w:val="5C7659A5"/>
    <w:rsid w:val="5C767840"/>
    <w:rsid w:val="5C77403F"/>
    <w:rsid w:val="5C775059"/>
    <w:rsid w:val="5C777D5B"/>
    <w:rsid w:val="5C780021"/>
    <w:rsid w:val="5C78171D"/>
    <w:rsid w:val="5C7834CB"/>
    <w:rsid w:val="5C785B25"/>
    <w:rsid w:val="5C797AB8"/>
    <w:rsid w:val="5C7A3771"/>
    <w:rsid w:val="5C7A4790"/>
    <w:rsid w:val="5C7B1BCE"/>
    <w:rsid w:val="5C7B2FBB"/>
    <w:rsid w:val="5C7B745F"/>
    <w:rsid w:val="5C7C1CA3"/>
    <w:rsid w:val="5C7C7E2C"/>
    <w:rsid w:val="5C7D31D8"/>
    <w:rsid w:val="5C7D7FE2"/>
    <w:rsid w:val="5C7E1792"/>
    <w:rsid w:val="5C7E485A"/>
    <w:rsid w:val="5C7F01DC"/>
    <w:rsid w:val="5C807715"/>
    <w:rsid w:val="5C813644"/>
    <w:rsid w:val="5C814A76"/>
    <w:rsid w:val="5C8207EE"/>
    <w:rsid w:val="5C8209A3"/>
    <w:rsid w:val="5C82259C"/>
    <w:rsid w:val="5C8226B0"/>
    <w:rsid w:val="5C831D4C"/>
    <w:rsid w:val="5C835D51"/>
    <w:rsid w:val="5C8400C2"/>
    <w:rsid w:val="5C841E70"/>
    <w:rsid w:val="5C844566"/>
    <w:rsid w:val="5C846314"/>
    <w:rsid w:val="5C846E17"/>
    <w:rsid w:val="5C861F87"/>
    <w:rsid w:val="5C86208C"/>
    <w:rsid w:val="5C875E04"/>
    <w:rsid w:val="5C8868EF"/>
    <w:rsid w:val="5C89392A"/>
    <w:rsid w:val="5C8A1451"/>
    <w:rsid w:val="5C8A5083"/>
    <w:rsid w:val="5C8A65AB"/>
    <w:rsid w:val="5C8A7B5D"/>
    <w:rsid w:val="5C8B76A2"/>
    <w:rsid w:val="5C8C1275"/>
    <w:rsid w:val="5C8C19E4"/>
    <w:rsid w:val="5C8C51C9"/>
    <w:rsid w:val="5C8D1BE7"/>
    <w:rsid w:val="5C8E035F"/>
    <w:rsid w:val="5C8E0F41"/>
    <w:rsid w:val="5C8E2747"/>
    <w:rsid w:val="5C8E2CEF"/>
    <w:rsid w:val="5C8E4E72"/>
    <w:rsid w:val="5C8F1519"/>
    <w:rsid w:val="5C8F2377"/>
    <w:rsid w:val="5C8F386B"/>
    <w:rsid w:val="5C8F4507"/>
    <w:rsid w:val="5C8F6A67"/>
    <w:rsid w:val="5C906884"/>
    <w:rsid w:val="5C912102"/>
    <w:rsid w:val="5C913940"/>
    <w:rsid w:val="5C91458D"/>
    <w:rsid w:val="5C91668F"/>
    <w:rsid w:val="5C9173E2"/>
    <w:rsid w:val="5C92020D"/>
    <w:rsid w:val="5C921E92"/>
    <w:rsid w:val="5C925985"/>
    <w:rsid w:val="5C930305"/>
    <w:rsid w:val="5C931C99"/>
    <w:rsid w:val="5C9421A2"/>
    <w:rsid w:val="5C945392"/>
    <w:rsid w:val="5C950521"/>
    <w:rsid w:val="5C950D18"/>
    <w:rsid w:val="5C951806"/>
    <w:rsid w:val="5C95407D"/>
    <w:rsid w:val="5C955894"/>
    <w:rsid w:val="5C962871"/>
    <w:rsid w:val="5C96334A"/>
    <w:rsid w:val="5C9654DF"/>
    <w:rsid w:val="5C966149"/>
    <w:rsid w:val="5C9830D0"/>
    <w:rsid w:val="5C984A7A"/>
    <w:rsid w:val="5C991D7B"/>
    <w:rsid w:val="5C99218B"/>
    <w:rsid w:val="5C992723"/>
    <w:rsid w:val="5C9A1694"/>
    <w:rsid w:val="5C9A3DD2"/>
    <w:rsid w:val="5C9A5B38"/>
    <w:rsid w:val="5C9C024C"/>
    <w:rsid w:val="5C9C55D4"/>
    <w:rsid w:val="5C9C588E"/>
    <w:rsid w:val="5C9C6B0B"/>
    <w:rsid w:val="5C9D207A"/>
    <w:rsid w:val="5C9D2F32"/>
    <w:rsid w:val="5C9E0E22"/>
    <w:rsid w:val="5C9E1237"/>
    <w:rsid w:val="5C9E158E"/>
    <w:rsid w:val="5C9E412C"/>
    <w:rsid w:val="5C9E5FFE"/>
    <w:rsid w:val="5C9F314E"/>
    <w:rsid w:val="5C9F329F"/>
    <w:rsid w:val="5C9F4AFE"/>
    <w:rsid w:val="5C9F4EFC"/>
    <w:rsid w:val="5C9F639C"/>
    <w:rsid w:val="5C9F6CAA"/>
    <w:rsid w:val="5CA06446"/>
    <w:rsid w:val="5CA22C3E"/>
    <w:rsid w:val="5CA23E0E"/>
    <w:rsid w:val="5CA249EC"/>
    <w:rsid w:val="5CA3008C"/>
    <w:rsid w:val="5CA40764"/>
    <w:rsid w:val="5CA40F33"/>
    <w:rsid w:val="5CA4207D"/>
    <w:rsid w:val="5CA442C0"/>
    <w:rsid w:val="5CA50E48"/>
    <w:rsid w:val="5CA52EC4"/>
    <w:rsid w:val="5CA6278E"/>
    <w:rsid w:val="5CA63169"/>
    <w:rsid w:val="5CA644DC"/>
    <w:rsid w:val="5CA6628A"/>
    <w:rsid w:val="5CA66A9A"/>
    <w:rsid w:val="5CA70254"/>
    <w:rsid w:val="5CA75CC0"/>
    <w:rsid w:val="5CA77709"/>
    <w:rsid w:val="5CA8320B"/>
    <w:rsid w:val="5CA83DE1"/>
    <w:rsid w:val="5CA8544F"/>
    <w:rsid w:val="5CA8660D"/>
    <w:rsid w:val="5CA93FCD"/>
    <w:rsid w:val="5CA95D7B"/>
    <w:rsid w:val="5CA976A3"/>
    <w:rsid w:val="5CA97B29"/>
    <w:rsid w:val="5CAA0818"/>
    <w:rsid w:val="5CAA3CE0"/>
    <w:rsid w:val="5CAC012B"/>
    <w:rsid w:val="5CAC1086"/>
    <w:rsid w:val="5CAC13C7"/>
    <w:rsid w:val="5CAC25E0"/>
    <w:rsid w:val="5CAC586B"/>
    <w:rsid w:val="5CAC6600"/>
    <w:rsid w:val="5CAC7619"/>
    <w:rsid w:val="5CAD1F1A"/>
    <w:rsid w:val="5CAD354C"/>
    <w:rsid w:val="5CAD3ADA"/>
    <w:rsid w:val="5CAD58A7"/>
    <w:rsid w:val="5CAD5A5C"/>
    <w:rsid w:val="5CAD5C4F"/>
    <w:rsid w:val="5CAD6E80"/>
    <w:rsid w:val="5CAE0FD9"/>
    <w:rsid w:val="5CAE7372"/>
    <w:rsid w:val="5CAE7C53"/>
    <w:rsid w:val="5CB050E1"/>
    <w:rsid w:val="5CB07109"/>
    <w:rsid w:val="5CB130EE"/>
    <w:rsid w:val="5CB169DD"/>
    <w:rsid w:val="5CB2187F"/>
    <w:rsid w:val="5CB279C3"/>
    <w:rsid w:val="5CB309A7"/>
    <w:rsid w:val="5CB32755"/>
    <w:rsid w:val="5CB35EB0"/>
    <w:rsid w:val="5CB36BF9"/>
    <w:rsid w:val="5CB4383A"/>
    <w:rsid w:val="5CB46ED9"/>
    <w:rsid w:val="5CB50DF3"/>
    <w:rsid w:val="5CB531AD"/>
    <w:rsid w:val="5CB53485"/>
    <w:rsid w:val="5CB62246"/>
    <w:rsid w:val="5CB63F9A"/>
    <w:rsid w:val="5CB70498"/>
    <w:rsid w:val="5CB75ACB"/>
    <w:rsid w:val="5CB75B92"/>
    <w:rsid w:val="5CB76C3D"/>
    <w:rsid w:val="5CB862E4"/>
    <w:rsid w:val="5CB9797E"/>
    <w:rsid w:val="5CB97D9E"/>
    <w:rsid w:val="5CBA1D36"/>
    <w:rsid w:val="5CBA3056"/>
    <w:rsid w:val="5CBA3AE4"/>
    <w:rsid w:val="5CBA7F88"/>
    <w:rsid w:val="5CBB059A"/>
    <w:rsid w:val="5CBB34E5"/>
    <w:rsid w:val="5CBB785C"/>
    <w:rsid w:val="5CBC2834"/>
    <w:rsid w:val="5CBC3D00"/>
    <w:rsid w:val="5CBC40EB"/>
    <w:rsid w:val="5CBC5AAE"/>
    <w:rsid w:val="5CBD1826"/>
    <w:rsid w:val="5CBD2F40"/>
    <w:rsid w:val="5CBD5382"/>
    <w:rsid w:val="5CBD5AD6"/>
    <w:rsid w:val="5CBD7121"/>
    <w:rsid w:val="5CBE3A3B"/>
    <w:rsid w:val="5CBF0EE3"/>
    <w:rsid w:val="5CBF734C"/>
    <w:rsid w:val="5CC00BE3"/>
    <w:rsid w:val="5CC10D6F"/>
    <w:rsid w:val="5CC11316"/>
    <w:rsid w:val="5CC11FAF"/>
    <w:rsid w:val="5CC159BF"/>
    <w:rsid w:val="5CC169A6"/>
    <w:rsid w:val="5CC22998"/>
    <w:rsid w:val="5CC22A6E"/>
    <w:rsid w:val="5CC2508E"/>
    <w:rsid w:val="5CC25BDD"/>
    <w:rsid w:val="5CC26E3C"/>
    <w:rsid w:val="5CC31B3E"/>
    <w:rsid w:val="5CC32337"/>
    <w:rsid w:val="5CC333F7"/>
    <w:rsid w:val="5CC41F82"/>
    <w:rsid w:val="5CC44887"/>
    <w:rsid w:val="5CC46711"/>
    <w:rsid w:val="5CC47458"/>
    <w:rsid w:val="5CC52489"/>
    <w:rsid w:val="5CC5405A"/>
    <w:rsid w:val="5CC57FD9"/>
    <w:rsid w:val="5CC701B8"/>
    <w:rsid w:val="5CC721E9"/>
    <w:rsid w:val="5CC74949"/>
    <w:rsid w:val="5CC76C66"/>
    <w:rsid w:val="5CC83530"/>
    <w:rsid w:val="5CC84698"/>
    <w:rsid w:val="5CC85055"/>
    <w:rsid w:val="5CC901CB"/>
    <w:rsid w:val="5CC90B9A"/>
    <w:rsid w:val="5CC93FFF"/>
    <w:rsid w:val="5CC94D93"/>
    <w:rsid w:val="5CCA6C30"/>
    <w:rsid w:val="5CCB042C"/>
    <w:rsid w:val="5CCB09AD"/>
    <w:rsid w:val="5CCC56B2"/>
    <w:rsid w:val="5CCD4246"/>
    <w:rsid w:val="5CCD5585"/>
    <w:rsid w:val="5CCE45B4"/>
    <w:rsid w:val="5CCE4802"/>
    <w:rsid w:val="5CCE758F"/>
    <w:rsid w:val="5CCF422F"/>
    <w:rsid w:val="5CD01559"/>
    <w:rsid w:val="5CD03A0F"/>
    <w:rsid w:val="5CD050B5"/>
    <w:rsid w:val="5CD059FB"/>
    <w:rsid w:val="5CD10E2D"/>
    <w:rsid w:val="5CD11E60"/>
    <w:rsid w:val="5CD16455"/>
    <w:rsid w:val="5CD1707F"/>
    <w:rsid w:val="5CD17CAC"/>
    <w:rsid w:val="5CD27DB2"/>
    <w:rsid w:val="5CD31049"/>
    <w:rsid w:val="5CD32A92"/>
    <w:rsid w:val="5CD32DF8"/>
    <w:rsid w:val="5CD34BA6"/>
    <w:rsid w:val="5CD4121D"/>
    <w:rsid w:val="5CD46F4D"/>
    <w:rsid w:val="5CD47B93"/>
    <w:rsid w:val="5CD52465"/>
    <w:rsid w:val="5CD526CC"/>
    <w:rsid w:val="5CD54DC2"/>
    <w:rsid w:val="5CD551B9"/>
    <w:rsid w:val="5CD56B70"/>
    <w:rsid w:val="5CD5759B"/>
    <w:rsid w:val="5CD66BD0"/>
    <w:rsid w:val="5CD722AD"/>
    <w:rsid w:val="5CD73CDC"/>
    <w:rsid w:val="5CD8040E"/>
    <w:rsid w:val="5CD866D0"/>
    <w:rsid w:val="5CD95D98"/>
    <w:rsid w:val="5CDA22F5"/>
    <w:rsid w:val="5CDA23D8"/>
    <w:rsid w:val="5CDA3A35"/>
    <w:rsid w:val="5CDB2B0E"/>
    <w:rsid w:val="5CDB3739"/>
    <w:rsid w:val="5CDB6651"/>
    <w:rsid w:val="5CDC25D7"/>
    <w:rsid w:val="5CDC2730"/>
    <w:rsid w:val="5CDC48C1"/>
    <w:rsid w:val="5CDC7EFE"/>
    <w:rsid w:val="5CDD20FE"/>
    <w:rsid w:val="5CDD46AC"/>
    <w:rsid w:val="5CDE0AE1"/>
    <w:rsid w:val="5CDE1A17"/>
    <w:rsid w:val="5CDE2BD0"/>
    <w:rsid w:val="5CDF179C"/>
    <w:rsid w:val="5CDF2202"/>
    <w:rsid w:val="5CDF3BFA"/>
    <w:rsid w:val="5CE07CC2"/>
    <w:rsid w:val="5CE177F5"/>
    <w:rsid w:val="5CE2085D"/>
    <w:rsid w:val="5CE2303B"/>
    <w:rsid w:val="5CE248CA"/>
    <w:rsid w:val="5CE24D2A"/>
    <w:rsid w:val="5CE24DE9"/>
    <w:rsid w:val="5CE26B83"/>
    <w:rsid w:val="5CE26C73"/>
    <w:rsid w:val="5CE30EC6"/>
    <w:rsid w:val="5CE37C51"/>
    <w:rsid w:val="5CE42072"/>
    <w:rsid w:val="5CE45005"/>
    <w:rsid w:val="5CE51038"/>
    <w:rsid w:val="5CE51B83"/>
    <w:rsid w:val="5CE53C41"/>
    <w:rsid w:val="5CE55301"/>
    <w:rsid w:val="5CE60816"/>
    <w:rsid w:val="5CE60D7D"/>
    <w:rsid w:val="5CE62B2B"/>
    <w:rsid w:val="5CE70651"/>
    <w:rsid w:val="5CE742FE"/>
    <w:rsid w:val="5CE80DDB"/>
    <w:rsid w:val="5CE86853"/>
    <w:rsid w:val="5CE86B05"/>
    <w:rsid w:val="5CE92CAA"/>
    <w:rsid w:val="5CE963D0"/>
    <w:rsid w:val="5CEB0BBD"/>
    <w:rsid w:val="5CEB1EEF"/>
    <w:rsid w:val="5CED0739"/>
    <w:rsid w:val="5CED0ACF"/>
    <w:rsid w:val="5CED1E80"/>
    <w:rsid w:val="5CED3EB9"/>
    <w:rsid w:val="5CED6664"/>
    <w:rsid w:val="5CEE12AB"/>
    <w:rsid w:val="5CEE19DF"/>
    <w:rsid w:val="5CEE378D"/>
    <w:rsid w:val="5CEE4C40"/>
    <w:rsid w:val="5CEE5E83"/>
    <w:rsid w:val="5CEE7C31"/>
    <w:rsid w:val="5CEF292A"/>
    <w:rsid w:val="5CEF3201"/>
    <w:rsid w:val="5CF01B47"/>
    <w:rsid w:val="5CF023D6"/>
    <w:rsid w:val="5CF05884"/>
    <w:rsid w:val="5CF06D22"/>
    <w:rsid w:val="5CF06E1D"/>
    <w:rsid w:val="5CF0728E"/>
    <w:rsid w:val="5CF108C4"/>
    <w:rsid w:val="5CF1327E"/>
    <w:rsid w:val="5CF214D0"/>
    <w:rsid w:val="5CF30CF2"/>
    <w:rsid w:val="5CF3349A"/>
    <w:rsid w:val="5CF376FB"/>
    <w:rsid w:val="5CF37C4E"/>
    <w:rsid w:val="5CF4729D"/>
    <w:rsid w:val="5CF47533"/>
    <w:rsid w:val="5CF5402E"/>
    <w:rsid w:val="5CF54B1C"/>
    <w:rsid w:val="5CF56286"/>
    <w:rsid w:val="5CF56D95"/>
    <w:rsid w:val="5CF57B59"/>
    <w:rsid w:val="5CF654CB"/>
    <w:rsid w:val="5CF70133"/>
    <w:rsid w:val="5CF7423D"/>
    <w:rsid w:val="5CF74266"/>
    <w:rsid w:val="5CF74D38"/>
    <w:rsid w:val="5CF76AE6"/>
    <w:rsid w:val="5CF80AB0"/>
    <w:rsid w:val="5CF83F2B"/>
    <w:rsid w:val="5CF8460C"/>
    <w:rsid w:val="5CF86A03"/>
    <w:rsid w:val="5CF87257"/>
    <w:rsid w:val="5CF93E7B"/>
    <w:rsid w:val="5CF95F59"/>
    <w:rsid w:val="5CF9752B"/>
    <w:rsid w:val="5CF977D8"/>
    <w:rsid w:val="5CFA6087"/>
    <w:rsid w:val="5CFA65D6"/>
    <w:rsid w:val="5CFA74F2"/>
    <w:rsid w:val="5CFB5EAA"/>
    <w:rsid w:val="5CFB7BB8"/>
    <w:rsid w:val="5CFB7CDB"/>
    <w:rsid w:val="5CFC1E1A"/>
    <w:rsid w:val="5CFC234E"/>
    <w:rsid w:val="5CFC6920"/>
    <w:rsid w:val="5CFC7EDD"/>
    <w:rsid w:val="5CFD17D9"/>
    <w:rsid w:val="5CFD4A18"/>
    <w:rsid w:val="5CFD6159"/>
    <w:rsid w:val="5CFD7E74"/>
    <w:rsid w:val="5CFE1DA8"/>
    <w:rsid w:val="5CFE54F3"/>
    <w:rsid w:val="5CFE55B1"/>
    <w:rsid w:val="5CFE60C6"/>
    <w:rsid w:val="5CFE6274"/>
    <w:rsid w:val="5CFF338A"/>
    <w:rsid w:val="5CFF3BED"/>
    <w:rsid w:val="5CFF599B"/>
    <w:rsid w:val="5CFF6FC3"/>
    <w:rsid w:val="5D000012"/>
    <w:rsid w:val="5D001F09"/>
    <w:rsid w:val="5D003981"/>
    <w:rsid w:val="5D003D37"/>
    <w:rsid w:val="5D0050E4"/>
    <w:rsid w:val="5D01410A"/>
    <w:rsid w:val="5D01456F"/>
    <w:rsid w:val="5D021703"/>
    <w:rsid w:val="5D022BFD"/>
    <w:rsid w:val="5D02513D"/>
    <w:rsid w:val="5D027239"/>
    <w:rsid w:val="5D03345B"/>
    <w:rsid w:val="5D0336DD"/>
    <w:rsid w:val="5D0354EE"/>
    <w:rsid w:val="5D035663"/>
    <w:rsid w:val="5D037826"/>
    <w:rsid w:val="5D0444B0"/>
    <w:rsid w:val="5D047455"/>
    <w:rsid w:val="5D05247F"/>
    <w:rsid w:val="5D064F7B"/>
    <w:rsid w:val="5D06579F"/>
    <w:rsid w:val="5D067F49"/>
    <w:rsid w:val="5D07069B"/>
    <w:rsid w:val="5D080CF3"/>
    <w:rsid w:val="5D084B91"/>
    <w:rsid w:val="5D086716"/>
    <w:rsid w:val="5D086F45"/>
    <w:rsid w:val="5D094A6B"/>
    <w:rsid w:val="5D096819"/>
    <w:rsid w:val="5D0B07E3"/>
    <w:rsid w:val="5D0B2591"/>
    <w:rsid w:val="5D0B69B5"/>
    <w:rsid w:val="5D0C1C8A"/>
    <w:rsid w:val="5D0C3366"/>
    <w:rsid w:val="5D0D1165"/>
    <w:rsid w:val="5D0D450D"/>
    <w:rsid w:val="5D0D455B"/>
    <w:rsid w:val="5D0E2082"/>
    <w:rsid w:val="5D0E3E30"/>
    <w:rsid w:val="5D0E599D"/>
    <w:rsid w:val="5D0F5EA7"/>
    <w:rsid w:val="5D103FD3"/>
    <w:rsid w:val="5D104BD4"/>
    <w:rsid w:val="5D105DFA"/>
    <w:rsid w:val="5D123920"/>
    <w:rsid w:val="5D126AC8"/>
    <w:rsid w:val="5D130198"/>
    <w:rsid w:val="5D1458EA"/>
    <w:rsid w:val="5D150CC2"/>
    <w:rsid w:val="5D1551BE"/>
    <w:rsid w:val="5D156E6C"/>
    <w:rsid w:val="5D156F6C"/>
    <w:rsid w:val="5D157638"/>
    <w:rsid w:val="5D163B33"/>
    <w:rsid w:val="5D16412F"/>
    <w:rsid w:val="5D166AA8"/>
    <w:rsid w:val="5D172CE4"/>
    <w:rsid w:val="5D172DC7"/>
    <w:rsid w:val="5D17334D"/>
    <w:rsid w:val="5D1800D8"/>
    <w:rsid w:val="5D182D61"/>
    <w:rsid w:val="5D184CAE"/>
    <w:rsid w:val="5D186267"/>
    <w:rsid w:val="5D186A5C"/>
    <w:rsid w:val="5D192F00"/>
    <w:rsid w:val="5D1A5CB8"/>
    <w:rsid w:val="5D1A636B"/>
    <w:rsid w:val="5D1A6C78"/>
    <w:rsid w:val="5D1A6FF8"/>
    <w:rsid w:val="5D1B1DC3"/>
    <w:rsid w:val="5D1C02FB"/>
    <w:rsid w:val="5D1C1431"/>
    <w:rsid w:val="5D1C479E"/>
    <w:rsid w:val="5D1C4B80"/>
    <w:rsid w:val="5D1C5180"/>
    <w:rsid w:val="5D1C654D"/>
    <w:rsid w:val="5D1D22C5"/>
    <w:rsid w:val="5D1E0236"/>
    <w:rsid w:val="5D1F14F3"/>
    <w:rsid w:val="5D1F428F"/>
    <w:rsid w:val="5D1F603D"/>
    <w:rsid w:val="5D1F7DEB"/>
    <w:rsid w:val="5D200BF3"/>
    <w:rsid w:val="5D2109E2"/>
    <w:rsid w:val="5D2117E1"/>
    <w:rsid w:val="5D212BDB"/>
    <w:rsid w:val="5D213E13"/>
    <w:rsid w:val="5D215911"/>
    <w:rsid w:val="5D222CA5"/>
    <w:rsid w:val="5D2279DF"/>
    <w:rsid w:val="5D235B2D"/>
    <w:rsid w:val="5D236733"/>
    <w:rsid w:val="5D2418A5"/>
    <w:rsid w:val="5D24236E"/>
    <w:rsid w:val="5D245401"/>
    <w:rsid w:val="5D2472B9"/>
    <w:rsid w:val="5D251039"/>
    <w:rsid w:val="5D253684"/>
    <w:rsid w:val="5D260C6D"/>
    <w:rsid w:val="5D2612E1"/>
    <w:rsid w:val="5D261E0F"/>
    <w:rsid w:val="5D263C24"/>
    <w:rsid w:val="5D265251"/>
    <w:rsid w:val="5D266025"/>
    <w:rsid w:val="5D26635F"/>
    <w:rsid w:val="5D2667F5"/>
    <w:rsid w:val="5D2670A4"/>
    <w:rsid w:val="5D276544"/>
    <w:rsid w:val="5D276C9F"/>
    <w:rsid w:val="5D296EBB"/>
    <w:rsid w:val="5D2B4EC5"/>
    <w:rsid w:val="5D2B6790"/>
    <w:rsid w:val="5D2B7A96"/>
    <w:rsid w:val="5D2C1B2D"/>
    <w:rsid w:val="5D2C3C97"/>
    <w:rsid w:val="5D2C7006"/>
    <w:rsid w:val="5D2D2508"/>
    <w:rsid w:val="5D2D4600"/>
    <w:rsid w:val="5D2D69AC"/>
    <w:rsid w:val="5D2E002E"/>
    <w:rsid w:val="5D2E1F8C"/>
    <w:rsid w:val="5D2E44D2"/>
    <w:rsid w:val="5D2E4F87"/>
    <w:rsid w:val="5D2E6280"/>
    <w:rsid w:val="5D301FF8"/>
    <w:rsid w:val="5D302346"/>
    <w:rsid w:val="5D305B40"/>
    <w:rsid w:val="5D3078A7"/>
    <w:rsid w:val="5D307FDF"/>
    <w:rsid w:val="5D31155E"/>
    <w:rsid w:val="5D31529E"/>
    <w:rsid w:val="5D321109"/>
    <w:rsid w:val="5D321CB1"/>
    <w:rsid w:val="5D324115"/>
    <w:rsid w:val="5D325781"/>
    <w:rsid w:val="5D325C2D"/>
    <w:rsid w:val="5D325D70"/>
    <w:rsid w:val="5D327BF3"/>
    <w:rsid w:val="5D331AE8"/>
    <w:rsid w:val="5D3327F4"/>
    <w:rsid w:val="5D332C2E"/>
    <w:rsid w:val="5D336E41"/>
    <w:rsid w:val="5D343809"/>
    <w:rsid w:val="5D34475D"/>
    <w:rsid w:val="5D347D3A"/>
    <w:rsid w:val="5D357A22"/>
    <w:rsid w:val="5D365454"/>
    <w:rsid w:val="5D3715D8"/>
    <w:rsid w:val="5D373386"/>
    <w:rsid w:val="5D375134"/>
    <w:rsid w:val="5D380EAD"/>
    <w:rsid w:val="5D382BEB"/>
    <w:rsid w:val="5D386C2B"/>
    <w:rsid w:val="5D3874C9"/>
    <w:rsid w:val="5D390ACA"/>
    <w:rsid w:val="5D395350"/>
    <w:rsid w:val="5D3970FE"/>
    <w:rsid w:val="5D3A2E77"/>
    <w:rsid w:val="5D3A352A"/>
    <w:rsid w:val="5D3A3FB8"/>
    <w:rsid w:val="5D3A60FB"/>
    <w:rsid w:val="5D3B04F7"/>
    <w:rsid w:val="5D3B49BA"/>
    <w:rsid w:val="5D3C0A1B"/>
    <w:rsid w:val="5D3C5BE7"/>
    <w:rsid w:val="5D3D2726"/>
    <w:rsid w:val="5D3D366C"/>
    <w:rsid w:val="5D3E0B98"/>
    <w:rsid w:val="5D3E0F31"/>
    <w:rsid w:val="5D3E2967"/>
    <w:rsid w:val="5D3E3B09"/>
    <w:rsid w:val="5D3E4A7C"/>
    <w:rsid w:val="5D3E65AD"/>
    <w:rsid w:val="5D3F048D"/>
    <w:rsid w:val="5D3F47CB"/>
    <w:rsid w:val="5D3F5FFD"/>
    <w:rsid w:val="5D3F66DF"/>
    <w:rsid w:val="5D40082C"/>
    <w:rsid w:val="5D401AB7"/>
    <w:rsid w:val="5D403DEE"/>
    <w:rsid w:val="5D404DD9"/>
    <w:rsid w:val="5D40739C"/>
    <w:rsid w:val="5D4131BD"/>
    <w:rsid w:val="5D414205"/>
    <w:rsid w:val="5D415FB3"/>
    <w:rsid w:val="5D417D61"/>
    <w:rsid w:val="5D4319EC"/>
    <w:rsid w:val="5D431D2B"/>
    <w:rsid w:val="5D435D18"/>
    <w:rsid w:val="5D4400DB"/>
    <w:rsid w:val="5D44101C"/>
    <w:rsid w:val="5D441D7E"/>
    <w:rsid w:val="5D443CF5"/>
    <w:rsid w:val="5D4463D1"/>
    <w:rsid w:val="5D4476DA"/>
    <w:rsid w:val="5D447851"/>
    <w:rsid w:val="5D45751B"/>
    <w:rsid w:val="5D4640D6"/>
    <w:rsid w:val="5D465377"/>
    <w:rsid w:val="5D467A6D"/>
    <w:rsid w:val="5D471115"/>
    <w:rsid w:val="5D47373E"/>
    <w:rsid w:val="5D47627E"/>
    <w:rsid w:val="5D476EE2"/>
    <w:rsid w:val="5D4806FF"/>
    <w:rsid w:val="5D4844AA"/>
    <w:rsid w:val="5D484754"/>
    <w:rsid w:val="5D487AAF"/>
    <w:rsid w:val="5D49044E"/>
    <w:rsid w:val="5D491438"/>
    <w:rsid w:val="5D4930BA"/>
    <w:rsid w:val="5D494895"/>
    <w:rsid w:val="5D4A3BF5"/>
    <w:rsid w:val="5D4B0BE0"/>
    <w:rsid w:val="5D4B2794"/>
    <w:rsid w:val="5D4B5084"/>
    <w:rsid w:val="5D4B58BE"/>
    <w:rsid w:val="5D4B6E32"/>
    <w:rsid w:val="5D4B7080"/>
    <w:rsid w:val="5D4C32E7"/>
    <w:rsid w:val="5D4C5E53"/>
    <w:rsid w:val="5D4C6DCF"/>
    <w:rsid w:val="5D4D2BAA"/>
    <w:rsid w:val="5D4D5F01"/>
    <w:rsid w:val="5D4E06D0"/>
    <w:rsid w:val="5D4F0812"/>
    <w:rsid w:val="5D4F6922"/>
    <w:rsid w:val="5D4F7EBF"/>
    <w:rsid w:val="5D50269A"/>
    <w:rsid w:val="5D504448"/>
    <w:rsid w:val="5D50707B"/>
    <w:rsid w:val="5D515502"/>
    <w:rsid w:val="5D517B46"/>
    <w:rsid w:val="5D521F6E"/>
    <w:rsid w:val="5D52630E"/>
    <w:rsid w:val="5D526412"/>
    <w:rsid w:val="5D533B8E"/>
    <w:rsid w:val="5D537A94"/>
    <w:rsid w:val="5D5425F2"/>
    <w:rsid w:val="5D551A5E"/>
    <w:rsid w:val="5D55380D"/>
    <w:rsid w:val="5D5604AC"/>
    <w:rsid w:val="5D56233C"/>
    <w:rsid w:val="5D573A29"/>
    <w:rsid w:val="5D5757D7"/>
    <w:rsid w:val="5D577585"/>
    <w:rsid w:val="5D59154F"/>
    <w:rsid w:val="5D592B27"/>
    <w:rsid w:val="5D5932FD"/>
    <w:rsid w:val="5D5977A1"/>
    <w:rsid w:val="5D5A0E23"/>
    <w:rsid w:val="5D5A2B14"/>
    <w:rsid w:val="5D5A2D9A"/>
    <w:rsid w:val="5D5B6947"/>
    <w:rsid w:val="5D5B76D9"/>
    <w:rsid w:val="5D5C6CE9"/>
    <w:rsid w:val="5D5D23B8"/>
    <w:rsid w:val="5D5D39B1"/>
    <w:rsid w:val="5D5D549E"/>
    <w:rsid w:val="5D5E4DAF"/>
    <w:rsid w:val="5D5E4DB7"/>
    <w:rsid w:val="5D5E6B65"/>
    <w:rsid w:val="5D5F0A1B"/>
    <w:rsid w:val="5D600B2F"/>
    <w:rsid w:val="5D600FE8"/>
    <w:rsid w:val="5D606272"/>
    <w:rsid w:val="5D606C00"/>
    <w:rsid w:val="5D60791C"/>
    <w:rsid w:val="5D607EDE"/>
    <w:rsid w:val="5D6121B1"/>
    <w:rsid w:val="5D6303A7"/>
    <w:rsid w:val="5D633729"/>
    <w:rsid w:val="5D63417B"/>
    <w:rsid w:val="5D635829"/>
    <w:rsid w:val="5D635F29"/>
    <w:rsid w:val="5D636026"/>
    <w:rsid w:val="5D641CA2"/>
    <w:rsid w:val="5D643E41"/>
    <w:rsid w:val="5D644335"/>
    <w:rsid w:val="5D6459E3"/>
    <w:rsid w:val="5D6610B7"/>
    <w:rsid w:val="5D664BB3"/>
    <w:rsid w:val="5D665A1A"/>
    <w:rsid w:val="5D6677C8"/>
    <w:rsid w:val="5D6679D6"/>
    <w:rsid w:val="5D681792"/>
    <w:rsid w:val="5D683540"/>
    <w:rsid w:val="5D686F12"/>
    <w:rsid w:val="5D6879E4"/>
    <w:rsid w:val="5D69191D"/>
    <w:rsid w:val="5D6919BB"/>
    <w:rsid w:val="5D6923E4"/>
    <w:rsid w:val="5D69537A"/>
    <w:rsid w:val="5D69550A"/>
    <w:rsid w:val="5D696197"/>
    <w:rsid w:val="5D6972B8"/>
    <w:rsid w:val="5D6A0EC8"/>
    <w:rsid w:val="5D6A11E7"/>
    <w:rsid w:val="5D6A375C"/>
    <w:rsid w:val="5D6B012B"/>
    <w:rsid w:val="5D6B1930"/>
    <w:rsid w:val="5D6B3030"/>
    <w:rsid w:val="5D6B37A0"/>
    <w:rsid w:val="5D6B62F8"/>
    <w:rsid w:val="5D6B74D4"/>
    <w:rsid w:val="5D6B76F5"/>
    <w:rsid w:val="5D6C4EBE"/>
    <w:rsid w:val="5D6D6DA8"/>
    <w:rsid w:val="5D6E0D73"/>
    <w:rsid w:val="5D6E241A"/>
    <w:rsid w:val="5D6E48CE"/>
    <w:rsid w:val="5D6E5861"/>
    <w:rsid w:val="5D6F0D72"/>
    <w:rsid w:val="5D6F2B20"/>
    <w:rsid w:val="5D703C04"/>
    <w:rsid w:val="5D704AEA"/>
    <w:rsid w:val="5D707CD3"/>
    <w:rsid w:val="5D710D9B"/>
    <w:rsid w:val="5D717C84"/>
    <w:rsid w:val="5D720862"/>
    <w:rsid w:val="5D722610"/>
    <w:rsid w:val="5D7416F1"/>
    <w:rsid w:val="5D752101"/>
    <w:rsid w:val="5D755FDB"/>
    <w:rsid w:val="5D75771C"/>
    <w:rsid w:val="5D7657DF"/>
    <w:rsid w:val="5D767178"/>
    <w:rsid w:val="5D77019C"/>
    <w:rsid w:val="5D774E08"/>
    <w:rsid w:val="5D777C27"/>
    <w:rsid w:val="5D786263"/>
    <w:rsid w:val="5D79376A"/>
    <w:rsid w:val="5D79399F"/>
    <w:rsid w:val="5D7A14C5"/>
    <w:rsid w:val="5D7A1978"/>
    <w:rsid w:val="5D7A267C"/>
    <w:rsid w:val="5D7A2DEC"/>
    <w:rsid w:val="5D7A51C0"/>
    <w:rsid w:val="5D7C3154"/>
    <w:rsid w:val="5D7C523D"/>
    <w:rsid w:val="5D7C5FBA"/>
    <w:rsid w:val="5D7C6FEB"/>
    <w:rsid w:val="5D7D04B0"/>
    <w:rsid w:val="5D7D1CC2"/>
    <w:rsid w:val="5D7D6D6E"/>
    <w:rsid w:val="5D7E2D63"/>
    <w:rsid w:val="5D7E7207"/>
    <w:rsid w:val="5D7E7879"/>
    <w:rsid w:val="5D7F0889"/>
    <w:rsid w:val="5D7F5E78"/>
    <w:rsid w:val="5D7F6ADB"/>
    <w:rsid w:val="5D8020D0"/>
    <w:rsid w:val="5D80324F"/>
    <w:rsid w:val="5D806DA9"/>
    <w:rsid w:val="5D812854"/>
    <w:rsid w:val="5D813535"/>
    <w:rsid w:val="5D814602"/>
    <w:rsid w:val="5D82078D"/>
    <w:rsid w:val="5D821579"/>
    <w:rsid w:val="5D82232C"/>
    <w:rsid w:val="5D823E2B"/>
    <w:rsid w:val="5D83037A"/>
    <w:rsid w:val="5D8331B0"/>
    <w:rsid w:val="5D83481E"/>
    <w:rsid w:val="5D8353B4"/>
    <w:rsid w:val="5D8365CC"/>
    <w:rsid w:val="5D837CBB"/>
    <w:rsid w:val="5D847209"/>
    <w:rsid w:val="5D852344"/>
    <w:rsid w:val="5D855B1B"/>
    <w:rsid w:val="5D855DF2"/>
    <w:rsid w:val="5D861C18"/>
    <w:rsid w:val="5D86262B"/>
    <w:rsid w:val="5D86679C"/>
    <w:rsid w:val="5D876BC7"/>
    <w:rsid w:val="5D880882"/>
    <w:rsid w:val="5D881DC3"/>
    <w:rsid w:val="5D881E34"/>
    <w:rsid w:val="5D885990"/>
    <w:rsid w:val="5D892A85"/>
    <w:rsid w:val="5D893DE5"/>
    <w:rsid w:val="5D897EE5"/>
    <w:rsid w:val="5D8B5480"/>
    <w:rsid w:val="5D8C14AB"/>
    <w:rsid w:val="5D8D11F8"/>
    <w:rsid w:val="5D8D2FA6"/>
    <w:rsid w:val="5D8D542F"/>
    <w:rsid w:val="5D8D744A"/>
    <w:rsid w:val="5D8E67A5"/>
    <w:rsid w:val="5D8E7717"/>
    <w:rsid w:val="5D8F2E94"/>
    <w:rsid w:val="5D8F31C2"/>
    <w:rsid w:val="5D8F3629"/>
    <w:rsid w:val="5D8F5E65"/>
    <w:rsid w:val="5D8F6D1E"/>
    <w:rsid w:val="5D900CE9"/>
    <w:rsid w:val="5D902A97"/>
    <w:rsid w:val="5D9046A1"/>
    <w:rsid w:val="5D911872"/>
    <w:rsid w:val="5D911B45"/>
    <w:rsid w:val="5D911D6B"/>
    <w:rsid w:val="5D915A0E"/>
    <w:rsid w:val="5D917FAE"/>
    <w:rsid w:val="5D9205BD"/>
    <w:rsid w:val="5D92153A"/>
    <w:rsid w:val="5D921815"/>
    <w:rsid w:val="5D92352D"/>
    <w:rsid w:val="5D942587"/>
    <w:rsid w:val="5D9440FD"/>
    <w:rsid w:val="5D944335"/>
    <w:rsid w:val="5D94787C"/>
    <w:rsid w:val="5D9562FF"/>
    <w:rsid w:val="5D957880"/>
    <w:rsid w:val="5D962F27"/>
    <w:rsid w:val="5D9642C5"/>
    <w:rsid w:val="5D964551"/>
    <w:rsid w:val="5D972077"/>
    <w:rsid w:val="5D9854A9"/>
    <w:rsid w:val="5D992F6F"/>
    <w:rsid w:val="5D994293"/>
    <w:rsid w:val="5D995DEF"/>
    <w:rsid w:val="5D99733A"/>
    <w:rsid w:val="5D99777E"/>
    <w:rsid w:val="5D9A0DA9"/>
    <w:rsid w:val="5D9A56C3"/>
    <w:rsid w:val="5D9B46E1"/>
    <w:rsid w:val="5D9B7CF5"/>
    <w:rsid w:val="5D9C143B"/>
    <w:rsid w:val="5D9C3D56"/>
    <w:rsid w:val="5D9C5497"/>
    <w:rsid w:val="5D9C768D"/>
    <w:rsid w:val="5D9D3A0C"/>
    <w:rsid w:val="5D9D53A8"/>
    <w:rsid w:val="5D9D6927"/>
    <w:rsid w:val="5D9E1657"/>
    <w:rsid w:val="5D9E3405"/>
    <w:rsid w:val="5D9F40BD"/>
    <w:rsid w:val="5D9F468E"/>
    <w:rsid w:val="5D9F72CC"/>
    <w:rsid w:val="5DA01872"/>
    <w:rsid w:val="5DA0210D"/>
    <w:rsid w:val="5DA0579B"/>
    <w:rsid w:val="5DA14CA4"/>
    <w:rsid w:val="5DA2076D"/>
    <w:rsid w:val="5DA232CA"/>
    <w:rsid w:val="5DA257AB"/>
    <w:rsid w:val="5DA27112"/>
    <w:rsid w:val="5DA31B36"/>
    <w:rsid w:val="5DA320EA"/>
    <w:rsid w:val="5DA327CA"/>
    <w:rsid w:val="5DA367D2"/>
    <w:rsid w:val="5DA402F0"/>
    <w:rsid w:val="5DA43E97"/>
    <w:rsid w:val="5DA6050C"/>
    <w:rsid w:val="5DA66549"/>
    <w:rsid w:val="5DA762B7"/>
    <w:rsid w:val="5DA76675"/>
    <w:rsid w:val="5DA76ABE"/>
    <w:rsid w:val="5DA779D9"/>
    <w:rsid w:val="5DA84C95"/>
    <w:rsid w:val="5DA90FEF"/>
    <w:rsid w:val="5DA9751B"/>
    <w:rsid w:val="5DAA00A6"/>
    <w:rsid w:val="5DAA0F07"/>
    <w:rsid w:val="5DAA5341"/>
    <w:rsid w:val="5DAA7FFC"/>
    <w:rsid w:val="5DAD01E9"/>
    <w:rsid w:val="5DAD189A"/>
    <w:rsid w:val="5DAD1ABB"/>
    <w:rsid w:val="5DAD7A63"/>
    <w:rsid w:val="5DAF116F"/>
    <w:rsid w:val="5DAF38A5"/>
    <w:rsid w:val="5DAF5613"/>
    <w:rsid w:val="5DAF67CF"/>
    <w:rsid w:val="5DAF73C1"/>
    <w:rsid w:val="5DB04D5F"/>
    <w:rsid w:val="5DB176D2"/>
    <w:rsid w:val="5DB20C5F"/>
    <w:rsid w:val="5DB237B0"/>
    <w:rsid w:val="5DB24B00"/>
    <w:rsid w:val="5DB40D31"/>
    <w:rsid w:val="5DB5346D"/>
    <w:rsid w:val="5DB56E70"/>
    <w:rsid w:val="5DB6074F"/>
    <w:rsid w:val="5DB62203"/>
    <w:rsid w:val="5DB674CE"/>
    <w:rsid w:val="5DB70023"/>
    <w:rsid w:val="5DB72254"/>
    <w:rsid w:val="5DB73211"/>
    <w:rsid w:val="5DB77164"/>
    <w:rsid w:val="5DB81AFC"/>
    <w:rsid w:val="5DB85725"/>
    <w:rsid w:val="5DB96921"/>
    <w:rsid w:val="5DBA6A71"/>
    <w:rsid w:val="5DBA7B13"/>
    <w:rsid w:val="5DBB3FB7"/>
    <w:rsid w:val="5DBC1ADE"/>
    <w:rsid w:val="5DBC3340"/>
    <w:rsid w:val="5DBC4A28"/>
    <w:rsid w:val="5DBD1BFF"/>
    <w:rsid w:val="5DBD2BF9"/>
    <w:rsid w:val="5DBD47D0"/>
    <w:rsid w:val="5DBD639A"/>
    <w:rsid w:val="5DBD7DFF"/>
    <w:rsid w:val="5DBD7F10"/>
    <w:rsid w:val="5DBE13B2"/>
    <w:rsid w:val="5DBE29D7"/>
    <w:rsid w:val="5DBE2E7D"/>
    <w:rsid w:val="5DBE3D69"/>
    <w:rsid w:val="5DBE5C60"/>
    <w:rsid w:val="5DBE5C92"/>
    <w:rsid w:val="5DBF512A"/>
    <w:rsid w:val="5DC01CC1"/>
    <w:rsid w:val="5DC10EA2"/>
    <w:rsid w:val="5DC15346"/>
    <w:rsid w:val="5DC170F4"/>
    <w:rsid w:val="5DC203F0"/>
    <w:rsid w:val="5DC25A71"/>
    <w:rsid w:val="5DC263CD"/>
    <w:rsid w:val="5DC310BE"/>
    <w:rsid w:val="5DC32E6C"/>
    <w:rsid w:val="5DC42740"/>
    <w:rsid w:val="5DC56BE4"/>
    <w:rsid w:val="5DC643F2"/>
    <w:rsid w:val="5DC6470A"/>
    <w:rsid w:val="5DC650F3"/>
    <w:rsid w:val="5DC664B8"/>
    <w:rsid w:val="5DC66FC3"/>
    <w:rsid w:val="5DC71C2C"/>
    <w:rsid w:val="5DC7295C"/>
    <w:rsid w:val="5DC73D3A"/>
    <w:rsid w:val="5DC740D4"/>
    <w:rsid w:val="5DC75B6C"/>
    <w:rsid w:val="5DC75C57"/>
    <w:rsid w:val="5DC82230"/>
    <w:rsid w:val="5DC84057"/>
    <w:rsid w:val="5DC87EAF"/>
    <w:rsid w:val="5DC93298"/>
    <w:rsid w:val="5DC9454F"/>
    <w:rsid w:val="5DC94959"/>
    <w:rsid w:val="5DC97463"/>
    <w:rsid w:val="5DCA3994"/>
    <w:rsid w:val="5DCA3CCC"/>
    <w:rsid w:val="5DCA5FA9"/>
    <w:rsid w:val="5DCA671F"/>
    <w:rsid w:val="5DCA6C62"/>
    <w:rsid w:val="5DCB0B02"/>
    <w:rsid w:val="5DCB1D21"/>
    <w:rsid w:val="5DCB3ACF"/>
    <w:rsid w:val="5DCB69FB"/>
    <w:rsid w:val="5DCC4114"/>
    <w:rsid w:val="5DCC7F2C"/>
    <w:rsid w:val="5DCD2B84"/>
    <w:rsid w:val="5DCD3CEB"/>
    <w:rsid w:val="5DCD5A99"/>
    <w:rsid w:val="5DCD7665"/>
    <w:rsid w:val="5DCE3543"/>
    <w:rsid w:val="5DCE778C"/>
    <w:rsid w:val="5DCE7C26"/>
    <w:rsid w:val="5DD010E5"/>
    <w:rsid w:val="5DD02516"/>
    <w:rsid w:val="5DD051EF"/>
    <w:rsid w:val="5DD05331"/>
    <w:rsid w:val="5DD14C26"/>
    <w:rsid w:val="5DD16AA8"/>
    <w:rsid w:val="5DD21301"/>
    <w:rsid w:val="5DD262E3"/>
    <w:rsid w:val="5DD3082E"/>
    <w:rsid w:val="5DD3169B"/>
    <w:rsid w:val="5DD45079"/>
    <w:rsid w:val="5DD46E27"/>
    <w:rsid w:val="5DD5492F"/>
    <w:rsid w:val="5DD54BCD"/>
    <w:rsid w:val="5DD60DF1"/>
    <w:rsid w:val="5DD64975"/>
    <w:rsid w:val="5DD70496"/>
    <w:rsid w:val="5DD706C5"/>
    <w:rsid w:val="5DD72166"/>
    <w:rsid w:val="5DD72473"/>
    <w:rsid w:val="5DD73B54"/>
    <w:rsid w:val="5DD748DD"/>
    <w:rsid w:val="5DD75377"/>
    <w:rsid w:val="5DD76917"/>
    <w:rsid w:val="5DD77EFF"/>
    <w:rsid w:val="5DD829D4"/>
    <w:rsid w:val="5DD90176"/>
    <w:rsid w:val="5DD92868"/>
    <w:rsid w:val="5DD939A9"/>
    <w:rsid w:val="5DD961EC"/>
    <w:rsid w:val="5DD972C0"/>
    <w:rsid w:val="5DDA597C"/>
    <w:rsid w:val="5DDB4167"/>
    <w:rsid w:val="5DDB5188"/>
    <w:rsid w:val="5DDC30B5"/>
    <w:rsid w:val="5DDC49C3"/>
    <w:rsid w:val="5DDC7A8A"/>
    <w:rsid w:val="5DDD14DB"/>
    <w:rsid w:val="5DDD2002"/>
    <w:rsid w:val="5DDD79E1"/>
    <w:rsid w:val="5DDD7C88"/>
    <w:rsid w:val="5DDE175E"/>
    <w:rsid w:val="5DDE3802"/>
    <w:rsid w:val="5DDE49CF"/>
    <w:rsid w:val="5DDF59C7"/>
    <w:rsid w:val="5DDF66DA"/>
    <w:rsid w:val="5DE01893"/>
    <w:rsid w:val="5DE03D69"/>
    <w:rsid w:val="5DE057CC"/>
    <w:rsid w:val="5DE06B8B"/>
    <w:rsid w:val="5DE0757A"/>
    <w:rsid w:val="5DE132F2"/>
    <w:rsid w:val="5DE136CE"/>
    <w:rsid w:val="5DE177B7"/>
    <w:rsid w:val="5DE2253A"/>
    <w:rsid w:val="5DE352BC"/>
    <w:rsid w:val="5DE36025"/>
    <w:rsid w:val="5DE52DE2"/>
    <w:rsid w:val="5DE53350"/>
    <w:rsid w:val="5DE57E9C"/>
    <w:rsid w:val="5DE60909"/>
    <w:rsid w:val="5DE62F1A"/>
    <w:rsid w:val="5DE639DC"/>
    <w:rsid w:val="5DE66B5A"/>
    <w:rsid w:val="5DE67457"/>
    <w:rsid w:val="5DE70D68"/>
    <w:rsid w:val="5DE72BB3"/>
    <w:rsid w:val="5DE745A6"/>
    <w:rsid w:val="5DE74DAC"/>
    <w:rsid w:val="5DE77A12"/>
    <w:rsid w:val="5DE80564"/>
    <w:rsid w:val="5DE828D3"/>
    <w:rsid w:val="5DE838F6"/>
    <w:rsid w:val="5DE84681"/>
    <w:rsid w:val="5DE856FA"/>
    <w:rsid w:val="5DE9275A"/>
    <w:rsid w:val="5DE93CEA"/>
    <w:rsid w:val="5DE975EC"/>
    <w:rsid w:val="5DEA03F9"/>
    <w:rsid w:val="5DEA29FC"/>
    <w:rsid w:val="5DEA37ED"/>
    <w:rsid w:val="5DEA43BA"/>
    <w:rsid w:val="5DEA4CE6"/>
    <w:rsid w:val="5DEB11A8"/>
    <w:rsid w:val="5DEB5308"/>
    <w:rsid w:val="5DEB5F1F"/>
    <w:rsid w:val="5DEB7AC7"/>
    <w:rsid w:val="5DEC0CDE"/>
    <w:rsid w:val="5DEC21C1"/>
    <w:rsid w:val="5DEC23C3"/>
    <w:rsid w:val="5DEC610D"/>
    <w:rsid w:val="5DED1C97"/>
    <w:rsid w:val="5DED73FB"/>
    <w:rsid w:val="5DED7EE9"/>
    <w:rsid w:val="5DEE4D3F"/>
    <w:rsid w:val="5DEE6FA7"/>
    <w:rsid w:val="5DEE7AA4"/>
    <w:rsid w:val="5DEF09A6"/>
    <w:rsid w:val="5DEF3C61"/>
    <w:rsid w:val="5DEF4877"/>
    <w:rsid w:val="5DF0631C"/>
    <w:rsid w:val="5DF0765F"/>
    <w:rsid w:val="5DF12B00"/>
    <w:rsid w:val="5DF14631"/>
    <w:rsid w:val="5DF15941"/>
    <w:rsid w:val="5DF23751"/>
    <w:rsid w:val="5DF254FF"/>
    <w:rsid w:val="5DF36984"/>
    <w:rsid w:val="5DF40F63"/>
    <w:rsid w:val="5DF41277"/>
    <w:rsid w:val="5DF444C3"/>
    <w:rsid w:val="5DF474C9"/>
    <w:rsid w:val="5DF50900"/>
    <w:rsid w:val="5DF50B4C"/>
    <w:rsid w:val="5DF534BC"/>
    <w:rsid w:val="5DF56948"/>
    <w:rsid w:val="5DF634D1"/>
    <w:rsid w:val="5DF748C4"/>
    <w:rsid w:val="5DF75DF1"/>
    <w:rsid w:val="5DF80913"/>
    <w:rsid w:val="5DF8324B"/>
    <w:rsid w:val="5DF93079"/>
    <w:rsid w:val="5DF94AE0"/>
    <w:rsid w:val="5DF9688E"/>
    <w:rsid w:val="5DF97BF1"/>
    <w:rsid w:val="5DFB0845"/>
    <w:rsid w:val="5DFB0A81"/>
    <w:rsid w:val="5DFB2606"/>
    <w:rsid w:val="5DFB6860"/>
    <w:rsid w:val="5DFC012C"/>
    <w:rsid w:val="5DFC06A3"/>
    <w:rsid w:val="5DFC07D3"/>
    <w:rsid w:val="5DFC2281"/>
    <w:rsid w:val="5DFC7083"/>
    <w:rsid w:val="5DFD2192"/>
    <w:rsid w:val="5DFD275E"/>
    <w:rsid w:val="5DFD637E"/>
    <w:rsid w:val="5DFE05C1"/>
    <w:rsid w:val="5DFE37C1"/>
    <w:rsid w:val="5DFE3EA4"/>
    <w:rsid w:val="5DFE46BD"/>
    <w:rsid w:val="5E000F3D"/>
    <w:rsid w:val="5E001719"/>
    <w:rsid w:val="5E003B31"/>
    <w:rsid w:val="5E005AAD"/>
    <w:rsid w:val="5E0078F1"/>
    <w:rsid w:val="5E007C1C"/>
    <w:rsid w:val="5E015EA1"/>
    <w:rsid w:val="5E0170BB"/>
    <w:rsid w:val="5E017192"/>
    <w:rsid w:val="5E01756A"/>
    <w:rsid w:val="5E022C03"/>
    <w:rsid w:val="5E0234A1"/>
    <w:rsid w:val="5E023994"/>
    <w:rsid w:val="5E02425E"/>
    <w:rsid w:val="5E024645"/>
    <w:rsid w:val="5E025E27"/>
    <w:rsid w:val="5E03201B"/>
    <w:rsid w:val="5E033269"/>
    <w:rsid w:val="5E033789"/>
    <w:rsid w:val="5E035AD5"/>
    <w:rsid w:val="5E041A8D"/>
    <w:rsid w:val="5E045783"/>
    <w:rsid w:val="5E055E66"/>
    <w:rsid w:val="5E056363"/>
    <w:rsid w:val="5E056FE1"/>
    <w:rsid w:val="5E0758E6"/>
    <w:rsid w:val="5E0771FD"/>
    <w:rsid w:val="5E082F75"/>
    <w:rsid w:val="5E083B3D"/>
    <w:rsid w:val="5E084C74"/>
    <w:rsid w:val="5E084D23"/>
    <w:rsid w:val="5E086AD1"/>
    <w:rsid w:val="5E091947"/>
    <w:rsid w:val="5E095F43"/>
    <w:rsid w:val="5E0A2DD7"/>
    <w:rsid w:val="5E0A33AF"/>
    <w:rsid w:val="5E0A45F7"/>
    <w:rsid w:val="5E0B036F"/>
    <w:rsid w:val="5E0B6844"/>
    <w:rsid w:val="5E0C4813"/>
    <w:rsid w:val="5E0C65C1"/>
    <w:rsid w:val="5E0C7B07"/>
    <w:rsid w:val="5E0D0F4A"/>
    <w:rsid w:val="5E0D1262"/>
    <w:rsid w:val="5E0E10DF"/>
    <w:rsid w:val="5E0E4C86"/>
    <w:rsid w:val="5E0E5C68"/>
    <w:rsid w:val="5E0E65C4"/>
    <w:rsid w:val="5E0E7C71"/>
    <w:rsid w:val="5E0F7E5F"/>
    <w:rsid w:val="5E1075E1"/>
    <w:rsid w:val="5E111E29"/>
    <w:rsid w:val="5E1174B8"/>
    <w:rsid w:val="5E1216FE"/>
    <w:rsid w:val="5E121F2E"/>
    <w:rsid w:val="5E137441"/>
    <w:rsid w:val="5E1436C8"/>
    <w:rsid w:val="5E145319"/>
    <w:rsid w:val="5E145476"/>
    <w:rsid w:val="5E151873"/>
    <w:rsid w:val="5E1577F7"/>
    <w:rsid w:val="5E157EEA"/>
    <w:rsid w:val="5E16137A"/>
    <w:rsid w:val="5E162F9C"/>
    <w:rsid w:val="5E16546A"/>
    <w:rsid w:val="5E171EED"/>
    <w:rsid w:val="5E17280A"/>
    <w:rsid w:val="5E1753DB"/>
    <w:rsid w:val="5E176181"/>
    <w:rsid w:val="5E1831B8"/>
    <w:rsid w:val="5E186172"/>
    <w:rsid w:val="5E192C11"/>
    <w:rsid w:val="5E1945C0"/>
    <w:rsid w:val="5E195133"/>
    <w:rsid w:val="5E196F30"/>
    <w:rsid w:val="5E197CFB"/>
    <w:rsid w:val="5E1B2CA8"/>
    <w:rsid w:val="5E1B2ED5"/>
    <w:rsid w:val="5E1C33F4"/>
    <w:rsid w:val="5E1C432A"/>
    <w:rsid w:val="5E1C5B50"/>
    <w:rsid w:val="5E1C667C"/>
    <w:rsid w:val="5E1D3C33"/>
    <w:rsid w:val="5E1E00A2"/>
    <w:rsid w:val="5E1E02CA"/>
    <w:rsid w:val="5E1E09A6"/>
    <w:rsid w:val="5E1E14CC"/>
    <w:rsid w:val="5E1E164A"/>
    <w:rsid w:val="5E1E24E7"/>
    <w:rsid w:val="5E1E4546"/>
    <w:rsid w:val="5E1E55F9"/>
    <w:rsid w:val="5E1E5693"/>
    <w:rsid w:val="5E1E62F4"/>
    <w:rsid w:val="5E1E6F5C"/>
    <w:rsid w:val="5E1F64BA"/>
    <w:rsid w:val="5E2002BE"/>
    <w:rsid w:val="5E20206C"/>
    <w:rsid w:val="5E203E1A"/>
    <w:rsid w:val="5E204FFD"/>
    <w:rsid w:val="5E2157AD"/>
    <w:rsid w:val="5E215D93"/>
    <w:rsid w:val="5E21648D"/>
    <w:rsid w:val="5E224037"/>
    <w:rsid w:val="5E227B93"/>
    <w:rsid w:val="5E231749"/>
    <w:rsid w:val="5E231B5D"/>
    <w:rsid w:val="5E23390B"/>
    <w:rsid w:val="5E2356B9"/>
    <w:rsid w:val="5E2437F4"/>
    <w:rsid w:val="5E24654F"/>
    <w:rsid w:val="5E2467F1"/>
    <w:rsid w:val="5E250292"/>
    <w:rsid w:val="5E253597"/>
    <w:rsid w:val="5E266397"/>
    <w:rsid w:val="5E2751A9"/>
    <w:rsid w:val="5E275274"/>
    <w:rsid w:val="5E2775D5"/>
    <w:rsid w:val="5E282CCF"/>
    <w:rsid w:val="5E28378F"/>
    <w:rsid w:val="5E2841CF"/>
    <w:rsid w:val="5E286051"/>
    <w:rsid w:val="5E2861E3"/>
    <w:rsid w:val="5E2A4C99"/>
    <w:rsid w:val="5E2A70C6"/>
    <w:rsid w:val="5E2B02ED"/>
    <w:rsid w:val="5E2B49EF"/>
    <w:rsid w:val="5E2C27BF"/>
    <w:rsid w:val="5E2C35A0"/>
    <w:rsid w:val="5E2C53BA"/>
    <w:rsid w:val="5E2D04EF"/>
    <w:rsid w:val="5E2D27C9"/>
    <w:rsid w:val="5E2D30F6"/>
    <w:rsid w:val="5E2D6774"/>
    <w:rsid w:val="5E2E29DB"/>
    <w:rsid w:val="5E2E3F58"/>
    <w:rsid w:val="5E2F0501"/>
    <w:rsid w:val="5E2F22B0"/>
    <w:rsid w:val="5E2F3662"/>
    <w:rsid w:val="5E2F3CF2"/>
    <w:rsid w:val="5E2F578E"/>
    <w:rsid w:val="5E302E63"/>
    <w:rsid w:val="5E304AF2"/>
    <w:rsid w:val="5E304CD0"/>
    <w:rsid w:val="5E310F5A"/>
    <w:rsid w:val="5E312A3D"/>
    <w:rsid w:val="5E315F82"/>
    <w:rsid w:val="5E3214BF"/>
    <w:rsid w:val="5E331DA0"/>
    <w:rsid w:val="5E336DDC"/>
    <w:rsid w:val="5E340A11"/>
    <w:rsid w:val="5E341D32"/>
    <w:rsid w:val="5E343D6A"/>
    <w:rsid w:val="5E345B18"/>
    <w:rsid w:val="5E346C10"/>
    <w:rsid w:val="5E3527BB"/>
    <w:rsid w:val="5E36363E"/>
    <w:rsid w:val="5E372B91"/>
    <w:rsid w:val="5E373550"/>
    <w:rsid w:val="5E3755D5"/>
    <w:rsid w:val="5E384133"/>
    <w:rsid w:val="5E3873B6"/>
    <w:rsid w:val="5E391380"/>
    <w:rsid w:val="5E3914BC"/>
    <w:rsid w:val="5E394EDC"/>
    <w:rsid w:val="5E3A0775"/>
    <w:rsid w:val="5E3B0544"/>
    <w:rsid w:val="5E3B2A02"/>
    <w:rsid w:val="5E3B4EC4"/>
    <w:rsid w:val="5E3E0745"/>
    <w:rsid w:val="5E3E0DB9"/>
    <w:rsid w:val="5E3E24F3"/>
    <w:rsid w:val="5E3F1A16"/>
    <w:rsid w:val="5E3F2181"/>
    <w:rsid w:val="5E400D9F"/>
    <w:rsid w:val="5E402537"/>
    <w:rsid w:val="5E406065"/>
    <w:rsid w:val="5E406B7A"/>
    <w:rsid w:val="5E407D3D"/>
    <w:rsid w:val="5E412B3C"/>
    <w:rsid w:val="5E413D91"/>
    <w:rsid w:val="5E414979"/>
    <w:rsid w:val="5E420235"/>
    <w:rsid w:val="5E4210B5"/>
    <w:rsid w:val="5E421FE3"/>
    <w:rsid w:val="5E425D20"/>
    <w:rsid w:val="5E431827"/>
    <w:rsid w:val="5E4340D7"/>
    <w:rsid w:val="5E435D5B"/>
    <w:rsid w:val="5E437B09"/>
    <w:rsid w:val="5E442C20"/>
    <w:rsid w:val="5E443363"/>
    <w:rsid w:val="5E452AAD"/>
    <w:rsid w:val="5E453881"/>
    <w:rsid w:val="5E473A9D"/>
    <w:rsid w:val="5E47584B"/>
    <w:rsid w:val="5E4775F9"/>
    <w:rsid w:val="5E481638"/>
    <w:rsid w:val="5E4820C4"/>
    <w:rsid w:val="5E48792D"/>
    <w:rsid w:val="5E4976C6"/>
    <w:rsid w:val="5E4A0E97"/>
    <w:rsid w:val="5E4A4746"/>
    <w:rsid w:val="5E4A57F6"/>
    <w:rsid w:val="5E4A7EF0"/>
    <w:rsid w:val="5E4B3B2C"/>
    <w:rsid w:val="5E4B7FF1"/>
    <w:rsid w:val="5E4C476B"/>
    <w:rsid w:val="5E4C52CF"/>
    <w:rsid w:val="5E4C7EA6"/>
    <w:rsid w:val="5E4D0A45"/>
    <w:rsid w:val="5E4D2736"/>
    <w:rsid w:val="5E4E6BDA"/>
    <w:rsid w:val="5E4F150B"/>
    <w:rsid w:val="5E4F16AA"/>
    <w:rsid w:val="5E4F4700"/>
    <w:rsid w:val="5E4F64AE"/>
    <w:rsid w:val="5E4F6D8C"/>
    <w:rsid w:val="5E512226"/>
    <w:rsid w:val="5E51556C"/>
    <w:rsid w:val="5E521233"/>
    <w:rsid w:val="5E532442"/>
    <w:rsid w:val="5E532C9F"/>
    <w:rsid w:val="5E542134"/>
    <w:rsid w:val="5E543AC4"/>
    <w:rsid w:val="5E546896"/>
    <w:rsid w:val="5E547F68"/>
    <w:rsid w:val="5E5539B1"/>
    <w:rsid w:val="5E5541B9"/>
    <w:rsid w:val="5E563CE0"/>
    <w:rsid w:val="5E570B9C"/>
    <w:rsid w:val="5E571FFC"/>
    <w:rsid w:val="5E57286E"/>
    <w:rsid w:val="5E5742FD"/>
    <w:rsid w:val="5E590ADE"/>
    <w:rsid w:val="5E5925BD"/>
    <w:rsid w:val="5E59557E"/>
    <w:rsid w:val="5E5A16CB"/>
    <w:rsid w:val="5E5B30A5"/>
    <w:rsid w:val="5E5B4240"/>
    <w:rsid w:val="5E5B7AAE"/>
    <w:rsid w:val="5E5C34C8"/>
    <w:rsid w:val="5E5D049F"/>
    <w:rsid w:val="5E5D0BCB"/>
    <w:rsid w:val="5E5D3B0F"/>
    <w:rsid w:val="5E5D4F0E"/>
    <w:rsid w:val="5E5D6E1D"/>
    <w:rsid w:val="5E5E1C45"/>
    <w:rsid w:val="5E5E46B1"/>
    <w:rsid w:val="5E5F0DE7"/>
    <w:rsid w:val="5E5F25B6"/>
    <w:rsid w:val="5E5F3229"/>
    <w:rsid w:val="5E5F3B71"/>
    <w:rsid w:val="5E6014E1"/>
    <w:rsid w:val="5E602490"/>
    <w:rsid w:val="5E60324E"/>
    <w:rsid w:val="5E604B5F"/>
    <w:rsid w:val="5E606FDF"/>
    <w:rsid w:val="5E611936"/>
    <w:rsid w:val="5E62015D"/>
    <w:rsid w:val="5E624433"/>
    <w:rsid w:val="5E6274D1"/>
    <w:rsid w:val="5E627981"/>
    <w:rsid w:val="5E631F59"/>
    <w:rsid w:val="5E635A43"/>
    <w:rsid w:val="5E6379D2"/>
    <w:rsid w:val="5E64127C"/>
    <w:rsid w:val="5E6463FD"/>
    <w:rsid w:val="5E653F23"/>
    <w:rsid w:val="5E654B19"/>
    <w:rsid w:val="5E665A7A"/>
    <w:rsid w:val="5E666BB1"/>
    <w:rsid w:val="5E671A49"/>
    <w:rsid w:val="5E672F0F"/>
    <w:rsid w:val="5E680C22"/>
    <w:rsid w:val="5E6859B9"/>
    <w:rsid w:val="5E685B2F"/>
    <w:rsid w:val="5E687DD5"/>
    <w:rsid w:val="5E6913B3"/>
    <w:rsid w:val="5E695F0B"/>
    <w:rsid w:val="5E69659B"/>
    <w:rsid w:val="5E6A153A"/>
    <w:rsid w:val="5E6A32E8"/>
    <w:rsid w:val="5E6A778C"/>
    <w:rsid w:val="5E6B076C"/>
    <w:rsid w:val="5E6C0178"/>
    <w:rsid w:val="5E6C3504"/>
    <w:rsid w:val="5E6C46AE"/>
    <w:rsid w:val="5E6C52B2"/>
    <w:rsid w:val="5E6C7060"/>
    <w:rsid w:val="5E6D1EC3"/>
    <w:rsid w:val="5E6D1EF9"/>
    <w:rsid w:val="5E6D4B86"/>
    <w:rsid w:val="5E6D4F05"/>
    <w:rsid w:val="5E6E09E2"/>
    <w:rsid w:val="5E6E102A"/>
    <w:rsid w:val="5E6E5F24"/>
    <w:rsid w:val="5E6E69F1"/>
    <w:rsid w:val="5E6F08FE"/>
    <w:rsid w:val="5E6F0AF5"/>
    <w:rsid w:val="5E6F1128"/>
    <w:rsid w:val="5E6F6282"/>
    <w:rsid w:val="5E6F6B50"/>
    <w:rsid w:val="5E700844"/>
    <w:rsid w:val="5E70731E"/>
    <w:rsid w:val="5E7110A1"/>
    <w:rsid w:val="5E71214E"/>
    <w:rsid w:val="5E71323D"/>
    <w:rsid w:val="5E716ED1"/>
    <w:rsid w:val="5E721DE0"/>
    <w:rsid w:val="5E723E03"/>
    <w:rsid w:val="5E730AFC"/>
    <w:rsid w:val="5E73185A"/>
    <w:rsid w:val="5E734892"/>
    <w:rsid w:val="5E741D96"/>
    <w:rsid w:val="5E7423B8"/>
    <w:rsid w:val="5E74361D"/>
    <w:rsid w:val="5E744D97"/>
    <w:rsid w:val="5E745F14"/>
    <w:rsid w:val="5E756851"/>
    <w:rsid w:val="5E761C8C"/>
    <w:rsid w:val="5E765FD4"/>
    <w:rsid w:val="5E76708C"/>
    <w:rsid w:val="5E7728EA"/>
    <w:rsid w:val="5E773A29"/>
    <w:rsid w:val="5E773B98"/>
    <w:rsid w:val="5E783C56"/>
    <w:rsid w:val="5E7841E4"/>
    <w:rsid w:val="5E790894"/>
    <w:rsid w:val="5E79139F"/>
    <w:rsid w:val="5E79352B"/>
    <w:rsid w:val="5E79420B"/>
    <w:rsid w:val="5E7951E3"/>
    <w:rsid w:val="5E7A2FDC"/>
    <w:rsid w:val="5E7A5C21"/>
    <w:rsid w:val="5E7B3747"/>
    <w:rsid w:val="5E7C4479"/>
    <w:rsid w:val="5E7C7C50"/>
    <w:rsid w:val="5E7D10AC"/>
    <w:rsid w:val="5E7D2C2D"/>
    <w:rsid w:val="5E7D301B"/>
    <w:rsid w:val="5E7F07D9"/>
    <w:rsid w:val="5E7F1DFA"/>
    <w:rsid w:val="5E7F26CA"/>
    <w:rsid w:val="5E7F3237"/>
    <w:rsid w:val="5E800339"/>
    <w:rsid w:val="5E800D5D"/>
    <w:rsid w:val="5E802B0B"/>
    <w:rsid w:val="5E8051FF"/>
    <w:rsid w:val="5E824AD5"/>
    <w:rsid w:val="5E825343"/>
    <w:rsid w:val="5E8263FA"/>
    <w:rsid w:val="5E826DD6"/>
    <w:rsid w:val="5E837009"/>
    <w:rsid w:val="5E837932"/>
    <w:rsid w:val="5E84084D"/>
    <w:rsid w:val="5E8425FB"/>
    <w:rsid w:val="5E8545C5"/>
    <w:rsid w:val="5E864246"/>
    <w:rsid w:val="5E865589"/>
    <w:rsid w:val="5E866146"/>
    <w:rsid w:val="5E866BEB"/>
    <w:rsid w:val="5E86731E"/>
    <w:rsid w:val="5E87381B"/>
    <w:rsid w:val="5E87563B"/>
    <w:rsid w:val="5E875C48"/>
    <w:rsid w:val="5E875D6C"/>
    <w:rsid w:val="5E88169C"/>
    <w:rsid w:val="5E881B12"/>
    <w:rsid w:val="5E891C7B"/>
    <w:rsid w:val="5E89256C"/>
    <w:rsid w:val="5E895323"/>
    <w:rsid w:val="5E896F1E"/>
    <w:rsid w:val="5E8A3960"/>
    <w:rsid w:val="5E8B2644"/>
    <w:rsid w:val="5E8B3525"/>
    <w:rsid w:val="5E8C1E1D"/>
    <w:rsid w:val="5E8C325E"/>
    <w:rsid w:val="5E8C7702"/>
    <w:rsid w:val="5E8D14AD"/>
    <w:rsid w:val="5E8D4D9E"/>
    <w:rsid w:val="5E8D6822"/>
    <w:rsid w:val="5E8E0B78"/>
    <w:rsid w:val="5E8E20E3"/>
    <w:rsid w:val="5E8E293D"/>
    <w:rsid w:val="5E8E347A"/>
    <w:rsid w:val="5E8E550E"/>
    <w:rsid w:val="5E8F0FA0"/>
    <w:rsid w:val="5E8F2D4E"/>
    <w:rsid w:val="5E8F3DCD"/>
    <w:rsid w:val="5E8F4D7A"/>
    <w:rsid w:val="5E9051E7"/>
    <w:rsid w:val="5E916AC6"/>
    <w:rsid w:val="5E92405B"/>
    <w:rsid w:val="5E930A90"/>
    <w:rsid w:val="5E933EB4"/>
    <w:rsid w:val="5E9345EC"/>
    <w:rsid w:val="5E9468D1"/>
    <w:rsid w:val="5E954808"/>
    <w:rsid w:val="5E9640DD"/>
    <w:rsid w:val="5E96511B"/>
    <w:rsid w:val="5E967583"/>
    <w:rsid w:val="5E97541D"/>
    <w:rsid w:val="5E9860A7"/>
    <w:rsid w:val="5E9862CC"/>
    <w:rsid w:val="5E9865C0"/>
    <w:rsid w:val="5E986B75"/>
    <w:rsid w:val="5E987E55"/>
    <w:rsid w:val="5E990A29"/>
    <w:rsid w:val="5E992621"/>
    <w:rsid w:val="5E993BCD"/>
    <w:rsid w:val="5E997CEB"/>
    <w:rsid w:val="5E9A1E1F"/>
    <w:rsid w:val="5E9A432D"/>
    <w:rsid w:val="5E9A5B81"/>
    <w:rsid w:val="5E9B16F3"/>
    <w:rsid w:val="5E9B32AB"/>
    <w:rsid w:val="5E9B5B97"/>
    <w:rsid w:val="5E9D190F"/>
    <w:rsid w:val="5E9D4E86"/>
    <w:rsid w:val="5E9E4478"/>
    <w:rsid w:val="5E9F46C5"/>
    <w:rsid w:val="5E9F4D52"/>
    <w:rsid w:val="5E9F695F"/>
    <w:rsid w:val="5E9F7435"/>
    <w:rsid w:val="5EA02E4B"/>
    <w:rsid w:val="5EA03A71"/>
    <w:rsid w:val="5EA1158C"/>
    <w:rsid w:val="5EA13984"/>
    <w:rsid w:val="5EA20542"/>
    <w:rsid w:val="5EA20CD3"/>
    <w:rsid w:val="5EA24E14"/>
    <w:rsid w:val="5EA273CE"/>
    <w:rsid w:val="5EA27DAC"/>
    <w:rsid w:val="5EA31BDB"/>
    <w:rsid w:val="5EA339D0"/>
    <w:rsid w:val="5EA42C9D"/>
    <w:rsid w:val="5EA43F9A"/>
    <w:rsid w:val="5EA44A4C"/>
    <w:rsid w:val="5EA45C5F"/>
    <w:rsid w:val="5EA50BC4"/>
    <w:rsid w:val="5EA62054"/>
    <w:rsid w:val="5EA65556"/>
    <w:rsid w:val="5EA66A16"/>
    <w:rsid w:val="5EA7148B"/>
    <w:rsid w:val="5EA7453C"/>
    <w:rsid w:val="5EA747FB"/>
    <w:rsid w:val="5EA762EA"/>
    <w:rsid w:val="5EA7731F"/>
    <w:rsid w:val="5EA902B4"/>
    <w:rsid w:val="5EA92062"/>
    <w:rsid w:val="5EA92116"/>
    <w:rsid w:val="5EA93E10"/>
    <w:rsid w:val="5EA93E48"/>
    <w:rsid w:val="5EA944E1"/>
    <w:rsid w:val="5EAA0DD9"/>
    <w:rsid w:val="5EAA1FE8"/>
    <w:rsid w:val="5EAA32A0"/>
    <w:rsid w:val="5EAA4A4C"/>
    <w:rsid w:val="5EAA6F51"/>
    <w:rsid w:val="5EAA78E8"/>
    <w:rsid w:val="5EAB497D"/>
    <w:rsid w:val="5EAB4A36"/>
    <w:rsid w:val="5EAC1B52"/>
    <w:rsid w:val="5EAC3900"/>
    <w:rsid w:val="5EAC3985"/>
    <w:rsid w:val="5EAD4099"/>
    <w:rsid w:val="5EAD7E18"/>
    <w:rsid w:val="5EAE2BA6"/>
    <w:rsid w:val="5EAF5616"/>
    <w:rsid w:val="5EAF64C4"/>
    <w:rsid w:val="5EB01642"/>
    <w:rsid w:val="5EB033F0"/>
    <w:rsid w:val="5EB0712E"/>
    <w:rsid w:val="5EB153BA"/>
    <w:rsid w:val="5EB24F70"/>
    <w:rsid w:val="5EB32EE1"/>
    <w:rsid w:val="5EB33332"/>
    <w:rsid w:val="5EB34C8F"/>
    <w:rsid w:val="5EB36A3D"/>
    <w:rsid w:val="5EB423E0"/>
    <w:rsid w:val="5EB54005"/>
    <w:rsid w:val="5EB55AE8"/>
    <w:rsid w:val="5EB629D1"/>
    <w:rsid w:val="5EB63CF1"/>
    <w:rsid w:val="5EB6652D"/>
    <w:rsid w:val="5EB6783E"/>
    <w:rsid w:val="5EB7471A"/>
    <w:rsid w:val="5EB84469"/>
    <w:rsid w:val="5EB91C0B"/>
    <w:rsid w:val="5EB9425C"/>
    <w:rsid w:val="5EB94E0A"/>
    <w:rsid w:val="5EB97DCB"/>
    <w:rsid w:val="5EBA021D"/>
    <w:rsid w:val="5EBA10B2"/>
    <w:rsid w:val="5EBA426F"/>
    <w:rsid w:val="5EBA5EA2"/>
    <w:rsid w:val="5EBA601D"/>
    <w:rsid w:val="5EBB2DEA"/>
    <w:rsid w:val="5EBB6782"/>
    <w:rsid w:val="5EBC058C"/>
    <w:rsid w:val="5EBD3D5F"/>
    <w:rsid w:val="5EBD4D49"/>
    <w:rsid w:val="5EBE09B7"/>
    <w:rsid w:val="5EBF0824"/>
    <w:rsid w:val="5EBF1885"/>
    <w:rsid w:val="5EC0115A"/>
    <w:rsid w:val="5EC032AD"/>
    <w:rsid w:val="5EC073AC"/>
    <w:rsid w:val="5EC23124"/>
    <w:rsid w:val="5EC2722F"/>
    <w:rsid w:val="5EC27532"/>
    <w:rsid w:val="5EC27625"/>
    <w:rsid w:val="5EC450EE"/>
    <w:rsid w:val="5EC46E9C"/>
    <w:rsid w:val="5EC501AE"/>
    <w:rsid w:val="5EC62291"/>
    <w:rsid w:val="5EC724E8"/>
    <w:rsid w:val="5EC92704"/>
    <w:rsid w:val="5EC92B76"/>
    <w:rsid w:val="5EC944B2"/>
    <w:rsid w:val="5EC94517"/>
    <w:rsid w:val="5EC9640F"/>
    <w:rsid w:val="5ECA3D86"/>
    <w:rsid w:val="5ECA45A2"/>
    <w:rsid w:val="5ECA7203"/>
    <w:rsid w:val="5ECB647C"/>
    <w:rsid w:val="5ECB695E"/>
    <w:rsid w:val="5ECC3FA2"/>
    <w:rsid w:val="5ECC54B0"/>
    <w:rsid w:val="5ECC5796"/>
    <w:rsid w:val="5ECC7AFE"/>
    <w:rsid w:val="5ECD3B61"/>
    <w:rsid w:val="5ECD6940"/>
    <w:rsid w:val="5ECD7C46"/>
    <w:rsid w:val="5ECE1AC8"/>
    <w:rsid w:val="5ECE2E8E"/>
    <w:rsid w:val="5ECE2EF6"/>
    <w:rsid w:val="5ECF1260"/>
    <w:rsid w:val="5ED05841"/>
    <w:rsid w:val="5ED115B9"/>
    <w:rsid w:val="5ED13367"/>
    <w:rsid w:val="5ED136E3"/>
    <w:rsid w:val="5ED16751"/>
    <w:rsid w:val="5ED24F38"/>
    <w:rsid w:val="5ED2780B"/>
    <w:rsid w:val="5ED27F21"/>
    <w:rsid w:val="5ED422DB"/>
    <w:rsid w:val="5ED56562"/>
    <w:rsid w:val="5ED56FB5"/>
    <w:rsid w:val="5ED60A36"/>
    <w:rsid w:val="5ED65E52"/>
    <w:rsid w:val="5ED74E21"/>
    <w:rsid w:val="5ED75BF1"/>
    <w:rsid w:val="5ED83F06"/>
    <w:rsid w:val="5ED846F5"/>
    <w:rsid w:val="5ED864A3"/>
    <w:rsid w:val="5ED92B56"/>
    <w:rsid w:val="5ED944FD"/>
    <w:rsid w:val="5ED958FA"/>
    <w:rsid w:val="5EDA046D"/>
    <w:rsid w:val="5EDA1B2A"/>
    <w:rsid w:val="5EDA2095"/>
    <w:rsid w:val="5EDA66BF"/>
    <w:rsid w:val="5EDB0C66"/>
    <w:rsid w:val="5EDB1138"/>
    <w:rsid w:val="5EDB204B"/>
    <w:rsid w:val="5EDB41E5"/>
    <w:rsid w:val="5EDB7564"/>
    <w:rsid w:val="5EDD7F5D"/>
    <w:rsid w:val="5EDF5A84"/>
    <w:rsid w:val="5EDF7832"/>
    <w:rsid w:val="5EE035AA"/>
    <w:rsid w:val="5EE04DB6"/>
    <w:rsid w:val="5EE059A9"/>
    <w:rsid w:val="5EE063A4"/>
    <w:rsid w:val="5EE172D7"/>
    <w:rsid w:val="5EE237C6"/>
    <w:rsid w:val="5EE24974"/>
    <w:rsid w:val="5EE25490"/>
    <w:rsid w:val="5EE25574"/>
    <w:rsid w:val="5EE27322"/>
    <w:rsid w:val="5EE27FBB"/>
    <w:rsid w:val="5EE32794"/>
    <w:rsid w:val="5EE33A4C"/>
    <w:rsid w:val="5EE344A4"/>
    <w:rsid w:val="5EE421F7"/>
    <w:rsid w:val="5EE4309A"/>
    <w:rsid w:val="5EE4753E"/>
    <w:rsid w:val="5EE616CA"/>
    <w:rsid w:val="5EE664D7"/>
    <w:rsid w:val="5EE66E12"/>
    <w:rsid w:val="5EE67FFE"/>
    <w:rsid w:val="5EE70DDC"/>
    <w:rsid w:val="5EE726D2"/>
    <w:rsid w:val="5EE72B8A"/>
    <w:rsid w:val="5EE7529D"/>
    <w:rsid w:val="5EE807FA"/>
    <w:rsid w:val="5EE85858"/>
    <w:rsid w:val="5EE906B0"/>
    <w:rsid w:val="5EE910D6"/>
    <w:rsid w:val="5EE94B54"/>
    <w:rsid w:val="5EE9551E"/>
    <w:rsid w:val="5EE96902"/>
    <w:rsid w:val="5EEA30DB"/>
    <w:rsid w:val="5EEA61D6"/>
    <w:rsid w:val="5EEB1FF6"/>
    <w:rsid w:val="5EEB4428"/>
    <w:rsid w:val="5EEB6327"/>
    <w:rsid w:val="5EEC01A1"/>
    <w:rsid w:val="5EEC23C7"/>
    <w:rsid w:val="5EEC5095"/>
    <w:rsid w:val="5EED0143"/>
    <w:rsid w:val="5EED557D"/>
    <w:rsid w:val="5EED73BA"/>
    <w:rsid w:val="5EEE2886"/>
    <w:rsid w:val="5EEF2417"/>
    <w:rsid w:val="5EEF4D7A"/>
    <w:rsid w:val="5EF07C91"/>
    <w:rsid w:val="5EF07EF4"/>
    <w:rsid w:val="5EF13A09"/>
    <w:rsid w:val="5EF145FA"/>
    <w:rsid w:val="5EF15F30"/>
    <w:rsid w:val="5EF17565"/>
    <w:rsid w:val="5EF25664"/>
    <w:rsid w:val="5EF30CFF"/>
    <w:rsid w:val="5EF3152F"/>
    <w:rsid w:val="5EF32D59"/>
    <w:rsid w:val="5EF332DD"/>
    <w:rsid w:val="5EF33B9E"/>
    <w:rsid w:val="5EF37781"/>
    <w:rsid w:val="5EF534F9"/>
    <w:rsid w:val="5EF53AE7"/>
    <w:rsid w:val="5EF57055"/>
    <w:rsid w:val="5EF7101F"/>
    <w:rsid w:val="5EF71BAD"/>
    <w:rsid w:val="5EF72E6A"/>
    <w:rsid w:val="5EF756B2"/>
    <w:rsid w:val="5EF77387"/>
    <w:rsid w:val="5EF77CBC"/>
    <w:rsid w:val="5EF808F3"/>
    <w:rsid w:val="5EF80929"/>
    <w:rsid w:val="5EF87DF8"/>
    <w:rsid w:val="5EF932DE"/>
    <w:rsid w:val="5EF944CD"/>
    <w:rsid w:val="5EF94B68"/>
    <w:rsid w:val="5EF94CA0"/>
    <w:rsid w:val="5EF97364"/>
    <w:rsid w:val="5EF973EA"/>
    <w:rsid w:val="5EFA052E"/>
    <w:rsid w:val="5EFA2236"/>
    <w:rsid w:val="5EFA28BD"/>
    <w:rsid w:val="5EFA466C"/>
    <w:rsid w:val="5EFA7A48"/>
    <w:rsid w:val="5EFB03E4"/>
    <w:rsid w:val="5EFB4076"/>
    <w:rsid w:val="5EFB56D7"/>
    <w:rsid w:val="5EFC5B24"/>
    <w:rsid w:val="5EFD1D5F"/>
    <w:rsid w:val="5EFD23AE"/>
    <w:rsid w:val="5EFD415C"/>
    <w:rsid w:val="5EFD5F0A"/>
    <w:rsid w:val="5EFE2307"/>
    <w:rsid w:val="5EFF55BF"/>
    <w:rsid w:val="5EFF5A32"/>
    <w:rsid w:val="5F0017F8"/>
    <w:rsid w:val="5F0059FA"/>
    <w:rsid w:val="5F007AFC"/>
    <w:rsid w:val="5F011F4D"/>
    <w:rsid w:val="5F013C4C"/>
    <w:rsid w:val="5F021772"/>
    <w:rsid w:val="5F02470D"/>
    <w:rsid w:val="5F024863"/>
    <w:rsid w:val="5F025C16"/>
    <w:rsid w:val="5F0279C4"/>
    <w:rsid w:val="5F030150"/>
    <w:rsid w:val="5F0313B7"/>
    <w:rsid w:val="5F031A2F"/>
    <w:rsid w:val="5F04373C"/>
    <w:rsid w:val="5F043DC9"/>
    <w:rsid w:val="5F04585D"/>
    <w:rsid w:val="5F045EB0"/>
    <w:rsid w:val="5F055D5D"/>
    <w:rsid w:val="5F064C0A"/>
    <w:rsid w:val="5F066694"/>
    <w:rsid w:val="5F066FD0"/>
    <w:rsid w:val="5F0720C7"/>
    <w:rsid w:val="5F0722EB"/>
    <w:rsid w:val="5F073DA7"/>
    <w:rsid w:val="5F074FDA"/>
    <w:rsid w:val="5F075251"/>
    <w:rsid w:val="5F0766D4"/>
    <w:rsid w:val="5F076875"/>
    <w:rsid w:val="5F076D88"/>
    <w:rsid w:val="5F082B32"/>
    <w:rsid w:val="5F085021"/>
    <w:rsid w:val="5F09188C"/>
    <w:rsid w:val="5F092B01"/>
    <w:rsid w:val="5F096184"/>
    <w:rsid w:val="5F096FA4"/>
    <w:rsid w:val="5F0A095D"/>
    <w:rsid w:val="5F0A4587"/>
    <w:rsid w:val="5F0A4B93"/>
    <w:rsid w:val="5F0B05B1"/>
    <w:rsid w:val="5F0B0627"/>
    <w:rsid w:val="5F0B1038"/>
    <w:rsid w:val="5F0B326B"/>
    <w:rsid w:val="5F0B4960"/>
    <w:rsid w:val="5F0B6879"/>
    <w:rsid w:val="5F0C1F19"/>
    <w:rsid w:val="5F0D0843"/>
    <w:rsid w:val="5F0D3768"/>
    <w:rsid w:val="5F0D4F95"/>
    <w:rsid w:val="5F0D542C"/>
    <w:rsid w:val="5F0D6EDA"/>
    <w:rsid w:val="5F0E43F3"/>
    <w:rsid w:val="5F0E6369"/>
    <w:rsid w:val="5F0F2F6B"/>
    <w:rsid w:val="5F0F3BB0"/>
    <w:rsid w:val="5F100333"/>
    <w:rsid w:val="5F1020E1"/>
    <w:rsid w:val="5F102754"/>
    <w:rsid w:val="5F103E8F"/>
    <w:rsid w:val="5F104507"/>
    <w:rsid w:val="5F106888"/>
    <w:rsid w:val="5F110709"/>
    <w:rsid w:val="5F1121E0"/>
    <w:rsid w:val="5F12119D"/>
    <w:rsid w:val="5F1229CA"/>
    <w:rsid w:val="5F12497B"/>
    <w:rsid w:val="5F125E59"/>
    <w:rsid w:val="5F1267B5"/>
    <w:rsid w:val="5F1278EA"/>
    <w:rsid w:val="5F131BD1"/>
    <w:rsid w:val="5F13397F"/>
    <w:rsid w:val="5F13572D"/>
    <w:rsid w:val="5F14045A"/>
    <w:rsid w:val="5F15379A"/>
    <w:rsid w:val="5F155949"/>
    <w:rsid w:val="5F16521D"/>
    <w:rsid w:val="5F165D03"/>
    <w:rsid w:val="5F170E14"/>
    <w:rsid w:val="5F170F81"/>
    <w:rsid w:val="5F172392"/>
    <w:rsid w:val="5F17346F"/>
    <w:rsid w:val="5F17422E"/>
    <w:rsid w:val="5F182F4E"/>
    <w:rsid w:val="5F184590"/>
    <w:rsid w:val="5F1867C1"/>
    <w:rsid w:val="5F192253"/>
    <w:rsid w:val="5F1930FE"/>
    <w:rsid w:val="5F1A0D4A"/>
    <w:rsid w:val="5F1A21F3"/>
    <w:rsid w:val="5F1A2B43"/>
    <w:rsid w:val="5F1A2C05"/>
    <w:rsid w:val="5F1B7866"/>
    <w:rsid w:val="5F1C0816"/>
    <w:rsid w:val="5F1C0A86"/>
    <w:rsid w:val="5F1C3D9D"/>
    <w:rsid w:val="5F1C5883"/>
    <w:rsid w:val="5F1C6CD8"/>
    <w:rsid w:val="5F1D47FE"/>
    <w:rsid w:val="5F1D5866"/>
    <w:rsid w:val="5F1D5E35"/>
    <w:rsid w:val="5F1D65AC"/>
    <w:rsid w:val="5F1D730C"/>
    <w:rsid w:val="5F1F2324"/>
    <w:rsid w:val="5F1F40D2"/>
    <w:rsid w:val="5F2166C6"/>
    <w:rsid w:val="5F217E4A"/>
    <w:rsid w:val="5F222DF0"/>
    <w:rsid w:val="5F225970"/>
    <w:rsid w:val="5F235FF8"/>
    <w:rsid w:val="5F2416E8"/>
    <w:rsid w:val="5F2416FD"/>
    <w:rsid w:val="5F241760"/>
    <w:rsid w:val="5F242A12"/>
    <w:rsid w:val="5F2458C9"/>
    <w:rsid w:val="5F245B8C"/>
    <w:rsid w:val="5F2573DC"/>
    <w:rsid w:val="5F264AF7"/>
    <w:rsid w:val="5F265461"/>
    <w:rsid w:val="5F2711D9"/>
    <w:rsid w:val="5F27742B"/>
    <w:rsid w:val="5F2809DA"/>
    <w:rsid w:val="5F2843F3"/>
    <w:rsid w:val="5F286923"/>
    <w:rsid w:val="5F2913F5"/>
    <w:rsid w:val="5F292BD8"/>
    <w:rsid w:val="5F2931A3"/>
    <w:rsid w:val="5F293B33"/>
    <w:rsid w:val="5F294F51"/>
    <w:rsid w:val="5F296CFF"/>
    <w:rsid w:val="5F2A3D98"/>
    <w:rsid w:val="5F2A3F1D"/>
    <w:rsid w:val="5F2A70CC"/>
    <w:rsid w:val="5F2B1225"/>
    <w:rsid w:val="5F2B257B"/>
    <w:rsid w:val="5F2C2AA5"/>
    <w:rsid w:val="5F2D00D5"/>
    <w:rsid w:val="5F2D2C93"/>
    <w:rsid w:val="5F2D2F6C"/>
    <w:rsid w:val="5F2E07B9"/>
    <w:rsid w:val="5F2E2567"/>
    <w:rsid w:val="5F2E310B"/>
    <w:rsid w:val="5F2E4743"/>
    <w:rsid w:val="5F2E6A0B"/>
    <w:rsid w:val="5F2E7113"/>
    <w:rsid w:val="5F2E774E"/>
    <w:rsid w:val="5F2E7DA2"/>
    <w:rsid w:val="5F2F1646"/>
    <w:rsid w:val="5F2F1DB5"/>
    <w:rsid w:val="5F301A85"/>
    <w:rsid w:val="5F3062DF"/>
    <w:rsid w:val="5F311A8C"/>
    <w:rsid w:val="5F312F3C"/>
    <w:rsid w:val="5F313E05"/>
    <w:rsid w:val="5F3240EA"/>
    <w:rsid w:val="5F326B0D"/>
    <w:rsid w:val="5F327234"/>
    <w:rsid w:val="5F3306BE"/>
    <w:rsid w:val="5F334021"/>
    <w:rsid w:val="5F335AED"/>
    <w:rsid w:val="5F335B62"/>
    <w:rsid w:val="5F337B7D"/>
    <w:rsid w:val="5F3411D1"/>
    <w:rsid w:val="5F3502E9"/>
    <w:rsid w:val="5F35040D"/>
    <w:rsid w:val="5F351B48"/>
    <w:rsid w:val="5F353BE9"/>
    <w:rsid w:val="5F354DD5"/>
    <w:rsid w:val="5F36141C"/>
    <w:rsid w:val="5F3636B8"/>
    <w:rsid w:val="5F380709"/>
    <w:rsid w:val="5F381638"/>
    <w:rsid w:val="5F385194"/>
    <w:rsid w:val="5F386D8E"/>
    <w:rsid w:val="5F39021E"/>
    <w:rsid w:val="5F392547"/>
    <w:rsid w:val="5F3929E2"/>
    <w:rsid w:val="5F3A0820"/>
    <w:rsid w:val="5F3A0F0C"/>
    <w:rsid w:val="5F3A427F"/>
    <w:rsid w:val="5F3A53B0"/>
    <w:rsid w:val="5F3B6A32"/>
    <w:rsid w:val="5F3C02E0"/>
    <w:rsid w:val="5F3C1C69"/>
    <w:rsid w:val="5F3C2ED6"/>
    <w:rsid w:val="5F3C640C"/>
    <w:rsid w:val="5F3C6B9F"/>
    <w:rsid w:val="5F3D09FC"/>
    <w:rsid w:val="5F3D1770"/>
    <w:rsid w:val="5F3D246E"/>
    <w:rsid w:val="5F3D27AA"/>
    <w:rsid w:val="5F3D5208"/>
    <w:rsid w:val="5F3E567C"/>
    <w:rsid w:val="5F3E569B"/>
    <w:rsid w:val="5F3E584B"/>
    <w:rsid w:val="5F3F5BFF"/>
    <w:rsid w:val="5F3F5E4E"/>
    <w:rsid w:val="5F402C26"/>
    <w:rsid w:val="5F405520"/>
    <w:rsid w:val="5F4104EC"/>
    <w:rsid w:val="5F41229A"/>
    <w:rsid w:val="5F41673E"/>
    <w:rsid w:val="5F42010A"/>
    <w:rsid w:val="5F424B33"/>
    <w:rsid w:val="5F425D2A"/>
    <w:rsid w:val="5F434264"/>
    <w:rsid w:val="5F440DAF"/>
    <w:rsid w:val="5F442840"/>
    <w:rsid w:val="5F443A2A"/>
    <w:rsid w:val="5F447F56"/>
    <w:rsid w:val="5F447FDD"/>
    <w:rsid w:val="5F4563B3"/>
    <w:rsid w:val="5F4611D3"/>
    <w:rsid w:val="5F462AB0"/>
    <w:rsid w:val="5F463D55"/>
    <w:rsid w:val="5F465B03"/>
    <w:rsid w:val="5F4678B1"/>
    <w:rsid w:val="5F473629"/>
    <w:rsid w:val="5F476D70"/>
    <w:rsid w:val="5F48187B"/>
    <w:rsid w:val="5F483B48"/>
    <w:rsid w:val="5F49114F"/>
    <w:rsid w:val="5F4912B5"/>
    <w:rsid w:val="5F4955F3"/>
    <w:rsid w:val="5F4973A1"/>
    <w:rsid w:val="5F4A1345"/>
    <w:rsid w:val="5F4A141D"/>
    <w:rsid w:val="5F4A3402"/>
    <w:rsid w:val="5F4A75BD"/>
    <w:rsid w:val="5F4B136B"/>
    <w:rsid w:val="5F4B4EC7"/>
    <w:rsid w:val="5F4B5204"/>
    <w:rsid w:val="5F4B70D9"/>
    <w:rsid w:val="5F4C248B"/>
    <w:rsid w:val="5F4C40B1"/>
    <w:rsid w:val="5F4C421E"/>
    <w:rsid w:val="5F4C56AF"/>
    <w:rsid w:val="5F4C7DD5"/>
    <w:rsid w:val="5F4D6610"/>
    <w:rsid w:val="5F4D6E91"/>
    <w:rsid w:val="5F4E336D"/>
    <w:rsid w:val="5F4E491B"/>
    <w:rsid w:val="5F4E5419"/>
    <w:rsid w:val="5F50072F"/>
    <w:rsid w:val="5F501111"/>
    <w:rsid w:val="5F5024DD"/>
    <w:rsid w:val="5F506981"/>
    <w:rsid w:val="5F51229A"/>
    <w:rsid w:val="5F513431"/>
    <w:rsid w:val="5F5160BD"/>
    <w:rsid w:val="5F520C2D"/>
    <w:rsid w:val="5F52238D"/>
    <w:rsid w:val="5F5244A8"/>
    <w:rsid w:val="5F52518D"/>
    <w:rsid w:val="5F5267FD"/>
    <w:rsid w:val="5F526AA7"/>
    <w:rsid w:val="5F536152"/>
    <w:rsid w:val="5F544E26"/>
    <w:rsid w:val="5F5471CD"/>
    <w:rsid w:val="5F547467"/>
    <w:rsid w:val="5F550B2E"/>
    <w:rsid w:val="5F5528E0"/>
    <w:rsid w:val="5F557AF4"/>
    <w:rsid w:val="5F565AB3"/>
    <w:rsid w:val="5F57386C"/>
    <w:rsid w:val="5F574E91"/>
    <w:rsid w:val="5F577D10"/>
    <w:rsid w:val="5F583F37"/>
    <w:rsid w:val="5F585836"/>
    <w:rsid w:val="5F586378"/>
    <w:rsid w:val="5F5875E4"/>
    <w:rsid w:val="5F591B7C"/>
    <w:rsid w:val="5F593A88"/>
    <w:rsid w:val="5F5A08A9"/>
    <w:rsid w:val="5F5A15AE"/>
    <w:rsid w:val="5F5B5967"/>
    <w:rsid w:val="5F5B6C88"/>
    <w:rsid w:val="5F5C01D6"/>
    <w:rsid w:val="5F5D147D"/>
    <w:rsid w:val="5F5D1E22"/>
    <w:rsid w:val="5F5D22E6"/>
    <w:rsid w:val="5F5D2E4C"/>
    <w:rsid w:val="5F5D62EB"/>
    <w:rsid w:val="5F5E0AA9"/>
    <w:rsid w:val="5F5E215F"/>
    <w:rsid w:val="5F5E5780"/>
    <w:rsid w:val="5F5E71D5"/>
    <w:rsid w:val="5F5F0972"/>
    <w:rsid w:val="5F5F3310"/>
    <w:rsid w:val="5F5F41F2"/>
    <w:rsid w:val="5F5F4B0A"/>
    <w:rsid w:val="5F5F4D68"/>
    <w:rsid w:val="5F5F4E16"/>
    <w:rsid w:val="5F5F6BC4"/>
    <w:rsid w:val="5F604A67"/>
    <w:rsid w:val="5F6056AA"/>
    <w:rsid w:val="5F6060D2"/>
    <w:rsid w:val="5F606F74"/>
    <w:rsid w:val="5F611700"/>
    <w:rsid w:val="5F6134BC"/>
    <w:rsid w:val="5F613AD9"/>
    <w:rsid w:val="5F6142AC"/>
    <w:rsid w:val="5F630D70"/>
    <w:rsid w:val="5F636DB1"/>
    <w:rsid w:val="5F641F4D"/>
    <w:rsid w:val="5F643E1A"/>
    <w:rsid w:val="5F6441DB"/>
    <w:rsid w:val="5F644418"/>
    <w:rsid w:val="5F6474EC"/>
    <w:rsid w:val="5F652B85"/>
    <w:rsid w:val="5F65471B"/>
    <w:rsid w:val="5F654A3B"/>
    <w:rsid w:val="5F661D01"/>
    <w:rsid w:val="5F6649D0"/>
    <w:rsid w:val="5F6678AD"/>
    <w:rsid w:val="5F67508F"/>
    <w:rsid w:val="5F675EC1"/>
    <w:rsid w:val="5F6771E5"/>
    <w:rsid w:val="5F683CCB"/>
    <w:rsid w:val="5F6849E3"/>
    <w:rsid w:val="5F685A79"/>
    <w:rsid w:val="5F6917F1"/>
    <w:rsid w:val="5F692271"/>
    <w:rsid w:val="5F69359F"/>
    <w:rsid w:val="5F6B47EE"/>
    <w:rsid w:val="5F6B5281"/>
    <w:rsid w:val="5F6B7317"/>
    <w:rsid w:val="5F6C171E"/>
    <w:rsid w:val="5F6C74B4"/>
    <w:rsid w:val="5F6D12E1"/>
    <w:rsid w:val="5F6D7533"/>
    <w:rsid w:val="5F6E2102"/>
    <w:rsid w:val="5F6E6B3C"/>
    <w:rsid w:val="5F6E6E08"/>
    <w:rsid w:val="5F6F45FF"/>
    <w:rsid w:val="5F6F60D7"/>
    <w:rsid w:val="5F706AF9"/>
    <w:rsid w:val="5F7146AA"/>
    <w:rsid w:val="5F7206A6"/>
    <w:rsid w:val="5F722D1C"/>
    <w:rsid w:val="5F723A2A"/>
    <w:rsid w:val="5F724B4A"/>
    <w:rsid w:val="5F7408C2"/>
    <w:rsid w:val="5F742670"/>
    <w:rsid w:val="5F7446F7"/>
    <w:rsid w:val="5F745D18"/>
    <w:rsid w:val="5F747927"/>
    <w:rsid w:val="5F751094"/>
    <w:rsid w:val="5F751F44"/>
    <w:rsid w:val="5F754E2E"/>
    <w:rsid w:val="5F76011A"/>
    <w:rsid w:val="5F767411"/>
    <w:rsid w:val="5F770048"/>
    <w:rsid w:val="5F772160"/>
    <w:rsid w:val="5F775CBC"/>
    <w:rsid w:val="5F776C90"/>
    <w:rsid w:val="5F787E59"/>
    <w:rsid w:val="5F791132"/>
    <w:rsid w:val="5F7923C6"/>
    <w:rsid w:val="5F795ED8"/>
    <w:rsid w:val="5F7A00AE"/>
    <w:rsid w:val="5F7A0282"/>
    <w:rsid w:val="5F7A1C50"/>
    <w:rsid w:val="5F7A755A"/>
    <w:rsid w:val="5F7B2BA2"/>
    <w:rsid w:val="5F7B6E87"/>
    <w:rsid w:val="5F7C1C35"/>
    <w:rsid w:val="5F7C3A26"/>
    <w:rsid w:val="5F7C4032"/>
    <w:rsid w:val="5F7D0A85"/>
    <w:rsid w:val="5F7D0D70"/>
    <w:rsid w:val="5F7D704B"/>
    <w:rsid w:val="5F7E0093"/>
    <w:rsid w:val="5F7E0680"/>
    <w:rsid w:val="5F7E2C64"/>
    <w:rsid w:val="5F7E6055"/>
    <w:rsid w:val="5F7E7B72"/>
    <w:rsid w:val="5F7F2DC3"/>
    <w:rsid w:val="5F7F7267"/>
    <w:rsid w:val="5F8057DF"/>
    <w:rsid w:val="5F806B81"/>
    <w:rsid w:val="5F8108E9"/>
    <w:rsid w:val="5F8148D1"/>
    <w:rsid w:val="5F814D8D"/>
    <w:rsid w:val="5F816B3B"/>
    <w:rsid w:val="5F824CD8"/>
    <w:rsid w:val="5F827EA4"/>
    <w:rsid w:val="5F830B05"/>
    <w:rsid w:val="5F8328B3"/>
    <w:rsid w:val="5F841E36"/>
    <w:rsid w:val="5F844466"/>
    <w:rsid w:val="5F855395"/>
    <w:rsid w:val="5F857331"/>
    <w:rsid w:val="5F860448"/>
    <w:rsid w:val="5F861AB1"/>
    <w:rsid w:val="5F8623A3"/>
    <w:rsid w:val="5F867A84"/>
    <w:rsid w:val="5F867CB5"/>
    <w:rsid w:val="5F87348C"/>
    <w:rsid w:val="5F875435"/>
    <w:rsid w:val="5F876D53"/>
    <w:rsid w:val="5F8806D7"/>
    <w:rsid w:val="5F881C77"/>
    <w:rsid w:val="5F883D16"/>
    <w:rsid w:val="5F887EC9"/>
    <w:rsid w:val="5F891EBB"/>
    <w:rsid w:val="5F893C41"/>
    <w:rsid w:val="5F8959EF"/>
    <w:rsid w:val="5F8A09FF"/>
    <w:rsid w:val="5F8A1E93"/>
    <w:rsid w:val="5F8B1768"/>
    <w:rsid w:val="5F8B1A27"/>
    <w:rsid w:val="5F8B5FE8"/>
    <w:rsid w:val="5F8B6E5C"/>
    <w:rsid w:val="5F8C2C68"/>
    <w:rsid w:val="5F8C45E2"/>
    <w:rsid w:val="5F8C712D"/>
    <w:rsid w:val="5F8D18E8"/>
    <w:rsid w:val="5F8D1972"/>
    <w:rsid w:val="5F8D1984"/>
    <w:rsid w:val="5F8E05B4"/>
    <w:rsid w:val="5F8E2104"/>
    <w:rsid w:val="5F8E3006"/>
    <w:rsid w:val="5F8E7A52"/>
    <w:rsid w:val="5F8F3BE9"/>
    <w:rsid w:val="5F8F74AA"/>
    <w:rsid w:val="5F9024A8"/>
    <w:rsid w:val="5F903222"/>
    <w:rsid w:val="5F903DA8"/>
    <w:rsid w:val="5F911F8F"/>
    <w:rsid w:val="5F9128AE"/>
    <w:rsid w:val="5F913AA4"/>
    <w:rsid w:val="5F913B35"/>
    <w:rsid w:val="5F920D48"/>
    <w:rsid w:val="5F93061C"/>
    <w:rsid w:val="5F93256A"/>
    <w:rsid w:val="5F933EDA"/>
    <w:rsid w:val="5F9342D3"/>
    <w:rsid w:val="5F93632D"/>
    <w:rsid w:val="5F9368D1"/>
    <w:rsid w:val="5F94609C"/>
    <w:rsid w:val="5F9525E6"/>
    <w:rsid w:val="5F9575E2"/>
    <w:rsid w:val="5F966400"/>
    <w:rsid w:val="5F97010C"/>
    <w:rsid w:val="5F970C3A"/>
    <w:rsid w:val="5F9745B0"/>
    <w:rsid w:val="5F975C34"/>
    <w:rsid w:val="5F97635E"/>
    <w:rsid w:val="5F976D51"/>
    <w:rsid w:val="5F98227E"/>
    <w:rsid w:val="5F987EBA"/>
    <w:rsid w:val="5F990328"/>
    <w:rsid w:val="5F9920D6"/>
    <w:rsid w:val="5F9A19AB"/>
    <w:rsid w:val="5F9A7BFD"/>
    <w:rsid w:val="5F9C303A"/>
    <w:rsid w:val="5F9C3975"/>
    <w:rsid w:val="5F9C6C04"/>
    <w:rsid w:val="5F9C78F5"/>
    <w:rsid w:val="5F9D2979"/>
    <w:rsid w:val="5F9D4AAC"/>
    <w:rsid w:val="5F9E3772"/>
    <w:rsid w:val="5F9F3465"/>
    <w:rsid w:val="5FA07358"/>
    <w:rsid w:val="5FA14874"/>
    <w:rsid w:val="5FA15FFE"/>
    <w:rsid w:val="5FA171DD"/>
    <w:rsid w:val="5FA17DC3"/>
    <w:rsid w:val="5FA26B43"/>
    <w:rsid w:val="5FA271DE"/>
    <w:rsid w:val="5FA34D03"/>
    <w:rsid w:val="5FA36AB1"/>
    <w:rsid w:val="5FA36C54"/>
    <w:rsid w:val="5FA37C40"/>
    <w:rsid w:val="5FA37E8E"/>
    <w:rsid w:val="5FA40660"/>
    <w:rsid w:val="5FA41DAE"/>
    <w:rsid w:val="5FA43A47"/>
    <w:rsid w:val="5FA51D48"/>
    <w:rsid w:val="5FA6034F"/>
    <w:rsid w:val="5FA63778"/>
    <w:rsid w:val="5FA647F3"/>
    <w:rsid w:val="5FA665A1"/>
    <w:rsid w:val="5FA7490E"/>
    <w:rsid w:val="5FA806F1"/>
    <w:rsid w:val="5FA83300"/>
    <w:rsid w:val="5FA840C8"/>
    <w:rsid w:val="5FA94EE4"/>
    <w:rsid w:val="5FA97224"/>
    <w:rsid w:val="5FA97E40"/>
    <w:rsid w:val="5FAA7382"/>
    <w:rsid w:val="5FAB0CC9"/>
    <w:rsid w:val="5FAB1E0A"/>
    <w:rsid w:val="5FAB2AE4"/>
    <w:rsid w:val="5FAC6E83"/>
    <w:rsid w:val="5FAD45A1"/>
    <w:rsid w:val="5FAD6818"/>
    <w:rsid w:val="5FAF29D0"/>
    <w:rsid w:val="5FB011CE"/>
    <w:rsid w:val="5FB0504C"/>
    <w:rsid w:val="5FB06DFC"/>
    <w:rsid w:val="5FB06F24"/>
    <w:rsid w:val="5FB112FA"/>
    <w:rsid w:val="5FB15AF3"/>
    <w:rsid w:val="5FB20A5E"/>
    <w:rsid w:val="5FB213EA"/>
    <w:rsid w:val="5FB23198"/>
    <w:rsid w:val="5FB24F46"/>
    <w:rsid w:val="5FB300D5"/>
    <w:rsid w:val="5FB30413"/>
    <w:rsid w:val="5FB32A6C"/>
    <w:rsid w:val="5FB37165"/>
    <w:rsid w:val="5FB40CBE"/>
    <w:rsid w:val="5FB40D7F"/>
    <w:rsid w:val="5FB415AB"/>
    <w:rsid w:val="5FB43246"/>
    <w:rsid w:val="5FB43BF2"/>
    <w:rsid w:val="5FB52740"/>
    <w:rsid w:val="5FB52C88"/>
    <w:rsid w:val="5FB55904"/>
    <w:rsid w:val="5FB567E4"/>
    <w:rsid w:val="5FB66D94"/>
    <w:rsid w:val="5FB7255D"/>
    <w:rsid w:val="5FB75653"/>
    <w:rsid w:val="5FB75FD7"/>
    <w:rsid w:val="5FB806C6"/>
    <w:rsid w:val="5FB837BB"/>
    <w:rsid w:val="5FB87366"/>
    <w:rsid w:val="5FB87C1B"/>
    <w:rsid w:val="5FB91EA8"/>
    <w:rsid w:val="5FB9227A"/>
    <w:rsid w:val="5FB95739"/>
    <w:rsid w:val="5FB9731C"/>
    <w:rsid w:val="5FB97663"/>
    <w:rsid w:val="5FBA034F"/>
    <w:rsid w:val="5FBA3DFB"/>
    <w:rsid w:val="5FBA3FD4"/>
    <w:rsid w:val="5FBA5903"/>
    <w:rsid w:val="5FBA63E8"/>
    <w:rsid w:val="5FBB135F"/>
    <w:rsid w:val="5FBC1B20"/>
    <w:rsid w:val="5FBC4017"/>
    <w:rsid w:val="5FBC7B73"/>
    <w:rsid w:val="5FBE1B3D"/>
    <w:rsid w:val="5FBE38EB"/>
    <w:rsid w:val="5FBE5526"/>
    <w:rsid w:val="5FBE6CBA"/>
    <w:rsid w:val="5FBF0D56"/>
    <w:rsid w:val="5FC00C22"/>
    <w:rsid w:val="5FC01DA8"/>
    <w:rsid w:val="5FC02A17"/>
    <w:rsid w:val="5FC03B07"/>
    <w:rsid w:val="5FC112D6"/>
    <w:rsid w:val="5FC1162D"/>
    <w:rsid w:val="5FC1264B"/>
    <w:rsid w:val="5FC133DB"/>
    <w:rsid w:val="5FC213FE"/>
    <w:rsid w:val="5FC25281"/>
    <w:rsid w:val="5FC31A26"/>
    <w:rsid w:val="5FC375DF"/>
    <w:rsid w:val="5FC37F08"/>
    <w:rsid w:val="5FC41398"/>
    <w:rsid w:val="5FC43DE5"/>
    <w:rsid w:val="5FC44C79"/>
    <w:rsid w:val="5FC47C57"/>
    <w:rsid w:val="5FC51698"/>
    <w:rsid w:val="5FC53665"/>
    <w:rsid w:val="5FC53AF5"/>
    <w:rsid w:val="5FC54A9A"/>
    <w:rsid w:val="5FC61376"/>
    <w:rsid w:val="5FC63166"/>
    <w:rsid w:val="5FC63CB8"/>
    <w:rsid w:val="5FC645A9"/>
    <w:rsid w:val="5FC64B39"/>
    <w:rsid w:val="5FC65386"/>
    <w:rsid w:val="5FC66C44"/>
    <w:rsid w:val="5FC77002"/>
    <w:rsid w:val="5FC80F6F"/>
    <w:rsid w:val="5FC8147B"/>
    <w:rsid w:val="5FC85D8B"/>
    <w:rsid w:val="5FC861FC"/>
    <w:rsid w:val="5FC86518"/>
    <w:rsid w:val="5FCA669A"/>
    <w:rsid w:val="5FCB6008"/>
    <w:rsid w:val="5FCB7846"/>
    <w:rsid w:val="5FCC24AC"/>
    <w:rsid w:val="5FCD3B2E"/>
    <w:rsid w:val="5FCD6066"/>
    <w:rsid w:val="5FCE1877"/>
    <w:rsid w:val="5FCE501B"/>
    <w:rsid w:val="5FCF2B9E"/>
    <w:rsid w:val="5FCF5AF8"/>
    <w:rsid w:val="5FCF78A6"/>
    <w:rsid w:val="5FCF7D0E"/>
    <w:rsid w:val="5FD01870"/>
    <w:rsid w:val="5FD01DB1"/>
    <w:rsid w:val="5FD21144"/>
    <w:rsid w:val="5FD25B63"/>
    <w:rsid w:val="5FD27396"/>
    <w:rsid w:val="5FD33831"/>
    <w:rsid w:val="5FD40E0A"/>
    <w:rsid w:val="5FD4235B"/>
    <w:rsid w:val="5FD4310E"/>
    <w:rsid w:val="5FD4359B"/>
    <w:rsid w:val="5FD62FC2"/>
    <w:rsid w:val="5FD6479B"/>
    <w:rsid w:val="5FD65CC0"/>
    <w:rsid w:val="5FD72BFF"/>
    <w:rsid w:val="5FD745BE"/>
    <w:rsid w:val="5FD749AD"/>
    <w:rsid w:val="5FD76942"/>
    <w:rsid w:val="5FD82511"/>
    <w:rsid w:val="5FD82805"/>
    <w:rsid w:val="5FD87BEB"/>
    <w:rsid w:val="5FD902E5"/>
    <w:rsid w:val="5FD92098"/>
    <w:rsid w:val="5FD92EA7"/>
    <w:rsid w:val="5FDA35BE"/>
    <w:rsid w:val="5FDA624B"/>
    <w:rsid w:val="5FDC2A2C"/>
    <w:rsid w:val="5FDC6467"/>
    <w:rsid w:val="5FDD1B83"/>
    <w:rsid w:val="5FDD570E"/>
    <w:rsid w:val="5FDE3539"/>
    <w:rsid w:val="5FDE3F8D"/>
    <w:rsid w:val="5FDE4793"/>
    <w:rsid w:val="5FDE4B10"/>
    <w:rsid w:val="5FDE5D3B"/>
    <w:rsid w:val="5FDF741C"/>
    <w:rsid w:val="5FDF7968"/>
    <w:rsid w:val="5FDF7A51"/>
    <w:rsid w:val="5FE00D6D"/>
    <w:rsid w:val="5FE00DBF"/>
    <w:rsid w:val="5FE05E10"/>
    <w:rsid w:val="5FE11BB4"/>
    <w:rsid w:val="5FE11D50"/>
    <w:rsid w:val="5FE13A7D"/>
    <w:rsid w:val="5FE1582B"/>
    <w:rsid w:val="5FE17AB4"/>
    <w:rsid w:val="5FE22CC2"/>
    <w:rsid w:val="5FE33352"/>
    <w:rsid w:val="5FE377F5"/>
    <w:rsid w:val="5FE43A1F"/>
    <w:rsid w:val="5FE45E99"/>
    <w:rsid w:val="5FE47241"/>
    <w:rsid w:val="5FE5356E"/>
    <w:rsid w:val="5FE570CA"/>
    <w:rsid w:val="5FE57A29"/>
    <w:rsid w:val="5FE61094"/>
    <w:rsid w:val="5FE626E7"/>
    <w:rsid w:val="5FE64BF0"/>
    <w:rsid w:val="5FE700E0"/>
    <w:rsid w:val="5FE80793"/>
    <w:rsid w:val="5FE80968"/>
    <w:rsid w:val="5FE84E0C"/>
    <w:rsid w:val="5FE95750"/>
    <w:rsid w:val="5FE9663B"/>
    <w:rsid w:val="5FEA12FA"/>
    <w:rsid w:val="5FEA2184"/>
    <w:rsid w:val="5FEA2932"/>
    <w:rsid w:val="5FEA6F81"/>
    <w:rsid w:val="5FEB2206"/>
    <w:rsid w:val="5FEB66AA"/>
    <w:rsid w:val="5FEB7114"/>
    <w:rsid w:val="5FEC21E6"/>
    <w:rsid w:val="5FEC48FC"/>
    <w:rsid w:val="5FED22F2"/>
    <w:rsid w:val="5FED2422"/>
    <w:rsid w:val="5FED762F"/>
    <w:rsid w:val="5FEE2C38"/>
    <w:rsid w:val="5FEE3FDA"/>
    <w:rsid w:val="5FEF5A95"/>
    <w:rsid w:val="5FF05A6E"/>
    <w:rsid w:val="5FF1132B"/>
    <w:rsid w:val="5FF210B5"/>
    <w:rsid w:val="5FF3293C"/>
    <w:rsid w:val="5FF41624"/>
    <w:rsid w:val="5FF41DC1"/>
    <w:rsid w:val="5FF437B1"/>
    <w:rsid w:val="5FF4555F"/>
    <w:rsid w:val="5FF53085"/>
    <w:rsid w:val="5FF612D7"/>
    <w:rsid w:val="5FF636EE"/>
    <w:rsid w:val="5FF67529"/>
    <w:rsid w:val="5FF6759A"/>
    <w:rsid w:val="5FF843E0"/>
    <w:rsid w:val="5FF855BF"/>
    <w:rsid w:val="5FF85DDC"/>
    <w:rsid w:val="5FF90DC7"/>
    <w:rsid w:val="5FF91577"/>
    <w:rsid w:val="5FF94923"/>
    <w:rsid w:val="5FFA069B"/>
    <w:rsid w:val="5FFA4DA1"/>
    <w:rsid w:val="5FFB0776"/>
    <w:rsid w:val="5FFB17CF"/>
    <w:rsid w:val="5FFB68ED"/>
    <w:rsid w:val="5FFC08B7"/>
    <w:rsid w:val="5FFC2665"/>
    <w:rsid w:val="5FFC4413"/>
    <w:rsid w:val="5FFC6958"/>
    <w:rsid w:val="5FFD0829"/>
    <w:rsid w:val="5FFD1688"/>
    <w:rsid w:val="5FFE018B"/>
    <w:rsid w:val="5FFE462F"/>
    <w:rsid w:val="5FFE63DD"/>
    <w:rsid w:val="5FFE70EC"/>
    <w:rsid w:val="5FFF5CB2"/>
    <w:rsid w:val="60002CB9"/>
    <w:rsid w:val="600052D9"/>
    <w:rsid w:val="60007EAA"/>
    <w:rsid w:val="60010CF2"/>
    <w:rsid w:val="60011A2A"/>
    <w:rsid w:val="600227CA"/>
    <w:rsid w:val="60025ECE"/>
    <w:rsid w:val="60031327"/>
    <w:rsid w:val="600339F4"/>
    <w:rsid w:val="60036265"/>
    <w:rsid w:val="60037524"/>
    <w:rsid w:val="600523E9"/>
    <w:rsid w:val="600532C8"/>
    <w:rsid w:val="6005776C"/>
    <w:rsid w:val="60067040"/>
    <w:rsid w:val="60073A6B"/>
    <w:rsid w:val="60075313"/>
    <w:rsid w:val="60076DA2"/>
    <w:rsid w:val="600807F3"/>
    <w:rsid w:val="6008663C"/>
    <w:rsid w:val="60091E1E"/>
    <w:rsid w:val="6009588A"/>
    <w:rsid w:val="600A2FD4"/>
    <w:rsid w:val="600A4D82"/>
    <w:rsid w:val="600B04A8"/>
    <w:rsid w:val="600B28A8"/>
    <w:rsid w:val="600B4656"/>
    <w:rsid w:val="600B63C8"/>
    <w:rsid w:val="600C0AFA"/>
    <w:rsid w:val="600C4F71"/>
    <w:rsid w:val="600C5134"/>
    <w:rsid w:val="600D03CE"/>
    <w:rsid w:val="600D2E68"/>
    <w:rsid w:val="600E388E"/>
    <w:rsid w:val="600E3CC0"/>
    <w:rsid w:val="600E4FC7"/>
    <w:rsid w:val="600F05EB"/>
    <w:rsid w:val="600F393E"/>
    <w:rsid w:val="600F4147"/>
    <w:rsid w:val="600F51A1"/>
    <w:rsid w:val="600F690F"/>
    <w:rsid w:val="600F797D"/>
    <w:rsid w:val="6010799F"/>
    <w:rsid w:val="60107EBF"/>
    <w:rsid w:val="60116111"/>
    <w:rsid w:val="601170CA"/>
    <w:rsid w:val="60117463"/>
    <w:rsid w:val="6012222A"/>
    <w:rsid w:val="601222BF"/>
    <w:rsid w:val="60123798"/>
    <w:rsid w:val="60123C37"/>
    <w:rsid w:val="601242CB"/>
    <w:rsid w:val="601259E5"/>
    <w:rsid w:val="60126860"/>
    <w:rsid w:val="60126C71"/>
    <w:rsid w:val="60135574"/>
    <w:rsid w:val="6014175D"/>
    <w:rsid w:val="60145C01"/>
    <w:rsid w:val="601479AF"/>
    <w:rsid w:val="60160219"/>
    <w:rsid w:val="60163727"/>
    <w:rsid w:val="60165A76"/>
    <w:rsid w:val="6017113C"/>
    <w:rsid w:val="6017124D"/>
    <w:rsid w:val="601721F9"/>
    <w:rsid w:val="6017749F"/>
    <w:rsid w:val="6017753B"/>
    <w:rsid w:val="601851FB"/>
    <w:rsid w:val="601918C7"/>
    <w:rsid w:val="60193217"/>
    <w:rsid w:val="60194FC5"/>
    <w:rsid w:val="60195438"/>
    <w:rsid w:val="60196D73"/>
    <w:rsid w:val="601975C1"/>
    <w:rsid w:val="601A3BE2"/>
    <w:rsid w:val="601B0D3D"/>
    <w:rsid w:val="601B2AEB"/>
    <w:rsid w:val="601C3030"/>
    <w:rsid w:val="601C6864"/>
    <w:rsid w:val="601D2D07"/>
    <w:rsid w:val="601E438A"/>
    <w:rsid w:val="601E44FA"/>
    <w:rsid w:val="601F12F0"/>
    <w:rsid w:val="601F1CF2"/>
    <w:rsid w:val="601F633C"/>
    <w:rsid w:val="60200102"/>
    <w:rsid w:val="60200738"/>
    <w:rsid w:val="60203A5F"/>
    <w:rsid w:val="60206354"/>
    <w:rsid w:val="602108FC"/>
    <w:rsid w:val="60210924"/>
    <w:rsid w:val="60211B97"/>
    <w:rsid w:val="602128D8"/>
    <w:rsid w:val="60213E7A"/>
    <w:rsid w:val="6022031E"/>
    <w:rsid w:val="60220673"/>
    <w:rsid w:val="60222667"/>
    <w:rsid w:val="60233244"/>
    <w:rsid w:val="60237BF2"/>
    <w:rsid w:val="60241192"/>
    <w:rsid w:val="60242AFC"/>
    <w:rsid w:val="60243309"/>
    <w:rsid w:val="60255718"/>
    <w:rsid w:val="60256EC1"/>
    <w:rsid w:val="60261BC5"/>
    <w:rsid w:val="60264CC4"/>
    <w:rsid w:val="60275934"/>
    <w:rsid w:val="60276087"/>
    <w:rsid w:val="602776E2"/>
    <w:rsid w:val="602816AC"/>
    <w:rsid w:val="602820DB"/>
    <w:rsid w:val="60290D41"/>
    <w:rsid w:val="6029789A"/>
    <w:rsid w:val="602A0546"/>
    <w:rsid w:val="602A2D2E"/>
    <w:rsid w:val="602A71D2"/>
    <w:rsid w:val="602B194E"/>
    <w:rsid w:val="602B19D6"/>
    <w:rsid w:val="602B3C1B"/>
    <w:rsid w:val="602B6AA7"/>
    <w:rsid w:val="602B7D47"/>
    <w:rsid w:val="602C2F4B"/>
    <w:rsid w:val="602C3463"/>
    <w:rsid w:val="602C4CF9"/>
    <w:rsid w:val="602C60E9"/>
    <w:rsid w:val="602E02DB"/>
    <w:rsid w:val="602E0357"/>
    <w:rsid w:val="602F2A3B"/>
    <w:rsid w:val="60302D59"/>
    <w:rsid w:val="603103D8"/>
    <w:rsid w:val="60310561"/>
    <w:rsid w:val="603113C8"/>
    <w:rsid w:val="6031230F"/>
    <w:rsid w:val="60320310"/>
    <w:rsid w:val="60321F3D"/>
    <w:rsid w:val="60322627"/>
    <w:rsid w:val="603259FB"/>
    <w:rsid w:val="603307F1"/>
    <w:rsid w:val="603323C3"/>
    <w:rsid w:val="60340051"/>
    <w:rsid w:val="60341DFF"/>
    <w:rsid w:val="60343BAD"/>
    <w:rsid w:val="6035022A"/>
    <w:rsid w:val="603514B1"/>
    <w:rsid w:val="603552AE"/>
    <w:rsid w:val="60362700"/>
    <w:rsid w:val="60367925"/>
    <w:rsid w:val="60371312"/>
    <w:rsid w:val="6037369D"/>
    <w:rsid w:val="60377279"/>
    <w:rsid w:val="603820C1"/>
    <w:rsid w:val="60382E46"/>
    <w:rsid w:val="60384811"/>
    <w:rsid w:val="603948F1"/>
    <w:rsid w:val="60395667"/>
    <w:rsid w:val="60395964"/>
    <w:rsid w:val="603962A1"/>
    <w:rsid w:val="603A1A0D"/>
    <w:rsid w:val="603A3D75"/>
    <w:rsid w:val="603A5DA5"/>
    <w:rsid w:val="603B0F14"/>
    <w:rsid w:val="603B13E0"/>
    <w:rsid w:val="603B4F3C"/>
    <w:rsid w:val="603C0CB4"/>
    <w:rsid w:val="603C5EA0"/>
    <w:rsid w:val="603C6CB2"/>
    <w:rsid w:val="603E0A66"/>
    <w:rsid w:val="603E2C7E"/>
    <w:rsid w:val="603E670B"/>
    <w:rsid w:val="604007A4"/>
    <w:rsid w:val="60402552"/>
    <w:rsid w:val="60404FE1"/>
    <w:rsid w:val="604069F6"/>
    <w:rsid w:val="60413BFC"/>
    <w:rsid w:val="604162CA"/>
    <w:rsid w:val="6042508C"/>
    <w:rsid w:val="60425D9E"/>
    <w:rsid w:val="60430294"/>
    <w:rsid w:val="604310ED"/>
    <w:rsid w:val="6043202A"/>
    <w:rsid w:val="60433DF0"/>
    <w:rsid w:val="604359C9"/>
    <w:rsid w:val="604364E6"/>
    <w:rsid w:val="6044257D"/>
    <w:rsid w:val="6044650F"/>
    <w:rsid w:val="604472A7"/>
    <w:rsid w:val="604511C2"/>
    <w:rsid w:val="60455DBA"/>
    <w:rsid w:val="604568F3"/>
    <w:rsid w:val="60457B68"/>
    <w:rsid w:val="604611AF"/>
    <w:rsid w:val="604638E0"/>
    <w:rsid w:val="60471B32"/>
    <w:rsid w:val="604817B1"/>
    <w:rsid w:val="60483AFC"/>
    <w:rsid w:val="604850D1"/>
    <w:rsid w:val="60486C22"/>
    <w:rsid w:val="60487659"/>
    <w:rsid w:val="60495B9B"/>
    <w:rsid w:val="604A041B"/>
    <w:rsid w:val="604A1623"/>
    <w:rsid w:val="604A2238"/>
    <w:rsid w:val="604A33D1"/>
    <w:rsid w:val="604B4B42"/>
    <w:rsid w:val="604B787F"/>
    <w:rsid w:val="604C539B"/>
    <w:rsid w:val="604C7401"/>
    <w:rsid w:val="604C787F"/>
    <w:rsid w:val="604D2A75"/>
    <w:rsid w:val="604E5F51"/>
    <w:rsid w:val="604F09E7"/>
    <w:rsid w:val="604F5CFA"/>
    <w:rsid w:val="604F6C39"/>
    <w:rsid w:val="60504E32"/>
    <w:rsid w:val="6051475F"/>
    <w:rsid w:val="605149B5"/>
    <w:rsid w:val="6051650D"/>
    <w:rsid w:val="60517079"/>
    <w:rsid w:val="60520005"/>
    <w:rsid w:val="60522285"/>
    <w:rsid w:val="60523D2F"/>
    <w:rsid w:val="60527815"/>
    <w:rsid w:val="60536729"/>
    <w:rsid w:val="60540907"/>
    <w:rsid w:val="6055023C"/>
    <w:rsid w:val="605548AF"/>
    <w:rsid w:val="605553B8"/>
    <w:rsid w:val="60561D75"/>
    <w:rsid w:val="60563B24"/>
    <w:rsid w:val="6056657B"/>
    <w:rsid w:val="60567FC7"/>
    <w:rsid w:val="60570CCE"/>
    <w:rsid w:val="60572681"/>
    <w:rsid w:val="6057730F"/>
    <w:rsid w:val="6057789C"/>
    <w:rsid w:val="60583D40"/>
    <w:rsid w:val="60591866"/>
    <w:rsid w:val="60592711"/>
    <w:rsid w:val="60593614"/>
    <w:rsid w:val="60597AB8"/>
    <w:rsid w:val="605A7EC0"/>
    <w:rsid w:val="605B3AF8"/>
    <w:rsid w:val="605B6670"/>
    <w:rsid w:val="605B738C"/>
    <w:rsid w:val="605C33D5"/>
    <w:rsid w:val="605C4EB2"/>
    <w:rsid w:val="605D1356"/>
    <w:rsid w:val="605D72A0"/>
    <w:rsid w:val="605E3101"/>
    <w:rsid w:val="605E4430"/>
    <w:rsid w:val="605F08C6"/>
    <w:rsid w:val="605F64EC"/>
    <w:rsid w:val="60600E46"/>
    <w:rsid w:val="606049A2"/>
    <w:rsid w:val="60612574"/>
    <w:rsid w:val="6061321E"/>
    <w:rsid w:val="6061537A"/>
    <w:rsid w:val="606250D4"/>
    <w:rsid w:val="6062696C"/>
    <w:rsid w:val="606303E1"/>
    <w:rsid w:val="606326E4"/>
    <w:rsid w:val="606330C7"/>
    <w:rsid w:val="60634711"/>
    <w:rsid w:val="60636240"/>
    <w:rsid w:val="6063655F"/>
    <w:rsid w:val="606379A9"/>
    <w:rsid w:val="60642D4C"/>
    <w:rsid w:val="60651FB9"/>
    <w:rsid w:val="606621B4"/>
    <w:rsid w:val="60667E01"/>
    <w:rsid w:val="606721D5"/>
    <w:rsid w:val="60673F83"/>
    <w:rsid w:val="60675D31"/>
    <w:rsid w:val="6067679E"/>
    <w:rsid w:val="60681D25"/>
    <w:rsid w:val="606841E1"/>
    <w:rsid w:val="60692A07"/>
    <w:rsid w:val="60694D96"/>
    <w:rsid w:val="60695E68"/>
    <w:rsid w:val="6069663A"/>
    <w:rsid w:val="606A2BE1"/>
    <w:rsid w:val="606A3A73"/>
    <w:rsid w:val="606A4A81"/>
    <w:rsid w:val="606A5821"/>
    <w:rsid w:val="606A59D9"/>
    <w:rsid w:val="606B04BE"/>
    <w:rsid w:val="606B1106"/>
    <w:rsid w:val="606B4F11"/>
    <w:rsid w:val="606C1599"/>
    <w:rsid w:val="606C2260"/>
    <w:rsid w:val="606C3EED"/>
    <w:rsid w:val="606C77EB"/>
    <w:rsid w:val="606D4402"/>
    <w:rsid w:val="606D4BCA"/>
    <w:rsid w:val="606D70BF"/>
    <w:rsid w:val="606E3563"/>
    <w:rsid w:val="606E3E56"/>
    <w:rsid w:val="606F03C5"/>
    <w:rsid w:val="606F1089"/>
    <w:rsid w:val="606F2250"/>
    <w:rsid w:val="606F72DB"/>
    <w:rsid w:val="6071159A"/>
    <w:rsid w:val="607130EF"/>
    <w:rsid w:val="60714E01"/>
    <w:rsid w:val="60717428"/>
    <w:rsid w:val="6072384D"/>
    <w:rsid w:val="60726D18"/>
    <w:rsid w:val="60730B79"/>
    <w:rsid w:val="60731389"/>
    <w:rsid w:val="60732927"/>
    <w:rsid w:val="607356A3"/>
    <w:rsid w:val="6074044E"/>
    <w:rsid w:val="60741882"/>
    <w:rsid w:val="607466A0"/>
    <w:rsid w:val="60747F1B"/>
    <w:rsid w:val="6075288F"/>
    <w:rsid w:val="60755CD4"/>
    <w:rsid w:val="607572F6"/>
    <w:rsid w:val="60762418"/>
    <w:rsid w:val="60765F74"/>
    <w:rsid w:val="60771604"/>
    <w:rsid w:val="60771ED2"/>
    <w:rsid w:val="60776672"/>
    <w:rsid w:val="60786190"/>
    <w:rsid w:val="60786C49"/>
    <w:rsid w:val="60791CF4"/>
    <w:rsid w:val="60791F08"/>
    <w:rsid w:val="60795A64"/>
    <w:rsid w:val="607A217D"/>
    <w:rsid w:val="607B1E49"/>
    <w:rsid w:val="607B5C80"/>
    <w:rsid w:val="607B695E"/>
    <w:rsid w:val="607B7A2E"/>
    <w:rsid w:val="607B7ED3"/>
    <w:rsid w:val="607C7302"/>
    <w:rsid w:val="607D37A6"/>
    <w:rsid w:val="607D7ABB"/>
    <w:rsid w:val="607D7CE3"/>
    <w:rsid w:val="607E1196"/>
    <w:rsid w:val="607E12CC"/>
    <w:rsid w:val="607E307A"/>
    <w:rsid w:val="607E751E"/>
    <w:rsid w:val="607E75A5"/>
    <w:rsid w:val="6080050E"/>
    <w:rsid w:val="608021B7"/>
    <w:rsid w:val="60803296"/>
    <w:rsid w:val="6080362F"/>
    <w:rsid w:val="6080389B"/>
    <w:rsid w:val="60803BB5"/>
    <w:rsid w:val="6080630D"/>
    <w:rsid w:val="6081177F"/>
    <w:rsid w:val="60813170"/>
    <w:rsid w:val="6082251F"/>
    <w:rsid w:val="60823374"/>
    <w:rsid w:val="608250F0"/>
    <w:rsid w:val="6082598F"/>
    <w:rsid w:val="6082700E"/>
    <w:rsid w:val="608303E1"/>
    <w:rsid w:val="60847F04"/>
    <w:rsid w:val="608508AD"/>
    <w:rsid w:val="6085252C"/>
    <w:rsid w:val="60854409"/>
    <w:rsid w:val="60856608"/>
    <w:rsid w:val="60856C7A"/>
    <w:rsid w:val="6086585B"/>
    <w:rsid w:val="6087032B"/>
    <w:rsid w:val="6087217C"/>
    <w:rsid w:val="60872860"/>
    <w:rsid w:val="60874625"/>
    <w:rsid w:val="60874E8B"/>
    <w:rsid w:val="60874F14"/>
    <w:rsid w:val="60877315"/>
    <w:rsid w:val="60877AD2"/>
    <w:rsid w:val="6088624C"/>
    <w:rsid w:val="60887821"/>
    <w:rsid w:val="60895CFE"/>
    <w:rsid w:val="60897CDB"/>
    <w:rsid w:val="608A06BD"/>
    <w:rsid w:val="608A1A1F"/>
    <w:rsid w:val="608A3672"/>
    <w:rsid w:val="608A36C4"/>
    <w:rsid w:val="608A4D36"/>
    <w:rsid w:val="608A5121"/>
    <w:rsid w:val="608A5EC3"/>
    <w:rsid w:val="608A67AE"/>
    <w:rsid w:val="608C1F1A"/>
    <w:rsid w:val="608C39E9"/>
    <w:rsid w:val="608C61A1"/>
    <w:rsid w:val="608C78E9"/>
    <w:rsid w:val="608C7AE2"/>
    <w:rsid w:val="608D04CC"/>
    <w:rsid w:val="608D150F"/>
    <w:rsid w:val="608D4E4E"/>
    <w:rsid w:val="608E1741"/>
    <w:rsid w:val="608E59B3"/>
    <w:rsid w:val="608E7761"/>
    <w:rsid w:val="608F232F"/>
    <w:rsid w:val="608F3337"/>
    <w:rsid w:val="608F34D9"/>
    <w:rsid w:val="608F599A"/>
    <w:rsid w:val="608F7035"/>
    <w:rsid w:val="60905A22"/>
    <w:rsid w:val="60913806"/>
    <w:rsid w:val="60917218"/>
    <w:rsid w:val="60917251"/>
    <w:rsid w:val="60932FCA"/>
    <w:rsid w:val="60936B26"/>
    <w:rsid w:val="60941221"/>
    <w:rsid w:val="60942984"/>
    <w:rsid w:val="60951F5B"/>
    <w:rsid w:val="609603C4"/>
    <w:rsid w:val="60961329"/>
    <w:rsid w:val="60963565"/>
    <w:rsid w:val="60964868"/>
    <w:rsid w:val="60966616"/>
    <w:rsid w:val="60967ACB"/>
    <w:rsid w:val="60970049"/>
    <w:rsid w:val="60972238"/>
    <w:rsid w:val="60980395"/>
    <w:rsid w:val="609824F2"/>
    <w:rsid w:val="6098413C"/>
    <w:rsid w:val="60993CF7"/>
    <w:rsid w:val="60994A28"/>
    <w:rsid w:val="609B1E7E"/>
    <w:rsid w:val="609B3C2C"/>
    <w:rsid w:val="609B5927"/>
    <w:rsid w:val="609B59DA"/>
    <w:rsid w:val="609B6EBE"/>
    <w:rsid w:val="609B7BC3"/>
    <w:rsid w:val="609C29CE"/>
    <w:rsid w:val="609D4491"/>
    <w:rsid w:val="609D5BF6"/>
    <w:rsid w:val="609D5CEE"/>
    <w:rsid w:val="609D6F86"/>
    <w:rsid w:val="609E371C"/>
    <w:rsid w:val="609E54CA"/>
    <w:rsid w:val="609F196E"/>
    <w:rsid w:val="60A16871"/>
    <w:rsid w:val="60A17B22"/>
    <w:rsid w:val="60A21910"/>
    <w:rsid w:val="60A21B08"/>
    <w:rsid w:val="60A24FBB"/>
    <w:rsid w:val="60A324CF"/>
    <w:rsid w:val="60A32AE1"/>
    <w:rsid w:val="60A330B5"/>
    <w:rsid w:val="60A35B69"/>
    <w:rsid w:val="60A37532"/>
    <w:rsid w:val="60A45BEC"/>
    <w:rsid w:val="60A45D59"/>
    <w:rsid w:val="60A45FF5"/>
    <w:rsid w:val="60A51E8D"/>
    <w:rsid w:val="60A5232A"/>
    <w:rsid w:val="60A56859"/>
    <w:rsid w:val="60A67800"/>
    <w:rsid w:val="60A709E9"/>
    <w:rsid w:val="60A725D1"/>
    <w:rsid w:val="60A743D0"/>
    <w:rsid w:val="60A800F7"/>
    <w:rsid w:val="60A9117C"/>
    <w:rsid w:val="60AA0313"/>
    <w:rsid w:val="60AA0F20"/>
    <w:rsid w:val="60AA20C1"/>
    <w:rsid w:val="60AA3B27"/>
    <w:rsid w:val="60AB0835"/>
    <w:rsid w:val="60AB322B"/>
    <w:rsid w:val="60AB3537"/>
    <w:rsid w:val="60AB68B3"/>
    <w:rsid w:val="60AB7BA9"/>
    <w:rsid w:val="60AC2024"/>
    <w:rsid w:val="60AC4F3E"/>
    <w:rsid w:val="60AC7BE7"/>
    <w:rsid w:val="60AD570E"/>
    <w:rsid w:val="60AE0C40"/>
    <w:rsid w:val="60AE1BB1"/>
    <w:rsid w:val="60AE3960"/>
    <w:rsid w:val="60AE6D7B"/>
    <w:rsid w:val="60AF1486"/>
    <w:rsid w:val="60AF67DA"/>
    <w:rsid w:val="60AF76D8"/>
    <w:rsid w:val="60B002F2"/>
    <w:rsid w:val="60B01413"/>
    <w:rsid w:val="60B03E3E"/>
    <w:rsid w:val="60B04831"/>
    <w:rsid w:val="60B10DEB"/>
    <w:rsid w:val="60B116A2"/>
    <w:rsid w:val="60B13450"/>
    <w:rsid w:val="60B20813"/>
    <w:rsid w:val="60B3541A"/>
    <w:rsid w:val="60B43920"/>
    <w:rsid w:val="60B46A9C"/>
    <w:rsid w:val="60B46AEE"/>
    <w:rsid w:val="60B476A4"/>
    <w:rsid w:val="60B50CCE"/>
    <w:rsid w:val="60B51CBB"/>
    <w:rsid w:val="60B52E19"/>
    <w:rsid w:val="60B62814"/>
    <w:rsid w:val="60B63FDF"/>
    <w:rsid w:val="60B8658C"/>
    <w:rsid w:val="60BA0443"/>
    <w:rsid w:val="60BA12F1"/>
    <w:rsid w:val="60BA67A8"/>
    <w:rsid w:val="60BB26AF"/>
    <w:rsid w:val="60BB3DF0"/>
    <w:rsid w:val="60BB42CE"/>
    <w:rsid w:val="60BB4C2A"/>
    <w:rsid w:val="60BB607C"/>
    <w:rsid w:val="60BB7D05"/>
    <w:rsid w:val="60BB7F81"/>
    <w:rsid w:val="60BC4A8E"/>
    <w:rsid w:val="60BC7A6F"/>
    <w:rsid w:val="60BD3399"/>
    <w:rsid w:val="60BE791B"/>
    <w:rsid w:val="60BE7ED2"/>
    <w:rsid w:val="60BF3191"/>
    <w:rsid w:val="60BF3DBF"/>
    <w:rsid w:val="60BF5B6D"/>
    <w:rsid w:val="60BF5F24"/>
    <w:rsid w:val="60C004A0"/>
    <w:rsid w:val="60C03693"/>
    <w:rsid w:val="60C0680C"/>
    <w:rsid w:val="60C07C62"/>
    <w:rsid w:val="60C110F2"/>
    <w:rsid w:val="60C1510E"/>
    <w:rsid w:val="60C216B7"/>
    <w:rsid w:val="60C2740B"/>
    <w:rsid w:val="60C34F31"/>
    <w:rsid w:val="60C500DE"/>
    <w:rsid w:val="60C50CA9"/>
    <w:rsid w:val="60C55510"/>
    <w:rsid w:val="60C571DC"/>
    <w:rsid w:val="60C6701F"/>
    <w:rsid w:val="60C677C2"/>
    <w:rsid w:val="60C70EC5"/>
    <w:rsid w:val="60C767CF"/>
    <w:rsid w:val="60C82547"/>
    <w:rsid w:val="60C83358"/>
    <w:rsid w:val="60C87362"/>
    <w:rsid w:val="60C9048C"/>
    <w:rsid w:val="60C90799"/>
    <w:rsid w:val="60C97884"/>
    <w:rsid w:val="60CA4511"/>
    <w:rsid w:val="60CA62C0"/>
    <w:rsid w:val="60CB110D"/>
    <w:rsid w:val="60CB17EC"/>
    <w:rsid w:val="60CB6CDC"/>
    <w:rsid w:val="60CC1962"/>
    <w:rsid w:val="60CC2038"/>
    <w:rsid w:val="60CC405A"/>
    <w:rsid w:val="60CC64DC"/>
    <w:rsid w:val="60CD0216"/>
    <w:rsid w:val="60CD1251"/>
    <w:rsid w:val="60CD14FF"/>
    <w:rsid w:val="60CD5F46"/>
    <w:rsid w:val="60CE0901"/>
    <w:rsid w:val="60CE4002"/>
    <w:rsid w:val="60CE4EFC"/>
    <w:rsid w:val="60CE5DB0"/>
    <w:rsid w:val="60CE7540"/>
    <w:rsid w:val="60CF0CBA"/>
    <w:rsid w:val="60CF0F9E"/>
    <w:rsid w:val="60CF14B0"/>
    <w:rsid w:val="60CF1899"/>
    <w:rsid w:val="60CF2ACE"/>
    <w:rsid w:val="60CF5519"/>
    <w:rsid w:val="60D07D7A"/>
    <w:rsid w:val="60D1170B"/>
    <w:rsid w:val="60D13AF2"/>
    <w:rsid w:val="60D158A0"/>
    <w:rsid w:val="60D175F9"/>
    <w:rsid w:val="60D31618"/>
    <w:rsid w:val="60D32BE4"/>
    <w:rsid w:val="60D331E1"/>
    <w:rsid w:val="60D33AFC"/>
    <w:rsid w:val="60D40EEC"/>
    <w:rsid w:val="60D4395A"/>
    <w:rsid w:val="60D45B6B"/>
    <w:rsid w:val="60D4713E"/>
    <w:rsid w:val="60D55390"/>
    <w:rsid w:val="60D5662D"/>
    <w:rsid w:val="60D62EB6"/>
    <w:rsid w:val="60D811A7"/>
    <w:rsid w:val="60D85C0F"/>
    <w:rsid w:val="60D85EE9"/>
    <w:rsid w:val="60D872C5"/>
    <w:rsid w:val="60D951CD"/>
    <w:rsid w:val="60D96503"/>
    <w:rsid w:val="60DA0809"/>
    <w:rsid w:val="60DA6424"/>
    <w:rsid w:val="60DA70C8"/>
    <w:rsid w:val="60DB04CD"/>
    <w:rsid w:val="60DB1C99"/>
    <w:rsid w:val="60DB227B"/>
    <w:rsid w:val="60DB661A"/>
    <w:rsid w:val="60DB671F"/>
    <w:rsid w:val="60DC0995"/>
    <w:rsid w:val="60DC5CFA"/>
    <w:rsid w:val="60DD16C4"/>
    <w:rsid w:val="60DD2497"/>
    <w:rsid w:val="60DD3FFC"/>
    <w:rsid w:val="60DD4245"/>
    <w:rsid w:val="60DD78F6"/>
    <w:rsid w:val="60DE12A9"/>
    <w:rsid w:val="60DE18D8"/>
    <w:rsid w:val="60DE61D1"/>
    <w:rsid w:val="60DF1D6B"/>
    <w:rsid w:val="60DF43B8"/>
    <w:rsid w:val="60DF620F"/>
    <w:rsid w:val="60DF7018"/>
    <w:rsid w:val="60E03D35"/>
    <w:rsid w:val="60E05509"/>
    <w:rsid w:val="60E13BE5"/>
    <w:rsid w:val="60E13F9A"/>
    <w:rsid w:val="60E2185B"/>
    <w:rsid w:val="60E26F17"/>
    <w:rsid w:val="60E3435C"/>
    <w:rsid w:val="60E35C83"/>
    <w:rsid w:val="60E366F7"/>
    <w:rsid w:val="60E41F7E"/>
    <w:rsid w:val="60E44798"/>
    <w:rsid w:val="60E47381"/>
    <w:rsid w:val="60E50CEA"/>
    <w:rsid w:val="60E5134B"/>
    <w:rsid w:val="60E611A1"/>
    <w:rsid w:val="60E641FB"/>
    <w:rsid w:val="60E655DC"/>
    <w:rsid w:val="60E70C20"/>
    <w:rsid w:val="60E71C3C"/>
    <w:rsid w:val="60E7320C"/>
    <w:rsid w:val="60E750C3"/>
    <w:rsid w:val="60E76E71"/>
    <w:rsid w:val="60E77AF3"/>
    <w:rsid w:val="60E828BF"/>
    <w:rsid w:val="60E91231"/>
    <w:rsid w:val="60E92BEA"/>
    <w:rsid w:val="60E9374C"/>
    <w:rsid w:val="60E9572D"/>
    <w:rsid w:val="60E97472"/>
    <w:rsid w:val="60E9785E"/>
    <w:rsid w:val="60EA02FE"/>
    <w:rsid w:val="60EA0710"/>
    <w:rsid w:val="60EA47E6"/>
    <w:rsid w:val="60EA6962"/>
    <w:rsid w:val="60EA6B31"/>
    <w:rsid w:val="60EA6C76"/>
    <w:rsid w:val="60EB4BB4"/>
    <w:rsid w:val="60EC05A3"/>
    <w:rsid w:val="60EC26DA"/>
    <w:rsid w:val="60EC4488"/>
    <w:rsid w:val="60EC4E87"/>
    <w:rsid w:val="60ED0103"/>
    <w:rsid w:val="60ED39F7"/>
    <w:rsid w:val="60ED40AE"/>
    <w:rsid w:val="60EE0200"/>
    <w:rsid w:val="60EE1FAE"/>
    <w:rsid w:val="60EE69CE"/>
    <w:rsid w:val="60EF159F"/>
    <w:rsid w:val="60EF1651"/>
    <w:rsid w:val="60F03F78"/>
    <w:rsid w:val="60F11A9E"/>
    <w:rsid w:val="60F13EBF"/>
    <w:rsid w:val="60F15600"/>
    <w:rsid w:val="60F22ECF"/>
    <w:rsid w:val="60F31CBA"/>
    <w:rsid w:val="60F33813"/>
    <w:rsid w:val="60F33A68"/>
    <w:rsid w:val="60F35CDF"/>
    <w:rsid w:val="60F361DE"/>
    <w:rsid w:val="60F37A28"/>
    <w:rsid w:val="60F4061E"/>
    <w:rsid w:val="60F42840"/>
    <w:rsid w:val="60F43718"/>
    <w:rsid w:val="60F451ED"/>
    <w:rsid w:val="60F5158E"/>
    <w:rsid w:val="60F55653"/>
    <w:rsid w:val="60F577E0"/>
    <w:rsid w:val="60F60B3E"/>
    <w:rsid w:val="60F614FE"/>
    <w:rsid w:val="60F6318B"/>
    <w:rsid w:val="60F63558"/>
    <w:rsid w:val="60F670B5"/>
    <w:rsid w:val="60F82E2D"/>
    <w:rsid w:val="60F83D92"/>
    <w:rsid w:val="60F91BD1"/>
    <w:rsid w:val="60F92280"/>
    <w:rsid w:val="60F92651"/>
    <w:rsid w:val="60F9429D"/>
    <w:rsid w:val="60F97775"/>
    <w:rsid w:val="60FA0FCC"/>
    <w:rsid w:val="60FA4DF7"/>
    <w:rsid w:val="60FB46CB"/>
    <w:rsid w:val="60FB4FE0"/>
    <w:rsid w:val="60FB5B7C"/>
    <w:rsid w:val="60FB5FDE"/>
    <w:rsid w:val="60FC0FD2"/>
    <w:rsid w:val="60FC1A77"/>
    <w:rsid w:val="60FC2713"/>
    <w:rsid w:val="60FD5FFB"/>
    <w:rsid w:val="60FD60CB"/>
    <w:rsid w:val="60FE0503"/>
    <w:rsid w:val="60FE2B92"/>
    <w:rsid w:val="60FE4A9B"/>
    <w:rsid w:val="60FF1094"/>
    <w:rsid w:val="60FF18EE"/>
    <w:rsid w:val="60FF41BB"/>
    <w:rsid w:val="60FF5F91"/>
    <w:rsid w:val="60FF692F"/>
    <w:rsid w:val="61001CE1"/>
    <w:rsid w:val="61002524"/>
    <w:rsid w:val="61002E67"/>
    <w:rsid w:val="61004584"/>
    <w:rsid w:val="61016185"/>
    <w:rsid w:val="61017934"/>
    <w:rsid w:val="61020728"/>
    <w:rsid w:val="6102084C"/>
    <w:rsid w:val="61021EFD"/>
    <w:rsid w:val="61025A59"/>
    <w:rsid w:val="61027A15"/>
    <w:rsid w:val="61031E51"/>
    <w:rsid w:val="610354DA"/>
    <w:rsid w:val="610362D4"/>
    <w:rsid w:val="610429D0"/>
    <w:rsid w:val="61053DFB"/>
    <w:rsid w:val="610545E4"/>
    <w:rsid w:val="61055A91"/>
    <w:rsid w:val="61060DAA"/>
    <w:rsid w:val="61076A9C"/>
    <w:rsid w:val="610935D6"/>
    <w:rsid w:val="6109530D"/>
    <w:rsid w:val="610A2B60"/>
    <w:rsid w:val="610A4081"/>
    <w:rsid w:val="610A7F77"/>
    <w:rsid w:val="610B122E"/>
    <w:rsid w:val="610B22DF"/>
    <w:rsid w:val="610C0686"/>
    <w:rsid w:val="610C0AD6"/>
    <w:rsid w:val="610C2208"/>
    <w:rsid w:val="610C68D8"/>
    <w:rsid w:val="610D4BAF"/>
    <w:rsid w:val="610E0EE3"/>
    <w:rsid w:val="610E2650"/>
    <w:rsid w:val="610E43FE"/>
    <w:rsid w:val="610E4B69"/>
    <w:rsid w:val="610F0176"/>
    <w:rsid w:val="610F29FC"/>
    <w:rsid w:val="6110284E"/>
    <w:rsid w:val="6110291F"/>
    <w:rsid w:val="6110461A"/>
    <w:rsid w:val="611063C8"/>
    <w:rsid w:val="61111E90"/>
    <w:rsid w:val="61112140"/>
    <w:rsid w:val="61114C61"/>
    <w:rsid w:val="611160B7"/>
    <w:rsid w:val="6111672B"/>
    <w:rsid w:val="61120BCE"/>
    <w:rsid w:val="61127F42"/>
    <w:rsid w:val="611301C4"/>
    <w:rsid w:val="61131A15"/>
    <w:rsid w:val="61134E3C"/>
    <w:rsid w:val="611375EC"/>
    <w:rsid w:val="61151C31"/>
    <w:rsid w:val="6115578D"/>
    <w:rsid w:val="61156B33"/>
    <w:rsid w:val="61163AEC"/>
    <w:rsid w:val="61167757"/>
    <w:rsid w:val="61167A72"/>
    <w:rsid w:val="61172404"/>
    <w:rsid w:val="611804EF"/>
    <w:rsid w:val="61180660"/>
    <w:rsid w:val="61182C11"/>
    <w:rsid w:val="61182CAE"/>
    <w:rsid w:val="6118527D"/>
    <w:rsid w:val="61190EFE"/>
    <w:rsid w:val="61191741"/>
    <w:rsid w:val="6119261D"/>
    <w:rsid w:val="611937A1"/>
    <w:rsid w:val="61193917"/>
    <w:rsid w:val="6119480C"/>
    <w:rsid w:val="611A0FF5"/>
    <w:rsid w:val="611A2DA3"/>
    <w:rsid w:val="611A72B8"/>
    <w:rsid w:val="611B4D6D"/>
    <w:rsid w:val="611C2FBF"/>
    <w:rsid w:val="611C4413"/>
    <w:rsid w:val="611C62AF"/>
    <w:rsid w:val="611D0AE5"/>
    <w:rsid w:val="611D64FB"/>
    <w:rsid w:val="611D6D37"/>
    <w:rsid w:val="611E3D1A"/>
    <w:rsid w:val="611F1E75"/>
    <w:rsid w:val="611F2AAF"/>
    <w:rsid w:val="611F485D"/>
    <w:rsid w:val="611F660B"/>
    <w:rsid w:val="61202383"/>
    <w:rsid w:val="612105D5"/>
    <w:rsid w:val="612131FF"/>
    <w:rsid w:val="612257F7"/>
    <w:rsid w:val="612260FC"/>
    <w:rsid w:val="61233DAC"/>
    <w:rsid w:val="612400C6"/>
    <w:rsid w:val="612410B1"/>
    <w:rsid w:val="61241E74"/>
    <w:rsid w:val="61243C22"/>
    <w:rsid w:val="612449F9"/>
    <w:rsid w:val="61244B31"/>
    <w:rsid w:val="612544C0"/>
    <w:rsid w:val="61261FD1"/>
    <w:rsid w:val="61265BEC"/>
    <w:rsid w:val="61272359"/>
    <w:rsid w:val="61277B74"/>
    <w:rsid w:val="61286B5F"/>
    <w:rsid w:val="6129460F"/>
    <w:rsid w:val="612A1FD4"/>
    <w:rsid w:val="612A3989"/>
    <w:rsid w:val="612A47A4"/>
    <w:rsid w:val="612A4D78"/>
    <w:rsid w:val="612A517C"/>
    <w:rsid w:val="612B2283"/>
    <w:rsid w:val="612B3202"/>
    <w:rsid w:val="612B4E7F"/>
    <w:rsid w:val="612C00B1"/>
    <w:rsid w:val="612C0778"/>
    <w:rsid w:val="612C0D28"/>
    <w:rsid w:val="612C2AD6"/>
    <w:rsid w:val="612D0138"/>
    <w:rsid w:val="612D4ED2"/>
    <w:rsid w:val="612D60B2"/>
    <w:rsid w:val="612E4AA0"/>
    <w:rsid w:val="612E5558"/>
    <w:rsid w:val="612E684E"/>
    <w:rsid w:val="612E71A2"/>
    <w:rsid w:val="612F4DDB"/>
    <w:rsid w:val="613020AA"/>
    <w:rsid w:val="61303A8D"/>
    <w:rsid w:val="61305B3E"/>
    <w:rsid w:val="61306A6A"/>
    <w:rsid w:val="613100ED"/>
    <w:rsid w:val="6131633F"/>
    <w:rsid w:val="613253B3"/>
    <w:rsid w:val="61330309"/>
    <w:rsid w:val="61330A1D"/>
    <w:rsid w:val="613320B7"/>
    <w:rsid w:val="61332EDE"/>
    <w:rsid w:val="61332F5F"/>
    <w:rsid w:val="61333621"/>
    <w:rsid w:val="61340B38"/>
    <w:rsid w:val="61353AE8"/>
    <w:rsid w:val="61357BDD"/>
    <w:rsid w:val="6136158E"/>
    <w:rsid w:val="61370A9E"/>
    <w:rsid w:val="61371BA7"/>
    <w:rsid w:val="613743AE"/>
    <w:rsid w:val="613744C2"/>
    <w:rsid w:val="61377DF9"/>
    <w:rsid w:val="61380774"/>
    <w:rsid w:val="6138147B"/>
    <w:rsid w:val="6138591F"/>
    <w:rsid w:val="613876CD"/>
    <w:rsid w:val="6139475A"/>
    <w:rsid w:val="613A1697"/>
    <w:rsid w:val="613A222C"/>
    <w:rsid w:val="613A3445"/>
    <w:rsid w:val="613A51F3"/>
    <w:rsid w:val="613A57CD"/>
    <w:rsid w:val="613A6A65"/>
    <w:rsid w:val="613B0F6B"/>
    <w:rsid w:val="613C2FAA"/>
    <w:rsid w:val="613C540F"/>
    <w:rsid w:val="613C71BD"/>
    <w:rsid w:val="613C7C9C"/>
    <w:rsid w:val="613D0967"/>
    <w:rsid w:val="613E3956"/>
    <w:rsid w:val="613F280A"/>
    <w:rsid w:val="613F3E7B"/>
    <w:rsid w:val="613F6BCF"/>
    <w:rsid w:val="614001E3"/>
    <w:rsid w:val="61401C26"/>
    <w:rsid w:val="61406582"/>
    <w:rsid w:val="61407937"/>
    <w:rsid w:val="61412A26"/>
    <w:rsid w:val="61412D1A"/>
    <w:rsid w:val="6142054C"/>
    <w:rsid w:val="614211A7"/>
    <w:rsid w:val="61421ECC"/>
    <w:rsid w:val="614220AB"/>
    <w:rsid w:val="614222FA"/>
    <w:rsid w:val="614232B9"/>
    <w:rsid w:val="6142679E"/>
    <w:rsid w:val="61430D8B"/>
    <w:rsid w:val="61440035"/>
    <w:rsid w:val="61442276"/>
    <w:rsid w:val="61442516"/>
    <w:rsid w:val="614432E9"/>
    <w:rsid w:val="61445987"/>
    <w:rsid w:val="61446072"/>
    <w:rsid w:val="61451C22"/>
    <w:rsid w:val="61453B98"/>
    <w:rsid w:val="61454EF5"/>
    <w:rsid w:val="61461DEA"/>
    <w:rsid w:val="61463005"/>
    <w:rsid w:val="61465440"/>
    <w:rsid w:val="61467B38"/>
    <w:rsid w:val="6147343A"/>
    <w:rsid w:val="614744E8"/>
    <w:rsid w:val="6147537E"/>
    <w:rsid w:val="61475B62"/>
    <w:rsid w:val="61477910"/>
    <w:rsid w:val="61483DB4"/>
    <w:rsid w:val="61490499"/>
    <w:rsid w:val="614921AA"/>
    <w:rsid w:val="61495DB3"/>
    <w:rsid w:val="6149614D"/>
    <w:rsid w:val="61497B2C"/>
    <w:rsid w:val="614A01C3"/>
    <w:rsid w:val="614A11D9"/>
    <w:rsid w:val="614A1FE2"/>
    <w:rsid w:val="614A20A0"/>
    <w:rsid w:val="614A6B53"/>
    <w:rsid w:val="614B11AE"/>
    <w:rsid w:val="614B4ACA"/>
    <w:rsid w:val="614B7400"/>
    <w:rsid w:val="614C0FFA"/>
    <w:rsid w:val="614C1E03"/>
    <w:rsid w:val="614C290C"/>
    <w:rsid w:val="614C3178"/>
    <w:rsid w:val="614C3510"/>
    <w:rsid w:val="614C4F26"/>
    <w:rsid w:val="614D13CA"/>
    <w:rsid w:val="614D1FBB"/>
    <w:rsid w:val="614E6EF1"/>
    <w:rsid w:val="614F0C4D"/>
    <w:rsid w:val="61500EBB"/>
    <w:rsid w:val="615014A2"/>
    <w:rsid w:val="61501762"/>
    <w:rsid w:val="61501C59"/>
    <w:rsid w:val="61502C69"/>
    <w:rsid w:val="61503C15"/>
    <w:rsid w:val="61504A17"/>
    <w:rsid w:val="61510813"/>
    <w:rsid w:val="61516932"/>
    <w:rsid w:val="61520D43"/>
    <w:rsid w:val="6152499D"/>
    <w:rsid w:val="615269E1"/>
    <w:rsid w:val="615275C0"/>
    <w:rsid w:val="61531554"/>
    <w:rsid w:val="61532759"/>
    <w:rsid w:val="615362B5"/>
    <w:rsid w:val="615458EC"/>
    <w:rsid w:val="6155202D"/>
    <w:rsid w:val="615525E0"/>
    <w:rsid w:val="615564D1"/>
    <w:rsid w:val="615606BA"/>
    <w:rsid w:val="61567A71"/>
    <w:rsid w:val="61573869"/>
    <w:rsid w:val="61573FF7"/>
    <w:rsid w:val="615747AE"/>
    <w:rsid w:val="61581B1D"/>
    <w:rsid w:val="615838CB"/>
    <w:rsid w:val="6158477C"/>
    <w:rsid w:val="61586D69"/>
    <w:rsid w:val="615A0B52"/>
    <w:rsid w:val="615A11B0"/>
    <w:rsid w:val="615A3846"/>
    <w:rsid w:val="615A5895"/>
    <w:rsid w:val="615A7643"/>
    <w:rsid w:val="615B0137"/>
    <w:rsid w:val="615B2E7E"/>
    <w:rsid w:val="615B3887"/>
    <w:rsid w:val="615C33BC"/>
    <w:rsid w:val="615C4E29"/>
    <w:rsid w:val="615C5723"/>
    <w:rsid w:val="615C6E9A"/>
    <w:rsid w:val="615C785F"/>
    <w:rsid w:val="615D0EE2"/>
    <w:rsid w:val="615E30E7"/>
    <w:rsid w:val="615E35D8"/>
    <w:rsid w:val="615F4C5A"/>
    <w:rsid w:val="61602A7E"/>
    <w:rsid w:val="61602E34"/>
    <w:rsid w:val="61614E76"/>
    <w:rsid w:val="616163FE"/>
    <w:rsid w:val="61621152"/>
    <w:rsid w:val="6162299C"/>
    <w:rsid w:val="6162474A"/>
    <w:rsid w:val="6163002B"/>
    <w:rsid w:val="6164138B"/>
    <w:rsid w:val="61642626"/>
    <w:rsid w:val="61645FDA"/>
    <w:rsid w:val="61661884"/>
    <w:rsid w:val="61664D00"/>
    <w:rsid w:val="61665FE8"/>
    <w:rsid w:val="61666B6D"/>
    <w:rsid w:val="61671D60"/>
    <w:rsid w:val="61675733"/>
    <w:rsid w:val="6167636B"/>
    <w:rsid w:val="61681BEA"/>
    <w:rsid w:val="61686746"/>
    <w:rsid w:val="616926D2"/>
    <w:rsid w:val="616934AB"/>
    <w:rsid w:val="616946B4"/>
    <w:rsid w:val="61696AF2"/>
    <w:rsid w:val="616B1851"/>
    <w:rsid w:val="616B35FF"/>
    <w:rsid w:val="616B39BC"/>
    <w:rsid w:val="616B76C1"/>
    <w:rsid w:val="616C01D1"/>
    <w:rsid w:val="616C15E1"/>
    <w:rsid w:val="616C65B8"/>
    <w:rsid w:val="616C6E0A"/>
    <w:rsid w:val="616C7377"/>
    <w:rsid w:val="616D630B"/>
    <w:rsid w:val="616D69D4"/>
    <w:rsid w:val="616D6A24"/>
    <w:rsid w:val="616D6C84"/>
    <w:rsid w:val="616E0512"/>
    <w:rsid w:val="616E0A2F"/>
    <w:rsid w:val="616E1341"/>
    <w:rsid w:val="616E1494"/>
    <w:rsid w:val="616E30EF"/>
    <w:rsid w:val="616E36C3"/>
    <w:rsid w:val="616E7593"/>
    <w:rsid w:val="616F7C09"/>
    <w:rsid w:val="6170330B"/>
    <w:rsid w:val="617050B9"/>
    <w:rsid w:val="6171498D"/>
    <w:rsid w:val="617167E5"/>
    <w:rsid w:val="61720E31"/>
    <w:rsid w:val="617225D3"/>
    <w:rsid w:val="6172300E"/>
    <w:rsid w:val="6172738C"/>
    <w:rsid w:val="61730705"/>
    <w:rsid w:val="61731105"/>
    <w:rsid w:val="61734BA9"/>
    <w:rsid w:val="61736957"/>
    <w:rsid w:val="61750921"/>
    <w:rsid w:val="61750BDB"/>
    <w:rsid w:val="61752DEE"/>
    <w:rsid w:val="617577CA"/>
    <w:rsid w:val="61761FA3"/>
    <w:rsid w:val="617701F5"/>
    <w:rsid w:val="6177242E"/>
    <w:rsid w:val="61774699"/>
    <w:rsid w:val="617815C5"/>
    <w:rsid w:val="617821BF"/>
    <w:rsid w:val="61791382"/>
    <w:rsid w:val="61792AB6"/>
    <w:rsid w:val="6179398D"/>
    <w:rsid w:val="61796622"/>
    <w:rsid w:val="61797B48"/>
    <w:rsid w:val="617A0FD8"/>
    <w:rsid w:val="617A6251"/>
    <w:rsid w:val="617A7CE6"/>
    <w:rsid w:val="617B1738"/>
    <w:rsid w:val="617B2468"/>
    <w:rsid w:val="617B40F4"/>
    <w:rsid w:val="617B5BB3"/>
    <w:rsid w:val="617C3C84"/>
    <w:rsid w:val="617C5EAF"/>
    <w:rsid w:val="617D1584"/>
    <w:rsid w:val="617D3319"/>
    <w:rsid w:val="617D4D88"/>
    <w:rsid w:val="617D5FC6"/>
    <w:rsid w:val="617D64C9"/>
    <w:rsid w:val="617E1239"/>
    <w:rsid w:val="617E5994"/>
    <w:rsid w:val="617F065B"/>
    <w:rsid w:val="617F354E"/>
    <w:rsid w:val="617F49AB"/>
    <w:rsid w:val="617F70AA"/>
    <w:rsid w:val="61803709"/>
    <w:rsid w:val="61810A39"/>
    <w:rsid w:val="61826FA0"/>
    <w:rsid w:val="618317B8"/>
    <w:rsid w:val="61834DEC"/>
    <w:rsid w:val="61837713"/>
    <w:rsid w:val="61840B64"/>
    <w:rsid w:val="618428D5"/>
    <w:rsid w:val="61844D26"/>
    <w:rsid w:val="61854F26"/>
    <w:rsid w:val="61855328"/>
    <w:rsid w:val="61863437"/>
    <w:rsid w:val="61864D31"/>
    <w:rsid w:val="6186668A"/>
    <w:rsid w:val="618728DF"/>
    <w:rsid w:val="618741B1"/>
    <w:rsid w:val="61874995"/>
    <w:rsid w:val="61880654"/>
    <w:rsid w:val="61882403"/>
    <w:rsid w:val="618835DC"/>
    <w:rsid w:val="618943CD"/>
    <w:rsid w:val="61897F29"/>
    <w:rsid w:val="618A0309"/>
    <w:rsid w:val="618A1160"/>
    <w:rsid w:val="618A42C4"/>
    <w:rsid w:val="618A7B7E"/>
    <w:rsid w:val="618B1F5D"/>
    <w:rsid w:val="618B50F5"/>
    <w:rsid w:val="618B5848"/>
    <w:rsid w:val="618C51BC"/>
    <w:rsid w:val="618E070F"/>
    <w:rsid w:val="618E3791"/>
    <w:rsid w:val="618F5992"/>
    <w:rsid w:val="6190176D"/>
    <w:rsid w:val="61903065"/>
    <w:rsid w:val="61906283"/>
    <w:rsid w:val="61906D29"/>
    <w:rsid w:val="61914972"/>
    <w:rsid w:val="61923281"/>
    <w:rsid w:val="6192502F"/>
    <w:rsid w:val="61926DDD"/>
    <w:rsid w:val="6193125E"/>
    <w:rsid w:val="61932B55"/>
    <w:rsid w:val="61934F21"/>
    <w:rsid w:val="619460CD"/>
    <w:rsid w:val="61952D71"/>
    <w:rsid w:val="619563F8"/>
    <w:rsid w:val="61962CDB"/>
    <w:rsid w:val="619743F4"/>
    <w:rsid w:val="6198016C"/>
    <w:rsid w:val="61981FAA"/>
    <w:rsid w:val="6198407F"/>
    <w:rsid w:val="6198473D"/>
    <w:rsid w:val="619863BE"/>
    <w:rsid w:val="61992DEB"/>
    <w:rsid w:val="61994610"/>
    <w:rsid w:val="61997B04"/>
    <w:rsid w:val="619A05C2"/>
    <w:rsid w:val="619A189C"/>
    <w:rsid w:val="619A292A"/>
    <w:rsid w:val="619A698A"/>
    <w:rsid w:val="619A6E81"/>
    <w:rsid w:val="619B79A5"/>
    <w:rsid w:val="619C1A0A"/>
    <w:rsid w:val="619C3574"/>
    <w:rsid w:val="619C7C5C"/>
    <w:rsid w:val="619E01E9"/>
    <w:rsid w:val="619E1282"/>
    <w:rsid w:val="619E1C26"/>
    <w:rsid w:val="619E5234"/>
    <w:rsid w:val="619F14FA"/>
    <w:rsid w:val="619F2197"/>
    <w:rsid w:val="619F599E"/>
    <w:rsid w:val="619F774C"/>
    <w:rsid w:val="61A07E69"/>
    <w:rsid w:val="61A134C4"/>
    <w:rsid w:val="61A22192"/>
    <w:rsid w:val="61A22D98"/>
    <w:rsid w:val="61A30156"/>
    <w:rsid w:val="61A30FEA"/>
    <w:rsid w:val="61A317D2"/>
    <w:rsid w:val="61A3351F"/>
    <w:rsid w:val="61A3723C"/>
    <w:rsid w:val="61A42FB4"/>
    <w:rsid w:val="61A437AF"/>
    <w:rsid w:val="61A45EA8"/>
    <w:rsid w:val="61A46B11"/>
    <w:rsid w:val="61A5537A"/>
    <w:rsid w:val="61A556D5"/>
    <w:rsid w:val="61A57B04"/>
    <w:rsid w:val="61A61C0B"/>
    <w:rsid w:val="61A620A0"/>
    <w:rsid w:val="61A62889"/>
    <w:rsid w:val="61A66D2D"/>
    <w:rsid w:val="61A67C66"/>
    <w:rsid w:val="61A72B98"/>
    <w:rsid w:val="61A759CB"/>
    <w:rsid w:val="61A84C3A"/>
    <w:rsid w:val="61A905CB"/>
    <w:rsid w:val="61A94127"/>
    <w:rsid w:val="61AA42A2"/>
    <w:rsid w:val="61AB122F"/>
    <w:rsid w:val="61AB211F"/>
    <w:rsid w:val="61AB3BD5"/>
    <w:rsid w:val="61AC3AC3"/>
    <w:rsid w:val="61AC4029"/>
    <w:rsid w:val="61AC54B5"/>
    <w:rsid w:val="61AC5DF7"/>
    <w:rsid w:val="61AC733C"/>
    <w:rsid w:val="61AC7ED6"/>
    <w:rsid w:val="61AD0ECA"/>
    <w:rsid w:val="61AD1E69"/>
    <w:rsid w:val="61AD3F63"/>
    <w:rsid w:val="61AE1C70"/>
    <w:rsid w:val="61AE2CEA"/>
    <w:rsid w:val="61AE52F7"/>
    <w:rsid w:val="61AE798F"/>
    <w:rsid w:val="61AF3E33"/>
    <w:rsid w:val="61AF4217"/>
    <w:rsid w:val="61B01959"/>
    <w:rsid w:val="61B03707"/>
    <w:rsid w:val="61B04DD8"/>
    <w:rsid w:val="61B10243"/>
    <w:rsid w:val="61B14E95"/>
    <w:rsid w:val="61B2122D"/>
    <w:rsid w:val="61B256D1"/>
    <w:rsid w:val="61B26849"/>
    <w:rsid w:val="61B33346"/>
    <w:rsid w:val="61B416DD"/>
    <w:rsid w:val="61B425F9"/>
    <w:rsid w:val="61B431F8"/>
    <w:rsid w:val="61B52ACC"/>
    <w:rsid w:val="61B52D47"/>
    <w:rsid w:val="61B551C2"/>
    <w:rsid w:val="61B56192"/>
    <w:rsid w:val="61B56F70"/>
    <w:rsid w:val="61B63CC9"/>
    <w:rsid w:val="61B70C1F"/>
    <w:rsid w:val="61B741C4"/>
    <w:rsid w:val="61B76844"/>
    <w:rsid w:val="61B825BC"/>
    <w:rsid w:val="61B86174"/>
    <w:rsid w:val="61B873E5"/>
    <w:rsid w:val="61B9080E"/>
    <w:rsid w:val="61B94B9C"/>
    <w:rsid w:val="61B96A60"/>
    <w:rsid w:val="61BA4586"/>
    <w:rsid w:val="61BC043B"/>
    <w:rsid w:val="61BC04B7"/>
    <w:rsid w:val="61BC20AC"/>
    <w:rsid w:val="61BC3E5A"/>
    <w:rsid w:val="61BD4B29"/>
    <w:rsid w:val="61BE2E31"/>
    <w:rsid w:val="61BE4076"/>
    <w:rsid w:val="61BE5C50"/>
    <w:rsid w:val="61BE5E24"/>
    <w:rsid w:val="61BF1C34"/>
    <w:rsid w:val="61BF7310"/>
    <w:rsid w:val="61BF7DEE"/>
    <w:rsid w:val="61C13B66"/>
    <w:rsid w:val="61C15914"/>
    <w:rsid w:val="61C1622C"/>
    <w:rsid w:val="61C176C2"/>
    <w:rsid w:val="61C20E01"/>
    <w:rsid w:val="61C24C36"/>
    <w:rsid w:val="61C251E9"/>
    <w:rsid w:val="61C25D8B"/>
    <w:rsid w:val="61C270B8"/>
    <w:rsid w:val="61C3168D"/>
    <w:rsid w:val="61C41D2A"/>
    <w:rsid w:val="61C420EE"/>
    <w:rsid w:val="61C46181"/>
    <w:rsid w:val="61C471B3"/>
    <w:rsid w:val="61C50532"/>
    <w:rsid w:val="61C53169"/>
    <w:rsid w:val="61C55405"/>
    <w:rsid w:val="61C56BBB"/>
    <w:rsid w:val="61C60E4D"/>
    <w:rsid w:val="61C6117D"/>
    <w:rsid w:val="61C8064C"/>
    <w:rsid w:val="61C827FF"/>
    <w:rsid w:val="61C83897"/>
    <w:rsid w:val="61C947C9"/>
    <w:rsid w:val="61CA2A1B"/>
    <w:rsid w:val="61CB22EF"/>
    <w:rsid w:val="61CB4448"/>
    <w:rsid w:val="61CB6793"/>
    <w:rsid w:val="61CD0301"/>
    <w:rsid w:val="61CD0C41"/>
    <w:rsid w:val="61CD250B"/>
    <w:rsid w:val="61CD3451"/>
    <w:rsid w:val="61CD42B9"/>
    <w:rsid w:val="61CD6067"/>
    <w:rsid w:val="61CE3B8D"/>
    <w:rsid w:val="61CF5A62"/>
    <w:rsid w:val="61D04B09"/>
    <w:rsid w:val="61D062E5"/>
    <w:rsid w:val="61D109A2"/>
    <w:rsid w:val="61D11B21"/>
    <w:rsid w:val="61D11C4D"/>
    <w:rsid w:val="61D218D0"/>
    <w:rsid w:val="61D2367E"/>
    <w:rsid w:val="61D27EB7"/>
    <w:rsid w:val="61D31E9F"/>
    <w:rsid w:val="61D336F1"/>
    <w:rsid w:val="61D373F6"/>
    <w:rsid w:val="61D37FB7"/>
    <w:rsid w:val="61D45648"/>
    <w:rsid w:val="61D53073"/>
    <w:rsid w:val="61D5317B"/>
    <w:rsid w:val="61D54F1C"/>
    <w:rsid w:val="61D57ACF"/>
    <w:rsid w:val="61D6323C"/>
    <w:rsid w:val="61D70C94"/>
    <w:rsid w:val="61D75138"/>
    <w:rsid w:val="61D86E23"/>
    <w:rsid w:val="61D90EB0"/>
    <w:rsid w:val="61D96521"/>
    <w:rsid w:val="61DA69D6"/>
    <w:rsid w:val="61DB4C28"/>
    <w:rsid w:val="61DB4C61"/>
    <w:rsid w:val="61DC62AA"/>
    <w:rsid w:val="61DC7EB8"/>
    <w:rsid w:val="61DD24BD"/>
    <w:rsid w:val="61DE0274"/>
    <w:rsid w:val="61DE2022"/>
    <w:rsid w:val="61DE2C95"/>
    <w:rsid w:val="61DE53B4"/>
    <w:rsid w:val="61DE5866"/>
    <w:rsid w:val="61DF3FED"/>
    <w:rsid w:val="61DF4182"/>
    <w:rsid w:val="61E00186"/>
    <w:rsid w:val="61E0223F"/>
    <w:rsid w:val="61E11B13"/>
    <w:rsid w:val="61E15FB7"/>
    <w:rsid w:val="61E17D65"/>
    <w:rsid w:val="61E20F62"/>
    <w:rsid w:val="61E215D8"/>
    <w:rsid w:val="61E433B1"/>
    <w:rsid w:val="61E57855"/>
    <w:rsid w:val="61E60279"/>
    <w:rsid w:val="61E62043"/>
    <w:rsid w:val="61E62B18"/>
    <w:rsid w:val="61E635CD"/>
    <w:rsid w:val="61E641BA"/>
    <w:rsid w:val="61E64557"/>
    <w:rsid w:val="61E6537B"/>
    <w:rsid w:val="61E67129"/>
    <w:rsid w:val="61E7182D"/>
    <w:rsid w:val="61E84C4F"/>
    <w:rsid w:val="61E84EAC"/>
    <w:rsid w:val="61E87343"/>
    <w:rsid w:val="61E91EFB"/>
    <w:rsid w:val="61E93D7E"/>
    <w:rsid w:val="61E956CC"/>
    <w:rsid w:val="61EA389F"/>
    <w:rsid w:val="61EA4E6B"/>
    <w:rsid w:val="61EA6C19"/>
    <w:rsid w:val="61EB43F8"/>
    <w:rsid w:val="61EB473F"/>
    <w:rsid w:val="61EC2C7D"/>
    <w:rsid w:val="61EC3613"/>
    <w:rsid w:val="61EC517E"/>
    <w:rsid w:val="61EC61C3"/>
    <w:rsid w:val="61EC79D3"/>
    <w:rsid w:val="61EC7E6A"/>
    <w:rsid w:val="61ED12FA"/>
    <w:rsid w:val="61ED24E8"/>
    <w:rsid w:val="61ED495B"/>
    <w:rsid w:val="61EE122D"/>
    <w:rsid w:val="61EE62B8"/>
    <w:rsid w:val="61EE6D35"/>
    <w:rsid w:val="61EF130A"/>
    <w:rsid w:val="61EF4230"/>
    <w:rsid w:val="61EF54AA"/>
    <w:rsid w:val="61EF550E"/>
    <w:rsid w:val="61EF7CBE"/>
    <w:rsid w:val="61F01D56"/>
    <w:rsid w:val="61F03178"/>
    <w:rsid w:val="61F061FA"/>
    <w:rsid w:val="61F07FA8"/>
    <w:rsid w:val="61F10556"/>
    <w:rsid w:val="61F1110B"/>
    <w:rsid w:val="61F11EE2"/>
    <w:rsid w:val="61F126CE"/>
    <w:rsid w:val="61F135BD"/>
    <w:rsid w:val="61F14216"/>
    <w:rsid w:val="61F142CE"/>
    <w:rsid w:val="61F14975"/>
    <w:rsid w:val="61F1653A"/>
    <w:rsid w:val="61F2259B"/>
    <w:rsid w:val="61F23D20"/>
    <w:rsid w:val="61F24E04"/>
    <w:rsid w:val="61F25ACE"/>
    <w:rsid w:val="61F33D11"/>
    <w:rsid w:val="61F34405"/>
    <w:rsid w:val="61F36661"/>
    <w:rsid w:val="61F40325"/>
    <w:rsid w:val="61F41846"/>
    <w:rsid w:val="61F44167"/>
    <w:rsid w:val="61F53810"/>
    <w:rsid w:val="61F63676"/>
    <w:rsid w:val="61F730E4"/>
    <w:rsid w:val="61F77588"/>
    <w:rsid w:val="61F8543F"/>
    <w:rsid w:val="61F9246E"/>
    <w:rsid w:val="61F93300"/>
    <w:rsid w:val="61F950AE"/>
    <w:rsid w:val="61FA23CF"/>
    <w:rsid w:val="61FA38FE"/>
    <w:rsid w:val="61FA403B"/>
    <w:rsid w:val="61FA7E59"/>
    <w:rsid w:val="61FB0E26"/>
    <w:rsid w:val="61FB1BC6"/>
    <w:rsid w:val="61FB21BD"/>
    <w:rsid w:val="61FC06FB"/>
    <w:rsid w:val="61FC4B9F"/>
    <w:rsid w:val="61FD0BB4"/>
    <w:rsid w:val="61FD21B6"/>
    <w:rsid w:val="61FE0B3E"/>
    <w:rsid w:val="61FE2528"/>
    <w:rsid w:val="61FE65BB"/>
    <w:rsid w:val="61FF01EB"/>
    <w:rsid w:val="61FF24F8"/>
    <w:rsid w:val="61FF63B2"/>
    <w:rsid w:val="61FF748B"/>
    <w:rsid w:val="62000C34"/>
    <w:rsid w:val="62004B9F"/>
    <w:rsid w:val="6200643D"/>
    <w:rsid w:val="62006B2F"/>
    <w:rsid w:val="620121B5"/>
    <w:rsid w:val="62013F63"/>
    <w:rsid w:val="62015F82"/>
    <w:rsid w:val="620242A7"/>
    <w:rsid w:val="62035F2D"/>
    <w:rsid w:val="6203647C"/>
    <w:rsid w:val="62037CDB"/>
    <w:rsid w:val="620418F9"/>
    <w:rsid w:val="62050858"/>
    <w:rsid w:val="62056AA8"/>
    <w:rsid w:val="62057A04"/>
    <w:rsid w:val="62060558"/>
    <w:rsid w:val="62061579"/>
    <w:rsid w:val="620677CB"/>
    <w:rsid w:val="620702DF"/>
    <w:rsid w:val="6208709F"/>
    <w:rsid w:val="62092E18"/>
    <w:rsid w:val="62095CF4"/>
    <w:rsid w:val="620A72BB"/>
    <w:rsid w:val="620B125E"/>
    <w:rsid w:val="620B4B04"/>
    <w:rsid w:val="620B6B90"/>
    <w:rsid w:val="620C3034"/>
    <w:rsid w:val="620C3D7F"/>
    <w:rsid w:val="620C799F"/>
    <w:rsid w:val="620D2908"/>
    <w:rsid w:val="620D3E77"/>
    <w:rsid w:val="620D61F3"/>
    <w:rsid w:val="620D6DAC"/>
    <w:rsid w:val="620E18D5"/>
    <w:rsid w:val="620E34CD"/>
    <w:rsid w:val="620F1AC2"/>
    <w:rsid w:val="620F2616"/>
    <w:rsid w:val="620F6680"/>
    <w:rsid w:val="621023F8"/>
    <w:rsid w:val="621041A6"/>
    <w:rsid w:val="6211064A"/>
    <w:rsid w:val="621106F4"/>
    <w:rsid w:val="621138D1"/>
    <w:rsid w:val="621153E0"/>
    <w:rsid w:val="62126170"/>
    <w:rsid w:val="62130075"/>
    <w:rsid w:val="62130A38"/>
    <w:rsid w:val="62131322"/>
    <w:rsid w:val="6213286B"/>
    <w:rsid w:val="62134761"/>
    <w:rsid w:val="6213634B"/>
    <w:rsid w:val="62141EE8"/>
    <w:rsid w:val="62144863"/>
    <w:rsid w:val="621517BC"/>
    <w:rsid w:val="62161995"/>
    <w:rsid w:val="62161D4D"/>
    <w:rsid w:val="62162057"/>
    <w:rsid w:val="62165C60"/>
    <w:rsid w:val="6217112C"/>
    <w:rsid w:val="621719D8"/>
    <w:rsid w:val="6217491F"/>
    <w:rsid w:val="62175534"/>
    <w:rsid w:val="6218588A"/>
    <w:rsid w:val="621876E4"/>
    <w:rsid w:val="621912AD"/>
    <w:rsid w:val="6219297F"/>
    <w:rsid w:val="621930F1"/>
    <w:rsid w:val="62195750"/>
    <w:rsid w:val="62195FA2"/>
    <w:rsid w:val="621A17A6"/>
    <w:rsid w:val="621A1D8B"/>
    <w:rsid w:val="621A5025"/>
    <w:rsid w:val="621A6DD3"/>
    <w:rsid w:val="621A7A46"/>
    <w:rsid w:val="621B3775"/>
    <w:rsid w:val="621B460E"/>
    <w:rsid w:val="621B4BF2"/>
    <w:rsid w:val="621B4CA0"/>
    <w:rsid w:val="621C238F"/>
    <w:rsid w:val="621C40C6"/>
    <w:rsid w:val="621C41CF"/>
    <w:rsid w:val="621C72A8"/>
    <w:rsid w:val="621D31D5"/>
    <w:rsid w:val="621E0BD4"/>
    <w:rsid w:val="621E2D67"/>
    <w:rsid w:val="621E4F75"/>
    <w:rsid w:val="621E5F08"/>
    <w:rsid w:val="621E68C3"/>
    <w:rsid w:val="621F0284"/>
    <w:rsid w:val="621F15B7"/>
    <w:rsid w:val="621F43E9"/>
    <w:rsid w:val="621F4BAA"/>
    <w:rsid w:val="621F7E52"/>
    <w:rsid w:val="6220088D"/>
    <w:rsid w:val="622031EE"/>
    <w:rsid w:val="622107CD"/>
    <w:rsid w:val="62213805"/>
    <w:rsid w:val="62214CA7"/>
    <w:rsid w:val="62216061"/>
    <w:rsid w:val="622163B3"/>
    <w:rsid w:val="62217E3D"/>
    <w:rsid w:val="62227F38"/>
    <w:rsid w:val="6223037D"/>
    <w:rsid w:val="6223212B"/>
    <w:rsid w:val="622336A4"/>
    <w:rsid w:val="6223501F"/>
    <w:rsid w:val="622377CD"/>
    <w:rsid w:val="622540F5"/>
    <w:rsid w:val="62257C51"/>
    <w:rsid w:val="62261303"/>
    <w:rsid w:val="62264C7F"/>
    <w:rsid w:val="62265778"/>
    <w:rsid w:val="62273BD2"/>
    <w:rsid w:val="62273DA7"/>
    <w:rsid w:val="62285994"/>
    <w:rsid w:val="62286381"/>
    <w:rsid w:val="62287742"/>
    <w:rsid w:val="622901D1"/>
    <w:rsid w:val="622939CF"/>
    <w:rsid w:val="622A0588"/>
    <w:rsid w:val="622A129B"/>
    <w:rsid w:val="622A34BA"/>
    <w:rsid w:val="622A5268"/>
    <w:rsid w:val="622A6A5A"/>
    <w:rsid w:val="622B0FE0"/>
    <w:rsid w:val="622B272B"/>
    <w:rsid w:val="622C233E"/>
    <w:rsid w:val="622C3F7D"/>
    <w:rsid w:val="622C52FC"/>
    <w:rsid w:val="622C5484"/>
    <w:rsid w:val="622D2FAA"/>
    <w:rsid w:val="622D4D58"/>
    <w:rsid w:val="622E19B6"/>
    <w:rsid w:val="622E5525"/>
    <w:rsid w:val="622F0AD0"/>
    <w:rsid w:val="6230128B"/>
    <w:rsid w:val="623021C1"/>
    <w:rsid w:val="623065F6"/>
    <w:rsid w:val="623074DA"/>
    <w:rsid w:val="623123DD"/>
    <w:rsid w:val="62312A9A"/>
    <w:rsid w:val="62312EED"/>
    <w:rsid w:val="623135A8"/>
    <w:rsid w:val="62314848"/>
    <w:rsid w:val="6231659D"/>
    <w:rsid w:val="6232236E"/>
    <w:rsid w:val="62326812"/>
    <w:rsid w:val="623274EA"/>
    <w:rsid w:val="62327A2D"/>
    <w:rsid w:val="6233115E"/>
    <w:rsid w:val="62331635"/>
    <w:rsid w:val="623325FE"/>
    <w:rsid w:val="62347E94"/>
    <w:rsid w:val="623534E8"/>
    <w:rsid w:val="62360451"/>
    <w:rsid w:val="6236092E"/>
    <w:rsid w:val="6236436B"/>
    <w:rsid w:val="62364782"/>
    <w:rsid w:val="62365E81"/>
    <w:rsid w:val="6236783E"/>
    <w:rsid w:val="62373E29"/>
    <w:rsid w:val="62375BD7"/>
    <w:rsid w:val="62377985"/>
    <w:rsid w:val="623941D1"/>
    <w:rsid w:val="623B0B3E"/>
    <w:rsid w:val="623B56C7"/>
    <w:rsid w:val="623B7475"/>
    <w:rsid w:val="623C1F64"/>
    <w:rsid w:val="623C4C6F"/>
    <w:rsid w:val="623D431D"/>
    <w:rsid w:val="623D61BE"/>
    <w:rsid w:val="623D7558"/>
    <w:rsid w:val="623E236D"/>
    <w:rsid w:val="623E5155"/>
    <w:rsid w:val="623E51B7"/>
    <w:rsid w:val="623E7086"/>
    <w:rsid w:val="623E7A46"/>
    <w:rsid w:val="623F04E1"/>
    <w:rsid w:val="623F1255"/>
    <w:rsid w:val="623F5AE4"/>
    <w:rsid w:val="623F6839"/>
    <w:rsid w:val="6240283F"/>
    <w:rsid w:val="62402CDD"/>
    <w:rsid w:val="62404A8B"/>
    <w:rsid w:val="624060C2"/>
    <w:rsid w:val="62407591"/>
    <w:rsid w:val="62411ECB"/>
    <w:rsid w:val="624125B1"/>
    <w:rsid w:val="624157A0"/>
    <w:rsid w:val="62416092"/>
    <w:rsid w:val="62422029"/>
    <w:rsid w:val="6243457B"/>
    <w:rsid w:val="624468E7"/>
    <w:rsid w:val="624502F4"/>
    <w:rsid w:val="62451B7B"/>
    <w:rsid w:val="624520A2"/>
    <w:rsid w:val="624532D2"/>
    <w:rsid w:val="62453860"/>
    <w:rsid w:val="6245482A"/>
    <w:rsid w:val="62455CE7"/>
    <w:rsid w:val="62456545"/>
    <w:rsid w:val="62461A4A"/>
    <w:rsid w:val="62467BC8"/>
    <w:rsid w:val="62470444"/>
    <w:rsid w:val="62471F04"/>
    <w:rsid w:val="62473B63"/>
    <w:rsid w:val="6247406C"/>
    <w:rsid w:val="624801C9"/>
    <w:rsid w:val="62480B32"/>
    <w:rsid w:val="6248340F"/>
    <w:rsid w:val="624835A5"/>
    <w:rsid w:val="624943AD"/>
    <w:rsid w:val="62494FB4"/>
    <w:rsid w:val="6249566B"/>
    <w:rsid w:val="6249669D"/>
    <w:rsid w:val="624A590A"/>
    <w:rsid w:val="624B1D15"/>
    <w:rsid w:val="624B368F"/>
    <w:rsid w:val="624B4007"/>
    <w:rsid w:val="624C1682"/>
    <w:rsid w:val="624C4995"/>
    <w:rsid w:val="624D0F56"/>
    <w:rsid w:val="624D387D"/>
    <w:rsid w:val="624D49DE"/>
    <w:rsid w:val="624D53FA"/>
    <w:rsid w:val="624D5980"/>
    <w:rsid w:val="624D71A8"/>
    <w:rsid w:val="624E19E9"/>
    <w:rsid w:val="624F2F20"/>
    <w:rsid w:val="62500A46"/>
    <w:rsid w:val="62502FB6"/>
    <w:rsid w:val="62514EEA"/>
    <w:rsid w:val="62515565"/>
    <w:rsid w:val="62517525"/>
    <w:rsid w:val="6252467C"/>
    <w:rsid w:val="6252656D"/>
    <w:rsid w:val="625422E5"/>
    <w:rsid w:val="62545823"/>
    <w:rsid w:val="62555998"/>
    <w:rsid w:val="62562501"/>
    <w:rsid w:val="62563E98"/>
    <w:rsid w:val="62570027"/>
    <w:rsid w:val="625716FC"/>
    <w:rsid w:val="6258314E"/>
    <w:rsid w:val="62586279"/>
    <w:rsid w:val="625964BC"/>
    <w:rsid w:val="625A2A7D"/>
    <w:rsid w:val="625A488E"/>
    <w:rsid w:val="625B0BCE"/>
    <w:rsid w:val="625B7B17"/>
    <w:rsid w:val="625C1559"/>
    <w:rsid w:val="625C563D"/>
    <w:rsid w:val="625C5CF8"/>
    <w:rsid w:val="625C6F49"/>
    <w:rsid w:val="625C73EB"/>
    <w:rsid w:val="625D388F"/>
    <w:rsid w:val="625D6E7D"/>
    <w:rsid w:val="625D7AFC"/>
    <w:rsid w:val="625E018B"/>
    <w:rsid w:val="625E13B5"/>
    <w:rsid w:val="625E56B2"/>
    <w:rsid w:val="62600C89"/>
    <w:rsid w:val="6260166C"/>
    <w:rsid w:val="62602940"/>
    <w:rsid w:val="62602AAB"/>
    <w:rsid w:val="6260512D"/>
    <w:rsid w:val="62613A54"/>
    <w:rsid w:val="62613F3B"/>
    <w:rsid w:val="62614A02"/>
    <w:rsid w:val="62620735"/>
    <w:rsid w:val="62622788"/>
    <w:rsid w:val="62622C39"/>
    <w:rsid w:val="62623858"/>
    <w:rsid w:val="626246A9"/>
    <w:rsid w:val="6263077A"/>
    <w:rsid w:val="62634C1E"/>
    <w:rsid w:val="626369CC"/>
    <w:rsid w:val="6264142C"/>
    <w:rsid w:val="62652744"/>
    <w:rsid w:val="626544F2"/>
    <w:rsid w:val="626562A0"/>
    <w:rsid w:val="626611A0"/>
    <w:rsid w:val="62662018"/>
    <w:rsid w:val="62662D41"/>
    <w:rsid w:val="62663C4F"/>
    <w:rsid w:val="62680B2A"/>
    <w:rsid w:val="62682234"/>
    <w:rsid w:val="62687E3A"/>
    <w:rsid w:val="626A5FAC"/>
    <w:rsid w:val="626B3065"/>
    <w:rsid w:val="626B6509"/>
    <w:rsid w:val="626B762E"/>
    <w:rsid w:val="626D3930"/>
    <w:rsid w:val="626D4F49"/>
    <w:rsid w:val="626E0591"/>
    <w:rsid w:val="626E50AF"/>
    <w:rsid w:val="626E5909"/>
    <w:rsid w:val="626E609B"/>
    <w:rsid w:val="626F1110"/>
    <w:rsid w:val="626F25DB"/>
    <w:rsid w:val="626F3587"/>
    <w:rsid w:val="626F35C2"/>
    <w:rsid w:val="626F4B7D"/>
    <w:rsid w:val="626F5370"/>
    <w:rsid w:val="626F6DDA"/>
    <w:rsid w:val="626F711E"/>
    <w:rsid w:val="626F7870"/>
    <w:rsid w:val="627025A0"/>
    <w:rsid w:val="627043A1"/>
    <w:rsid w:val="62711AC5"/>
    <w:rsid w:val="62713A30"/>
    <w:rsid w:val="6272022C"/>
    <w:rsid w:val="627209BD"/>
    <w:rsid w:val="627347CA"/>
    <w:rsid w:val="62740BD9"/>
    <w:rsid w:val="62742987"/>
    <w:rsid w:val="62746EB4"/>
    <w:rsid w:val="62751FFF"/>
    <w:rsid w:val="62753523"/>
    <w:rsid w:val="627543D9"/>
    <w:rsid w:val="62760032"/>
    <w:rsid w:val="627604AD"/>
    <w:rsid w:val="62762C81"/>
    <w:rsid w:val="62764951"/>
    <w:rsid w:val="627666FF"/>
    <w:rsid w:val="62774225"/>
    <w:rsid w:val="6277440F"/>
    <w:rsid w:val="62775FD3"/>
    <w:rsid w:val="627806C9"/>
    <w:rsid w:val="62785379"/>
    <w:rsid w:val="627874CA"/>
    <w:rsid w:val="627875F1"/>
    <w:rsid w:val="62787BAE"/>
    <w:rsid w:val="62791D4B"/>
    <w:rsid w:val="627A375B"/>
    <w:rsid w:val="627A7977"/>
    <w:rsid w:val="627B1F67"/>
    <w:rsid w:val="627B76B3"/>
    <w:rsid w:val="627C3930"/>
    <w:rsid w:val="627D1E2A"/>
    <w:rsid w:val="627D4393"/>
    <w:rsid w:val="627D5CDF"/>
    <w:rsid w:val="627D7A8D"/>
    <w:rsid w:val="627E55B4"/>
    <w:rsid w:val="627E67FA"/>
    <w:rsid w:val="627E7362"/>
    <w:rsid w:val="627F33F6"/>
    <w:rsid w:val="627F48F3"/>
    <w:rsid w:val="627F7A9F"/>
    <w:rsid w:val="62806A1B"/>
    <w:rsid w:val="628232AE"/>
    <w:rsid w:val="628232F6"/>
    <w:rsid w:val="62823614"/>
    <w:rsid w:val="62826216"/>
    <w:rsid w:val="62830E1C"/>
    <w:rsid w:val="62831757"/>
    <w:rsid w:val="62831F13"/>
    <w:rsid w:val="62832185"/>
    <w:rsid w:val="62832BCA"/>
    <w:rsid w:val="6283443C"/>
    <w:rsid w:val="6284633D"/>
    <w:rsid w:val="628472D5"/>
    <w:rsid w:val="628506F0"/>
    <w:rsid w:val="62853E86"/>
    <w:rsid w:val="628541F2"/>
    <w:rsid w:val="62854B94"/>
    <w:rsid w:val="62856942"/>
    <w:rsid w:val="62856D9F"/>
    <w:rsid w:val="62861BE5"/>
    <w:rsid w:val="62864468"/>
    <w:rsid w:val="628647C6"/>
    <w:rsid w:val="628703AD"/>
    <w:rsid w:val="6287090C"/>
    <w:rsid w:val="62871A36"/>
    <w:rsid w:val="628726BA"/>
    <w:rsid w:val="62882256"/>
    <w:rsid w:val="62894684"/>
    <w:rsid w:val="62896A82"/>
    <w:rsid w:val="628A3147"/>
    <w:rsid w:val="628A3F58"/>
    <w:rsid w:val="628A737B"/>
    <w:rsid w:val="628B1104"/>
    <w:rsid w:val="628B15D4"/>
    <w:rsid w:val="628B3DEA"/>
    <w:rsid w:val="628B7288"/>
    <w:rsid w:val="628C0538"/>
    <w:rsid w:val="628C1A7E"/>
    <w:rsid w:val="628C511D"/>
    <w:rsid w:val="628C7CD0"/>
    <w:rsid w:val="628D3737"/>
    <w:rsid w:val="628D3A49"/>
    <w:rsid w:val="628D57F7"/>
    <w:rsid w:val="628D5BE1"/>
    <w:rsid w:val="628E1C9B"/>
    <w:rsid w:val="628F5A13"/>
    <w:rsid w:val="62900078"/>
    <w:rsid w:val="62903704"/>
    <w:rsid w:val="62913539"/>
    <w:rsid w:val="62916B94"/>
    <w:rsid w:val="6292105F"/>
    <w:rsid w:val="62922F91"/>
    <w:rsid w:val="62932168"/>
    <w:rsid w:val="6293361B"/>
    <w:rsid w:val="629337DA"/>
    <w:rsid w:val="62933BFD"/>
    <w:rsid w:val="629341F9"/>
    <w:rsid w:val="62941BB3"/>
    <w:rsid w:val="629427F0"/>
    <w:rsid w:val="62943029"/>
    <w:rsid w:val="62946B85"/>
    <w:rsid w:val="629524E1"/>
    <w:rsid w:val="6295273B"/>
    <w:rsid w:val="6295419A"/>
    <w:rsid w:val="629559F9"/>
    <w:rsid w:val="62960B4F"/>
    <w:rsid w:val="629628FD"/>
    <w:rsid w:val="629673B3"/>
    <w:rsid w:val="62967742"/>
    <w:rsid w:val="629713CF"/>
    <w:rsid w:val="62974075"/>
    <w:rsid w:val="62977D69"/>
    <w:rsid w:val="62983094"/>
    <w:rsid w:val="62987525"/>
    <w:rsid w:val="629934BE"/>
    <w:rsid w:val="6299419B"/>
    <w:rsid w:val="629A1773"/>
    <w:rsid w:val="629C69EC"/>
    <w:rsid w:val="629C7DB8"/>
    <w:rsid w:val="629D0130"/>
    <w:rsid w:val="629D2462"/>
    <w:rsid w:val="629D3C8C"/>
    <w:rsid w:val="629D4877"/>
    <w:rsid w:val="629D7C50"/>
    <w:rsid w:val="629E17B2"/>
    <w:rsid w:val="629E291D"/>
    <w:rsid w:val="629E7A04"/>
    <w:rsid w:val="629F0EE6"/>
    <w:rsid w:val="629F4090"/>
    <w:rsid w:val="62A02221"/>
    <w:rsid w:val="62A03106"/>
    <w:rsid w:val="62A0377C"/>
    <w:rsid w:val="62A0536D"/>
    <w:rsid w:val="62A0552A"/>
    <w:rsid w:val="62A0686D"/>
    <w:rsid w:val="62A212A2"/>
    <w:rsid w:val="62A21A48"/>
    <w:rsid w:val="62A2498A"/>
    <w:rsid w:val="62A25746"/>
    <w:rsid w:val="62A274F4"/>
    <w:rsid w:val="62A34943"/>
    <w:rsid w:val="62A3501A"/>
    <w:rsid w:val="62A3542F"/>
    <w:rsid w:val="62A36DC8"/>
    <w:rsid w:val="62A414BE"/>
    <w:rsid w:val="62A42563"/>
    <w:rsid w:val="62A44272"/>
    <w:rsid w:val="62A52B40"/>
    <w:rsid w:val="62A56FE4"/>
    <w:rsid w:val="62A577A2"/>
    <w:rsid w:val="62A620AE"/>
    <w:rsid w:val="62A6468F"/>
    <w:rsid w:val="62A67099"/>
    <w:rsid w:val="62A679A7"/>
    <w:rsid w:val="62A72D5C"/>
    <w:rsid w:val="62A768B8"/>
    <w:rsid w:val="62A80882"/>
    <w:rsid w:val="62A8489C"/>
    <w:rsid w:val="62A866DF"/>
    <w:rsid w:val="62A87505"/>
    <w:rsid w:val="62AA45FB"/>
    <w:rsid w:val="62AB43FD"/>
    <w:rsid w:val="62AB7243"/>
    <w:rsid w:val="62AC0373"/>
    <w:rsid w:val="62AC218F"/>
    <w:rsid w:val="62AC3ECF"/>
    <w:rsid w:val="62AC64E1"/>
    <w:rsid w:val="62AD4BC1"/>
    <w:rsid w:val="62AE3FDB"/>
    <w:rsid w:val="62AE5204"/>
    <w:rsid w:val="62AE5E99"/>
    <w:rsid w:val="62AF1013"/>
    <w:rsid w:val="62AF39BF"/>
    <w:rsid w:val="62AF39D2"/>
    <w:rsid w:val="62B0245C"/>
    <w:rsid w:val="62B1035E"/>
    <w:rsid w:val="62B103C8"/>
    <w:rsid w:val="62B15989"/>
    <w:rsid w:val="62B15C0F"/>
    <w:rsid w:val="62B162F2"/>
    <w:rsid w:val="62B22353"/>
    <w:rsid w:val="62B2525D"/>
    <w:rsid w:val="62B25325"/>
    <w:rsid w:val="62B25E81"/>
    <w:rsid w:val="62B31701"/>
    <w:rsid w:val="62B35D29"/>
    <w:rsid w:val="62B37FD7"/>
    <w:rsid w:val="62B45479"/>
    <w:rsid w:val="62B47227"/>
    <w:rsid w:val="62B56103"/>
    <w:rsid w:val="62B60CD4"/>
    <w:rsid w:val="62B611F1"/>
    <w:rsid w:val="62B62F9F"/>
    <w:rsid w:val="62B64D4D"/>
    <w:rsid w:val="62B66AFB"/>
    <w:rsid w:val="62B67795"/>
    <w:rsid w:val="62B72874"/>
    <w:rsid w:val="62B80AC5"/>
    <w:rsid w:val="62B81F9F"/>
    <w:rsid w:val="62B848B8"/>
    <w:rsid w:val="62B84BE9"/>
    <w:rsid w:val="62B86105"/>
    <w:rsid w:val="62B86D17"/>
    <w:rsid w:val="62B94212"/>
    <w:rsid w:val="62B9483E"/>
    <w:rsid w:val="62B97472"/>
    <w:rsid w:val="62B975B9"/>
    <w:rsid w:val="62BA2C49"/>
    <w:rsid w:val="62BB05B6"/>
    <w:rsid w:val="62BB0F40"/>
    <w:rsid w:val="62BC146B"/>
    <w:rsid w:val="62BC5FD6"/>
    <w:rsid w:val="62BC7E8A"/>
    <w:rsid w:val="62BD2580"/>
    <w:rsid w:val="62BD60DC"/>
    <w:rsid w:val="62BE2037"/>
    <w:rsid w:val="62BE2A81"/>
    <w:rsid w:val="62BE44B8"/>
    <w:rsid w:val="62BF00A6"/>
    <w:rsid w:val="62BF3C6B"/>
    <w:rsid w:val="62C05712"/>
    <w:rsid w:val="62C11478"/>
    <w:rsid w:val="62C21944"/>
    <w:rsid w:val="62C21E48"/>
    <w:rsid w:val="62C236F2"/>
    <w:rsid w:val="62C25380"/>
    <w:rsid w:val="62C27934"/>
    <w:rsid w:val="62C30481"/>
    <w:rsid w:val="62C31218"/>
    <w:rsid w:val="62C34EBD"/>
    <w:rsid w:val="62C35E50"/>
    <w:rsid w:val="62C4052C"/>
    <w:rsid w:val="62C456BC"/>
    <w:rsid w:val="62C51434"/>
    <w:rsid w:val="62C51C5D"/>
    <w:rsid w:val="62C531E2"/>
    <w:rsid w:val="62C54DE6"/>
    <w:rsid w:val="62C55BF8"/>
    <w:rsid w:val="62C57A5A"/>
    <w:rsid w:val="62C6187F"/>
    <w:rsid w:val="62C630EB"/>
    <w:rsid w:val="62C638BF"/>
    <w:rsid w:val="62C63975"/>
    <w:rsid w:val="62C71F29"/>
    <w:rsid w:val="62C83AAD"/>
    <w:rsid w:val="62C84A81"/>
    <w:rsid w:val="62C85820"/>
    <w:rsid w:val="62C917F8"/>
    <w:rsid w:val="62C95953"/>
    <w:rsid w:val="62CA07F9"/>
    <w:rsid w:val="62CA25A7"/>
    <w:rsid w:val="62CA6A4B"/>
    <w:rsid w:val="62CC3E08"/>
    <w:rsid w:val="62CC4C1D"/>
    <w:rsid w:val="62CC631F"/>
    <w:rsid w:val="62CD155E"/>
    <w:rsid w:val="62CD37C2"/>
    <w:rsid w:val="62CE02E9"/>
    <w:rsid w:val="62CE653B"/>
    <w:rsid w:val="62CF10E8"/>
    <w:rsid w:val="62CF3178"/>
    <w:rsid w:val="62CF5E0F"/>
    <w:rsid w:val="62CF747E"/>
    <w:rsid w:val="62CF7BBD"/>
    <w:rsid w:val="62D02D0B"/>
    <w:rsid w:val="62D10644"/>
    <w:rsid w:val="62D17DD9"/>
    <w:rsid w:val="62D21E6C"/>
    <w:rsid w:val="62D27A51"/>
    <w:rsid w:val="62D313B4"/>
    <w:rsid w:val="62D32392"/>
    <w:rsid w:val="62D3245E"/>
    <w:rsid w:val="62D376AD"/>
    <w:rsid w:val="62D43425"/>
    <w:rsid w:val="62D4425D"/>
    <w:rsid w:val="62D4590C"/>
    <w:rsid w:val="62D4701C"/>
    <w:rsid w:val="62D529F4"/>
    <w:rsid w:val="62D578C9"/>
    <w:rsid w:val="62D62432"/>
    <w:rsid w:val="62D6719E"/>
    <w:rsid w:val="62D72BDE"/>
    <w:rsid w:val="62D82F16"/>
    <w:rsid w:val="62D83C1B"/>
    <w:rsid w:val="62D8406E"/>
    <w:rsid w:val="62D85613"/>
    <w:rsid w:val="62D90535"/>
    <w:rsid w:val="62D90A3C"/>
    <w:rsid w:val="62D90DBE"/>
    <w:rsid w:val="62D96C8E"/>
    <w:rsid w:val="62DA0DD6"/>
    <w:rsid w:val="62DA4EE0"/>
    <w:rsid w:val="62DA698E"/>
    <w:rsid w:val="62DA71D4"/>
    <w:rsid w:val="62DB0C58"/>
    <w:rsid w:val="62DB230A"/>
    <w:rsid w:val="62DB2A06"/>
    <w:rsid w:val="62DB3ADA"/>
    <w:rsid w:val="62DB73EA"/>
    <w:rsid w:val="62DC29EF"/>
    <w:rsid w:val="62DC55C0"/>
    <w:rsid w:val="62DD0994"/>
    <w:rsid w:val="62DD22DA"/>
    <w:rsid w:val="62DD39AE"/>
    <w:rsid w:val="62DD530F"/>
    <w:rsid w:val="62DD677E"/>
    <w:rsid w:val="62DD74C7"/>
    <w:rsid w:val="62DE42A4"/>
    <w:rsid w:val="62DE49FD"/>
    <w:rsid w:val="62DE559F"/>
    <w:rsid w:val="62DE7EA1"/>
    <w:rsid w:val="62DF24F6"/>
    <w:rsid w:val="62E01DCA"/>
    <w:rsid w:val="62E036FC"/>
    <w:rsid w:val="62E1583B"/>
    <w:rsid w:val="62E21966"/>
    <w:rsid w:val="62E21FE6"/>
    <w:rsid w:val="62E278F0"/>
    <w:rsid w:val="62E27A4D"/>
    <w:rsid w:val="62E334F4"/>
    <w:rsid w:val="62E40895"/>
    <w:rsid w:val="62E418BB"/>
    <w:rsid w:val="62E42611"/>
    <w:rsid w:val="62E4418A"/>
    <w:rsid w:val="62E44BA9"/>
    <w:rsid w:val="62E464DA"/>
    <w:rsid w:val="62E466BB"/>
    <w:rsid w:val="62E53885"/>
    <w:rsid w:val="62E53AA1"/>
    <w:rsid w:val="62E5478B"/>
    <w:rsid w:val="62E573E1"/>
    <w:rsid w:val="62E67686"/>
    <w:rsid w:val="62E73159"/>
    <w:rsid w:val="62E821E8"/>
    <w:rsid w:val="62E82DDD"/>
    <w:rsid w:val="62E83B63"/>
    <w:rsid w:val="62E870B8"/>
    <w:rsid w:val="62E96ED1"/>
    <w:rsid w:val="62EA0E9B"/>
    <w:rsid w:val="62EA1E06"/>
    <w:rsid w:val="62EA44F9"/>
    <w:rsid w:val="62EA49F7"/>
    <w:rsid w:val="62EB35BA"/>
    <w:rsid w:val="62EC076F"/>
    <w:rsid w:val="62EC38D6"/>
    <w:rsid w:val="62EC72EE"/>
    <w:rsid w:val="62ED7EEF"/>
    <w:rsid w:val="62EE44E7"/>
    <w:rsid w:val="62EF1129"/>
    <w:rsid w:val="62EF64B1"/>
    <w:rsid w:val="62F004BC"/>
    <w:rsid w:val="62F01A35"/>
    <w:rsid w:val="62F02490"/>
    <w:rsid w:val="62F12229"/>
    <w:rsid w:val="62F162BF"/>
    <w:rsid w:val="62F2363D"/>
    <w:rsid w:val="62F35FA1"/>
    <w:rsid w:val="62F360A5"/>
    <w:rsid w:val="62F40D9C"/>
    <w:rsid w:val="62F53B9C"/>
    <w:rsid w:val="62F62311"/>
    <w:rsid w:val="62F6339C"/>
    <w:rsid w:val="62F64A26"/>
    <w:rsid w:val="62F70B09"/>
    <w:rsid w:val="62F83658"/>
    <w:rsid w:val="62F85366"/>
    <w:rsid w:val="62F85378"/>
    <w:rsid w:val="62F8789B"/>
    <w:rsid w:val="62F931D3"/>
    <w:rsid w:val="62F94818"/>
    <w:rsid w:val="62F94AE8"/>
    <w:rsid w:val="62FA10DE"/>
    <w:rsid w:val="62FA7D96"/>
    <w:rsid w:val="62FB09B2"/>
    <w:rsid w:val="62FB298B"/>
    <w:rsid w:val="62FB2B43"/>
    <w:rsid w:val="62FB6C04"/>
    <w:rsid w:val="62FB7408"/>
    <w:rsid w:val="62FC2AC5"/>
    <w:rsid w:val="62FC31DF"/>
    <w:rsid w:val="62FC3330"/>
    <w:rsid w:val="62FD239D"/>
    <w:rsid w:val="62FD35AF"/>
    <w:rsid w:val="62FD472A"/>
    <w:rsid w:val="62FD630C"/>
    <w:rsid w:val="62FD6A68"/>
    <w:rsid w:val="62FD749B"/>
    <w:rsid w:val="62FD78EA"/>
    <w:rsid w:val="62FE04A2"/>
    <w:rsid w:val="62FE3F28"/>
    <w:rsid w:val="62FE5D89"/>
    <w:rsid w:val="62FF034E"/>
    <w:rsid w:val="6300039E"/>
    <w:rsid w:val="630006BE"/>
    <w:rsid w:val="6300421A"/>
    <w:rsid w:val="630219C2"/>
    <w:rsid w:val="63021D41"/>
    <w:rsid w:val="63022111"/>
    <w:rsid w:val="630261E5"/>
    <w:rsid w:val="63043D0B"/>
    <w:rsid w:val="63051A28"/>
    <w:rsid w:val="63055A67"/>
    <w:rsid w:val="63065CD5"/>
    <w:rsid w:val="63071A4D"/>
    <w:rsid w:val="630737FB"/>
    <w:rsid w:val="63073C66"/>
    <w:rsid w:val="630755A9"/>
    <w:rsid w:val="63076AED"/>
    <w:rsid w:val="630815B6"/>
    <w:rsid w:val="630833AD"/>
    <w:rsid w:val="630839CA"/>
    <w:rsid w:val="63083ADC"/>
    <w:rsid w:val="63086388"/>
    <w:rsid w:val="63092E9C"/>
    <w:rsid w:val="63093D37"/>
    <w:rsid w:val="63096ABB"/>
    <w:rsid w:val="63096F44"/>
    <w:rsid w:val="63097573"/>
    <w:rsid w:val="630A432C"/>
    <w:rsid w:val="630A5099"/>
    <w:rsid w:val="630A5710"/>
    <w:rsid w:val="630A5A6D"/>
    <w:rsid w:val="630B32EB"/>
    <w:rsid w:val="630B40E8"/>
    <w:rsid w:val="630B7877"/>
    <w:rsid w:val="630C2F5E"/>
    <w:rsid w:val="630C7063"/>
    <w:rsid w:val="630D43EE"/>
    <w:rsid w:val="630D5048"/>
    <w:rsid w:val="630D56A5"/>
    <w:rsid w:val="630E06E5"/>
    <w:rsid w:val="630E4B89"/>
    <w:rsid w:val="630E561D"/>
    <w:rsid w:val="630F24AC"/>
    <w:rsid w:val="630F445E"/>
    <w:rsid w:val="630F60B1"/>
    <w:rsid w:val="63100901"/>
    <w:rsid w:val="631101D6"/>
    <w:rsid w:val="63111F3C"/>
    <w:rsid w:val="631141FF"/>
    <w:rsid w:val="6311467A"/>
    <w:rsid w:val="631305E5"/>
    <w:rsid w:val="631321A0"/>
    <w:rsid w:val="63132898"/>
    <w:rsid w:val="63134002"/>
    <w:rsid w:val="63134AF3"/>
    <w:rsid w:val="63144205"/>
    <w:rsid w:val="63147715"/>
    <w:rsid w:val="63147CC6"/>
    <w:rsid w:val="63155F18"/>
    <w:rsid w:val="63156E29"/>
    <w:rsid w:val="63161C90"/>
    <w:rsid w:val="63163DFC"/>
    <w:rsid w:val="631663EA"/>
    <w:rsid w:val="63166BE1"/>
    <w:rsid w:val="63167311"/>
    <w:rsid w:val="631754A0"/>
    <w:rsid w:val="63180CB3"/>
    <w:rsid w:val="6318238A"/>
    <w:rsid w:val="63185A08"/>
    <w:rsid w:val="631877B6"/>
    <w:rsid w:val="631A1D2F"/>
    <w:rsid w:val="631A74D4"/>
    <w:rsid w:val="631B2E02"/>
    <w:rsid w:val="631B3FB7"/>
    <w:rsid w:val="631B52B1"/>
    <w:rsid w:val="631C1312"/>
    <w:rsid w:val="631C5AAC"/>
    <w:rsid w:val="631D02EA"/>
    <w:rsid w:val="631D301E"/>
    <w:rsid w:val="631D6B7A"/>
    <w:rsid w:val="631E3962"/>
    <w:rsid w:val="631F076C"/>
    <w:rsid w:val="631F0B45"/>
    <w:rsid w:val="631F28F3"/>
    <w:rsid w:val="631F6D97"/>
    <w:rsid w:val="6320199E"/>
    <w:rsid w:val="63204CA4"/>
    <w:rsid w:val="6320666B"/>
    <w:rsid w:val="63212D25"/>
    <w:rsid w:val="6321489A"/>
    <w:rsid w:val="63215454"/>
    <w:rsid w:val="632225B3"/>
    <w:rsid w:val="63224191"/>
    <w:rsid w:val="632308AC"/>
    <w:rsid w:val="632443AD"/>
    <w:rsid w:val="63245444"/>
    <w:rsid w:val="63246830"/>
    <w:rsid w:val="63247E77"/>
    <w:rsid w:val="63251ED3"/>
    <w:rsid w:val="63253C81"/>
    <w:rsid w:val="63270CF3"/>
    <w:rsid w:val="632717A7"/>
    <w:rsid w:val="63273E9D"/>
    <w:rsid w:val="6327469E"/>
    <w:rsid w:val="632755BC"/>
    <w:rsid w:val="63275C4B"/>
    <w:rsid w:val="632779F9"/>
    <w:rsid w:val="632860CE"/>
    <w:rsid w:val="632919C3"/>
    <w:rsid w:val="63294394"/>
    <w:rsid w:val="6329551F"/>
    <w:rsid w:val="63296ABC"/>
    <w:rsid w:val="632A0520"/>
    <w:rsid w:val="632A1B43"/>
    <w:rsid w:val="632A47D0"/>
    <w:rsid w:val="632B74E9"/>
    <w:rsid w:val="632C1CD4"/>
    <w:rsid w:val="632C47B1"/>
    <w:rsid w:val="632C5010"/>
    <w:rsid w:val="632E6BAD"/>
    <w:rsid w:val="632F4BB7"/>
    <w:rsid w:val="632F68AE"/>
    <w:rsid w:val="63302D52"/>
    <w:rsid w:val="63310878"/>
    <w:rsid w:val="6332421C"/>
    <w:rsid w:val="63332842"/>
    <w:rsid w:val="633345F0"/>
    <w:rsid w:val="63335ABB"/>
    <w:rsid w:val="6333639E"/>
    <w:rsid w:val="63345B4A"/>
    <w:rsid w:val="6335193F"/>
    <w:rsid w:val="63351F2A"/>
    <w:rsid w:val="63352116"/>
    <w:rsid w:val="63361EB9"/>
    <w:rsid w:val="633640E0"/>
    <w:rsid w:val="63367C3C"/>
    <w:rsid w:val="63371B28"/>
    <w:rsid w:val="63376B6D"/>
    <w:rsid w:val="633839B4"/>
    <w:rsid w:val="633873D0"/>
    <w:rsid w:val="633914DA"/>
    <w:rsid w:val="633964B6"/>
    <w:rsid w:val="633973A8"/>
    <w:rsid w:val="633A010B"/>
    <w:rsid w:val="633A3BD0"/>
    <w:rsid w:val="633A3E98"/>
    <w:rsid w:val="633A5116"/>
    <w:rsid w:val="633A597E"/>
    <w:rsid w:val="633A772C"/>
    <w:rsid w:val="633B16F7"/>
    <w:rsid w:val="633B34A5"/>
    <w:rsid w:val="633B3B41"/>
    <w:rsid w:val="633B5253"/>
    <w:rsid w:val="633D0FCB"/>
    <w:rsid w:val="633D23E9"/>
    <w:rsid w:val="633D71A0"/>
    <w:rsid w:val="633D7244"/>
    <w:rsid w:val="633E321C"/>
    <w:rsid w:val="633F5BF7"/>
    <w:rsid w:val="63414F5F"/>
    <w:rsid w:val="63416D0D"/>
    <w:rsid w:val="634265E1"/>
    <w:rsid w:val="634266A3"/>
    <w:rsid w:val="634364A3"/>
    <w:rsid w:val="63436BE6"/>
    <w:rsid w:val="63437559"/>
    <w:rsid w:val="63442359"/>
    <w:rsid w:val="63462575"/>
    <w:rsid w:val="63464323"/>
    <w:rsid w:val="634654A8"/>
    <w:rsid w:val="63466BD6"/>
    <w:rsid w:val="63473A5C"/>
    <w:rsid w:val="63482FD5"/>
    <w:rsid w:val="63490AF3"/>
    <w:rsid w:val="63493E13"/>
    <w:rsid w:val="63494BBB"/>
    <w:rsid w:val="634974EA"/>
    <w:rsid w:val="634A2F00"/>
    <w:rsid w:val="634A36E8"/>
    <w:rsid w:val="634A566E"/>
    <w:rsid w:val="634A63B9"/>
    <w:rsid w:val="634B193A"/>
    <w:rsid w:val="634B7220"/>
    <w:rsid w:val="634B7B8C"/>
    <w:rsid w:val="634C29BE"/>
    <w:rsid w:val="634C3EB6"/>
    <w:rsid w:val="634D0987"/>
    <w:rsid w:val="634D793D"/>
    <w:rsid w:val="634E7A38"/>
    <w:rsid w:val="634F4C3B"/>
    <w:rsid w:val="634F531E"/>
    <w:rsid w:val="63500CFE"/>
    <w:rsid w:val="63501214"/>
    <w:rsid w:val="635038A5"/>
    <w:rsid w:val="63504048"/>
    <w:rsid w:val="63505631"/>
    <w:rsid w:val="63506D72"/>
    <w:rsid w:val="63512CC8"/>
    <w:rsid w:val="635135F2"/>
    <w:rsid w:val="63514A76"/>
    <w:rsid w:val="63520F1A"/>
    <w:rsid w:val="635307EE"/>
    <w:rsid w:val="63534C92"/>
    <w:rsid w:val="635356F3"/>
    <w:rsid w:val="63536475"/>
    <w:rsid w:val="63550A49"/>
    <w:rsid w:val="6355231A"/>
    <w:rsid w:val="63554989"/>
    <w:rsid w:val="63557368"/>
    <w:rsid w:val="635602DE"/>
    <w:rsid w:val="6356208C"/>
    <w:rsid w:val="63565B89"/>
    <w:rsid w:val="63580EBA"/>
    <w:rsid w:val="635822A8"/>
    <w:rsid w:val="63583214"/>
    <w:rsid w:val="63584057"/>
    <w:rsid w:val="63595A08"/>
    <w:rsid w:val="635A7DCF"/>
    <w:rsid w:val="635B0592"/>
    <w:rsid w:val="635B1F4B"/>
    <w:rsid w:val="635B3E85"/>
    <w:rsid w:val="635B450F"/>
    <w:rsid w:val="635B4AEC"/>
    <w:rsid w:val="635C3C2B"/>
    <w:rsid w:val="635C5315"/>
    <w:rsid w:val="635D21B2"/>
    <w:rsid w:val="635D3662"/>
    <w:rsid w:val="635D67A5"/>
    <w:rsid w:val="635D78BF"/>
    <w:rsid w:val="635D7C38"/>
    <w:rsid w:val="635E4D67"/>
    <w:rsid w:val="635F1C73"/>
    <w:rsid w:val="635F3637"/>
    <w:rsid w:val="635F3C96"/>
    <w:rsid w:val="63602AA9"/>
    <w:rsid w:val="63603AA8"/>
    <w:rsid w:val="6361115D"/>
    <w:rsid w:val="6361369C"/>
    <w:rsid w:val="63616FD8"/>
    <w:rsid w:val="63626C83"/>
    <w:rsid w:val="63626E22"/>
    <w:rsid w:val="63631239"/>
    <w:rsid w:val="63633A21"/>
    <w:rsid w:val="63640C4D"/>
    <w:rsid w:val="636429FB"/>
    <w:rsid w:val="636447A9"/>
    <w:rsid w:val="6364688B"/>
    <w:rsid w:val="63657A94"/>
    <w:rsid w:val="63660521"/>
    <w:rsid w:val="63666C32"/>
    <w:rsid w:val="63675F9F"/>
    <w:rsid w:val="636813A7"/>
    <w:rsid w:val="63681574"/>
    <w:rsid w:val="63682FEE"/>
    <w:rsid w:val="63686489"/>
    <w:rsid w:val="63687DF0"/>
    <w:rsid w:val="63687E63"/>
    <w:rsid w:val="63690958"/>
    <w:rsid w:val="636A3A3A"/>
    <w:rsid w:val="636B3D8A"/>
    <w:rsid w:val="636B5B38"/>
    <w:rsid w:val="636C18B0"/>
    <w:rsid w:val="636C365E"/>
    <w:rsid w:val="636C36C9"/>
    <w:rsid w:val="636C4E0A"/>
    <w:rsid w:val="636C629A"/>
    <w:rsid w:val="636C7B02"/>
    <w:rsid w:val="636D006B"/>
    <w:rsid w:val="636E5628"/>
    <w:rsid w:val="636E73DB"/>
    <w:rsid w:val="636F62F9"/>
    <w:rsid w:val="63702430"/>
    <w:rsid w:val="6370314E"/>
    <w:rsid w:val="63710654"/>
    <w:rsid w:val="63714BFB"/>
    <w:rsid w:val="63717671"/>
    <w:rsid w:val="6372753B"/>
    <w:rsid w:val="637278F8"/>
    <w:rsid w:val="63730E90"/>
    <w:rsid w:val="637314B4"/>
    <w:rsid w:val="63731937"/>
    <w:rsid w:val="63732C3E"/>
    <w:rsid w:val="637349EC"/>
    <w:rsid w:val="6373701D"/>
    <w:rsid w:val="637502EA"/>
    <w:rsid w:val="637569B7"/>
    <w:rsid w:val="63763992"/>
    <w:rsid w:val="63767BB2"/>
    <w:rsid w:val="63770981"/>
    <w:rsid w:val="637710D9"/>
    <w:rsid w:val="637744A5"/>
    <w:rsid w:val="637750E0"/>
    <w:rsid w:val="63780255"/>
    <w:rsid w:val="637846F9"/>
    <w:rsid w:val="6378478A"/>
    <w:rsid w:val="63784A9C"/>
    <w:rsid w:val="63794E02"/>
    <w:rsid w:val="637A3FCD"/>
    <w:rsid w:val="637A5D7B"/>
    <w:rsid w:val="637B3D02"/>
    <w:rsid w:val="637C5F97"/>
    <w:rsid w:val="637D17FC"/>
    <w:rsid w:val="637D464D"/>
    <w:rsid w:val="637E524A"/>
    <w:rsid w:val="637F15E3"/>
    <w:rsid w:val="637F3391"/>
    <w:rsid w:val="637F5362"/>
    <w:rsid w:val="637F5A87"/>
    <w:rsid w:val="637F7835"/>
    <w:rsid w:val="63801AD9"/>
    <w:rsid w:val="63806119"/>
    <w:rsid w:val="63807109"/>
    <w:rsid w:val="638110C6"/>
    <w:rsid w:val="638135AD"/>
    <w:rsid w:val="638210D3"/>
    <w:rsid w:val="638212EC"/>
    <w:rsid w:val="63822E81"/>
    <w:rsid w:val="63824145"/>
    <w:rsid w:val="6382702F"/>
    <w:rsid w:val="638271BE"/>
    <w:rsid w:val="638304BF"/>
    <w:rsid w:val="63831DC1"/>
    <w:rsid w:val="63834150"/>
    <w:rsid w:val="63844520"/>
    <w:rsid w:val="63847A6C"/>
    <w:rsid w:val="63853B98"/>
    <w:rsid w:val="63874C22"/>
    <w:rsid w:val="63875CB7"/>
    <w:rsid w:val="63880ADD"/>
    <w:rsid w:val="63884331"/>
    <w:rsid w:val="6388493C"/>
    <w:rsid w:val="638906B4"/>
    <w:rsid w:val="638927FA"/>
    <w:rsid w:val="63893C86"/>
    <w:rsid w:val="63894210"/>
    <w:rsid w:val="63895F8A"/>
    <w:rsid w:val="638A6C51"/>
    <w:rsid w:val="638B6FDE"/>
    <w:rsid w:val="638B7F88"/>
    <w:rsid w:val="638C3517"/>
    <w:rsid w:val="638C5AAE"/>
    <w:rsid w:val="638C7940"/>
    <w:rsid w:val="638D3447"/>
    <w:rsid w:val="638D4142"/>
    <w:rsid w:val="638E1826"/>
    <w:rsid w:val="638E237F"/>
    <w:rsid w:val="638E46AD"/>
    <w:rsid w:val="638E7A78"/>
    <w:rsid w:val="638F3CC8"/>
    <w:rsid w:val="638F60F5"/>
    <w:rsid w:val="638F6767"/>
    <w:rsid w:val="63901A42"/>
    <w:rsid w:val="639037F0"/>
    <w:rsid w:val="63904138"/>
    <w:rsid w:val="639041BF"/>
    <w:rsid w:val="6390447E"/>
    <w:rsid w:val="6390559E"/>
    <w:rsid w:val="6390606B"/>
    <w:rsid w:val="63912E94"/>
    <w:rsid w:val="63927568"/>
    <w:rsid w:val="63931444"/>
    <w:rsid w:val="63932EEA"/>
    <w:rsid w:val="63935FC0"/>
    <w:rsid w:val="63936B01"/>
    <w:rsid w:val="6394356A"/>
    <w:rsid w:val="63944673"/>
    <w:rsid w:val="63950E07"/>
    <w:rsid w:val="63956F8D"/>
    <w:rsid w:val="63957059"/>
    <w:rsid w:val="63963E12"/>
    <w:rsid w:val="639711CB"/>
    <w:rsid w:val="63972996"/>
    <w:rsid w:val="63974B7F"/>
    <w:rsid w:val="639775D1"/>
    <w:rsid w:val="639808F7"/>
    <w:rsid w:val="639826A5"/>
    <w:rsid w:val="63983E26"/>
    <w:rsid w:val="639943D9"/>
    <w:rsid w:val="63996E71"/>
    <w:rsid w:val="639A01CB"/>
    <w:rsid w:val="639A466F"/>
    <w:rsid w:val="639A641D"/>
    <w:rsid w:val="639A6746"/>
    <w:rsid w:val="639B0BC9"/>
    <w:rsid w:val="639C3F43"/>
    <w:rsid w:val="639C6DF5"/>
    <w:rsid w:val="639D5F0D"/>
    <w:rsid w:val="639E662F"/>
    <w:rsid w:val="639F05C5"/>
    <w:rsid w:val="639F1C85"/>
    <w:rsid w:val="639F238C"/>
    <w:rsid w:val="639F3A32"/>
    <w:rsid w:val="639F400B"/>
    <w:rsid w:val="639F4DC4"/>
    <w:rsid w:val="63A03DC9"/>
    <w:rsid w:val="63A04029"/>
    <w:rsid w:val="63A1155A"/>
    <w:rsid w:val="63A13E11"/>
    <w:rsid w:val="63A1576A"/>
    <w:rsid w:val="63A159FD"/>
    <w:rsid w:val="63A16619"/>
    <w:rsid w:val="63A177AC"/>
    <w:rsid w:val="63A21487"/>
    <w:rsid w:val="63A23524"/>
    <w:rsid w:val="63A252D2"/>
    <w:rsid w:val="63A30A4A"/>
    <w:rsid w:val="63A33C86"/>
    <w:rsid w:val="63A34582"/>
    <w:rsid w:val="63A4104A"/>
    <w:rsid w:val="63A412A8"/>
    <w:rsid w:val="63A457AC"/>
    <w:rsid w:val="63A5631A"/>
    <w:rsid w:val="63A56B77"/>
    <w:rsid w:val="63A56FE1"/>
    <w:rsid w:val="63A62985"/>
    <w:rsid w:val="63A634F7"/>
    <w:rsid w:val="63A64DC2"/>
    <w:rsid w:val="63A66B70"/>
    <w:rsid w:val="63A728E8"/>
    <w:rsid w:val="63A76420"/>
    <w:rsid w:val="63A77DC2"/>
    <w:rsid w:val="63A8065D"/>
    <w:rsid w:val="63A84427"/>
    <w:rsid w:val="63A845E8"/>
    <w:rsid w:val="63A86D8C"/>
    <w:rsid w:val="63A921DA"/>
    <w:rsid w:val="63A95FE5"/>
    <w:rsid w:val="63A96660"/>
    <w:rsid w:val="63AA76C4"/>
    <w:rsid w:val="63AB23D8"/>
    <w:rsid w:val="63AB45E2"/>
    <w:rsid w:val="63AB5B32"/>
    <w:rsid w:val="63AB687C"/>
    <w:rsid w:val="63AC229C"/>
    <w:rsid w:val="63AC5238"/>
    <w:rsid w:val="63AE1EC8"/>
    <w:rsid w:val="63AE5D14"/>
    <w:rsid w:val="63AE604C"/>
    <w:rsid w:val="63AF041B"/>
    <w:rsid w:val="63AF106E"/>
    <w:rsid w:val="63AF3F9F"/>
    <w:rsid w:val="63B11BBD"/>
    <w:rsid w:val="63B15228"/>
    <w:rsid w:val="63B1569C"/>
    <w:rsid w:val="63B219B9"/>
    <w:rsid w:val="63B26E0F"/>
    <w:rsid w:val="63B27A52"/>
    <w:rsid w:val="63B27CD2"/>
    <w:rsid w:val="63B3602F"/>
    <w:rsid w:val="63B45BFE"/>
    <w:rsid w:val="63B50B61"/>
    <w:rsid w:val="63B514A9"/>
    <w:rsid w:val="63B53257"/>
    <w:rsid w:val="63B55005"/>
    <w:rsid w:val="63B62FF8"/>
    <w:rsid w:val="63B647DE"/>
    <w:rsid w:val="63B70D7D"/>
    <w:rsid w:val="63B75221"/>
    <w:rsid w:val="63B75C6E"/>
    <w:rsid w:val="63B82D47"/>
    <w:rsid w:val="63B85CF5"/>
    <w:rsid w:val="63B868A3"/>
    <w:rsid w:val="63B913AC"/>
    <w:rsid w:val="63B92C64"/>
    <w:rsid w:val="63B93FAB"/>
    <w:rsid w:val="63B95340"/>
    <w:rsid w:val="63B95C1F"/>
    <w:rsid w:val="63BA086D"/>
    <w:rsid w:val="63BA1377"/>
    <w:rsid w:val="63BA261B"/>
    <w:rsid w:val="63BA3B5E"/>
    <w:rsid w:val="63BA45EF"/>
    <w:rsid w:val="63BA4C01"/>
    <w:rsid w:val="63BA5108"/>
    <w:rsid w:val="63BA5D30"/>
    <w:rsid w:val="63BA6ABF"/>
    <w:rsid w:val="63BC0B42"/>
    <w:rsid w:val="63BC18BA"/>
    <w:rsid w:val="63BC45E5"/>
    <w:rsid w:val="63BC5D29"/>
    <w:rsid w:val="63BC6393"/>
    <w:rsid w:val="63BD3EBA"/>
    <w:rsid w:val="63BD4AAC"/>
    <w:rsid w:val="63BE65AF"/>
    <w:rsid w:val="63BF40D6"/>
    <w:rsid w:val="63BF5E84"/>
    <w:rsid w:val="63C00085"/>
    <w:rsid w:val="63C00461"/>
    <w:rsid w:val="63C12B4F"/>
    <w:rsid w:val="63C139AA"/>
    <w:rsid w:val="63C30523"/>
    <w:rsid w:val="63C33BC6"/>
    <w:rsid w:val="63C42488"/>
    <w:rsid w:val="63C447EB"/>
    <w:rsid w:val="63C45248"/>
    <w:rsid w:val="63C46E55"/>
    <w:rsid w:val="63C5799F"/>
    <w:rsid w:val="63C60FC0"/>
    <w:rsid w:val="63C61B2C"/>
    <w:rsid w:val="63C621DC"/>
    <w:rsid w:val="63C65464"/>
    <w:rsid w:val="63C71798"/>
    <w:rsid w:val="63C75763"/>
    <w:rsid w:val="63C824AE"/>
    <w:rsid w:val="63C8252E"/>
    <w:rsid w:val="63C8796E"/>
    <w:rsid w:val="63C92C54"/>
    <w:rsid w:val="63C9479B"/>
    <w:rsid w:val="63C94F54"/>
    <w:rsid w:val="63C95D8A"/>
    <w:rsid w:val="63C96D02"/>
    <w:rsid w:val="63CA09D8"/>
    <w:rsid w:val="63CA552E"/>
    <w:rsid w:val="63CA67D1"/>
    <w:rsid w:val="63CC15D6"/>
    <w:rsid w:val="63CC1966"/>
    <w:rsid w:val="63CC234F"/>
    <w:rsid w:val="63CC3B27"/>
    <w:rsid w:val="63CC46EB"/>
    <w:rsid w:val="63CD05A1"/>
    <w:rsid w:val="63CD3C00"/>
    <w:rsid w:val="63CD67F3"/>
    <w:rsid w:val="63CE4319"/>
    <w:rsid w:val="63CF256B"/>
    <w:rsid w:val="63CF5724"/>
    <w:rsid w:val="63CF7D49"/>
    <w:rsid w:val="63D00091"/>
    <w:rsid w:val="63D02666"/>
    <w:rsid w:val="63D062E3"/>
    <w:rsid w:val="63D07F56"/>
    <w:rsid w:val="63D27965"/>
    <w:rsid w:val="63D3192F"/>
    <w:rsid w:val="63D35E3B"/>
    <w:rsid w:val="63D407E9"/>
    <w:rsid w:val="63D40BE9"/>
    <w:rsid w:val="63D42D01"/>
    <w:rsid w:val="63D47B81"/>
    <w:rsid w:val="63D52938"/>
    <w:rsid w:val="63D538F9"/>
    <w:rsid w:val="63D556A7"/>
    <w:rsid w:val="63D55F45"/>
    <w:rsid w:val="63D616AC"/>
    <w:rsid w:val="63D62F17"/>
    <w:rsid w:val="63D72AAD"/>
    <w:rsid w:val="63D75030"/>
    <w:rsid w:val="63D77671"/>
    <w:rsid w:val="63D8165B"/>
    <w:rsid w:val="63D84371"/>
    <w:rsid w:val="63D8685A"/>
    <w:rsid w:val="63D86F45"/>
    <w:rsid w:val="63D911CF"/>
    <w:rsid w:val="63D9257E"/>
    <w:rsid w:val="63DA0F0F"/>
    <w:rsid w:val="63DA2CBD"/>
    <w:rsid w:val="63DA3BD9"/>
    <w:rsid w:val="63DA4A6C"/>
    <w:rsid w:val="63DA4B94"/>
    <w:rsid w:val="63DA4FBB"/>
    <w:rsid w:val="63DA5E45"/>
    <w:rsid w:val="63DA7914"/>
    <w:rsid w:val="63DB0E76"/>
    <w:rsid w:val="63DC07E4"/>
    <w:rsid w:val="63DC4C88"/>
    <w:rsid w:val="63DC5AC7"/>
    <w:rsid w:val="63DC6A36"/>
    <w:rsid w:val="63DC7C3A"/>
    <w:rsid w:val="63DD3AE4"/>
    <w:rsid w:val="63DD630A"/>
    <w:rsid w:val="63DE27AE"/>
    <w:rsid w:val="63DE3D4B"/>
    <w:rsid w:val="63DE428C"/>
    <w:rsid w:val="63DF61C4"/>
    <w:rsid w:val="63E0233E"/>
    <w:rsid w:val="63E04F10"/>
    <w:rsid w:val="63E072AA"/>
    <w:rsid w:val="63E07673"/>
    <w:rsid w:val="63E112CE"/>
    <w:rsid w:val="63E1229E"/>
    <w:rsid w:val="63E13B2C"/>
    <w:rsid w:val="63E1404C"/>
    <w:rsid w:val="63E15138"/>
    <w:rsid w:val="63E15DFA"/>
    <w:rsid w:val="63E24985"/>
    <w:rsid w:val="63E26D94"/>
    <w:rsid w:val="63E36016"/>
    <w:rsid w:val="63E37DC4"/>
    <w:rsid w:val="63E43B3C"/>
    <w:rsid w:val="63E44975"/>
    <w:rsid w:val="63E458EA"/>
    <w:rsid w:val="63E4785C"/>
    <w:rsid w:val="63E57BB9"/>
    <w:rsid w:val="63E57F48"/>
    <w:rsid w:val="63E61662"/>
    <w:rsid w:val="63E63410"/>
    <w:rsid w:val="63E71ADF"/>
    <w:rsid w:val="63E72C29"/>
    <w:rsid w:val="63E77BC1"/>
    <w:rsid w:val="63E83E60"/>
    <w:rsid w:val="63E853DA"/>
    <w:rsid w:val="63E87F10"/>
    <w:rsid w:val="63E90F19"/>
    <w:rsid w:val="63E92877"/>
    <w:rsid w:val="63E92F01"/>
    <w:rsid w:val="63E94CAF"/>
    <w:rsid w:val="63E9766D"/>
    <w:rsid w:val="63EA3CF9"/>
    <w:rsid w:val="63EA76F9"/>
    <w:rsid w:val="63EB0A27"/>
    <w:rsid w:val="63EB2BEC"/>
    <w:rsid w:val="63EB4B5E"/>
    <w:rsid w:val="63EB7D48"/>
    <w:rsid w:val="63EC02FC"/>
    <w:rsid w:val="63EC6DDA"/>
    <w:rsid w:val="63ED0BBF"/>
    <w:rsid w:val="63ED0C43"/>
    <w:rsid w:val="63ED1C6E"/>
    <w:rsid w:val="63ED29F1"/>
    <w:rsid w:val="63ED4609"/>
    <w:rsid w:val="63ED4C17"/>
    <w:rsid w:val="63EE0517"/>
    <w:rsid w:val="63EE4AF7"/>
    <w:rsid w:val="63EE6769"/>
    <w:rsid w:val="63EE7C86"/>
    <w:rsid w:val="63EF5EE8"/>
    <w:rsid w:val="63EF79C8"/>
    <w:rsid w:val="63F024E1"/>
    <w:rsid w:val="63F0354C"/>
    <w:rsid w:val="63F05DFF"/>
    <w:rsid w:val="63F07540"/>
    <w:rsid w:val="63F15C79"/>
    <w:rsid w:val="63F21824"/>
    <w:rsid w:val="63F21DB5"/>
    <w:rsid w:val="63F22BDE"/>
    <w:rsid w:val="63F23722"/>
    <w:rsid w:val="63F24DE2"/>
    <w:rsid w:val="63F36B6B"/>
    <w:rsid w:val="63F42B94"/>
    <w:rsid w:val="63F43C78"/>
    <w:rsid w:val="63F4797D"/>
    <w:rsid w:val="63F5426F"/>
    <w:rsid w:val="63F57E7F"/>
    <w:rsid w:val="63F6018E"/>
    <w:rsid w:val="63F634EE"/>
    <w:rsid w:val="63F72284"/>
    <w:rsid w:val="63F73101"/>
    <w:rsid w:val="63F7561D"/>
    <w:rsid w:val="63F773CC"/>
    <w:rsid w:val="63F81502"/>
    <w:rsid w:val="63F860DF"/>
    <w:rsid w:val="63F905F2"/>
    <w:rsid w:val="63F93351"/>
    <w:rsid w:val="63F96C6F"/>
    <w:rsid w:val="63FA1F92"/>
    <w:rsid w:val="63FA2442"/>
    <w:rsid w:val="63FA31C3"/>
    <w:rsid w:val="63FA3360"/>
    <w:rsid w:val="63FA4DA2"/>
    <w:rsid w:val="63FA510E"/>
    <w:rsid w:val="63FB20E7"/>
    <w:rsid w:val="63FB2F12"/>
    <w:rsid w:val="63FB4653"/>
    <w:rsid w:val="63FB599C"/>
    <w:rsid w:val="63FB5A2B"/>
    <w:rsid w:val="63FC2C34"/>
    <w:rsid w:val="63FC3ADC"/>
    <w:rsid w:val="63FC5AE3"/>
    <w:rsid w:val="63FC68A5"/>
    <w:rsid w:val="63FC6C25"/>
    <w:rsid w:val="63FD7B2C"/>
    <w:rsid w:val="63FE2FD4"/>
    <w:rsid w:val="63FE69AC"/>
    <w:rsid w:val="63FF2724"/>
    <w:rsid w:val="64004F8F"/>
    <w:rsid w:val="64007035"/>
    <w:rsid w:val="640146EE"/>
    <w:rsid w:val="64014D97"/>
    <w:rsid w:val="6401649C"/>
    <w:rsid w:val="64020214"/>
    <w:rsid w:val="64020752"/>
    <w:rsid w:val="64021C57"/>
    <w:rsid w:val="640242D6"/>
    <w:rsid w:val="64026477"/>
    <w:rsid w:val="64033FC2"/>
    <w:rsid w:val="640352EA"/>
    <w:rsid w:val="640359B6"/>
    <w:rsid w:val="64041AE8"/>
    <w:rsid w:val="64041C35"/>
    <w:rsid w:val="64050E5B"/>
    <w:rsid w:val="64053424"/>
    <w:rsid w:val="64055F8C"/>
    <w:rsid w:val="64063AB3"/>
    <w:rsid w:val="640642A1"/>
    <w:rsid w:val="64065861"/>
    <w:rsid w:val="6406789D"/>
    <w:rsid w:val="640727F5"/>
    <w:rsid w:val="64073003"/>
    <w:rsid w:val="64074337"/>
    <w:rsid w:val="640779B7"/>
    <w:rsid w:val="64077D02"/>
    <w:rsid w:val="64085A7D"/>
    <w:rsid w:val="640877E7"/>
    <w:rsid w:val="6408782B"/>
    <w:rsid w:val="6409352E"/>
    <w:rsid w:val="64095351"/>
    <w:rsid w:val="640970FF"/>
    <w:rsid w:val="640A0EA8"/>
    <w:rsid w:val="640A0F29"/>
    <w:rsid w:val="640A312F"/>
    <w:rsid w:val="640A35A3"/>
    <w:rsid w:val="640B15B8"/>
    <w:rsid w:val="640B2E77"/>
    <w:rsid w:val="640B54DA"/>
    <w:rsid w:val="640C55D8"/>
    <w:rsid w:val="640D2481"/>
    <w:rsid w:val="640D3970"/>
    <w:rsid w:val="640D4E41"/>
    <w:rsid w:val="640E26C8"/>
    <w:rsid w:val="640E3D34"/>
    <w:rsid w:val="640E43A7"/>
    <w:rsid w:val="640F17B3"/>
    <w:rsid w:val="64100492"/>
    <w:rsid w:val="64102431"/>
    <w:rsid w:val="64104931"/>
    <w:rsid w:val="641066DF"/>
    <w:rsid w:val="64116879"/>
    <w:rsid w:val="64116F63"/>
    <w:rsid w:val="64125B99"/>
    <w:rsid w:val="641273EB"/>
    <w:rsid w:val="641309B4"/>
    <w:rsid w:val="641328DA"/>
    <w:rsid w:val="64134503"/>
    <w:rsid w:val="6413711C"/>
    <w:rsid w:val="64137F7D"/>
    <w:rsid w:val="6414275C"/>
    <w:rsid w:val="641440F0"/>
    <w:rsid w:val="64144421"/>
    <w:rsid w:val="64145841"/>
    <w:rsid w:val="64152349"/>
    <w:rsid w:val="64153CF6"/>
    <w:rsid w:val="641544DC"/>
    <w:rsid w:val="64155441"/>
    <w:rsid w:val="64155AA4"/>
    <w:rsid w:val="64157DCB"/>
    <w:rsid w:val="6416019A"/>
    <w:rsid w:val="641626D8"/>
    <w:rsid w:val="64162E7C"/>
    <w:rsid w:val="64164340"/>
    <w:rsid w:val="641679A8"/>
    <w:rsid w:val="6417181C"/>
    <w:rsid w:val="64175CC0"/>
    <w:rsid w:val="64177A6E"/>
    <w:rsid w:val="64182D0A"/>
    <w:rsid w:val="64183B7B"/>
    <w:rsid w:val="64184643"/>
    <w:rsid w:val="64191A38"/>
    <w:rsid w:val="64193185"/>
    <w:rsid w:val="6419500B"/>
    <w:rsid w:val="641A1101"/>
    <w:rsid w:val="641A4479"/>
    <w:rsid w:val="641A755E"/>
    <w:rsid w:val="641B7397"/>
    <w:rsid w:val="641C03D5"/>
    <w:rsid w:val="641C5084"/>
    <w:rsid w:val="641C50CD"/>
    <w:rsid w:val="641D4AE3"/>
    <w:rsid w:val="641E0DFC"/>
    <w:rsid w:val="641E2BAA"/>
    <w:rsid w:val="641E6E0A"/>
    <w:rsid w:val="641F0E7D"/>
    <w:rsid w:val="641F4E9A"/>
    <w:rsid w:val="641F6AA1"/>
    <w:rsid w:val="642018CA"/>
    <w:rsid w:val="6420220E"/>
    <w:rsid w:val="64202DC6"/>
    <w:rsid w:val="6421003F"/>
    <w:rsid w:val="642108EC"/>
    <w:rsid w:val="64211833"/>
    <w:rsid w:val="6421269A"/>
    <w:rsid w:val="642133A1"/>
    <w:rsid w:val="64213BF9"/>
    <w:rsid w:val="64213E86"/>
    <w:rsid w:val="64214699"/>
    <w:rsid w:val="64216B3E"/>
    <w:rsid w:val="64220C2D"/>
    <w:rsid w:val="642223CF"/>
    <w:rsid w:val="64226DAB"/>
    <w:rsid w:val="64230A26"/>
    <w:rsid w:val="64236413"/>
    <w:rsid w:val="64236E8E"/>
    <w:rsid w:val="6424218B"/>
    <w:rsid w:val="642503DD"/>
    <w:rsid w:val="64251AA0"/>
    <w:rsid w:val="6425617F"/>
    <w:rsid w:val="642566DD"/>
    <w:rsid w:val="64260977"/>
    <w:rsid w:val="64262B52"/>
    <w:rsid w:val="64264155"/>
    <w:rsid w:val="64267CB1"/>
    <w:rsid w:val="64271D63"/>
    <w:rsid w:val="64281C7B"/>
    <w:rsid w:val="64282923"/>
    <w:rsid w:val="64283670"/>
    <w:rsid w:val="64283A91"/>
    <w:rsid w:val="642902A6"/>
    <w:rsid w:val="64292F48"/>
    <w:rsid w:val="642942C5"/>
    <w:rsid w:val="642976D1"/>
    <w:rsid w:val="642A0FA4"/>
    <w:rsid w:val="642A1E67"/>
    <w:rsid w:val="642A1F39"/>
    <w:rsid w:val="642A4B42"/>
    <w:rsid w:val="642B01FE"/>
    <w:rsid w:val="642B176B"/>
    <w:rsid w:val="642B1CB3"/>
    <w:rsid w:val="642B3664"/>
    <w:rsid w:val="642B52C7"/>
    <w:rsid w:val="642B5FAF"/>
    <w:rsid w:val="642B7E31"/>
    <w:rsid w:val="642C3B65"/>
    <w:rsid w:val="642C41FC"/>
    <w:rsid w:val="642C54CE"/>
    <w:rsid w:val="642C5EEC"/>
    <w:rsid w:val="642C68C2"/>
    <w:rsid w:val="642C78B8"/>
    <w:rsid w:val="642D103F"/>
    <w:rsid w:val="642E63E0"/>
    <w:rsid w:val="642E74E2"/>
    <w:rsid w:val="642F125B"/>
    <w:rsid w:val="642F1E02"/>
    <w:rsid w:val="642F7BED"/>
    <w:rsid w:val="643028DD"/>
    <w:rsid w:val="643049D3"/>
    <w:rsid w:val="64306D81"/>
    <w:rsid w:val="64311048"/>
    <w:rsid w:val="64317910"/>
    <w:rsid w:val="64324F11"/>
    <w:rsid w:val="64333354"/>
    <w:rsid w:val="64334F3E"/>
    <w:rsid w:val="643405E3"/>
    <w:rsid w:val="64343C94"/>
    <w:rsid w:val="6435343A"/>
    <w:rsid w:val="64357AD2"/>
    <w:rsid w:val="64357EF4"/>
    <w:rsid w:val="64370110"/>
    <w:rsid w:val="64370594"/>
    <w:rsid w:val="64371EBE"/>
    <w:rsid w:val="64373C6C"/>
    <w:rsid w:val="6437542F"/>
    <w:rsid w:val="643757AC"/>
    <w:rsid w:val="64385BD1"/>
    <w:rsid w:val="6438796F"/>
    <w:rsid w:val="64391971"/>
    <w:rsid w:val="64393E88"/>
    <w:rsid w:val="64394550"/>
    <w:rsid w:val="64395A85"/>
    <w:rsid w:val="64395C36"/>
    <w:rsid w:val="643A375C"/>
    <w:rsid w:val="643A71AD"/>
    <w:rsid w:val="643B2921"/>
    <w:rsid w:val="643B73AB"/>
    <w:rsid w:val="643C14DD"/>
    <w:rsid w:val="643C2420"/>
    <w:rsid w:val="643C28B4"/>
    <w:rsid w:val="643C5726"/>
    <w:rsid w:val="643C6DA3"/>
    <w:rsid w:val="643D3320"/>
    <w:rsid w:val="643D6E2D"/>
    <w:rsid w:val="643E0106"/>
    <w:rsid w:val="643E149E"/>
    <w:rsid w:val="643E219A"/>
    <w:rsid w:val="643E4FFA"/>
    <w:rsid w:val="643E5D87"/>
    <w:rsid w:val="643E76BF"/>
    <w:rsid w:val="643F08D6"/>
    <w:rsid w:val="643F0C33"/>
    <w:rsid w:val="643F0D73"/>
    <w:rsid w:val="643F2C1D"/>
    <w:rsid w:val="643F365D"/>
    <w:rsid w:val="6441039D"/>
    <w:rsid w:val="64410F8F"/>
    <w:rsid w:val="64416899"/>
    <w:rsid w:val="644227A4"/>
    <w:rsid w:val="64430863"/>
    <w:rsid w:val="644441DE"/>
    <w:rsid w:val="64446389"/>
    <w:rsid w:val="64451F2A"/>
    <w:rsid w:val="6445282D"/>
    <w:rsid w:val="64456DCE"/>
    <w:rsid w:val="64460353"/>
    <w:rsid w:val="64462101"/>
    <w:rsid w:val="644665A5"/>
    <w:rsid w:val="64467A73"/>
    <w:rsid w:val="6449313A"/>
    <w:rsid w:val="644943C6"/>
    <w:rsid w:val="644A1E4E"/>
    <w:rsid w:val="644A615E"/>
    <w:rsid w:val="644A6B73"/>
    <w:rsid w:val="644A6C01"/>
    <w:rsid w:val="644A7E43"/>
    <w:rsid w:val="644B15DB"/>
    <w:rsid w:val="644B4B96"/>
    <w:rsid w:val="644C3BBB"/>
    <w:rsid w:val="644E6134"/>
    <w:rsid w:val="644F0FB6"/>
    <w:rsid w:val="644F362F"/>
    <w:rsid w:val="644F3956"/>
    <w:rsid w:val="644F5459"/>
    <w:rsid w:val="644F681B"/>
    <w:rsid w:val="64500072"/>
    <w:rsid w:val="645016EF"/>
    <w:rsid w:val="645018E6"/>
    <w:rsid w:val="64502F80"/>
    <w:rsid w:val="64507CAB"/>
    <w:rsid w:val="645102AF"/>
    <w:rsid w:val="645171E7"/>
    <w:rsid w:val="64524F4A"/>
    <w:rsid w:val="6452519C"/>
    <w:rsid w:val="64525C09"/>
    <w:rsid w:val="645262F3"/>
    <w:rsid w:val="64526CF8"/>
    <w:rsid w:val="64526DC8"/>
    <w:rsid w:val="6453190A"/>
    <w:rsid w:val="6453662C"/>
    <w:rsid w:val="64540CC2"/>
    <w:rsid w:val="64545B37"/>
    <w:rsid w:val="64547FAC"/>
    <w:rsid w:val="64550596"/>
    <w:rsid w:val="64561A99"/>
    <w:rsid w:val="6456200E"/>
    <w:rsid w:val="645639F0"/>
    <w:rsid w:val="64571C8B"/>
    <w:rsid w:val="64572560"/>
    <w:rsid w:val="64573C01"/>
    <w:rsid w:val="6458042E"/>
    <w:rsid w:val="645830D2"/>
    <w:rsid w:val="6458344A"/>
    <w:rsid w:val="64590086"/>
    <w:rsid w:val="645962D8"/>
    <w:rsid w:val="645966CA"/>
    <w:rsid w:val="645A5A3A"/>
    <w:rsid w:val="645B159D"/>
    <w:rsid w:val="645B3DFE"/>
    <w:rsid w:val="645B45D0"/>
    <w:rsid w:val="645B6166"/>
    <w:rsid w:val="645C36D2"/>
    <w:rsid w:val="645C42C0"/>
    <w:rsid w:val="645D6801"/>
    <w:rsid w:val="645D7776"/>
    <w:rsid w:val="645E1621"/>
    <w:rsid w:val="645E1CF7"/>
    <w:rsid w:val="645E25EF"/>
    <w:rsid w:val="645E69C9"/>
    <w:rsid w:val="645F5392"/>
    <w:rsid w:val="645F6B45"/>
    <w:rsid w:val="645F7E0A"/>
    <w:rsid w:val="646007EB"/>
    <w:rsid w:val="64601415"/>
    <w:rsid w:val="64613801"/>
    <w:rsid w:val="6461518D"/>
    <w:rsid w:val="64630F05"/>
    <w:rsid w:val="6463171A"/>
    <w:rsid w:val="64632CB3"/>
    <w:rsid w:val="64641727"/>
    <w:rsid w:val="6464464F"/>
    <w:rsid w:val="6464663E"/>
    <w:rsid w:val="646507D9"/>
    <w:rsid w:val="64654C7D"/>
    <w:rsid w:val="64656ED0"/>
    <w:rsid w:val="646709F5"/>
    <w:rsid w:val="64680B03"/>
    <w:rsid w:val="64682077"/>
    <w:rsid w:val="6468630B"/>
    <w:rsid w:val="6468651B"/>
    <w:rsid w:val="646A4041"/>
    <w:rsid w:val="646A5DEF"/>
    <w:rsid w:val="646B1FA0"/>
    <w:rsid w:val="646B7DB9"/>
    <w:rsid w:val="646D261F"/>
    <w:rsid w:val="646D34E5"/>
    <w:rsid w:val="646D3B32"/>
    <w:rsid w:val="646D3D82"/>
    <w:rsid w:val="646D768E"/>
    <w:rsid w:val="646E290D"/>
    <w:rsid w:val="646E6ED2"/>
    <w:rsid w:val="646F3406"/>
    <w:rsid w:val="646F5D5E"/>
    <w:rsid w:val="646F6EC3"/>
    <w:rsid w:val="646F78AA"/>
    <w:rsid w:val="64701E66"/>
    <w:rsid w:val="64701ECC"/>
    <w:rsid w:val="64713DD5"/>
    <w:rsid w:val="64717164"/>
    <w:rsid w:val="64721148"/>
    <w:rsid w:val="64722EF6"/>
    <w:rsid w:val="64723494"/>
    <w:rsid w:val="6472401C"/>
    <w:rsid w:val="647307E7"/>
    <w:rsid w:val="64730C41"/>
    <w:rsid w:val="64731F9B"/>
    <w:rsid w:val="64733D0A"/>
    <w:rsid w:val="64740360"/>
    <w:rsid w:val="647434B5"/>
    <w:rsid w:val="64744EC0"/>
    <w:rsid w:val="6474549B"/>
    <w:rsid w:val="64754794"/>
    <w:rsid w:val="64756893"/>
    <w:rsid w:val="64761C34"/>
    <w:rsid w:val="647629E6"/>
    <w:rsid w:val="6477050C"/>
    <w:rsid w:val="64770E73"/>
    <w:rsid w:val="647732ED"/>
    <w:rsid w:val="6477675E"/>
    <w:rsid w:val="64776FF1"/>
    <w:rsid w:val="64777C29"/>
    <w:rsid w:val="647874BC"/>
    <w:rsid w:val="64790728"/>
    <w:rsid w:val="64791478"/>
    <w:rsid w:val="64791A88"/>
    <w:rsid w:val="647924D6"/>
    <w:rsid w:val="64793A74"/>
    <w:rsid w:val="647A1DAB"/>
    <w:rsid w:val="647B624F"/>
    <w:rsid w:val="647B6F79"/>
    <w:rsid w:val="647C001E"/>
    <w:rsid w:val="647C300F"/>
    <w:rsid w:val="647C3D75"/>
    <w:rsid w:val="647C5B23"/>
    <w:rsid w:val="647C5EBE"/>
    <w:rsid w:val="647D6C20"/>
    <w:rsid w:val="647E1F79"/>
    <w:rsid w:val="647E270F"/>
    <w:rsid w:val="647E30EE"/>
    <w:rsid w:val="647E3DF3"/>
    <w:rsid w:val="647E4A19"/>
    <w:rsid w:val="647E5D3F"/>
    <w:rsid w:val="647F15F1"/>
    <w:rsid w:val="64800F8E"/>
    <w:rsid w:val="648033C0"/>
    <w:rsid w:val="648036D8"/>
    <w:rsid w:val="64805613"/>
    <w:rsid w:val="64810247"/>
    <w:rsid w:val="64810779"/>
    <w:rsid w:val="64811D7A"/>
    <w:rsid w:val="64814073"/>
    <w:rsid w:val="64814A2B"/>
    <w:rsid w:val="6482057F"/>
    <w:rsid w:val="648228D9"/>
    <w:rsid w:val="648275DD"/>
    <w:rsid w:val="64827D86"/>
    <w:rsid w:val="64832F8E"/>
    <w:rsid w:val="64835103"/>
    <w:rsid w:val="6484176C"/>
    <w:rsid w:val="64844409"/>
    <w:rsid w:val="648478D7"/>
    <w:rsid w:val="64852BFC"/>
    <w:rsid w:val="64852C29"/>
    <w:rsid w:val="6486074F"/>
    <w:rsid w:val="64863DEE"/>
    <w:rsid w:val="64870176"/>
    <w:rsid w:val="648706AB"/>
    <w:rsid w:val="64874BF3"/>
    <w:rsid w:val="64875A85"/>
    <w:rsid w:val="648800ED"/>
    <w:rsid w:val="6488174E"/>
    <w:rsid w:val="64882719"/>
    <w:rsid w:val="648844C8"/>
    <w:rsid w:val="64884A90"/>
    <w:rsid w:val="648869AC"/>
    <w:rsid w:val="64892316"/>
    <w:rsid w:val="64892AFE"/>
    <w:rsid w:val="648A12CC"/>
    <w:rsid w:val="648A6492"/>
    <w:rsid w:val="648B1ED0"/>
    <w:rsid w:val="648B7F50"/>
    <w:rsid w:val="648C045C"/>
    <w:rsid w:val="648C220A"/>
    <w:rsid w:val="648C6A1E"/>
    <w:rsid w:val="648D1ADE"/>
    <w:rsid w:val="648D275F"/>
    <w:rsid w:val="648D36A0"/>
    <w:rsid w:val="648D7D30"/>
    <w:rsid w:val="648E2A12"/>
    <w:rsid w:val="648E3FA5"/>
    <w:rsid w:val="648E6FCD"/>
    <w:rsid w:val="648F1CFA"/>
    <w:rsid w:val="648F2528"/>
    <w:rsid w:val="648F5856"/>
    <w:rsid w:val="64900237"/>
    <w:rsid w:val="64901440"/>
    <w:rsid w:val="649015CE"/>
    <w:rsid w:val="64915F46"/>
    <w:rsid w:val="6492052F"/>
    <w:rsid w:val="649235CD"/>
    <w:rsid w:val="64925346"/>
    <w:rsid w:val="649317EA"/>
    <w:rsid w:val="649345D3"/>
    <w:rsid w:val="64935200"/>
    <w:rsid w:val="64937B8F"/>
    <w:rsid w:val="64942E6C"/>
    <w:rsid w:val="6494687B"/>
    <w:rsid w:val="64951394"/>
    <w:rsid w:val="649602A9"/>
    <w:rsid w:val="64960658"/>
    <w:rsid w:val="649643FF"/>
    <w:rsid w:val="64964E36"/>
    <w:rsid w:val="64966BE4"/>
    <w:rsid w:val="649714F1"/>
    <w:rsid w:val="64973D08"/>
    <w:rsid w:val="64974DFC"/>
    <w:rsid w:val="6498064B"/>
    <w:rsid w:val="6498672C"/>
    <w:rsid w:val="64986C22"/>
    <w:rsid w:val="64986E00"/>
    <w:rsid w:val="64990483"/>
    <w:rsid w:val="64992B79"/>
    <w:rsid w:val="649937E2"/>
    <w:rsid w:val="64994CFB"/>
    <w:rsid w:val="649A3146"/>
    <w:rsid w:val="649A318E"/>
    <w:rsid w:val="649A5D56"/>
    <w:rsid w:val="649A7E4B"/>
    <w:rsid w:val="649B244D"/>
    <w:rsid w:val="649B24AB"/>
    <w:rsid w:val="649B41FB"/>
    <w:rsid w:val="649C208A"/>
    <w:rsid w:val="649C3E0B"/>
    <w:rsid w:val="649C4C9A"/>
    <w:rsid w:val="649C61C5"/>
    <w:rsid w:val="649C74E0"/>
    <w:rsid w:val="649C7D16"/>
    <w:rsid w:val="649D0BDB"/>
    <w:rsid w:val="649D0E83"/>
    <w:rsid w:val="649D397A"/>
    <w:rsid w:val="649D6209"/>
    <w:rsid w:val="649E018F"/>
    <w:rsid w:val="649E0BD2"/>
    <w:rsid w:val="649F3347"/>
    <w:rsid w:val="649F7F21"/>
    <w:rsid w:val="64A04C33"/>
    <w:rsid w:val="64A04F67"/>
    <w:rsid w:val="64A05CB5"/>
    <w:rsid w:val="64A07389"/>
    <w:rsid w:val="64A07A63"/>
    <w:rsid w:val="64A10C94"/>
    <w:rsid w:val="64A1338B"/>
    <w:rsid w:val="64A137DB"/>
    <w:rsid w:val="64A15589"/>
    <w:rsid w:val="64A17B10"/>
    <w:rsid w:val="64A227CA"/>
    <w:rsid w:val="64A301FC"/>
    <w:rsid w:val="64A335B4"/>
    <w:rsid w:val="64A357A5"/>
    <w:rsid w:val="64A358AC"/>
    <w:rsid w:val="64A37553"/>
    <w:rsid w:val="64A40C28"/>
    <w:rsid w:val="64A4221F"/>
    <w:rsid w:val="64A454D2"/>
    <w:rsid w:val="64A455D5"/>
    <w:rsid w:val="64A5243A"/>
    <w:rsid w:val="64A53269"/>
    <w:rsid w:val="64A608C7"/>
    <w:rsid w:val="64A7091F"/>
    <w:rsid w:val="64A82DBC"/>
    <w:rsid w:val="64A82F69"/>
    <w:rsid w:val="64A8300B"/>
    <w:rsid w:val="64A931DE"/>
    <w:rsid w:val="64A96E62"/>
    <w:rsid w:val="64AA08E2"/>
    <w:rsid w:val="64AA2690"/>
    <w:rsid w:val="64AA764B"/>
    <w:rsid w:val="64AB1D46"/>
    <w:rsid w:val="64AB624D"/>
    <w:rsid w:val="64AB7435"/>
    <w:rsid w:val="64AC5DA7"/>
    <w:rsid w:val="64AD2180"/>
    <w:rsid w:val="64AD27BF"/>
    <w:rsid w:val="64AD3F2E"/>
    <w:rsid w:val="64AF4728"/>
    <w:rsid w:val="64AF5054"/>
    <w:rsid w:val="64AF7D20"/>
    <w:rsid w:val="64B07DCC"/>
    <w:rsid w:val="64B10789"/>
    <w:rsid w:val="64B117D3"/>
    <w:rsid w:val="64B11C70"/>
    <w:rsid w:val="64B148E9"/>
    <w:rsid w:val="64B17EC2"/>
    <w:rsid w:val="64B21206"/>
    <w:rsid w:val="64B21544"/>
    <w:rsid w:val="64B23FA3"/>
    <w:rsid w:val="64B259E8"/>
    <w:rsid w:val="64B27BA1"/>
    <w:rsid w:val="64B27DC1"/>
    <w:rsid w:val="64B329DC"/>
    <w:rsid w:val="64B33C3A"/>
    <w:rsid w:val="64B361C9"/>
    <w:rsid w:val="64B42823"/>
    <w:rsid w:val="64B4350F"/>
    <w:rsid w:val="64B452BD"/>
    <w:rsid w:val="64B4688F"/>
    <w:rsid w:val="64B5059A"/>
    <w:rsid w:val="64B5324F"/>
    <w:rsid w:val="64B559C9"/>
    <w:rsid w:val="64B61035"/>
    <w:rsid w:val="64B624A1"/>
    <w:rsid w:val="64B6461D"/>
    <w:rsid w:val="64B654D9"/>
    <w:rsid w:val="64B66E59"/>
    <w:rsid w:val="64B71B8C"/>
    <w:rsid w:val="64B75762"/>
    <w:rsid w:val="64B81251"/>
    <w:rsid w:val="64B819BB"/>
    <w:rsid w:val="64B82FFF"/>
    <w:rsid w:val="64B876D3"/>
    <w:rsid w:val="64B965E2"/>
    <w:rsid w:val="64BA03AB"/>
    <w:rsid w:val="64BA4054"/>
    <w:rsid w:val="64BB183B"/>
    <w:rsid w:val="64BB2CCB"/>
    <w:rsid w:val="64BB2F53"/>
    <w:rsid w:val="64BB39A2"/>
    <w:rsid w:val="64BB489D"/>
    <w:rsid w:val="64BC2393"/>
    <w:rsid w:val="64BC415B"/>
    <w:rsid w:val="64BC4A4A"/>
    <w:rsid w:val="64BD0615"/>
    <w:rsid w:val="64BD405B"/>
    <w:rsid w:val="64BD6E63"/>
    <w:rsid w:val="64BD767D"/>
    <w:rsid w:val="64BE2B05"/>
    <w:rsid w:val="64BE438D"/>
    <w:rsid w:val="64BE4E50"/>
    <w:rsid w:val="64BF421D"/>
    <w:rsid w:val="64C0032C"/>
    <w:rsid w:val="64C0526C"/>
    <w:rsid w:val="64C10821"/>
    <w:rsid w:val="64C10C94"/>
    <w:rsid w:val="64C12591"/>
    <w:rsid w:val="64C179D9"/>
    <w:rsid w:val="64C228DE"/>
    <w:rsid w:val="64C23E7D"/>
    <w:rsid w:val="64C32654"/>
    <w:rsid w:val="64C33752"/>
    <w:rsid w:val="64C3537E"/>
    <w:rsid w:val="64C37D8C"/>
    <w:rsid w:val="64C4402E"/>
    <w:rsid w:val="64C47FDF"/>
    <w:rsid w:val="64C51278"/>
    <w:rsid w:val="64C5396E"/>
    <w:rsid w:val="64C60430"/>
    <w:rsid w:val="64C6151F"/>
    <w:rsid w:val="64C719C8"/>
    <w:rsid w:val="64C73242"/>
    <w:rsid w:val="64C774DA"/>
    <w:rsid w:val="64C80D68"/>
    <w:rsid w:val="64C86FBA"/>
    <w:rsid w:val="64C936A0"/>
    <w:rsid w:val="64C9494D"/>
    <w:rsid w:val="64C95D08"/>
    <w:rsid w:val="64CA0C27"/>
    <w:rsid w:val="64CA2D32"/>
    <w:rsid w:val="64CA4AE0"/>
    <w:rsid w:val="64CA5C1F"/>
    <w:rsid w:val="64CA675F"/>
    <w:rsid w:val="64CA7303"/>
    <w:rsid w:val="64CB61D7"/>
    <w:rsid w:val="64CC0858"/>
    <w:rsid w:val="64CC3C50"/>
    <w:rsid w:val="64CE03CB"/>
    <w:rsid w:val="64CE0BC3"/>
    <w:rsid w:val="64CE2822"/>
    <w:rsid w:val="64CE76E8"/>
    <w:rsid w:val="64CE7CB1"/>
    <w:rsid w:val="64CF0348"/>
    <w:rsid w:val="64CF3AB2"/>
    <w:rsid w:val="64D01D0F"/>
    <w:rsid w:val="64D11EF6"/>
    <w:rsid w:val="64D140C0"/>
    <w:rsid w:val="64D15E6F"/>
    <w:rsid w:val="64D164EB"/>
    <w:rsid w:val="64D1758F"/>
    <w:rsid w:val="64D21BE7"/>
    <w:rsid w:val="64D2333F"/>
    <w:rsid w:val="64D25750"/>
    <w:rsid w:val="64D264EB"/>
    <w:rsid w:val="64D35A36"/>
    <w:rsid w:val="64D361F5"/>
    <w:rsid w:val="64D41447"/>
    <w:rsid w:val="64D445BC"/>
    <w:rsid w:val="64D46DD5"/>
    <w:rsid w:val="64D47158"/>
    <w:rsid w:val="64D47324"/>
    <w:rsid w:val="64D4770D"/>
    <w:rsid w:val="64D47CC7"/>
    <w:rsid w:val="64D502BE"/>
    <w:rsid w:val="64D63485"/>
    <w:rsid w:val="64D65EDB"/>
    <w:rsid w:val="64D836A1"/>
    <w:rsid w:val="64D85D95"/>
    <w:rsid w:val="64D8772E"/>
    <w:rsid w:val="64D911C7"/>
    <w:rsid w:val="64D91692"/>
    <w:rsid w:val="64D92F75"/>
    <w:rsid w:val="64DA03F1"/>
    <w:rsid w:val="64DB0325"/>
    <w:rsid w:val="64DB0A9B"/>
    <w:rsid w:val="64DB2745"/>
    <w:rsid w:val="64DB37D2"/>
    <w:rsid w:val="64DB4F3F"/>
    <w:rsid w:val="64DB6CED"/>
    <w:rsid w:val="64DD0A04"/>
    <w:rsid w:val="64DD0CB7"/>
    <w:rsid w:val="64DD4BD5"/>
    <w:rsid w:val="64DD4EB4"/>
    <w:rsid w:val="64DE2339"/>
    <w:rsid w:val="64DE4548"/>
    <w:rsid w:val="64DE67DD"/>
    <w:rsid w:val="64DF2F0A"/>
    <w:rsid w:val="64DF46E4"/>
    <w:rsid w:val="64DF4A2F"/>
    <w:rsid w:val="64E04304"/>
    <w:rsid w:val="64E10EA1"/>
    <w:rsid w:val="64E2007C"/>
    <w:rsid w:val="64E20ACF"/>
    <w:rsid w:val="64E21E2A"/>
    <w:rsid w:val="64E262CE"/>
    <w:rsid w:val="64E275B7"/>
    <w:rsid w:val="64E35BA2"/>
    <w:rsid w:val="64E41490"/>
    <w:rsid w:val="64E42046"/>
    <w:rsid w:val="64E43A78"/>
    <w:rsid w:val="64E536C8"/>
    <w:rsid w:val="64E57B6C"/>
    <w:rsid w:val="64E70858"/>
    <w:rsid w:val="64E71F99"/>
    <w:rsid w:val="64E7239C"/>
    <w:rsid w:val="64E738E4"/>
    <w:rsid w:val="64E75490"/>
    <w:rsid w:val="64E75692"/>
    <w:rsid w:val="64E77440"/>
    <w:rsid w:val="64E82714"/>
    <w:rsid w:val="64E87604"/>
    <w:rsid w:val="64E916E4"/>
    <w:rsid w:val="64EA33D4"/>
    <w:rsid w:val="64EA5182"/>
    <w:rsid w:val="64EA6F30"/>
    <w:rsid w:val="64EA6F7A"/>
    <w:rsid w:val="64EB00FD"/>
    <w:rsid w:val="64EB185C"/>
    <w:rsid w:val="64EB23E5"/>
    <w:rsid w:val="64EB5D26"/>
    <w:rsid w:val="64EC0EFA"/>
    <w:rsid w:val="64EC2CA8"/>
    <w:rsid w:val="64EC323A"/>
    <w:rsid w:val="64ED73DD"/>
    <w:rsid w:val="64EE1A9D"/>
    <w:rsid w:val="64EE229F"/>
    <w:rsid w:val="64EE258A"/>
    <w:rsid w:val="64EE6887"/>
    <w:rsid w:val="64EE6A20"/>
    <w:rsid w:val="64EE7D66"/>
    <w:rsid w:val="64EF072B"/>
    <w:rsid w:val="64EF09EB"/>
    <w:rsid w:val="64EF18C2"/>
    <w:rsid w:val="64EF2799"/>
    <w:rsid w:val="64EF4547"/>
    <w:rsid w:val="64F102BF"/>
    <w:rsid w:val="64F1046E"/>
    <w:rsid w:val="64F1206D"/>
    <w:rsid w:val="64F14325"/>
    <w:rsid w:val="64F144DB"/>
    <w:rsid w:val="64F14763"/>
    <w:rsid w:val="64F16511"/>
    <w:rsid w:val="64F2562B"/>
    <w:rsid w:val="64F2596B"/>
    <w:rsid w:val="64F25DE5"/>
    <w:rsid w:val="64F270AC"/>
    <w:rsid w:val="64F34606"/>
    <w:rsid w:val="64F45202"/>
    <w:rsid w:val="64F47DAF"/>
    <w:rsid w:val="64F47F2D"/>
    <w:rsid w:val="64F527DB"/>
    <w:rsid w:val="64F531DE"/>
    <w:rsid w:val="64F55A5F"/>
    <w:rsid w:val="64F63B27"/>
    <w:rsid w:val="64F66EBC"/>
    <w:rsid w:val="64F71AB3"/>
    <w:rsid w:val="64F71B0F"/>
    <w:rsid w:val="64F733FB"/>
    <w:rsid w:val="64F74CF1"/>
    <w:rsid w:val="64F75897"/>
    <w:rsid w:val="64F8204B"/>
    <w:rsid w:val="64F91452"/>
    <w:rsid w:val="64F947D0"/>
    <w:rsid w:val="64F953C5"/>
    <w:rsid w:val="64F97173"/>
    <w:rsid w:val="64FA1F39"/>
    <w:rsid w:val="64FA3254"/>
    <w:rsid w:val="64FB015D"/>
    <w:rsid w:val="64FB0175"/>
    <w:rsid w:val="64FB030F"/>
    <w:rsid w:val="64FB113D"/>
    <w:rsid w:val="64FB189E"/>
    <w:rsid w:val="64FB2EEB"/>
    <w:rsid w:val="64FB4660"/>
    <w:rsid w:val="64FB6356"/>
    <w:rsid w:val="64FC2D2E"/>
    <w:rsid w:val="64FC39E3"/>
    <w:rsid w:val="64FC63FB"/>
    <w:rsid w:val="64FD3107"/>
    <w:rsid w:val="64FD6C64"/>
    <w:rsid w:val="64FD6D3E"/>
    <w:rsid w:val="64FE478A"/>
    <w:rsid w:val="64FF12A9"/>
    <w:rsid w:val="64FF2A7F"/>
    <w:rsid w:val="65001BA1"/>
    <w:rsid w:val="65002B3F"/>
    <w:rsid w:val="650030F4"/>
    <w:rsid w:val="650049A6"/>
    <w:rsid w:val="65006754"/>
    <w:rsid w:val="6501067A"/>
    <w:rsid w:val="65016E63"/>
    <w:rsid w:val="650224CC"/>
    <w:rsid w:val="6502427A"/>
    <w:rsid w:val="6502545F"/>
    <w:rsid w:val="65025F60"/>
    <w:rsid w:val="650261AD"/>
    <w:rsid w:val="65035273"/>
    <w:rsid w:val="65037FF2"/>
    <w:rsid w:val="65044496"/>
    <w:rsid w:val="65051FBC"/>
    <w:rsid w:val="65053D6A"/>
    <w:rsid w:val="65054DB7"/>
    <w:rsid w:val="650603A5"/>
    <w:rsid w:val="650637AD"/>
    <w:rsid w:val="65063DE0"/>
    <w:rsid w:val="6506590F"/>
    <w:rsid w:val="65067B4F"/>
    <w:rsid w:val="65071890"/>
    <w:rsid w:val="650748B6"/>
    <w:rsid w:val="65075270"/>
    <w:rsid w:val="65075D34"/>
    <w:rsid w:val="65076D69"/>
    <w:rsid w:val="65077AE2"/>
    <w:rsid w:val="65081561"/>
    <w:rsid w:val="6509385A"/>
    <w:rsid w:val="650A131C"/>
    <w:rsid w:val="650A312E"/>
    <w:rsid w:val="650A5824"/>
    <w:rsid w:val="650A591E"/>
    <w:rsid w:val="650B4E7A"/>
    <w:rsid w:val="650B58CE"/>
    <w:rsid w:val="650C4D8A"/>
    <w:rsid w:val="650D12A5"/>
    <w:rsid w:val="650D2C1F"/>
    <w:rsid w:val="650E0E71"/>
    <w:rsid w:val="650E29EA"/>
    <w:rsid w:val="650E3A02"/>
    <w:rsid w:val="650E70C3"/>
    <w:rsid w:val="650E7865"/>
    <w:rsid w:val="650F1CA5"/>
    <w:rsid w:val="650F65D3"/>
    <w:rsid w:val="65102E3B"/>
    <w:rsid w:val="65110961"/>
    <w:rsid w:val="65110EF3"/>
    <w:rsid w:val="651144BD"/>
    <w:rsid w:val="6512303B"/>
    <w:rsid w:val="65130235"/>
    <w:rsid w:val="65130B02"/>
    <w:rsid w:val="651346D9"/>
    <w:rsid w:val="65136487"/>
    <w:rsid w:val="65143FAD"/>
    <w:rsid w:val="65144B87"/>
    <w:rsid w:val="65146F24"/>
    <w:rsid w:val="65146F64"/>
    <w:rsid w:val="65155D8A"/>
    <w:rsid w:val="65156791"/>
    <w:rsid w:val="65165E6D"/>
    <w:rsid w:val="65167D25"/>
    <w:rsid w:val="65175A45"/>
    <w:rsid w:val="65180DC6"/>
    <w:rsid w:val="65181CEF"/>
    <w:rsid w:val="65183A9D"/>
    <w:rsid w:val="65185A4E"/>
    <w:rsid w:val="65186406"/>
    <w:rsid w:val="65186B63"/>
    <w:rsid w:val="651902DE"/>
    <w:rsid w:val="651932EC"/>
    <w:rsid w:val="65196259"/>
    <w:rsid w:val="651972B3"/>
    <w:rsid w:val="651A36E6"/>
    <w:rsid w:val="651A75E6"/>
    <w:rsid w:val="651B17E0"/>
    <w:rsid w:val="651B3B2E"/>
    <w:rsid w:val="651B533C"/>
    <w:rsid w:val="651D27F2"/>
    <w:rsid w:val="651D2E62"/>
    <w:rsid w:val="651D5558"/>
    <w:rsid w:val="651E2555"/>
    <w:rsid w:val="651E6BDA"/>
    <w:rsid w:val="651F1C70"/>
    <w:rsid w:val="65203A07"/>
    <w:rsid w:val="65206DF6"/>
    <w:rsid w:val="65222141"/>
    <w:rsid w:val="6522491C"/>
    <w:rsid w:val="65245FCE"/>
    <w:rsid w:val="65247369"/>
    <w:rsid w:val="6525440C"/>
    <w:rsid w:val="65261D41"/>
    <w:rsid w:val="652634CB"/>
    <w:rsid w:val="65271F32"/>
    <w:rsid w:val="65273EF4"/>
    <w:rsid w:val="652775B4"/>
    <w:rsid w:val="65283799"/>
    <w:rsid w:val="65284C99"/>
    <w:rsid w:val="65291798"/>
    <w:rsid w:val="652933C7"/>
    <w:rsid w:val="65297A59"/>
    <w:rsid w:val="652A2386"/>
    <w:rsid w:val="652A37D1"/>
    <w:rsid w:val="652A557F"/>
    <w:rsid w:val="652B5F19"/>
    <w:rsid w:val="652C1518"/>
    <w:rsid w:val="652C579B"/>
    <w:rsid w:val="652D19B6"/>
    <w:rsid w:val="652E0455"/>
    <w:rsid w:val="652E1513"/>
    <w:rsid w:val="652E32C1"/>
    <w:rsid w:val="652E506F"/>
    <w:rsid w:val="652F0510"/>
    <w:rsid w:val="652F1043"/>
    <w:rsid w:val="652F2AD2"/>
    <w:rsid w:val="652F5CA0"/>
    <w:rsid w:val="652F7039"/>
    <w:rsid w:val="65302769"/>
    <w:rsid w:val="65304DD8"/>
    <w:rsid w:val="653103A5"/>
    <w:rsid w:val="653124E1"/>
    <w:rsid w:val="65312DB1"/>
    <w:rsid w:val="65316523"/>
    <w:rsid w:val="6531690D"/>
    <w:rsid w:val="65316DAD"/>
    <w:rsid w:val="65317DAE"/>
    <w:rsid w:val="65320613"/>
    <w:rsid w:val="65324892"/>
    <w:rsid w:val="65335C7E"/>
    <w:rsid w:val="65336B29"/>
    <w:rsid w:val="65341918"/>
    <w:rsid w:val="65346E5E"/>
    <w:rsid w:val="653528A1"/>
    <w:rsid w:val="653531CF"/>
    <w:rsid w:val="6535464F"/>
    <w:rsid w:val="653603C7"/>
    <w:rsid w:val="65362175"/>
    <w:rsid w:val="65363F24"/>
    <w:rsid w:val="6536434F"/>
    <w:rsid w:val="65366619"/>
    <w:rsid w:val="65367019"/>
    <w:rsid w:val="65373578"/>
    <w:rsid w:val="65380C12"/>
    <w:rsid w:val="653839FE"/>
    <w:rsid w:val="65385EEE"/>
    <w:rsid w:val="65387C9C"/>
    <w:rsid w:val="653900FF"/>
    <w:rsid w:val="653909C3"/>
    <w:rsid w:val="65393A14"/>
    <w:rsid w:val="65393D33"/>
    <w:rsid w:val="65394BB2"/>
    <w:rsid w:val="653A0C93"/>
    <w:rsid w:val="653A158F"/>
    <w:rsid w:val="653A1C66"/>
    <w:rsid w:val="653B0DF0"/>
    <w:rsid w:val="653B7019"/>
    <w:rsid w:val="653B778C"/>
    <w:rsid w:val="653C1922"/>
    <w:rsid w:val="653D1756"/>
    <w:rsid w:val="653E0615"/>
    <w:rsid w:val="653F0327"/>
    <w:rsid w:val="653F727C"/>
    <w:rsid w:val="65402FF4"/>
    <w:rsid w:val="654031AC"/>
    <w:rsid w:val="65406CBC"/>
    <w:rsid w:val="654070B3"/>
    <w:rsid w:val="65411B50"/>
    <w:rsid w:val="65412AC0"/>
    <w:rsid w:val="654208F2"/>
    <w:rsid w:val="65420B1A"/>
    <w:rsid w:val="654228F2"/>
    <w:rsid w:val="65424FBE"/>
    <w:rsid w:val="65426D6C"/>
    <w:rsid w:val="65444892"/>
    <w:rsid w:val="65445212"/>
    <w:rsid w:val="6545060B"/>
    <w:rsid w:val="6545273C"/>
    <w:rsid w:val="65453D4A"/>
    <w:rsid w:val="65454A2A"/>
    <w:rsid w:val="65456205"/>
    <w:rsid w:val="654662A2"/>
    <w:rsid w:val="65470E6F"/>
    <w:rsid w:val="65472703"/>
    <w:rsid w:val="65476131"/>
    <w:rsid w:val="65490FFC"/>
    <w:rsid w:val="65493C57"/>
    <w:rsid w:val="6549634D"/>
    <w:rsid w:val="65497BF6"/>
    <w:rsid w:val="654A5B0A"/>
    <w:rsid w:val="654A5C21"/>
    <w:rsid w:val="654B2A7B"/>
    <w:rsid w:val="654B3E73"/>
    <w:rsid w:val="654B50E5"/>
    <w:rsid w:val="654B5E55"/>
    <w:rsid w:val="654C3747"/>
    <w:rsid w:val="654C467F"/>
    <w:rsid w:val="654D0376"/>
    <w:rsid w:val="654D1146"/>
    <w:rsid w:val="654F3A66"/>
    <w:rsid w:val="65501489"/>
    <w:rsid w:val="65507504"/>
    <w:rsid w:val="65507B38"/>
    <w:rsid w:val="65513795"/>
    <w:rsid w:val="655145F6"/>
    <w:rsid w:val="65516BDF"/>
    <w:rsid w:val="65516FAF"/>
    <w:rsid w:val="6552190A"/>
    <w:rsid w:val="65527A91"/>
    <w:rsid w:val="65530F79"/>
    <w:rsid w:val="65532228"/>
    <w:rsid w:val="65532D27"/>
    <w:rsid w:val="6554084E"/>
    <w:rsid w:val="65541807"/>
    <w:rsid w:val="65545F85"/>
    <w:rsid w:val="655463A6"/>
    <w:rsid w:val="65550066"/>
    <w:rsid w:val="655508D0"/>
    <w:rsid w:val="65556AA0"/>
    <w:rsid w:val="65562241"/>
    <w:rsid w:val="65562818"/>
    <w:rsid w:val="65566374"/>
    <w:rsid w:val="65573A11"/>
    <w:rsid w:val="655748CB"/>
    <w:rsid w:val="6557674D"/>
    <w:rsid w:val="65576D44"/>
    <w:rsid w:val="65581833"/>
    <w:rsid w:val="65581BF3"/>
    <w:rsid w:val="65581E8F"/>
    <w:rsid w:val="65585E22"/>
    <w:rsid w:val="65590F59"/>
    <w:rsid w:val="65594859"/>
    <w:rsid w:val="655A0B79"/>
    <w:rsid w:val="655A143A"/>
    <w:rsid w:val="655A2308"/>
    <w:rsid w:val="655A40B6"/>
    <w:rsid w:val="655A67CD"/>
    <w:rsid w:val="655B070D"/>
    <w:rsid w:val="655B1BDC"/>
    <w:rsid w:val="655B2009"/>
    <w:rsid w:val="655B276F"/>
    <w:rsid w:val="655B7E2E"/>
    <w:rsid w:val="655C3499"/>
    <w:rsid w:val="655C3D15"/>
    <w:rsid w:val="655C3FED"/>
    <w:rsid w:val="655C5C4B"/>
    <w:rsid w:val="655C606A"/>
    <w:rsid w:val="655C6080"/>
    <w:rsid w:val="655D2676"/>
    <w:rsid w:val="655D5954"/>
    <w:rsid w:val="655E713F"/>
    <w:rsid w:val="655F1C41"/>
    <w:rsid w:val="655F1E1A"/>
    <w:rsid w:val="655F2BF6"/>
    <w:rsid w:val="655F33E3"/>
    <w:rsid w:val="655F791E"/>
    <w:rsid w:val="656071F2"/>
    <w:rsid w:val="6561637C"/>
    <w:rsid w:val="656211BC"/>
    <w:rsid w:val="65622B56"/>
    <w:rsid w:val="65622F6B"/>
    <w:rsid w:val="65623BD0"/>
    <w:rsid w:val="6563336C"/>
    <w:rsid w:val="65633D3E"/>
    <w:rsid w:val="656354F8"/>
    <w:rsid w:val="65646CE3"/>
    <w:rsid w:val="65647FDB"/>
    <w:rsid w:val="6565085D"/>
    <w:rsid w:val="65650C3F"/>
    <w:rsid w:val="6565227D"/>
    <w:rsid w:val="65652A5B"/>
    <w:rsid w:val="65674A25"/>
    <w:rsid w:val="656767D3"/>
    <w:rsid w:val="65682179"/>
    <w:rsid w:val="6568460D"/>
    <w:rsid w:val="6569254B"/>
    <w:rsid w:val="656960A7"/>
    <w:rsid w:val="656A1E1F"/>
    <w:rsid w:val="656A23B6"/>
    <w:rsid w:val="656A3D49"/>
    <w:rsid w:val="656A5D45"/>
    <w:rsid w:val="656A61E5"/>
    <w:rsid w:val="656A7DBA"/>
    <w:rsid w:val="656B1821"/>
    <w:rsid w:val="656B65FE"/>
    <w:rsid w:val="656B7256"/>
    <w:rsid w:val="656C1BB6"/>
    <w:rsid w:val="656D5917"/>
    <w:rsid w:val="656D60BD"/>
    <w:rsid w:val="656D6FEF"/>
    <w:rsid w:val="656E3956"/>
    <w:rsid w:val="656E5DB3"/>
    <w:rsid w:val="656E7B61"/>
    <w:rsid w:val="656F190F"/>
    <w:rsid w:val="656F3050"/>
    <w:rsid w:val="656F66BC"/>
    <w:rsid w:val="657038D9"/>
    <w:rsid w:val="65706EEC"/>
    <w:rsid w:val="657131AE"/>
    <w:rsid w:val="65733B32"/>
    <w:rsid w:val="65735178"/>
    <w:rsid w:val="65742DCD"/>
    <w:rsid w:val="65743778"/>
    <w:rsid w:val="65750EF0"/>
    <w:rsid w:val="657520FC"/>
    <w:rsid w:val="65752C9E"/>
    <w:rsid w:val="657533B6"/>
    <w:rsid w:val="65753ABE"/>
    <w:rsid w:val="65755781"/>
    <w:rsid w:val="65757142"/>
    <w:rsid w:val="657607C4"/>
    <w:rsid w:val="65764C68"/>
    <w:rsid w:val="657766EB"/>
    <w:rsid w:val="657809E0"/>
    <w:rsid w:val="6578278E"/>
    <w:rsid w:val="657834F6"/>
    <w:rsid w:val="65784102"/>
    <w:rsid w:val="65790DF6"/>
    <w:rsid w:val="65793723"/>
    <w:rsid w:val="657A02B4"/>
    <w:rsid w:val="657A2E23"/>
    <w:rsid w:val="657A4758"/>
    <w:rsid w:val="657A6506"/>
    <w:rsid w:val="657A7E75"/>
    <w:rsid w:val="657B15F3"/>
    <w:rsid w:val="657C0722"/>
    <w:rsid w:val="657C227E"/>
    <w:rsid w:val="657C6803"/>
    <w:rsid w:val="657C6E00"/>
    <w:rsid w:val="657C7C42"/>
    <w:rsid w:val="657D1B52"/>
    <w:rsid w:val="657D5FF6"/>
    <w:rsid w:val="657D7565"/>
    <w:rsid w:val="657E3861"/>
    <w:rsid w:val="657F2B37"/>
    <w:rsid w:val="657F363A"/>
    <w:rsid w:val="657F4BE1"/>
    <w:rsid w:val="65807F5A"/>
    <w:rsid w:val="6581192F"/>
    <w:rsid w:val="65814EA2"/>
    <w:rsid w:val="65814F65"/>
    <w:rsid w:val="65815AE7"/>
    <w:rsid w:val="658168F5"/>
    <w:rsid w:val="65823885"/>
    <w:rsid w:val="65824ABE"/>
    <w:rsid w:val="65824DE8"/>
    <w:rsid w:val="658253BB"/>
    <w:rsid w:val="65827169"/>
    <w:rsid w:val="65831215"/>
    <w:rsid w:val="6583435E"/>
    <w:rsid w:val="65841133"/>
    <w:rsid w:val="65841BE9"/>
    <w:rsid w:val="65847779"/>
    <w:rsid w:val="6585041D"/>
    <w:rsid w:val="65852D20"/>
    <w:rsid w:val="6585425C"/>
    <w:rsid w:val="65856C59"/>
    <w:rsid w:val="65857680"/>
    <w:rsid w:val="65857F66"/>
    <w:rsid w:val="6586208C"/>
    <w:rsid w:val="658630FD"/>
    <w:rsid w:val="65864EAB"/>
    <w:rsid w:val="65866706"/>
    <w:rsid w:val="65866769"/>
    <w:rsid w:val="6586689B"/>
    <w:rsid w:val="658729D1"/>
    <w:rsid w:val="65876E75"/>
    <w:rsid w:val="65880EB8"/>
    <w:rsid w:val="65890D89"/>
    <w:rsid w:val="65891518"/>
    <w:rsid w:val="65893776"/>
    <w:rsid w:val="65896749"/>
    <w:rsid w:val="658A6AA3"/>
    <w:rsid w:val="658B0713"/>
    <w:rsid w:val="658B10E8"/>
    <w:rsid w:val="658B4D6B"/>
    <w:rsid w:val="658B5327"/>
    <w:rsid w:val="658B7717"/>
    <w:rsid w:val="658C28A5"/>
    <w:rsid w:val="658C5CC8"/>
    <w:rsid w:val="658C7FE7"/>
    <w:rsid w:val="658D3753"/>
    <w:rsid w:val="658D5FEE"/>
    <w:rsid w:val="658E1FB1"/>
    <w:rsid w:val="658E3D60"/>
    <w:rsid w:val="658E48CA"/>
    <w:rsid w:val="658E5B0E"/>
    <w:rsid w:val="658F0EF9"/>
    <w:rsid w:val="658F2F2B"/>
    <w:rsid w:val="65913F60"/>
    <w:rsid w:val="659153DB"/>
    <w:rsid w:val="659155FE"/>
    <w:rsid w:val="659163EA"/>
    <w:rsid w:val="65923124"/>
    <w:rsid w:val="65923FDD"/>
    <w:rsid w:val="6593083E"/>
    <w:rsid w:val="65930D0A"/>
    <w:rsid w:val="65934190"/>
    <w:rsid w:val="659344B1"/>
    <w:rsid w:val="65944ACD"/>
    <w:rsid w:val="65950916"/>
    <w:rsid w:val="65950F90"/>
    <w:rsid w:val="659550EE"/>
    <w:rsid w:val="65960E66"/>
    <w:rsid w:val="65961AE8"/>
    <w:rsid w:val="659661FB"/>
    <w:rsid w:val="65972EF6"/>
    <w:rsid w:val="659770B8"/>
    <w:rsid w:val="65982E30"/>
    <w:rsid w:val="659850A5"/>
    <w:rsid w:val="65985212"/>
    <w:rsid w:val="65985CB5"/>
    <w:rsid w:val="6598698C"/>
    <w:rsid w:val="6599343B"/>
    <w:rsid w:val="65994B7C"/>
    <w:rsid w:val="659A2704"/>
    <w:rsid w:val="659A6818"/>
    <w:rsid w:val="659B194F"/>
    <w:rsid w:val="659B2CA2"/>
    <w:rsid w:val="659B647C"/>
    <w:rsid w:val="659C092C"/>
    <w:rsid w:val="659D0447"/>
    <w:rsid w:val="659D1A95"/>
    <w:rsid w:val="659D21F5"/>
    <w:rsid w:val="659D3FA3"/>
    <w:rsid w:val="659D4AEF"/>
    <w:rsid w:val="659F5F6D"/>
    <w:rsid w:val="65A05197"/>
    <w:rsid w:val="65A05841"/>
    <w:rsid w:val="65A1269B"/>
    <w:rsid w:val="65A14011"/>
    <w:rsid w:val="65A14CD9"/>
    <w:rsid w:val="65A15BC1"/>
    <w:rsid w:val="65A17BEB"/>
    <w:rsid w:val="65A17F37"/>
    <w:rsid w:val="65A215B9"/>
    <w:rsid w:val="65A22940"/>
    <w:rsid w:val="65A24EF8"/>
    <w:rsid w:val="65A2780B"/>
    <w:rsid w:val="65A3544F"/>
    <w:rsid w:val="65A44914"/>
    <w:rsid w:val="65A475AF"/>
    <w:rsid w:val="65A5311F"/>
    <w:rsid w:val="65A66112"/>
    <w:rsid w:val="65A672FB"/>
    <w:rsid w:val="65A73073"/>
    <w:rsid w:val="65A74E21"/>
    <w:rsid w:val="65A81AA0"/>
    <w:rsid w:val="65A87B2D"/>
    <w:rsid w:val="65A915E6"/>
    <w:rsid w:val="65A962D2"/>
    <w:rsid w:val="65A973F1"/>
    <w:rsid w:val="65AA1AAA"/>
    <w:rsid w:val="65AA3913"/>
    <w:rsid w:val="65AA4330"/>
    <w:rsid w:val="65AA60B9"/>
    <w:rsid w:val="65AB66C0"/>
    <w:rsid w:val="65AC0421"/>
    <w:rsid w:val="65AC068A"/>
    <w:rsid w:val="65AC2438"/>
    <w:rsid w:val="65AC5C4C"/>
    <w:rsid w:val="65AD0D24"/>
    <w:rsid w:val="65AD56FF"/>
    <w:rsid w:val="65AD68DC"/>
    <w:rsid w:val="65AE4402"/>
    <w:rsid w:val="65AF7BDC"/>
    <w:rsid w:val="65B0017A"/>
    <w:rsid w:val="65B017F2"/>
    <w:rsid w:val="65B01F28"/>
    <w:rsid w:val="65B028CF"/>
    <w:rsid w:val="65B03CD6"/>
    <w:rsid w:val="65B0624D"/>
    <w:rsid w:val="65B14293"/>
    <w:rsid w:val="65B174D2"/>
    <w:rsid w:val="65B17A4E"/>
    <w:rsid w:val="65B23EF2"/>
    <w:rsid w:val="65B25CA0"/>
    <w:rsid w:val="65B337C6"/>
    <w:rsid w:val="65B35574"/>
    <w:rsid w:val="65B37C6A"/>
    <w:rsid w:val="65B42B69"/>
    <w:rsid w:val="65B5189C"/>
    <w:rsid w:val="65B54E1A"/>
    <w:rsid w:val="65B55592"/>
    <w:rsid w:val="65B55790"/>
    <w:rsid w:val="65B5753E"/>
    <w:rsid w:val="65B578E4"/>
    <w:rsid w:val="65B60B5E"/>
    <w:rsid w:val="65B70150"/>
    <w:rsid w:val="65B74E33"/>
    <w:rsid w:val="65B75139"/>
    <w:rsid w:val="65B81595"/>
    <w:rsid w:val="65B82217"/>
    <w:rsid w:val="65B83B70"/>
    <w:rsid w:val="65B842EF"/>
    <w:rsid w:val="65B8472C"/>
    <w:rsid w:val="65B85280"/>
    <w:rsid w:val="65B92A25"/>
    <w:rsid w:val="65B9337D"/>
    <w:rsid w:val="65B9530D"/>
    <w:rsid w:val="65B96466"/>
    <w:rsid w:val="65BA0C37"/>
    <w:rsid w:val="65BA26DC"/>
    <w:rsid w:val="65BA29E3"/>
    <w:rsid w:val="65BA3BE1"/>
    <w:rsid w:val="65BA3EB5"/>
    <w:rsid w:val="65BB1B1C"/>
    <w:rsid w:val="65BB5345"/>
    <w:rsid w:val="65BC08CD"/>
    <w:rsid w:val="65BC2446"/>
    <w:rsid w:val="65BD11E2"/>
    <w:rsid w:val="65BD2897"/>
    <w:rsid w:val="65BD4645"/>
    <w:rsid w:val="65BD63F3"/>
    <w:rsid w:val="65BE3CC6"/>
    <w:rsid w:val="65BE7ECC"/>
    <w:rsid w:val="65BF03BD"/>
    <w:rsid w:val="65BF216B"/>
    <w:rsid w:val="65BF3146"/>
    <w:rsid w:val="65BF4B59"/>
    <w:rsid w:val="65C01768"/>
    <w:rsid w:val="65C0401D"/>
    <w:rsid w:val="65C06580"/>
    <w:rsid w:val="65C07C91"/>
    <w:rsid w:val="65C13D88"/>
    <w:rsid w:val="65C14135"/>
    <w:rsid w:val="65C175AD"/>
    <w:rsid w:val="65C17F2A"/>
    <w:rsid w:val="65C21F8A"/>
    <w:rsid w:val="65C22647"/>
    <w:rsid w:val="65C23A09"/>
    <w:rsid w:val="65C23A5D"/>
    <w:rsid w:val="65C36F42"/>
    <w:rsid w:val="65C37EAD"/>
    <w:rsid w:val="65C43C25"/>
    <w:rsid w:val="65C46CD4"/>
    <w:rsid w:val="65C512E0"/>
    <w:rsid w:val="65C6174B"/>
    <w:rsid w:val="65C626D8"/>
    <w:rsid w:val="65C634F9"/>
    <w:rsid w:val="65C67BA8"/>
    <w:rsid w:val="65C71020"/>
    <w:rsid w:val="65C71810"/>
    <w:rsid w:val="65C75029"/>
    <w:rsid w:val="65C77BFA"/>
    <w:rsid w:val="65C83BE6"/>
    <w:rsid w:val="65C854C3"/>
    <w:rsid w:val="65C87563"/>
    <w:rsid w:val="65C9123C"/>
    <w:rsid w:val="65C92FEA"/>
    <w:rsid w:val="65C94D98"/>
    <w:rsid w:val="65CA59DF"/>
    <w:rsid w:val="65CA5F22"/>
    <w:rsid w:val="65CA788D"/>
    <w:rsid w:val="65CB0B10"/>
    <w:rsid w:val="65CB5FED"/>
    <w:rsid w:val="65CB62FC"/>
    <w:rsid w:val="65CC4888"/>
    <w:rsid w:val="65CC7A0B"/>
    <w:rsid w:val="65CD0D2C"/>
    <w:rsid w:val="65CD2ADA"/>
    <w:rsid w:val="65CE0600"/>
    <w:rsid w:val="65CE23AE"/>
    <w:rsid w:val="65CF4C88"/>
    <w:rsid w:val="65D00F7F"/>
    <w:rsid w:val="65D03889"/>
    <w:rsid w:val="65D11E9E"/>
    <w:rsid w:val="65D226F6"/>
    <w:rsid w:val="65D26342"/>
    <w:rsid w:val="65D37340"/>
    <w:rsid w:val="65D379C4"/>
    <w:rsid w:val="65D50ABD"/>
    <w:rsid w:val="65D5198E"/>
    <w:rsid w:val="65D5373C"/>
    <w:rsid w:val="65D558F4"/>
    <w:rsid w:val="65D61644"/>
    <w:rsid w:val="65D61D3D"/>
    <w:rsid w:val="65D71D19"/>
    <w:rsid w:val="65D73958"/>
    <w:rsid w:val="65D73FEF"/>
    <w:rsid w:val="65D75707"/>
    <w:rsid w:val="65D774B5"/>
    <w:rsid w:val="65D77897"/>
    <w:rsid w:val="65D80B7F"/>
    <w:rsid w:val="65D8701B"/>
    <w:rsid w:val="65D915F5"/>
    <w:rsid w:val="65D9333F"/>
    <w:rsid w:val="65DA51F7"/>
    <w:rsid w:val="65DA6FA5"/>
    <w:rsid w:val="65DB1D44"/>
    <w:rsid w:val="65DC2CAB"/>
    <w:rsid w:val="65DC4ACB"/>
    <w:rsid w:val="65DC5823"/>
    <w:rsid w:val="65DC69B0"/>
    <w:rsid w:val="65DD0843"/>
    <w:rsid w:val="65DD3E8F"/>
    <w:rsid w:val="65DD55A2"/>
    <w:rsid w:val="65DD6A95"/>
    <w:rsid w:val="65DD7EA6"/>
    <w:rsid w:val="65DE4CE7"/>
    <w:rsid w:val="65DF45BB"/>
    <w:rsid w:val="65E025D2"/>
    <w:rsid w:val="65E02D53"/>
    <w:rsid w:val="65E031F3"/>
    <w:rsid w:val="65E10333"/>
    <w:rsid w:val="65E10986"/>
    <w:rsid w:val="65E120E1"/>
    <w:rsid w:val="65E15C63"/>
    <w:rsid w:val="65E16585"/>
    <w:rsid w:val="65E257D5"/>
    <w:rsid w:val="65E322FD"/>
    <w:rsid w:val="65E34090"/>
    <w:rsid w:val="65E4038D"/>
    <w:rsid w:val="65E41BD1"/>
    <w:rsid w:val="65E46072"/>
    <w:rsid w:val="65E46075"/>
    <w:rsid w:val="65E5210F"/>
    <w:rsid w:val="65E52B41"/>
    <w:rsid w:val="65E54254"/>
    <w:rsid w:val="65E639F1"/>
    <w:rsid w:val="65E64613"/>
    <w:rsid w:val="65E6505A"/>
    <w:rsid w:val="65E72ED2"/>
    <w:rsid w:val="65E75AA3"/>
    <w:rsid w:val="65E769E6"/>
    <w:rsid w:val="65E837D7"/>
    <w:rsid w:val="65E86F33"/>
    <w:rsid w:val="65E87914"/>
    <w:rsid w:val="65E90B64"/>
    <w:rsid w:val="65E90CF9"/>
    <w:rsid w:val="65E92340"/>
    <w:rsid w:val="65E92768"/>
    <w:rsid w:val="65E92835"/>
    <w:rsid w:val="65E92BDC"/>
    <w:rsid w:val="65E9368C"/>
    <w:rsid w:val="65E93B0A"/>
    <w:rsid w:val="65E93B42"/>
    <w:rsid w:val="65E971E8"/>
    <w:rsid w:val="65EA12B2"/>
    <w:rsid w:val="65EC57AF"/>
    <w:rsid w:val="65EC58B4"/>
    <w:rsid w:val="65ED4F2A"/>
    <w:rsid w:val="65ED6CD8"/>
    <w:rsid w:val="65EE01D4"/>
    <w:rsid w:val="65EE18F4"/>
    <w:rsid w:val="65EE1E0C"/>
    <w:rsid w:val="65EE2A50"/>
    <w:rsid w:val="65EE3B00"/>
    <w:rsid w:val="65EE5B76"/>
    <w:rsid w:val="65EF15EA"/>
    <w:rsid w:val="65EF2647"/>
    <w:rsid w:val="65F00576"/>
    <w:rsid w:val="65F2114B"/>
    <w:rsid w:val="65F21966"/>
    <w:rsid w:val="65F22540"/>
    <w:rsid w:val="65F22E5E"/>
    <w:rsid w:val="65F33506"/>
    <w:rsid w:val="65F512FC"/>
    <w:rsid w:val="65F52031"/>
    <w:rsid w:val="65F52FFF"/>
    <w:rsid w:val="65F708CD"/>
    <w:rsid w:val="65F71905"/>
    <w:rsid w:val="65F74478"/>
    <w:rsid w:val="65F74F06"/>
    <w:rsid w:val="65F77B57"/>
    <w:rsid w:val="65F80484"/>
    <w:rsid w:val="65F829AF"/>
    <w:rsid w:val="65F8567D"/>
    <w:rsid w:val="65F8742B"/>
    <w:rsid w:val="65F9070A"/>
    <w:rsid w:val="65F92844"/>
    <w:rsid w:val="65F938CF"/>
    <w:rsid w:val="65FA1348"/>
    <w:rsid w:val="65FA13F5"/>
    <w:rsid w:val="65FB127E"/>
    <w:rsid w:val="65FB56F2"/>
    <w:rsid w:val="65FC17A6"/>
    <w:rsid w:val="65FC1B2F"/>
    <w:rsid w:val="65FC2323"/>
    <w:rsid w:val="65FC33BF"/>
    <w:rsid w:val="65FC4EC6"/>
    <w:rsid w:val="65FC516D"/>
    <w:rsid w:val="65FC6F1B"/>
    <w:rsid w:val="65FC75B6"/>
    <w:rsid w:val="65FD6839"/>
    <w:rsid w:val="65FD6E6E"/>
    <w:rsid w:val="65FE0EE5"/>
    <w:rsid w:val="65FE674C"/>
    <w:rsid w:val="65FE7137"/>
    <w:rsid w:val="65FF1D4D"/>
    <w:rsid w:val="6601258C"/>
    <w:rsid w:val="660150A2"/>
    <w:rsid w:val="660179E7"/>
    <w:rsid w:val="6602017B"/>
    <w:rsid w:val="6602164A"/>
    <w:rsid w:val="66033E5C"/>
    <w:rsid w:val="6603474E"/>
    <w:rsid w:val="660364FC"/>
    <w:rsid w:val="66042274"/>
    <w:rsid w:val="66044022"/>
    <w:rsid w:val="660450F7"/>
    <w:rsid w:val="66046B6C"/>
    <w:rsid w:val="6605645B"/>
    <w:rsid w:val="66060433"/>
    <w:rsid w:val="66062B75"/>
    <w:rsid w:val="660631F7"/>
    <w:rsid w:val="66064317"/>
    <w:rsid w:val="66064A69"/>
    <w:rsid w:val="66065D0B"/>
    <w:rsid w:val="66065FEC"/>
    <w:rsid w:val="66067D9A"/>
    <w:rsid w:val="66070263"/>
    <w:rsid w:val="660724BC"/>
    <w:rsid w:val="66072A2A"/>
    <w:rsid w:val="66081B38"/>
    <w:rsid w:val="66081D0A"/>
    <w:rsid w:val="66081D64"/>
    <w:rsid w:val="66082B94"/>
    <w:rsid w:val="66082D77"/>
    <w:rsid w:val="66083ABC"/>
    <w:rsid w:val="66086B58"/>
    <w:rsid w:val="6608762D"/>
    <w:rsid w:val="66091052"/>
    <w:rsid w:val="66096B26"/>
    <w:rsid w:val="6609788A"/>
    <w:rsid w:val="660A33D9"/>
    <w:rsid w:val="660A5ADC"/>
    <w:rsid w:val="660A5DDE"/>
    <w:rsid w:val="660B1854"/>
    <w:rsid w:val="660B4B4A"/>
    <w:rsid w:val="660B715E"/>
    <w:rsid w:val="660C0B68"/>
    <w:rsid w:val="660D1BFD"/>
    <w:rsid w:val="660E4EA0"/>
    <w:rsid w:val="660F30F2"/>
    <w:rsid w:val="660F381F"/>
    <w:rsid w:val="660F4EEC"/>
    <w:rsid w:val="660F6F8F"/>
    <w:rsid w:val="661029C7"/>
    <w:rsid w:val="66106E6A"/>
    <w:rsid w:val="66115A83"/>
    <w:rsid w:val="661204ED"/>
    <w:rsid w:val="661225E7"/>
    <w:rsid w:val="6613130D"/>
    <w:rsid w:val="661324B7"/>
    <w:rsid w:val="661339EA"/>
    <w:rsid w:val="66134265"/>
    <w:rsid w:val="66140709"/>
    <w:rsid w:val="66140A40"/>
    <w:rsid w:val="66144AC0"/>
    <w:rsid w:val="66144F66"/>
    <w:rsid w:val="6614653D"/>
    <w:rsid w:val="66150061"/>
    <w:rsid w:val="66151F5D"/>
    <w:rsid w:val="66153145"/>
    <w:rsid w:val="66154481"/>
    <w:rsid w:val="6615622F"/>
    <w:rsid w:val="66157FDD"/>
    <w:rsid w:val="66166008"/>
    <w:rsid w:val="66170870"/>
    <w:rsid w:val="6617798C"/>
    <w:rsid w:val="66195D1F"/>
    <w:rsid w:val="661A375B"/>
    <w:rsid w:val="661A3845"/>
    <w:rsid w:val="661A55F3"/>
    <w:rsid w:val="661A60EA"/>
    <w:rsid w:val="661A7DDD"/>
    <w:rsid w:val="661B4993"/>
    <w:rsid w:val="661B7A7B"/>
    <w:rsid w:val="661C580F"/>
    <w:rsid w:val="661C6D07"/>
    <w:rsid w:val="661C73BB"/>
    <w:rsid w:val="661C75BD"/>
    <w:rsid w:val="661D0BBE"/>
    <w:rsid w:val="661D10E3"/>
    <w:rsid w:val="661D1A29"/>
    <w:rsid w:val="661D46E2"/>
    <w:rsid w:val="661E1EFD"/>
    <w:rsid w:val="661F1BD3"/>
    <w:rsid w:val="661F70AE"/>
    <w:rsid w:val="6620164F"/>
    <w:rsid w:val="66207AEE"/>
    <w:rsid w:val="66212E26"/>
    <w:rsid w:val="66214BD4"/>
    <w:rsid w:val="66216982"/>
    <w:rsid w:val="66217E43"/>
    <w:rsid w:val="66221C95"/>
    <w:rsid w:val="66225C7F"/>
    <w:rsid w:val="662266AC"/>
    <w:rsid w:val="66237D86"/>
    <w:rsid w:val="66240220"/>
    <w:rsid w:val="66242232"/>
    <w:rsid w:val="66242E74"/>
    <w:rsid w:val="662446C4"/>
    <w:rsid w:val="66252916"/>
    <w:rsid w:val="66257E67"/>
    <w:rsid w:val="662621EA"/>
    <w:rsid w:val="66273E18"/>
    <w:rsid w:val="66274313"/>
    <w:rsid w:val="6628127E"/>
    <w:rsid w:val="662817F5"/>
    <w:rsid w:val="66285F62"/>
    <w:rsid w:val="66291019"/>
    <w:rsid w:val="66292E88"/>
    <w:rsid w:val="66293A88"/>
    <w:rsid w:val="6629599D"/>
    <w:rsid w:val="662A461C"/>
    <w:rsid w:val="662A6CE6"/>
    <w:rsid w:val="662B444E"/>
    <w:rsid w:val="662B7800"/>
    <w:rsid w:val="662C337E"/>
    <w:rsid w:val="662C3EEF"/>
    <w:rsid w:val="662D5327"/>
    <w:rsid w:val="662E0695"/>
    <w:rsid w:val="662E3598"/>
    <w:rsid w:val="662E5D3E"/>
    <w:rsid w:val="662F16C8"/>
    <w:rsid w:val="662F5543"/>
    <w:rsid w:val="66300A97"/>
    <w:rsid w:val="663012BB"/>
    <w:rsid w:val="66303069"/>
    <w:rsid w:val="66311F3B"/>
    <w:rsid w:val="66313DF4"/>
    <w:rsid w:val="66320EB5"/>
    <w:rsid w:val="66323834"/>
    <w:rsid w:val="66325478"/>
    <w:rsid w:val="66325E20"/>
    <w:rsid w:val="663366B5"/>
    <w:rsid w:val="66344907"/>
    <w:rsid w:val="6635067F"/>
    <w:rsid w:val="66352E4B"/>
    <w:rsid w:val="663568D1"/>
    <w:rsid w:val="6636339A"/>
    <w:rsid w:val="66363D29"/>
    <w:rsid w:val="663652B8"/>
    <w:rsid w:val="66365D4E"/>
    <w:rsid w:val="663743F7"/>
    <w:rsid w:val="66377F12"/>
    <w:rsid w:val="66377F53"/>
    <w:rsid w:val="66383CCB"/>
    <w:rsid w:val="663841E2"/>
    <w:rsid w:val="6639016F"/>
    <w:rsid w:val="6639028E"/>
    <w:rsid w:val="66391F1D"/>
    <w:rsid w:val="663927E7"/>
    <w:rsid w:val="66394741"/>
    <w:rsid w:val="6639534B"/>
    <w:rsid w:val="663A3EE7"/>
    <w:rsid w:val="663A58EC"/>
    <w:rsid w:val="663B3A15"/>
    <w:rsid w:val="663B6E2F"/>
    <w:rsid w:val="663C1A0D"/>
    <w:rsid w:val="663C23B7"/>
    <w:rsid w:val="663C3323"/>
    <w:rsid w:val="663C37BC"/>
    <w:rsid w:val="663D12E2"/>
    <w:rsid w:val="663D2D40"/>
    <w:rsid w:val="663D2F3F"/>
    <w:rsid w:val="663D56D8"/>
    <w:rsid w:val="663D7B0D"/>
    <w:rsid w:val="663E4988"/>
    <w:rsid w:val="663E7534"/>
    <w:rsid w:val="663F0BF9"/>
    <w:rsid w:val="663F14FE"/>
    <w:rsid w:val="663F505A"/>
    <w:rsid w:val="663F7B90"/>
    <w:rsid w:val="66402F91"/>
    <w:rsid w:val="66410DD2"/>
    <w:rsid w:val="66411879"/>
    <w:rsid w:val="664123AD"/>
    <w:rsid w:val="66415276"/>
    <w:rsid w:val="66417024"/>
    <w:rsid w:val="664243A6"/>
    <w:rsid w:val="66432D9C"/>
    <w:rsid w:val="66440E6F"/>
    <w:rsid w:val="66441ED4"/>
    <w:rsid w:val="66442670"/>
    <w:rsid w:val="66447761"/>
    <w:rsid w:val="66456B14"/>
    <w:rsid w:val="664663E8"/>
    <w:rsid w:val="6647794F"/>
    <w:rsid w:val="664803B2"/>
    <w:rsid w:val="66482160"/>
    <w:rsid w:val="66482351"/>
    <w:rsid w:val="66482652"/>
    <w:rsid w:val="66485DC8"/>
    <w:rsid w:val="66486795"/>
    <w:rsid w:val="66491D75"/>
    <w:rsid w:val="66494CB0"/>
    <w:rsid w:val="66495ED8"/>
    <w:rsid w:val="664A237C"/>
    <w:rsid w:val="664A36FF"/>
    <w:rsid w:val="664A51CA"/>
    <w:rsid w:val="664B4F71"/>
    <w:rsid w:val="664C0BF0"/>
    <w:rsid w:val="664C235B"/>
    <w:rsid w:val="664C3412"/>
    <w:rsid w:val="664C3447"/>
    <w:rsid w:val="664C4128"/>
    <w:rsid w:val="664C5180"/>
    <w:rsid w:val="664D37C1"/>
    <w:rsid w:val="664D4B22"/>
    <w:rsid w:val="664D7777"/>
    <w:rsid w:val="664E608E"/>
    <w:rsid w:val="66503342"/>
    <w:rsid w:val="6650370B"/>
    <w:rsid w:val="665037BA"/>
    <w:rsid w:val="66504202"/>
    <w:rsid w:val="66507D62"/>
    <w:rsid w:val="6651207A"/>
    <w:rsid w:val="66521231"/>
    <w:rsid w:val="66524D8D"/>
    <w:rsid w:val="66541FC6"/>
    <w:rsid w:val="6654669A"/>
    <w:rsid w:val="66551A28"/>
    <w:rsid w:val="6655493B"/>
    <w:rsid w:val="665568AE"/>
    <w:rsid w:val="66556903"/>
    <w:rsid w:val="6655777B"/>
    <w:rsid w:val="66560D21"/>
    <w:rsid w:val="66562503"/>
    <w:rsid w:val="66566EFB"/>
    <w:rsid w:val="6657270A"/>
    <w:rsid w:val="66582F8A"/>
    <w:rsid w:val="665925BF"/>
    <w:rsid w:val="66595A79"/>
    <w:rsid w:val="6659611C"/>
    <w:rsid w:val="665A00E6"/>
    <w:rsid w:val="665A3B72"/>
    <w:rsid w:val="665B514A"/>
    <w:rsid w:val="665B7255"/>
    <w:rsid w:val="665C06E5"/>
    <w:rsid w:val="665C17D3"/>
    <w:rsid w:val="665C20B0"/>
    <w:rsid w:val="665C5C0C"/>
    <w:rsid w:val="665C68CF"/>
    <w:rsid w:val="665E2E08"/>
    <w:rsid w:val="665E3732"/>
    <w:rsid w:val="665E3EF7"/>
    <w:rsid w:val="665E50FA"/>
    <w:rsid w:val="665E66B2"/>
    <w:rsid w:val="665F56FC"/>
    <w:rsid w:val="665F74AA"/>
    <w:rsid w:val="6660394E"/>
    <w:rsid w:val="66607074"/>
    <w:rsid w:val="66611BDF"/>
    <w:rsid w:val="66614344"/>
    <w:rsid w:val="666224DB"/>
    <w:rsid w:val="666245E7"/>
    <w:rsid w:val="66627E67"/>
    <w:rsid w:val="666359E7"/>
    <w:rsid w:val="66636ADA"/>
    <w:rsid w:val="66640B88"/>
    <w:rsid w:val="6664353B"/>
    <w:rsid w:val="66645B83"/>
    <w:rsid w:val="666464E4"/>
    <w:rsid w:val="66646F19"/>
    <w:rsid w:val="66650F64"/>
    <w:rsid w:val="66652D12"/>
    <w:rsid w:val="666578D3"/>
    <w:rsid w:val="6666051F"/>
    <w:rsid w:val="66660838"/>
    <w:rsid w:val="66664CDC"/>
    <w:rsid w:val="66666A8A"/>
    <w:rsid w:val="66673047"/>
    <w:rsid w:val="666845B1"/>
    <w:rsid w:val="66687C94"/>
    <w:rsid w:val="666920D7"/>
    <w:rsid w:val="666942F7"/>
    <w:rsid w:val="66695834"/>
    <w:rsid w:val="666963A3"/>
    <w:rsid w:val="666A2D49"/>
    <w:rsid w:val="666A3495"/>
    <w:rsid w:val="666B02A8"/>
    <w:rsid w:val="666B6422"/>
    <w:rsid w:val="666C22A1"/>
    <w:rsid w:val="666C40DC"/>
    <w:rsid w:val="666D15ED"/>
    <w:rsid w:val="666D606B"/>
    <w:rsid w:val="666E2AF9"/>
    <w:rsid w:val="666E322C"/>
    <w:rsid w:val="666E3DE5"/>
    <w:rsid w:val="666F1DE3"/>
    <w:rsid w:val="666F3B91"/>
    <w:rsid w:val="666F593F"/>
    <w:rsid w:val="66702DDC"/>
    <w:rsid w:val="66702DEE"/>
    <w:rsid w:val="66703465"/>
    <w:rsid w:val="66705B03"/>
    <w:rsid w:val="667075CF"/>
    <w:rsid w:val="66707909"/>
    <w:rsid w:val="66707FEA"/>
    <w:rsid w:val="66712BBB"/>
    <w:rsid w:val="66732FF6"/>
    <w:rsid w:val="6673552A"/>
    <w:rsid w:val="667411A7"/>
    <w:rsid w:val="667473F9"/>
    <w:rsid w:val="66747DFB"/>
    <w:rsid w:val="66754F1F"/>
    <w:rsid w:val="66756CCD"/>
    <w:rsid w:val="66770C98"/>
    <w:rsid w:val="66775427"/>
    <w:rsid w:val="667879BB"/>
    <w:rsid w:val="6679056C"/>
    <w:rsid w:val="66794A10"/>
    <w:rsid w:val="66794B17"/>
    <w:rsid w:val="667A4930"/>
    <w:rsid w:val="667A4D55"/>
    <w:rsid w:val="667B23F0"/>
    <w:rsid w:val="667B2536"/>
    <w:rsid w:val="667B50FD"/>
    <w:rsid w:val="667B6D2E"/>
    <w:rsid w:val="667C005C"/>
    <w:rsid w:val="667C62AE"/>
    <w:rsid w:val="667C673E"/>
    <w:rsid w:val="667D3013"/>
    <w:rsid w:val="667D4B39"/>
    <w:rsid w:val="667E2026"/>
    <w:rsid w:val="667E3DD4"/>
    <w:rsid w:val="667E7FC4"/>
    <w:rsid w:val="667F7CD8"/>
    <w:rsid w:val="66805D9E"/>
    <w:rsid w:val="66807B4C"/>
    <w:rsid w:val="66807C8E"/>
    <w:rsid w:val="66810EBA"/>
    <w:rsid w:val="66810F6F"/>
    <w:rsid w:val="668138C4"/>
    <w:rsid w:val="66815672"/>
    <w:rsid w:val="66815781"/>
    <w:rsid w:val="66822014"/>
    <w:rsid w:val="66824416"/>
    <w:rsid w:val="66825791"/>
    <w:rsid w:val="668313EA"/>
    <w:rsid w:val="6683388F"/>
    <w:rsid w:val="668372D9"/>
    <w:rsid w:val="66843CCC"/>
    <w:rsid w:val="6684624E"/>
    <w:rsid w:val="66846F11"/>
    <w:rsid w:val="66847D59"/>
    <w:rsid w:val="668523D3"/>
    <w:rsid w:val="6686151F"/>
    <w:rsid w:val="66862210"/>
    <w:rsid w:val="668622DD"/>
    <w:rsid w:val="66862C89"/>
    <w:rsid w:val="6686712D"/>
    <w:rsid w:val="66867A4F"/>
    <w:rsid w:val="668718AC"/>
    <w:rsid w:val="66873AE4"/>
    <w:rsid w:val="66874649"/>
    <w:rsid w:val="66874845"/>
    <w:rsid w:val="66877A2A"/>
    <w:rsid w:val="66882EA5"/>
    <w:rsid w:val="66884C53"/>
    <w:rsid w:val="66887ADC"/>
    <w:rsid w:val="66893234"/>
    <w:rsid w:val="6689346D"/>
    <w:rsid w:val="668A09CB"/>
    <w:rsid w:val="668A1206"/>
    <w:rsid w:val="668A2779"/>
    <w:rsid w:val="668A4527"/>
    <w:rsid w:val="668A4DF4"/>
    <w:rsid w:val="668B029F"/>
    <w:rsid w:val="668B7F72"/>
    <w:rsid w:val="668C4539"/>
    <w:rsid w:val="668C4743"/>
    <w:rsid w:val="668D2269"/>
    <w:rsid w:val="668D71B2"/>
    <w:rsid w:val="668E2437"/>
    <w:rsid w:val="668F0385"/>
    <w:rsid w:val="668F1B3D"/>
    <w:rsid w:val="668F251A"/>
    <w:rsid w:val="668F4B2E"/>
    <w:rsid w:val="668F4E0D"/>
    <w:rsid w:val="668F63AB"/>
    <w:rsid w:val="668F7E92"/>
    <w:rsid w:val="66907256"/>
    <w:rsid w:val="6691124C"/>
    <w:rsid w:val="66911D59"/>
    <w:rsid w:val="66913899"/>
    <w:rsid w:val="669153ED"/>
    <w:rsid w:val="6691787C"/>
    <w:rsid w:val="6692162D"/>
    <w:rsid w:val="669224FD"/>
    <w:rsid w:val="66923D54"/>
    <w:rsid w:val="66925AD1"/>
    <w:rsid w:val="6692787F"/>
    <w:rsid w:val="66932E83"/>
    <w:rsid w:val="66933384"/>
    <w:rsid w:val="66934C9A"/>
    <w:rsid w:val="669363A2"/>
    <w:rsid w:val="669453A6"/>
    <w:rsid w:val="66952ECC"/>
    <w:rsid w:val="669553F0"/>
    <w:rsid w:val="66961D05"/>
    <w:rsid w:val="66963446"/>
    <w:rsid w:val="6696590F"/>
    <w:rsid w:val="66966E54"/>
    <w:rsid w:val="66967370"/>
    <w:rsid w:val="66970D8A"/>
    <w:rsid w:val="669730E8"/>
    <w:rsid w:val="66975B5A"/>
    <w:rsid w:val="66975F2D"/>
    <w:rsid w:val="66976C44"/>
    <w:rsid w:val="66985D66"/>
    <w:rsid w:val="66991DC7"/>
    <w:rsid w:val="66993728"/>
    <w:rsid w:val="669A2314"/>
    <w:rsid w:val="669B0A59"/>
    <w:rsid w:val="669B2BD8"/>
    <w:rsid w:val="669B6575"/>
    <w:rsid w:val="669C1802"/>
    <w:rsid w:val="669C1F4E"/>
    <w:rsid w:val="669C24AC"/>
    <w:rsid w:val="669C33D1"/>
    <w:rsid w:val="669C425A"/>
    <w:rsid w:val="669C6C82"/>
    <w:rsid w:val="669D6AE8"/>
    <w:rsid w:val="669E0C34"/>
    <w:rsid w:val="669E3068"/>
    <w:rsid w:val="669E6224"/>
    <w:rsid w:val="669E7FD2"/>
    <w:rsid w:val="669F08D1"/>
    <w:rsid w:val="669F45CE"/>
    <w:rsid w:val="66A001EE"/>
    <w:rsid w:val="66A03D4A"/>
    <w:rsid w:val="66A104F0"/>
    <w:rsid w:val="66A10D8D"/>
    <w:rsid w:val="66A12093"/>
    <w:rsid w:val="66A14E2F"/>
    <w:rsid w:val="66A23805"/>
    <w:rsid w:val="66A2664D"/>
    <w:rsid w:val="66A26699"/>
    <w:rsid w:val="66A27413"/>
    <w:rsid w:val="66A3119F"/>
    <w:rsid w:val="66A31A8D"/>
    <w:rsid w:val="66A3383B"/>
    <w:rsid w:val="66A404E5"/>
    <w:rsid w:val="66A432E5"/>
    <w:rsid w:val="66A51361"/>
    <w:rsid w:val="66A52209"/>
    <w:rsid w:val="66A54AA4"/>
    <w:rsid w:val="66A55805"/>
    <w:rsid w:val="66A575B3"/>
    <w:rsid w:val="66A60E52"/>
    <w:rsid w:val="66A6332B"/>
    <w:rsid w:val="66A66A53"/>
    <w:rsid w:val="66A730DE"/>
    <w:rsid w:val="66A739A7"/>
    <w:rsid w:val="66A743CB"/>
    <w:rsid w:val="66A75DD2"/>
    <w:rsid w:val="66A8411A"/>
    <w:rsid w:val="66A852F5"/>
    <w:rsid w:val="66A870A3"/>
    <w:rsid w:val="66AA0167"/>
    <w:rsid w:val="66AA18C9"/>
    <w:rsid w:val="66AA1D31"/>
    <w:rsid w:val="66AA39BD"/>
    <w:rsid w:val="66AA3DFB"/>
    <w:rsid w:val="66AA4BC9"/>
    <w:rsid w:val="66AA6977"/>
    <w:rsid w:val="66AB0941"/>
    <w:rsid w:val="66AB26EF"/>
    <w:rsid w:val="66AB2A9B"/>
    <w:rsid w:val="66AB788F"/>
    <w:rsid w:val="66AC6B93"/>
    <w:rsid w:val="66AC7CDA"/>
    <w:rsid w:val="66AD290B"/>
    <w:rsid w:val="66AD46B9"/>
    <w:rsid w:val="66AD6467"/>
    <w:rsid w:val="66AD6AFC"/>
    <w:rsid w:val="66AE6E58"/>
    <w:rsid w:val="66AE7F8C"/>
    <w:rsid w:val="66AF0431"/>
    <w:rsid w:val="66AF2D1D"/>
    <w:rsid w:val="66AF71DD"/>
    <w:rsid w:val="66AF760B"/>
    <w:rsid w:val="66B01DF2"/>
    <w:rsid w:val="66B063B7"/>
    <w:rsid w:val="66B066B5"/>
    <w:rsid w:val="66B11BD6"/>
    <w:rsid w:val="66B141AA"/>
    <w:rsid w:val="66B202D6"/>
    <w:rsid w:val="66B23A7E"/>
    <w:rsid w:val="66B23F30"/>
    <w:rsid w:val="66B43C9A"/>
    <w:rsid w:val="66B447C4"/>
    <w:rsid w:val="66B4528E"/>
    <w:rsid w:val="66B477F6"/>
    <w:rsid w:val="66B5671E"/>
    <w:rsid w:val="66B64B58"/>
    <w:rsid w:val="66B654C2"/>
    <w:rsid w:val="66B71094"/>
    <w:rsid w:val="66B75538"/>
    <w:rsid w:val="66B75BCB"/>
    <w:rsid w:val="66B772E6"/>
    <w:rsid w:val="66B777E6"/>
    <w:rsid w:val="66B81714"/>
    <w:rsid w:val="66B83C0F"/>
    <w:rsid w:val="66B86032"/>
    <w:rsid w:val="66B92142"/>
    <w:rsid w:val="66B92767"/>
    <w:rsid w:val="66B94E0C"/>
    <w:rsid w:val="66B94F27"/>
    <w:rsid w:val="66B951ED"/>
    <w:rsid w:val="66BA2932"/>
    <w:rsid w:val="66BB0B84"/>
    <w:rsid w:val="66BB0F04"/>
    <w:rsid w:val="66BB184C"/>
    <w:rsid w:val="66BB5028"/>
    <w:rsid w:val="66BC00C3"/>
    <w:rsid w:val="66BC66AA"/>
    <w:rsid w:val="66BC693E"/>
    <w:rsid w:val="66BC7FA2"/>
    <w:rsid w:val="66BD4F57"/>
    <w:rsid w:val="66BD65F1"/>
    <w:rsid w:val="66BE0674"/>
    <w:rsid w:val="66BE2423"/>
    <w:rsid w:val="66BE68C6"/>
    <w:rsid w:val="66BF33CF"/>
    <w:rsid w:val="66BF72CF"/>
    <w:rsid w:val="66C043ED"/>
    <w:rsid w:val="66C13CC1"/>
    <w:rsid w:val="66C16177"/>
    <w:rsid w:val="66C20165"/>
    <w:rsid w:val="66C25623"/>
    <w:rsid w:val="66C25CFB"/>
    <w:rsid w:val="66C3422A"/>
    <w:rsid w:val="66C37A39"/>
    <w:rsid w:val="66C41F8E"/>
    <w:rsid w:val="66C428F8"/>
    <w:rsid w:val="66C51A03"/>
    <w:rsid w:val="66C676A3"/>
    <w:rsid w:val="66C7577B"/>
    <w:rsid w:val="66C814F3"/>
    <w:rsid w:val="66C8504F"/>
    <w:rsid w:val="66C859B4"/>
    <w:rsid w:val="66C90637"/>
    <w:rsid w:val="66C96325"/>
    <w:rsid w:val="66CA526B"/>
    <w:rsid w:val="66CA601C"/>
    <w:rsid w:val="66CA7019"/>
    <w:rsid w:val="66CB4B3F"/>
    <w:rsid w:val="66CC1FC9"/>
    <w:rsid w:val="66CC2D91"/>
    <w:rsid w:val="66CD08B8"/>
    <w:rsid w:val="66CD11B7"/>
    <w:rsid w:val="66CD28BF"/>
    <w:rsid w:val="66CD4D5B"/>
    <w:rsid w:val="66CD6B09"/>
    <w:rsid w:val="66CD6C80"/>
    <w:rsid w:val="66CE0A06"/>
    <w:rsid w:val="66CE1C4A"/>
    <w:rsid w:val="66CE7374"/>
    <w:rsid w:val="66CF184F"/>
    <w:rsid w:val="66CF29B7"/>
    <w:rsid w:val="66CF4630"/>
    <w:rsid w:val="66D05441"/>
    <w:rsid w:val="66D070DC"/>
    <w:rsid w:val="66D13C42"/>
    <w:rsid w:val="66D147B6"/>
    <w:rsid w:val="66D15EF7"/>
    <w:rsid w:val="66D23F2A"/>
    <w:rsid w:val="66D24120"/>
    <w:rsid w:val="66D32372"/>
    <w:rsid w:val="66D3267D"/>
    <w:rsid w:val="66D40FF7"/>
    <w:rsid w:val="66D41C46"/>
    <w:rsid w:val="66D4239C"/>
    <w:rsid w:val="66D43737"/>
    <w:rsid w:val="66D44604"/>
    <w:rsid w:val="66D44878"/>
    <w:rsid w:val="66D460EA"/>
    <w:rsid w:val="66D47FE2"/>
    <w:rsid w:val="66D50E0D"/>
    <w:rsid w:val="66D53137"/>
    <w:rsid w:val="66D5491E"/>
    <w:rsid w:val="66D631EB"/>
    <w:rsid w:val="66D63C10"/>
    <w:rsid w:val="66D65732"/>
    <w:rsid w:val="66D6592B"/>
    <w:rsid w:val="66D66080"/>
    <w:rsid w:val="66D66891"/>
    <w:rsid w:val="66D67198"/>
    <w:rsid w:val="66D71736"/>
    <w:rsid w:val="66D76931"/>
    <w:rsid w:val="66D84AFC"/>
    <w:rsid w:val="66D87988"/>
    <w:rsid w:val="66D92B7B"/>
    <w:rsid w:val="66DA13B5"/>
    <w:rsid w:val="66DB08E9"/>
    <w:rsid w:val="66DB1226"/>
    <w:rsid w:val="66DB5200"/>
    <w:rsid w:val="66DB55B6"/>
    <w:rsid w:val="66DB647B"/>
    <w:rsid w:val="66DB7679"/>
    <w:rsid w:val="66DC0046"/>
    <w:rsid w:val="66DC300A"/>
    <w:rsid w:val="66DD11A3"/>
    <w:rsid w:val="66DD3470"/>
    <w:rsid w:val="66DD4064"/>
    <w:rsid w:val="66DD706B"/>
    <w:rsid w:val="66DE122B"/>
    <w:rsid w:val="66DE2AC5"/>
    <w:rsid w:val="66DE4873"/>
    <w:rsid w:val="66DE5504"/>
    <w:rsid w:val="66DE705A"/>
    <w:rsid w:val="66DF247F"/>
    <w:rsid w:val="66E005EB"/>
    <w:rsid w:val="66E00E45"/>
    <w:rsid w:val="66E01814"/>
    <w:rsid w:val="66E0683D"/>
    <w:rsid w:val="66E14363"/>
    <w:rsid w:val="66E16111"/>
    <w:rsid w:val="66E225B5"/>
    <w:rsid w:val="66E22E3A"/>
    <w:rsid w:val="66E3030C"/>
    <w:rsid w:val="66E3480E"/>
    <w:rsid w:val="66E3632D"/>
    <w:rsid w:val="66E43E62"/>
    <w:rsid w:val="66E4687E"/>
    <w:rsid w:val="66E47FD9"/>
    <w:rsid w:val="66E50CF7"/>
    <w:rsid w:val="66E520A5"/>
    <w:rsid w:val="66E540BC"/>
    <w:rsid w:val="66E70FB5"/>
    <w:rsid w:val="66E71979"/>
    <w:rsid w:val="66E75E1D"/>
    <w:rsid w:val="66E77BCB"/>
    <w:rsid w:val="66E83943"/>
    <w:rsid w:val="66E856F1"/>
    <w:rsid w:val="66E92A3D"/>
    <w:rsid w:val="66E93E94"/>
    <w:rsid w:val="66EA1469"/>
    <w:rsid w:val="66EA76BB"/>
    <w:rsid w:val="66EB166F"/>
    <w:rsid w:val="66EC4C32"/>
    <w:rsid w:val="66EC51E2"/>
    <w:rsid w:val="66ED0F5A"/>
    <w:rsid w:val="66ED2D08"/>
    <w:rsid w:val="66ED57BF"/>
    <w:rsid w:val="66ED6B49"/>
    <w:rsid w:val="66EE3743"/>
    <w:rsid w:val="66EE5A5A"/>
    <w:rsid w:val="66EF209F"/>
    <w:rsid w:val="66EF3642"/>
    <w:rsid w:val="66F04EA5"/>
    <w:rsid w:val="66F0777E"/>
    <w:rsid w:val="66F10A4A"/>
    <w:rsid w:val="66F145A6"/>
    <w:rsid w:val="66F2031E"/>
    <w:rsid w:val="66F26570"/>
    <w:rsid w:val="66F30D38"/>
    <w:rsid w:val="66F347C2"/>
    <w:rsid w:val="66F351FD"/>
    <w:rsid w:val="66F37000"/>
    <w:rsid w:val="66F41291"/>
    <w:rsid w:val="66F422E8"/>
    <w:rsid w:val="66F45E44"/>
    <w:rsid w:val="66F46775"/>
    <w:rsid w:val="66F54B2C"/>
    <w:rsid w:val="66F6494C"/>
    <w:rsid w:val="66F67E0E"/>
    <w:rsid w:val="66F71606"/>
    <w:rsid w:val="66F73E63"/>
    <w:rsid w:val="66F7507F"/>
    <w:rsid w:val="66F80ED6"/>
    <w:rsid w:val="66F86AF6"/>
    <w:rsid w:val="66F916AD"/>
    <w:rsid w:val="66F9203B"/>
    <w:rsid w:val="66F95B50"/>
    <w:rsid w:val="66F964E3"/>
    <w:rsid w:val="66F978FF"/>
    <w:rsid w:val="66FA59E9"/>
    <w:rsid w:val="66FA5B03"/>
    <w:rsid w:val="66FB41E5"/>
    <w:rsid w:val="66FC0998"/>
    <w:rsid w:val="66FC2F4B"/>
    <w:rsid w:val="66FD119D"/>
    <w:rsid w:val="66FD3345"/>
    <w:rsid w:val="66FD73EF"/>
    <w:rsid w:val="66FE3167"/>
    <w:rsid w:val="66FE558E"/>
    <w:rsid w:val="66FE5833"/>
    <w:rsid w:val="66FE6CC3"/>
    <w:rsid w:val="66FE75ED"/>
    <w:rsid w:val="66FF2D1F"/>
    <w:rsid w:val="66FF58EE"/>
    <w:rsid w:val="670012B4"/>
    <w:rsid w:val="67002A3B"/>
    <w:rsid w:val="67006EDF"/>
    <w:rsid w:val="67011DF1"/>
    <w:rsid w:val="670202EC"/>
    <w:rsid w:val="67024A05"/>
    <w:rsid w:val="670267B3"/>
    <w:rsid w:val="6703252B"/>
    <w:rsid w:val="67042216"/>
    <w:rsid w:val="67047226"/>
    <w:rsid w:val="670544F5"/>
    <w:rsid w:val="6706049F"/>
    <w:rsid w:val="67064939"/>
    <w:rsid w:val="67064B36"/>
    <w:rsid w:val="67065B78"/>
    <w:rsid w:val="67065FD2"/>
    <w:rsid w:val="670670F5"/>
    <w:rsid w:val="67070F74"/>
    <w:rsid w:val="67073DC9"/>
    <w:rsid w:val="67076F40"/>
    <w:rsid w:val="67077707"/>
    <w:rsid w:val="670778EA"/>
    <w:rsid w:val="67080476"/>
    <w:rsid w:val="67094E24"/>
    <w:rsid w:val="670A14C6"/>
    <w:rsid w:val="670A1B0C"/>
    <w:rsid w:val="670A3BB1"/>
    <w:rsid w:val="670A5668"/>
    <w:rsid w:val="670A6D87"/>
    <w:rsid w:val="670A7586"/>
    <w:rsid w:val="670B6E54"/>
    <w:rsid w:val="670B7FAD"/>
    <w:rsid w:val="670C13E0"/>
    <w:rsid w:val="670C45C1"/>
    <w:rsid w:val="670C6F9F"/>
    <w:rsid w:val="670C736B"/>
    <w:rsid w:val="670C7632"/>
    <w:rsid w:val="670C7C98"/>
    <w:rsid w:val="670D3CD5"/>
    <w:rsid w:val="670D5158"/>
    <w:rsid w:val="670D6401"/>
    <w:rsid w:val="670D6F06"/>
    <w:rsid w:val="670E0E72"/>
    <w:rsid w:val="670E1D4E"/>
    <w:rsid w:val="670E721C"/>
    <w:rsid w:val="670F0ED0"/>
    <w:rsid w:val="670F7122"/>
    <w:rsid w:val="67107970"/>
    <w:rsid w:val="671129B9"/>
    <w:rsid w:val="67112E9A"/>
    <w:rsid w:val="67114C36"/>
    <w:rsid w:val="67114C48"/>
    <w:rsid w:val="671169F6"/>
    <w:rsid w:val="67117FE8"/>
    <w:rsid w:val="671211AE"/>
    <w:rsid w:val="671258EB"/>
    <w:rsid w:val="671309C0"/>
    <w:rsid w:val="67134B20"/>
    <w:rsid w:val="671365E2"/>
    <w:rsid w:val="67140294"/>
    <w:rsid w:val="67141D0B"/>
    <w:rsid w:val="6714469B"/>
    <w:rsid w:val="671464E6"/>
    <w:rsid w:val="671466CC"/>
    <w:rsid w:val="671508DC"/>
    <w:rsid w:val="6715254B"/>
    <w:rsid w:val="67155475"/>
    <w:rsid w:val="671604B0"/>
    <w:rsid w:val="6716400D"/>
    <w:rsid w:val="67171ED0"/>
    <w:rsid w:val="6717322E"/>
    <w:rsid w:val="67174793"/>
    <w:rsid w:val="6717695C"/>
    <w:rsid w:val="67185FD7"/>
    <w:rsid w:val="67190718"/>
    <w:rsid w:val="67193AFD"/>
    <w:rsid w:val="671958AB"/>
    <w:rsid w:val="671A2FAC"/>
    <w:rsid w:val="671B149A"/>
    <w:rsid w:val="671B5AC7"/>
    <w:rsid w:val="671B7875"/>
    <w:rsid w:val="671C15EA"/>
    <w:rsid w:val="671C4358"/>
    <w:rsid w:val="671D192D"/>
    <w:rsid w:val="671D41CF"/>
    <w:rsid w:val="671D539B"/>
    <w:rsid w:val="671D79B5"/>
    <w:rsid w:val="671E1113"/>
    <w:rsid w:val="671E4DD5"/>
    <w:rsid w:val="671E7126"/>
    <w:rsid w:val="671F124A"/>
    <w:rsid w:val="671F440C"/>
    <w:rsid w:val="671F55B7"/>
    <w:rsid w:val="67201EB0"/>
    <w:rsid w:val="67204E8B"/>
    <w:rsid w:val="67206C39"/>
    <w:rsid w:val="67217E3E"/>
    <w:rsid w:val="67220C03"/>
    <w:rsid w:val="672229B1"/>
    <w:rsid w:val="67222BCE"/>
    <w:rsid w:val="67223341"/>
    <w:rsid w:val="672435D7"/>
    <w:rsid w:val="672465C4"/>
    <w:rsid w:val="672500BF"/>
    <w:rsid w:val="67251ABB"/>
    <w:rsid w:val="672524A2"/>
    <w:rsid w:val="67252C90"/>
    <w:rsid w:val="67254250"/>
    <w:rsid w:val="67256946"/>
    <w:rsid w:val="67265AA2"/>
    <w:rsid w:val="672708EB"/>
    <w:rsid w:val="67275836"/>
    <w:rsid w:val="6727621A"/>
    <w:rsid w:val="67277FC8"/>
    <w:rsid w:val="67281F92"/>
    <w:rsid w:val="6728233A"/>
    <w:rsid w:val="672828F2"/>
    <w:rsid w:val="67283C70"/>
    <w:rsid w:val="67283D40"/>
    <w:rsid w:val="67284472"/>
    <w:rsid w:val="67297ED0"/>
    <w:rsid w:val="672A100A"/>
    <w:rsid w:val="672A3F5C"/>
    <w:rsid w:val="672A5D0A"/>
    <w:rsid w:val="672A66F0"/>
    <w:rsid w:val="672C1A82"/>
    <w:rsid w:val="672C3097"/>
    <w:rsid w:val="672C55DE"/>
    <w:rsid w:val="672C7CD4"/>
    <w:rsid w:val="672D7140"/>
    <w:rsid w:val="672E101D"/>
    <w:rsid w:val="672E4BB1"/>
    <w:rsid w:val="672E57FA"/>
    <w:rsid w:val="672F3320"/>
    <w:rsid w:val="672F3BA5"/>
    <w:rsid w:val="672F48CC"/>
    <w:rsid w:val="67305062"/>
    <w:rsid w:val="67305118"/>
    <w:rsid w:val="673051D2"/>
    <w:rsid w:val="67305AB9"/>
    <w:rsid w:val="673172A6"/>
    <w:rsid w:val="6731760E"/>
    <w:rsid w:val="67330BA1"/>
    <w:rsid w:val="67333B53"/>
    <w:rsid w:val="673342A7"/>
    <w:rsid w:val="67334BBF"/>
    <w:rsid w:val="67335249"/>
    <w:rsid w:val="67335294"/>
    <w:rsid w:val="67356C43"/>
    <w:rsid w:val="67362901"/>
    <w:rsid w:val="673646AF"/>
    <w:rsid w:val="67372C6B"/>
    <w:rsid w:val="673821D5"/>
    <w:rsid w:val="67382266"/>
    <w:rsid w:val="67382550"/>
    <w:rsid w:val="67390946"/>
    <w:rsid w:val="673B1CC5"/>
    <w:rsid w:val="673B4C7A"/>
    <w:rsid w:val="673B4EB6"/>
    <w:rsid w:val="673B7F17"/>
    <w:rsid w:val="673C0AA8"/>
    <w:rsid w:val="673C7D0D"/>
    <w:rsid w:val="673D39E3"/>
    <w:rsid w:val="673D5A3D"/>
    <w:rsid w:val="673D6B89"/>
    <w:rsid w:val="673D77EB"/>
    <w:rsid w:val="673D79F1"/>
    <w:rsid w:val="673D7B10"/>
    <w:rsid w:val="673F344D"/>
    <w:rsid w:val="673F3B51"/>
    <w:rsid w:val="673F7A07"/>
    <w:rsid w:val="67401089"/>
    <w:rsid w:val="6740552D"/>
    <w:rsid w:val="67405684"/>
    <w:rsid w:val="67407F65"/>
    <w:rsid w:val="674212A6"/>
    <w:rsid w:val="674221B8"/>
    <w:rsid w:val="67423054"/>
    <w:rsid w:val="67424E02"/>
    <w:rsid w:val="674265BA"/>
    <w:rsid w:val="67431958"/>
    <w:rsid w:val="67432035"/>
    <w:rsid w:val="674324D9"/>
    <w:rsid w:val="6743601C"/>
    <w:rsid w:val="67436C85"/>
    <w:rsid w:val="6744449F"/>
    <w:rsid w:val="6744501E"/>
    <w:rsid w:val="67446DCC"/>
    <w:rsid w:val="67447B91"/>
    <w:rsid w:val="67450B39"/>
    <w:rsid w:val="67452B44"/>
    <w:rsid w:val="67452E4F"/>
    <w:rsid w:val="67453124"/>
    <w:rsid w:val="674548F2"/>
    <w:rsid w:val="67457B3C"/>
    <w:rsid w:val="674723F9"/>
    <w:rsid w:val="67472418"/>
    <w:rsid w:val="674768BC"/>
    <w:rsid w:val="6748478F"/>
    <w:rsid w:val="67484C5E"/>
    <w:rsid w:val="67492634"/>
    <w:rsid w:val="674943E2"/>
    <w:rsid w:val="674A015A"/>
    <w:rsid w:val="674A1F08"/>
    <w:rsid w:val="674B0F96"/>
    <w:rsid w:val="674B186D"/>
    <w:rsid w:val="674B1D8A"/>
    <w:rsid w:val="674C0C8F"/>
    <w:rsid w:val="674C326A"/>
    <w:rsid w:val="674C3ED2"/>
    <w:rsid w:val="674C5E3B"/>
    <w:rsid w:val="674D37A6"/>
    <w:rsid w:val="674E12A6"/>
    <w:rsid w:val="674F5770"/>
    <w:rsid w:val="674F6F4A"/>
    <w:rsid w:val="674F79E2"/>
    <w:rsid w:val="6751081D"/>
    <w:rsid w:val="675109E2"/>
    <w:rsid w:val="675114E9"/>
    <w:rsid w:val="67515045"/>
    <w:rsid w:val="675164DF"/>
    <w:rsid w:val="6751773B"/>
    <w:rsid w:val="67526575"/>
    <w:rsid w:val="6753054C"/>
    <w:rsid w:val="675334CD"/>
    <w:rsid w:val="67535261"/>
    <w:rsid w:val="67536F6C"/>
    <w:rsid w:val="67547642"/>
    <w:rsid w:val="67550ABC"/>
    <w:rsid w:val="67550FD9"/>
    <w:rsid w:val="67555886"/>
    <w:rsid w:val="6755788C"/>
    <w:rsid w:val="6755798F"/>
    <w:rsid w:val="67566AFF"/>
    <w:rsid w:val="675755E1"/>
    <w:rsid w:val="67580AC9"/>
    <w:rsid w:val="67580D57"/>
    <w:rsid w:val="67582877"/>
    <w:rsid w:val="675905A1"/>
    <w:rsid w:val="675916CF"/>
    <w:rsid w:val="67593167"/>
    <w:rsid w:val="6759586E"/>
    <w:rsid w:val="675A2BBC"/>
    <w:rsid w:val="675A3B42"/>
    <w:rsid w:val="675A57F0"/>
    <w:rsid w:val="675A65EF"/>
    <w:rsid w:val="675B2367"/>
    <w:rsid w:val="675B3480"/>
    <w:rsid w:val="675B44A0"/>
    <w:rsid w:val="675C27E1"/>
    <w:rsid w:val="675C59AB"/>
    <w:rsid w:val="675C648D"/>
    <w:rsid w:val="675C6A84"/>
    <w:rsid w:val="675D60DF"/>
    <w:rsid w:val="675E5C76"/>
    <w:rsid w:val="675E7762"/>
    <w:rsid w:val="675F3C06"/>
    <w:rsid w:val="675F6F51"/>
    <w:rsid w:val="67605738"/>
    <w:rsid w:val="67612606"/>
    <w:rsid w:val="67612B5A"/>
    <w:rsid w:val="67614B4E"/>
    <w:rsid w:val="676168F9"/>
    <w:rsid w:val="676231A5"/>
    <w:rsid w:val="676254A4"/>
    <w:rsid w:val="676263B8"/>
    <w:rsid w:val="67627252"/>
    <w:rsid w:val="676312C4"/>
    <w:rsid w:val="6763786C"/>
    <w:rsid w:val="6764121C"/>
    <w:rsid w:val="67642502"/>
    <w:rsid w:val="676439E9"/>
    <w:rsid w:val="67650AF0"/>
    <w:rsid w:val="67654F94"/>
    <w:rsid w:val="67656D42"/>
    <w:rsid w:val="67661009"/>
    <w:rsid w:val="676615B3"/>
    <w:rsid w:val="67672A43"/>
    <w:rsid w:val="67672ABA"/>
    <w:rsid w:val="67673CE2"/>
    <w:rsid w:val="67674868"/>
    <w:rsid w:val="67676C03"/>
    <w:rsid w:val="67684445"/>
    <w:rsid w:val="676851A9"/>
    <w:rsid w:val="67687424"/>
    <w:rsid w:val="67693400"/>
    <w:rsid w:val="67694A84"/>
    <w:rsid w:val="676964A1"/>
    <w:rsid w:val="67696832"/>
    <w:rsid w:val="676968EB"/>
    <w:rsid w:val="676969B0"/>
    <w:rsid w:val="67696F71"/>
    <w:rsid w:val="676A25AA"/>
    <w:rsid w:val="676A4358"/>
    <w:rsid w:val="676A4F09"/>
    <w:rsid w:val="676A6106"/>
    <w:rsid w:val="676B07FC"/>
    <w:rsid w:val="676B40F0"/>
    <w:rsid w:val="676B5F50"/>
    <w:rsid w:val="676B62D3"/>
    <w:rsid w:val="676C00D0"/>
    <w:rsid w:val="676C1E7F"/>
    <w:rsid w:val="676C5631"/>
    <w:rsid w:val="676C5977"/>
    <w:rsid w:val="676C6322"/>
    <w:rsid w:val="676C7CDD"/>
    <w:rsid w:val="676D1753"/>
    <w:rsid w:val="676D2ACF"/>
    <w:rsid w:val="676D68B5"/>
    <w:rsid w:val="676E209B"/>
    <w:rsid w:val="676E3E49"/>
    <w:rsid w:val="676E55E3"/>
    <w:rsid w:val="676E79CF"/>
    <w:rsid w:val="676F4C73"/>
    <w:rsid w:val="676F5911"/>
    <w:rsid w:val="67700A95"/>
    <w:rsid w:val="677156E7"/>
    <w:rsid w:val="67727023"/>
    <w:rsid w:val="67727CB7"/>
    <w:rsid w:val="67732925"/>
    <w:rsid w:val="6773320D"/>
    <w:rsid w:val="67740341"/>
    <w:rsid w:val="67741A06"/>
    <w:rsid w:val="677452E3"/>
    <w:rsid w:val="6774556F"/>
    <w:rsid w:val="67746F85"/>
    <w:rsid w:val="677473DB"/>
    <w:rsid w:val="67751212"/>
    <w:rsid w:val="67755047"/>
    <w:rsid w:val="677610A8"/>
    <w:rsid w:val="67761D40"/>
    <w:rsid w:val="6776621A"/>
    <w:rsid w:val="677663AD"/>
    <w:rsid w:val="67770DF7"/>
    <w:rsid w:val="67772299"/>
    <w:rsid w:val="67780823"/>
    <w:rsid w:val="67784CC7"/>
    <w:rsid w:val="677A1CDC"/>
    <w:rsid w:val="677A235F"/>
    <w:rsid w:val="677A27ED"/>
    <w:rsid w:val="677A2C0C"/>
    <w:rsid w:val="677A33C6"/>
    <w:rsid w:val="677B0314"/>
    <w:rsid w:val="677B6565"/>
    <w:rsid w:val="677C605D"/>
    <w:rsid w:val="677D22DE"/>
    <w:rsid w:val="677D2D6D"/>
    <w:rsid w:val="677D408C"/>
    <w:rsid w:val="677D5E3A"/>
    <w:rsid w:val="677D75C4"/>
    <w:rsid w:val="677E4FA3"/>
    <w:rsid w:val="677E5AF8"/>
    <w:rsid w:val="677F0CDC"/>
    <w:rsid w:val="677F2F74"/>
    <w:rsid w:val="677F5E5A"/>
    <w:rsid w:val="677F71CE"/>
    <w:rsid w:val="677F7528"/>
    <w:rsid w:val="677F7E04"/>
    <w:rsid w:val="67801DCE"/>
    <w:rsid w:val="67803B7C"/>
    <w:rsid w:val="6780592A"/>
    <w:rsid w:val="67806F5E"/>
    <w:rsid w:val="67812DB3"/>
    <w:rsid w:val="67814202"/>
    <w:rsid w:val="67816E39"/>
    <w:rsid w:val="67825B46"/>
    <w:rsid w:val="67826B5C"/>
    <w:rsid w:val="67826BDE"/>
    <w:rsid w:val="678309C0"/>
    <w:rsid w:val="678324AD"/>
    <w:rsid w:val="67836631"/>
    <w:rsid w:val="678371C8"/>
    <w:rsid w:val="678418BE"/>
    <w:rsid w:val="6784541A"/>
    <w:rsid w:val="67845B3B"/>
    <w:rsid w:val="6784642E"/>
    <w:rsid w:val="67854016"/>
    <w:rsid w:val="678673E4"/>
    <w:rsid w:val="6787166C"/>
    <w:rsid w:val="6787202D"/>
    <w:rsid w:val="6787315C"/>
    <w:rsid w:val="67874F0A"/>
    <w:rsid w:val="67881905"/>
    <w:rsid w:val="67881DA8"/>
    <w:rsid w:val="6788602C"/>
    <w:rsid w:val="6788637D"/>
    <w:rsid w:val="67892A30"/>
    <w:rsid w:val="678949D7"/>
    <w:rsid w:val="678964E9"/>
    <w:rsid w:val="67896A25"/>
    <w:rsid w:val="678A0557"/>
    <w:rsid w:val="678A20D3"/>
    <w:rsid w:val="678B08FA"/>
    <w:rsid w:val="678B1E3E"/>
    <w:rsid w:val="678B3BC6"/>
    <w:rsid w:val="678C0773"/>
    <w:rsid w:val="678C2521"/>
    <w:rsid w:val="678C32CE"/>
    <w:rsid w:val="678D0B50"/>
    <w:rsid w:val="678D18D1"/>
    <w:rsid w:val="678D5B45"/>
    <w:rsid w:val="678D67C1"/>
    <w:rsid w:val="678E0047"/>
    <w:rsid w:val="678E0A10"/>
    <w:rsid w:val="678E693A"/>
    <w:rsid w:val="678E732F"/>
    <w:rsid w:val="678F01F0"/>
    <w:rsid w:val="678F707E"/>
    <w:rsid w:val="678F753D"/>
    <w:rsid w:val="678F77C3"/>
    <w:rsid w:val="678F7AEF"/>
    <w:rsid w:val="6790047B"/>
    <w:rsid w:val="67901C4F"/>
    <w:rsid w:val="6790629C"/>
    <w:rsid w:val="67907FEC"/>
    <w:rsid w:val="679118E5"/>
    <w:rsid w:val="67914EC2"/>
    <w:rsid w:val="67915D89"/>
    <w:rsid w:val="67917689"/>
    <w:rsid w:val="67917B37"/>
    <w:rsid w:val="67924DD9"/>
    <w:rsid w:val="67925940"/>
    <w:rsid w:val="679259FF"/>
    <w:rsid w:val="67931B01"/>
    <w:rsid w:val="679349A0"/>
    <w:rsid w:val="67934EAB"/>
    <w:rsid w:val="67942DCB"/>
    <w:rsid w:val="67943874"/>
    <w:rsid w:val="6794413B"/>
    <w:rsid w:val="67944631"/>
    <w:rsid w:val="67955879"/>
    <w:rsid w:val="67956C74"/>
    <w:rsid w:val="67964723"/>
    <w:rsid w:val="6796514D"/>
    <w:rsid w:val="679703E1"/>
    <w:rsid w:val="67977CFC"/>
    <w:rsid w:val="6798088C"/>
    <w:rsid w:val="67980EC5"/>
    <w:rsid w:val="67991094"/>
    <w:rsid w:val="67991459"/>
    <w:rsid w:val="67992D01"/>
    <w:rsid w:val="679A2E90"/>
    <w:rsid w:val="679A6E7D"/>
    <w:rsid w:val="679B0981"/>
    <w:rsid w:val="679B09B6"/>
    <w:rsid w:val="679B1933"/>
    <w:rsid w:val="679B50CD"/>
    <w:rsid w:val="679C7F8E"/>
    <w:rsid w:val="679D4096"/>
    <w:rsid w:val="679D472E"/>
    <w:rsid w:val="679D64DC"/>
    <w:rsid w:val="679E036B"/>
    <w:rsid w:val="679E3BC7"/>
    <w:rsid w:val="679F04A6"/>
    <w:rsid w:val="679F0B40"/>
    <w:rsid w:val="679F6B73"/>
    <w:rsid w:val="67A05FCC"/>
    <w:rsid w:val="67A06292"/>
    <w:rsid w:val="67A1095D"/>
    <w:rsid w:val="67A14064"/>
    <w:rsid w:val="67A1421E"/>
    <w:rsid w:val="67A17F6B"/>
    <w:rsid w:val="67A20C4E"/>
    <w:rsid w:val="67A21D44"/>
    <w:rsid w:val="67A22FF4"/>
    <w:rsid w:val="67A23A50"/>
    <w:rsid w:val="67A267DE"/>
    <w:rsid w:val="67A27F96"/>
    <w:rsid w:val="67A3060F"/>
    <w:rsid w:val="67A31707"/>
    <w:rsid w:val="67A41618"/>
    <w:rsid w:val="67A45ABC"/>
    <w:rsid w:val="67A46930"/>
    <w:rsid w:val="67A535E2"/>
    <w:rsid w:val="67A53CD9"/>
    <w:rsid w:val="67A54F4C"/>
    <w:rsid w:val="67A5544A"/>
    <w:rsid w:val="67A64734"/>
    <w:rsid w:val="67A66A46"/>
    <w:rsid w:val="67A71109"/>
    <w:rsid w:val="67A75314"/>
    <w:rsid w:val="67A755AC"/>
    <w:rsid w:val="67A76795"/>
    <w:rsid w:val="67A7735B"/>
    <w:rsid w:val="67A77ED6"/>
    <w:rsid w:val="67A81366"/>
    <w:rsid w:val="67A85C30"/>
    <w:rsid w:val="67A91325"/>
    <w:rsid w:val="67A930D3"/>
    <w:rsid w:val="67A94CC4"/>
    <w:rsid w:val="67A94E81"/>
    <w:rsid w:val="67A955D7"/>
    <w:rsid w:val="67AB0BF9"/>
    <w:rsid w:val="67AB3A7E"/>
    <w:rsid w:val="67AC2BC3"/>
    <w:rsid w:val="67AC4971"/>
    <w:rsid w:val="67AD210A"/>
    <w:rsid w:val="67AD49B9"/>
    <w:rsid w:val="67AD625C"/>
    <w:rsid w:val="67AE06E9"/>
    <w:rsid w:val="67AE12E2"/>
    <w:rsid w:val="67AE151D"/>
    <w:rsid w:val="67AE774D"/>
    <w:rsid w:val="67AE7E73"/>
    <w:rsid w:val="67AF314E"/>
    <w:rsid w:val="67AF4A4F"/>
    <w:rsid w:val="67B0092F"/>
    <w:rsid w:val="67B04461"/>
    <w:rsid w:val="67B0620F"/>
    <w:rsid w:val="67B10F6D"/>
    <w:rsid w:val="67B121B4"/>
    <w:rsid w:val="67B1231F"/>
    <w:rsid w:val="67B13D35"/>
    <w:rsid w:val="67B22A6E"/>
    <w:rsid w:val="67B25566"/>
    <w:rsid w:val="67B27253"/>
    <w:rsid w:val="67B275BA"/>
    <w:rsid w:val="67B33F51"/>
    <w:rsid w:val="67B37AAD"/>
    <w:rsid w:val="67B42E10"/>
    <w:rsid w:val="67B46CD6"/>
    <w:rsid w:val="67B47909"/>
    <w:rsid w:val="67B55688"/>
    <w:rsid w:val="67B57CC9"/>
    <w:rsid w:val="67B75CBE"/>
    <w:rsid w:val="67B779CB"/>
    <w:rsid w:val="67B83316"/>
    <w:rsid w:val="67B850C4"/>
    <w:rsid w:val="67B9169B"/>
    <w:rsid w:val="67B927AC"/>
    <w:rsid w:val="67B94EBC"/>
    <w:rsid w:val="67BA13C7"/>
    <w:rsid w:val="67BA1FE6"/>
    <w:rsid w:val="67BA4365"/>
    <w:rsid w:val="67BA708E"/>
    <w:rsid w:val="67BB4267"/>
    <w:rsid w:val="67BB4BB4"/>
    <w:rsid w:val="67BB755A"/>
    <w:rsid w:val="67BC1058"/>
    <w:rsid w:val="67BC2E06"/>
    <w:rsid w:val="67BC554A"/>
    <w:rsid w:val="67BC5BFF"/>
    <w:rsid w:val="67BD092C"/>
    <w:rsid w:val="67BD20FC"/>
    <w:rsid w:val="67BD4932"/>
    <w:rsid w:val="67BF28F6"/>
    <w:rsid w:val="67BF2AE0"/>
    <w:rsid w:val="67BF46A4"/>
    <w:rsid w:val="67BF6452"/>
    <w:rsid w:val="67C04ADD"/>
    <w:rsid w:val="67C15C5B"/>
    <w:rsid w:val="67C21F0D"/>
    <w:rsid w:val="67C24194"/>
    <w:rsid w:val="67C2713E"/>
    <w:rsid w:val="67C314C5"/>
    <w:rsid w:val="67C41B0A"/>
    <w:rsid w:val="67C41CBB"/>
    <w:rsid w:val="67C473FE"/>
    <w:rsid w:val="67C47F0C"/>
    <w:rsid w:val="67C5345F"/>
    <w:rsid w:val="67C63C85"/>
    <w:rsid w:val="67C66E39"/>
    <w:rsid w:val="67C70F3A"/>
    <w:rsid w:val="67C73559"/>
    <w:rsid w:val="67C779FD"/>
    <w:rsid w:val="67C77A7C"/>
    <w:rsid w:val="67C80950"/>
    <w:rsid w:val="67C84AC1"/>
    <w:rsid w:val="67C86A9E"/>
    <w:rsid w:val="67C92937"/>
    <w:rsid w:val="67C93626"/>
    <w:rsid w:val="67C972D1"/>
    <w:rsid w:val="67CA3A45"/>
    <w:rsid w:val="67CA4DF7"/>
    <w:rsid w:val="67CA760E"/>
    <w:rsid w:val="67CC0B6F"/>
    <w:rsid w:val="67CC4D0B"/>
    <w:rsid w:val="67CC6DC1"/>
    <w:rsid w:val="67CD1721"/>
    <w:rsid w:val="67CE0D8B"/>
    <w:rsid w:val="67CE2B39"/>
    <w:rsid w:val="67CE3081"/>
    <w:rsid w:val="67CE5009"/>
    <w:rsid w:val="67CE538E"/>
    <w:rsid w:val="67CF4511"/>
    <w:rsid w:val="67CF795B"/>
    <w:rsid w:val="67CF7962"/>
    <w:rsid w:val="67D068B1"/>
    <w:rsid w:val="67D119B6"/>
    <w:rsid w:val="67D142F4"/>
    <w:rsid w:val="67D16185"/>
    <w:rsid w:val="67D233B4"/>
    <w:rsid w:val="67D23884"/>
    <w:rsid w:val="67D30150"/>
    <w:rsid w:val="67D32017"/>
    <w:rsid w:val="67D44957"/>
    <w:rsid w:val="67D463D6"/>
    <w:rsid w:val="67D46EF3"/>
    <w:rsid w:val="67D53EC8"/>
    <w:rsid w:val="67D575DB"/>
    <w:rsid w:val="67D619EE"/>
    <w:rsid w:val="67D6379C"/>
    <w:rsid w:val="67D643E4"/>
    <w:rsid w:val="67D67033"/>
    <w:rsid w:val="67D75348"/>
    <w:rsid w:val="67D75874"/>
    <w:rsid w:val="67D75CD6"/>
    <w:rsid w:val="67D839B8"/>
    <w:rsid w:val="67D8638F"/>
    <w:rsid w:val="67DA0154"/>
    <w:rsid w:val="67DA14DE"/>
    <w:rsid w:val="67DA42C5"/>
    <w:rsid w:val="67DB12FC"/>
    <w:rsid w:val="67DB24FC"/>
    <w:rsid w:val="67DB7004"/>
    <w:rsid w:val="67DD0864"/>
    <w:rsid w:val="67DD0FCE"/>
    <w:rsid w:val="67DD1876"/>
    <w:rsid w:val="67DD2D7C"/>
    <w:rsid w:val="67DD753E"/>
    <w:rsid w:val="67DD7FA5"/>
    <w:rsid w:val="67DE7986"/>
    <w:rsid w:val="67DE7DB2"/>
    <w:rsid w:val="67DF08A2"/>
    <w:rsid w:val="67DF2765"/>
    <w:rsid w:val="67DF3D2E"/>
    <w:rsid w:val="67DF4006"/>
    <w:rsid w:val="67DF4D46"/>
    <w:rsid w:val="67DF664A"/>
    <w:rsid w:val="67DF760B"/>
    <w:rsid w:val="67E0405E"/>
    <w:rsid w:val="67E1028B"/>
    <w:rsid w:val="67E1461B"/>
    <w:rsid w:val="67E14FE7"/>
    <w:rsid w:val="67E16926"/>
    <w:rsid w:val="67E22141"/>
    <w:rsid w:val="67E22882"/>
    <w:rsid w:val="67E265E5"/>
    <w:rsid w:val="67E31CBC"/>
    <w:rsid w:val="67E36959"/>
    <w:rsid w:val="67E4410B"/>
    <w:rsid w:val="67E452A7"/>
    <w:rsid w:val="67E51552"/>
    <w:rsid w:val="67E5231F"/>
    <w:rsid w:val="67E73BFB"/>
    <w:rsid w:val="67E74E8C"/>
    <w:rsid w:val="67E759A9"/>
    <w:rsid w:val="67E80E1B"/>
    <w:rsid w:val="67E81911"/>
    <w:rsid w:val="67E82570"/>
    <w:rsid w:val="67E8319D"/>
    <w:rsid w:val="67E83C27"/>
    <w:rsid w:val="67E84993"/>
    <w:rsid w:val="67E851EF"/>
    <w:rsid w:val="67E873F0"/>
    <w:rsid w:val="67E9310A"/>
    <w:rsid w:val="67E934CF"/>
    <w:rsid w:val="67E935C2"/>
    <w:rsid w:val="67E97973"/>
    <w:rsid w:val="67EA1C4B"/>
    <w:rsid w:val="67EA24A5"/>
    <w:rsid w:val="67EB35C9"/>
    <w:rsid w:val="67EB36EB"/>
    <w:rsid w:val="67EB5499"/>
    <w:rsid w:val="67EB7247"/>
    <w:rsid w:val="67EC0B72"/>
    <w:rsid w:val="67EC1E5E"/>
    <w:rsid w:val="67EC2FBF"/>
    <w:rsid w:val="67EC6609"/>
    <w:rsid w:val="67EC76B3"/>
    <w:rsid w:val="67ED11DA"/>
    <w:rsid w:val="67ED7463"/>
    <w:rsid w:val="67ED7927"/>
    <w:rsid w:val="67EE0AE5"/>
    <w:rsid w:val="67EE31DB"/>
    <w:rsid w:val="67EE6D37"/>
    <w:rsid w:val="67EF3AFA"/>
    <w:rsid w:val="67EF6CA2"/>
    <w:rsid w:val="67F00396"/>
    <w:rsid w:val="67F00A74"/>
    <w:rsid w:val="67F00C52"/>
    <w:rsid w:val="67F105D6"/>
    <w:rsid w:val="67F1371B"/>
    <w:rsid w:val="67F1606E"/>
    <w:rsid w:val="67F25F98"/>
    <w:rsid w:val="67F26828"/>
    <w:rsid w:val="67F309E4"/>
    <w:rsid w:val="67F40565"/>
    <w:rsid w:val="67F40B2A"/>
    <w:rsid w:val="67F42B7B"/>
    <w:rsid w:val="67F51E74"/>
    <w:rsid w:val="67F56318"/>
    <w:rsid w:val="67F6286E"/>
    <w:rsid w:val="67F67610"/>
    <w:rsid w:val="67F72090"/>
    <w:rsid w:val="67F727EB"/>
    <w:rsid w:val="67F73E3E"/>
    <w:rsid w:val="67F74E5D"/>
    <w:rsid w:val="67F772A3"/>
    <w:rsid w:val="67F81964"/>
    <w:rsid w:val="67F85E08"/>
    <w:rsid w:val="67F862ED"/>
    <w:rsid w:val="67F87BB6"/>
    <w:rsid w:val="67FA0E36"/>
    <w:rsid w:val="67FA56DC"/>
    <w:rsid w:val="67FB0D7F"/>
    <w:rsid w:val="67FB14FF"/>
    <w:rsid w:val="67FB4F06"/>
    <w:rsid w:val="67FC0265"/>
    <w:rsid w:val="67FC045D"/>
    <w:rsid w:val="67FC76A6"/>
    <w:rsid w:val="67FD05C4"/>
    <w:rsid w:val="67FD071F"/>
    <w:rsid w:val="67FD341E"/>
    <w:rsid w:val="67FD38D1"/>
    <w:rsid w:val="67FD51CC"/>
    <w:rsid w:val="67FD6F7B"/>
    <w:rsid w:val="67FF027B"/>
    <w:rsid w:val="6800359E"/>
    <w:rsid w:val="680065B4"/>
    <w:rsid w:val="68010BE0"/>
    <w:rsid w:val="68012F0F"/>
    <w:rsid w:val="680140B4"/>
    <w:rsid w:val="68014CBD"/>
    <w:rsid w:val="6801525B"/>
    <w:rsid w:val="68016A6B"/>
    <w:rsid w:val="680221BB"/>
    <w:rsid w:val="68024591"/>
    <w:rsid w:val="68026233"/>
    <w:rsid w:val="68030A35"/>
    <w:rsid w:val="68033064"/>
    <w:rsid w:val="68040309"/>
    <w:rsid w:val="680447AD"/>
    <w:rsid w:val="68046AA6"/>
    <w:rsid w:val="68051E09"/>
    <w:rsid w:val="68060525"/>
    <w:rsid w:val="68061AF4"/>
    <w:rsid w:val="68062CD0"/>
    <w:rsid w:val="68064081"/>
    <w:rsid w:val="68071BA7"/>
    <w:rsid w:val="68073211"/>
    <w:rsid w:val="68073E3B"/>
    <w:rsid w:val="68074147"/>
    <w:rsid w:val="6807448C"/>
    <w:rsid w:val="6807624E"/>
    <w:rsid w:val="68083C42"/>
    <w:rsid w:val="680855B0"/>
    <w:rsid w:val="6808604B"/>
    <w:rsid w:val="68093998"/>
    <w:rsid w:val="68095599"/>
    <w:rsid w:val="6809591F"/>
    <w:rsid w:val="68096880"/>
    <w:rsid w:val="680B5B3B"/>
    <w:rsid w:val="680C5410"/>
    <w:rsid w:val="680C7F5E"/>
    <w:rsid w:val="680D0401"/>
    <w:rsid w:val="680D3662"/>
    <w:rsid w:val="680D51AE"/>
    <w:rsid w:val="680E1188"/>
    <w:rsid w:val="680E2045"/>
    <w:rsid w:val="680E39BE"/>
    <w:rsid w:val="680E43C9"/>
    <w:rsid w:val="680F19A3"/>
    <w:rsid w:val="680F1F45"/>
    <w:rsid w:val="680F3075"/>
    <w:rsid w:val="68104F00"/>
    <w:rsid w:val="6811024B"/>
    <w:rsid w:val="68112FCA"/>
    <w:rsid w:val="68120A4B"/>
    <w:rsid w:val="68126ECA"/>
    <w:rsid w:val="681307F8"/>
    <w:rsid w:val="68130A66"/>
    <w:rsid w:val="68130DEF"/>
    <w:rsid w:val="68131B81"/>
    <w:rsid w:val="68135A4D"/>
    <w:rsid w:val="681364FB"/>
    <w:rsid w:val="68140112"/>
    <w:rsid w:val="68140314"/>
    <w:rsid w:val="681413E6"/>
    <w:rsid w:val="68144385"/>
    <w:rsid w:val="68147FBA"/>
    <w:rsid w:val="68150768"/>
    <w:rsid w:val="68151FD4"/>
    <w:rsid w:val="68152516"/>
    <w:rsid w:val="68157507"/>
    <w:rsid w:val="68161876"/>
    <w:rsid w:val="68162270"/>
    <w:rsid w:val="68164A44"/>
    <w:rsid w:val="68166807"/>
    <w:rsid w:val="68166CA5"/>
    <w:rsid w:val="681706A9"/>
    <w:rsid w:val="681724BF"/>
    <w:rsid w:val="681811CF"/>
    <w:rsid w:val="6818192D"/>
    <w:rsid w:val="68182006"/>
    <w:rsid w:val="68183DB4"/>
    <w:rsid w:val="68195BB3"/>
    <w:rsid w:val="68196400"/>
    <w:rsid w:val="68196D67"/>
    <w:rsid w:val="681A1141"/>
    <w:rsid w:val="681A18DB"/>
    <w:rsid w:val="681A7B2C"/>
    <w:rsid w:val="681B1194"/>
    <w:rsid w:val="681B5581"/>
    <w:rsid w:val="681C2B17"/>
    <w:rsid w:val="681C38A5"/>
    <w:rsid w:val="681C56E8"/>
    <w:rsid w:val="681C7364"/>
    <w:rsid w:val="681D5437"/>
    <w:rsid w:val="681D761D"/>
    <w:rsid w:val="681E586F"/>
    <w:rsid w:val="681E75D8"/>
    <w:rsid w:val="681F1498"/>
    <w:rsid w:val="681F2E53"/>
    <w:rsid w:val="681F5143"/>
    <w:rsid w:val="681F6539"/>
    <w:rsid w:val="681F6961"/>
    <w:rsid w:val="68204069"/>
    <w:rsid w:val="68206F53"/>
    <w:rsid w:val="682107E8"/>
    <w:rsid w:val="68210EBB"/>
    <w:rsid w:val="68212C69"/>
    <w:rsid w:val="6821437C"/>
    <w:rsid w:val="68214540"/>
    <w:rsid w:val="68216C09"/>
    <w:rsid w:val="6821710D"/>
    <w:rsid w:val="6822076C"/>
    <w:rsid w:val="6822518A"/>
    <w:rsid w:val="68225FE7"/>
    <w:rsid w:val="68230786"/>
    <w:rsid w:val="68233672"/>
    <w:rsid w:val="6823613B"/>
    <w:rsid w:val="68242759"/>
    <w:rsid w:val="68245215"/>
    <w:rsid w:val="68246BFD"/>
    <w:rsid w:val="68246C11"/>
    <w:rsid w:val="68254626"/>
    <w:rsid w:val="6826136B"/>
    <w:rsid w:val="68263CED"/>
    <w:rsid w:val="68264723"/>
    <w:rsid w:val="682656FE"/>
    <w:rsid w:val="682664D1"/>
    <w:rsid w:val="68267A59"/>
    <w:rsid w:val="682701E4"/>
    <w:rsid w:val="68273FF7"/>
    <w:rsid w:val="68277C2A"/>
    <w:rsid w:val="6828049B"/>
    <w:rsid w:val="68280885"/>
    <w:rsid w:val="68282249"/>
    <w:rsid w:val="68295FC1"/>
    <w:rsid w:val="68297D70"/>
    <w:rsid w:val="682A6E82"/>
    <w:rsid w:val="682B117C"/>
    <w:rsid w:val="682B1D3A"/>
    <w:rsid w:val="682B2CFC"/>
    <w:rsid w:val="682B3AE8"/>
    <w:rsid w:val="682B7F8C"/>
    <w:rsid w:val="682C160E"/>
    <w:rsid w:val="682C3629"/>
    <w:rsid w:val="682C72CF"/>
    <w:rsid w:val="682E03A0"/>
    <w:rsid w:val="682E6353"/>
    <w:rsid w:val="682E63BC"/>
    <w:rsid w:val="682F0B31"/>
    <w:rsid w:val="682F10C6"/>
    <w:rsid w:val="682F784C"/>
    <w:rsid w:val="683010FE"/>
    <w:rsid w:val="6830229E"/>
    <w:rsid w:val="68302E06"/>
    <w:rsid w:val="68303369"/>
    <w:rsid w:val="683105C0"/>
    <w:rsid w:val="6831405D"/>
    <w:rsid w:val="68321F7F"/>
    <w:rsid w:val="68324D3D"/>
    <w:rsid w:val="68324E76"/>
    <w:rsid w:val="68327346"/>
    <w:rsid w:val="6832745C"/>
    <w:rsid w:val="6832790E"/>
    <w:rsid w:val="68331B39"/>
    <w:rsid w:val="6833299C"/>
    <w:rsid w:val="68340471"/>
    <w:rsid w:val="68347E5C"/>
    <w:rsid w:val="68351F66"/>
    <w:rsid w:val="68352BB8"/>
    <w:rsid w:val="68356714"/>
    <w:rsid w:val="683570C8"/>
    <w:rsid w:val="68370BAF"/>
    <w:rsid w:val="683722F0"/>
    <w:rsid w:val="68376577"/>
    <w:rsid w:val="68376930"/>
    <w:rsid w:val="68377396"/>
    <w:rsid w:val="6837762F"/>
    <w:rsid w:val="6838670D"/>
    <w:rsid w:val="68390E13"/>
    <w:rsid w:val="683926A8"/>
    <w:rsid w:val="68392A11"/>
    <w:rsid w:val="68395EFE"/>
    <w:rsid w:val="683A1F7D"/>
    <w:rsid w:val="683A3D2B"/>
    <w:rsid w:val="683A727D"/>
    <w:rsid w:val="683B2D9B"/>
    <w:rsid w:val="683C0A26"/>
    <w:rsid w:val="683C1FCE"/>
    <w:rsid w:val="683C5CF5"/>
    <w:rsid w:val="683C7AA3"/>
    <w:rsid w:val="683D146B"/>
    <w:rsid w:val="683D381B"/>
    <w:rsid w:val="683D66FD"/>
    <w:rsid w:val="683E1681"/>
    <w:rsid w:val="683E57B5"/>
    <w:rsid w:val="683E644A"/>
    <w:rsid w:val="683E7E00"/>
    <w:rsid w:val="683F2D2C"/>
    <w:rsid w:val="683F3A37"/>
    <w:rsid w:val="683F5F93"/>
    <w:rsid w:val="683F7593"/>
    <w:rsid w:val="68407F40"/>
    <w:rsid w:val="6841330B"/>
    <w:rsid w:val="68414F55"/>
    <w:rsid w:val="684150B9"/>
    <w:rsid w:val="6842021D"/>
    <w:rsid w:val="68420E31"/>
    <w:rsid w:val="6842209F"/>
    <w:rsid w:val="68427403"/>
    <w:rsid w:val="68436182"/>
    <w:rsid w:val="68436992"/>
    <w:rsid w:val="68440000"/>
    <w:rsid w:val="68442DFB"/>
    <w:rsid w:val="684438D8"/>
    <w:rsid w:val="68447090"/>
    <w:rsid w:val="68455C79"/>
    <w:rsid w:val="68460635"/>
    <w:rsid w:val="68467214"/>
    <w:rsid w:val="684814BA"/>
    <w:rsid w:val="68481B34"/>
    <w:rsid w:val="68481EE0"/>
    <w:rsid w:val="684828EC"/>
    <w:rsid w:val="68484A36"/>
    <w:rsid w:val="68490412"/>
    <w:rsid w:val="684A3A8D"/>
    <w:rsid w:val="684A4BFE"/>
    <w:rsid w:val="684A6664"/>
    <w:rsid w:val="684A68A4"/>
    <w:rsid w:val="684A7EF2"/>
    <w:rsid w:val="684B54F0"/>
    <w:rsid w:val="684B5F38"/>
    <w:rsid w:val="684B75A8"/>
    <w:rsid w:val="684C043F"/>
    <w:rsid w:val="684C1A79"/>
    <w:rsid w:val="684C3086"/>
    <w:rsid w:val="684D3304"/>
    <w:rsid w:val="684D3A5E"/>
    <w:rsid w:val="684D4516"/>
    <w:rsid w:val="684E179A"/>
    <w:rsid w:val="684E5A28"/>
    <w:rsid w:val="684E5B15"/>
    <w:rsid w:val="684E7628"/>
    <w:rsid w:val="684F2581"/>
    <w:rsid w:val="684F3107"/>
    <w:rsid w:val="684F7846"/>
    <w:rsid w:val="685017A0"/>
    <w:rsid w:val="6850297D"/>
    <w:rsid w:val="68502A0C"/>
    <w:rsid w:val="685079F2"/>
    <w:rsid w:val="68512E97"/>
    <w:rsid w:val="6852088B"/>
    <w:rsid w:val="68520F31"/>
    <w:rsid w:val="6852376A"/>
    <w:rsid w:val="685257B7"/>
    <w:rsid w:val="68536C47"/>
    <w:rsid w:val="68552CA8"/>
    <w:rsid w:val="68555008"/>
    <w:rsid w:val="685608BC"/>
    <w:rsid w:val="68565FDD"/>
    <w:rsid w:val="6857149D"/>
    <w:rsid w:val="685719AF"/>
    <w:rsid w:val="68572B2F"/>
    <w:rsid w:val="68574505"/>
    <w:rsid w:val="685748DD"/>
    <w:rsid w:val="6857628F"/>
    <w:rsid w:val="68580655"/>
    <w:rsid w:val="68582403"/>
    <w:rsid w:val="6858278A"/>
    <w:rsid w:val="68584D92"/>
    <w:rsid w:val="685905DA"/>
    <w:rsid w:val="685933BE"/>
    <w:rsid w:val="685960DB"/>
    <w:rsid w:val="685968A7"/>
    <w:rsid w:val="685A461A"/>
    <w:rsid w:val="685A617B"/>
    <w:rsid w:val="685A6D46"/>
    <w:rsid w:val="685B068A"/>
    <w:rsid w:val="685B1272"/>
    <w:rsid w:val="685B3953"/>
    <w:rsid w:val="685B63A5"/>
    <w:rsid w:val="685C0145"/>
    <w:rsid w:val="685C1EF3"/>
    <w:rsid w:val="685C7FAA"/>
    <w:rsid w:val="685D2785"/>
    <w:rsid w:val="685D3918"/>
    <w:rsid w:val="685D3D83"/>
    <w:rsid w:val="685D7832"/>
    <w:rsid w:val="685E0C79"/>
    <w:rsid w:val="685E3EBD"/>
    <w:rsid w:val="685E413B"/>
    <w:rsid w:val="685E78A7"/>
    <w:rsid w:val="685F3791"/>
    <w:rsid w:val="685F4FB8"/>
    <w:rsid w:val="686075FD"/>
    <w:rsid w:val="68610A2F"/>
    <w:rsid w:val="68612A2C"/>
    <w:rsid w:val="686139AD"/>
    <w:rsid w:val="686226DB"/>
    <w:rsid w:val="68626A24"/>
    <w:rsid w:val="68633281"/>
    <w:rsid w:val="68636B37"/>
    <w:rsid w:val="68637551"/>
    <w:rsid w:val="686424AF"/>
    <w:rsid w:val="68643789"/>
    <w:rsid w:val="6864524C"/>
    <w:rsid w:val="68646E16"/>
    <w:rsid w:val="68647BCC"/>
    <w:rsid w:val="6865105C"/>
    <w:rsid w:val="68653AEA"/>
    <w:rsid w:val="68655759"/>
    <w:rsid w:val="68662D72"/>
    <w:rsid w:val="686649A9"/>
    <w:rsid w:val="68671FFB"/>
    <w:rsid w:val="68686AEA"/>
    <w:rsid w:val="68690B7B"/>
    <w:rsid w:val="686925AE"/>
    <w:rsid w:val="68694610"/>
    <w:rsid w:val="686B0388"/>
    <w:rsid w:val="686B482C"/>
    <w:rsid w:val="686C07FD"/>
    <w:rsid w:val="686D30DE"/>
    <w:rsid w:val="686E1C26"/>
    <w:rsid w:val="686E384F"/>
    <w:rsid w:val="686E7A73"/>
    <w:rsid w:val="686F0DE5"/>
    <w:rsid w:val="686F1184"/>
    <w:rsid w:val="686F6A5D"/>
    <w:rsid w:val="686F7D5E"/>
    <w:rsid w:val="68703BF0"/>
    <w:rsid w:val="6870599E"/>
    <w:rsid w:val="6870764B"/>
    <w:rsid w:val="68707759"/>
    <w:rsid w:val="68710AA7"/>
    <w:rsid w:val="68720BF2"/>
    <w:rsid w:val="68721717"/>
    <w:rsid w:val="68725BBA"/>
    <w:rsid w:val="68727968"/>
    <w:rsid w:val="68732E13"/>
    <w:rsid w:val="68734283"/>
    <w:rsid w:val="6873548F"/>
    <w:rsid w:val="68737F67"/>
    <w:rsid w:val="68741642"/>
    <w:rsid w:val="687433EE"/>
    <w:rsid w:val="687436E1"/>
    <w:rsid w:val="687507B3"/>
    <w:rsid w:val="68751207"/>
    <w:rsid w:val="68752FB5"/>
    <w:rsid w:val="687731D1"/>
    <w:rsid w:val="68776D2D"/>
    <w:rsid w:val="68780C13"/>
    <w:rsid w:val="68784853"/>
    <w:rsid w:val="68790CF7"/>
    <w:rsid w:val="687A0655"/>
    <w:rsid w:val="687A3819"/>
    <w:rsid w:val="687A490A"/>
    <w:rsid w:val="687A4A6F"/>
    <w:rsid w:val="687A4D67"/>
    <w:rsid w:val="687A5AA9"/>
    <w:rsid w:val="687B5B0B"/>
    <w:rsid w:val="687C4343"/>
    <w:rsid w:val="687C4E65"/>
    <w:rsid w:val="687D0270"/>
    <w:rsid w:val="687D2863"/>
    <w:rsid w:val="687D58CA"/>
    <w:rsid w:val="687E10BD"/>
    <w:rsid w:val="687E3344"/>
    <w:rsid w:val="687F3E33"/>
    <w:rsid w:val="68802085"/>
    <w:rsid w:val="68805514"/>
    <w:rsid w:val="68810A88"/>
    <w:rsid w:val="6881195A"/>
    <w:rsid w:val="68814582"/>
    <w:rsid w:val="688172E8"/>
    <w:rsid w:val="68817BAC"/>
    <w:rsid w:val="688267DC"/>
    <w:rsid w:val="68826FE9"/>
    <w:rsid w:val="6883010D"/>
    <w:rsid w:val="68831B76"/>
    <w:rsid w:val="6883334F"/>
    <w:rsid w:val="68833924"/>
    <w:rsid w:val="68833C1A"/>
    <w:rsid w:val="688356D2"/>
    <w:rsid w:val="688431F8"/>
    <w:rsid w:val="68843D3A"/>
    <w:rsid w:val="688558EE"/>
    <w:rsid w:val="68861A5B"/>
    <w:rsid w:val="688625CD"/>
    <w:rsid w:val="68863414"/>
    <w:rsid w:val="68866F70"/>
    <w:rsid w:val="68875B37"/>
    <w:rsid w:val="68880F3A"/>
    <w:rsid w:val="68882CE8"/>
    <w:rsid w:val="68883F0D"/>
    <w:rsid w:val="6888528D"/>
    <w:rsid w:val="6888718C"/>
    <w:rsid w:val="6889100B"/>
    <w:rsid w:val="68891B98"/>
    <w:rsid w:val="68892A5C"/>
    <w:rsid w:val="68896A60"/>
    <w:rsid w:val="68897E7E"/>
    <w:rsid w:val="688A2F04"/>
    <w:rsid w:val="688B4586"/>
    <w:rsid w:val="688C197E"/>
    <w:rsid w:val="688C2914"/>
    <w:rsid w:val="688D02FE"/>
    <w:rsid w:val="688D3AF6"/>
    <w:rsid w:val="688D47A2"/>
    <w:rsid w:val="688D6550"/>
    <w:rsid w:val="688D6DD8"/>
    <w:rsid w:val="688E23CE"/>
    <w:rsid w:val="688E2E39"/>
    <w:rsid w:val="688F3B29"/>
    <w:rsid w:val="688F3B3E"/>
    <w:rsid w:val="688F42C9"/>
    <w:rsid w:val="688F4E56"/>
    <w:rsid w:val="688F7BB0"/>
    <w:rsid w:val="68902046"/>
    <w:rsid w:val="68905759"/>
    <w:rsid w:val="68906041"/>
    <w:rsid w:val="68907DEF"/>
    <w:rsid w:val="6891248B"/>
    <w:rsid w:val="68914293"/>
    <w:rsid w:val="689204FD"/>
    <w:rsid w:val="68921D4C"/>
    <w:rsid w:val="68921DB9"/>
    <w:rsid w:val="68923617"/>
    <w:rsid w:val="68925620"/>
    <w:rsid w:val="68926C84"/>
    <w:rsid w:val="68935C09"/>
    <w:rsid w:val="6894050C"/>
    <w:rsid w:val="689478DF"/>
    <w:rsid w:val="689565A5"/>
    <w:rsid w:val="68956A9C"/>
    <w:rsid w:val="68960152"/>
    <w:rsid w:val="68971879"/>
    <w:rsid w:val="68975621"/>
    <w:rsid w:val="6897562C"/>
    <w:rsid w:val="689866A0"/>
    <w:rsid w:val="68990218"/>
    <w:rsid w:val="68992B8B"/>
    <w:rsid w:val="68993147"/>
    <w:rsid w:val="689940CE"/>
    <w:rsid w:val="68994EF5"/>
    <w:rsid w:val="68996CA3"/>
    <w:rsid w:val="689B0A7E"/>
    <w:rsid w:val="689B6B72"/>
    <w:rsid w:val="689B6EBF"/>
    <w:rsid w:val="689C543D"/>
    <w:rsid w:val="689D2D57"/>
    <w:rsid w:val="689D7D79"/>
    <w:rsid w:val="689E075E"/>
    <w:rsid w:val="689E0944"/>
    <w:rsid w:val="689E60A1"/>
    <w:rsid w:val="689E77DF"/>
    <w:rsid w:val="689E7A58"/>
    <w:rsid w:val="689E7BBD"/>
    <w:rsid w:val="689F6284"/>
    <w:rsid w:val="689F6721"/>
    <w:rsid w:val="689F6795"/>
    <w:rsid w:val="68A044D6"/>
    <w:rsid w:val="68A0524E"/>
    <w:rsid w:val="68A07F3C"/>
    <w:rsid w:val="68A1024E"/>
    <w:rsid w:val="68A11228"/>
    <w:rsid w:val="68A11EF6"/>
    <w:rsid w:val="68A13DAA"/>
    <w:rsid w:val="68A16EA7"/>
    <w:rsid w:val="68A2273F"/>
    <w:rsid w:val="68A25D8C"/>
    <w:rsid w:val="68A33FC6"/>
    <w:rsid w:val="68A43DA6"/>
    <w:rsid w:val="68A44035"/>
    <w:rsid w:val="68A47FBA"/>
    <w:rsid w:val="68A5389A"/>
    <w:rsid w:val="68A613C0"/>
    <w:rsid w:val="68A62CE2"/>
    <w:rsid w:val="68A65864"/>
    <w:rsid w:val="68A67612"/>
    <w:rsid w:val="68A747C2"/>
    <w:rsid w:val="68A76BE8"/>
    <w:rsid w:val="68A82363"/>
    <w:rsid w:val="68A85138"/>
    <w:rsid w:val="68A86406"/>
    <w:rsid w:val="68A87D36"/>
    <w:rsid w:val="68A919F1"/>
    <w:rsid w:val="68A94C2E"/>
    <w:rsid w:val="68A94E70"/>
    <w:rsid w:val="68AA12EE"/>
    <w:rsid w:val="68AA5354"/>
    <w:rsid w:val="68AB2E7A"/>
    <w:rsid w:val="68AB3EB0"/>
    <w:rsid w:val="68AB3EB3"/>
    <w:rsid w:val="68AB4C28"/>
    <w:rsid w:val="68AB72A6"/>
    <w:rsid w:val="68AC37F1"/>
    <w:rsid w:val="68AC7B2F"/>
    <w:rsid w:val="68AD4487"/>
    <w:rsid w:val="68AD6BF3"/>
    <w:rsid w:val="68AE5D05"/>
    <w:rsid w:val="68AF4719"/>
    <w:rsid w:val="68AF64C7"/>
    <w:rsid w:val="68AF752B"/>
    <w:rsid w:val="68B0271E"/>
    <w:rsid w:val="68B027EB"/>
    <w:rsid w:val="68B03FED"/>
    <w:rsid w:val="68B12463"/>
    <w:rsid w:val="68B140C3"/>
    <w:rsid w:val="68B23C75"/>
    <w:rsid w:val="68B24391"/>
    <w:rsid w:val="68B27663"/>
    <w:rsid w:val="68B41F83"/>
    <w:rsid w:val="68B43ADD"/>
    <w:rsid w:val="68B556F6"/>
    <w:rsid w:val="68B60BB5"/>
    <w:rsid w:val="68B63CF9"/>
    <w:rsid w:val="68B67474"/>
    <w:rsid w:val="68B735CD"/>
    <w:rsid w:val="68B7537B"/>
    <w:rsid w:val="68B860A6"/>
    <w:rsid w:val="68BA09C6"/>
    <w:rsid w:val="68BA5362"/>
    <w:rsid w:val="68BB208C"/>
    <w:rsid w:val="68BB350F"/>
    <w:rsid w:val="68BB3D9B"/>
    <w:rsid w:val="68BB54B2"/>
    <w:rsid w:val="68BB663A"/>
    <w:rsid w:val="68BC0BE4"/>
    <w:rsid w:val="68BC1A6D"/>
    <w:rsid w:val="68BC32E6"/>
    <w:rsid w:val="68BC4A27"/>
    <w:rsid w:val="68BC6E36"/>
    <w:rsid w:val="68BD194F"/>
    <w:rsid w:val="68BE2B84"/>
    <w:rsid w:val="68BE2BAE"/>
    <w:rsid w:val="68BE495C"/>
    <w:rsid w:val="68BE624F"/>
    <w:rsid w:val="68BE67FC"/>
    <w:rsid w:val="68BF03DA"/>
    <w:rsid w:val="68BF2482"/>
    <w:rsid w:val="68BF33A8"/>
    <w:rsid w:val="68BF4D6C"/>
    <w:rsid w:val="68C1269E"/>
    <w:rsid w:val="68C13CB8"/>
    <w:rsid w:val="68C15C1C"/>
    <w:rsid w:val="68C1603E"/>
    <w:rsid w:val="68C16876"/>
    <w:rsid w:val="68C2230E"/>
    <w:rsid w:val="68C242FB"/>
    <w:rsid w:val="68C3052F"/>
    <w:rsid w:val="68C36416"/>
    <w:rsid w:val="68C36F6D"/>
    <w:rsid w:val="68C47890"/>
    <w:rsid w:val="68C47A98"/>
    <w:rsid w:val="68C51912"/>
    <w:rsid w:val="68C53F3C"/>
    <w:rsid w:val="68C5694A"/>
    <w:rsid w:val="68C61A62"/>
    <w:rsid w:val="68C63810"/>
    <w:rsid w:val="68C70F53"/>
    <w:rsid w:val="68C7256E"/>
    <w:rsid w:val="68C77CB4"/>
    <w:rsid w:val="68C857DA"/>
    <w:rsid w:val="68C86FA3"/>
    <w:rsid w:val="68C91863"/>
    <w:rsid w:val="68C93706"/>
    <w:rsid w:val="68CA0D5E"/>
    <w:rsid w:val="68CA1553"/>
    <w:rsid w:val="68CA2296"/>
    <w:rsid w:val="68CA5201"/>
    <w:rsid w:val="68CB04AF"/>
    <w:rsid w:val="68CB7079"/>
    <w:rsid w:val="68CD2BE3"/>
    <w:rsid w:val="68CD2DF1"/>
    <w:rsid w:val="68CE12AD"/>
    <w:rsid w:val="68CE2D7B"/>
    <w:rsid w:val="68CF0917"/>
    <w:rsid w:val="68CF4DBB"/>
    <w:rsid w:val="68CF5C24"/>
    <w:rsid w:val="68CF6B69"/>
    <w:rsid w:val="68D0421C"/>
    <w:rsid w:val="68D0468F"/>
    <w:rsid w:val="68D0643D"/>
    <w:rsid w:val="68D128E1"/>
    <w:rsid w:val="68D12BDD"/>
    <w:rsid w:val="68D221B5"/>
    <w:rsid w:val="68D227EB"/>
    <w:rsid w:val="68D26659"/>
    <w:rsid w:val="68D369A9"/>
    <w:rsid w:val="68D4417F"/>
    <w:rsid w:val="68D4658B"/>
    <w:rsid w:val="68D51CA5"/>
    <w:rsid w:val="68D52911"/>
    <w:rsid w:val="68D5723F"/>
    <w:rsid w:val="68D66149"/>
    <w:rsid w:val="68D76C6C"/>
    <w:rsid w:val="68D85962"/>
    <w:rsid w:val="68D86BE3"/>
    <w:rsid w:val="68D9280E"/>
    <w:rsid w:val="68D93544"/>
    <w:rsid w:val="68DA1A71"/>
    <w:rsid w:val="68DA2A33"/>
    <w:rsid w:val="68DA37D8"/>
    <w:rsid w:val="68DB1440"/>
    <w:rsid w:val="68DB3760"/>
    <w:rsid w:val="68DB550E"/>
    <w:rsid w:val="68DC0FFC"/>
    <w:rsid w:val="68DC1286"/>
    <w:rsid w:val="68DC2C8F"/>
    <w:rsid w:val="68DC2EB0"/>
    <w:rsid w:val="68DC3034"/>
    <w:rsid w:val="68DD0C95"/>
    <w:rsid w:val="68DD624E"/>
    <w:rsid w:val="68DD74D8"/>
    <w:rsid w:val="68DE0B5A"/>
    <w:rsid w:val="68DE4FFE"/>
    <w:rsid w:val="68DE60D5"/>
    <w:rsid w:val="68DE6680"/>
    <w:rsid w:val="68DE6DAC"/>
    <w:rsid w:val="68DF1251"/>
    <w:rsid w:val="68DF359C"/>
    <w:rsid w:val="68E00D76"/>
    <w:rsid w:val="68E01595"/>
    <w:rsid w:val="68E0186C"/>
    <w:rsid w:val="68E01BBE"/>
    <w:rsid w:val="68E02B24"/>
    <w:rsid w:val="68E06672"/>
    <w:rsid w:val="68E06936"/>
    <w:rsid w:val="68E1689C"/>
    <w:rsid w:val="68E20625"/>
    <w:rsid w:val="68E20C80"/>
    <w:rsid w:val="68E21F22"/>
    <w:rsid w:val="68E329CB"/>
    <w:rsid w:val="68E338C4"/>
    <w:rsid w:val="68E36491"/>
    <w:rsid w:val="68E42FA1"/>
    <w:rsid w:val="68E44E19"/>
    <w:rsid w:val="68E63BF2"/>
    <w:rsid w:val="68E63EB3"/>
    <w:rsid w:val="68E65C61"/>
    <w:rsid w:val="68E66C15"/>
    <w:rsid w:val="68E76198"/>
    <w:rsid w:val="68E779E3"/>
    <w:rsid w:val="68E819D9"/>
    <w:rsid w:val="68E82175"/>
    <w:rsid w:val="68E83A44"/>
    <w:rsid w:val="68E86D22"/>
    <w:rsid w:val="68E87C2B"/>
    <w:rsid w:val="68EA1D69"/>
    <w:rsid w:val="68EA5751"/>
    <w:rsid w:val="68EB03A0"/>
    <w:rsid w:val="68EB3277"/>
    <w:rsid w:val="68EB33E6"/>
    <w:rsid w:val="68EC14C9"/>
    <w:rsid w:val="68EC1AC5"/>
    <w:rsid w:val="68EC49A5"/>
    <w:rsid w:val="68EC5F28"/>
    <w:rsid w:val="68ED2114"/>
    <w:rsid w:val="68ED2988"/>
    <w:rsid w:val="68ED6FEF"/>
    <w:rsid w:val="68EF2D67"/>
    <w:rsid w:val="68EF4B15"/>
    <w:rsid w:val="68EF7A7C"/>
    <w:rsid w:val="68F00A95"/>
    <w:rsid w:val="68F04EED"/>
    <w:rsid w:val="68F12F8A"/>
    <w:rsid w:val="68F1306B"/>
    <w:rsid w:val="68F14D31"/>
    <w:rsid w:val="68F16ADF"/>
    <w:rsid w:val="68F17BF8"/>
    <w:rsid w:val="68F22857"/>
    <w:rsid w:val="68F35F86"/>
    <w:rsid w:val="68F4037D"/>
    <w:rsid w:val="68F41267"/>
    <w:rsid w:val="68F53477"/>
    <w:rsid w:val="68F54026"/>
    <w:rsid w:val="68F55EA4"/>
    <w:rsid w:val="68F6059A"/>
    <w:rsid w:val="68F640F6"/>
    <w:rsid w:val="68F752C7"/>
    <w:rsid w:val="68F76B14"/>
    <w:rsid w:val="68F77E6E"/>
    <w:rsid w:val="68F91600"/>
    <w:rsid w:val="68F91E38"/>
    <w:rsid w:val="68F93BE6"/>
    <w:rsid w:val="68FA36FE"/>
    <w:rsid w:val="68FA3800"/>
    <w:rsid w:val="68FA5E59"/>
    <w:rsid w:val="68FB170C"/>
    <w:rsid w:val="68FB5BB0"/>
    <w:rsid w:val="68FB795E"/>
    <w:rsid w:val="68FC213B"/>
    <w:rsid w:val="68FD315A"/>
    <w:rsid w:val="68FD36D6"/>
    <w:rsid w:val="68FE2FAA"/>
    <w:rsid w:val="68FE51D1"/>
    <w:rsid w:val="68FE744E"/>
    <w:rsid w:val="68FF3958"/>
    <w:rsid w:val="690031C6"/>
    <w:rsid w:val="690228D5"/>
    <w:rsid w:val="69023424"/>
    <w:rsid w:val="690245EB"/>
    <w:rsid w:val="69025032"/>
    <w:rsid w:val="69025DD5"/>
    <w:rsid w:val="69026F3E"/>
    <w:rsid w:val="690305C1"/>
    <w:rsid w:val="69034A64"/>
    <w:rsid w:val="690464ED"/>
    <w:rsid w:val="69046F67"/>
    <w:rsid w:val="690515F5"/>
    <w:rsid w:val="690516EB"/>
    <w:rsid w:val="690538F4"/>
    <w:rsid w:val="69054339"/>
    <w:rsid w:val="69057E41"/>
    <w:rsid w:val="69064C5E"/>
    <w:rsid w:val="690650C6"/>
    <w:rsid w:val="69071121"/>
    <w:rsid w:val="69076303"/>
    <w:rsid w:val="690802CD"/>
    <w:rsid w:val="6908207B"/>
    <w:rsid w:val="69083E29"/>
    <w:rsid w:val="69086BC2"/>
    <w:rsid w:val="6909134A"/>
    <w:rsid w:val="690920AC"/>
    <w:rsid w:val="690928AD"/>
    <w:rsid w:val="69092D7D"/>
    <w:rsid w:val="690A0593"/>
    <w:rsid w:val="690A1A57"/>
    <w:rsid w:val="690A6B79"/>
    <w:rsid w:val="690A75AC"/>
    <w:rsid w:val="690A7F53"/>
    <w:rsid w:val="690B0C63"/>
    <w:rsid w:val="690B257A"/>
    <w:rsid w:val="690B6E01"/>
    <w:rsid w:val="690C026E"/>
    <w:rsid w:val="690C1B6B"/>
    <w:rsid w:val="690C1F5F"/>
    <w:rsid w:val="690C52DC"/>
    <w:rsid w:val="690D0B3B"/>
    <w:rsid w:val="690D0ED6"/>
    <w:rsid w:val="690F05BC"/>
    <w:rsid w:val="690F51B7"/>
    <w:rsid w:val="690F6F65"/>
    <w:rsid w:val="69106DD3"/>
    <w:rsid w:val="691072E6"/>
    <w:rsid w:val="69110F2F"/>
    <w:rsid w:val="6911409C"/>
    <w:rsid w:val="69115691"/>
    <w:rsid w:val="69121546"/>
    <w:rsid w:val="69131933"/>
    <w:rsid w:val="691427CE"/>
    <w:rsid w:val="69143F32"/>
    <w:rsid w:val="691479FB"/>
    <w:rsid w:val="69147ACE"/>
    <w:rsid w:val="69147D9A"/>
    <w:rsid w:val="69147E90"/>
    <w:rsid w:val="691602F4"/>
    <w:rsid w:val="69162CC5"/>
    <w:rsid w:val="691703FF"/>
    <w:rsid w:val="69170ECE"/>
    <w:rsid w:val="691722BE"/>
    <w:rsid w:val="6917406C"/>
    <w:rsid w:val="691818B6"/>
    <w:rsid w:val="69183D0F"/>
    <w:rsid w:val="69196036"/>
    <w:rsid w:val="69197DE4"/>
    <w:rsid w:val="691A5161"/>
    <w:rsid w:val="691A74E1"/>
    <w:rsid w:val="691B1DAE"/>
    <w:rsid w:val="691B3B5C"/>
    <w:rsid w:val="691B6B3D"/>
    <w:rsid w:val="691C1682"/>
    <w:rsid w:val="691C2A97"/>
    <w:rsid w:val="691C4781"/>
    <w:rsid w:val="691C78D4"/>
    <w:rsid w:val="691D2341"/>
    <w:rsid w:val="691E7A28"/>
    <w:rsid w:val="691F3B13"/>
    <w:rsid w:val="691F4FA3"/>
    <w:rsid w:val="691F706F"/>
    <w:rsid w:val="69201173"/>
    <w:rsid w:val="69205D8A"/>
    <w:rsid w:val="692073C4"/>
    <w:rsid w:val="692101B6"/>
    <w:rsid w:val="69222FFA"/>
    <w:rsid w:val="69226418"/>
    <w:rsid w:val="69226828"/>
    <w:rsid w:val="69227F62"/>
    <w:rsid w:val="69232A11"/>
    <w:rsid w:val="6923451E"/>
    <w:rsid w:val="69250E15"/>
    <w:rsid w:val="692549DB"/>
    <w:rsid w:val="69256652"/>
    <w:rsid w:val="69271B30"/>
    <w:rsid w:val="69272310"/>
    <w:rsid w:val="69277095"/>
    <w:rsid w:val="69277932"/>
    <w:rsid w:val="69280D35"/>
    <w:rsid w:val="6928409F"/>
    <w:rsid w:val="69286279"/>
    <w:rsid w:val="692863C6"/>
    <w:rsid w:val="69291788"/>
    <w:rsid w:val="692948F0"/>
    <w:rsid w:val="692A0243"/>
    <w:rsid w:val="692A3D9F"/>
    <w:rsid w:val="692C1675"/>
    <w:rsid w:val="692C63D8"/>
    <w:rsid w:val="692C7B17"/>
    <w:rsid w:val="692D1AE1"/>
    <w:rsid w:val="692D2A07"/>
    <w:rsid w:val="692D47AA"/>
    <w:rsid w:val="692E211E"/>
    <w:rsid w:val="692E6398"/>
    <w:rsid w:val="692F4A98"/>
    <w:rsid w:val="692F6F09"/>
    <w:rsid w:val="692F7608"/>
    <w:rsid w:val="69306A78"/>
    <w:rsid w:val="69307669"/>
    <w:rsid w:val="69313380"/>
    <w:rsid w:val="6931512E"/>
    <w:rsid w:val="69316E2F"/>
    <w:rsid w:val="69320EA6"/>
    <w:rsid w:val="69325549"/>
    <w:rsid w:val="693370F8"/>
    <w:rsid w:val="6934356D"/>
    <w:rsid w:val="693469CC"/>
    <w:rsid w:val="693476A5"/>
    <w:rsid w:val="69350EF8"/>
    <w:rsid w:val="69356757"/>
    <w:rsid w:val="69366BE8"/>
    <w:rsid w:val="693750B5"/>
    <w:rsid w:val="693761F2"/>
    <w:rsid w:val="693764BC"/>
    <w:rsid w:val="69382960"/>
    <w:rsid w:val="69386994"/>
    <w:rsid w:val="69395437"/>
    <w:rsid w:val="693966D8"/>
    <w:rsid w:val="693B021A"/>
    <w:rsid w:val="693B0491"/>
    <w:rsid w:val="693B0D1C"/>
    <w:rsid w:val="693B587D"/>
    <w:rsid w:val="693B5FAC"/>
    <w:rsid w:val="693B7D5A"/>
    <w:rsid w:val="693C3AD3"/>
    <w:rsid w:val="693D1D24"/>
    <w:rsid w:val="693D2737"/>
    <w:rsid w:val="693D6F14"/>
    <w:rsid w:val="693D7155"/>
    <w:rsid w:val="693D7F76"/>
    <w:rsid w:val="693E3CEF"/>
    <w:rsid w:val="693E5A9D"/>
    <w:rsid w:val="693E754B"/>
    <w:rsid w:val="693F19BC"/>
    <w:rsid w:val="69401815"/>
    <w:rsid w:val="694035C3"/>
    <w:rsid w:val="6940618B"/>
    <w:rsid w:val="694214DE"/>
    <w:rsid w:val="69421C1A"/>
    <w:rsid w:val="69423A82"/>
    <w:rsid w:val="69427065"/>
    <w:rsid w:val="6942733B"/>
    <w:rsid w:val="69431305"/>
    <w:rsid w:val="694330B3"/>
    <w:rsid w:val="6943531C"/>
    <w:rsid w:val="69436679"/>
    <w:rsid w:val="694374F0"/>
    <w:rsid w:val="69441BAB"/>
    <w:rsid w:val="69446F6F"/>
    <w:rsid w:val="69447DE5"/>
    <w:rsid w:val="694503FF"/>
    <w:rsid w:val="69451D6A"/>
    <w:rsid w:val="6945507D"/>
    <w:rsid w:val="69456E2B"/>
    <w:rsid w:val="694678FB"/>
    <w:rsid w:val="69470DF5"/>
    <w:rsid w:val="69472BA3"/>
    <w:rsid w:val="69473047"/>
    <w:rsid w:val="694739BA"/>
    <w:rsid w:val="69473C43"/>
    <w:rsid w:val="69474460"/>
    <w:rsid w:val="69474951"/>
    <w:rsid w:val="6948013B"/>
    <w:rsid w:val="694841AF"/>
    <w:rsid w:val="69484EE1"/>
    <w:rsid w:val="69495016"/>
    <w:rsid w:val="6949563F"/>
    <w:rsid w:val="6949691B"/>
    <w:rsid w:val="694A2693"/>
    <w:rsid w:val="694A3AFF"/>
    <w:rsid w:val="694B0A3E"/>
    <w:rsid w:val="694B1044"/>
    <w:rsid w:val="694B7093"/>
    <w:rsid w:val="694C1F68"/>
    <w:rsid w:val="694C74CE"/>
    <w:rsid w:val="694D1762"/>
    <w:rsid w:val="694D6274"/>
    <w:rsid w:val="694D7A8E"/>
    <w:rsid w:val="694E1C94"/>
    <w:rsid w:val="694E2071"/>
    <w:rsid w:val="694E2184"/>
    <w:rsid w:val="694E222C"/>
    <w:rsid w:val="694E3F32"/>
    <w:rsid w:val="694F1A58"/>
    <w:rsid w:val="695100E3"/>
    <w:rsid w:val="69511BF0"/>
    <w:rsid w:val="695157D0"/>
    <w:rsid w:val="695215BE"/>
    <w:rsid w:val="6953101A"/>
    <w:rsid w:val="6954673C"/>
    <w:rsid w:val="6954706E"/>
    <w:rsid w:val="695567B3"/>
    <w:rsid w:val="69564B94"/>
    <w:rsid w:val="69572814"/>
    <w:rsid w:val="695825CA"/>
    <w:rsid w:val="69584626"/>
    <w:rsid w:val="69584DB0"/>
    <w:rsid w:val="695928D6"/>
    <w:rsid w:val="695B03FD"/>
    <w:rsid w:val="695B21AB"/>
    <w:rsid w:val="695B39CE"/>
    <w:rsid w:val="695B466D"/>
    <w:rsid w:val="695D23C7"/>
    <w:rsid w:val="695D4175"/>
    <w:rsid w:val="695D5F6E"/>
    <w:rsid w:val="695E1C9B"/>
    <w:rsid w:val="695E3F2C"/>
    <w:rsid w:val="695E7EED"/>
    <w:rsid w:val="695F613F"/>
    <w:rsid w:val="69601EB7"/>
    <w:rsid w:val="696020DE"/>
    <w:rsid w:val="696038C5"/>
    <w:rsid w:val="69603C65"/>
    <w:rsid w:val="69605A13"/>
    <w:rsid w:val="696077C1"/>
    <w:rsid w:val="69611E3E"/>
    <w:rsid w:val="69615B47"/>
    <w:rsid w:val="696208B4"/>
    <w:rsid w:val="6962178B"/>
    <w:rsid w:val="69623B57"/>
    <w:rsid w:val="6962427C"/>
    <w:rsid w:val="696258A1"/>
    <w:rsid w:val="696279DD"/>
    <w:rsid w:val="696324F7"/>
    <w:rsid w:val="696372B1"/>
    <w:rsid w:val="69645201"/>
    <w:rsid w:val="6965127B"/>
    <w:rsid w:val="69654062"/>
    <w:rsid w:val="69656630"/>
    <w:rsid w:val="69670B4F"/>
    <w:rsid w:val="69671C9E"/>
    <w:rsid w:val="69674FF3"/>
    <w:rsid w:val="6968198B"/>
    <w:rsid w:val="696848C8"/>
    <w:rsid w:val="69687FCB"/>
    <w:rsid w:val="69692B1A"/>
    <w:rsid w:val="69694C28"/>
    <w:rsid w:val="69694D4D"/>
    <w:rsid w:val="696A1787"/>
    <w:rsid w:val="696A4AE4"/>
    <w:rsid w:val="696B7548"/>
    <w:rsid w:val="696C085C"/>
    <w:rsid w:val="696C43B8"/>
    <w:rsid w:val="696D3286"/>
    <w:rsid w:val="696D799C"/>
    <w:rsid w:val="696E0130"/>
    <w:rsid w:val="696E2BCD"/>
    <w:rsid w:val="696E5EC9"/>
    <w:rsid w:val="696E6382"/>
    <w:rsid w:val="696E661E"/>
    <w:rsid w:val="696E6789"/>
    <w:rsid w:val="696F20FA"/>
    <w:rsid w:val="696F37F0"/>
    <w:rsid w:val="696F3EA8"/>
    <w:rsid w:val="696F5C56"/>
    <w:rsid w:val="69700DFD"/>
    <w:rsid w:val="69701C8D"/>
    <w:rsid w:val="697033BA"/>
    <w:rsid w:val="697119CE"/>
    <w:rsid w:val="69712894"/>
    <w:rsid w:val="6971323A"/>
    <w:rsid w:val="69715E72"/>
    <w:rsid w:val="69723739"/>
    <w:rsid w:val="69724656"/>
    <w:rsid w:val="697247CE"/>
    <w:rsid w:val="697274F4"/>
    <w:rsid w:val="6973686D"/>
    <w:rsid w:val="697414BE"/>
    <w:rsid w:val="69742586"/>
    <w:rsid w:val="69744E7F"/>
    <w:rsid w:val="69747710"/>
    <w:rsid w:val="69754B37"/>
    <w:rsid w:val="69761A42"/>
    <w:rsid w:val="69763488"/>
    <w:rsid w:val="69765236"/>
    <w:rsid w:val="69765B2F"/>
    <w:rsid w:val="69766163"/>
    <w:rsid w:val="69766FE4"/>
    <w:rsid w:val="697742C5"/>
    <w:rsid w:val="69780FAF"/>
    <w:rsid w:val="6978524E"/>
    <w:rsid w:val="69790883"/>
    <w:rsid w:val="69794D27"/>
    <w:rsid w:val="697A3B33"/>
    <w:rsid w:val="697B04CD"/>
    <w:rsid w:val="697B45FB"/>
    <w:rsid w:val="697C480A"/>
    <w:rsid w:val="697C4B5E"/>
    <w:rsid w:val="697C5DBD"/>
    <w:rsid w:val="697C6406"/>
    <w:rsid w:val="697D0373"/>
    <w:rsid w:val="697D4817"/>
    <w:rsid w:val="697D77B4"/>
    <w:rsid w:val="697E058F"/>
    <w:rsid w:val="697E0F11"/>
    <w:rsid w:val="697E0FA2"/>
    <w:rsid w:val="697E1642"/>
    <w:rsid w:val="697E59BE"/>
    <w:rsid w:val="697E7DF1"/>
    <w:rsid w:val="697F6E4E"/>
    <w:rsid w:val="697F7BD1"/>
    <w:rsid w:val="69801F62"/>
    <w:rsid w:val="69820459"/>
    <w:rsid w:val="69820A92"/>
    <w:rsid w:val="698237F8"/>
    <w:rsid w:val="69825F37"/>
    <w:rsid w:val="69826F10"/>
    <w:rsid w:val="6983217D"/>
    <w:rsid w:val="69837768"/>
    <w:rsid w:val="69840C15"/>
    <w:rsid w:val="69840C99"/>
    <w:rsid w:val="69841953"/>
    <w:rsid w:val="69843881"/>
    <w:rsid w:val="6985092D"/>
    <w:rsid w:val="69851AE7"/>
    <w:rsid w:val="6985242A"/>
    <w:rsid w:val="698536CB"/>
    <w:rsid w:val="69854A3F"/>
    <w:rsid w:val="69855278"/>
    <w:rsid w:val="69855479"/>
    <w:rsid w:val="69857063"/>
    <w:rsid w:val="6986299E"/>
    <w:rsid w:val="6986339A"/>
    <w:rsid w:val="69865817"/>
    <w:rsid w:val="698739A3"/>
    <w:rsid w:val="698756DD"/>
    <w:rsid w:val="69876A00"/>
    <w:rsid w:val="69877444"/>
    <w:rsid w:val="6988016A"/>
    <w:rsid w:val="698811C2"/>
    <w:rsid w:val="69886C12"/>
    <w:rsid w:val="698956A2"/>
    <w:rsid w:val="6989589F"/>
    <w:rsid w:val="698A0CE2"/>
    <w:rsid w:val="698A208D"/>
    <w:rsid w:val="698A25D3"/>
    <w:rsid w:val="698A6D01"/>
    <w:rsid w:val="698A6F34"/>
    <w:rsid w:val="698A719F"/>
    <w:rsid w:val="698C10D3"/>
    <w:rsid w:val="698C4A5A"/>
    <w:rsid w:val="698D0A32"/>
    <w:rsid w:val="698D2C89"/>
    <w:rsid w:val="698E04B4"/>
    <w:rsid w:val="698E07D2"/>
    <w:rsid w:val="698E432E"/>
    <w:rsid w:val="698F00A6"/>
    <w:rsid w:val="698F62F8"/>
    <w:rsid w:val="69907DD3"/>
    <w:rsid w:val="699102C2"/>
    <w:rsid w:val="69912070"/>
    <w:rsid w:val="69913E1E"/>
    <w:rsid w:val="699236F9"/>
    <w:rsid w:val="69927CB7"/>
    <w:rsid w:val="69927CF0"/>
    <w:rsid w:val="69931944"/>
    <w:rsid w:val="69937B96"/>
    <w:rsid w:val="6994390F"/>
    <w:rsid w:val="69963C27"/>
    <w:rsid w:val="69964F4C"/>
    <w:rsid w:val="699666BD"/>
    <w:rsid w:val="69975BDE"/>
    <w:rsid w:val="69980398"/>
    <w:rsid w:val="69981651"/>
    <w:rsid w:val="699833FF"/>
    <w:rsid w:val="699837E5"/>
    <w:rsid w:val="69987F14"/>
    <w:rsid w:val="69990F25"/>
    <w:rsid w:val="699916F5"/>
    <w:rsid w:val="69992909"/>
    <w:rsid w:val="69992CD3"/>
    <w:rsid w:val="69995197"/>
    <w:rsid w:val="69995D70"/>
    <w:rsid w:val="69997176"/>
    <w:rsid w:val="699A15A0"/>
    <w:rsid w:val="699B1EFE"/>
    <w:rsid w:val="699B562A"/>
    <w:rsid w:val="699B6A4B"/>
    <w:rsid w:val="699B7AB7"/>
    <w:rsid w:val="699C043D"/>
    <w:rsid w:val="699C50D9"/>
    <w:rsid w:val="699C6181"/>
    <w:rsid w:val="699C6738"/>
    <w:rsid w:val="699D0A15"/>
    <w:rsid w:val="699D27C3"/>
    <w:rsid w:val="699D2C51"/>
    <w:rsid w:val="699D3E7F"/>
    <w:rsid w:val="699D74D8"/>
    <w:rsid w:val="699E0401"/>
    <w:rsid w:val="699E0597"/>
    <w:rsid w:val="699E3448"/>
    <w:rsid w:val="699E4A1E"/>
    <w:rsid w:val="699E4FA8"/>
    <w:rsid w:val="699E5783"/>
    <w:rsid w:val="699F653B"/>
    <w:rsid w:val="699F7CD5"/>
    <w:rsid w:val="69A022B3"/>
    <w:rsid w:val="69A04061"/>
    <w:rsid w:val="69A078C8"/>
    <w:rsid w:val="69A127CB"/>
    <w:rsid w:val="69A13929"/>
    <w:rsid w:val="69A20FA1"/>
    <w:rsid w:val="69A224C1"/>
    <w:rsid w:val="69A2427D"/>
    <w:rsid w:val="69A2602B"/>
    <w:rsid w:val="69A40EEB"/>
    <w:rsid w:val="69A43B52"/>
    <w:rsid w:val="69A5443F"/>
    <w:rsid w:val="69A55B1C"/>
    <w:rsid w:val="69A5619D"/>
    <w:rsid w:val="69A578CA"/>
    <w:rsid w:val="69A57C19"/>
    <w:rsid w:val="69A64BCA"/>
    <w:rsid w:val="69A650A8"/>
    <w:rsid w:val="69A676A3"/>
    <w:rsid w:val="69A7045C"/>
    <w:rsid w:val="69A706AA"/>
    <w:rsid w:val="69A71894"/>
    <w:rsid w:val="69A73642"/>
    <w:rsid w:val="69A753F0"/>
    <w:rsid w:val="69A83492"/>
    <w:rsid w:val="69A837C3"/>
    <w:rsid w:val="69A91168"/>
    <w:rsid w:val="69A93E28"/>
    <w:rsid w:val="69A94999"/>
    <w:rsid w:val="69A9560C"/>
    <w:rsid w:val="69A973BA"/>
    <w:rsid w:val="69AA3132"/>
    <w:rsid w:val="69AA395D"/>
    <w:rsid w:val="69AA6040"/>
    <w:rsid w:val="69AB1384"/>
    <w:rsid w:val="69AB5118"/>
    <w:rsid w:val="69AC0C58"/>
    <w:rsid w:val="69AC6EAA"/>
    <w:rsid w:val="69AD485F"/>
    <w:rsid w:val="69AE12B4"/>
    <w:rsid w:val="69AE2C22"/>
    <w:rsid w:val="69AE675C"/>
    <w:rsid w:val="69AE677E"/>
    <w:rsid w:val="69AF244E"/>
    <w:rsid w:val="69B007BF"/>
    <w:rsid w:val="69B0576D"/>
    <w:rsid w:val="69B11CDD"/>
    <w:rsid w:val="69B12712"/>
    <w:rsid w:val="69B12D71"/>
    <w:rsid w:val="69B13688"/>
    <w:rsid w:val="69B139FA"/>
    <w:rsid w:val="69B33D95"/>
    <w:rsid w:val="69B47B0D"/>
    <w:rsid w:val="69B5065E"/>
    <w:rsid w:val="69B55D5F"/>
    <w:rsid w:val="69B56A19"/>
    <w:rsid w:val="69B5711B"/>
    <w:rsid w:val="69B63320"/>
    <w:rsid w:val="69B63885"/>
    <w:rsid w:val="69B65652"/>
    <w:rsid w:val="69B72DAD"/>
    <w:rsid w:val="69B813AB"/>
    <w:rsid w:val="69B871AE"/>
    <w:rsid w:val="69B8727D"/>
    <w:rsid w:val="69B87503"/>
    <w:rsid w:val="69B90A2D"/>
    <w:rsid w:val="69B97348"/>
    <w:rsid w:val="69BA1AB4"/>
    <w:rsid w:val="69BA3375"/>
    <w:rsid w:val="69BA553A"/>
    <w:rsid w:val="69BB07BA"/>
    <w:rsid w:val="69BB1106"/>
    <w:rsid w:val="69BB4DF7"/>
    <w:rsid w:val="69BB533F"/>
    <w:rsid w:val="69BB70ED"/>
    <w:rsid w:val="69BC2F4B"/>
    <w:rsid w:val="69BC768B"/>
    <w:rsid w:val="69BD3BD9"/>
    <w:rsid w:val="69BD4C13"/>
    <w:rsid w:val="69BD4C19"/>
    <w:rsid w:val="69BE2739"/>
    <w:rsid w:val="69BE3FDE"/>
    <w:rsid w:val="69BF5BED"/>
    <w:rsid w:val="69BF5E65"/>
    <w:rsid w:val="69BF6449"/>
    <w:rsid w:val="69BF6BDD"/>
    <w:rsid w:val="69C0714A"/>
    <w:rsid w:val="69C13904"/>
    <w:rsid w:val="69C169FC"/>
    <w:rsid w:val="69C170AB"/>
    <w:rsid w:val="69C1795B"/>
    <w:rsid w:val="69C2222A"/>
    <w:rsid w:val="69C243A3"/>
    <w:rsid w:val="69C3147F"/>
    <w:rsid w:val="69C322BF"/>
    <w:rsid w:val="69C441F4"/>
    <w:rsid w:val="69C50153"/>
    <w:rsid w:val="69C51D1A"/>
    <w:rsid w:val="69C523DE"/>
    <w:rsid w:val="69C52D24"/>
    <w:rsid w:val="69C53AC8"/>
    <w:rsid w:val="69C547D1"/>
    <w:rsid w:val="69C615E3"/>
    <w:rsid w:val="69C67F6C"/>
    <w:rsid w:val="69C70418"/>
    <w:rsid w:val="69C73CE4"/>
    <w:rsid w:val="69C7643F"/>
    <w:rsid w:val="69C77840"/>
    <w:rsid w:val="69C80647"/>
    <w:rsid w:val="69C81D37"/>
    <w:rsid w:val="69C86F38"/>
    <w:rsid w:val="69C90C23"/>
    <w:rsid w:val="69C95270"/>
    <w:rsid w:val="69CA13F4"/>
    <w:rsid w:val="69CA2B35"/>
    <w:rsid w:val="69CA6E14"/>
    <w:rsid w:val="69CA7330"/>
    <w:rsid w:val="69CB1691"/>
    <w:rsid w:val="69CB5455"/>
    <w:rsid w:val="69CC333F"/>
    <w:rsid w:val="69CC4E56"/>
    <w:rsid w:val="69CC66B7"/>
    <w:rsid w:val="69CC698E"/>
    <w:rsid w:val="69CD7D75"/>
    <w:rsid w:val="69CE2026"/>
    <w:rsid w:val="69CE2862"/>
    <w:rsid w:val="69CE3A14"/>
    <w:rsid w:val="69CE5072"/>
    <w:rsid w:val="69CE6E20"/>
    <w:rsid w:val="69CF1B80"/>
    <w:rsid w:val="69D00DEB"/>
    <w:rsid w:val="69D02B99"/>
    <w:rsid w:val="69D04B68"/>
    <w:rsid w:val="69D05266"/>
    <w:rsid w:val="69D106BF"/>
    <w:rsid w:val="69D12B9B"/>
    <w:rsid w:val="69D16559"/>
    <w:rsid w:val="69D31A64"/>
    <w:rsid w:val="69D32689"/>
    <w:rsid w:val="69D361E5"/>
    <w:rsid w:val="69D361F4"/>
    <w:rsid w:val="69D4078A"/>
    <w:rsid w:val="69D43E39"/>
    <w:rsid w:val="69D44760"/>
    <w:rsid w:val="69D46070"/>
    <w:rsid w:val="69D510D8"/>
    <w:rsid w:val="69D52819"/>
    <w:rsid w:val="69D55D07"/>
    <w:rsid w:val="69D6135C"/>
    <w:rsid w:val="69D62568"/>
    <w:rsid w:val="69D6393C"/>
    <w:rsid w:val="69D65CD5"/>
    <w:rsid w:val="69D67428"/>
    <w:rsid w:val="69D72179"/>
    <w:rsid w:val="69D829CE"/>
    <w:rsid w:val="69D92430"/>
    <w:rsid w:val="69DA57C5"/>
    <w:rsid w:val="69DA7573"/>
    <w:rsid w:val="69DB2379"/>
    <w:rsid w:val="69DB32EB"/>
    <w:rsid w:val="69DD1420"/>
    <w:rsid w:val="69DD1CAC"/>
    <w:rsid w:val="69DD7064"/>
    <w:rsid w:val="69DE01C6"/>
    <w:rsid w:val="69DE243B"/>
    <w:rsid w:val="69DE4476"/>
    <w:rsid w:val="69DF102E"/>
    <w:rsid w:val="69DF1A6F"/>
    <w:rsid w:val="69DF2DDC"/>
    <w:rsid w:val="69DF4B8A"/>
    <w:rsid w:val="69E00902"/>
    <w:rsid w:val="69E0552B"/>
    <w:rsid w:val="69E1328C"/>
    <w:rsid w:val="69E14DA6"/>
    <w:rsid w:val="69E1696B"/>
    <w:rsid w:val="69E21617"/>
    <w:rsid w:val="69E2224C"/>
    <w:rsid w:val="69E2467A"/>
    <w:rsid w:val="69E339CC"/>
    <w:rsid w:val="69E36EF2"/>
    <w:rsid w:val="69E403F2"/>
    <w:rsid w:val="69E421A0"/>
    <w:rsid w:val="69E44B6C"/>
    <w:rsid w:val="69E47E9E"/>
    <w:rsid w:val="69E50BCD"/>
    <w:rsid w:val="69E5416A"/>
    <w:rsid w:val="69E57878"/>
    <w:rsid w:val="69E61D0B"/>
    <w:rsid w:val="69E623BC"/>
    <w:rsid w:val="69E70D53"/>
    <w:rsid w:val="69E73471"/>
    <w:rsid w:val="69E734ED"/>
    <w:rsid w:val="69E7542D"/>
    <w:rsid w:val="69E8635E"/>
    <w:rsid w:val="69E8798B"/>
    <w:rsid w:val="69EB12D1"/>
    <w:rsid w:val="69EB2153"/>
    <w:rsid w:val="69EB3288"/>
    <w:rsid w:val="69EB75C3"/>
    <w:rsid w:val="69EC6EBC"/>
    <w:rsid w:val="69EC72A7"/>
    <w:rsid w:val="69ED625D"/>
    <w:rsid w:val="69ED6EFD"/>
    <w:rsid w:val="69EE1271"/>
    <w:rsid w:val="69EE1F30"/>
    <w:rsid w:val="69EE3CB3"/>
    <w:rsid w:val="69EE5D98"/>
    <w:rsid w:val="69EF1287"/>
    <w:rsid w:val="69EF6DCC"/>
    <w:rsid w:val="69F027B2"/>
    <w:rsid w:val="69F03587"/>
    <w:rsid w:val="69F06D97"/>
    <w:rsid w:val="69F134E0"/>
    <w:rsid w:val="69F148BD"/>
    <w:rsid w:val="69F14C4F"/>
    <w:rsid w:val="69F223CE"/>
    <w:rsid w:val="69F22DB4"/>
    <w:rsid w:val="69F27A1E"/>
    <w:rsid w:val="69F30635"/>
    <w:rsid w:val="69F3151A"/>
    <w:rsid w:val="69F3557B"/>
    <w:rsid w:val="69F36887"/>
    <w:rsid w:val="69F4353D"/>
    <w:rsid w:val="69F446AA"/>
    <w:rsid w:val="69F506C2"/>
    <w:rsid w:val="69F53C96"/>
    <w:rsid w:val="69F5427C"/>
    <w:rsid w:val="69F543AD"/>
    <w:rsid w:val="69F61CBA"/>
    <w:rsid w:val="69F61ED3"/>
    <w:rsid w:val="69F6662C"/>
    <w:rsid w:val="69F72B1E"/>
    <w:rsid w:val="69F747DB"/>
    <w:rsid w:val="69F75A58"/>
    <w:rsid w:val="69F820EF"/>
    <w:rsid w:val="69F857F9"/>
    <w:rsid w:val="69F86501"/>
    <w:rsid w:val="69F95902"/>
    <w:rsid w:val="69FA19C4"/>
    <w:rsid w:val="69FA2D67"/>
    <w:rsid w:val="69FA5E67"/>
    <w:rsid w:val="69FA64F0"/>
    <w:rsid w:val="69FA7C16"/>
    <w:rsid w:val="69FB26BE"/>
    <w:rsid w:val="69FB3DEF"/>
    <w:rsid w:val="69FB4534"/>
    <w:rsid w:val="69FC051E"/>
    <w:rsid w:val="69FD7706"/>
    <w:rsid w:val="69FD7794"/>
    <w:rsid w:val="69FE4D74"/>
    <w:rsid w:val="69FE59EA"/>
    <w:rsid w:val="69FE61B0"/>
    <w:rsid w:val="69FE62B3"/>
    <w:rsid w:val="69FF0EEA"/>
    <w:rsid w:val="69FF347E"/>
    <w:rsid w:val="6A002504"/>
    <w:rsid w:val="6A005189"/>
    <w:rsid w:val="6A0057D5"/>
    <w:rsid w:val="6A010FA4"/>
    <w:rsid w:val="6A016700"/>
    <w:rsid w:val="6A024108"/>
    <w:rsid w:val="6A042842"/>
    <w:rsid w:val="6A0445F0"/>
    <w:rsid w:val="6A070584"/>
    <w:rsid w:val="6A07182A"/>
    <w:rsid w:val="6A0770C6"/>
    <w:rsid w:val="6A080947"/>
    <w:rsid w:val="6A091EB5"/>
    <w:rsid w:val="6A0942FC"/>
    <w:rsid w:val="6A0B0ABC"/>
    <w:rsid w:val="6A0B1E23"/>
    <w:rsid w:val="6A0B3BD1"/>
    <w:rsid w:val="6A0C16F7"/>
    <w:rsid w:val="6A0C2B67"/>
    <w:rsid w:val="6A0C3D78"/>
    <w:rsid w:val="6A0C7949"/>
    <w:rsid w:val="6A0D5208"/>
    <w:rsid w:val="6A0D5B9B"/>
    <w:rsid w:val="6A0E0ACC"/>
    <w:rsid w:val="6A0E1913"/>
    <w:rsid w:val="6A0E2084"/>
    <w:rsid w:val="6A0E4851"/>
    <w:rsid w:val="6A0E546F"/>
    <w:rsid w:val="6A0E7DD9"/>
    <w:rsid w:val="6A0F369C"/>
    <w:rsid w:val="6A0F4353"/>
    <w:rsid w:val="6A100710"/>
    <w:rsid w:val="6A1014EE"/>
    <w:rsid w:val="6A102277"/>
    <w:rsid w:val="6A10568B"/>
    <w:rsid w:val="6A110887"/>
    <w:rsid w:val="6A114C4D"/>
    <w:rsid w:val="6A114F5F"/>
    <w:rsid w:val="6A115784"/>
    <w:rsid w:val="6A1231B1"/>
    <w:rsid w:val="6A132A85"/>
    <w:rsid w:val="6A133B67"/>
    <w:rsid w:val="6A135C12"/>
    <w:rsid w:val="6A136F29"/>
    <w:rsid w:val="6A146749"/>
    <w:rsid w:val="6A150E06"/>
    <w:rsid w:val="6A153684"/>
    <w:rsid w:val="6A154A4F"/>
    <w:rsid w:val="6A1570BB"/>
    <w:rsid w:val="6A161567"/>
    <w:rsid w:val="6A162453"/>
    <w:rsid w:val="6A162576"/>
    <w:rsid w:val="6A163E0A"/>
    <w:rsid w:val="6A16587B"/>
    <w:rsid w:val="6A1679FB"/>
    <w:rsid w:val="6A1714A4"/>
    <w:rsid w:val="6A17250B"/>
    <w:rsid w:val="6A18068E"/>
    <w:rsid w:val="6A184385"/>
    <w:rsid w:val="6A184540"/>
    <w:rsid w:val="6A187C3B"/>
    <w:rsid w:val="6A1905D7"/>
    <w:rsid w:val="6A1A02B8"/>
    <w:rsid w:val="6A1A6189"/>
    <w:rsid w:val="6A1A662B"/>
    <w:rsid w:val="6A1B780C"/>
    <w:rsid w:val="6A1C4030"/>
    <w:rsid w:val="6A1D1B56"/>
    <w:rsid w:val="6A1D1DA5"/>
    <w:rsid w:val="6A1D3904"/>
    <w:rsid w:val="6A1D56B2"/>
    <w:rsid w:val="6A1D7A03"/>
    <w:rsid w:val="6A1E09CD"/>
    <w:rsid w:val="6A1E0CE9"/>
    <w:rsid w:val="6A1E2575"/>
    <w:rsid w:val="6A1E618D"/>
    <w:rsid w:val="6A1F58CE"/>
    <w:rsid w:val="6A1F646E"/>
    <w:rsid w:val="6A1F767C"/>
    <w:rsid w:val="6A201656"/>
    <w:rsid w:val="6A213D34"/>
    <w:rsid w:val="6A215085"/>
    <w:rsid w:val="6A22482F"/>
    <w:rsid w:val="6A226566"/>
    <w:rsid w:val="6A2322C7"/>
    <w:rsid w:val="6A2353BE"/>
    <w:rsid w:val="6A236513"/>
    <w:rsid w:val="6A2406D1"/>
    <w:rsid w:val="6A242EE4"/>
    <w:rsid w:val="6A244C92"/>
    <w:rsid w:val="6A246A40"/>
    <w:rsid w:val="6A256060"/>
    <w:rsid w:val="6A2627B9"/>
    <w:rsid w:val="6A2633B2"/>
    <w:rsid w:val="6A266C5C"/>
    <w:rsid w:val="6A2724C3"/>
    <w:rsid w:val="6A274DB2"/>
    <w:rsid w:val="6A2756DC"/>
    <w:rsid w:val="6A276531"/>
    <w:rsid w:val="6A2776D3"/>
    <w:rsid w:val="6A2829D5"/>
    <w:rsid w:val="6A283551"/>
    <w:rsid w:val="6A2904FB"/>
    <w:rsid w:val="6A29067E"/>
    <w:rsid w:val="6A2957C3"/>
    <w:rsid w:val="6A2B4273"/>
    <w:rsid w:val="6A2B6021"/>
    <w:rsid w:val="6A2B7DCF"/>
    <w:rsid w:val="6A2D45F4"/>
    <w:rsid w:val="6A2D7FEB"/>
    <w:rsid w:val="6A2E3D63"/>
    <w:rsid w:val="6A2E5B11"/>
    <w:rsid w:val="6A2E5C82"/>
    <w:rsid w:val="6A2F0676"/>
    <w:rsid w:val="6A301889"/>
    <w:rsid w:val="6A303637"/>
    <w:rsid w:val="6A3053E5"/>
    <w:rsid w:val="6A31115D"/>
    <w:rsid w:val="6A313D76"/>
    <w:rsid w:val="6A314DED"/>
    <w:rsid w:val="6A314E58"/>
    <w:rsid w:val="6A323EB3"/>
    <w:rsid w:val="6A326306"/>
    <w:rsid w:val="6A3273AF"/>
    <w:rsid w:val="6A331379"/>
    <w:rsid w:val="6A333127"/>
    <w:rsid w:val="6A340ABF"/>
    <w:rsid w:val="6A352F84"/>
    <w:rsid w:val="6A3550F2"/>
    <w:rsid w:val="6A356EA0"/>
    <w:rsid w:val="6A372C18"/>
    <w:rsid w:val="6A3749C6"/>
    <w:rsid w:val="6A37580C"/>
    <w:rsid w:val="6A3761D2"/>
    <w:rsid w:val="6A383046"/>
    <w:rsid w:val="6A386990"/>
    <w:rsid w:val="6A3870A7"/>
    <w:rsid w:val="6A39519D"/>
    <w:rsid w:val="6A39623E"/>
    <w:rsid w:val="6A3966A5"/>
    <w:rsid w:val="6A3972DA"/>
    <w:rsid w:val="6A3A26E2"/>
    <w:rsid w:val="6A3A2708"/>
    <w:rsid w:val="6A3A44B6"/>
    <w:rsid w:val="6A3A4E35"/>
    <w:rsid w:val="6A3B41FB"/>
    <w:rsid w:val="6A3C022E"/>
    <w:rsid w:val="6A3C0A8D"/>
    <w:rsid w:val="6A3C1FDC"/>
    <w:rsid w:val="6A3C2E57"/>
    <w:rsid w:val="6A3C53AF"/>
    <w:rsid w:val="6A3C6480"/>
    <w:rsid w:val="6A3D1075"/>
    <w:rsid w:val="6A3D3FA6"/>
    <w:rsid w:val="6A3D3FF2"/>
    <w:rsid w:val="6A3E07FC"/>
    <w:rsid w:val="6A3E43C2"/>
    <w:rsid w:val="6A3E4DB6"/>
    <w:rsid w:val="6A3E4FB1"/>
    <w:rsid w:val="6A3E764D"/>
    <w:rsid w:val="6A3F1ACC"/>
    <w:rsid w:val="6A3F387A"/>
    <w:rsid w:val="6A3F5AD8"/>
    <w:rsid w:val="6A401DA9"/>
    <w:rsid w:val="6A41057D"/>
    <w:rsid w:val="6A4175F2"/>
    <w:rsid w:val="6A4214B7"/>
    <w:rsid w:val="6A425119"/>
    <w:rsid w:val="6A431A4D"/>
    <w:rsid w:val="6A440E91"/>
    <w:rsid w:val="6A4466A8"/>
    <w:rsid w:val="6A447EA4"/>
    <w:rsid w:val="6A45766A"/>
    <w:rsid w:val="6A4610AD"/>
    <w:rsid w:val="6A462E5B"/>
    <w:rsid w:val="6A463F09"/>
    <w:rsid w:val="6A464C09"/>
    <w:rsid w:val="6A470644"/>
    <w:rsid w:val="6A475782"/>
    <w:rsid w:val="6A48041E"/>
    <w:rsid w:val="6A481A1F"/>
    <w:rsid w:val="6A484E25"/>
    <w:rsid w:val="6A486BD3"/>
    <w:rsid w:val="6A49294B"/>
    <w:rsid w:val="6A492E4F"/>
    <w:rsid w:val="6A4A2287"/>
    <w:rsid w:val="6A4A51C0"/>
    <w:rsid w:val="6A4A7B76"/>
    <w:rsid w:val="6A4B0471"/>
    <w:rsid w:val="6A4B11E7"/>
    <w:rsid w:val="6A4B50B0"/>
    <w:rsid w:val="6A4B66C3"/>
    <w:rsid w:val="6A4C1496"/>
    <w:rsid w:val="6A4C5F97"/>
    <w:rsid w:val="6A4D243B"/>
    <w:rsid w:val="6A4D2DE0"/>
    <w:rsid w:val="6A4D41E9"/>
    <w:rsid w:val="6A4E1D0F"/>
    <w:rsid w:val="6A4E24FF"/>
    <w:rsid w:val="6A4E3ABD"/>
    <w:rsid w:val="6A4E61B3"/>
    <w:rsid w:val="6A4E7F61"/>
    <w:rsid w:val="6A4F2E18"/>
    <w:rsid w:val="6A4F4501"/>
    <w:rsid w:val="6A4F50D4"/>
    <w:rsid w:val="6A503CA1"/>
    <w:rsid w:val="6A503CD9"/>
    <w:rsid w:val="6A50644F"/>
    <w:rsid w:val="6A50799A"/>
    <w:rsid w:val="6A513120"/>
    <w:rsid w:val="6A5135AE"/>
    <w:rsid w:val="6A52042B"/>
    <w:rsid w:val="6A520EC7"/>
    <w:rsid w:val="6A521800"/>
    <w:rsid w:val="6A522394"/>
    <w:rsid w:val="6A5266CD"/>
    <w:rsid w:val="6A526DB6"/>
    <w:rsid w:val="6A527A52"/>
    <w:rsid w:val="6A535E58"/>
    <w:rsid w:val="6A541BD4"/>
    <w:rsid w:val="6A545D7A"/>
    <w:rsid w:val="6A54769C"/>
    <w:rsid w:val="6A552686"/>
    <w:rsid w:val="6A55309E"/>
    <w:rsid w:val="6A554E4C"/>
    <w:rsid w:val="6A56186A"/>
    <w:rsid w:val="6A562BD8"/>
    <w:rsid w:val="6A564E8E"/>
    <w:rsid w:val="6A567D36"/>
    <w:rsid w:val="6A572428"/>
    <w:rsid w:val="6A576E16"/>
    <w:rsid w:val="6A583E4F"/>
    <w:rsid w:val="6A597F8E"/>
    <w:rsid w:val="6A5A06B4"/>
    <w:rsid w:val="6A5A28A8"/>
    <w:rsid w:val="6A5A3A5A"/>
    <w:rsid w:val="6A5A5055"/>
    <w:rsid w:val="6A5A7A77"/>
    <w:rsid w:val="6A5B1036"/>
    <w:rsid w:val="6A5B754F"/>
    <w:rsid w:val="6A5B7870"/>
    <w:rsid w:val="6A5C1A6F"/>
    <w:rsid w:val="6A5C32BD"/>
    <w:rsid w:val="6A5C344C"/>
    <w:rsid w:val="6A5C61DA"/>
    <w:rsid w:val="6A5D30E4"/>
    <w:rsid w:val="6A5D63E6"/>
    <w:rsid w:val="6A5E2065"/>
    <w:rsid w:val="6A5E36DA"/>
    <w:rsid w:val="6A5E63F6"/>
    <w:rsid w:val="6A5F216E"/>
    <w:rsid w:val="6A5F32A1"/>
    <w:rsid w:val="6A5F3F1C"/>
    <w:rsid w:val="6A5F496F"/>
    <w:rsid w:val="6A5F5E7F"/>
    <w:rsid w:val="6A601658"/>
    <w:rsid w:val="6A606EBB"/>
    <w:rsid w:val="6A611A43"/>
    <w:rsid w:val="6A6136E2"/>
    <w:rsid w:val="6A6147E6"/>
    <w:rsid w:val="6A617C95"/>
    <w:rsid w:val="6A620A2B"/>
    <w:rsid w:val="6A621FA1"/>
    <w:rsid w:val="6A622DBE"/>
    <w:rsid w:val="6A6248C6"/>
    <w:rsid w:val="6A624B72"/>
    <w:rsid w:val="6A62558C"/>
    <w:rsid w:val="6A626EAF"/>
    <w:rsid w:val="6A63120A"/>
    <w:rsid w:val="6A63265B"/>
    <w:rsid w:val="6A63378A"/>
    <w:rsid w:val="6A634465"/>
    <w:rsid w:val="6A6432E1"/>
    <w:rsid w:val="6A644177"/>
    <w:rsid w:val="6A6634FD"/>
    <w:rsid w:val="6A6668CE"/>
    <w:rsid w:val="6A674B7F"/>
    <w:rsid w:val="6A675E13"/>
    <w:rsid w:val="6A68198A"/>
    <w:rsid w:val="6A687C5F"/>
    <w:rsid w:val="6A691E74"/>
    <w:rsid w:val="6A6B139E"/>
    <w:rsid w:val="6A6C0441"/>
    <w:rsid w:val="6A6D488B"/>
    <w:rsid w:val="6A6D70B4"/>
    <w:rsid w:val="6A6E1D88"/>
    <w:rsid w:val="6A6E23B2"/>
    <w:rsid w:val="6A6E4ABD"/>
    <w:rsid w:val="6A6E5F0E"/>
    <w:rsid w:val="6A6F5CE6"/>
    <w:rsid w:val="6A705D27"/>
    <w:rsid w:val="6A705DB1"/>
    <w:rsid w:val="6A717B99"/>
    <w:rsid w:val="6A721113"/>
    <w:rsid w:val="6A7221C4"/>
    <w:rsid w:val="6A7279F8"/>
    <w:rsid w:val="6A735AF7"/>
    <w:rsid w:val="6A743FF8"/>
    <w:rsid w:val="6A747D2D"/>
    <w:rsid w:val="6A753740"/>
    <w:rsid w:val="6A755CB7"/>
    <w:rsid w:val="6A755E19"/>
    <w:rsid w:val="6A766E8E"/>
    <w:rsid w:val="6A771266"/>
    <w:rsid w:val="6A771A0E"/>
    <w:rsid w:val="6A773014"/>
    <w:rsid w:val="6A775327"/>
    <w:rsid w:val="6A77650A"/>
    <w:rsid w:val="6A786D8C"/>
    <w:rsid w:val="6A7906FC"/>
    <w:rsid w:val="6A7A0D56"/>
    <w:rsid w:val="6A7A16B8"/>
    <w:rsid w:val="6A7A3159"/>
    <w:rsid w:val="6A7A48B2"/>
    <w:rsid w:val="6A7B2288"/>
    <w:rsid w:val="6A7B27B2"/>
    <w:rsid w:val="6A7B2EC1"/>
    <w:rsid w:val="6A7C02EA"/>
    <w:rsid w:val="6A7C062B"/>
    <w:rsid w:val="6A7C0F59"/>
    <w:rsid w:val="6A7C1F1D"/>
    <w:rsid w:val="6A7C5719"/>
    <w:rsid w:val="6A7D0039"/>
    <w:rsid w:val="6A7D43A3"/>
    <w:rsid w:val="6A7D7D49"/>
    <w:rsid w:val="6A7E0847"/>
    <w:rsid w:val="6A7E1754"/>
    <w:rsid w:val="6A7E25F5"/>
    <w:rsid w:val="6A7E3AD1"/>
    <w:rsid w:val="6A7F011B"/>
    <w:rsid w:val="6A7F39FD"/>
    <w:rsid w:val="6A7F45BF"/>
    <w:rsid w:val="6A7F5402"/>
    <w:rsid w:val="6A7F690E"/>
    <w:rsid w:val="6A8000FB"/>
    <w:rsid w:val="6A80763F"/>
    <w:rsid w:val="6A8120E5"/>
    <w:rsid w:val="6A81306D"/>
    <w:rsid w:val="6A813238"/>
    <w:rsid w:val="6A813E93"/>
    <w:rsid w:val="6A81579B"/>
    <w:rsid w:val="6A8169BA"/>
    <w:rsid w:val="6A831DF7"/>
    <w:rsid w:val="6A835E5D"/>
    <w:rsid w:val="6A841BD5"/>
    <w:rsid w:val="6A841F2A"/>
    <w:rsid w:val="6A843983"/>
    <w:rsid w:val="6A844D2F"/>
    <w:rsid w:val="6A845922"/>
    <w:rsid w:val="6A86594D"/>
    <w:rsid w:val="6A867028"/>
    <w:rsid w:val="6A8674D8"/>
    <w:rsid w:val="6A877182"/>
    <w:rsid w:val="6A8919B9"/>
    <w:rsid w:val="6A892D47"/>
    <w:rsid w:val="6A8966AD"/>
    <w:rsid w:val="6A8A11AD"/>
    <w:rsid w:val="6A8B2F63"/>
    <w:rsid w:val="6A8B4D12"/>
    <w:rsid w:val="6A8B6AC0"/>
    <w:rsid w:val="6A8C22CC"/>
    <w:rsid w:val="6A8D43C4"/>
    <w:rsid w:val="6A8D45BC"/>
    <w:rsid w:val="6A8D6CDC"/>
    <w:rsid w:val="6A8D7B2E"/>
    <w:rsid w:val="6A8E035E"/>
    <w:rsid w:val="6A8E0838"/>
    <w:rsid w:val="6A8F3D38"/>
    <w:rsid w:val="6A8F4052"/>
    <w:rsid w:val="6A8F4802"/>
    <w:rsid w:val="6A9040D6"/>
    <w:rsid w:val="6A906F5C"/>
    <w:rsid w:val="6A9164AF"/>
    <w:rsid w:val="6A922510"/>
    <w:rsid w:val="6A9260A0"/>
    <w:rsid w:val="6A926B52"/>
    <w:rsid w:val="6A933BC6"/>
    <w:rsid w:val="6A933E37"/>
    <w:rsid w:val="6A935974"/>
    <w:rsid w:val="6A937455"/>
    <w:rsid w:val="6A94006A"/>
    <w:rsid w:val="6A941E18"/>
    <w:rsid w:val="6A943CB2"/>
    <w:rsid w:val="6A945A47"/>
    <w:rsid w:val="6A950A69"/>
    <w:rsid w:val="6A9516EC"/>
    <w:rsid w:val="6A955B90"/>
    <w:rsid w:val="6A965845"/>
    <w:rsid w:val="6A970CFF"/>
    <w:rsid w:val="6A971C86"/>
    <w:rsid w:val="6A972D26"/>
    <w:rsid w:val="6A9736B6"/>
    <w:rsid w:val="6A982E7E"/>
    <w:rsid w:val="6A990397"/>
    <w:rsid w:val="6A993775"/>
    <w:rsid w:val="6A996E4C"/>
    <w:rsid w:val="6A997170"/>
    <w:rsid w:val="6A9A66D9"/>
    <w:rsid w:val="6A9A6D03"/>
    <w:rsid w:val="6A9B3E40"/>
    <w:rsid w:val="6A9B5E91"/>
    <w:rsid w:val="6A9B5FB2"/>
    <w:rsid w:val="6A9C0CCD"/>
    <w:rsid w:val="6A9C1536"/>
    <w:rsid w:val="6A9C3834"/>
    <w:rsid w:val="6A9C69B3"/>
    <w:rsid w:val="6A9C69D0"/>
    <w:rsid w:val="6A9D599D"/>
    <w:rsid w:val="6A9E5F44"/>
    <w:rsid w:val="6A9E67F3"/>
    <w:rsid w:val="6A9F256B"/>
    <w:rsid w:val="6A9F3684"/>
    <w:rsid w:val="6AA01BDD"/>
    <w:rsid w:val="6AA05CF3"/>
    <w:rsid w:val="6AA06083"/>
    <w:rsid w:val="6AA061BF"/>
    <w:rsid w:val="6AA162E3"/>
    <w:rsid w:val="6AA26947"/>
    <w:rsid w:val="6AA27B73"/>
    <w:rsid w:val="6AA3205B"/>
    <w:rsid w:val="6AA33E09"/>
    <w:rsid w:val="6AA40425"/>
    <w:rsid w:val="6AA45DD3"/>
    <w:rsid w:val="6AA47874"/>
    <w:rsid w:val="6AA47B81"/>
    <w:rsid w:val="6AA55194"/>
    <w:rsid w:val="6AA55B3D"/>
    <w:rsid w:val="6AA574F6"/>
    <w:rsid w:val="6AA60986"/>
    <w:rsid w:val="6AA61B4B"/>
    <w:rsid w:val="6AA74E69"/>
    <w:rsid w:val="6AA7617C"/>
    <w:rsid w:val="6AA84736"/>
    <w:rsid w:val="6AA90413"/>
    <w:rsid w:val="6AA909B4"/>
    <w:rsid w:val="6AA95198"/>
    <w:rsid w:val="6AA96B97"/>
    <w:rsid w:val="6AAA0797"/>
    <w:rsid w:val="6AAA07D3"/>
    <w:rsid w:val="6AAB1C27"/>
    <w:rsid w:val="6AAB7091"/>
    <w:rsid w:val="6AAB7162"/>
    <w:rsid w:val="6AAC30B7"/>
    <w:rsid w:val="6AAC5675"/>
    <w:rsid w:val="6AAD0FDC"/>
    <w:rsid w:val="6AAD4C88"/>
    <w:rsid w:val="6AAF0A00"/>
    <w:rsid w:val="6AAF6C52"/>
    <w:rsid w:val="6AB01A4C"/>
    <w:rsid w:val="6AB029CA"/>
    <w:rsid w:val="6AB0766B"/>
    <w:rsid w:val="6AB15A99"/>
    <w:rsid w:val="6AB16F29"/>
    <w:rsid w:val="6AB21489"/>
    <w:rsid w:val="6AB24E01"/>
    <w:rsid w:val="6AB26742"/>
    <w:rsid w:val="6AB3141C"/>
    <w:rsid w:val="6AB31B13"/>
    <w:rsid w:val="6AB31B41"/>
    <w:rsid w:val="6AB37DC4"/>
    <w:rsid w:val="6AB46016"/>
    <w:rsid w:val="6AB52CF2"/>
    <w:rsid w:val="6AB53B3C"/>
    <w:rsid w:val="6AB55830"/>
    <w:rsid w:val="6AB60C9F"/>
    <w:rsid w:val="6AB63CAE"/>
    <w:rsid w:val="6AB7328F"/>
    <w:rsid w:val="6AB7447F"/>
    <w:rsid w:val="6AB75B07"/>
    <w:rsid w:val="6AB774A4"/>
    <w:rsid w:val="6AB778B5"/>
    <w:rsid w:val="6AB83120"/>
    <w:rsid w:val="6AB8422B"/>
    <w:rsid w:val="6AB87CD8"/>
    <w:rsid w:val="6AB91C7E"/>
    <w:rsid w:val="6AB92593"/>
    <w:rsid w:val="6AB9362D"/>
    <w:rsid w:val="6ABA1153"/>
    <w:rsid w:val="6ABA55F7"/>
    <w:rsid w:val="6ABA5F21"/>
    <w:rsid w:val="6ABA631B"/>
    <w:rsid w:val="6ABA73A5"/>
    <w:rsid w:val="6ABB3600"/>
    <w:rsid w:val="6ABC1CE1"/>
    <w:rsid w:val="6ABC311D"/>
    <w:rsid w:val="6ABC4ECB"/>
    <w:rsid w:val="6ABD0B09"/>
    <w:rsid w:val="6ABD54CC"/>
    <w:rsid w:val="6ABD6C0D"/>
    <w:rsid w:val="6ABD7D4C"/>
    <w:rsid w:val="6ABD7EB9"/>
    <w:rsid w:val="6ABE50E7"/>
    <w:rsid w:val="6ABF2841"/>
    <w:rsid w:val="6ABF3C53"/>
    <w:rsid w:val="6ABF3F4A"/>
    <w:rsid w:val="6ABF454A"/>
    <w:rsid w:val="6ABF49BB"/>
    <w:rsid w:val="6AC00E5F"/>
    <w:rsid w:val="6AC02C0D"/>
    <w:rsid w:val="6AC05966"/>
    <w:rsid w:val="6AC102FC"/>
    <w:rsid w:val="6AC10733"/>
    <w:rsid w:val="6AC16985"/>
    <w:rsid w:val="6AC202F6"/>
    <w:rsid w:val="6AC26D14"/>
    <w:rsid w:val="6AC332CC"/>
    <w:rsid w:val="6AC40314"/>
    <w:rsid w:val="6AC41411"/>
    <w:rsid w:val="6AC4570C"/>
    <w:rsid w:val="6AC50223"/>
    <w:rsid w:val="6AC51803"/>
    <w:rsid w:val="6AC5597F"/>
    <w:rsid w:val="6AC560D4"/>
    <w:rsid w:val="6AC56475"/>
    <w:rsid w:val="6AC56CDD"/>
    <w:rsid w:val="6AC63A0A"/>
    <w:rsid w:val="6AC647BD"/>
    <w:rsid w:val="6AC65D4A"/>
    <w:rsid w:val="6AC67868"/>
    <w:rsid w:val="6AC83870"/>
    <w:rsid w:val="6AC83D20"/>
    <w:rsid w:val="6AC84883"/>
    <w:rsid w:val="6AC87D14"/>
    <w:rsid w:val="6AC90F58"/>
    <w:rsid w:val="6AC92AB8"/>
    <w:rsid w:val="6AC975E8"/>
    <w:rsid w:val="6ACA583A"/>
    <w:rsid w:val="6ACB2C12"/>
    <w:rsid w:val="6ACB393E"/>
    <w:rsid w:val="6ACB7804"/>
    <w:rsid w:val="6ACC2F49"/>
    <w:rsid w:val="6ACC7244"/>
    <w:rsid w:val="6ACD0E86"/>
    <w:rsid w:val="6ACD435A"/>
    <w:rsid w:val="6ACD6899"/>
    <w:rsid w:val="6ACD6944"/>
    <w:rsid w:val="6ACE0490"/>
    <w:rsid w:val="6ACE04CB"/>
    <w:rsid w:val="6ACE2DA2"/>
    <w:rsid w:val="6ACE49D7"/>
    <w:rsid w:val="6ACE4A5B"/>
    <w:rsid w:val="6ACE5C60"/>
    <w:rsid w:val="6ACF1022"/>
    <w:rsid w:val="6ACF6B4A"/>
    <w:rsid w:val="6AD05313"/>
    <w:rsid w:val="6AD0659B"/>
    <w:rsid w:val="6AD14A77"/>
    <w:rsid w:val="6AD14E1A"/>
    <w:rsid w:val="6AD205CF"/>
    <w:rsid w:val="6AD2649C"/>
    <w:rsid w:val="6AD30E30"/>
    <w:rsid w:val="6AD42215"/>
    <w:rsid w:val="6AD43739"/>
    <w:rsid w:val="6AD466B8"/>
    <w:rsid w:val="6AD4679F"/>
    <w:rsid w:val="6AD53753"/>
    <w:rsid w:val="6AD55B21"/>
    <w:rsid w:val="6AD55F8D"/>
    <w:rsid w:val="6AD66324"/>
    <w:rsid w:val="6AD66476"/>
    <w:rsid w:val="6AD70D9D"/>
    <w:rsid w:val="6AD7107C"/>
    <w:rsid w:val="6AD77F57"/>
    <w:rsid w:val="6AD81937"/>
    <w:rsid w:val="6AD85A35"/>
    <w:rsid w:val="6AD93563"/>
    <w:rsid w:val="6AD959DC"/>
    <w:rsid w:val="6AD95A7D"/>
    <w:rsid w:val="6ADA30F4"/>
    <w:rsid w:val="6ADB2AD2"/>
    <w:rsid w:val="6ADB7A47"/>
    <w:rsid w:val="6ADC0A54"/>
    <w:rsid w:val="6ADC556D"/>
    <w:rsid w:val="6ADC731B"/>
    <w:rsid w:val="6ADC780A"/>
    <w:rsid w:val="6ADD1791"/>
    <w:rsid w:val="6ADD1EE4"/>
    <w:rsid w:val="6ADD20E7"/>
    <w:rsid w:val="6ADE3093"/>
    <w:rsid w:val="6ADE7537"/>
    <w:rsid w:val="6ADF0BB9"/>
    <w:rsid w:val="6ADF6666"/>
    <w:rsid w:val="6ADF6E0B"/>
    <w:rsid w:val="6AE01FA6"/>
    <w:rsid w:val="6AE0505D"/>
    <w:rsid w:val="6AE05804"/>
    <w:rsid w:val="6AE10DD5"/>
    <w:rsid w:val="6AE12B83"/>
    <w:rsid w:val="6AE14931"/>
    <w:rsid w:val="6AE213F9"/>
    <w:rsid w:val="6AE248C6"/>
    <w:rsid w:val="6AE306AA"/>
    <w:rsid w:val="6AE331C0"/>
    <w:rsid w:val="6AE34B4E"/>
    <w:rsid w:val="6AE400AD"/>
    <w:rsid w:val="6AE406E4"/>
    <w:rsid w:val="6AE461D0"/>
    <w:rsid w:val="6AE47C00"/>
    <w:rsid w:val="6AE508C6"/>
    <w:rsid w:val="6AE52674"/>
    <w:rsid w:val="6AE53247"/>
    <w:rsid w:val="6AE6019A"/>
    <w:rsid w:val="6AE60B21"/>
    <w:rsid w:val="6AE61F48"/>
    <w:rsid w:val="6AE622CD"/>
    <w:rsid w:val="6AE627D2"/>
    <w:rsid w:val="6AE70CCA"/>
    <w:rsid w:val="6AE715DB"/>
    <w:rsid w:val="6AE72A0E"/>
    <w:rsid w:val="6AE74312"/>
    <w:rsid w:val="6AE832A7"/>
    <w:rsid w:val="6AE83309"/>
    <w:rsid w:val="6AE83F12"/>
    <w:rsid w:val="6AE85CC0"/>
    <w:rsid w:val="6AEA44E8"/>
    <w:rsid w:val="6AEB2500"/>
    <w:rsid w:val="6AEB5A2B"/>
    <w:rsid w:val="6AEC2279"/>
    <w:rsid w:val="6AEC6ED0"/>
    <w:rsid w:val="6AED1528"/>
    <w:rsid w:val="6AED232B"/>
    <w:rsid w:val="6AED64C8"/>
    <w:rsid w:val="6AED777A"/>
    <w:rsid w:val="6AEF34F2"/>
    <w:rsid w:val="6AEF52A0"/>
    <w:rsid w:val="6AEF704E"/>
    <w:rsid w:val="6AF02DC7"/>
    <w:rsid w:val="6AF06853"/>
    <w:rsid w:val="6AF17293"/>
    <w:rsid w:val="6AF2205D"/>
    <w:rsid w:val="6AF23A29"/>
    <w:rsid w:val="6AF36542"/>
    <w:rsid w:val="6AF36CDB"/>
    <w:rsid w:val="6AF428B7"/>
    <w:rsid w:val="6AF51241"/>
    <w:rsid w:val="6AF51A17"/>
    <w:rsid w:val="6AF52D3C"/>
    <w:rsid w:val="6AF54154"/>
    <w:rsid w:val="6AF56BA1"/>
    <w:rsid w:val="6AF605F3"/>
    <w:rsid w:val="6AF60ABC"/>
    <w:rsid w:val="6AF61F9E"/>
    <w:rsid w:val="6AF64881"/>
    <w:rsid w:val="6AF64A64"/>
    <w:rsid w:val="6AF652C2"/>
    <w:rsid w:val="6AF705F9"/>
    <w:rsid w:val="6AF748A0"/>
    <w:rsid w:val="6AF74E11"/>
    <w:rsid w:val="6AF75108"/>
    <w:rsid w:val="6AF75DB5"/>
    <w:rsid w:val="6AF77B29"/>
    <w:rsid w:val="6AF85ADD"/>
    <w:rsid w:val="6AF87AD5"/>
    <w:rsid w:val="6AF87E20"/>
    <w:rsid w:val="6AF9059F"/>
    <w:rsid w:val="6AF9611F"/>
    <w:rsid w:val="6AF97ECD"/>
    <w:rsid w:val="6AFA04F5"/>
    <w:rsid w:val="6AFA59F3"/>
    <w:rsid w:val="6AFA7EFE"/>
    <w:rsid w:val="6AFB3C45"/>
    <w:rsid w:val="6AFB6D02"/>
    <w:rsid w:val="6AFC1318"/>
    <w:rsid w:val="6AFC176B"/>
    <w:rsid w:val="6AFC436F"/>
    <w:rsid w:val="6AFC5C0F"/>
    <w:rsid w:val="6AFC79BD"/>
    <w:rsid w:val="6AFD2686"/>
    <w:rsid w:val="6AFD3700"/>
    <w:rsid w:val="6AFD5B48"/>
    <w:rsid w:val="6AFD7E4E"/>
    <w:rsid w:val="6AFE1987"/>
    <w:rsid w:val="6AFE4962"/>
    <w:rsid w:val="6AFE54E3"/>
    <w:rsid w:val="6AFF300A"/>
    <w:rsid w:val="6AFF78BC"/>
    <w:rsid w:val="6B003A54"/>
    <w:rsid w:val="6B0074AE"/>
    <w:rsid w:val="6B01007F"/>
    <w:rsid w:val="6B013226"/>
    <w:rsid w:val="6B014FD4"/>
    <w:rsid w:val="6B025F15"/>
    <w:rsid w:val="6B032AFA"/>
    <w:rsid w:val="6B03572E"/>
    <w:rsid w:val="6B0413A1"/>
    <w:rsid w:val="6B050FE6"/>
    <w:rsid w:val="6B0511BA"/>
    <w:rsid w:val="6B0807D1"/>
    <w:rsid w:val="6B0810A2"/>
    <w:rsid w:val="6B082D98"/>
    <w:rsid w:val="6B08365E"/>
    <w:rsid w:val="6B0845B4"/>
    <w:rsid w:val="6B092642"/>
    <w:rsid w:val="6B093645"/>
    <w:rsid w:val="6B096AEE"/>
    <w:rsid w:val="6B097561"/>
    <w:rsid w:val="6B0A0941"/>
    <w:rsid w:val="6B0A20DA"/>
    <w:rsid w:val="6B0A3E88"/>
    <w:rsid w:val="6B0A5308"/>
    <w:rsid w:val="6B0A6824"/>
    <w:rsid w:val="6B0B4F62"/>
    <w:rsid w:val="6B0C16AE"/>
    <w:rsid w:val="6B0C22D6"/>
    <w:rsid w:val="6B0C7390"/>
    <w:rsid w:val="6B0D00D7"/>
    <w:rsid w:val="6B0D1BCA"/>
    <w:rsid w:val="6B0E7E3A"/>
    <w:rsid w:val="6B0F149F"/>
    <w:rsid w:val="6B0F45E5"/>
    <w:rsid w:val="6B0F5943"/>
    <w:rsid w:val="6B0F6861"/>
    <w:rsid w:val="6B0F76F1"/>
    <w:rsid w:val="6B1116BB"/>
    <w:rsid w:val="6B111BB8"/>
    <w:rsid w:val="6B111D6B"/>
    <w:rsid w:val="6B1342D7"/>
    <w:rsid w:val="6B1362C5"/>
    <w:rsid w:val="6B136E3A"/>
    <w:rsid w:val="6B144D07"/>
    <w:rsid w:val="6B1559CE"/>
    <w:rsid w:val="6B160A7F"/>
    <w:rsid w:val="6B166CD1"/>
    <w:rsid w:val="6B167C5E"/>
    <w:rsid w:val="6B170353"/>
    <w:rsid w:val="6B1765A5"/>
    <w:rsid w:val="6B18174A"/>
    <w:rsid w:val="6B1828E5"/>
    <w:rsid w:val="6B182A49"/>
    <w:rsid w:val="6B1857E1"/>
    <w:rsid w:val="6B19056F"/>
    <w:rsid w:val="6B1909F6"/>
    <w:rsid w:val="6B1940CB"/>
    <w:rsid w:val="6B195253"/>
    <w:rsid w:val="6B197DD7"/>
    <w:rsid w:val="6B1A09C3"/>
    <w:rsid w:val="6B1A3D1C"/>
    <w:rsid w:val="6B1A6EEE"/>
    <w:rsid w:val="6B1B42E7"/>
    <w:rsid w:val="6B1C2930"/>
    <w:rsid w:val="6B1C3BBC"/>
    <w:rsid w:val="6B1D005F"/>
    <w:rsid w:val="6B1D1948"/>
    <w:rsid w:val="6B1E16E2"/>
    <w:rsid w:val="6B1E4A23"/>
    <w:rsid w:val="6B1E7934"/>
    <w:rsid w:val="6B1E7954"/>
    <w:rsid w:val="6B1F1182"/>
    <w:rsid w:val="6B1F4423"/>
    <w:rsid w:val="6B1F62A6"/>
    <w:rsid w:val="6B2018FE"/>
    <w:rsid w:val="6B2036AC"/>
    <w:rsid w:val="6B20545A"/>
    <w:rsid w:val="6B2057BE"/>
    <w:rsid w:val="6B207439"/>
    <w:rsid w:val="6B2103CE"/>
    <w:rsid w:val="6B2105B6"/>
    <w:rsid w:val="6B21130D"/>
    <w:rsid w:val="6B221653"/>
    <w:rsid w:val="6B225676"/>
    <w:rsid w:val="6B2313EE"/>
    <w:rsid w:val="6B23319C"/>
    <w:rsid w:val="6B233C07"/>
    <w:rsid w:val="6B234F4A"/>
    <w:rsid w:val="6B235E81"/>
    <w:rsid w:val="6B2367ED"/>
    <w:rsid w:val="6B2445BD"/>
    <w:rsid w:val="6B2461B9"/>
    <w:rsid w:val="6B24724A"/>
    <w:rsid w:val="6B252A70"/>
    <w:rsid w:val="6B255CF4"/>
    <w:rsid w:val="6B256F14"/>
    <w:rsid w:val="6B262122"/>
    <w:rsid w:val="6B26274F"/>
    <w:rsid w:val="6B264A3A"/>
    <w:rsid w:val="6B26675D"/>
    <w:rsid w:val="6B2667E8"/>
    <w:rsid w:val="6B274718"/>
    <w:rsid w:val="6B2766F9"/>
    <w:rsid w:val="6B280C58"/>
    <w:rsid w:val="6B282560"/>
    <w:rsid w:val="6B285A80"/>
    <w:rsid w:val="6B291C2C"/>
    <w:rsid w:val="6B296FCD"/>
    <w:rsid w:val="6B2A1688"/>
    <w:rsid w:val="6B2A277C"/>
    <w:rsid w:val="6B2B2F81"/>
    <w:rsid w:val="6B2B52BE"/>
    <w:rsid w:val="6B2C02A3"/>
    <w:rsid w:val="6B2C186D"/>
    <w:rsid w:val="6B2C2051"/>
    <w:rsid w:val="6B2C7FC2"/>
    <w:rsid w:val="6B2D401B"/>
    <w:rsid w:val="6B2D7B77"/>
    <w:rsid w:val="6B2E02FC"/>
    <w:rsid w:val="6B2E2EE7"/>
    <w:rsid w:val="6B2E422E"/>
    <w:rsid w:val="6B2F1AE8"/>
    <w:rsid w:val="6B2F1B41"/>
    <w:rsid w:val="6B2F38EF"/>
    <w:rsid w:val="6B2F7D93"/>
    <w:rsid w:val="6B305A5E"/>
    <w:rsid w:val="6B314CFF"/>
    <w:rsid w:val="6B321631"/>
    <w:rsid w:val="6B322639"/>
    <w:rsid w:val="6B3233DF"/>
    <w:rsid w:val="6B32518D"/>
    <w:rsid w:val="6B3258C0"/>
    <w:rsid w:val="6B325B96"/>
    <w:rsid w:val="6B3269F9"/>
    <w:rsid w:val="6B336B63"/>
    <w:rsid w:val="6B33736F"/>
    <w:rsid w:val="6B340F05"/>
    <w:rsid w:val="6B347157"/>
    <w:rsid w:val="6B361121"/>
    <w:rsid w:val="6B364C16"/>
    <w:rsid w:val="6B364E48"/>
    <w:rsid w:val="6B3657B6"/>
    <w:rsid w:val="6B3709F5"/>
    <w:rsid w:val="6B371A74"/>
    <w:rsid w:val="6B3727A3"/>
    <w:rsid w:val="6B3761AE"/>
    <w:rsid w:val="6B377E40"/>
    <w:rsid w:val="6B384912"/>
    <w:rsid w:val="6B39476E"/>
    <w:rsid w:val="6B3A3561"/>
    <w:rsid w:val="6B3A5910"/>
    <w:rsid w:val="6B3A5B2C"/>
    <w:rsid w:val="6B3B0F8E"/>
    <w:rsid w:val="6B3B2294"/>
    <w:rsid w:val="6B3B6DF2"/>
    <w:rsid w:val="6B3B7583"/>
    <w:rsid w:val="6B3C55A5"/>
    <w:rsid w:val="6B3C600C"/>
    <w:rsid w:val="6B3D4627"/>
    <w:rsid w:val="6B3D4ECA"/>
    <w:rsid w:val="6B3D6961"/>
    <w:rsid w:val="6B3E1D84"/>
    <w:rsid w:val="6B403D4E"/>
    <w:rsid w:val="6B4045F8"/>
    <w:rsid w:val="6B405AFC"/>
    <w:rsid w:val="6B4078AA"/>
    <w:rsid w:val="6B416772"/>
    <w:rsid w:val="6B421874"/>
    <w:rsid w:val="6B4227D3"/>
    <w:rsid w:val="6B42498D"/>
    <w:rsid w:val="6B43383E"/>
    <w:rsid w:val="6B4353A2"/>
    <w:rsid w:val="6B43739A"/>
    <w:rsid w:val="6B44338A"/>
    <w:rsid w:val="6B453112"/>
    <w:rsid w:val="6B454EC0"/>
    <w:rsid w:val="6B457CC4"/>
    <w:rsid w:val="6B460C38"/>
    <w:rsid w:val="6B4626FB"/>
    <w:rsid w:val="6B470DA4"/>
    <w:rsid w:val="6B4720F8"/>
    <w:rsid w:val="6B4750DC"/>
    <w:rsid w:val="6B4751B5"/>
    <w:rsid w:val="6B4809DE"/>
    <w:rsid w:val="6B480E55"/>
    <w:rsid w:val="6B482C03"/>
    <w:rsid w:val="6B483298"/>
    <w:rsid w:val="6B4839C7"/>
    <w:rsid w:val="6B48612D"/>
    <w:rsid w:val="6B491303"/>
    <w:rsid w:val="6B492632"/>
    <w:rsid w:val="6B494F04"/>
    <w:rsid w:val="6B497AD5"/>
    <w:rsid w:val="6B4A0729"/>
    <w:rsid w:val="6B4A24D7"/>
    <w:rsid w:val="6B4A315B"/>
    <w:rsid w:val="6B4A697B"/>
    <w:rsid w:val="6B4A76BF"/>
    <w:rsid w:val="6B4A7B73"/>
    <w:rsid w:val="6B4B1734"/>
    <w:rsid w:val="6B4B32EE"/>
    <w:rsid w:val="6B4B3860"/>
    <w:rsid w:val="6B4C4AE6"/>
    <w:rsid w:val="6B4D6F5F"/>
    <w:rsid w:val="6B4E36FC"/>
    <w:rsid w:val="6B4E599A"/>
    <w:rsid w:val="6B4E646B"/>
    <w:rsid w:val="6B4F1B0C"/>
    <w:rsid w:val="6B4F3947"/>
    <w:rsid w:val="6B4F5D3F"/>
    <w:rsid w:val="6B502BDC"/>
    <w:rsid w:val="6B511AB7"/>
    <w:rsid w:val="6B511F55"/>
    <w:rsid w:val="6B513865"/>
    <w:rsid w:val="6B516F76"/>
    <w:rsid w:val="6B520696"/>
    <w:rsid w:val="6B520DC8"/>
    <w:rsid w:val="6B524A9D"/>
    <w:rsid w:val="6B525E77"/>
    <w:rsid w:val="6B546A3D"/>
    <w:rsid w:val="6B5519D8"/>
    <w:rsid w:val="6B553E5F"/>
    <w:rsid w:val="6B556EDB"/>
    <w:rsid w:val="6B5604E6"/>
    <w:rsid w:val="6B563571"/>
    <w:rsid w:val="6B56531F"/>
    <w:rsid w:val="6B5670CE"/>
    <w:rsid w:val="6B567508"/>
    <w:rsid w:val="6B572E46"/>
    <w:rsid w:val="6B57675A"/>
    <w:rsid w:val="6B593399"/>
    <w:rsid w:val="6B594E10"/>
    <w:rsid w:val="6B5A517F"/>
    <w:rsid w:val="6B5A6073"/>
    <w:rsid w:val="6B5A69BB"/>
    <w:rsid w:val="6B5B46E4"/>
    <w:rsid w:val="6B5C045C"/>
    <w:rsid w:val="6B5C7F60"/>
    <w:rsid w:val="6B5D480A"/>
    <w:rsid w:val="6B5D5C8E"/>
    <w:rsid w:val="6B5E3ABE"/>
    <w:rsid w:val="6B5E457E"/>
    <w:rsid w:val="6B5E5F82"/>
    <w:rsid w:val="6B5F58D6"/>
    <w:rsid w:val="6B601CFA"/>
    <w:rsid w:val="6B603C82"/>
    <w:rsid w:val="6B603EF6"/>
    <w:rsid w:val="6B60619E"/>
    <w:rsid w:val="6B607F4C"/>
    <w:rsid w:val="6B61461B"/>
    <w:rsid w:val="6B615CDD"/>
    <w:rsid w:val="6B6179F5"/>
    <w:rsid w:val="6B625A72"/>
    <w:rsid w:val="6B633598"/>
    <w:rsid w:val="6B635558"/>
    <w:rsid w:val="6B6372B8"/>
    <w:rsid w:val="6B637A3C"/>
    <w:rsid w:val="6B64734E"/>
    <w:rsid w:val="6B657311"/>
    <w:rsid w:val="6B664125"/>
    <w:rsid w:val="6B665591"/>
    <w:rsid w:val="6B6665AC"/>
    <w:rsid w:val="6B6712DB"/>
    <w:rsid w:val="6B67752D"/>
    <w:rsid w:val="6B680BAF"/>
    <w:rsid w:val="6B685053"/>
    <w:rsid w:val="6B686E01"/>
    <w:rsid w:val="6B6932A5"/>
    <w:rsid w:val="6B69379C"/>
    <w:rsid w:val="6B694BAA"/>
    <w:rsid w:val="6B6A0DCB"/>
    <w:rsid w:val="6B6A14C2"/>
    <w:rsid w:val="6B6A3698"/>
    <w:rsid w:val="6B6A4927"/>
    <w:rsid w:val="6B6A597B"/>
    <w:rsid w:val="6B6B19DF"/>
    <w:rsid w:val="6B6C069F"/>
    <w:rsid w:val="6B6C4B43"/>
    <w:rsid w:val="6B6C4F4A"/>
    <w:rsid w:val="6B6D6ED0"/>
    <w:rsid w:val="6B6E08BB"/>
    <w:rsid w:val="6B6E2B17"/>
    <w:rsid w:val="6B6E59C8"/>
    <w:rsid w:val="6B6F018F"/>
    <w:rsid w:val="6B6F5CB7"/>
    <w:rsid w:val="6B6F5ECF"/>
    <w:rsid w:val="6B6F7080"/>
    <w:rsid w:val="6B70193C"/>
    <w:rsid w:val="6B712CDD"/>
    <w:rsid w:val="6B7141D8"/>
    <w:rsid w:val="6B720495"/>
    <w:rsid w:val="6B721B93"/>
    <w:rsid w:val="6B725ABA"/>
    <w:rsid w:val="6B735ED1"/>
    <w:rsid w:val="6B737C7F"/>
    <w:rsid w:val="6B7400B4"/>
    <w:rsid w:val="6B742D1D"/>
    <w:rsid w:val="6B7457A6"/>
    <w:rsid w:val="6B751F2E"/>
    <w:rsid w:val="6B753BDB"/>
    <w:rsid w:val="6B760605"/>
    <w:rsid w:val="6B7632CC"/>
    <w:rsid w:val="6B7676D1"/>
    <w:rsid w:val="6B767770"/>
    <w:rsid w:val="6B7802BF"/>
    <w:rsid w:val="6B781F5A"/>
    <w:rsid w:val="6B785296"/>
    <w:rsid w:val="6B792DBC"/>
    <w:rsid w:val="6B795473"/>
    <w:rsid w:val="6B797B5A"/>
    <w:rsid w:val="6B7A0211"/>
    <w:rsid w:val="6B7A6903"/>
    <w:rsid w:val="6B7A7C00"/>
    <w:rsid w:val="6B7B2FD8"/>
    <w:rsid w:val="6B7B3FE4"/>
    <w:rsid w:val="6B7B6B34"/>
    <w:rsid w:val="6B7C1223"/>
    <w:rsid w:val="6B7C465A"/>
    <w:rsid w:val="6B7C5E04"/>
    <w:rsid w:val="6B7D28AC"/>
    <w:rsid w:val="6B7D5667"/>
    <w:rsid w:val="6B7E1240"/>
    <w:rsid w:val="6B7E47C2"/>
    <w:rsid w:val="6B7E4876"/>
    <w:rsid w:val="6B7F0757"/>
    <w:rsid w:val="6B7F53F3"/>
    <w:rsid w:val="6B8005EE"/>
    <w:rsid w:val="6B80239C"/>
    <w:rsid w:val="6B813C05"/>
    <w:rsid w:val="6B8167E2"/>
    <w:rsid w:val="6B8223F5"/>
    <w:rsid w:val="6B824366"/>
    <w:rsid w:val="6B826114"/>
    <w:rsid w:val="6B83544C"/>
    <w:rsid w:val="6B8373D5"/>
    <w:rsid w:val="6B837684"/>
    <w:rsid w:val="6B841E8D"/>
    <w:rsid w:val="6B844DD3"/>
    <w:rsid w:val="6B8465D3"/>
    <w:rsid w:val="6B851761"/>
    <w:rsid w:val="6B85370F"/>
    <w:rsid w:val="6B85430B"/>
    <w:rsid w:val="6B8579B3"/>
    <w:rsid w:val="6B87372B"/>
    <w:rsid w:val="6B8743E4"/>
    <w:rsid w:val="6B881251"/>
    <w:rsid w:val="6B882FFF"/>
    <w:rsid w:val="6B885584"/>
    <w:rsid w:val="6B890753"/>
    <w:rsid w:val="6B8952E8"/>
    <w:rsid w:val="6B8A321B"/>
    <w:rsid w:val="6B8A3AA0"/>
    <w:rsid w:val="6B8A4FC9"/>
    <w:rsid w:val="6B8A731B"/>
    <w:rsid w:val="6B8A7A27"/>
    <w:rsid w:val="6B8B2204"/>
    <w:rsid w:val="6B8B4168"/>
    <w:rsid w:val="6B8B57FF"/>
    <w:rsid w:val="6B8B5EDE"/>
    <w:rsid w:val="6B8B7888"/>
    <w:rsid w:val="6B8C0682"/>
    <w:rsid w:val="6B8C13F3"/>
    <w:rsid w:val="6B8C2459"/>
    <w:rsid w:val="6B8C6F93"/>
    <w:rsid w:val="6B8D163E"/>
    <w:rsid w:val="6B8D2105"/>
    <w:rsid w:val="6B8D2B9F"/>
    <w:rsid w:val="6B8E062E"/>
    <w:rsid w:val="6B8E197E"/>
    <w:rsid w:val="6B8E4092"/>
    <w:rsid w:val="6B8E4AB9"/>
    <w:rsid w:val="6B8E4D79"/>
    <w:rsid w:val="6B8F438D"/>
    <w:rsid w:val="6B907150"/>
    <w:rsid w:val="6B9071CF"/>
    <w:rsid w:val="6B910A34"/>
    <w:rsid w:val="6B9136FA"/>
    <w:rsid w:val="6B916358"/>
    <w:rsid w:val="6B91760B"/>
    <w:rsid w:val="6B9238D4"/>
    <w:rsid w:val="6B924142"/>
    <w:rsid w:val="6B930322"/>
    <w:rsid w:val="6B932D2D"/>
    <w:rsid w:val="6B9419A4"/>
    <w:rsid w:val="6B94426C"/>
    <w:rsid w:val="6B95159F"/>
    <w:rsid w:val="6B953DC6"/>
    <w:rsid w:val="6B954908"/>
    <w:rsid w:val="6B95630C"/>
    <w:rsid w:val="6B96396E"/>
    <w:rsid w:val="6B971800"/>
    <w:rsid w:val="6B971A09"/>
    <w:rsid w:val="6B9809FC"/>
    <w:rsid w:val="6B983AF6"/>
    <w:rsid w:val="6B985938"/>
    <w:rsid w:val="6B99580A"/>
    <w:rsid w:val="6B997FA7"/>
    <w:rsid w:val="6B9A16B0"/>
    <w:rsid w:val="6B9B2D32"/>
    <w:rsid w:val="6B9B4AEF"/>
    <w:rsid w:val="6B9B6FD6"/>
    <w:rsid w:val="6B9C5FAD"/>
    <w:rsid w:val="6B9D4CFC"/>
    <w:rsid w:val="6B9E0A74"/>
    <w:rsid w:val="6B9F1F40"/>
    <w:rsid w:val="6B9F6CC6"/>
    <w:rsid w:val="6BA0262E"/>
    <w:rsid w:val="6BA02A3F"/>
    <w:rsid w:val="6BA0659B"/>
    <w:rsid w:val="6BA065E0"/>
    <w:rsid w:val="6BA21028"/>
    <w:rsid w:val="6BA22313"/>
    <w:rsid w:val="6BA2545B"/>
    <w:rsid w:val="6BA4103D"/>
    <w:rsid w:val="6BA442DD"/>
    <w:rsid w:val="6BA50055"/>
    <w:rsid w:val="6BA510EB"/>
    <w:rsid w:val="6BA51E03"/>
    <w:rsid w:val="6BA53000"/>
    <w:rsid w:val="6BA53BB1"/>
    <w:rsid w:val="6BA77061"/>
    <w:rsid w:val="6BA81981"/>
    <w:rsid w:val="6BA81DC0"/>
    <w:rsid w:val="6BA845D7"/>
    <w:rsid w:val="6BA8732E"/>
    <w:rsid w:val="6BA936A1"/>
    <w:rsid w:val="6BA940E0"/>
    <w:rsid w:val="6BAA11C7"/>
    <w:rsid w:val="6BAA3939"/>
    <w:rsid w:val="6BAA432A"/>
    <w:rsid w:val="6BAA61FB"/>
    <w:rsid w:val="6BAB2EA7"/>
    <w:rsid w:val="6BAB54F4"/>
    <w:rsid w:val="6BAB709E"/>
    <w:rsid w:val="6BAC13E3"/>
    <w:rsid w:val="6BAC2C0B"/>
    <w:rsid w:val="6BAC311E"/>
    <w:rsid w:val="6BAC3191"/>
    <w:rsid w:val="6BAC5883"/>
    <w:rsid w:val="6BAD2A66"/>
    <w:rsid w:val="6BAD3913"/>
    <w:rsid w:val="6BAD758E"/>
    <w:rsid w:val="6BAD787D"/>
    <w:rsid w:val="6BAE0C7A"/>
    <w:rsid w:val="6BAE1A18"/>
    <w:rsid w:val="6BAE57F3"/>
    <w:rsid w:val="6BAE6F0A"/>
    <w:rsid w:val="6BAF0456"/>
    <w:rsid w:val="6BAF3B15"/>
    <w:rsid w:val="6BAF63A7"/>
    <w:rsid w:val="6BAF67DE"/>
    <w:rsid w:val="6BB12556"/>
    <w:rsid w:val="6BB169FA"/>
    <w:rsid w:val="6BB17C3D"/>
    <w:rsid w:val="6BB22A33"/>
    <w:rsid w:val="6BB24C52"/>
    <w:rsid w:val="6BB35A48"/>
    <w:rsid w:val="6BB362CE"/>
    <w:rsid w:val="6BB40298"/>
    <w:rsid w:val="6BB42046"/>
    <w:rsid w:val="6BB43DF4"/>
    <w:rsid w:val="6BB5094A"/>
    <w:rsid w:val="6BB64010"/>
    <w:rsid w:val="6BB64C7B"/>
    <w:rsid w:val="6BB67B6C"/>
    <w:rsid w:val="6BB75731"/>
    <w:rsid w:val="6BB77A32"/>
    <w:rsid w:val="6BB81B36"/>
    <w:rsid w:val="6BB838E4"/>
    <w:rsid w:val="6BB83F2C"/>
    <w:rsid w:val="6BB85477"/>
    <w:rsid w:val="6BB87D88"/>
    <w:rsid w:val="6BB9500C"/>
    <w:rsid w:val="6BBA3B00"/>
    <w:rsid w:val="6BBA4F76"/>
    <w:rsid w:val="6BBA5C71"/>
    <w:rsid w:val="6BBB1626"/>
    <w:rsid w:val="6BBB33D4"/>
    <w:rsid w:val="6BBB5DF6"/>
    <w:rsid w:val="6BBB5EAF"/>
    <w:rsid w:val="6BBC0B53"/>
    <w:rsid w:val="6BBC7DF7"/>
    <w:rsid w:val="6BBD1A66"/>
    <w:rsid w:val="6BBD539F"/>
    <w:rsid w:val="6BBD6E18"/>
    <w:rsid w:val="6BBD714D"/>
    <w:rsid w:val="6BBD75EC"/>
    <w:rsid w:val="6BBE16CA"/>
    <w:rsid w:val="6BBE52E8"/>
    <w:rsid w:val="6BBF1117"/>
    <w:rsid w:val="6BBF3D83"/>
    <w:rsid w:val="6BBF6778"/>
    <w:rsid w:val="6BBF6BAC"/>
    <w:rsid w:val="6BBF7046"/>
    <w:rsid w:val="6BC009EB"/>
    <w:rsid w:val="6BC02799"/>
    <w:rsid w:val="6BC06C3D"/>
    <w:rsid w:val="6BC13B15"/>
    <w:rsid w:val="6BC13FCB"/>
    <w:rsid w:val="6BC168C6"/>
    <w:rsid w:val="6BC229B5"/>
    <w:rsid w:val="6BC24763"/>
    <w:rsid w:val="6BC25822"/>
    <w:rsid w:val="6BC3002D"/>
    <w:rsid w:val="6BC32289"/>
    <w:rsid w:val="6BC34A27"/>
    <w:rsid w:val="6BC35469"/>
    <w:rsid w:val="6BC36589"/>
    <w:rsid w:val="6BC37D77"/>
    <w:rsid w:val="6BC37E09"/>
    <w:rsid w:val="6BC404DB"/>
    <w:rsid w:val="6BC4672D"/>
    <w:rsid w:val="6BC524A5"/>
    <w:rsid w:val="6BC54253"/>
    <w:rsid w:val="6BC56001"/>
    <w:rsid w:val="6BC57676"/>
    <w:rsid w:val="6BC57FA6"/>
    <w:rsid w:val="6BC7234E"/>
    <w:rsid w:val="6BC74F0A"/>
    <w:rsid w:val="6BC76F9F"/>
    <w:rsid w:val="6BC84EEE"/>
    <w:rsid w:val="6BC90EC5"/>
    <w:rsid w:val="6BC926C5"/>
    <w:rsid w:val="6BC934DD"/>
    <w:rsid w:val="6BCA0F9A"/>
    <w:rsid w:val="6BCA388B"/>
    <w:rsid w:val="6BCA3EC0"/>
    <w:rsid w:val="6BCA5F97"/>
    <w:rsid w:val="6BCA79DB"/>
    <w:rsid w:val="6BCA7CE5"/>
    <w:rsid w:val="6BCB7ABB"/>
    <w:rsid w:val="6BCC3834"/>
    <w:rsid w:val="6BCC55E2"/>
    <w:rsid w:val="6BCC7390"/>
    <w:rsid w:val="6BCE4EB6"/>
    <w:rsid w:val="6BCE5436"/>
    <w:rsid w:val="6BCF65B1"/>
    <w:rsid w:val="6BD06690"/>
    <w:rsid w:val="6BD10E4A"/>
    <w:rsid w:val="6BD11807"/>
    <w:rsid w:val="6BD11895"/>
    <w:rsid w:val="6BD11C33"/>
    <w:rsid w:val="6BD12BF8"/>
    <w:rsid w:val="6BD12D00"/>
    <w:rsid w:val="6BD21BD2"/>
    <w:rsid w:val="6BD257E8"/>
    <w:rsid w:val="6BD3071E"/>
    <w:rsid w:val="6BD33AB4"/>
    <w:rsid w:val="6BD359A2"/>
    <w:rsid w:val="6BD3607E"/>
    <w:rsid w:val="6BD44C09"/>
    <w:rsid w:val="6BD46244"/>
    <w:rsid w:val="6BD50693"/>
    <w:rsid w:val="6BD5099E"/>
    <w:rsid w:val="6BD54B45"/>
    <w:rsid w:val="6BD6020E"/>
    <w:rsid w:val="6BD61E2E"/>
    <w:rsid w:val="6BD63A05"/>
    <w:rsid w:val="6BD66460"/>
    <w:rsid w:val="6BD71078"/>
    <w:rsid w:val="6BD77DD9"/>
    <w:rsid w:val="6BD821D8"/>
    <w:rsid w:val="6BD83F86"/>
    <w:rsid w:val="6BD85D34"/>
    <w:rsid w:val="6BD85E8F"/>
    <w:rsid w:val="6BD91AAD"/>
    <w:rsid w:val="6BD9385B"/>
    <w:rsid w:val="6BDA223B"/>
    <w:rsid w:val="6BDA3380"/>
    <w:rsid w:val="6BDA53B5"/>
    <w:rsid w:val="6BDB3A77"/>
    <w:rsid w:val="6BDB75D3"/>
    <w:rsid w:val="6BDB7A8C"/>
    <w:rsid w:val="6BDC0955"/>
    <w:rsid w:val="6BDC5152"/>
    <w:rsid w:val="6BDC7308"/>
    <w:rsid w:val="6BDD0689"/>
    <w:rsid w:val="6BDD1099"/>
    <w:rsid w:val="6BDD159D"/>
    <w:rsid w:val="6BDD334B"/>
    <w:rsid w:val="6BDD77EF"/>
    <w:rsid w:val="6BDE05C0"/>
    <w:rsid w:val="6BDE5228"/>
    <w:rsid w:val="6BDE6359"/>
    <w:rsid w:val="6BDF45E8"/>
    <w:rsid w:val="6BDF4621"/>
    <w:rsid w:val="6BDF5315"/>
    <w:rsid w:val="6BDF6061"/>
    <w:rsid w:val="6BDF6E28"/>
    <w:rsid w:val="6BDF70C3"/>
    <w:rsid w:val="6BE04BE9"/>
    <w:rsid w:val="6BE13B05"/>
    <w:rsid w:val="6BE16A54"/>
    <w:rsid w:val="6BE17DD5"/>
    <w:rsid w:val="6BE204C1"/>
    <w:rsid w:val="6BE20961"/>
    <w:rsid w:val="6BE24E05"/>
    <w:rsid w:val="6BE26BB3"/>
    <w:rsid w:val="6BE4292B"/>
    <w:rsid w:val="6BE446D9"/>
    <w:rsid w:val="6BE458F0"/>
    <w:rsid w:val="6BE4598E"/>
    <w:rsid w:val="6BE47003"/>
    <w:rsid w:val="6BE50451"/>
    <w:rsid w:val="6BE55EB2"/>
    <w:rsid w:val="6BE566A3"/>
    <w:rsid w:val="6BE61923"/>
    <w:rsid w:val="6BE66F5C"/>
    <w:rsid w:val="6BE6746B"/>
    <w:rsid w:val="6BE744F4"/>
    <w:rsid w:val="6BE85706"/>
    <w:rsid w:val="6BE91CF0"/>
    <w:rsid w:val="6BE93849"/>
    <w:rsid w:val="6BE97F42"/>
    <w:rsid w:val="6BEA2CB5"/>
    <w:rsid w:val="6BEB2BC4"/>
    <w:rsid w:val="6BEC0D1C"/>
    <w:rsid w:val="6BEC1568"/>
    <w:rsid w:val="6BEC17E0"/>
    <w:rsid w:val="6BEC5C84"/>
    <w:rsid w:val="6BEC79A1"/>
    <w:rsid w:val="6BED6C25"/>
    <w:rsid w:val="6BEE37AA"/>
    <w:rsid w:val="6BEE4A92"/>
    <w:rsid w:val="6BEF147C"/>
    <w:rsid w:val="6BEF307E"/>
    <w:rsid w:val="6BEF4116"/>
    <w:rsid w:val="6BF012D0"/>
    <w:rsid w:val="6BF03712"/>
    <w:rsid w:val="6BF22B17"/>
    <w:rsid w:val="6BF30ED6"/>
    <w:rsid w:val="6BF32AD4"/>
    <w:rsid w:val="6BF44592"/>
    <w:rsid w:val="6BF453B7"/>
    <w:rsid w:val="6BF52482"/>
    <w:rsid w:val="6BF56847"/>
    <w:rsid w:val="6BF56955"/>
    <w:rsid w:val="6BF608B1"/>
    <w:rsid w:val="6BF6265F"/>
    <w:rsid w:val="6BF6440D"/>
    <w:rsid w:val="6BF66546"/>
    <w:rsid w:val="6BF66D52"/>
    <w:rsid w:val="6BF76882"/>
    <w:rsid w:val="6BF817D1"/>
    <w:rsid w:val="6BF95CAB"/>
    <w:rsid w:val="6BFA02A5"/>
    <w:rsid w:val="6BFB1A23"/>
    <w:rsid w:val="6BFB7C75"/>
    <w:rsid w:val="6BFC106D"/>
    <w:rsid w:val="6BFC1859"/>
    <w:rsid w:val="6BFD0136"/>
    <w:rsid w:val="6BFD39ED"/>
    <w:rsid w:val="6BFD6C96"/>
    <w:rsid w:val="6BFF103A"/>
    <w:rsid w:val="6BFF1513"/>
    <w:rsid w:val="6BFF59B7"/>
    <w:rsid w:val="6BFF5AB2"/>
    <w:rsid w:val="6C00340F"/>
    <w:rsid w:val="6C00395A"/>
    <w:rsid w:val="6C00439F"/>
    <w:rsid w:val="6C0048E3"/>
    <w:rsid w:val="6C004D10"/>
    <w:rsid w:val="6C00509B"/>
    <w:rsid w:val="6C00528B"/>
    <w:rsid w:val="6C005EAC"/>
    <w:rsid w:val="6C007039"/>
    <w:rsid w:val="6C012EB7"/>
    <w:rsid w:val="6C0134DD"/>
    <w:rsid w:val="6C014D65"/>
    <w:rsid w:val="6C01652B"/>
    <w:rsid w:val="6C021003"/>
    <w:rsid w:val="6C0234D9"/>
    <w:rsid w:val="6C0279BB"/>
    <w:rsid w:val="6C036203"/>
    <w:rsid w:val="6C042FCD"/>
    <w:rsid w:val="6C04397A"/>
    <w:rsid w:val="6C044D7B"/>
    <w:rsid w:val="6C050983"/>
    <w:rsid w:val="6C05238A"/>
    <w:rsid w:val="6C0528A2"/>
    <w:rsid w:val="6C052E33"/>
    <w:rsid w:val="6C063CE9"/>
    <w:rsid w:val="6C0703C8"/>
    <w:rsid w:val="6C071B75"/>
    <w:rsid w:val="6C0731E7"/>
    <w:rsid w:val="6C07367D"/>
    <w:rsid w:val="6C07486C"/>
    <w:rsid w:val="6C074BF7"/>
    <w:rsid w:val="6C075CF7"/>
    <w:rsid w:val="6C0800B0"/>
    <w:rsid w:val="6C08526F"/>
    <w:rsid w:val="6C0872A7"/>
    <w:rsid w:val="6C0905E4"/>
    <w:rsid w:val="6C094140"/>
    <w:rsid w:val="6C096AF8"/>
    <w:rsid w:val="6C09788E"/>
    <w:rsid w:val="6C0A0D1E"/>
    <w:rsid w:val="6C0A6595"/>
    <w:rsid w:val="6C0B0A0F"/>
    <w:rsid w:val="6C0B1BC7"/>
    <w:rsid w:val="6C0B610A"/>
    <w:rsid w:val="6C0B75DD"/>
    <w:rsid w:val="6C0E025D"/>
    <w:rsid w:val="6C0E1756"/>
    <w:rsid w:val="6C101972"/>
    <w:rsid w:val="6C103720"/>
    <w:rsid w:val="6C106D85"/>
    <w:rsid w:val="6C111246"/>
    <w:rsid w:val="6C1113A0"/>
    <w:rsid w:val="6C115490"/>
    <w:rsid w:val="6C115BE0"/>
    <w:rsid w:val="6C1256EA"/>
    <w:rsid w:val="6C134FBF"/>
    <w:rsid w:val="6C13500E"/>
    <w:rsid w:val="6C136D6D"/>
    <w:rsid w:val="6C141D47"/>
    <w:rsid w:val="6C147514"/>
    <w:rsid w:val="6C150D37"/>
    <w:rsid w:val="6C156A6A"/>
    <w:rsid w:val="6C156C6B"/>
    <w:rsid w:val="6C164478"/>
    <w:rsid w:val="6C164AAF"/>
    <w:rsid w:val="6C16552D"/>
    <w:rsid w:val="6C1672C1"/>
    <w:rsid w:val="6C180827"/>
    <w:rsid w:val="6C183168"/>
    <w:rsid w:val="6C184383"/>
    <w:rsid w:val="6C184855"/>
    <w:rsid w:val="6C186A79"/>
    <w:rsid w:val="6C190C46"/>
    <w:rsid w:val="6C192DAA"/>
    <w:rsid w:val="6C1A00FB"/>
    <w:rsid w:val="6C1B20C5"/>
    <w:rsid w:val="6C1C2845"/>
    <w:rsid w:val="6C1D039B"/>
    <w:rsid w:val="6C1D153D"/>
    <w:rsid w:val="6C1D408F"/>
    <w:rsid w:val="6C1D5D73"/>
    <w:rsid w:val="6C1D5E3D"/>
    <w:rsid w:val="6C1D6B8A"/>
    <w:rsid w:val="6C1E224E"/>
    <w:rsid w:val="6C1E697C"/>
    <w:rsid w:val="6C1F048A"/>
    <w:rsid w:val="6C1F1275"/>
    <w:rsid w:val="6C1F1BB5"/>
    <w:rsid w:val="6C1F3963"/>
    <w:rsid w:val="6C1F72E3"/>
    <w:rsid w:val="6C20324B"/>
    <w:rsid w:val="6C2076DB"/>
    <w:rsid w:val="6C215B15"/>
    <w:rsid w:val="6C216B43"/>
    <w:rsid w:val="6C227E8E"/>
    <w:rsid w:val="6C230435"/>
    <w:rsid w:val="6C240F7A"/>
    <w:rsid w:val="6C244080"/>
    <w:rsid w:val="6C2471CC"/>
    <w:rsid w:val="6C2519F5"/>
    <w:rsid w:val="6C262F44"/>
    <w:rsid w:val="6C264CF2"/>
    <w:rsid w:val="6C267E07"/>
    <w:rsid w:val="6C2747E8"/>
    <w:rsid w:val="6C276CBC"/>
    <w:rsid w:val="6C283E08"/>
    <w:rsid w:val="6C292A34"/>
    <w:rsid w:val="6C292A66"/>
    <w:rsid w:val="6C2948E8"/>
    <w:rsid w:val="6C295737"/>
    <w:rsid w:val="6C2A003F"/>
    <w:rsid w:val="6C2A6BC7"/>
    <w:rsid w:val="6C2B1798"/>
    <w:rsid w:val="6C2B2308"/>
    <w:rsid w:val="6C2B2559"/>
    <w:rsid w:val="6C2B555E"/>
    <w:rsid w:val="6C2C42D2"/>
    <w:rsid w:val="6C2C4626"/>
    <w:rsid w:val="6C2C5CC2"/>
    <w:rsid w:val="6C2C7E2E"/>
    <w:rsid w:val="6C2D0305"/>
    <w:rsid w:val="6C2D16C3"/>
    <w:rsid w:val="6C2D1D71"/>
    <w:rsid w:val="6C2D78A2"/>
    <w:rsid w:val="6C2E042E"/>
    <w:rsid w:val="6C2E088C"/>
    <w:rsid w:val="6C2E1DF8"/>
    <w:rsid w:val="6C2E30D8"/>
    <w:rsid w:val="6C2E3BA6"/>
    <w:rsid w:val="6C2F0939"/>
    <w:rsid w:val="6C30322D"/>
    <w:rsid w:val="6C304074"/>
    <w:rsid w:val="6C304A1A"/>
    <w:rsid w:val="6C305B5B"/>
    <w:rsid w:val="6C305B70"/>
    <w:rsid w:val="6C30647A"/>
    <w:rsid w:val="6C306916"/>
    <w:rsid w:val="6C30791F"/>
    <w:rsid w:val="6C314AC6"/>
    <w:rsid w:val="6C315445"/>
    <w:rsid w:val="6C316B4C"/>
    <w:rsid w:val="6C323556"/>
    <w:rsid w:val="6C324D40"/>
    <w:rsid w:val="6C327B3B"/>
    <w:rsid w:val="6C330125"/>
    <w:rsid w:val="6C3344AB"/>
    <w:rsid w:val="6C335661"/>
    <w:rsid w:val="6C3361BE"/>
    <w:rsid w:val="6C336E2D"/>
    <w:rsid w:val="6C33740F"/>
    <w:rsid w:val="6C344BD5"/>
    <w:rsid w:val="6C347ABF"/>
    <w:rsid w:val="6C353187"/>
    <w:rsid w:val="6C35541B"/>
    <w:rsid w:val="6C355DCB"/>
    <w:rsid w:val="6C360543"/>
    <w:rsid w:val="6C360CAD"/>
    <w:rsid w:val="6C36516A"/>
    <w:rsid w:val="6C370E8F"/>
    <w:rsid w:val="6C375784"/>
    <w:rsid w:val="6C376EFF"/>
    <w:rsid w:val="6C377D3B"/>
    <w:rsid w:val="6C3867D3"/>
    <w:rsid w:val="6C3953F5"/>
    <w:rsid w:val="6C3A254B"/>
    <w:rsid w:val="6C3A62AA"/>
    <w:rsid w:val="6C3A69EF"/>
    <w:rsid w:val="6C3B628C"/>
    <w:rsid w:val="6C3B62C3"/>
    <w:rsid w:val="6C3C271D"/>
    <w:rsid w:val="6C3C4515"/>
    <w:rsid w:val="6C3C612D"/>
    <w:rsid w:val="6C3C61AE"/>
    <w:rsid w:val="6C3C69C2"/>
    <w:rsid w:val="6C3D203B"/>
    <w:rsid w:val="6C3D2B39"/>
    <w:rsid w:val="6C3D64DF"/>
    <w:rsid w:val="6C3E1E6F"/>
    <w:rsid w:val="6C3E5F0F"/>
    <w:rsid w:val="6C3F14DF"/>
    <w:rsid w:val="6C3F72A4"/>
    <w:rsid w:val="6C3F7B62"/>
    <w:rsid w:val="6C4038DA"/>
    <w:rsid w:val="6C411B2C"/>
    <w:rsid w:val="6C411C3F"/>
    <w:rsid w:val="6C41570E"/>
    <w:rsid w:val="6C427652"/>
    <w:rsid w:val="6C435C74"/>
    <w:rsid w:val="6C44161C"/>
    <w:rsid w:val="6C445178"/>
    <w:rsid w:val="6C44786E"/>
    <w:rsid w:val="6C45090D"/>
    <w:rsid w:val="6C464AB7"/>
    <w:rsid w:val="6C465394"/>
    <w:rsid w:val="6C466329"/>
    <w:rsid w:val="6C467142"/>
    <w:rsid w:val="6C471623"/>
    <w:rsid w:val="6C4765A4"/>
    <w:rsid w:val="6C4767BC"/>
    <w:rsid w:val="6C4850C1"/>
    <w:rsid w:val="6C4909E0"/>
    <w:rsid w:val="6C4933A0"/>
    <w:rsid w:val="6C4939AA"/>
    <w:rsid w:val="6C496C32"/>
    <w:rsid w:val="6C4B305B"/>
    <w:rsid w:val="6C4B4758"/>
    <w:rsid w:val="6C4C04D0"/>
    <w:rsid w:val="6C4C227F"/>
    <w:rsid w:val="6C4D699F"/>
    <w:rsid w:val="6C4E4249"/>
    <w:rsid w:val="6C4F3FDF"/>
    <w:rsid w:val="6C4F53D2"/>
    <w:rsid w:val="6C4F5FC2"/>
    <w:rsid w:val="6C506213"/>
    <w:rsid w:val="6C507B8C"/>
    <w:rsid w:val="6C5125EA"/>
    <w:rsid w:val="6C512734"/>
    <w:rsid w:val="6C5134B2"/>
    <w:rsid w:val="6C5162EE"/>
    <w:rsid w:val="6C5231A5"/>
    <w:rsid w:val="6C525DDF"/>
    <w:rsid w:val="6C527422"/>
    <w:rsid w:val="6C530AD1"/>
    <w:rsid w:val="6C53185F"/>
    <w:rsid w:val="6C5318CC"/>
    <w:rsid w:val="6C531CB6"/>
    <w:rsid w:val="6C532E82"/>
    <w:rsid w:val="6C53360D"/>
    <w:rsid w:val="6C541E33"/>
    <w:rsid w:val="6C5506F2"/>
    <w:rsid w:val="6C553217"/>
    <w:rsid w:val="6C553829"/>
    <w:rsid w:val="6C557A13"/>
    <w:rsid w:val="6C562614"/>
    <w:rsid w:val="6C5630FD"/>
    <w:rsid w:val="6C564753"/>
    <w:rsid w:val="6C57134F"/>
    <w:rsid w:val="6C575381"/>
    <w:rsid w:val="6C580C23"/>
    <w:rsid w:val="6C583611"/>
    <w:rsid w:val="6C5850C7"/>
    <w:rsid w:val="6C585822"/>
    <w:rsid w:val="6C586E75"/>
    <w:rsid w:val="6C591900"/>
    <w:rsid w:val="6C5A0241"/>
    <w:rsid w:val="6C5A126F"/>
    <w:rsid w:val="6C5A23C9"/>
    <w:rsid w:val="6C5A3079"/>
    <w:rsid w:val="6C5B2E67"/>
    <w:rsid w:val="6C5B31DA"/>
    <w:rsid w:val="6C5B60E0"/>
    <w:rsid w:val="6C5B796C"/>
    <w:rsid w:val="6C5C05C5"/>
    <w:rsid w:val="6C5C247B"/>
    <w:rsid w:val="6C5C6966"/>
    <w:rsid w:val="6C5D168E"/>
    <w:rsid w:val="6C5D1A55"/>
    <w:rsid w:val="6C5D2290"/>
    <w:rsid w:val="6C5D26DE"/>
    <w:rsid w:val="6C5D5F26"/>
    <w:rsid w:val="6C5D665C"/>
    <w:rsid w:val="6C5D685A"/>
    <w:rsid w:val="6C5E0609"/>
    <w:rsid w:val="6C5E4626"/>
    <w:rsid w:val="6C5E554C"/>
    <w:rsid w:val="6C5F31E0"/>
    <w:rsid w:val="6C5F584E"/>
    <w:rsid w:val="6C5F6456"/>
    <w:rsid w:val="6C5F719A"/>
    <w:rsid w:val="6C600E7C"/>
    <w:rsid w:val="6C6121CE"/>
    <w:rsid w:val="6C613F7C"/>
    <w:rsid w:val="6C61455E"/>
    <w:rsid w:val="6C6203E0"/>
    <w:rsid w:val="6C621AA2"/>
    <w:rsid w:val="6C624148"/>
    <w:rsid w:val="6C62769C"/>
    <w:rsid w:val="6C627CF4"/>
    <w:rsid w:val="6C630B72"/>
    <w:rsid w:val="6C632D2D"/>
    <w:rsid w:val="6C6358C7"/>
    <w:rsid w:val="6C635C0E"/>
    <w:rsid w:val="6C636C38"/>
    <w:rsid w:val="6C6404FA"/>
    <w:rsid w:val="6C643A6C"/>
    <w:rsid w:val="6C64581A"/>
    <w:rsid w:val="6C645B4E"/>
    <w:rsid w:val="6C6475C8"/>
    <w:rsid w:val="6C654342"/>
    <w:rsid w:val="6C65481F"/>
    <w:rsid w:val="6C661592"/>
    <w:rsid w:val="6C66223B"/>
    <w:rsid w:val="6C662AF4"/>
    <w:rsid w:val="6C663340"/>
    <w:rsid w:val="6C6670D7"/>
    <w:rsid w:val="6C6677E4"/>
    <w:rsid w:val="6C667F74"/>
    <w:rsid w:val="6C671861"/>
    <w:rsid w:val="6C67530A"/>
    <w:rsid w:val="6C691082"/>
    <w:rsid w:val="6C69115C"/>
    <w:rsid w:val="6C691739"/>
    <w:rsid w:val="6C697280"/>
    <w:rsid w:val="6C6A4D4A"/>
    <w:rsid w:val="6C6A7AF7"/>
    <w:rsid w:val="6C6B65E0"/>
    <w:rsid w:val="6C6B6BA9"/>
    <w:rsid w:val="6C6B7438"/>
    <w:rsid w:val="6C6C6D23"/>
    <w:rsid w:val="6C6D0B73"/>
    <w:rsid w:val="6C6D2921"/>
    <w:rsid w:val="6C6D7E09"/>
    <w:rsid w:val="6C6E48EB"/>
    <w:rsid w:val="6C6F3F81"/>
    <w:rsid w:val="6C6F4819"/>
    <w:rsid w:val="6C6F6A3B"/>
    <w:rsid w:val="6C700348"/>
    <w:rsid w:val="6C700663"/>
    <w:rsid w:val="6C7055D4"/>
    <w:rsid w:val="6C705F6D"/>
    <w:rsid w:val="6C710A3A"/>
    <w:rsid w:val="6C711CE5"/>
    <w:rsid w:val="6C714041"/>
    <w:rsid w:val="6C723A80"/>
    <w:rsid w:val="6C731F01"/>
    <w:rsid w:val="6C7321E0"/>
    <w:rsid w:val="6C733CAF"/>
    <w:rsid w:val="6C734895"/>
    <w:rsid w:val="6C7353BC"/>
    <w:rsid w:val="6C735A5D"/>
    <w:rsid w:val="6C7517D5"/>
    <w:rsid w:val="6C756576"/>
    <w:rsid w:val="6C76042B"/>
    <w:rsid w:val="6C7633F1"/>
    <w:rsid w:val="6C765D11"/>
    <w:rsid w:val="6C770B6C"/>
    <w:rsid w:val="6C77379F"/>
    <w:rsid w:val="6C774780"/>
    <w:rsid w:val="6C774D8C"/>
    <w:rsid w:val="6C77554D"/>
    <w:rsid w:val="6C78022F"/>
    <w:rsid w:val="6C7815C3"/>
    <w:rsid w:val="6C78665D"/>
    <w:rsid w:val="6C793E22"/>
    <w:rsid w:val="6C797AED"/>
    <w:rsid w:val="6C7A3290"/>
    <w:rsid w:val="6C7A503E"/>
    <w:rsid w:val="6C7A60CE"/>
    <w:rsid w:val="6C7A6DEC"/>
    <w:rsid w:val="6C7B0AF4"/>
    <w:rsid w:val="6C7B3AD4"/>
    <w:rsid w:val="6C7C0286"/>
    <w:rsid w:val="6C7C0DB6"/>
    <w:rsid w:val="6C7C7008"/>
    <w:rsid w:val="6C7D068A"/>
    <w:rsid w:val="6C7D17E1"/>
    <w:rsid w:val="6C7D300C"/>
    <w:rsid w:val="6C7D37D3"/>
    <w:rsid w:val="6C7D4B2E"/>
    <w:rsid w:val="6C7D6C05"/>
    <w:rsid w:val="6C7F08A6"/>
    <w:rsid w:val="6C7F2654"/>
    <w:rsid w:val="6C80208D"/>
    <w:rsid w:val="6C816E46"/>
    <w:rsid w:val="6C82233C"/>
    <w:rsid w:val="6C824071"/>
    <w:rsid w:val="6C827D59"/>
    <w:rsid w:val="6C832144"/>
    <w:rsid w:val="6C833770"/>
    <w:rsid w:val="6C841F60"/>
    <w:rsid w:val="6C856090"/>
    <w:rsid w:val="6C861C34"/>
    <w:rsid w:val="6C8639E2"/>
    <w:rsid w:val="6C865790"/>
    <w:rsid w:val="6C866827"/>
    <w:rsid w:val="6C870C34"/>
    <w:rsid w:val="6C8714F7"/>
    <w:rsid w:val="6C8726F7"/>
    <w:rsid w:val="6C880A65"/>
    <w:rsid w:val="6C882042"/>
    <w:rsid w:val="6C88775B"/>
    <w:rsid w:val="6C89401B"/>
    <w:rsid w:val="6C8950A2"/>
    <w:rsid w:val="6C89702F"/>
    <w:rsid w:val="6C8A0A72"/>
    <w:rsid w:val="6C8A26AA"/>
    <w:rsid w:val="6C8A3DBD"/>
    <w:rsid w:val="6C8B2DA7"/>
    <w:rsid w:val="6C8C5F63"/>
    <w:rsid w:val="6C8D4D71"/>
    <w:rsid w:val="6C8E0177"/>
    <w:rsid w:val="6C8E0AE9"/>
    <w:rsid w:val="6C8F1D13"/>
    <w:rsid w:val="6C9003BD"/>
    <w:rsid w:val="6C904861"/>
    <w:rsid w:val="6C90660F"/>
    <w:rsid w:val="6C910174"/>
    <w:rsid w:val="6C910945"/>
    <w:rsid w:val="6C912829"/>
    <w:rsid w:val="6C912F7E"/>
    <w:rsid w:val="6C914043"/>
    <w:rsid w:val="6C920101"/>
    <w:rsid w:val="6C9205D9"/>
    <w:rsid w:val="6C931433"/>
    <w:rsid w:val="6C937EAD"/>
    <w:rsid w:val="6C940BF4"/>
    <w:rsid w:val="6C944351"/>
    <w:rsid w:val="6C9472C6"/>
    <w:rsid w:val="6C947713"/>
    <w:rsid w:val="6C950079"/>
    <w:rsid w:val="6C953C26"/>
    <w:rsid w:val="6C961B12"/>
    <w:rsid w:val="6C962196"/>
    <w:rsid w:val="6C97174C"/>
    <w:rsid w:val="6C973076"/>
    <w:rsid w:val="6C975BF0"/>
    <w:rsid w:val="6C976B79"/>
    <w:rsid w:val="6C97799E"/>
    <w:rsid w:val="6C9821D3"/>
    <w:rsid w:val="6C983716"/>
    <w:rsid w:val="6C9854C4"/>
    <w:rsid w:val="6C9867AB"/>
    <w:rsid w:val="6C987DB8"/>
    <w:rsid w:val="6C991968"/>
    <w:rsid w:val="6C9967B3"/>
    <w:rsid w:val="6C9A02F1"/>
    <w:rsid w:val="6C9A123C"/>
    <w:rsid w:val="6C9C1458"/>
    <w:rsid w:val="6C9C3206"/>
    <w:rsid w:val="6C9C6D62"/>
    <w:rsid w:val="6C9D0D2C"/>
    <w:rsid w:val="6C9D0E62"/>
    <w:rsid w:val="6C9D37C4"/>
    <w:rsid w:val="6C9E0085"/>
    <w:rsid w:val="6C9E07B8"/>
    <w:rsid w:val="6C9E12C3"/>
    <w:rsid w:val="6C9E54DD"/>
    <w:rsid w:val="6C9E6F7E"/>
    <w:rsid w:val="6C9F105F"/>
    <w:rsid w:val="6C9F4AA4"/>
    <w:rsid w:val="6CA02204"/>
    <w:rsid w:val="6CA04582"/>
    <w:rsid w:val="6CA0672B"/>
    <w:rsid w:val="6CA101E9"/>
    <w:rsid w:val="6CA1081C"/>
    <w:rsid w:val="6CA125CA"/>
    <w:rsid w:val="6CA16A6E"/>
    <w:rsid w:val="6CA16CF9"/>
    <w:rsid w:val="6CA17546"/>
    <w:rsid w:val="6CA200F0"/>
    <w:rsid w:val="6CA21463"/>
    <w:rsid w:val="6CA23AAB"/>
    <w:rsid w:val="6CA336A1"/>
    <w:rsid w:val="6CA34594"/>
    <w:rsid w:val="6CA36342"/>
    <w:rsid w:val="6CA420BB"/>
    <w:rsid w:val="6CA479DF"/>
    <w:rsid w:val="6CA616DB"/>
    <w:rsid w:val="6CA6617A"/>
    <w:rsid w:val="6CA66B0A"/>
    <w:rsid w:val="6CA70D5D"/>
    <w:rsid w:val="6CA74B03"/>
    <w:rsid w:val="6CA755F6"/>
    <w:rsid w:val="6CA76731"/>
    <w:rsid w:val="6CA76BA2"/>
    <w:rsid w:val="6CA77F9A"/>
    <w:rsid w:val="6CA8159C"/>
    <w:rsid w:val="6CA8643D"/>
    <w:rsid w:val="6CA87DFD"/>
    <w:rsid w:val="6CA93B67"/>
    <w:rsid w:val="6CA96BCC"/>
    <w:rsid w:val="6CAA3CC8"/>
    <w:rsid w:val="6CAB3449"/>
    <w:rsid w:val="6CAB51F7"/>
    <w:rsid w:val="6CAB7D77"/>
    <w:rsid w:val="6CAC18F2"/>
    <w:rsid w:val="6CAD0D99"/>
    <w:rsid w:val="6CAD69DD"/>
    <w:rsid w:val="6CAE2CC9"/>
    <w:rsid w:val="6CAE388F"/>
    <w:rsid w:val="6CAF118B"/>
    <w:rsid w:val="6CB0278D"/>
    <w:rsid w:val="6CB0280D"/>
    <w:rsid w:val="6CB0377A"/>
    <w:rsid w:val="6CB107A0"/>
    <w:rsid w:val="6CB15DA6"/>
    <w:rsid w:val="6CB22A29"/>
    <w:rsid w:val="6CB23815"/>
    <w:rsid w:val="6CB23970"/>
    <w:rsid w:val="6CB30A34"/>
    <w:rsid w:val="6CB3245F"/>
    <w:rsid w:val="6CB32A88"/>
    <w:rsid w:val="6CB408A8"/>
    <w:rsid w:val="6CB41900"/>
    <w:rsid w:val="6CB43BD9"/>
    <w:rsid w:val="6CB43CDF"/>
    <w:rsid w:val="6CB44C0D"/>
    <w:rsid w:val="6CB46873"/>
    <w:rsid w:val="6CB51A69"/>
    <w:rsid w:val="6CB5251A"/>
    <w:rsid w:val="6CB542C8"/>
    <w:rsid w:val="6CB5516F"/>
    <w:rsid w:val="6CB55D76"/>
    <w:rsid w:val="6CB56076"/>
    <w:rsid w:val="6CB57E24"/>
    <w:rsid w:val="6CB609E9"/>
    <w:rsid w:val="6CB66007"/>
    <w:rsid w:val="6CB70040"/>
    <w:rsid w:val="6CB7133F"/>
    <w:rsid w:val="6CB71564"/>
    <w:rsid w:val="6CB727A3"/>
    <w:rsid w:val="6CB73B9C"/>
    <w:rsid w:val="6CB74F6C"/>
    <w:rsid w:val="6CB76AEF"/>
    <w:rsid w:val="6CB810F5"/>
    <w:rsid w:val="6CB87914"/>
    <w:rsid w:val="6CB91600"/>
    <w:rsid w:val="6CB93DB8"/>
    <w:rsid w:val="6CB95B66"/>
    <w:rsid w:val="6CB97887"/>
    <w:rsid w:val="6CBA18DE"/>
    <w:rsid w:val="6CBA28C7"/>
    <w:rsid w:val="6CBC11B2"/>
    <w:rsid w:val="6CBC5656"/>
    <w:rsid w:val="6CBD1A44"/>
    <w:rsid w:val="6CBD213F"/>
    <w:rsid w:val="6CBD4359"/>
    <w:rsid w:val="6CBD4F2A"/>
    <w:rsid w:val="6CBE112C"/>
    <w:rsid w:val="6CBE13CE"/>
    <w:rsid w:val="6CBE25D7"/>
    <w:rsid w:val="6CBF1C1C"/>
    <w:rsid w:val="6CBF1D0A"/>
    <w:rsid w:val="6CBF5146"/>
    <w:rsid w:val="6CBF564D"/>
    <w:rsid w:val="6CC008FD"/>
    <w:rsid w:val="6CC00DD4"/>
    <w:rsid w:val="6CC07497"/>
    <w:rsid w:val="6CC074F4"/>
    <w:rsid w:val="6CC10EBE"/>
    <w:rsid w:val="6CC131E5"/>
    <w:rsid w:val="6CC1344F"/>
    <w:rsid w:val="6CC13712"/>
    <w:rsid w:val="6CC16510"/>
    <w:rsid w:val="6CC2541F"/>
    <w:rsid w:val="6CC369E5"/>
    <w:rsid w:val="6CC462B9"/>
    <w:rsid w:val="6CC509FF"/>
    <w:rsid w:val="6CC56697"/>
    <w:rsid w:val="6CC60972"/>
    <w:rsid w:val="6CC62031"/>
    <w:rsid w:val="6CC63C93"/>
    <w:rsid w:val="6CC71532"/>
    <w:rsid w:val="6CC835E5"/>
    <w:rsid w:val="6CC83FFB"/>
    <w:rsid w:val="6CC84ED2"/>
    <w:rsid w:val="6CC8760E"/>
    <w:rsid w:val="6CC87B57"/>
    <w:rsid w:val="6CC91B21"/>
    <w:rsid w:val="6CC926F8"/>
    <w:rsid w:val="6CC938CF"/>
    <w:rsid w:val="6CCA7D73"/>
    <w:rsid w:val="6CCB33AC"/>
    <w:rsid w:val="6CCC0825"/>
    <w:rsid w:val="6CCD0BD4"/>
    <w:rsid w:val="6CCD1611"/>
    <w:rsid w:val="6CCD2C56"/>
    <w:rsid w:val="6CCD33BF"/>
    <w:rsid w:val="6CCD7863"/>
    <w:rsid w:val="6CCE471F"/>
    <w:rsid w:val="6CCE7137"/>
    <w:rsid w:val="6CCE7F95"/>
    <w:rsid w:val="6CCF087B"/>
    <w:rsid w:val="6CCF2574"/>
    <w:rsid w:val="6CCF25A3"/>
    <w:rsid w:val="6CCF5389"/>
    <w:rsid w:val="6CCF6287"/>
    <w:rsid w:val="6CCF71A6"/>
    <w:rsid w:val="6CD02EB0"/>
    <w:rsid w:val="6CD143EF"/>
    <w:rsid w:val="6CD2264A"/>
    <w:rsid w:val="6CD24E7A"/>
    <w:rsid w:val="6CD26C28"/>
    <w:rsid w:val="6CD27268"/>
    <w:rsid w:val="6CD3474E"/>
    <w:rsid w:val="6CD35E80"/>
    <w:rsid w:val="6CD40BF2"/>
    <w:rsid w:val="6CD41BED"/>
    <w:rsid w:val="6CD429A0"/>
    <w:rsid w:val="6CD434EA"/>
    <w:rsid w:val="6CD47248"/>
    <w:rsid w:val="6CD60948"/>
    <w:rsid w:val="6CD63852"/>
    <w:rsid w:val="6CD671D9"/>
    <w:rsid w:val="6CD7423E"/>
    <w:rsid w:val="6CD96208"/>
    <w:rsid w:val="6CD97912"/>
    <w:rsid w:val="6CD97FB6"/>
    <w:rsid w:val="6CDA59FA"/>
    <w:rsid w:val="6CDA788A"/>
    <w:rsid w:val="6CDB1F80"/>
    <w:rsid w:val="6CDB6F92"/>
    <w:rsid w:val="6CDC1854"/>
    <w:rsid w:val="6CDC6D32"/>
    <w:rsid w:val="6CDC7434"/>
    <w:rsid w:val="6CDD1929"/>
    <w:rsid w:val="6CDD20BD"/>
    <w:rsid w:val="6CDD6754"/>
    <w:rsid w:val="6CDE34DB"/>
    <w:rsid w:val="6CDF2F51"/>
    <w:rsid w:val="6CE00989"/>
    <w:rsid w:val="6CE037ED"/>
    <w:rsid w:val="6CE04E8A"/>
    <w:rsid w:val="6CE07597"/>
    <w:rsid w:val="6CE13039"/>
    <w:rsid w:val="6CE1330F"/>
    <w:rsid w:val="6CE16E6B"/>
    <w:rsid w:val="6CE21128"/>
    <w:rsid w:val="6CE230A4"/>
    <w:rsid w:val="6CE30E35"/>
    <w:rsid w:val="6CE3136F"/>
    <w:rsid w:val="6CE32BE3"/>
    <w:rsid w:val="6CE32CCA"/>
    <w:rsid w:val="6CE33832"/>
    <w:rsid w:val="6CE40709"/>
    <w:rsid w:val="6CE40B70"/>
    <w:rsid w:val="6CE4167D"/>
    <w:rsid w:val="6CE4761B"/>
    <w:rsid w:val="6CE52B0D"/>
    <w:rsid w:val="6CE54BAD"/>
    <w:rsid w:val="6CE60925"/>
    <w:rsid w:val="6CE62238"/>
    <w:rsid w:val="6CE626D3"/>
    <w:rsid w:val="6CE64481"/>
    <w:rsid w:val="6CE6694F"/>
    <w:rsid w:val="6CE7368A"/>
    <w:rsid w:val="6CE73A51"/>
    <w:rsid w:val="6CE80B2B"/>
    <w:rsid w:val="6CE8148E"/>
    <w:rsid w:val="6CE84741"/>
    <w:rsid w:val="6CE8644B"/>
    <w:rsid w:val="6CE9242B"/>
    <w:rsid w:val="6CE92922"/>
    <w:rsid w:val="6CEA21C3"/>
    <w:rsid w:val="6CEB1A97"/>
    <w:rsid w:val="6CEB398F"/>
    <w:rsid w:val="6CEB7140"/>
    <w:rsid w:val="6CEB7E0F"/>
    <w:rsid w:val="6CEC008C"/>
    <w:rsid w:val="6CEC3519"/>
    <w:rsid w:val="6CED0BAF"/>
    <w:rsid w:val="6CED272F"/>
    <w:rsid w:val="6CED3A62"/>
    <w:rsid w:val="6CED5810"/>
    <w:rsid w:val="6CEF3893"/>
    <w:rsid w:val="6CEF70B6"/>
    <w:rsid w:val="6CEF77DA"/>
    <w:rsid w:val="6CF05300"/>
    <w:rsid w:val="6CF070AE"/>
    <w:rsid w:val="6CF105C8"/>
    <w:rsid w:val="6CF14720"/>
    <w:rsid w:val="6CF21078"/>
    <w:rsid w:val="6CF22540"/>
    <w:rsid w:val="6CF249EC"/>
    <w:rsid w:val="6CF272CA"/>
    <w:rsid w:val="6CF342D7"/>
    <w:rsid w:val="6CF43042"/>
    <w:rsid w:val="6CF46B9E"/>
    <w:rsid w:val="6CF5030C"/>
    <w:rsid w:val="6CF50B68"/>
    <w:rsid w:val="6CF51FA2"/>
    <w:rsid w:val="6CF52916"/>
    <w:rsid w:val="6CF62502"/>
    <w:rsid w:val="6CF63323"/>
    <w:rsid w:val="6CF65C61"/>
    <w:rsid w:val="6CF7043C"/>
    <w:rsid w:val="6CF75FFE"/>
    <w:rsid w:val="6CF801BD"/>
    <w:rsid w:val="6CF80E33"/>
    <w:rsid w:val="6CF918AD"/>
    <w:rsid w:val="6CF941B4"/>
    <w:rsid w:val="6CF94468"/>
    <w:rsid w:val="6CFA1CDB"/>
    <w:rsid w:val="6CFA1F84"/>
    <w:rsid w:val="6CFA2076"/>
    <w:rsid w:val="6CFA38A3"/>
    <w:rsid w:val="6CFA3DC4"/>
    <w:rsid w:val="6CFA4E4C"/>
    <w:rsid w:val="6CFA4FE4"/>
    <w:rsid w:val="6CFA617E"/>
    <w:rsid w:val="6CFA7F2C"/>
    <w:rsid w:val="6CFB07D9"/>
    <w:rsid w:val="6CFC1EF7"/>
    <w:rsid w:val="6CFC3CA5"/>
    <w:rsid w:val="6CFC3F2C"/>
    <w:rsid w:val="6CFC61C3"/>
    <w:rsid w:val="6CFC78E9"/>
    <w:rsid w:val="6CFD2224"/>
    <w:rsid w:val="6CFD54F3"/>
    <w:rsid w:val="6CFD7C41"/>
    <w:rsid w:val="6CFE17CB"/>
    <w:rsid w:val="6CFE5C6F"/>
    <w:rsid w:val="6CFE61F2"/>
    <w:rsid w:val="6CFE7A1D"/>
    <w:rsid w:val="6D0019E7"/>
    <w:rsid w:val="6D00798B"/>
    <w:rsid w:val="6D010BA5"/>
    <w:rsid w:val="6D013069"/>
    <w:rsid w:val="6D013776"/>
    <w:rsid w:val="6D01750D"/>
    <w:rsid w:val="6D022CF9"/>
    <w:rsid w:val="6D023176"/>
    <w:rsid w:val="6D030EEE"/>
    <w:rsid w:val="6D031357"/>
    <w:rsid w:val="6D035033"/>
    <w:rsid w:val="6D0509B6"/>
    <w:rsid w:val="6D0526C9"/>
    <w:rsid w:val="6D05649C"/>
    <w:rsid w:val="6D057682"/>
    <w:rsid w:val="6D06067F"/>
    <w:rsid w:val="6D062869"/>
    <w:rsid w:val="6D062D75"/>
    <w:rsid w:val="6D0634C3"/>
    <w:rsid w:val="6D064B23"/>
    <w:rsid w:val="6D065BA5"/>
    <w:rsid w:val="6D0668D1"/>
    <w:rsid w:val="6D07253F"/>
    <w:rsid w:val="6D080CD1"/>
    <w:rsid w:val="6D081677"/>
    <w:rsid w:val="6D08248F"/>
    <w:rsid w:val="6D082649"/>
    <w:rsid w:val="6D0854A3"/>
    <w:rsid w:val="6D085EC7"/>
    <w:rsid w:val="6D08699C"/>
    <w:rsid w:val="6D096B94"/>
    <w:rsid w:val="6D0A0E29"/>
    <w:rsid w:val="6D0A4613"/>
    <w:rsid w:val="6D0A63C2"/>
    <w:rsid w:val="6D0B1B26"/>
    <w:rsid w:val="6D0B3F38"/>
    <w:rsid w:val="6D0B4828"/>
    <w:rsid w:val="6D0B758F"/>
    <w:rsid w:val="6D0C6516"/>
    <w:rsid w:val="6D0D4104"/>
    <w:rsid w:val="6D0D5EB2"/>
    <w:rsid w:val="6D0D7FC9"/>
    <w:rsid w:val="6D0E2E7E"/>
    <w:rsid w:val="6D0E4542"/>
    <w:rsid w:val="6D0E5D52"/>
    <w:rsid w:val="6D0E5D89"/>
    <w:rsid w:val="6D0F0BEC"/>
    <w:rsid w:val="6D0F1C2A"/>
    <w:rsid w:val="6D0F44B7"/>
    <w:rsid w:val="6D0F4639"/>
    <w:rsid w:val="6D10039F"/>
    <w:rsid w:val="6D10070D"/>
    <w:rsid w:val="6D105E98"/>
    <w:rsid w:val="6D107B3A"/>
    <w:rsid w:val="6D11512A"/>
    <w:rsid w:val="6D125276"/>
    <w:rsid w:val="6D142D9C"/>
    <w:rsid w:val="6D151C41"/>
    <w:rsid w:val="6D152631"/>
    <w:rsid w:val="6D15307C"/>
    <w:rsid w:val="6D154930"/>
    <w:rsid w:val="6D154D66"/>
    <w:rsid w:val="6D156B14"/>
    <w:rsid w:val="6D15739E"/>
    <w:rsid w:val="6D16193B"/>
    <w:rsid w:val="6D162FB8"/>
    <w:rsid w:val="6D16450C"/>
    <w:rsid w:val="6D1657E1"/>
    <w:rsid w:val="6D17288C"/>
    <w:rsid w:val="6D177E1E"/>
    <w:rsid w:val="6D187D25"/>
    <w:rsid w:val="6D187D46"/>
    <w:rsid w:val="6D1919FD"/>
    <w:rsid w:val="6D196605"/>
    <w:rsid w:val="6D1971D9"/>
    <w:rsid w:val="6D1A412B"/>
    <w:rsid w:val="6D1A6486"/>
    <w:rsid w:val="6D1B128B"/>
    <w:rsid w:val="6D1C2C31"/>
    <w:rsid w:val="6D1C3859"/>
    <w:rsid w:val="6D1C4347"/>
    <w:rsid w:val="6D1C60F5"/>
    <w:rsid w:val="6D1D00CD"/>
    <w:rsid w:val="6D1D0375"/>
    <w:rsid w:val="6D1D2CFE"/>
    <w:rsid w:val="6D1E00BF"/>
    <w:rsid w:val="6D1E5D16"/>
    <w:rsid w:val="6D1E6FD7"/>
    <w:rsid w:val="6D1F5F77"/>
    <w:rsid w:val="6D1F64C4"/>
    <w:rsid w:val="6D2077ED"/>
    <w:rsid w:val="6D213692"/>
    <w:rsid w:val="6D21370B"/>
    <w:rsid w:val="6D2225C7"/>
    <w:rsid w:val="6D2248C1"/>
    <w:rsid w:val="6D233F3F"/>
    <w:rsid w:val="6D2356D5"/>
    <w:rsid w:val="6D235DA9"/>
    <w:rsid w:val="6D2371C9"/>
    <w:rsid w:val="6D2477FA"/>
    <w:rsid w:val="6D25144D"/>
    <w:rsid w:val="6D251FBF"/>
    <w:rsid w:val="6D257FA0"/>
    <w:rsid w:val="6D26086E"/>
    <w:rsid w:val="6D2630EF"/>
    <w:rsid w:val="6D263DE7"/>
    <w:rsid w:val="6D283D50"/>
    <w:rsid w:val="6D284922"/>
    <w:rsid w:val="6D2876FB"/>
    <w:rsid w:val="6D2A0812"/>
    <w:rsid w:val="6D2A1241"/>
    <w:rsid w:val="6D2A1DD7"/>
    <w:rsid w:val="6D2A25C0"/>
    <w:rsid w:val="6D2B3A74"/>
    <w:rsid w:val="6D2B458A"/>
    <w:rsid w:val="6D2C27DC"/>
    <w:rsid w:val="6D2D3E5E"/>
    <w:rsid w:val="6D2E0D45"/>
    <w:rsid w:val="6D2E4DB5"/>
    <w:rsid w:val="6D2E7E68"/>
    <w:rsid w:val="6D2F146A"/>
    <w:rsid w:val="6D2F407A"/>
    <w:rsid w:val="6D2F6351"/>
    <w:rsid w:val="6D2F7BD6"/>
    <w:rsid w:val="6D31375B"/>
    <w:rsid w:val="6D313BC8"/>
    <w:rsid w:val="6D314ABF"/>
    <w:rsid w:val="6D315BEC"/>
    <w:rsid w:val="6D316543"/>
    <w:rsid w:val="6D317977"/>
    <w:rsid w:val="6D321474"/>
    <w:rsid w:val="6D3276C6"/>
    <w:rsid w:val="6D330FD2"/>
    <w:rsid w:val="6D331A0B"/>
    <w:rsid w:val="6D3379B4"/>
    <w:rsid w:val="6D341690"/>
    <w:rsid w:val="6D342338"/>
    <w:rsid w:val="6D344F04"/>
    <w:rsid w:val="6D346A84"/>
    <w:rsid w:val="6D356354"/>
    <w:rsid w:val="6D357497"/>
    <w:rsid w:val="6D365409"/>
    <w:rsid w:val="6D3677DC"/>
    <w:rsid w:val="6D36783A"/>
    <w:rsid w:val="6D372F2F"/>
    <w:rsid w:val="6D374CDD"/>
    <w:rsid w:val="6D375A86"/>
    <w:rsid w:val="6D382B86"/>
    <w:rsid w:val="6D383616"/>
    <w:rsid w:val="6D390305"/>
    <w:rsid w:val="6D390A55"/>
    <w:rsid w:val="6D392562"/>
    <w:rsid w:val="6D392803"/>
    <w:rsid w:val="6D394EF9"/>
    <w:rsid w:val="6D395B8D"/>
    <w:rsid w:val="6D396CA7"/>
    <w:rsid w:val="6D3A3D6E"/>
    <w:rsid w:val="6D3B062F"/>
    <w:rsid w:val="6D3B1992"/>
    <w:rsid w:val="6D3B47CD"/>
    <w:rsid w:val="6D3C05F9"/>
    <w:rsid w:val="6D3C1F86"/>
    <w:rsid w:val="6D3C5305"/>
    <w:rsid w:val="6D3C6797"/>
    <w:rsid w:val="6D3F05CF"/>
    <w:rsid w:val="6D3F3718"/>
    <w:rsid w:val="6D3F3B91"/>
    <w:rsid w:val="6D3F4E55"/>
    <w:rsid w:val="6D3F594B"/>
    <w:rsid w:val="6D404BA8"/>
    <w:rsid w:val="6D410C09"/>
    <w:rsid w:val="6D415B5B"/>
    <w:rsid w:val="6D416B43"/>
    <w:rsid w:val="6D417909"/>
    <w:rsid w:val="6D420156"/>
    <w:rsid w:val="6D42599A"/>
    <w:rsid w:val="6D4318D3"/>
    <w:rsid w:val="6D4425B3"/>
    <w:rsid w:val="6D4509F6"/>
    <w:rsid w:val="6D452452"/>
    <w:rsid w:val="6D45389E"/>
    <w:rsid w:val="6D454776"/>
    <w:rsid w:val="6D45564C"/>
    <w:rsid w:val="6D462A0E"/>
    <w:rsid w:val="6D463172"/>
    <w:rsid w:val="6D465AD5"/>
    <w:rsid w:val="6D4713C4"/>
    <w:rsid w:val="6D472E16"/>
    <w:rsid w:val="6D474413"/>
    <w:rsid w:val="6D474A8C"/>
    <w:rsid w:val="6D476378"/>
    <w:rsid w:val="6D480C98"/>
    <w:rsid w:val="6D485409"/>
    <w:rsid w:val="6D48652F"/>
    <w:rsid w:val="6D487921"/>
    <w:rsid w:val="6D4908C8"/>
    <w:rsid w:val="6D495C5A"/>
    <w:rsid w:val="6D495FB1"/>
    <w:rsid w:val="6D4A4A10"/>
    <w:rsid w:val="6D4B1CBB"/>
    <w:rsid w:val="6D4C0B8C"/>
    <w:rsid w:val="6D4C314B"/>
    <w:rsid w:val="6D4C4C2C"/>
    <w:rsid w:val="6D4C69DA"/>
    <w:rsid w:val="6D4E1231"/>
    <w:rsid w:val="6D4F2026"/>
    <w:rsid w:val="6D4F38B7"/>
    <w:rsid w:val="6D4F4B88"/>
    <w:rsid w:val="6D4F4EEA"/>
    <w:rsid w:val="6D4F64CA"/>
    <w:rsid w:val="6D5006B7"/>
    <w:rsid w:val="6D500B0B"/>
    <w:rsid w:val="6D5111D6"/>
    <w:rsid w:val="6D512242"/>
    <w:rsid w:val="6D513FF0"/>
    <w:rsid w:val="6D520091"/>
    <w:rsid w:val="6D521B17"/>
    <w:rsid w:val="6D521F74"/>
    <w:rsid w:val="6D527166"/>
    <w:rsid w:val="6D527D69"/>
    <w:rsid w:val="6D543AE1"/>
    <w:rsid w:val="6D54577C"/>
    <w:rsid w:val="6D5512C0"/>
    <w:rsid w:val="6D557767"/>
    <w:rsid w:val="6D5608B2"/>
    <w:rsid w:val="6D561607"/>
    <w:rsid w:val="6D56199F"/>
    <w:rsid w:val="6D5667A6"/>
    <w:rsid w:val="6D566CB1"/>
    <w:rsid w:val="6D567859"/>
    <w:rsid w:val="6D567F21"/>
    <w:rsid w:val="6D57537F"/>
    <w:rsid w:val="6D57712D"/>
    <w:rsid w:val="6D5812D3"/>
    <w:rsid w:val="6D582BEF"/>
    <w:rsid w:val="6D582D1E"/>
    <w:rsid w:val="6D5860E1"/>
    <w:rsid w:val="6D5910F7"/>
    <w:rsid w:val="6D591470"/>
    <w:rsid w:val="6D592EA5"/>
    <w:rsid w:val="6D5940CF"/>
    <w:rsid w:val="6D594C53"/>
    <w:rsid w:val="6D59574F"/>
    <w:rsid w:val="6D5A1EC1"/>
    <w:rsid w:val="6D5A526C"/>
    <w:rsid w:val="6D5B6DAA"/>
    <w:rsid w:val="6D5B7640"/>
    <w:rsid w:val="6D5C4743"/>
    <w:rsid w:val="6D5D0600"/>
    <w:rsid w:val="6D5D0794"/>
    <w:rsid w:val="6D5D08EA"/>
    <w:rsid w:val="6D5D181B"/>
    <w:rsid w:val="6D5D40D0"/>
    <w:rsid w:val="6D5D669F"/>
    <w:rsid w:val="6D5E1220"/>
    <w:rsid w:val="6D5E33D3"/>
    <w:rsid w:val="6D5E670D"/>
    <w:rsid w:val="6D60048C"/>
    <w:rsid w:val="6D60176B"/>
    <w:rsid w:val="6D602485"/>
    <w:rsid w:val="6D602AA1"/>
    <w:rsid w:val="6D604233"/>
    <w:rsid w:val="6D605FE2"/>
    <w:rsid w:val="6D611FDB"/>
    <w:rsid w:val="6D615622"/>
    <w:rsid w:val="6D6205FC"/>
    <w:rsid w:val="6D62257F"/>
    <w:rsid w:val="6D6261FE"/>
    <w:rsid w:val="6D631F76"/>
    <w:rsid w:val="6D632846"/>
    <w:rsid w:val="6D633D24"/>
    <w:rsid w:val="6D63467E"/>
    <w:rsid w:val="6D635A5E"/>
    <w:rsid w:val="6D635AD2"/>
    <w:rsid w:val="6D641974"/>
    <w:rsid w:val="6D65184A"/>
    <w:rsid w:val="6D666636"/>
    <w:rsid w:val="6D6668C3"/>
    <w:rsid w:val="6D672EB2"/>
    <w:rsid w:val="6D675D52"/>
    <w:rsid w:val="6D68133A"/>
    <w:rsid w:val="6D6830E8"/>
    <w:rsid w:val="6D6868F1"/>
    <w:rsid w:val="6D68758C"/>
    <w:rsid w:val="6D694AA4"/>
    <w:rsid w:val="6D6963EB"/>
    <w:rsid w:val="6D6A3304"/>
    <w:rsid w:val="6D6A50B2"/>
    <w:rsid w:val="6D6A7E15"/>
    <w:rsid w:val="6D6B163A"/>
    <w:rsid w:val="6D6B5FE5"/>
    <w:rsid w:val="6D6B6EF8"/>
    <w:rsid w:val="6D6B784F"/>
    <w:rsid w:val="6D6C0E2A"/>
    <w:rsid w:val="6D6C2BD8"/>
    <w:rsid w:val="6D6C2DEC"/>
    <w:rsid w:val="6D6D06FE"/>
    <w:rsid w:val="6D6D5D69"/>
    <w:rsid w:val="6D6D671A"/>
    <w:rsid w:val="6D6E6502"/>
    <w:rsid w:val="6D6E6C99"/>
    <w:rsid w:val="6D6F0E7A"/>
    <w:rsid w:val="6D6F26C8"/>
    <w:rsid w:val="6D6F4477"/>
    <w:rsid w:val="6D70593A"/>
    <w:rsid w:val="6D7066B1"/>
    <w:rsid w:val="6D716441"/>
    <w:rsid w:val="6D716FD6"/>
    <w:rsid w:val="6D7221B9"/>
    <w:rsid w:val="6D723F67"/>
    <w:rsid w:val="6D730EC7"/>
    <w:rsid w:val="6D745F31"/>
    <w:rsid w:val="6D7517B1"/>
    <w:rsid w:val="6D7537E7"/>
    <w:rsid w:val="6D753E86"/>
    <w:rsid w:val="6D757F63"/>
    <w:rsid w:val="6D76125D"/>
    <w:rsid w:val="6D763A57"/>
    <w:rsid w:val="6D765F06"/>
    <w:rsid w:val="6D766A4E"/>
    <w:rsid w:val="6D77157D"/>
    <w:rsid w:val="6D77332B"/>
    <w:rsid w:val="6D7749A3"/>
    <w:rsid w:val="6D7777CF"/>
    <w:rsid w:val="6D7900BF"/>
    <w:rsid w:val="6D7935F8"/>
    <w:rsid w:val="6D7970A3"/>
    <w:rsid w:val="6D7A2EF4"/>
    <w:rsid w:val="6D7B2E1B"/>
    <w:rsid w:val="6D7B36A5"/>
    <w:rsid w:val="6D7B5E7C"/>
    <w:rsid w:val="6D7B61BC"/>
    <w:rsid w:val="6D7B640B"/>
    <w:rsid w:val="6D7B7659"/>
    <w:rsid w:val="6D7B76B7"/>
    <w:rsid w:val="6D7C36BA"/>
    <w:rsid w:val="6D7D3037"/>
    <w:rsid w:val="6D7D4DE5"/>
    <w:rsid w:val="6D7D73E3"/>
    <w:rsid w:val="6D7E0FF0"/>
    <w:rsid w:val="6D7E46BA"/>
    <w:rsid w:val="6D7E6FA5"/>
    <w:rsid w:val="6D7F38DC"/>
    <w:rsid w:val="6D7F553A"/>
    <w:rsid w:val="6D7F6F34"/>
    <w:rsid w:val="6D7F746A"/>
    <w:rsid w:val="6D800432"/>
    <w:rsid w:val="6D8048D6"/>
    <w:rsid w:val="6D8141AA"/>
    <w:rsid w:val="6D8167B4"/>
    <w:rsid w:val="6D8223FC"/>
    <w:rsid w:val="6D82752C"/>
    <w:rsid w:val="6D834D1D"/>
    <w:rsid w:val="6D837F22"/>
    <w:rsid w:val="6D842996"/>
    <w:rsid w:val="6D844788"/>
    <w:rsid w:val="6D851CD7"/>
    <w:rsid w:val="6D853C9A"/>
    <w:rsid w:val="6D855A48"/>
    <w:rsid w:val="6D860AC1"/>
    <w:rsid w:val="6D8819DC"/>
    <w:rsid w:val="6D881F71"/>
    <w:rsid w:val="6D88378A"/>
    <w:rsid w:val="6D884DF7"/>
    <w:rsid w:val="6D887892"/>
    <w:rsid w:val="6D887BB6"/>
    <w:rsid w:val="6D8917BE"/>
    <w:rsid w:val="6D89482E"/>
    <w:rsid w:val="6D8A457D"/>
    <w:rsid w:val="6D8A5D20"/>
    <w:rsid w:val="6D8A7502"/>
    <w:rsid w:val="6D8B1382"/>
    <w:rsid w:val="6D8B1A0E"/>
    <w:rsid w:val="6D8B1D1F"/>
    <w:rsid w:val="6D8C5028"/>
    <w:rsid w:val="6D8D2B4F"/>
    <w:rsid w:val="6D8D3894"/>
    <w:rsid w:val="6D8D4D4B"/>
    <w:rsid w:val="6D8E05A2"/>
    <w:rsid w:val="6D8E2425"/>
    <w:rsid w:val="6D8E2DB8"/>
    <w:rsid w:val="6D8E325C"/>
    <w:rsid w:val="6D8E6FF3"/>
    <w:rsid w:val="6D8F2EDC"/>
    <w:rsid w:val="6D9025EA"/>
    <w:rsid w:val="6D910891"/>
    <w:rsid w:val="6D913D7F"/>
    <w:rsid w:val="6D9143ED"/>
    <w:rsid w:val="6D920884"/>
    <w:rsid w:val="6D92213D"/>
    <w:rsid w:val="6D934609"/>
    <w:rsid w:val="6D934810"/>
    <w:rsid w:val="6D9372DB"/>
    <w:rsid w:val="6D940263"/>
    <w:rsid w:val="6D940381"/>
    <w:rsid w:val="6D94212F"/>
    <w:rsid w:val="6D954E81"/>
    <w:rsid w:val="6D957426"/>
    <w:rsid w:val="6D960B82"/>
    <w:rsid w:val="6D9666DA"/>
    <w:rsid w:val="6D967C55"/>
    <w:rsid w:val="6D97577B"/>
    <w:rsid w:val="6D975A2A"/>
    <w:rsid w:val="6D995035"/>
    <w:rsid w:val="6D995997"/>
    <w:rsid w:val="6D996ED1"/>
    <w:rsid w:val="6D997503"/>
    <w:rsid w:val="6D9A4072"/>
    <w:rsid w:val="6D9A7925"/>
    <w:rsid w:val="6D9B1EA6"/>
    <w:rsid w:val="6D9B526C"/>
    <w:rsid w:val="6D9B6C43"/>
    <w:rsid w:val="6D9C0FE4"/>
    <w:rsid w:val="6D9C18AD"/>
    <w:rsid w:val="6D9C36C5"/>
    <w:rsid w:val="6D9D669B"/>
    <w:rsid w:val="6D9D7236"/>
    <w:rsid w:val="6D9E1D61"/>
    <w:rsid w:val="6D9E43E9"/>
    <w:rsid w:val="6D9E4D5C"/>
    <w:rsid w:val="6D9E632E"/>
    <w:rsid w:val="6D9E6B0A"/>
    <w:rsid w:val="6D9F07B0"/>
    <w:rsid w:val="6DA00AD4"/>
    <w:rsid w:val="6DA02C9B"/>
    <w:rsid w:val="6DA13F45"/>
    <w:rsid w:val="6DA20CFA"/>
    <w:rsid w:val="6DA22804"/>
    <w:rsid w:val="6DA241E4"/>
    <w:rsid w:val="6DA265FA"/>
    <w:rsid w:val="6DA26789"/>
    <w:rsid w:val="6DA32372"/>
    <w:rsid w:val="6DA33093"/>
    <w:rsid w:val="6DA337BB"/>
    <w:rsid w:val="6DA365DC"/>
    <w:rsid w:val="6DA51573"/>
    <w:rsid w:val="6DA57E98"/>
    <w:rsid w:val="6DA71E62"/>
    <w:rsid w:val="6DA75ACB"/>
    <w:rsid w:val="6DA7656E"/>
    <w:rsid w:val="6DA8583E"/>
    <w:rsid w:val="6DA85BDA"/>
    <w:rsid w:val="6DA86676"/>
    <w:rsid w:val="6DA866B2"/>
    <w:rsid w:val="6DA9356F"/>
    <w:rsid w:val="6DA93E2C"/>
    <w:rsid w:val="6DA960EF"/>
    <w:rsid w:val="6DAA1953"/>
    <w:rsid w:val="6DAA3B67"/>
    <w:rsid w:val="6DAA54AF"/>
    <w:rsid w:val="6DAA5CEC"/>
    <w:rsid w:val="6DAB6C6B"/>
    <w:rsid w:val="6DAB6E12"/>
    <w:rsid w:val="6DAC1227"/>
    <w:rsid w:val="6DAC688D"/>
    <w:rsid w:val="6DAC7BC8"/>
    <w:rsid w:val="6DAD31F1"/>
    <w:rsid w:val="6DAD4F9F"/>
    <w:rsid w:val="6DAD77C1"/>
    <w:rsid w:val="6DAE1F9A"/>
    <w:rsid w:val="6DAE5087"/>
    <w:rsid w:val="6DAF6F69"/>
    <w:rsid w:val="6DAF766B"/>
    <w:rsid w:val="6DB029F6"/>
    <w:rsid w:val="6DB079D9"/>
    <w:rsid w:val="6DB12A6B"/>
    <w:rsid w:val="6DB148D3"/>
    <w:rsid w:val="6DB165E7"/>
    <w:rsid w:val="6DB16858"/>
    <w:rsid w:val="6DB22058"/>
    <w:rsid w:val="6DB225B5"/>
    <w:rsid w:val="6DB24ECA"/>
    <w:rsid w:val="6DB25026"/>
    <w:rsid w:val="6DB25783"/>
    <w:rsid w:val="6DB30807"/>
    <w:rsid w:val="6DB33382"/>
    <w:rsid w:val="6DB34098"/>
    <w:rsid w:val="6DB3497A"/>
    <w:rsid w:val="6DB36A59"/>
    <w:rsid w:val="6DB41D5F"/>
    <w:rsid w:val="6DB420E0"/>
    <w:rsid w:val="6DB4457F"/>
    <w:rsid w:val="6DB4632D"/>
    <w:rsid w:val="6DB52F3F"/>
    <w:rsid w:val="6DB545B6"/>
    <w:rsid w:val="6DB549B7"/>
    <w:rsid w:val="6DB55CAD"/>
    <w:rsid w:val="6DB620A5"/>
    <w:rsid w:val="6DB6384B"/>
    <w:rsid w:val="6DB649AC"/>
    <w:rsid w:val="6DB75720"/>
    <w:rsid w:val="6DB85E1E"/>
    <w:rsid w:val="6DB90077"/>
    <w:rsid w:val="6DB91B96"/>
    <w:rsid w:val="6DB938A2"/>
    <w:rsid w:val="6DB93944"/>
    <w:rsid w:val="6DB962BA"/>
    <w:rsid w:val="6DBA04F3"/>
    <w:rsid w:val="6DBA7147"/>
    <w:rsid w:val="6DBA75D2"/>
    <w:rsid w:val="6DBB2B9F"/>
    <w:rsid w:val="6DBB76BC"/>
    <w:rsid w:val="6DBC0EF2"/>
    <w:rsid w:val="6DBC1CB5"/>
    <w:rsid w:val="6DBC51E2"/>
    <w:rsid w:val="6DBD56E8"/>
    <w:rsid w:val="6DBE478E"/>
    <w:rsid w:val="6DC01176"/>
    <w:rsid w:val="6DC02F24"/>
    <w:rsid w:val="6DC0489C"/>
    <w:rsid w:val="6DC049E5"/>
    <w:rsid w:val="6DC04CD2"/>
    <w:rsid w:val="6DC050B9"/>
    <w:rsid w:val="6DC1369C"/>
    <w:rsid w:val="6DC20493"/>
    <w:rsid w:val="6DC20A4A"/>
    <w:rsid w:val="6DC24EEE"/>
    <w:rsid w:val="6DC2748E"/>
    <w:rsid w:val="6DC27632"/>
    <w:rsid w:val="6DC331D1"/>
    <w:rsid w:val="6DC3327E"/>
    <w:rsid w:val="6DC4664E"/>
    <w:rsid w:val="6DC54C96"/>
    <w:rsid w:val="6DC55002"/>
    <w:rsid w:val="6DC5678C"/>
    <w:rsid w:val="6DC6202A"/>
    <w:rsid w:val="6DC65857"/>
    <w:rsid w:val="6DC66CDD"/>
    <w:rsid w:val="6DC72505"/>
    <w:rsid w:val="6DC727D2"/>
    <w:rsid w:val="6DC742B3"/>
    <w:rsid w:val="6DC773AF"/>
    <w:rsid w:val="6DC8065E"/>
    <w:rsid w:val="6DC82E40"/>
    <w:rsid w:val="6DC85463"/>
    <w:rsid w:val="6DC9002B"/>
    <w:rsid w:val="6DC91C0B"/>
    <w:rsid w:val="6DC92463"/>
    <w:rsid w:val="6DCA2AF5"/>
    <w:rsid w:val="6DCA34A1"/>
    <w:rsid w:val="6DCA39FD"/>
    <w:rsid w:val="6DCA5B51"/>
    <w:rsid w:val="6DCA78FF"/>
    <w:rsid w:val="6DCB45E0"/>
    <w:rsid w:val="6DCC0641"/>
    <w:rsid w:val="6DCC1484"/>
    <w:rsid w:val="6DCC18C9"/>
    <w:rsid w:val="6DCD19E2"/>
    <w:rsid w:val="6DCD1AD1"/>
    <w:rsid w:val="6DCD73EF"/>
    <w:rsid w:val="6DCE13E6"/>
    <w:rsid w:val="6DCE28E8"/>
    <w:rsid w:val="6DCE2F61"/>
    <w:rsid w:val="6DCE4C8E"/>
    <w:rsid w:val="6DCE5641"/>
    <w:rsid w:val="6DCF13B9"/>
    <w:rsid w:val="6DCF2FA7"/>
    <w:rsid w:val="6DCF3167"/>
    <w:rsid w:val="6DCF43F1"/>
    <w:rsid w:val="6DCF5D12"/>
    <w:rsid w:val="6DD02EF9"/>
    <w:rsid w:val="6DD05370"/>
    <w:rsid w:val="6DD061B4"/>
    <w:rsid w:val="6DD063E2"/>
    <w:rsid w:val="6DD10C8D"/>
    <w:rsid w:val="6DD15131"/>
    <w:rsid w:val="6DD16D11"/>
    <w:rsid w:val="6DD300C3"/>
    <w:rsid w:val="6DD3037F"/>
    <w:rsid w:val="6DD344A4"/>
    <w:rsid w:val="6DD35996"/>
    <w:rsid w:val="6DD3631E"/>
    <w:rsid w:val="6DD43CBA"/>
    <w:rsid w:val="6DD54C21"/>
    <w:rsid w:val="6DD556EA"/>
    <w:rsid w:val="6DD5732C"/>
    <w:rsid w:val="6DD573F7"/>
    <w:rsid w:val="6DD5779C"/>
    <w:rsid w:val="6DD62748"/>
    <w:rsid w:val="6DD644F6"/>
    <w:rsid w:val="6DD662A4"/>
    <w:rsid w:val="6DD70C6F"/>
    <w:rsid w:val="6DD71A9F"/>
    <w:rsid w:val="6DD744D9"/>
    <w:rsid w:val="6DD775C2"/>
    <w:rsid w:val="6DD8026E"/>
    <w:rsid w:val="6DD83CEA"/>
    <w:rsid w:val="6DD84DB0"/>
    <w:rsid w:val="6DD864C0"/>
    <w:rsid w:val="6DD90074"/>
    <w:rsid w:val="6DD9307F"/>
    <w:rsid w:val="6DDB20A4"/>
    <w:rsid w:val="6DDB5FB0"/>
    <w:rsid w:val="6DDB7D5E"/>
    <w:rsid w:val="6DDD3AD6"/>
    <w:rsid w:val="6DDD4C15"/>
    <w:rsid w:val="6DDD7632"/>
    <w:rsid w:val="6DDE2A56"/>
    <w:rsid w:val="6DDE33AA"/>
    <w:rsid w:val="6DDE7334"/>
    <w:rsid w:val="6DDF3EE1"/>
    <w:rsid w:val="6DDF643E"/>
    <w:rsid w:val="6DDF784E"/>
    <w:rsid w:val="6DE01DFA"/>
    <w:rsid w:val="6DE02FB4"/>
    <w:rsid w:val="6DE068C0"/>
    <w:rsid w:val="6DE146A8"/>
    <w:rsid w:val="6DE16E7C"/>
    <w:rsid w:val="6DE2083E"/>
    <w:rsid w:val="6DE210EC"/>
    <w:rsid w:val="6DE26D4A"/>
    <w:rsid w:val="6DE309C1"/>
    <w:rsid w:val="6DE35619"/>
    <w:rsid w:val="6DE36EB4"/>
    <w:rsid w:val="6DE372EB"/>
    <w:rsid w:val="6DE41359"/>
    <w:rsid w:val="6DE50BDD"/>
    <w:rsid w:val="6DE5298B"/>
    <w:rsid w:val="6DE52E29"/>
    <w:rsid w:val="6DE563FC"/>
    <w:rsid w:val="6DE62E7F"/>
    <w:rsid w:val="6DE71DDB"/>
    <w:rsid w:val="6DE76703"/>
    <w:rsid w:val="6DE77026"/>
    <w:rsid w:val="6DE85FD7"/>
    <w:rsid w:val="6DE9095D"/>
    <w:rsid w:val="6DE93138"/>
    <w:rsid w:val="6DE94E4B"/>
    <w:rsid w:val="6DE957F9"/>
    <w:rsid w:val="6DEA61F3"/>
    <w:rsid w:val="6DEA7FA1"/>
    <w:rsid w:val="6DEB09BD"/>
    <w:rsid w:val="6DEC1F6B"/>
    <w:rsid w:val="6DEC3D19"/>
    <w:rsid w:val="6DEC5AC7"/>
    <w:rsid w:val="6DED023B"/>
    <w:rsid w:val="6DED511C"/>
    <w:rsid w:val="6DEE183F"/>
    <w:rsid w:val="6DEF229A"/>
    <w:rsid w:val="6DEF560B"/>
    <w:rsid w:val="6DF11960"/>
    <w:rsid w:val="6DF229AE"/>
    <w:rsid w:val="6DF2446B"/>
    <w:rsid w:val="6DF27E1D"/>
    <w:rsid w:val="6DF337EC"/>
    <w:rsid w:val="6DF350A8"/>
    <w:rsid w:val="6DF40E20"/>
    <w:rsid w:val="6DF51DE1"/>
    <w:rsid w:val="6DF57072"/>
    <w:rsid w:val="6DF61C7D"/>
    <w:rsid w:val="6DF64B98"/>
    <w:rsid w:val="6DF65AF3"/>
    <w:rsid w:val="6DF66946"/>
    <w:rsid w:val="6DF70F3D"/>
    <w:rsid w:val="6DF826BE"/>
    <w:rsid w:val="6DF835FD"/>
    <w:rsid w:val="6DF901E4"/>
    <w:rsid w:val="6DF95F1D"/>
    <w:rsid w:val="6DF963FF"/>
    <w:rsid w:val="6DFA4688"/>
    <w:rsid w:val="6DFA50EA"/>
    <w:rsid w:val="6DFA6436"/>
    <w:rsid w:val="6DFA7423"/>
    <w:rsid w:val="6DFB0400"/>
    <w:rsid w:val="6DFB3F5C"/>
    <w:rsid w:val="6DFB52A0"/>
    <w:rsid w:val="6DFB5D0A"/>
    <w:rsid w:val="6DFC171B"/>
    <w:rsid w:val="6DFD1A82"/>
    <w:rsid w:val="6DFD4EF9"/>
    <w:rsid w:val="6DFD5F26"/>
    <w:rsid w:val="6DFD7CD4"/>
    <w:rsid w:val="6DFE032C"/>
    <w:rsid w:val="6DFE0991"/>
    <w:rsid w:val="6DFE42BD"/>
    <w:rsid w:val="6DFE57FA"/>
    <w:rsid w:val="6DFE5C2B"/>
    <w:rsid w:val="6DFE5D2E"/>
    <w:rsid w:val="6DFE7481"/>
    <w:rsid w:val="6DFF1C9E"/>
    <w:rsid w:val="6DFF34D0"/>
    <w:rsid w:val="6DFF3F0F"/>
    <w:rsid w:val="6E001573"/>
    <w:rsid w:val="6E004960"/>
    <w:rsid w:val="6E005A16"/>
    <w:rsid w:val="6E007490"/>
    <w:rsid w:val="6E0077C5"/>
    <w:rsid w:val="6E011532"/>
    <w:rsid w:val="6E011D4F"/>
    <w:rsid w:val="6E016B9B"/>
    <w:rsid w:val="6E0252EB"/>
    <w:rsid w:val="6E0435E6"/>
    <w:rsid w:val="6E0446E6"/>
    <w:rsid w:val="6E05302D"/>
    <w:rsid w:val="6E05339E"/>
    <w:rsid w:val="6E056B89"/>
    <w:rsid w:val="6E0607D2"/>
    <w:rsid w:val="6E0628E0"/>
    <w:rsid w:val="6E0641AC"/>
    <w:rsid w:val="6E0656F5"/>
    <w:rsid w:val="6E0702F0"/>
    <w:rsid w:val="6E070B53"/>
    <w:rsid w:val="6E072901"/>
    <w:rsid w:val="6E085B93"/>
    <w:rsid w:val="6E094B27"/>
    <w:rsid w:val="6E097CA4"/>
    <w:rsid w:val="6E0A5754"/>
    <w:rsid w:val="6E0B1A73"/>
    <w:rsid w:val="6E0B3AA9"/>
    <w:rsid w:val="6E0C4183"/>
    <w:rsid w:val="6E0C6798"/>
    <w:rsid w:val="6E0C7539"/>
    <w:rsid w:val="6E0D446A"/>
    <w:rsid w:val="6E0E0133"/>
    <w:rsid w:val="6E0E6F43"/>
    <w:rsid w:val="6E0F03E5"/>
    <w:rsid w:val="6E0F6CB3"/>
    <w:rsid w:val="6E0F7A08"/>
    <w:rsid w:val="6E10519E"/>
    <w:rsid w:val="6E120AE6"/>
    <w:rsid w:val="6E1312A6"/>
    <w:rsid w:val="6E134345"/>
    <w:rsid w:val="6E134A4E"/>
    <w:rsid w:val="6E13574A"/>
    <w:rsid w:val="6E135C5A"/>
    <w:rsid w:val="6E143C86"/>
    <w:rsid w:val="6E14672F"/>
    <w:rsid w:val="6E146DCC"/>
    <w:rsid w:val="6E15121F"/>
    <w:rsid w:val="6E153270"/>
    <w:rsid w:val="6E1641F5"/>
    <w:rsid w:val="6E166A0C"/>
    <w:rsid w:val="6E1678EE"/>
    <w:rsid w:val="6E167B7B"/>
    <w:rsid w:val="6E170B25"/>
    <w:rsid w:val="6E17171B"/>
    <w:rsid w:val="6E17526D"/>
    <w:rsid w:val="6E181A2F"/>
    <w:rsid w:val="6E182D60"/>
    <w:rsid w:val="6E18428E"/>
    <w:rsid w:val="6E184B0E"/>
    <w:rsid w:val="6E187783"/>
    <w:rsid w:val="6E192936"/>
    <w:rsid w:val="6E193E12"/>
    <w:rsid w:val="6E1A0886"/>
    <w:rsid w:val="6E1A6DB9"/>
    <w:rsid w:val="6E1B1568"/>
    <w:rsid w:val="6E1B6F8D"/>
    <w:rsid w:val="6E1C29F8"/>
    <w:rsid w:val="6E1D2124"/>
    <w:rsid w:val="6E1E0F9B"/>
    <w:rsid w:val="6E1E2FD5"/>
    <w:rsid w:val="6E1E5E7C"/>
    <w:rsid w:val="6E1F3866"/>
    <w:rsid w:val="6E201C15"/>
    <w:rsid w:val="6E2027C3"/>
    <w:rsid w:val="6E202809"/>
    <w:rsid w:val="6E205FE3"/>
    <w:rsid w:val="6E207944"/>
    <w:rsid w:val="6E213094"/>
    <w:rsid w:val="6E217E67"/>
    <w:rsid w:val="6E221924"/>
    <w:rsid w:val="6E22773B"/>
    <w:rsid w:val="6E2300D5"/>
    <w:rsid w:val="6E241705"/>
    <w:rsid w:val="6E2434B3"/>
    <w:rsid w:val="6E245261"/>
    <w:rsid w:val="6E250FD9"/>
    <w:rsid w:val="6E25452A"/>
    <w:rsid w:val="6E2551E6"/>
    <w:rsid w:val="6E256177"/>
    <w:rsid w:val="6E2619CF"/>
    <w:rsid w:val="6E26547D"/>
    <w:rsid w:val="6E2711F5"/>
    <w:rsid w:val="6E272600"/>
    <w:rsid w:val="6E274D51"/>
    <w:rsid w:val="6E276AFF"/>
    <w:rsid w:val="6E290AC9"/>
    <w:rsid w:val="6E292877"/>
    <w:rsid w:val="6E2A65EF"/>
    <w:rsid w:val="6E2B2A93"/>
    <w:rsid w:val="6E2B3541"/>
    <w:rsid w:val="6E2C036B"/>
    <w:rsid w:val="6E2C05BA"/>
    <w:rsid w:val="6E2C063E"/>
    <w:rsid w:val="6E2C17BD"/>
    <w:rsid w:val="6E2C2368"/>
    <w:rsid w:val="6E2C680B"/>
    <w:rsid w:val="6E2C697C"/>
    <w:rsid w:val="6E2C6CC8"/>
    <w:rsid w:val="6E2D397D"/>
    <w:rsid w:val="6E2D4C09"/>
    <w:rsid w:val="6E2D4CC1"/>
    <w:rsid w:val="6E2E60E0"/>
    <w:rsid w:val="6E2E629D"/>
    <w:rsid w:val="6E2F0598"/>
    <w:rsid w:val="6E2F0E46"/>
    <w:rsid w:val="6E2F0E6E"/>
    <w:rsid w:val="6E2F2E4B"/>
    <w:rsid w:val="6E2F3C06"/>
    <w:rsid w:val="6E2F67E2"/>
    <w:rsid w:val="6E2F772D"/>
    <w:rsid w:val="6E3074D3"/>
    <w:rsid w:val="6E315BD0"/>
    <w:rsid w:val="6E323217"/>
    <w:rsid w:val="6E3336F6"/>
    <w:rsid w:val="6E33725F"/>
    <w:rsid w:val="6E34121C"/>
    <w:rsid w:val="6E34647A"/>
    <w:rsid w:val="6E35161C"/>
    <w:rsid w:val="6E3531DF"/>
    <w:rsid w:val="6E3556C0"/>
    <w:rsid w:val="6E356225"/>
    <w:rsid w:val="6E35746E"/>
    <w:rsid w:val="6E3631E6"/>
    <w:rsid w:val="6E364A2F"/>
    <w:rsid w:val="6E370799"/>
    <w:rsid w:val="6E3722BA"/>
    <w:rsid w:val="6E380A90"/>
    <w:rsid w:val="6E393228"/>
    <w:rsid w:val="6E3979C1"/>
    <w:rsid w:val="6E3A0F28"/>
    <w:rsid w:val="6E3A33B0"/>
    <w:rsid w:val="6E3A4A84"/>
    <w:rsid w:val="6E3A58E8"/>
    <w:rsid w:val="6E3B07FD"/>
    <w:rsid w:val="6E3B25AB"/>
    <w:rsid w:val="6E3B40E8"/>
    <w:rsid w:val="6E3B6A4F"/>
    <w:rsid w:val="6E3C3ED7"/>
    <w:rsid w:val="6E3D0ECE"/>
    <w:rsid w:val="6E3D2B0F"/>
    <w:rsid w:val="6E3D4575"/>
    <w:rsid w:val="6E3E1D36"/>
    <w:rsid w:val="6E3F02ED"/>
    <w:rsid w:val="6E3F653F"/>
    <w:rsid w:val="6E402B70"/>
    <w:rsid w:val="6E4043AC"/>
    <w:rsid w:val="6E412B8D"/>
    <w:rsid w:val="6E412E28"/>
    <w:rsid w:val="6E414065"/>
    <w:rsid w:val="6E430774"/>
    <w:rsid w:val="6E432276"/>
    <w:rsid w:val="6E443B55"/>
    <w:rsid w:val="6E445903"/>
    <w:rsid w:val="6E446803"/>
    <w:rsid w:val="6E4476B1"/>
    <w:rsid w:val="6E454D7F"/>
    <w:rsid w:val="6E46167B"/>
    <w:rsid w:val="6E463BF4"/>
    <w:rsid w:val="6E4712B1"/>
    <w:rsid w:val="6E4716FC"/>
    <w:rsid w:val="6E4753F3"/>
    <w:rsid w:val="6E4770F5"/>
    <w:rsid w:val="6E494CC8"/>
    <w:rsid w:val="6E4A0A40"/>
    <w:rsid w:val="6E4B2605"/>
    <w:rsid w:val="6E4B4EE4"/>
    <w:rsid w:val="6E4B6C92"/>
    <w:rsid w:val="6E4C47B8"/>
    <w:rsid w:val="6E4C5841"/>
    <w:rsid w:val="6E4E0408"/>
    <w:rsid w:val="6E4E22DE"/>
    <w:rsid w:val="6E4E6782"/>
    <w:rsid w:val="6E4E6836"/>
    <w:rsid w:val="6E4F6056"/>
    <w:rsid w:val="6E4F6D17"/>
    <w:rsid w:val="6E4F7FF6"/>
    <w:rsid w:val="6E5075FC"/>
    <w:rsid w:val="6E51067A"/>
    <w:rsid w:val="6E512D78"/>
    <w:rsid w:val="6E514CED"/>
    <w:rsid w:val="6E524208"/>
    <w:rsid w:val="6E526272"/>
    <w:rsid w:val="6E526F1D"/>
    <w:rsid w:val="6E531FEA"/>
    <w:rsid w:val="6E533D98"/>
    <w:rsid w:val="6E540CFB"/>
    <w:rsid w:val="6E5463F4"/>
    <w:rsid w:val="6E546850"/>
    <w:rsid w:val="6E551251"/>
    <w:rsid w:val="6E552B89"/>
    <w:rsid w:val="6E553C41"/>
    <w:rsid w:val="6E565636"/>
    <w:rsid w:val="6E5671A6"/>
    <w:rsid w:val="6E56746B"/>
    <w:rsid w:val="6E571C17"/>
    <w:rsid w:val="6E574EE8"/>
    <w:rsid w:val="6E576839"/>
    <w:rsid w:val="6E5813AF"/>
    <w:rsid w:val="6E5852EF"/>
    <w:rsid w:val="6E587601"/>
    <w:rsid w:val="6E5A0C83"/>
    <w:rsid w:val="6E5A13F6"/>
    <w:rsid w:val="6E5A5127"/>
    <w:rsid w:val="6E5A6ED5"/>
    <w:rsid w:val="6E5A7C3A"/>
    <w:rsid w:val="6E5B49FB"/>
    <w:rsid w:val="6E5B6053"/>
    <w:rsid w:val="6E5C0E9F"/>
    <w:rsid w:val="6E5C30C2"/>
    <w:rsid w:val="6E5C6BF4"/>
    <w:rsid w:val="6E5C7E8B"/>
    <w:rsid w:val="6E5D0773"/>
    <w:rsid w:val="6E5D0EF9"/>
    <w:rsid w:val="6E5D4C17"/>
    <w:rsid w:val="6E5E1FEF"/>
    <w:rsid w:val="6E5E2591"/>
    <w:rsid w:val="6E5F0152"/>
    <w:rsid w:val="6E5F09C7"/>
    <w:rsid w:val="6E5F3178"/>
    <w:rsid w:val="6E5F4684"/>
    <w:rsid w:val="6E600263"/>
    <w:rsid w:val="6E602011"/>
    <w:rsid w:val="6E605F62"/>
    <w:rsid w:val="6E61110D"/>
    <w:rsid w:val="6E612A2C"/>
    <w:rsid w:val="6E61573D"/>
    <w:rsid w:val="6E621798"/>
    <w:rsid w:val="6E6223EF"/>
    <w:rsid w:val="6E623CFD"/>
    <w:rsid w:val="6E635C34"/>
    <w:rsid w:val="6E640DFA"/>
    <w:rsid w:val="6E642252"/>
    <w:rsid w:val="6E645FA5"/>
    <w:rsid w:val="6E647D53"/>
    <w:rsid w:val="6E652292"/>
    <w:rsid w:val="6E654C23"/>
    <w:rsid w:val="6E657628"/>
    <w:rsid w:val="6E661D1D"/>
    <w:rsid w:val="6E663ACB"/>
    <w:rsid w:val="6E66587A"/>
    <w:rsid w:val="6E6715F2"/>
    <w:rsid w:val="6E6718F1"/>
    <w:rsid w:val="6E6736D0"/>
    <w:rsid w:val="6E68155B"/>
    <w:rsid w:val="6E6905EC"/>
    <w:rsid w:val="6E6935BC"/>
    <w:rsid w:val="6E695D14"/>
    <w:rsid w:val="6E697118"/>
    <w:rsid w:val="6E6A17AB"/>
    <w:rsid w:val="6E6A391F"/>
    <w:rsid w:val="6E6A4944"/>
    <w:rsid w:val="6E6A6DC5"/>
    <w:rsid w:val="6E6B2E90"/>
    <w:rsid w:val="6E6B7334"/>
    <w:rsid w:val="6E6C4E5A"/>
    <w:rsid w:val="6E6D1059"/>
    <w:rsid w:val="6E6D76CF"/>
    <w:rsid w:val="6E6E0BD2"/>
    <w:rsid w:val="6E6E472E"/>
    <w:rsid w:val="6E6F0923"/>
    <w:rsid w:val="6E6F2909"/>
    <w:rsid w:val="6E6F7CD0"/>
    <w:rsid w:val="6E7004A6"/>
    <w:rsid w:val="6E700D11"/>
    <w:rsid w:val="6E70494A"/>
    <w:rsid w:val="6E704C8A"/>
    <w:rsid w:val="6E712470"/>
    <w:rsid w:val="6E7129A0"/>
    <w:rsid w:val="6E71421E"/>
    <w:rsid w:val="6E7177B0"/>
    <w:rsid w:val="6E7225D7"/>
    <w:rsid w:val="6E72350C"/>
    <w:rsid w:val="6E7270D1"/>
    <w:rsid w:val="6E7308D0"/>
    <w:rsid w:val="6E730E0D"/>
    <w:rsid w:val="6E731D44"/>
    <w:rsid w:val="6E732515"/>
    <w:rsid w:val="6E74088D"/>
    <w:rsid w:val="6E7449D1"/>
    <w:rsid w:val="6E744EA7"/>
    <w:rsid w:val="6E752A23"/>
    <w:rsid w:val="6E752E05"/>
    <w:rsid w:val="6E756B4D"/>
    <w:rsid w:val="6E775CD9"/>
    <w:rsid w:val="6E7837FF"/>
    <w:rsid w:val="6E7855AD"/>
    <w:rsid w:val="6E7864C4"/>
    <w:rsid w:val="6E794AB0"/>
    <w:rsid w:val="6E796073"/>
    <w:rsid w:val="6E7973B3"/>
    <w:rsid w:val="6E7977B1"/>
    <w:rsid w:val="6E7A1325"/>
    <w:rsid w:val="6E7A4869"/>
    <w:rsid w:val="6E7A79B2"/>
    <w:rsid w:val="6E7B09C0"/>
    <w:rsid w:val="6E7B76F4"/>
    <w:rsid w:val="6E7C32EF"/>
    <w:rsid w:val="6E7D1856"/>
    <w:rsid w:val="6E7D2BC3"/>
    <w:rsid w:val="6E7F4B8D"/>
    <w:rsid w:val="6E7F4BBE"/>
    <w:rsid w:val="6E80314B"/>
    <w:rsid w:val="6E805B45"/>
    <w:rsid w:val="6E81018A"/>
    <w:rsid w:val="6E81072A"/>
    <w:rsid w:val="6E810905"/>
    <w:rsid w:val="6E8126B3"/>
    <w:rsid w:val="6E817E1D"/>
    <w:rsid w:val="6E8201DA"/>
    <w:rsid w:val="6E821F66"/>
    <w:rsid w:val="6E822670"/>
    <w:rsid w:val="6E837C02"/>
    <w:rsid w:val="6E8403F6"/>
    <w:rsid w:val="6E8418F9"/>
    <w:rsid w:val="6E843F52"/>
    <w:rsid w:val="6E8442D1"/>
    <w:rsid w:val="6E851A78"/>
    <w:rsid w:val="6E852F21"/>
    <w:rsid w:val="6E866C79"/>
    <w:rsid w:val="6E867A25"/>
    <w:rsid w:val="6E873A42"/>
    <w:rsid w:val="6E8757F0"/>
    <w:rsid w:val="6E881C94"/>
    <w:rsid w:val="6E887399"/>
    <w:rsid w:val="6E88740E"/>
    <w:rsid w:val="6E891568"/>
    <w:rsid w:val="6E895A0C"/>
    <w:rsid w:val="6E8969AB"/>
    <w:rsid w:val="6E896EA8"/>
    <w:rsid w:val="6E8A17C8"/>
    <w:rsid w:val="6E8A4E3C"/>
    <w:rsid w:val="6E8A6321"/>
    <w:rsid w:val="6E8B1784"/>
    <w:rsid w:val="6E8B3926"/>
    <w:rsid w:val="6E8B3FA5"/>
    <w:rsid w:val="6E8B4675"/>
    <w:rsid w:val="6E8D188A"/>
    <w:rsid w:val="6E8E1402"/>
    <w:rsid w:val="6E8E3022"/>
    <w:rsid w:val="6E8E4DD0"/>
    <w:rsid w:val="6E8E6923"/>
    <w:rsid w:val="6E8E7FE4"/>
    <w:rsid w:val="6E8F15D9"/>
    <w:rsid w:val="6E900B48"/>
    <w:rsid w:val="6E9028F6"/>
    <w:rsid w:val="6E902A69"/>
    <w:rsid w:val="6E904049"/>
    <w:rsid w:val="6E911FDE"/>
    <w:rsid w:val="6E92169B"/>
    <w:rsid w:val="6E930639"/>
    <w:rsid w:val="6E941424"/>
    <w:rsid w:val="6E941BF7"/>
    <w:rsid w:val="6E941F38"/>
    <w:rsid w:val="6E946C94"/>
    <w:rsid w:val="6E9477C4"/>
    <w:rsid w:val="6E9479BA"/>
    <w:rsid w:val="6E9502B0"/>
    <w:rsid w:val="6E95676A"/>
    <w:rsid w:val="6E96230F"/>
    <w:rsid w:val="6E963A05"/>
    <w:rsid w:val="6E971ED7"/>
    <w:rsid w:val="6E97555C"/>
    <w:rsid w:val="6E9755D3"/>
    <w:rsid w:val="6E9772F9"/>
    <w:rsid w:val="6E977A01"/>
    <w:rsid w:val="6E980D47"/>
    <w:rsid w:val="6E990DB2"/>
    <w:rsid w:val="6E993260"/>
    <w:rsid w:val="6E993FD8"/>
    <w:rsid w:val="6E99525C"/>
    <w:rsid w:val="6E9957B4"/>
    <w:rsid w:val="6E996A07"/>
    <w:rsid w:val="6E9A19C7"/>
    <w:rsid w:val="6E9A3775"/>
    <w:rsid w:val="6E9B1450"/>
    <w:rsid w:val="6E9B4AD3"/>
    <w:rsid w:val="6E9C025F"/>
    <w:rsid w:val="6E9C17A8"/>
    <w:rsid w:val="6E9C74ED"/>
    <w:rsid w:val="6E9D3265"/>
    <w:rsid w:val="6E9D506D"/>
    <w:rsid w:val="6E9D7DB7"/>
    <w:rsid w:val="6E9F2B3A"/>
    <w:rsid w:val="6E9F4F2E"/>
    <w:rsid w:val="6E9F6FDD"/>
    <w:rsid w:val="6EA00FF9"/>
    <w:rsid w:val="6EA02B71"/>
    <w:rsid w:val="6EA0355A"/>
    <w:rsid w:val="6EA05D5D"/>
    <w:rsid w:val="6EA07C30"/>
    <w:rsid w:val="6EA15DD0"/>
    <w:rsid w:val="6EA168B2"/>
    <w:rsid w:val="6EA2262A"/>
    <w:rsid w:val="6EA25B6B"/>
    <w:rsid w:val="6EA40AB5"/>
    <w:rsid w:val="6EA42846"/>
    <w:rsid w:val="6EA445F4"/>
    <w:rsid w:val="6EA6153B"/>
    <w:rsid w:val="6EA6162E"/>
    <w:rsid w:val="6EA6211A"/>
    <w:rsid w:val="6EA62ED6"/>
    <w:rsid w:val="6EA77A67"/>
    <w:rsid w:val="6EA840E4"/>
    <w:rsid w:val="6EA909AD"/>
    <w:rsid w:val="6EA939B8"/>
    <w:rsid w:val="6EA949A4"/>
    <w:rsid w:val="6EAA0DB2"/>
    <w:rsid w:val="6EAA2ABE"/>
    <w:rsid w:val="6EAA2C51"/>
    <w:rsid w:val="6EAA5773"/>
    <w:rsid w:val="6EAB5982"/>
    <w:rsid w:val="6EAC1B47"/>
    <w:rsid w:val="6EAD11A6"/>
    <w:rsid w:val="6EAD16FA"/>
    <w:rsid w:val="6EAD2366"/>
    <w:rsid w:val="6EAD26CB"/>
    <w:rsid w:val="6EAD6BE2"/>
    <w:rsid w:val="6EAD794E"/>
    <w:rsid w:val="6EAE3DA2"/>
    <w:rsid w:val="6EAE7733"/>
    <w:rsid w:val="6EAF0B78"/>
    <w:rsid w:val="6EAF0BC3"/>
    <w:rsid w:val="6EAF3120"/>
    <w:rsid w:val="6EAF44A0"/>
    <w:rsid w:val="6EAF4C3A"/>
    <w:rsid w:val="6EAF50A7"/>
    <w:rsid w:val="6EAF5E3D"/>
    <w:rsid w:val="6EB02F99"/>
    <w:rsid w:val="6EB04C24"/>
    <w:rsid w:val="6EB04D47"/>
    <w:rsid w:val="6EB11CA8"/>
    <w:rsid w:val="6EB124F1"/>
    <w:rsid w:val="6EB20388"/>
    <w:rsid w:val="6EB30189"/>
    <w:rsid w:val="6EB308A9"/>
    <w:rsid w:val="6EB341D7"/>
    <w:rsid w:val="6EB34837"/>
    <w:rsid w:val="6EB41E64"/>
    <w:rsid w:val="6EB424D3"/>
    <w:rsid w:val="6EB44314"/>
    <w:rsid w:val="6EB44A35"/>
    <w:rsid w:val="6EB460FD"/>
    <w:rsid w:val="6EB47688"/>
    <w:rsid w:val="6EB563D5"/>
    <w:rsid w:val="6EB56801"/>
    <w:rsid w:val="6EB620EA"/>
    <w:rsid w:val="6EB64A32"/>
    <w:rsid w:val="6EB81E4D"/>
    <w:rsid w:val="6EB83E57"/>
    <w:rsid w:val="6EB92EDE"/>
    <w:rsid w:val="6EB96428"/>
    <w:rsid w:val="6EBA37B1"/>
    <w:rsid w:val="6EBA3E17"/>
    <w:rsid w:val="6EBA5BC5"/>
    <w:rsid w:val="6EBA636C"/>
    <w:rsid w:val="6EBB05F6"/>
    <w:rsid w:val="6EBB20C4"/>
    <w:rsid w:val="6EBB21E2"/>
    <w:rsid w:val="6EBB5E17"/>
    <w:rsid w:val="6EBB6845"/>
    <w:rsid w:val="6EBB7479"/>
    <w:rsid w:val="6EBB7F75"/>
    <w:rsid w:val="6EBC069A"/>
    <w:rsid w:val="6EBC193D"/>
    <w:rsid w:val="6EBC36EB"/>
    <w:rsid w:val="6EBC7481"/>
    <w:rsid w:val="6EBC7B8F"/>
    <w:rsid w:val="6EBD1212"/>
    <w:rsid w:val="6EBD1288"/>
    <w:rsid w:val="6EBD4657"/>
    <w:rsid w:val="6EBD4F8D"/>
    <w:rsid w:val="6EBE3907"/>
    <w:rsid w:val="6EBE56B6"/>
    <w:rsid w:val="6EBE58CD"/>
    <w:rsid w:val="6EBE650C"/>
    <w:rsid w:val="6EBF0413"/>
    <w:rsid w:val="6EBF4F8A"/>
    <w:rsid w:val="6EC07690"/>
    <w:rsid w:val="6EC16F54"/>
    <w:rsid w:val="6EC176D2"/>
    <w:rsid w:val="6EC21563"/>
    <w:rsid w:val="6EC24A7A"/>
    <w:rsid w:val="6EC411F0"/>
    <w:rsid w:val="6EC41959"/>
    <w:rsid w:val="6EC425A0"/>
    <w:rsid w:val="6EC4357F"/>
    <w:rsid w:val="6EC46564"/>
    <w:rsid w:val="6EC50905"/>
    <w:rsid w:val="6EC51435"/>
    <w:rsid w:val="6EC51FF4"/>
    <w:rsid w:val="6EC56817"/>
    <w:rsid w:val="6EC61516"/>
    <w:rsid w:val="6EC6353C"/>
    <w:rsid w:val="6EC64279"/>
    <w:rsid w:val="6EC6456A"/>
    <w:rsid w:val="6EC72090"/>
    <w:rsid w:val="6EC8176A"/>
    <w:rsid w:val="6EC9405A"/>
    <w:rsid w:val="6EC95249"/>
    <w:rsid w:val="6EC95E08"/>
    <w:rsid w:val="6EC96E0C"/>
    <w:rsid w:val="6ECA02E6"/>
    <w:rsid w:val="6ECB0739"/>
    <w:rsid w:val="6ECB1B80"/>
    <w:rsid w:val="6ECB3504"/>
    <w:rsid w:val="6ECC0B8D"/>
    <w:rsid w:val="6ECC28D0"/>
    <w:rsid w:val="6ECC76A7"/>
    <w:rsid w:val="6ECD46AE"/>
    <w:rsid w:val="6ECD58F9"/>
    <w:rsid w:val="6ECE1671"/>
    <w:rsid w:val="6ECE341F"/>
    <w:rsid w:val="6ECE4ABB"/>
    <w:rsid w:val="6ECE4AE0"/>
    <w:rsid w:val="6ECE73F1"/>
    <w:rsid w:val="6ECF339E"/>
    <w:rsid w:val="6ED05124"/>
    <w:rsid w:val="6ED053E9"/>
    <w:rsid w:val="6ED10D86"/>
    <w:rsid w:val="6ED1305E"/>
    <w:rsid w:val="6ED135FD"/>
    <w:rsid w:val="6ED21161"/>
    <w:rsid w:val="6ED24CBD"/>
    <w:rsid w:val="6ED26E43"/>
    <w:rsid w:val="6ED345CF"/>
    <w:rsid w:val="6ED36C87"/>
    <w:rsid w:val="6ED4093E"/>
    <w:rsid w:val="6ED50C51"/>
    <w:rsid w:val="6ED5537B"/>
    <w:rsid w:val="6ED554AF"/>
    <w:rsid w:val="6ED566E7"/>
    <w:rsid w:val="6ED7624D"/>
    <w:rsid w:val="6ED77DCF"/>
    <w:rsid w:val="6ED819CF"/>
    <w:rsid w:val="6ED83B49"/>
    <w:rsid w:val="6ED92677"/>
    <w:rsid w:val="6ED942BA"/>
    <w:rsid w:val="6EDA0016"/>
    <w:rsid w:val="6EDA30B5"/>
    <w:rsid w:val="6EDA41E8"/>
    <w:rsid w:val="6EDA5EDF"/>
    <w:rsid w:val="6EDA5EEB"/>
    <w:rsid w:val="6EDB2BC6"/>
    <w:rsid w:val="6EDC0F9E"/>
    <w:rsid w:val="6EDC1070"/>
    <w:rsid w:val="6EDC1FE0"/>
    <w:rsid w:val="6EDC320D"/>
    <w:rsid w:val="6EDC48A1"/>
    <w:rsid w:val="6EDC6E70"/>
    <w:rsid w:val="6EDD1615"/>
    <w:rsid w:val="6EDD18B4"/>
    <w:rsid w:val="6EDD6B31"/>
    <w:rsid w:val="6EDF0FE8"/>
    <w:rsid w:val="6EDF22FE"/>
    <w:rsid w:val="6EDF339C"/>
    <w:rsid w:val="6EDF395E"/>
    <w:rsid w:val="6EDF562C"/>
    <w:rsid w:val="6EDF6A55"/>
    <w:rsid w:val="6EDF73DA"/>
    <w:rsid w:val="6EE018D7"/>
    <w:rsid w:val="6EE03FD2"/>
    <w:rsid w:val="6EE07F39"/>
    <w:rsid w:val="6EE132F8"/>
    <w:rsid w:val="6EE17982"/>
    <w:rsid w:val="6EE212EA"/>
    <w:rsid w:val="6EE26A42"/>
    <w:rsid w:val="6EE35898"/>
    <w:rsid w:val="6EE36ECA"/>
    <w:rsid w:val="6EE40325"/>
    <w:rsid w:val="6EE40F43"/>
    <w:rsid w:val="6EE41070"/>
    <w:rsid w:val="6EE42C42"/>
    <w:rsid w:val="6EE43595"/>
    <w:rsid w:val="6EE449F0"/>
    <w:rsid w:val="6EE4529F"/>
    <w:rsid w:val="6EE47802"/>
    <w:rsid w:val="6EE50BFF"/>
    <w:rsid w:val="6EE518A3"/>
    <w:rsid w:val="6EE60768"/>
    <w:rsid w:val="6EE65A1F"/>
    <w:rsid w:val="6EE65DAF"/>
    <w:rsid w:val="6EE66434"/>
    <w:rsid w:val="6EE669BA"/>
    <w:rsid w:val="6EE80984"/>
    <w:rsid w:val="6EE80D54"/>
    <w:rsid w:val="6EE82732"/>
    <w:rsid w:val="6EE8346D"/>
    <w:rsid w:val="6EE84527"/>
    <w:rsid w:val="6EE8620D"/>
    <w:rsid w:val="6EE915EB"/>
    <w:rsid w:val="6EE92007"/>
    <w:rsid w:val="6EE921E4"/>
    <w:rsid w:val="6EE92BDF"/>
    <w:rsid w:val="6EEA26C7"/>
    <w:rsid w:val="6EEA3289"/>
    <w:rsid w:val="6EEA46FD"/>
    <w:rsid w:val="6EEB2223"/>
    <w:rsid w:val="6EEB2CC8"/>
    <w:rsid w:val="6EEB6642"/>
    <w:rsid w:val="6EEC171A"/>
    <w:rsid w:val="6EEC3FF6"/>
    <w:rsid w:val="6EEC4330"/>
    <w:rsid w:val="6EED02B1"/>
    <w:rsid w:val="6EED1AF7"/>
    <w:rsid w:val="6EED1B95"/>
    <w:rsid w:val="6EED2365"/>
    <w:rsid w:val="6EED5DC3"/>
    <w:rsid w:val="6EED7D49"/>
    <w:rsid w:val="6EEE3485"/>
    <w:rsid w:val="6EEE3AC1"/>
    <w:rsid w:val="6EEE586F"/>
    <w:rsid w:val="6EEF0E44"/>
    <w:rsid w:val="6EEF2A9F"/>
    <w:rsid w:val="6EEF6099"/>
    <w:rsid w:val="6EF0119C"/>
    <w:rsid w:val="6EF0451F"/>
    <w:rsid w:val="6EF11E06"/>
    <w:rsid w:val="6EF12878"/>
    <w:rsid w:val="6EF235B1"/>
    <w:rsid w:val="6EF2710D"/>
    <w:rsid w:val="6EF3593B"/>
    <w:rsid w:val="6EF36651"/>
    <w:rsid w:val="6EF4219C"/>
    <w:rsid w:val="6EF42B29"/>
    <w:rsid w:val="6EF4315A"/>
    <w:rsid w:val="6EF47329"/>
    <w:rsid w:val="6EF530A1"/>
    <w:rsid w:val="6EF54AE0"/>
    <w:rsid w:val="6EF55661"/>
    <w:rsid w:val="6EF57375"/>
    <w:rsid w:val="6EF62C5A"/>
    <w:rsid w:val="6EF6460A"/>
    <w:rsid w:val="6EF72976"/>
    <w:rsid w:val="6EF73374"/>
    <w:rsid w:val="6EF74724"/>
    <w:rsid w:val="6EF8018D"/>
    <w:rsid w:val="6EF946EB"/>
    <w:rsid w:val="6EF94940"/>
    <w:rsid w:val="6EF966EE"/>
    <w:rsid w:val="6EFA06B8"/>
    <w:rsid w:val="6EFA3169"/>
    <w:rsid w:val="6EFA6420"/>
    <w:rsid w:val="6EFB1233"/>
    <w:rsid w:val="6EFB1B0C"/>
    <w:rsid w:val="6EFB45F9"/>
    <w:rsid w:val="6EFB4B62"/>
    <w:rsid w:val="6EFB4DC9"/>
    <w:rsid w:val="6EFB5A89"/>
    <w:rsid w:val="6EFC1D3A"/>
    <w:rsid w:val="6EFC4430"/>
    <w:rsid w:val="6EFC7901"/>
    <w:rsid w:val="6EFD4952"/>
    <w:rsid w:val="6EFE122F"/>
    <w:rsid w:val="6EFF2372"/>
    <w:rsid w:val="6EFF461E"/>
    <w:rsid w:val="6EFF4FDA"/>
    <w:rsid w:val="6EFF5CCE"/>
    <w:rsid w:val="6EFF7A7C"/>
    <w:rsid w:val="6F007EE5"/>
    <w:rsid w:val="6F015349"/>
    <w:rsid w:val="6F0155A2"/>
    <w:rsid w:val="6F02167F"/>
    <w:rsid w:val="6F022D8B"/>
    <w:rsid w:val="6F0230C8"/>
    <w:rsid w:val="6F0244CC"/>
    <w:rsid w:val="6F027F4A"/>
    <w:rsid w:val="6F03131A"/>
    <w:rsid w:val="6F032E48"/>
    <w:rsid w:val="6F0357BE"/>
    <w:rsid w:val="6F03756C"/>
    <w:rsid w:val="6F0435A4"/>
    <w:rsid w:val="6F0448B2"/>
    <w:rsid w:val="6F045092"/>
    <w:rsid w:val="6F046DEC"/>
    <w:rsid w:val="6F046E40"/>
    <w:rsid w:val="6F050E73"/>
    <w:rsid w:val="6F060E0B"/>
    <w:rsid w:val="6F062BB9"/>
    <w:rsid w:val="6F070E5F"/>
    <w:rsid w:val="6F071C5C"/>
    <w:rsid w:val="6F076404"/>
    <w:rsid w:val="6F08033E"/>
    <w:rsid w:val="6F0815AB"/>
    <w:rsid w:val="6F084B83"/>
    <w:rsid w:val="6F09172B"/>
    <w:rsid w:val="6F0A08FB"/>
    <w:rsid w:val="6F0B4673"/>
    <w:rsid w:val="6F0B6421"/>
    <w:rsid w:val="6F0C162D"/>
    <w:rsid w:val="6F0D15DF"/>
    <w:rsid w:val="6F0D2199"/>
    <w:rsid w:val="6F0D612C"/>
    <w:rsid w:val="6F0D6517"/>
    <w:rsid w:val="6F0E4B5F"/>
    <w:rsid w:val="6F0F1C24"/>
    <w:rsid w:val="6F0F4163"/>
    <w:rsid w:val="6F0F587A"/>
    <w:rsid w:val="6F0F5F11"/>
    <w:rsid w:val="6F0F6223"/>
    <w:rsid w:val="6F101C89"/>
    <w:rsid w:val="6F10286B"/>
    <w:rsid w:val="6F104CD7"/>
    <w:rsid w:val="6F104E83"/>
    <w:rsid w:val="6F1057E5"/>
    <w:rsid w:val="6F1073A6"/>
    <w:rsid w:val="6F110F7A"/>
    <w:rsid w:val="6F115B2B"/>
    <w:rsid w:val="6F122880"/>
    <w:rsid w:val="6F1304BA"/>
    <w:rsid w:val="6F135451"/>
    <w:rsid w:val="6F141779"/>
    <w:rsid w:val="6F143527"/>
    <w:rsid w:val="6F151B86"/>
    <w:rsid w:val="6F154891"/>
    <w:rsid w:val="6F157599"/>
    <w:rsid w:val="6F160ED6"/>
    <w:rsid w:val="6F161201"/>
    <w:rsid w:val="6F161513"/>
    <w:rsid w:val="6F164925"/>
    <w:rsid w:val="6F1709DB"/>
    <w:rsid w:val="6F173018"/>
    <w:rsid w:val="6F183F9D"/>
    <w:rsid w:val="6F1866F2"/>
    <w:rsid w:val="6F190B3E"/>
    <w:rsid w:val="6F193003"/>
    <w:rsid w:val="6F193D36"/>
    <w:rsid w:val="6F1960A7"/>
    <w:rsid w:val="6F1965ED"/>
    <w:rsid w:val="6F1976A6"/>
    <w:rsid w:val="6F1A145E"/>
    <w:rsid w:val="6F1A3BE3"/>
    <w:rsid w:val="6F1A46D3"/>
    <w:rsid w:val="6F1A6664"/>
    <w:rsid w:val="6F1B0958"/>
    <w:rsid w:val="6F1B2B08"/>
    <w:rsid w:val="6F1C062E"/>
    <w:rsid w:val="6F1C29CD"/>
    <w:rsid w:val="6F1C418A"/>
    <w:rsid w:val="6F1C75CB"/>
    <w:rsid w:val="6F1C7C44"/>
    <w:rsid w:val="6F1D10D4"/>
    <w:rsid w:val="6F1D2BD1"/>
    <w:rsid w:val="6F1F3C7A"/>
    <w:rsid w:val="6F2035E0"/>
    <w:rsid w:val="6F205507"/>
    <w:rsid w:val="6F216275"/>
    <w:rsid w:val="6F222375"/>
    <w:rsid w:val="6F225983"/>
    <w:rsid w:val="6F2319BD"/>
    <w:rsid w:val="6F23376B"/>
    <w:rsid w:val="6F235519"/>
    <w:rsid w:val="6F241291"/>
    <w:rsid w:val="6F247027"/>
    <w:rsid w:val="6F2474E3"/>
    <w:rsid w:val="6F252708"/>
    <w:rsid w:val="6F256125"/>
    <w:rsid w:val="6F257D2A"/>
    <w:rsid w:val="6F2614AD"/>
    <w:rsid w:val="6F262ECF"/>
    <w:rsid w:val="6F27612C"/>
    <w:rsid w:val="6F282B2F"/>
    <w:rsid w:val="6F286FD3"/>
    <w:rsid w:val="6F29138C"/>
    <w:rsid w:val="6F297677"/>
    <w:rsid w:val="6F2A2A84"/>
    <w:rsid w:val="6F2A4AF9"/>
    <w:rsid w:val="6F2B261F"/>
    <w:rsid w:val="6F2B6AC3"/>
    <w:rsid w:val="6F2B7182"/>
    <w:rsid w:val="6F2C465E"/>
    <w:rsid w:val="6F2C4671"/>
    <w:rsid w:val="6F2D16C3"/>
    <w:rsid w:val="6F2D283B"/>
    <w:rsid w:val="6F2D55C4"/>
    <w:rsid w:val="6F2E3C7B"/>
    <w:rsid w:val="6F2E3EBD"/>
    <w:rsid w:val="6F2F210F"/>
    <w:rsid w:val="6F2F4C7B"/>
    <w:rsid w:val="6F2F65B3"/>
    <w:rsid w:val="6F310257"/>
    <w:rsid w:val="6F311D4B"/>
    <w:rsid w:val="6F3128C4"/>
    <w:rsid w:val="6F3168A6"/>
    <w:rsid w:val="6F3239AE"/>
    <w:rsid w:val="6F3242DC"/>
    <w:rsid w:val="6F326639"/>
    <w:rsid w:val="6F327E52"/>
    <w:rsid w:val="6F33219C"/>
    <w:rsid w:val="6F3439FC"/>
    <w:rsid w:val="6F347726"/>
    <w:rsid w:val="6F3516F0"/>
    <w:rsid w:val="6F353637"/>
    <w:rsid w:val="6F35524C"/>
    <w:rsid w:val="6F363A0A"/>
    <w:rsid w:val="6F363C09"/>
    <w:rsid w:val="6F367DFF"/>
    <w:rsid w:val="6F370FC4"/>
    <w:rsid w:val="6F377216"/>
    <w:rsid w:val="6F385CDC"/>
    <w:rsid w:val="6F3911E0"/>
    <w:rsid w:val="6F3928AF"/>
    <w:rsid w:val="6F392F8E"/>
    <w:rsid w:val="6F394D3C"/>
    <w:rsid w:val="6F39716C"/>
    <w:rsid w:val="6F397FC7"/>
    <w:rsid w:val="6F3A0AB4"/>
    <w:rsid w:val="6F3B4F58"/>
    <w:rsid w:val="6F3B633C"/>
    <w:rsid w:val="6F3C2F1C"/>
    <w:rsid w:val="6F3C3AC3"/>
    <w:rsid w:val="6F3C4E3B"/>
    <w:rsid w:val="6F3C5A22"/>
    <w:rsid w:val="6F3C62FB"/>
    <w:rsid w:val="6F3C65DA"/>
    <w:rsid w:val="6F3C70D1"/>
    <w:rsid w:val="6F3D3349"/>
    <w:rsid w:val="6F3D6F7D"/>
    <w:rsid w:val="6F3E223D"/>
    <w:rsid w:val="6F3E4F37"/>
    <w:rsid w:val="6F3E67F6"/>
    <w:rsid w:val="6F3E7B6B"/>
    <w:rsid w:val="6F3E7E0E"/>
    <w:rsid w:val="6F3F2FDE"/>
    <w:rsid w:val="6F40256E"/>
    <w:rsid w:val="6F40431D"/>
    <w:rsid w:val="6F404714"/>
    <w:rsid w:val="6F410095"/>
    <w:rsid w:val="6F414601"/>
    <w:rsid w:val="6F41613A"/>
    <w:rsid w:val="6F4162E7"/>
    <w:rsid w:val="6F416D8D"/>
    <w:rsid w:val="6F42195E"/>
    <w:rsid w:val="6F421E67"/>
    <w:rsid w:val="6F4242A3"/>
    <w:rsid w:val="6F426195"/>
    <w:rsid w:val="6F435BBB"/>
    <w:rsid w:val="6F4436E1"/>
    <w:rsid w:val="6F4502DF"/>
    <w:rsid w:val="6F45756C"/>
    <w:rsid w:val="6F4634A3"/>
    <w:rsid w:val="6F467459"/>
    <w:rsid w:val="6F470D60"/>
    <w:rsid w:val="6F471209"/>
    <w:rsid w:val="6F476F90"/>
    <w:rsid w:val="6F4809F1"/>
    <w:rsid w:val="6F480E85"/>
    <w:rsid w:val="6F481539"/>
    <w:rsid w:val="6F483BAE"/>
    <w:rsid w:val="6F494BEE"/>
    <w:rsid w:val="6F494FE4"/>
    <w:rsid w:val="6F49551F"/>
    <w:rsid w:val="6F496020"/>
    <w:rsid w:val="6F4A00F0"/>
    <w:rsid w:val="6F4A259C"/>
    <w:rsid w:val="6F4A555B"/>
    <w:rsid w:val="6F4B0F13"/>
    <w:rsid w:val="6F4B1580"/>
    <w:rsid w:val="6F4B2A10"/>
    <w:rsid w:val="6F4B2CC1"/>
    <w:rsid w:val="6F4B4A6F"/>
    <w:rsid w:val="6F4D6A39"/>
    <w:rsid w:val="6F4D6A71"/>
    <w:rsid w:val="6F4E4BEA"/>
    <w:rsid w:val="6F4F27B2"/>
    <w:rsid w:val="6F4F58F2"/>
    <w:rsid w:val="6F507AAE"/>
    <w:rsid w:val="6F51652A"/>
    <w:rsid w:val="6F521309"/>
    <w:rsid w:val="6F5222A2"/>
    <w:rsid w:val="6F523FB7"/>
    <w:rsid w:val="6F524050"/>
    <w:rsid w:val="6F5266CD"/>
    <w:rsid w:val="6F5314AB"/>
    <w:rsid w:val="6F5370A1"/>
    <w:rsid w:val="6F5376EC"/>
    <w:rsid w:val="6F54178C"/>
    <w:rsid w:val="6F543924"/>
    <w:rsid w:val="6F544703"/>
    <w:rsid w:val="6F547DC8"/>
    <w:rsid w:val="6F5508A9"/>
    <w:rsid w:val="6F5558EE"/>
    <w:rsid w:val="6F55779D"/>
    <w:rsid w:val="6F563B40"/>
    <w:rsid w:val="6F571CCA"/>
    <w:rsid w:val="6F573414"/>
    <w:rsid w:val="6F574F56"/>
    <w:rsid w:val="6F5761C1"/>
    <w:rsid w:val="6F583B84"/>
    <w:rsid w:val="6F584BB0"/>
    <w:rsid w:val="6F5867BA"/>
    <w:rsid w:val="6F593630"/>
    <w:rsid w:val="6F595AB8"/>
    <w:rsid w:val="6F595F52"/>
    <w:rsid w:val="6F5A2F04"/>
    <w:rsid w:val="6F5A4CB2"/>
    <w:rsid w:val="6F5B1156"/>
    <w:rsid w:val="6F5B2505"/>
    <w:rsid w:val="6F5B7492"/>
    <w:rsid w:val="6F5C4ECE"/>
    <w:rsid w:val="6F5D11ED"/>
    <w:rsid w:val="6F5D769E"/>
    <w:rsid w:val="6F5E1718"/>
    <w:rsid w:val="6F5E29F5"/>
    <w:rsid w:val="6F5E4B26"/>
    <w:rsid w:val="6F5E4F84"/>
    <w:rsid w:val="6F5F1D39"/>
    <w:rsid w:val="6F601C55"/>
    <w:rsid w:val="6F601DB4"/>
    <w:rsid w:val="6F6057C3"/>
    <w:rsid w:val="6F60619F"/>
    <w:rsid w:val="6F606DFD"/>
    <w:rsid w:val="6F6124E5"/>
    <w:rsid w:val="6F614293"/>
    <w:rsid w:val="6F617134"/>
    <w:rsid w:val="6F622519"/>
    <w:rsid w:val="6F6269D3"/>
    <w:rsid w:val="6F643868"/>
    <w:rsid w:val="6F652A3D"/>
    <w:rsid w:val="6F652CD7"/>
    <w:rsid w:val="6F653D83"/>
    <w:rsid w:val="6F65602C"/>
    <w:rsid w:val="6F6629A9"/>
    <w:rsid w:val="6F664F0C"/>
    <w:rsid w:val="6F683873"/>
    <w:rsid w:val="6F684F41"/>
    <w:rsid w:val="6F69170D"/>
    <w:rsid w:val="6F693EAA"/>
    <w:rsid w:val="6F6965FE"/>
    <w:rsid w:val="6F69719C"/>
    <w:rsid w:val="6F6A0A78"/>
    <w:rsid w:val="6F6A1399"/>
    <w:rsid w:val="6F6A248A"/>
    <w:rsid w:val="6F6A3147"/>
    <w:rsid w:val="6F6A37D0"/>
    <w:rsid w:val="6F6A3CDA"/>
    <w:rsid w:val="6F6A57DA"/>
    <w:rsid w:val="6F6B5112"/>
    <w:rsid w:val="6F6B6EC0"/>
    <w:rsid w:val="6F6C0936"/>
    <w:rsid w:val="6F6C22A6"/>
    <w:rsid w:val="6F6C296A"/>
    <w:rsid w:val="6F6C3363"/>
    <w:rsid w:val="6F6D3C8B"/>
    <w:rsid w:val="6F6D49E6"/>
    <w:rsid w:val="6F6E3E4E"/>
    <w:rsid w:val="6F6F075E"/>
    <w:rsid w:val="6F6F4C02"/>
    <w:rsid w:val="6F701E0B"/>
    <w:rsid w:val="6F7044D6"/>
    <w:rsid w:val="6F71097A"/>
    <w:rsid w:val="6F713B8D"/>
    <w:rsid w:val="6F716DB1"/>
    <w:rsid w:val="6F72024E"/>
    <w:rsid w:val="6F721134"/>
    <w:rsid w:val="6F7246F2"/>
    <w:rsid w:val="6F724CD3"/>
    <w:rsid w:val="6F725BBB"/>
    <w:rsid w:val="6F7264A0"/>
    <w:rsid w:val="6F736565"/>
    <w:rsid w:val="6F741C1C"/>
    <w:rsid w:val="6F742218"/>
    <w:rsid w:val="6F7436EB"/>
    <w:rsid w:val="6F743FC6"/>
    <w:rsid w:val="6F747B1F"/>
    <w:rsid w:val="6F751AEC"/>
    <w:rsid w:val="6F751F16"/>
    <w:rsid w:val="6F765F90"/>
    <w:rsid w:val="6F767D3E"/>
    <w:rsid w:val="6F775864"/>
    <w:rsid w:val="6F793C5D"/>
    <w:rsid w:val="6F795287"/>
    <w:rsid w:val="6F796A75"/>
    <w:rsid w:val="6F7976C6"/>
    <w:rsid w:val="6F7B3484"/>
    <w:rsid w:val="6F7B35A7"/>
    <w:rsid w:val="6F7B746F"/>
    <w:rsid w:val="6F7C10CD"/>
    <w:rsid w:val="6F7C183E"/>
    <w:rsid w:val="6F7C1866"/>
    <w:rsid w:val="6F7C218E"/>
    <w:rsid w:val="6F7C2E7B"/>
    <w:rsid w:val="6F7C2F7F"/>
    <w:rsid w:val="6F7C731F"/>
    <w:rsid w:val="6F7D1DDA"/>
    <w:rsid w:val="6F7D6903"/>
    <w:rsid w:val="6F7E4E45"/>
    <w:rsid w:val="6F7E6BF3"/>
    <w:rsid w:val="6F7F3DC4"/>
    <w:rsid w:val="6F7F4719"/>
    <w:rsid w:val="6F801AD3"/>
    <w:rsid w:val="6F80296B"/>
    <w:rsid w:val="6F806E0F"/>
    <w:rsid w:val="6F811B7C"/>
    <w:rsid w:val="6F8145F7"/>
    <w:rsid w:val="6F8166E3"/>
    <w:rsid w:val="6F834209"/>
    <w:rsid w:val="6F83559C"/>
    <w:rsid w:val="6F847BC8"/>
    <w:rsid w:val="6F854425"/>
    <w:rsid w:val="6F85513A"/>
    <w:rsid w:val="6F855772"/>
    <w:rsid w:val="6F8570D3"/>
    <w:rsid w:val="6F857F81"/>
    <w:rsid w:val="6F8618CF"/>
    <w:rsid w:val="6F8709A8"/>
    <w:rsid w:val="6F87179F"/>
    <w:rsid w:val="6F874ED2"/>
    <w:rsid w:val="6F87699D"/>
    <w:rsid w:val="6F877309"/>
    <w:rsid w:val="6F8808A5"/>
    <w:rsid w:val="6F880BDF"/>
    <w:rsid w:val="6F881820"/>
    <w:rsid w:val="6F885315"/>
    <w:rsid w:val="6F885CC3"/>
    <w:rsid w:val="6F887A72"/>
    <w:rsid w:val="6F897DF0"/>
    <w:rsid w:val="6F8A1A3C"/>
    <w:rsid w:val="6F8A37EA"/>
    <w:rsid w:val="6F8A4E7F"/>
    <w:rsid w:val="6F8B0895"/>
    <w:rsid w:val="6F8B2FC1"/>
    <w:rsid w:val="6F8C121D"/>
    <w:rsid w:val="6F8C57B4"/>
    <w:rsid w:val="6F8C7562"/>
    <w:rsid w:val="6F8D5088"/>
    <w:rsid w:val="6F8D579A"/>
    <w:rsid w:val="6F8D6E36"/>
    <w:rsid w:val="6F8E6464"/>
    <w:rsid w:val="6F8F03DC"/>
    <w:rsid w:val="6F8F2BAE"/>
    <w:rsid w:val="6F8F6824"/>
    <w:rsid w:val="6F8F7052"/>
    <w:rsid w:val="6F902197"/>
    <w:rsid w:val="6F902209"/>
    <w:rsid w:val="6F902885"/>
    <w:rsid w:val="6F903365"/>
    <w:rsid w:val="6F904395"/>
    <w:rsid w:val="6F906926"/>
    <w:rsid w:val="6F907AA3"/>
    <w:rsid w:val="6F912DCA"/>
    <w:rsid w:val="6F922668"/>
    <w:rsid w:val="6F9251A5"/>
    <w:rsid w:val="6F935109"/>
    <w:rsid w:val="6F9401C4"/>
    <w:rsid w:val="6F944668"/>
    <w:rsid w:val="6F947AC5"/>
    <w:rsid w:val="6F950F55"/>
    <w:rsid w:val="6F951E77"/>
    <w:rsid w:val="6F9523CE"/>
    <w:rsid w:val="6F961C17"/>
    <w:rsid w:val="6F96218E"/>
    <w:rsid w:val="6F975F07"/>
    <w:rsid w:val="6F98353C"/>
    <w:rsid w:val="6F984159"/>
    <w:rsid w:val="6F98690F"/>
    <w:rsid w:val="6F9878D6"/>
    <w:rsid w:val="6F991C7F"/>
    <w:rsid w:val="6F992534"/>
    <w:rsid w:val="6F9925EB"/>
    <w:rsid w:val="6F992C96"/>
    <w:rsid w:val="6F997ED1"/>
    <w:rsid w:val="6F997EF6"/>
    <w:rsid w:val="6F9A00FD"/>
    <w:rsid w:val="6F9A017B"/>
    <w:rsid w:val="6F9A1874"/>
    <w:rsid w:val="6F9B4A4B"/>
    <w:rsid w:val="6F9B59F7"/>
    <w:rsid w:val="6F9B5ED0"/>
    <w:rsid w:val="6F9B73D8"/>
    <w:rsid w:val="6F9C141E"/>
    <w:rsid w:val="6F9C52CB"/>
    <w:rsid w:val="6F9D0A84"/>
    <w:rsid w:val="6F9D39F9"/>
    <w:rsid w:val="6F9D5DEF"/>
    <w:rsid w:val="6F9E0291"/>
    <w:rsid w:val="6F9E12BF"/>
    <w:rsid w:val="6F9E3748"/>
    <w:rsid w:val="6F9F4BD8"/>
    <w:rsid w:val="6FA0300D"/>
    <w:rsid w:val="6FA03AB4"/>
    <w:rsid w:val="6FA04464"/>
    <w:rsid w:val="6FA04DBB"/>
    <w:rsid w:val="6FA077A9"/>
    <w:rsid w:val="6FA10B33"/>
    <w:rsid w:val="6FA16271"/>
    <w:rsid w:val="6FA204B0"/>
    <w:rsid w:val="6FA21F76"/>
    <w:rsid w:val="6FA22D64"/>
    <w:rsid w:val="6FA26D85"/>
    <w:rsid w:val="6FA30647"/>
    <w:rsid w:val="6FA32AFD"/>
    <w:rsid w:val="6FA40CFB"/>
    <w:rsid w:val="6FA41694"/>
    <w:rsid w:val="6FA50623"/>
    <w:rsid w:val="6FA519C6"/>
    <w:rsid w:val="6FA5218B"/>
    <w:rsid w:val="6FA523D2"/>
    <w:rsid w:val="6FA539E9"/>
    <w:rsid w:val="6FA5414E"/>
    <w:rsid w:val="6FA542E6"/>
    <w:rsid w:val="6FA567E1"/>
    <w:rsid w:val="6FA67EF8"/>
    <w:rsid w:val="6FA70153"/>
    <w:rsid w:val="6FA81EC2"/>
    <w:rsid w:val="6FA87DE3"/>
    <w:rsid w:val="6FA970A3"/>
    <w:rsid w:val="6FAA067C"/>
    <w:rsid w:val="6FAA1261"/>
    <w:rsid w:val="6FAA3E8C"/>
    <w:rsid w:val="6FAB550E"/>
    <w:rsid w:val="6FAB5E04"/>
    <w:rsid w:val="6FAC19B2"/>
    <w:rsid w:val="6FAC3760"/>
    <w:rsid w:val="6FAC3C17"/>
    <w:rsid w:val="6FAC492E"/>
    <w:rsid w:val="6FAC4CFB"/>
    <w:rsid w:val="6FAC5D4C"/>
    <w:rsid w:val="6FAC7A2F"/>
    <w:rsid w:val="6FAC7C04"/>
    <w:rsid w:val="6FAC7EB0"/>
    <w:rsid w:val="6FAD1286"/>
    <w:rsid w:val="6FAD463C"/>
    <w:rsid w:val="6FAD65BB"/>
    <w:rsid w:val="6FAE210E"/>
    <w:rsid w:val="6FAF0FDA"/>
    <w:rsid w:val="6FAF14A2"/>
    <w:rsid w:val="6FAF245C"/>
    <w:rsid w:val="6FAF29A9"/>
    <w:rsid w:val="6FAF3250"/>
    <w:rsid w:val="6FAF46CD"/>
    <w:rsid w:val="6FAF4FFE"/>
    <w:rsid w:val="6FB1014D"/>
    <w:rsid w:val="6FB10B9E"/>
    <w:rsid w:val="6FB10D76"/>
    <w:rsid w:val="6FB1521A"/>
    <w:rsid w:val="6FB16FC8"/>
    <w:rsid w:val="6FB20A92"/>
    <w:rsid w:val="6FB22D40"/>
    <w:rsid w:val="6FB23B15"/>
    <w:rsid w:val="6FB24AEE"/>
    <w:rsid w:val="6FB33DB6"/>
    <w:rsid w:val="6FB346BA"/>
    <w:rsid w:val="6FB40867"/>
    <w:rsid w:val="6FB55DCE"/>
    <w:rsid w:val="6FB645DF"/>
    <w:rsid w:val="6FB653BD"/>
    <w:rsid w:val="6FB6638D"/>
    <w:rsid w:val="6FB66404"/>
    <w:rsid w:val="6FB70357"/>
    <w:rsid w:val="6FB72105"/>
    <w:rsid w:val="6FB73EBB"/>
    <w:rsid w:val="6FB74896"/>
    <w:rsid w:val="6FB75FFE"/>
    <w:rsid w:val="6FB83F60"/>
    <w:rsid w:val="6FB84A00"/>
    <w:rsid w:val="6FB865A9"/>
    <w:rsid w:val="6FB87A70"/>
    <w:rsid w:val="6FB90350"/>
    <w:rsid w:val="6FB903DA"/>
    <w:rsid w:val="6FB93C38"/>
    <w:rsid w:val="6FB95E7D"/>
    <w:rsid w:val="6FBA1212"/>
    <w:rsid w:val="6FBA5048"/>
    <w:rsid w:val="6FBA53E3"/>
    <w:rsid w:val="6FBA6C8F"/>
    <w:rsid w:val="6FBB1667"/>
    <w:rsid w:val="6FBB43B1"/>
    <w:rsid w:val="6FBC052C"/>
    <w:rsid w:val="6FBC771B"/>
    <w:rsid w:val="6FBD195B"/>
    <w:rsid w:val="6FBD1F52"/>
    <w:rsid w:val="6FBD4DF8"/>
    <w:rsid w:val="6FBD5436"/>
    <w:rsid w:val="6FBD596D"/>
    <w:rsid w:val="6FBD6E9C"/>
    <w:rsid w:val="6FBE3A36"/>
    <w:rsid w:val="6FBF1BE8"/>
    <w:rsid w:val="6FBF20B4"/>
    <w:rsid w:val="6FBF6374"/>
    <w:rsid w:val="6FBF6C57"/>
    <w:rsid w:val="6FC00FB9"/>
    <w:rsid w:val="6FC06D93"/>
    <w:rsid w:val="6FC0782F"/>
    <w:rsid w:val="6FC17FA0"/>
    <w:rsid w:val="6FC211D5"/>
    <w:rsid w:val="6FC22F57"/>
    <w:rsid w:val="6FC30B16"/>
    <w:rsid w:val="6FC35714"/>
    <w:rsid w:val="6FC417FD"/>
    <w:rsid w:val="6FC41F27"/>
    <w:rsid w:val="6FC56542"/>
    <w:rsid w:val="6FC565D0"/>
    <w:rsid w:val="6FC5692A"/>
    <w:rsid w:val="6FC7059A"/>
    <w:rsid w:val="6FC71D2E"/>
    <w:rsid w:val="6FC72954"/>
    <w:rsid w:val="6FC76620"/>
    <w:rsid w:val="6FC767EC"/>
    <w:rsid w:val="6FC778CB"/>
    <w:rsid w:val="6FC8090C"/>
    <w:rsid w:val="6FC81193"/>
    <w:rsid w:val="6FC84312"/>
    <w:rsid w:val="6FC848B9"/>
    <w:rsid w:val="6FC86318"/>
    <w:rsid w:val="6FC86949"/>
    <w:rsid w:val="6FC869B5"/>
    <w:rsid w:val="6FC94566"/>
    <w:rsid w:val="6FCA1FC1"/>
    <w:rsid w:val="6FCA2D8F"/>
    <w:rsid w:val="6FCA62DC"/>
    <w:rsid w:val="6FCB2765"/>
    <w:rsid w:val="6FCB2C0E"/>
    <w:rsid w:val="6FCC19EA"/>
    <w:rsid w:val="6FCC1ECC"/>
    <w:rsid w:val="6FCC2DE3"/>
    <w:rsid w:val="6FCC3E02"/>
    <w:rsid w:val="6FCC5336"/>
    <w:rsid w:val="6FCC795E"/>
    <w:rsid w:val="6FCC7A17"/>
    <w:rsid w:val="6FCD1928"/>
    <w:rsid w:val="6FCD2794"/>
    <w:rsid w:val="6FCD36D6"/>
    <w:rsid w:val="6FCE00D6"/>
    <w:rsid w:val="6FCE7B7A"/>
    <w:rsid w:val="6FCF1284"/>
    <w:rsid w:val="6FCF38F2"/>
    <w:rsid w:val="6FCF744E"/>
    <w:rsid w:val="6FD0340F"/>
    <w:rsid w:val="6FD03C8E"/>
    <w:rsid w:val="6FD04DB6"/>
    <w:rsid w:val="6FD07324"/>
    <w:rsid w:val="6FD10360"/>
    <w:rsid w:val="6FD131C7"/>
    <w:rsid w:val="6FD21701"/>
    <w:rsid w:val="6FD23478"/>
    <w:rsid w:val="6FD252FB"/>
    <w:rsid w:val="6FD27122"/>
    <w:rsid w:val="6FD42CB7"/>
    <w:rsid w:val="6FD531B8"/>
    <w:rsid w:val="6FD54E39"/>
    <w:rsid w:val="6FD607DD"/>
    <w:rsid w:val="6FD60FB9"/>
    <w:rsid w:val="6FD630DD"/>
    <w:rsid w:val="6FD64C81"/>
    <w:rsid w:val="6FD65EB1"/>
    <w:rsid w:val="6FD66A2F"/>
    <w:rsid w:val="6FD70D49"/>
    <w:rsid w:val="6FD75926"/>
    <w:rsid w:val="6FD76303"/>
    <w:rsid w:val="6FD803DC"/>
    <w:rsid w:val="6FD809F9"/>
    <w:rsid w:val="6FD902CD"/>
    <w:rsid w:val="6FD90324"/>
    <w:rsid w:val="6FD918CA"/>
    <w:rsid w:val="6FD9207B"/>
    <w:rsid w:val="6FD944A5"/>
    <w:rsid w:val="6FD9651F"/>
    <w:rsid w:val="6FD974E5"/>
    <w:rsid w:val="6FDB5DF3"/>
    <w:rsid w:val="6FDC0AE6"/>
    <w:rsid w:val="6FDC3ADE"/>
    <w:rsid w:val="6FDC5B78"/>
    <w:rsid w:val="6FDD1AA3"/>
    <w:rsid w:val="6FDD600F"/>
    <w:rsid w:val="6FDD7B90"/>
    <w:rsid w:val="6FDD7D9E"/>
    <w:rsid w:val="6FDE124B"/>
    <w:rsid w:val="6FDE58E3"/>
    <w:rsid w:val="6FE07C0D"/>
    <w:rsid w:val="6FE11CB3"/>
    <w:rsid w:val="6FE160CC"/>
    <w:rsid w:val="6FE208B8"/>
    <w:rsid w:val="6FE210D7"/>
    <w:rsid w:val="6FE253D4"/>
    <w:rsid w:val="6FE256AB"/>
    <w:rsid w:val="6FE3114C"/>
    <w:rsid w:val="6FE32EFA"/>
    <w:rsid w:val="6FE36AEE"/>
    <w:rsid w:val="6FE40D44"/>
    <w:rsid w:val="6FE44C01"/>
    <w:rsid w:val="6FE4739E"/>
    <w:rsid w:val="6FE54EC4"/>
    <w:rsid w:val="6FE55FA0"/>
    <w:rsid w:val="6FE56C72"/>
    <w:rsid w:val="6FE60363"/>
    <w:rsid w:val="6FE606EB"/>
    <w:rsid w:val="6FE74798"/>
    <w:rsid w:val="6FE74F58"/>
    <w:rsid w:val="6FE80510"/>
    <w:rsid w:val="6FE85E1F"/>
    <w:rsid w:val="6FE86762"/>
    <w:rsid w:val="6FE949B4"/>
    <w:rsid w:val="6FEA072C"/>
    <w:rsid w:val="6FEA24DA"/>
    <w:rsid w:val="6FEA4288"/>
    <w:rsid w:val="6FEB5A67"/>
    <w:rsid w:val="6FEC0000"/>
    <w:rsid w:val="6FEC1DAE"/>
    <w:rsid w:val="6FED13ED"/>
    <w:rsid w:val="6FEE1FCA"/>
    <w:rsid w:val="6FEE6EAC"/>
    <w:rsid w:val="6FEE70E9"/>
    <w:rsid w:val="6FEF155C"/>
    <w:rsid w:val="6FEF3153"/>
    <w:rsid w:val="6FEF4FD6"/>
    <w:rsid w:val="6FEF7210"/>
    <w:rsid w:val="6FEF7AF1"/>
    <w:rsid w:val="6FF00490"/>
    <w:rsid w:val="6FF01FEC"/>
    <w:rsid w:val="6FF02727"/>
    <w:rsid w:val="6FF03D41"/>
    <w:rsid w:val="6FF04731"/>
    <w:rsid w:val="6FF07097"/>
    <w:rsid w:val="6FF12272"/>
    <w:rsid w:val="6FF15D70"/>
    <w:rsid w:val="6FF173C5"/>
    <w:rsid w:val="6FF272E2"/>
    <w:rsid w:val="6FF32F4F"/>
    <w:rsid w:val="6FF414DF"/>
    <w:rsid w:val="6FF43359"/>
    <w:rsid w:val="6FF5054A"/>
    <w:rsid w:val="6FF51CAF"/>
    <w:rsid w:val="6FF54A4C"/>
    <w:rsid w:val="6FF57074"/>
    <w:rsid w:val="6FF60E7F"/>
    <w:rsid w:val="6FF628C3"/>
    <w:rsid w:val="6FF62C2D"/>
    <w:rsid w:val="6FF631DD"/>
    <w:rsid w:val="6FF66EED"/>
    <w:rsid w:val="6FF70753"/>
    <w:rsid w:val="6FF72EC3"/>
    <w:rsid w:val="6FF80181"/>
    <w:rsid w:val="6FF874EF"/>
    <w:rsid w:val="6FF957E3"/>
    <w:rsid w:val="6FF97DB2"/>
    <w:rsid w:val="6FFB0243"/>
    <w:rsid w:val="6FFB1E59"/>
    <w:rsid w:val="6FFB24BA"/>
    <w:rsid w:val="6FFB50D1"/>
    <w:rsid w:val="6FFC335D"/>
    <w:rsid w:val="6FFC5590"/>
    <w:rsid w:val="6FFD3FBC"/>
    <w:rsid w:val="6FFD5537"/>
    <w:rsid w:val="6FFE7D34"/>
    <w:rsid w:val="6FFF1338"/>
    <w:rsid w:val="6FFF5101"/>
    <w:rsid w:val="70001CFE"/>
    <w:rsid w:val="700020CD"/>
    <w:rsid w:val="70002AE5"/>
    <w:rsid w:val="70003AAC"/>
    <w:rsid w:val="700133AC"/>
    <w:rsid w:val="700156B6"/>
    <w:rsid w:val="70023F50"/>
    <w:rsid w:val="70025A76"/>
    <w:rsid w:val="70027A8D"/>
    <w:rsid w:val="7003534A"/>
    <w:rsid w:val="70037CFB"/>
    <w:rsid w:val="700417EE"/>
    <w:rsid w:val="70050663"/>
    <w:rsid w:val="700510C2"/>
    <w:rsid w:val="70052223"/>
    <w:rsid w:val="70052E70"/>
    <w:rsid w:val="700554C7"/>
    <w:rsid w:val="700606AD"/>
    <w:rsid w:val="700613A9"/>
    <w:rsid w:val="700659A1"/>
    <w:rsid w:val="7007135D"/>
    <w:rsid w:val="70073C29"/>
    <w:rsid w:val="70082960"/>
    <w:rsid w:val="70085F18"/>
    <w:rsid w:val="700A09F5"/>
    <w:rsid w:val="700A3BA7"/>
    <w:rsid w:val="700A3EA9"/>
    <w:rsid w:val="700A7EA9"/>
    <w:rsid w:val="700B0D3E"/>
    <w:rsid w:val="700B50F6"/>
    <w:rsid w:val="700C06A3"/>
    <w:rsid w:val="700C2451"/>
    <w:rsid w:val="700C41FF"/>
    <w:rsid w:val="700D6CC2"/>
    <w:rsid w:val="700D7F77"/>
    <w:rsid w:val="700E441B"/>
    <w:rsid w:val="700F0193"/>
    <w:rsid w:val="700F1F41"/>
    <w:rsid w:val="700F3CEF"/>
    <w:rsid w:val="700F5351"/>
    <w:rsid w:val="701025DA"/>
    <w:rsid w:val="7010344F"/>
    <w:rsid w:val="70115CB9"/>
    <w:rsid w:val="7011663B"/>
    <w:rsid w:val="70117A67"/>
    <w:rsid w:val="701218D9"/>
    <w:rsid w:val="70123259"/>
    <w:rsid w:val="7012437E"/>
    <w:rsid w:val="7012558D"/>
    <w:rsid w:val="70127ACB"/>
    <w:rsid w:val="70130F5B"/>
    <w:rsid w:val="70131A31"/>
    <w:rsid w:val="70132776"/>
    <w:rsid w:val="701337DF"/>
    <w:rsid w:val="70140F04"/>
    <w:rsid w:val="70141305"/>
    <w:rsid w:val="701423EB"/>
    <w:rsid w:val="70157E72"/>
    <w:rsid w:val="701632CF"/>
    <w:rsid w:val="7016507D"/>
    <w:rsid w:val="70166DF5"/>
    <w:rsid w:val="70180DF5"/>
    <w:rsid w:val="70184181"/>
    <w:rsid w:val="701953EF"/>
    <w:rsid w:val="7019691C"/>
    <w:rsid w:val="701A2DBF"/>
    <w:rsid w:val="701B0542"/>
    <w:rsid w:val="701B2694"/>
    <w:rsid w:val="701B2C9B"/>
    <w:rsid w:val="701B4072"/>
    <w:rsid w:val="701B6420"/>
    <w:rsid w:val="701D2FB6"/>
    <w:rsid w:val="701D3C14"/>
    <w:rsid w:val="701D465E"/>
    <w:rsid w:val="701D640C"/>
    <w:rsid w:val="701E17CD"/>
    <w:rsid w:val="701E3B8B"/>
    <w:rsid w:val="701E6CE1"/>
    <w:rsid w:val="701F51F2"/>
    <w:rsid w:val="70200A03"/>
    <w:rsid w:val="702020CF"/>
    <w:rsid w:val="7020414E"/>
    <w:rsid w:val="70216130"/>
    <w:rsid w:val="70220571"/>
    <w:rsid w:val="70223A22"/>
    <w:rsid w:val="702249EF"/>
    <w:rsid w:val="7022796B"/>
    <w:rsid w:val="70227D10"/>
    <w:rsid w:val="70231548"/>
    <w:rsid w:val="7023779A"/>
    <w:rsid w:val="702468A3"/>
    <w:rsid w:val="70253512"/>
    <w:rsid w:val="702614A8"/>
    <w:rsid w:val="70264800"/>
    <w:rsid w:val="70275C90"/>
    <w:rsid w:val="70275FDC"/>
    <w:rsid w:val="70281E21"/>
    <w:rsid w:val="70287DD8"/>
    <w:rsid w:val="70292A3B"/>
    <w:rsid w:val="70293003"/>
    <w:rsid w:val="702938F2"/>
    <w:rsid w:val="70295063"/>
    <w:rsid w:val="702A0B29"/>
    <w:rsid w:val="702A1C8F"/>
    <w:rsid w:val="702A28D7"/>
    <w:rsid w:val="702A2D46"/>
    <w:rsid w:val="702A69EC"/>
    <w:rsid w:val="702A6D7B"/>
    <w:rsid w:val="702B68F1"/>
    <w:rsid w:val="702B7124"/>
    <w:rsid w:val="702B71E2"/>
    <w:rsid w:val="702B7F07"/>
    <w:rsid w:val="702C0F97"/>
    <w:rsid w:val="702C2AF3"/>
    <w:rsid w:val="702C48A1"/>
    <w:rsid w:val="702C4F2D"/>
    <w:rsid w:val="702C664F"/>
    <w:rsid w:val="702C6BE3"/>
    <w:rsid w:val="702D7747"/>
    <w:rsid w:val="702E0619"/>
    <w:rsid w:val="702E3DFB"/>
    <w:rsid w:val="702E5B63"/>
    <w:rsid w:val="702E78E6"/>
    <w:rsid w:val="702F0734"/>
    <w:rsid w:val="702F1DBD"/>
    <w:rsid w:val="702F613F"/>
    <w:rsid w:val="702F7AA9"/>
    <w:rsid w:val="703021ED"/>
    <w:rsid w:val="70310109"/>
    <w:rsid w:val="70311913"/>
    <w:rsid w:val="70311EB7"/>
    <w:rsid w:val="703137EA"/>
    <w:rsid w:val="70323AD0"/>
    <w:rsid w:val="70333E81"/>
    <w:rsid w:val="70335C2F"/>
    <w:rsid w:val="70336E04"/>
    <w:rsid w:val="7033729D"/>
    <w:rsid w:val="703379DD"/>
    <w:rsid w:val="70345337"/>
    <w:rsid w:val="70351D66"/>
    <w:rsid w:val="70356542"/>
    <w:rsid w:val="70357BF9"/>
    <w:rsid w:val="7036127C"/>
    <w:rsid w:val="7037082E"/>
    <w:rsid w:val="703716AB"/>
    <w:rsid w:val="703802C8"/>
    <w:rsid w:val="70381498"/>
    <w:rsid w:val="70382E45"/>
    <w:rsid w:val="70383246"/>
    <w:rsid w:val="70390D6C"/>
    <w:rsid w:val="703A4437"/>
    <w:rsid w:val="703A5210"/>
    <w:rsid w:val="703A5847"/>
    <w:rsid w:val="703A77EF"/>
    <w:rsid w:val="703B0F88"/>
    <w:rsid w:val="703B2526"/>
    <w:rsid w:val="703B4AE4"/>
    <w:rsid w:val="703D085C"/>
    <w:rsid w:val="703E3800"/>
    <w:rsid w:val="703E6382"/>
    <w:rsid w:val="703F45D4"/>
    <w:rsid w:val="703F6560"/>
    <w:rsid w:val="70404510"/>
    <w:rsid w:val="70404A53"/>
    <w:rsid w:val="70406B57"/>
    <w:rsid w:val="70411408"/>
    <w:rsid w:val="7042225A"/>
    <w:rsid w:val="70422316"/>
    <w:rsid w:val="70423FD9"/>
    <w:rsid w:val="70425E72"/>
    <w:rsid w:val="704273D4"/>
    <w:rsid w:val="70433C68"/>
    <w:rsid w:val="7043462E"/>
    <w:rsid w:val="70436406"/>
    <w:rsid w:val="704368F9"/>
    <w:rsid w:val="70436E7F"/>
    <w:rsid w:val="704424A2"/>
    <w:rsid w:val="70442DD1"/>
    <w:rsid w:val="70447E3C"/>
    <w:rsid w:val="70451219"/>
    <w:rsid w:val="7045295A"/>
    <w:rsid w:val="70455963"/>
    <w:rsid w:val="7046087A"/>
    <w:rsid w:val="70463FE0"/>
    <w:rsid w:val="70470F25"/>
    <w:rsid w:val="704716DB"/>
    <w:rsid w:val="70473489"/>
    <w:rsid w:val="70473AE4"/>
    <w:rsid w:val="70473E15"/>
    <w:rsid w:val="70480FAF"/>
    <w:rsid w:val="7048670A"/>
    <w:rsid w:val="7049620D"/>
    <w:rsid w:val="70497201"/>
    <w:rsid w:val="704A143A"/>
    <w:rsid w:val="704A3DAD"/>
    <w:rsid w:val="704A4D27"/>
    <w:rsid w:val="704C0A9F"/>
    <w:rsid w:val="704C36F1"/>
    <w:rsid w:val="704C4F43"/>
    <w:rsid w:val="704C5A11"/>
    <w:rsid w:val="704D10EC"/>
    <w:rsid w:val="704D257C"/>
    <w:rsid w:val="704E4817"/>
    <w:rsid w:val="704F058F"/>
    <w:rsid w:val="704F233D"/>
    <w:rsid w:val="704F2823"/>
    <w:rsid w:val="704F3F09"/>
    <w:rsid w:val="704F4C1B"/>
    <w:rsid w:val="704F4E9C"/>
    <w:rsid w:val="704F6283"/>
    <w:rsid w:val="704F65DD"/>
    <w:rsid w:val="70500EDB"/>
    <w:rsid w:val="70503067"/>
    <w:rsid w:val="705067E1"/>
    <w:rsid w:val="70512559"/>
    <w:rsid w:val="70514307"/>
    <w:rsid w:val="7051697B"/>
    <w:rsid w:val="705240DA"/>
    <w:rsid w:val="70531E2E"/>
    <w:rsid w:val="705424B1"/>
    <w:rsid w:val="70543D2E"/>
    <w:rsid w:val="70545BA6"/>
    <w:rsid w:val="70546581"/>
    <w:rsid w:val="70550D0E"/>
    <w:rsid w:val="70555808"/>
    <w:rsid w:val="70556C5F"/>
    <w:rsid w:val="705625A4"/>
    <w:rsid w:val="70562E59"/>
    <w:rsid w:val="705636CC"/>
    <w:rsid w:val="70567B70"/>
    <w:rsid w:val="70574D6F"/>
    <w:rsid w:val="70575432"/>
    <w:rsid w:val="70577E95"/>
    <w:rsid w:val="70580F19"/>
    <w:rsid w:val="70580FB1"/>
    <w:rsid w:val="705838E8"/>
    <w:rsid w:val="70585696"/>
    <w:rsid w:val="7058659F"/>
    <w:rsid w:val="705931BC"/>
    <w:rsid w:val="70595F0F"/>
    <w:rsid w:val="70597145"/>
    <w:rsid w:val="705A5EB4"/>
    <w:rsid w:val="705A6F8C"/>
    <w:rsid w:val="705B0CE2"/>
    <w:rsid w:val="705B24A5"/>
    <w:rsid w:val="705B4B80"/>
    <w:rsid w:val="705B5186"/>
    <w:rsid w:val="705B5902"/>
    <w:rsid w:val="705B6F34"/>
    <w:rsid w:val="705C33D8"/>
    <w:rsid w:val="705C4C02"/>
    <w:rsid w:val="705D27E4"/>
    <w:rsid w:val="705D6996"/>
    <w:rsid w:val="705E2B33"/>
    <w:rsid w:val="705E4AE5"/>
    <w:rsid w:val="705F0DF3"/>
    <w:rsid w:val="705F156B"/>
    <w:rsid w:val="705F4991"/>
    <w:rsid w:val="705F4C76"/>
    <w:rsid w:val="705F6A24"/>
    <w:rsid w:val="7060279C"/>
    <w:rsid w:val="70605E21"/>
    <w:rsid w:val="706077F1"/>
    <w:rsid w:val="706109EE"/>
    <w:rsid w:val="706140EB"/>
    <w:rsid w:val="706202C3"/>
    <w:rsid w:val="70626D18"/>
    <w:rsid w:val="70630BB2"/>
    <w:rsid w:val="70631713"/>
    <w:rsid w:val="70632C35"/>
    <w:rsid w:val="7064403B"/>
    <w:rsid w:val="70644C30"/>
    <w:rsid w:val="70644EDD"/>
    <w:rsid w:val="70645DE9"/>
    <w:rsid w:val="70647EDF"/>
    <w:rsid w:val="70651B61"/>
    <w:rsid w:val="70652068"/>
    <w:rsid w:val="70655F83"/>
    <w:rsid w:val="70660296"/>
    <w:rsid w:val="7067272E"/>
    <w:rsid w:val="70675862"/>
    <w:rsid w:val="7068269D"/>
    <w:rsid w:val="70690258"/>
    <w:rsid w:val="70691651"/>
    <w:rsid w:val="70693C97"/>
    <w:rsid w:val="706A7177"/>
    <w:rsid w:val="706B2599"/>
    <w:rsid w:val="706B361B"/>
    <w:rsid w:val="706C1141"/>
    <w:rsid w:val="706C1619"/>
    <w:rsid w:val="706C26FA"/>
    <w:rsid w:val="706C2EEF"/>
    <w:rsid w:val="706C48C2"/>
    <w:rsid w:val="706C63C4"/>
    <w:rsid w:val="706C7393"/>
    <w:rsid w:val="706D1DD0"/>
    <w:rsid w:val="706D7810"/>
    <w:rsid w:val="706E0EF4"/>
    <w:rsid w:val="706E4EB9"/>
    <w:rsid w:val="706E64CA"/>
    <w:rsid w:val="706E6C67"/>
    <w:rsid w:val="706F181E"/>
    <w:rsid w:val="706F1DE3"/>
    <w:rsid w:val="70700C31"/>
    <w:rsid w:val="70704CF0"/>
    <w:rsid w:val="707116FD"/>
    <w:rsid w:val="70716758"/>
    <w:rsid w:val="70730722"/>
    <w:rsid w:val="707324D0"/>
    <w:rsid w:val="70737120"/>
    <w:rsid w:val="70740CEF"/>
    <w:rsid w:val="70741DA4"/>
    <w:rsid w:val="70750A94"/>
    <w:rsid w:val="70751CF7"/>
    <w:rsid w:val="7075449A"/>
    <w:rsid w:val="70754CD6"/>
    <w:rsid w:val="70756248"/>
    <w:rsid w:val="70763D6E"/>
    <w:rsid w:val="70765DAC"/>
    <w:rsid w:val="707660A9"/>
    <w:rsid w:val="707732A5"/>
    <w:rsid w:val="70774359"/>
    <w:rsid w:val="70780901"/>
    <w:rsid w:val="70781B95"/>
    <w:rsid w:val="70787A0E"/>
    <w:rsid w:val="70787AE6"/>
    <w:rsid w:val="70792C58"/>
    <w:rsid w:val="707A560C"/>
    <w:rsid w:val="707A7900"/>
    <w:rsid w:val="707B4B52"/>
    <w:rsid w:val="707B75D6"/>
    <w:rsid w:val="707C18E2"/>
    <w:rsid w:val="707C3B37"/>
    <w:rsid w:val="707C50AD"/>
    <w:rsid w:val="707C55FA"/>
    <w:rsid w:val="707C6A9D"/>
    <w:rsid w:val="707D334E"/>
    <w:rsid w:val="707D5BB8"/>
    <w:rsid w:val="707E21DC"/>
    <w:rsid w:val="707E2AEB"/>
    <w:rsid w:val="707F0963"/>
    <w:rsid w:val="707F2C23"/>
    <w:rsid w:val="707F3F7B"/>
    <w:rsid w:val="70807AF6"/>
    <w:rsid w:val="70812F2A"/>
    <w:rsid w:val="70814BED"/>
    <w:rsid w:val="708244C1"/>
    <w:rsid w:val="708404D0"/>
    <w:rsid w:val="7084521C"/>
    <w:rsid w:val="70850D38"/>
    <w:rsid w:val="70856B87"/>
    <w:rsid w:val="708741CD"/>
    <w:rsid w:val="70875B31"/>
    <w:rsid w:val="70875F7B"/>
    <w:rsid w:val="70882BF8"/>
    <w:rsid w:val="708975A2"/>
    <w:rsid w:val="708A0CE7"/>
    <w:rsid w:val="708A6388"/>
    <w:rsid w:val="708A6A28"/>
    <w:rsid w:val="708A7DC4"/>
    <w:rsid w:val="708B3D2C"/>
    <w:rsid w:val="708B5462"/>
    <w:rsid w:val="708B5A6B"/>
    <w:rsid w:val="708B7819"/>
    <w:rsid w:val="708C17E3"/>
    <w:rsid w:val="708C2124"/>
    <w:rsid w:val="708C3591"/>
    <w:rsid w:val="708D6E77"/>
    <w:rsid w:val="708E0E9F"/>
    <w:rsid w:val="708E1132"/>
    <w:rsid w:val="708E6837"/>
    <w:rsid w:val="708F2E56"/>
    <w:rsid w:val="708F3BB6"/>
    <w:rsid w:val="708F6BDE"/>
    <w:rsid w:val="70901BD7"/>
    <w:rsid w:val="70904662"/>
    <w:rsid w:val="70907503"/>
    <w:rsid w:val="70910BA8"/>
    <w:rsid w:val="70913D73"/>
    <w:rsid w:val="709223F1"/>
    <w:rsid w:val="70922AE7"/>
    <w:rsid w:val="70923F09"/>
    <w:rsid w:val="709439EE"/>
    <w:rsid w:val="7094419B"/>
    <w:rsid w:val="70952446"/>
    <w:rsid w:val="709541F4"/>
    <w:rsid w:val="709561C1"/>
    <w:rsid w:val="70960D72"/>
    <w:rsid w:val="709616C4"/>
    <w:rsid w:val="70967631"/>
    <w:rsid w:val="70973B3D"/>
    <w:rsid w:val="70974410"/>
    <w:rsid w:val="70977577"/>
    <w:rsid w:val="70980188"/>
    <w:rsid w:val="70981F36"/>
    <w:rsid w:val="70983772"/>
    <w:rsid w:val="70985FB7"/>
    <w:rsid w:val="70986013"/>
    <w:rsid w:val="709866F7"/>
    <w:rsid w:val="70986C6E"/>
    <w:rsid w:val="70990BCD"/>
    <w:rsid w:val="70991A29"/>
    <w:rsid w:val="70997290"/>
    <w:rsid w:val="709A3F00"/>
    <w:rsid w:val="709A54C7"/>
    <w:rsid w:val="709B5583"/>
    <w:rsid w:val="709C21CA"/>
    <w:rsid w:val="709C4BE4"/>
    <w:rsid w:val="709C5690"/>
    <w:rsid w:val="709C572B"/>
    <w:rsid w:val="709C5A61"/>
    <w:rsid w:val="709D12FB"/>
    <w:rsid w:val="709D4536"/>
    <w:rsid w:val="709D579F"/>
    <w:rsid w:val="709D670B"/>
    <w:rsid w:val="709E37F6"/>
    <w:rsid w:val="709E45FA"/>
    <w:rsid w:val="709F1517"/>
    <w:rsid w:val="709F32C5"/>
    <w:rsid w:val="70A00DEB"/>
    <w:rsid w:val="70A02449"/>
    <w:rsid w:val="70A02B99"/>
    <w:rsid w:val="70A0748B"/>
    <w:rsid w:val="70A14B9D"/>
    <w:rsid w:val="70A14DEC"/>
    <w:rsid w:val="70A1528F"/>
    <w:rsid w:val="70A22DB5"/>
    <w:rsid w:val="70A26117"/>
    <w:rsid w:val="70A26D11"/>
    <w:rsid w:val="70A372A8"/>
    <w:rsid w:val="70A408DB"/>
    <w:rsid w:val="70A46B2D"/>
    <w:rsid w:val="70A628A5"/>
    <w:rsid w:val="70A64653"/>
    <w:rsid w:val="70A703CB"/>
    <w:rsid w:val="70A705B6"/>
    <w:rsid w:val="70A72179"/>
    <w:rsid w:val="70A81A46"/>
    <w:rsid w:val="70A85F58"/>
    <w:rsid w:val="70A95B2B"/>
    <w:rsid w:val="70AA32F7"/>
    <w:rsid w:val="70AB1C6A"/>
    <w:rsid w:val="70AB6363"/>
    <w:rsid w:val="70AB7EBB"/>
    <w:rsid w:val="70AC2F98"/>
    <w:rsid w:val="70AC377E"/>
    <w:rsid w:val="70AC59E2"/>
    <w:rsid w:val="70AC7790"/>
    <w:rsid w:val="70AD4222"/>
    <w:rsid w:val="70AD5DD1"/>
    <w:rsid w:val="70AD6FF9"/>
    <w:rsid w:val="70AE0EA4"/>
    <w:rsid w:val="70AE3508"/>
    <w:rsid w:val="70AE3D5C"/>
    <w:rsid w:val="70AE516A"/>
    <w:rsid w:val="70AE736D"/>
    <w:rsid w:val="70AF1919"/>
    <w:rsid w:val="70AF751B"/>
    <w:rsid w:val="70B003E0"/>
    <w:rsid w:val="70B0102E"/>
    <w:rsid w:val="70B120BD"/>
    <w:rsid w:val="70B12FF8"/>
    <w:rsid w:val="70B1389B"/>
    <w:rsid w:val="70B14DA6"/>
    <w:rsid w:val="70B17E8A"/>
    <w:rsid w:val="70B259A3"/>
    <w:rsid w:val="70B316F3"/>
    <w:rsid w:val="70B34EE2"/>
    <w:rsid w:val="70B34FC2"/>
    <w:rsid w:val="70B36D70"/>
    <w:rsid w:val="70B442FB"/>
    <w:rsid w:val="70B5273A"/>
    <w:rsid w:val="70B56644"/>
    <w:rsid w:val="70B623BC"/>
    <w:rsid w:val="70B7060E"/>
    <w:rsid w:val="70B71A4B"/>
    <w:rsid w:val="70B745B8"/>
    <w:rsid w:val="70B8153B"/>
    <w:rsid w:val="70B81583"/>
    <w:rsid w:val="70B93DCF"/>
    <w:rsid w:val="70BA00FF"/>
    <w:rsid w:val="70BA1EAD"/>
    <w:rsid w:val="70BA2D73"/>
    <w:rsid w:val="70BA3C5B"/>
    <w:rsid w:val="70BB725F"/>
    <w:rsid w:val="70BB79D3"/>
    <w:rsid w:val="70BC1927"/>
    <w:rsid w:val="70BC3E77"/>
    <w:rsid w:val="70BC60A7"/>
    <w:rsid w:val="70BC6940"/>
    <w:rsid w:val="70BC6F94"/>
    <w:rsid w:val="70BD374B"/>
    <w:rsid w:val="70BD5BE1"/>
    <w:rsid w:val="70BD7A42"/>
    <w:rsid w:val="70BF1788"/>
    <w:rsid w:val="70BF205D"/>
    <w:rsid w:val="70BF422E"/>
    <w:rsid w:val="70BF74C3"/>
    <w:rsid w:val="70C0289D"/>
    <w:rsid w:val="70C0637E"/>
    <w:rsid w:val="70C07698"/>
    <w:rsid w:val="70C12669"/>
    <w:rsid w:val="70C1323B"/>
    <w:rsid w:val="70C2057C"/>
    <w:rsid w:val="70C23B06"/>
    <w:rsid w:val="70C3121E"/>
    <w:rsid w:val="70C3294F"/>
    <w:rsid w:val="70C3324C"/>
    <w:rsid w:val="70C34E17"/>
    <w:rsid w:val="70C370F6"/>
    <w:rsid w:val="70C40921"/>
    <w:rsid w:val="70C41986"/>
    <w:rsid w:val="70C51518"/>
    <w:rsid w:val="70C525FF"/>
    <w:rsid w:val="70C62214"/>
    <w:rsid w:val="70C64CF5"/>
    <w:rsid w:val="70C64FCE"/>
    <w:rsid w:val="70C75955"/>
    <w:rsid w:val="70C84BF0"/>
    <w:rsid w:val="70C853B2"/>
    <w:rsid w:val="70C920F0"/>
    <w:rsid w:val="70C96594"/>
    <w:rsid w:val="70CA0C1A"/>
    <w:rsid w:val="70CA1199"/>
    <w:rsid w:val="70CA1EDA"/>
    <w:rsid w:val="70CA62CD"/>
    <w:rsid w:val="70CA7CF6"/>
    <w:rsid w:val="70CB230C"/>
    <w:rsid w:val="70CB47DD"/>
    <w:rsid w:val="70CB6663"/>
    <w:rsid w:val="70CC398E"/>
    <w:rsid w:val="70CC6728"/>
    <w:rsid w:val="70CD2B6C"/>
    <w:rsid w:val="70CD6290"/>
    <w:rsid w:val="70CD7E32"/>
    <w:rsid w:val="70CE5958"/>
    <w:rsid w:val="70CE64A7"/>
    <w:rsid w:val="70CE6A45"/>
    <w:rsid w:val="70CE768E"/>
    <w:rsid w:val="70CE7706"/>
    <w:rsid w:val="70CF58FB"/>
    <w:rsid w:val="70D00C51"/>
    <w:rsid w:val="70D016D0"/>
    <w:rsid w:val="70D01D0F"/>
    <w:rsid w:val="70D12818"/>
    <w:rsid w:val="70D15474"/>
    <w:rsid w:val="70D171F6"/>
    <w:rsid w:val="70D17A14"/>
    <w:rsid w:val="70D25448"/>
    <w:rsid w:val="70D32F6E"/>
    <w:rsid w:val="70D33040"/>
    <w:rsid w:val="70D35283"/>
    <w:rsid w:val="70D3612E"/>
    <w:rsid w:val="70D36804"/>
    <w:rsid w:val="70D424BE"/>
    <w:rsid w:val="70D527EE"/>
    <w:rsid w:val="70D54620"/>
    <w:rsid w:val="70D56CE6"/>
    <w:rsid w:val="70D625E7"/>
    <w:rsid w:val="70D6284C"/>
    <w:rsid w:val="70D6480D"/>
    <w:rsid w:val="70D70CB1"/>
    <w:rsid w:val="70D7278D"/>
    <w:rsid w:val="70D72A5F"/>
    <w:rsid w:val="70D73F01"/>
    <w:rsid w:val="70D7630B"/>
    <w:rsid w:val="70D80585"/>
    <w:rsid w:val="70D81204"/>
    <w:rsid w:val="70D818EC"/>
    <w:rsid w:val="70D86EFD"/>
    <w:rsid w:val="70DA209F"/>
    <w:rsid w:val="70DA254F"/>
    <w:rsid w:val="70DA42FD"/>
    <w:rsid w:val="70DA48D4"/>
    <w:rsid w:val="70DB22C5"/>
    <w:rsid w:val="70DB664D"/>
    <w:rsid w:val="70DC0075"/>
    <w:rsid w:val="70DC59B7"/>
    <w:rsid w:val="70DD1E39"/>
    <w:rsid w:val="70DD3506"/>
    <w:rsid w:val="70DD3DED"/>
    <w:rsid w:val="70DD4996"/>
    <w:rsid w:val="70DD6FE3"/>
    <w:rsid w:val="70DE0486"/>
    <w:rsid w:val="70DE203F"/>
    <w:rsid w:val="70DF36C1"/>
    <w:rsid w:val="70DF5DB7"/>
    <w:rsid w:val="70E024F0"/>
    <w:rsid w:val="70E02DEB"/>
    <w:rsid w:val="70E138DD"/>
    <w:rsid w:val="70E1568B"/>
    <w:rsid w:val="70E16790"/>
    <w:rsid w:val="70E246EF"/>
    <w:rsid w:val="70E37655"/>
    <w:rsid w:val="70E460B4"/>
    <w:rsid w:val="70E53128"/>
    <w:rsid w:val="70E57D74"/>
    <w:rsid w:val="70E60EF4"/>
    <w:rsid w:val="70E62CA2"/>
    <w:rsid w:val="70E65244"/>
    <w:rsid w:val="70E67ED5"/>
    <w:rsid w:val="70E745F5"/>
    <w:rsid w:val="70E76DAA"/>
    <w:rsid w:val="70E83529"/>
    <w:rsid w:val="70E909E4"/>
    <w:rsid w:val="70E92792"/>
    <w:rsid w:val="70E96E64"/>
    <w:rsid w:val="70EA459A"/>
    <w:rsid w:val="70EB02B8"/>
    <w:rsid w:val="70EB158A"/>
    <w:rsid w:val="70EB475C"/>
    <w:rsid w:val="70EB7636"/>
    <w:rsid w:val="70EC56BB"/>
    <w:rsid w:val="70ED3FB0"/>
    <w:rsid w:val="70ED65D6"/>
    <w:rsid w:val="70EE1B56"/>
    <w:rsid w:val="70EE5FFA"/>
    <w:rsid w:val="70EE7DA8"/>
    <w:rsid w:val="70EF0F16"/>
    <w:rsid w:val="70F017AA"/>
    <w:rsid w:val="70F01D72"/>
    <w:rsid w:val="70F02FB9"/>
    <w:rsid w:val="70F0573A"/>
    <w:rsid w:val="70F058CE"/>
    <w:rsid w:val="70F1165C"/>
    <w:rsid w:val="70F133F4"/>
    <w:rsid w:val="70F17653"/>
    <w:rsid w:val="70F25AEA"/>
    <w:rsid w:val="70F33611"/>
    <w:rsid w:val="70F34DE8"/>
    <w:rsid w:val="70F41EF8"/>
    <w:rsid w:val="70F439BF"/>
    <w:rsid w:val="70F43BB9"/>
    <w:rsid w:val="70F51137"/>
    <w:rsid w:val="70F52EE5"/>
    <w:rsid w:val="70F573CC"/>
    <w:rsid w:val="70F679C3"/>
    <w:rsid w:val="70F71ADF"/>
    <w:rsid w:val="70F73101"/>
    <w:rsid w:val="70F74EAF"/>
    <w:rsid w:val="70F76073"/>
    <w:rsid w:val="70F760F8"/>
    <w:rsid w:val="70F80C27"/>
    <w:rsid w:val="70F83D9B"/>
    <w:rsid w:val="70F84783"/>
    <w:rsid w:val="70F84C7E"/>
    <w:rsid w:val="70F95886"/>
    <w:rsid w:val="70F95D30"/>
    <w:rsid w:val="70F96CEE"/>
    <w:rsid w:val="70F97E5D"/>
    <w:rsid w:val="70FA5A9B"/>
    <w:rsid w:val="70FB11A3"/>
    <w:rsid w:val="70FB30B9"/>
    <w:rsid w:val="70FB78FE"/>
    <w:rsid w:val="70FC0717"/>
    <w:rsid w:val="70FC2D88"/>
    <w:rsid w:val="70FC4273"/>
    <w:rsid w:val="70FD3ECA"/>
    <w:rsid w:val="70FE2299"/>
    <w:rsid w:val="70FE48DD"/>
    <w:rsid w:val="70FE6DC1"/>
    <w:rsid w:val="70FF247C"/>
    <w:rsid w:val="70FF34C2"/>
    <w:rsid w:val="71002309"/>
    <w:rsid w:val="71004F16"/>
    <w:rsid w:val="7100515F"/>
    <w:rsid w:val="71005C71"/>
    <w:rsid w:val="710215B3"/>
    <w:rsid w:val="71021EFF"/>
    <w:rsid w:val="71022B7F"/>
    <w:rsid w:val="71022EF1"/>
    <w:rsid w:val="710250C1"/>
    <w:rsid w:val="71025602"/>
    <w:rsid w:val="71031896"/>
    <w:rsid w:val="71031AA6"/>
    <w:rsid w:val="71033854"/>
    <w:rsid w:val="7104137A"/>
    <w:rsid w:val="71041673"/>
    <w:rsid w:val="7104581E"/>
    <w:rsid w:val="71045968"/>
    <w:rsid w:val="710475CC"/>
    <w:rsid w:val="71051A02"/>
    <w:rsid w:val="71053F3B"/>
    <w:rsid w:val="71054C1C"/>
    <w:rsid w:val="71055209"/>
    <w:rsid w:val="71062507"/>
    <w:rsid w:val="7106491C"/>
    <w:rsid w:val="71066EA0"/>
    <w:rsid w:val="71070737"/>
    <w:rsid w:val="71072C18"/>
    <w:rsid w:val="71076E47"/>
    <w:rsid w:val="71082F8A"/>
    <w:rsid w:val="710870BC"/>
    <w:rsid w:val="7108771B"/>
    <w:rsid w:val="710927C7"/>
    <w:rsid w:val="71092E34"/>
    <w:rsid w:val="71093F00"/>
    <w:rsid w:val="71094BE2"/>
    <w:rsid w:val="71097952"/>
    <w:rsid w:val="710A4A2D"/>
    <w:rsid w:val="710A6C70"/>
    <w:rsid w:val="710A6D7E"/>
    <w:rsid w:val="710B1759"/>
    <w:rsid w:val="710B2E9E"/>
    <w:rsid w:val="710B6BAC"/>
    <w:rsid w:val="710C542A"/>
    <w:rsid w:val="710C6B75"/>
    <w:rsid w:val="710C7266"/>
    <w:rsid w:val="710D063A"/>
    <w:rsid w:val="710D46D2"/>
    <w:rsid w:val="710E28F9"/>
    <w:rsid w:val="710E75EA"/>
    <w:rsid w:val="710F7003"/>
    <w:rsid w:val="71100A82"/>
    <w:rsid w:val="711021FB"/>
    <w:rsid w:val="71110CB5"/>
    <w:rsid w:val="71121CE9"/>
    <w:rsid w:val="71123A97"/>
    <w:rsid w:val="711244B1"/>
    <w:rsid w:val="71125845"/>
    <w:rsid w:val="711279E3"/>
    <w:rsid w:val="711351C4"/>
    <w:rsid w:val="711409EE"/>
    <w:rsid w:val="7114413D"/>
    <w:rsid w:val="71145179"/>
    <w:rsid w:val="711464D0"/>
    <w:rsid w:val="71153329"/>
    <w:rsid w:val="71153587"/>
    <w:rsid w:val="71155335"/>
    <w:rsid w:val="7115600A"/>
    <w:rsid w:val="711710AD"/>
    <w:rsid w:val="71175551"/>
    <w:rsid w:val="711772FF"/>
    <w:rsid w:val="711807A5"/>
    <w:rsid w:val="71183556"/>
    <w:rsid w:val="71183EA7"/>
    <w:rsid w:val="71186BD3"/>
    <w:rsid w:val="71190F8C"/>
    <w:rsid w:val="7119421C"/>
    <w:rsid w:val="711A04F4"/>
    <w:rsid w:val="711A1D7B"/>
    <w:rsid w:val="711B5FAA"/>
    <w:rsid w:val="711C2B67"/>
    <w:rsid w:val="711C66C3"/>
    <w:rsid w:val="711D079C"/>
    <w:rsid w:val="711D243B"/>
    <w:rsid w:val="711D41EA"/>
    <w:rsid w:val="711D4E21"/>
    <w:rsid w:val="711E20F1"/>
    <w:rsid w:val="711E32B9"/>
    <w:rsid w:val="711E4949"/>
    <w:rsid w:val="711F4406"/>
    <w:rsid w:val="711F61B4"/>
    <w:rsid w:val="711F6BA9"/>
    <w:rsid w:val="711F7F62"/>
    <w:rsid w:val="712067C7"/>
    <w:rsid w:val="71211F2C"/>
    <w:rsid w:val="71224B2C"/>
    <w:rsid w:val="71233EF6"/>
    <w:rsid w:val="71234381"/>
    <w:rsid w:val="71235C9B"/>
    <w:rsid w:val="71235CA4"/>
    <w:rsid w:val="71241AA6"/>
    <w:rsid w:val="71243666"/>
    <w:rsid w:val="71243EB9"/>
    <w:rsid w:val="71245578"/>
    <w:rsid w:val="712559EA"/>
    <w:rsid w:val="71257ACF"/>
    <w:rsid w:val="71257C6E"/>
    <w:rsid w:val="712612F0"/>
    <w:rsid w:val="712637C3"/>
    <w:rsid w:val="71264AB9"/>
    <w:rsid w:val="7126707D"/>
    <w:rsid w:val="71267D14"/>
    <w:rsid w:val="7127184D"/>
    <w:rsid w:val="71272170"/>
    <w:rsid w:val="712735A6"/>
    <w:rsid w:val="71273F6D"/>
    <w:rsid w:val="71277761"/>
    <w:rsid w:val="71277E7C"/>
    <w:rsid w:val="7128150C"/>
    <w:rsid w:val="71287C51"/>
    <w:rsid w:val="712903CC"/>
    <w:rsid w:val="71290DE0"/>
    <w:rsid w:val="71291AA1"/>
    <w:rsid w:val="712A1FC5"/>
    <w:rsid w:val="712A4257"/>
    <w:rsid w:val="712B2ADD"/>
    <w:rsid w:val="712B2DAA"/>
    <w:rsid w:val="712B7FCB"/>
    <w:rsid w:val="712C0A08"/>
    <w:rsid w:val="712D203C"/>
    <w:rsid w:val="712D267F"/>
    <w:rsid w:val="712D6B22"/>
    <w:rsid w:val="712E1DC8"/>
    <w:rsid w:val="712E4649"/>
    <w:rsid w:val="712E50C7"/>
    <w:rsid w:val="712E63F7"/>
    <w:rsid w:val="712F1B9B"/>
    <w:rsid w:val="712F289B"/>
    <w:rsid w:val="712F2B3D"/>
    <w:rsid w:val="712F3AFF"/>
    <w:rsid w:val="713003C1"/>
    <w:rsid w:val="71303DC6"/>
    <w:rsid w:val="713056CA"/>
    <w:rsid w:val="713056CE"/>
    <w:rsid w:val="71306613"/>
    <w:rsid w:val="71306D3B"/>
    <w:rsid w:val="71307911"/>
    <w:rsid w:val="71312AC5"/>
    <w:rsid w:val="71326A6A"/>
    <w:rsid w:val="71340D5C"/>
    <w:rsid w:val="71341C5F"/>
    <w:rsid w:val="71347526"/>
    <w:rsid w:val="713502C9"/>
    <w:rsid w:val="713554DF"/>
    <w:rsid w:val="713752AB"/>
    <w:rsid w:val="713855A1"/>
    <w:rsid w:val="71391341"/>
    <w:rsid w:val="713A4D9B"/>
    <w:rsid w:val="713B18F3"/>
    <w:rsid w:val="713B7C54"/>
    <w:rsid w:val="713C0B14"/>
    <w:rsid w:val="713C399D"/>
    <w:rsid w:val="713D365E"/>
    <w:rsid w:val="713D4EA6"/>
    <w:rsid w:val="713F23B2"/>
    <w:rsid w:val="713F347A"/>
    <w:rsid w:val="713F7762"/>
    <w:rsid w:val="71404DC3"/>
    <w:rsid w:val="714125CE"/>
    <w:rsid w:val="7141437C"/>
    <w:rsid w:val="71414D49"/>
    <w:rsid w:val="7141612A"/>
    <w:rsid w:val="71416653"/>
    <w:rsid w:val="71430D86"/>
    <w:rsid w:val="71431EA2"/>
    <w:rsid w:val="71435628"/>
    <w:rsid w:val="71436346"/>
    <w:rsid w:val="71436686"/>
    <w:rsid w:val="71443DB1"/>
    <w:rsid w:val="714455C1"/>
    <w:rsid w:val="7144725F"/>
    <w:rsid w:val="71453E6C"/>
    <w:rsid w:val="71456328"/>
    <w:rsid w:val="71456464"/>
    <w:rsid w:val="714569D0"/>
    <w:rsid w:val="71463740"/>
    <w:rsid w:val="7146559A"/>
    <w:rsid w:val="71475702"/>
    <w:rsid w:val="71477263"/>
    <w:rsid w:val="71477283"/>
    <w:rsid w:val="71477B32"/>
    <w:rsid w:val="7148276E"/>
    <w:rsid w:val="7148395C"/>
    <w:rsid w:val="7148570A"/>
    <w:rsid w:val="71487BB2"/>
    <w:rsid w:val="71487D25"/>
    <w:rsid w:val="71495AA5"/>
    <w:rsid w:val="71495ECF"/>
    <w:rsid w:val="714A088A"/>
    <w:rsid w:val="714A535B"/>
    <w:rsid w:val="714B26D4"/>
    <w:rsid w:val="714B29B0"/>
    <w:rsid w:val="714C07F7"/>
    <w:rsid w:val="714C1F4A"/>
    <w:rsid w:val="714C3766"/>
    <w:rsid w:val="714D0F73"/>
    <w:rsid w:val="714D13E5"/>
    <w:rsid w:val="714D4ACF"/>
    <w:rsid w:val="714D4C8C"/>
    <w:rsid w:val="714E6CDB"/>
    <w:rsid w:val="714E77C7"/>
    <w:rsid w:val="714F25CA"/>
    <w:rsid w:val="71500E04"/>
    <w:rsid w:val="71502811"/>
    <w:rsid w:val="71504CB8"/>
    <w:rsid w:val="7150603A"/>
    <w:rsid w:val="715060B2"/>
    <w:rsid w:val="7150636D"/>
    <w:rsid w:val="715067B1"/>
    <w:rsid w:val="71511DF8"/>
    <w:rsid w:val="71520337"/>
    <w:rsid w:val="7152165C"/>
    <w:rsid w:val="715220E5"/>
    <w:rsid w:val="71526589"/>
    <w:rsid w:val="71535E5D"/>
    <w:rsid w:val="715372B7"/>
    <w:rsid w:val="71544003"/>
    <w:rsid w:val="715450C2"/>
    <w:rsid w:val="71547591"/>
    <w:rsid w:val="71547887"/>
    <w:rsid w:val="715553CD"/>
    <w:rsid w:val="71555F59"/>
    <w:rsid w:val="715605B1"/>
    <w:rsid w:val="71566079"/>
    <w:rsid w:val="71570364"/>
    <w:rsid w:val="71571FBA"/>
    <w:rsid w:val="71573B9F"/>
    <w:rsid w:val="7157594D"/>
    <w:rsid w:val="715759D2"/>
    <w:rsid w:val="7158131A"/>
    <w:rsid w:val="71581E5C"/>
    <w:rsid w:val="71593474"/>
    <w:rsid w:val="71596E12"/>
    <w:rsid w:val="71597917"/>
    <w:rsid w:val="715A66C2"/>
    <w:rsid w:val="715B2CB5"/>
    <w:rsid w:val="715B3690"/>
    <w:rsid w:val="715B5300"/>
    <w:rsid w:val="715C7408"/>
    <w:rsid w:val="715D018E"/>
    <w:rsid w:val="715D75D2"/>
    <w:rsid w:val="715E0A8A"/>
    <w:rsid w:val="715E368C"/>
    <w:rsid w:val="715E4F2E"/>
    <w:rsid w:val="715E62C4"/>
    <w:rsid w:val="715E6CDC"/>
    <w:rsid w:val="715F4802"/>
    <w:rsid w:val="716167CC"/>
    <w:rsid w:val="71630796"/>
    <w:rsid w:val="71632544"/>
    <w:rsid w:val="71632EFF"/>
    <w:rsid w:val="716342F2"/>
    <w:rsid w:val="716344D9"/>
    <w:rsid w:val="71634C94"/>
    <w:rsid w:val="71641D97"/>
    <w:rsid w:val="71641E18"/>
    <w:rsid w:val="71661920"/>
    <w:rsid w:val="71662987"/>
    <w:rsid w:val="71663DE2"/>
    <w:rsid w:val="71664213"/>
    <w:rsid w:val="71671D9D"/>
    <w:rsid w:val="7167300F"/>
    <w:rsid w:val="716730F9"/>
    <w:rsid w:val="716817FE"/>
    <w:rsid w:val="716851C6"/>
    <w:rsid w:val="71687B5B"/>
    <w:rsid w:val="716907C5"/>
    <w:rsid w:val="71692C8E"/>
    <w:rsid w:val="716943CF"/>
    <w:rsid w:val="71697008"/>
    <w:rsid w:val="71697A56"/>
    <w:rsid w:val="716A2212"/>
    <w:rsid w:val="716A6D1D"/>
    <w:rsid w:val="716B18C0"/>
    <w:rsid w:val="716C522F"/>
    <w:rsid w:val="716C76A7"/>
    <w:rsid w:val="716D2A38"/>
    <w:rsid w:val="716D33C3"/>
    <w:rsid w:val="716D3DF1"/>
    <w:rsid w:val="716D41E0"/>
    <w:rsid w:val="716F713B"/>
    <w:rsid w:val="716F71A9"/>
    <w:rsid w:val="716F7CAE"/>
    <w:rsid w:val="717007BD"/>
    <w:rsid w:val="71702BF6"/>
    <w:rsid w:val="71703B38"/>
    <w:rsid w:val="71704C61"/>
    <w:rsid w:val="71705691"/>
    <w:rsid w:val="71713FF1"/>
    <w:rsid w:val="717152D4"/>
    <w:rsid w:val="717169A4"/>
    <w:rsid w:val="717171CA"/>
    <w:rsid w:val="71722787"/>
    <w:rsid w:val="71722E9B"/>
    <w:rsid w:val="717276BF"/>
    <w:rsid w:val="7173160F"/>
    <w:rsid w:val="71731D37"/>
    <w:rsid w:val="717402AD"/>
    <w:rsid w:val="71746183"/>
    <w:rsid w:val="717464FF"/>
    <w:rsid w:val="71747EB3"/>
    <w:rsid w:val="71752277"/>
    <w:rsid w:val="71752771"/>
    <w:rsid w:val="7175478A"/>
    <w:rsid w:val="71755543"/>
    <w:rsid w:val="71755DD4"/>
    <w:rsid w:val="71756AF0"/>
    <w:rsid w:val="71771B4C"/>
    <w:rsid w:val="71773693"/>
    <w:rsid w:val="71775FF0"/>
    <w:rsid w:val="717805AF"/>
    <w:rsid w:val="717815BF"/>
    <w:rsid w:val="717937F0"/>
    <w:rsid w:val="71793B16"/>
    <w:rsid w:val="717A0CE2"/>
    <w:rsid w:val="717A187F"/>
    <w:rsid w:val="717A5A95"/>
    <w:rsid w:val="717B3478"/>
    <w:rsid w:val="717B5AE0"/>
    <w:rsid w:val="717C0814"/>
    <w:rsid w:val="717C0B8B"/>
    <w:rsid w:val="717C0C66"/>
    <w:rsid w:val="717D735E"/>
    <w:rsid w:val="717E2572"/>
    <w:rsid w:val="717E2EDA"/>
    <w:rsid w:val="717E41EA"/>
    <w:rsid w:val="717F18C5"/>
    <w:rsid w:val="718030F6"/>
    <w:rsid w:val="71804EA4"/>
    <w:rsid w:val="718054A5"/>
    <w:rsid w:val="71816C22"/>
    <w:rsid w:val="71816EA7"/>
    <w:rsid w:val="71821C2A"/>
    <w:rsid w:val="718257C5"/>
    <w:rsid w:val="71834649"/>
    <w:rsid w:val="71844269"/>
    <w:rsid w:val="71844EC8"/>
    <w:rsid w:val="71846206"/>
    <w:rsid w:val="7185070D"/>
    <w:rsid w:val="718524D4"/>
    <w:rsid w:val="718538F7"/>
    <w:rsid w:val="71867FE1"/>
    <w:rsid w:val="71871547"/>
    <w:rsid w:val="71871B01"/>
    <w:rsid w:val="71873424"/>
    <w:rsid w:val="71875C3A"/>
    <w:rsid w:val="71883C15"/>
    <w:rsid w:val="71883D59"/>
    <w:rsid w:val="718A3F7A"/>
    <w:rsid w:val="718A4DE6"/>
    <w:rsid w:val="718A5D23"/>
    <w:rsid w:val="718B17AE"/>
    <w:rsid w:val="718B2668"/>
    <w:rsid w:val="718C2E97"/>
    <w:rsid w:val="718C592E"/>
    <w:rsid w:val="718D136F"/>
    <w:rsid w:val="718D5813"/>
    <w:rsid w:val="718D6E07"/>
    <w:rsid w:val="718E1E6E"/>
    <w:rsid w:val="718E7887"/>
    <w:rsid w:val="718F158B"/>
    <w:rsid w:val="718F3339"/>
    <w:rsid w:val="718F60EA"/>
    <w:rsid w:val="718F6E95"/>
    <w:rsid w:val="718F72C4"/>
    <w:rsid w:val="71901D7D"/>
    <w:rsid w:val="7190214B"/>
    <w:rsid w:val="71910494"/>
    <w:rsid w:val="719131D9"/>
    <w:rsid w:val="719143B7"/>
    <w:rsid w:val="719170B1"/>
    <w:rsid w:val="71937A1B"/>
    <w:rsid w:val="71940950"/>
    <w:rsid w:val="719426FE"/>
    <w:rsid w:val="71946BA2"/>
    <w:rsid w:val="71947B79"/>
    <w:rsid w:val="71950224"/>
    <w:rsid w:val="71952497"/>
    <w:rsid w:val="71954AED"/>
    <w:rsid w:val="71960D17"/>
    <w:rsid w:val="71961B86"/>
    <w:rsid w:val="7196487C"/>
    <w:rsid w:val="719721EE"/>
    <w:rsid w:val="71973142"/>
    <w:rsid w:val="71977C6C"/>
    <w:rsid w:val="71993C60"/>
    <w:rsid w:val="719941B8"/>
    <w:rsid w:val="71995F66"/>
    <w:rsid w:val="71997D14"/>
    <w:rsid w:val="719A115A"/>
    <w:rsid w:val="719A3A8C"/>
    <w:rsid w:val="719A5494"/>
    <w:rsid w:val="719B1CDE"/>
    <w:rsid w:val="719B1D4F"/>
    <w:rsid w:val="719B22AD"/>
    <w:rsid w:val="719C06EE"/>
    <w:rsid w:val="719C5A56"/>
    <w:rsid w:val="719D1B7E"/>
    <w:rsid w:val="719E17CE"/>
    <w:rsid w:val="719E357C"/>
    <w:rsid w:val="719F3EBB"/>
    <w:rsid w:val="719F4345"/>
    <w:rsid w:val="719F5BDF"/>
    <w:rsid w:val="719F7B0F"/>
    <w:rsid w:val="71A010A2"/>
    <w:rsid w:val="71A01D5B"/>
    <w:rsid w:val="71A02407"/>
    <w:rsid w:val="71A1306D"/>
    <w:rsid w:val="71A130D0"/>
    <w:rsid w:val="71A16BC9"/>
    <w:rsid w:val="71A212BE"/>
    <w:rsid w:val="71A2374C"/>
    <w:rsid w:val="71A24560"/>
    <w:rsid w:val="71A26C49"/>
    <w:rsid w:val="71A27CD0"/>
    <w:rsid w:val="71A301AC"/>
    <w:rsid w:val="71A32941"/>
    <w:rsid w:val="71A359F0"/>
    <w:rsid w:val="71A36DE5"/>
    <w:rsid w:val="71A3793F"/>
    <w:rsid w:val="71A42651"/>
    <w:rsid w:val="71A43873"/>
    <w:rsid w:val="71A51DB9"/>
    <w:rsid w:val="71A52B5D"/>
    <w:rsid w:val="71A52F55"/>
    <w:rsid w:val="71A53F07"/>
    <w:rsid w:val="71A5490B"/>
    <w:rsid w:val="71A604C3"/>
    <w:rsid w:val="71A60683"/>
    <w:rsid w:val="71A617A0"/>
    <w:rsid w:val="71A6182B"/>
    <w:rsid w:val="71A620DD"/>
    <w:rsid w:val="71A71502"/>
    <w:rsid w:val="71A74F9E"/>
    <w:rsid w:val="71A75025"/>
    <w:rsid w:val="71A861A9"/>
    <w:rsid w:val="71A90BC9"/>
    <w:rsid w:val="71A93A3A"/>
    <w:rsid w:val="71A9768A"/>
    <w:rsid w:val="71AA0173"/>
    <w:rsid w:val="71AA0D5F"/>
    <w:rsid w:val="71AB4182"/>
    <w:rsid w:val="71AB5C99"/>
    <w:rsid w:val="71AB7A47"/>
    <w:rsid w:val="71AC1373"/>
    <w:rsid w:val="71AC2F57"/>
    <w:rsid w:val="71AC3601"/>
    <w:rsid w:val="71AC3EEB"/>
    <w:rsid w:val="71AC5779"/>
    <w:rsid w:val="71AD1A11"/>
    <w:rsid w:val="71AD1A63"/>
    <w:rsid w:val="71AD37BF"/>
    <w:rsid w:val="71AD5FD6"/>
    <w:rsid w:val="71AD6B3F"/>
    <w:rsid w:val="71AF0F59"/>
    <w:rsid w:val="71AF1059"/>
    <w:rsid w:val="71AF216E"/>
    <w:rsid w:val="71AF2EF1"/>
    <w:rsid w:val="71AF4F24"/>
    <w:rsid w:val="71AF5789"/>
    <w:rsid w:val="71AF7537"/>
    <w:rsid w:val="71B006A5"/>
    <w:rsid w:val="71B04F17"/>
    <w:rsid w:val="71B0505E"/>
    <w:rsid w:val="71B05423"/>
    <w:rsid w:val="71B06541"/>
    <w:rsid w:val="71B132B0"/>
    <w:rsid w:val="71B14B1C"/>
    <w:rsid w:val="71B21498"/>
    <w:rsid w:val="71B277AA"/>
    <w:rsid w:val="71B305AA"/>
    <w:rsid w:val="71B35F61"/>
    <w:rsid w:val="71B40FF2"/>
    <w:rsid w:val="71B44B4E"/>
    <w:rsid w:val="71B46975"/>
    <w:rsid w:val="71B5371E"/>
    <w:rsid w:val="71B57E05"/>
    <w:rsid w:val="71B64125"/>
    <w:rsid w:val="71B6668C"/>
    <w:rsid w:val="71B72890"/>
    <w:rsid w:val="71B73BB5"/>
    <w:rsid w:val="71B763EC"/>
    <w:rsid w:val="71B7759E"/>
    <w:rsid w:val="71B82A38"/>
    <w:rsid w:val="71B838D5"/>
    <w:rsid w:val="71B903B6"/>
    <w:rsid w:val="71B92164"/>
    <w:rsid w:val="71B94C50"/>
    <w:rsid w:val="71B95485"/>
    <w:rsid w:val="71B96608"/>
    <w:rsid w:val="71BA3C77"/>
    <w:rsid w:val="71BA7B5D"/>
    <w:rsid w:val="71BB2380"/>
    <w:rsid w:val="71BB412E"/>
    <w:rsid w:val="71BB5107"/>
    <w:rsid w:val="71BB5491"/>
    <w:rsid w:val="71BB5EDC"/>
    <w:rsid w:val="71BC3A02"/>
    <w:rsid w:val="71BC4A8A"/>
    <w:rsid w:val="71BD2BEF"/>
    <w:rsid w:val="71BD5A4F"/>
    <w:rsid w:val="71BE1D76"/>
    <w:rsid w:val="71BE3C1E"/>
    <w:rsid w:val="71BE777B"/>
    <w:rsid w:val="71BE7BB3"/>
    <w:rsid w:val="71BF565B"/>
    <w:rsid w:val="71BF6659"/>
    <w:rsid w:val="71C047A0"/>
    <w:rsid w:val="71C07159"/>
    <w:rsid w:val="71C07997"/>
    <w:rsid w:val="71C15567"/>
    <w:rsid w:val="71C163A8"/>
    <w:rsid w:val="71C1726B"/>
    <w:rsid w:val="71C21A16"/>
    <w:rsid w:val="71C22409"/>
    <w:rsid w:val="71C27838"/>
    <w:rsid w:val="71C31235"/>
    <w:rsid w:val="71C32FE3"/>
    <w:rsid w:val="71C34D91"/>
    <w:rsid w:val="71C43C13"/>
    <w:rsid w:val="71C4646A"/>
    <w:rsid w:val="71C50280"/>
    <w:rsid w:val="71C50B09"/>
    <w:rsid w:val="71C531D6"/>
    <w:rsid w:val="71C54FAD"/>
    <w:rsid w:val="71C55182"/>
    <w:rsid w:val="71C805F9"/>
    <w:rsid w:val="71C81ADD"/>
    <w:rsid w:val="71C81E07"/>
    <w:rsid w:val="71C823A7"/>
    <w:rsid w:val="71C84B3A"/>
    <w:rsid w:val="71C85B51"/>
    <w:rsid w:val="71C8627B"/>
    <w:rsid w:val="71C8684B"/>
    <w:rsid w:val="71C93E4C"/>
    <w:rsid w:val="71C941BF"/>
    <w:rsid w:val="71CA092A"/>
    <w:rsid w:val="71CA25C3"/>
    <w:rsid w:val="71CA4371"/>
    <w:rsid w:val="71CA5A5C"/>
    <w:rsid w:val="71CA611F"/>
    <w:rsid w:val="71CC00E9"/>
    <w:rsid w:val="71CC3277"/>
    <w:rsid w:val="71CD3E62"/>
    <w:rsid w:val="71CD480E"/>
    <w:rsid w:val="71CD74FF"/>
    <w:rsid w:val="71CF357D"/>
    <w:rsid w:val="71CF42B0"/>
    <w:rsid w:val="71CF7BDA"/>
    <w:rsid w:val="71D074AE"/>
    <w:rsid w:val="71D10A5A"/>
    <w:rsid w:val="71D13952"/>
    <w:rsid w:val="71D15700"/>
    <w:rsid w:val="71D16685"/>
    <w:rsid w:val="71D21372"/>
    <w:rsid w:val="71D21478"/>
    <w:rsid w:val="71D21EFE"/>
    <w:rsid w:val="71D23226"/>
    <w:rsid w:val="71D247CC"/>
    <w:rsid w:val="71D24CBF"/>
    <w:rsid w:val="71D27618"/>
    <w:rsid w:val="71D27F8A"/>
    <w:rsid w:val="71D304EF"/>
    <w:rsid w:val="71D40D4C"/>
    <w:rsid w:val="71D4481E"/>
    <w:rsid w:val="71D44CB3"/>
    <w:rsid w:val="71D45D66"/>
    <w:rsid w:val="71D46B4E"/>
    <w:rsid w:val="71D477B2"/>
    <w:rsid w:val="71D47EC1"/>
    <w:rsid w:val="71D5087F"/>
    <w:rsid w:val="71D61D0F"/>
    <w:rsid w:val="71D62D16"/>
    <w:rsid w:val="71D7083C"/>
    <w:rsid w:val="71D72E66"/>
    <w:rsid w:val="71D76AF4"/>
    <w:rsid w:val="71D77E06"/>
    <w:rsid w:val="71D84CE0"/>
    <w:rsid w:val="71D90A58"/>
    <w:rsid w:val="71D945B4"/>
    <w:rsid w:val="71DA1D9E"/>
    <w:rsid w:val="71DA4D50"/>
    <w:rsid w:val="71DB657E"/>
    <w:rsid w:val="71DC2FB0"/>
    <w:rsid w:val="71DC57AF"/>
    <w:rsid w:val="71DD22F7"/>
    <w:rsid w:val="71DD3E42"/>
    <w:rsid w:val="71DD5D41"/>
    <w:rsid w:val="71DE1BCB"/>
    <w:rsid w:val="71DE5190"/>
    <w:rsid w:val="71DE7E1D"/>
    <w:rsid w:val="71DF6C24"/>
    <w:rsid w:val="71E0149B"/>
    <w:rsid w:val="71E01DE7"/>
    <w:rsid w:val="71E03B95"/>
    <w:rsid w:val="71E05943"/>
    <w:rsid w:val="71E116BB"/>
    <w:rsid w:val="71E300E0"/>
    <w:rsid w:val="71E434D2"/>
    <w:rsid w:val="71E45398"/>
    <w:rsid w:val="71E47E76"/>
    <w:rsid w:val="71E50BD2"/>
    <w:rsid w:val="71E523F4"/>
    <w:rsid w:val="71E52F59"/>
    <w:rsid w:val="71E56029"/>
    <w:rsid w:val="71E57482"/>
    <w:rsid w:val="71E57950"/>
    <w:rsid w:val="71E67BCC"/>
    <w:rsid w:val="71E747B0"/>
    <w:rsid w:val="71E92128"/>
    <w:rsid w:val="71E94118"/>
    <w:rsid w:val="71E95E31"/>
    <w:rsid w:val="71E97B9E"/>
    <w:rsid w:val="71EA0570"/>
    <w:rsid w:val="71EA67C2"/>
    <w:rsid w:val="71EB40A4"/>
    <w:rsid w:val="71EB6ED1"/>
    <w:rsid w:val="71EC3F35"/>
    <w:rsid w:val="71EC5C12"/>
    <w:rsid w:val="71EC71D7"/>
    <w:rsid w:val="71ED0060"/>
    <w:rsid w:val="71EE754A"/>
    <w:rsid w:val="71EF04D1"/>
    <w:rsid w:val="71EF1909"/>
    <w:rsid w:val="71EF202A"/>
    <w:rsid w:val="71EF3DD8"/>
    <w:rsid w:val="71EF5B86"/>
    <w:rsid w:val="71F05487"/>
    <w:rsid w:val="71F0601F"/>
    <w:rsid w:val="71F118FE"/>
    <w:rsid w:val="71F17B50"/>
    <w:rsid w:val="71F212F1"/>
    <w:rsid w:val="71F22282"/>
    <w:rsid w:val="71F238C8"/>
    <w:rsid w:val="71F2616F"/>
    <w:rsid w:val="71F34871"/>
    <w:rsid w:val="71F35BD6"/>
    <w:rsid w:val="71F426C7"/>
    <w:rsid w:val="71F47C4A"/>
    <w:rsid w:val="71F65166"/>
    <w:rsid w:val="71F6797B"/>
    <w:rsid w:val="71F72C8D"/>
    <w:rsid w:val="71F76873"/>
    <w:rsid w:val="71F80EDE"/>
    <w:rsid w:val="71F83C19"/>
    <w:rsid w:val="71F86164"/>
    <w:rsid w:val="71F87130"/>
    <w:rsid w:val="71F9054D"/>
    <w:rsid w:val="71F905DE"/>
    <w:rsid w:val="71F94C57"/>
    <w:rsid w:val="71F950A9"/>
    <w:rsid w:val="71F96A05"/>
    <w:rsid w:val="71FA6539"/>
    <w:rsid w:val="71FA7C7A"/>
    <w:rsid w:val="71FB277D"/>
    <w:rsid w:val="71FB452B"/>
    <w:rsid w:val="71FB4681"/>
    <w:rsid w:val="71FC1DBA"/>
    <w:rsid w:val="71FD4E21"/>
    <w:rsid w:val="71FD6F90"/>
    <w:rsid w:val="71FE2CD4"/>
    <w:rsid w:val="71FE401B"/>
    <w:rsid w:val="71FE5D45"/>
    <w:rsid w:val="71FF2F19"/>
    <w:rsid w:val="71FF5A0F"/>
    <w:rsid w:val="71FF7E19"/>
    <w:rsid w:val="720016F8"/>
    <w:rsid w:val="72003494"/>
    <w:rsid w:val="72005FE5"/>
    <w:rsid w:val="72007BEE"/>
    <w:rsid w:val="72007D93"/>
    <w:rsid w:val="72010E5B"/>
    <w:rsid w:val="720158B9"/>
    <w:rsid w:val="72021D5D"/>
    <w:rsid w:val="72030821"/>
    <w:rsid w:val="720348C6"/>
    <w:rsid w:val="72035AD5"/>
    <w:rsid w:val="72037883"/>
    <w:rsid w:val="7204621A"/>
    <w:rsid w:val="72062ED0"/>
    <w:rsid w:val="720634FA"/>
    <w:rsid w:val="72065AAB"/>
    <w:rsid w:val="72072200"/>
    <w:rsid w:val="7207227E"/>
    <w:rsid w:val="72074CDD"/>
    <w:rsid w:val="72081FCD"/>
    <w:rsid w:val="72086C48"/>
    <w:rsid w:val="720918D3"/>
    <w:rsid w:val="720930EC"/>
    <w:rsid w:val="7209642D"/>
    <w:rsid w:val="720A02BB"/>
    <w:rsid w:val="720A29C0"/>
    <w:rsid w:val="720A602E"/>
    <w:rsid w:val="720A7175"/>
    <w:rsid w:val="720C498A"/>
    <w:rsid w:val="720C6738"/>
    <w:rsid w:val="720D24B0"/>
    <w:rsid w:val="720D425E"/>
    <w:rsid w:val="720D4316"/>
    <w:rsid w:val="720E062F"/>
    <w:rsid w:val="720E2078"/>
    <w:rsid w:val="720E2299"/>
    <w:rsid w:val="720E2C0A"/>
    <w:rsid w:val="720E4399"/>
    <w:rsid w:val="720E5E3F"/>
    <w:rsid w:val="720F01EF"/>
    <w:rsid w:val="720F142F"/>
    <w:rsid w:val="720F1B67"/>
    <w:rsid w:val="720F33B8"/>
    <w:rsid w:val="720F6228"/>
    <w:rsid w:val="720F7FD6"/>
    <w:rsid w:val="72113D4E"/>
    <w:rsid w:val="721147C0"/>
    <w:rsid w:val="72121874"/>
    <w:rsid w:val="721246C9"/>
    <w:rsid w:val="72125C50"/>
    <w:rsid w:val="72127391"/>
    <w:rsid w:val="72127AC5"/>
    <w:rsid w:val="72135D18"/>
    <w:rsid w:val="721360C7"/>
    <w:rsid w:val="721379D9"/>
    <w:rsid w:val="72141A90"/>
    <w:rsid w:val="721455EC"/>
    <w:rsid w:val="72156603"/>
    <w:rsid w:val="72165809"/>
    <w:rsid w:val="7217238C"/>
    <w:rsid w:val="72175AFD"/>
    <w:rsid w:val="7218332F"/>
    <w:rsid w:val="72187A67"/>
    <w:rsid w:val="72191290"/>
    <w:rsid w:val="72191617"/>
    <w:rsid w:val="72192C03"/>
    <w:rsid w:val="721A30A8"/>
    <w:rsid w:val="721A325A"/>
    <w:rsid w:val="721B2E1F"/>
    <w:rsid w:val="721B697B"/>
    <w:rsid w:val="721D0C8E"/>
    <w:rsid w:val="721D26F3"/>
    <w:rsid w:val="721D6B97"/>
    <w:rsid w:val="721D6C76"/>
    <w:rsid w:val="721D6DF3"/>
    <w:rsid w:val="721E25DF"/>
    <w:rsid w:val="721E511D"/>
    <w:rsid w:val="721F7926"/>
    <w:rsid w:val="72200435"/>
    <w:rsid w:val="722111CB"/>
    <w:rsid w:val="722148AD"/>
    <w:rsid w:val="72221E3F"/>
    <w:rsid w:val="72225F5B"/>
    <w:rsid w:val="72227D09"/>
    <w:rsid w:val="72232A9E"/>
    <w:rsid w:val="72244ED7"/>
    <w:rsid w:val="72247B3B"/>
    <w:rsid w:val="72247D1F"/>
    <w:rsid w:val="72255807"/>
    <w:rsid w:val="72255B55"/>
    <w:rsid w:val="722577FA"/>
    <w:rsid w:val="72265F7C"/>
    <w:rsid w:val="72271CEF"/>
    <w:rsid w:val="72275320"/>
    <w:rsid w:val="722777C2"/>
    <w:rsid w:val="72281098"/>
    <w:rsid w:val="722872EA"/>
    <w:rsid w:val="72291313"/>
    <w:rsid w:val="7229485D"/>
    <w:rsid w:val="7229553C"/>
    <w:rsid w:val="72297566"/>
    <w:rsid w:val="72297CE6"/>
    <w:rsid w:val="722B50D7"/>
    <w:rsid w:val="722B793A"/>
    <w:rsid w:val="722C306B"/>
    <w:rsid w:val="722D5109"/>
    <w:rsid w:val="722D7006"/>
    <w:rsid w:val="722E2B52"/>
    <w:rsid w:val="722E4900"/>
    <w:rsid w:val="722E5519"/>
    <w:rsid w:val="722F6137"/>
    <w:rsid w:val="722F677F"/>
    <w:rsid w:val="72311097"/>
    <w:rsid w:val="7231225D"/>
    <w:rsid w:val="72320433"/>
    <w:rsid w:val="723217F7"/>
    <w:rsid w:val="72331572"/>
    <w:rsid w:val="7233509D"/>
    <w:rsid w:val="723428E3"/>
    <w:rsid w:val="723462E7"/>
    <w:rsid w:val="72347A3D"/>
    <w:rsid w:val="72361171"/>
    <w:rsid w:val="7236453D"/>
    <w:rsid w:val="723759DB"/>
    <w:rsid w:val="723839D1"/>
    <w:rsid w:val="72384DBC"/>
    <w:rsid w:val="723852BB"/>
    <w:rsid w:val="723914F7"/>
    <w:rsid w:val="723A39CB"/>
    <w:rsid w:val="723A59EF"/>
    <w:rsid w:val="723C3381"/>
    <w:rsid w:val="723C62EB"/>
    <w:rsid w:val="723D0E21"/>
    <w:rsid w:val="723D0FE7"/>
    <w:rsid w:val="723D234C"/>
    <w:rsid w:val="723D2D95"/>
    <w:rsid w:val="723E387A"/>
    <w:rsid w:val="723F4D5F"/>
    <w:rsid w:val="723F7BAF"/>
    <w:rsid w:val="724051C6"/>
    <w:rsid w:val="724063E2"/>
    <w:rsid w:val="724203AC"/>
    <w:rsid w:val="7242215A"/>
    <w:rsid w:val="724347A4"/>
    <w:rsid w:val="724423BC"/>
    <w:rsid w:val="724454B6"/>
    <w:rsid w:val="724519E3"/>
    <w:rsid w:val="7245221F"/>
    <w:rsid w:val="72457E9C"/>
    <w:rsid w:val="72461F6E"/>
    <w:rsid w:val="72465A47"/>
    <w:rsid w:val="7247228B"/>
    <w:rsid w:val="72473C14"/>
    <w:rsid w:val="724759C2"/>
    <w:rsid w:val="72475FCF"/>
    <w:rsid w:val="72477551"/>
    <w:rsid w:val="724834E8"/>
    <w:rsid w:val="72485503"/>
    <w:rsid w:val="72486002"/>
    <w:rsid w:val="7248745F"/>
    <w:rsid w:val="72493FF7"/>
    <w:rsid w:val="72496005"/>
    <w:rsid w:val="724A27E4"/>
    <w:rsid w:val="724A34C0"/>
    <w:rsid w:val="724B05AD"/>
    <w:rsid w:val="724B3278"/>
    <w:rsid w:val="724B4D34"/>
    <w:rsid w:val="724B706A"/>
    <w:rsid w:val="724C0203"/>
    <w:rsid w:val="724C09B1"/>
    <w:rsid w:val="724C160B"/>
    <w:rsid w:val="724C1CCE"/>
    <w:rsid w:val="724D5C91"/>
    <w:rsid w:val="724E0824"/>
    <w:rsid w:val="724E4FA2"/>
    <w:rsid w:val="724F2AC9"/>
    <w:rsid w:val="724F4877"/>
    <w:rsid w:val="724F5EA2"/>
    <w:rsid w:val="724F780C"/>
    <w:rsid w:val="72500743"/>
    <w:rsid w:val="72500C91"/>
    <w:rsid w:val="72502255"/>
    <w:rsid w:val="72504DF4"/>
    <w:rsid w:val="7251036B"/>
    <w:rsid w:val="725105EF"/>
    <w:rsid w:val="72510822"/>
    <w:rsid w:val="725125F7"/>
    <w:rsid w:val="72514A93"/>
    <w:rsid w:val="725237EE"/>
    <w:rsid w:val="72523DCD"/>
    <w:rsid w:val="725257DE"/>
    <w:rsid w:val="725268F2"/>
    <w:rsid w:val="7253138F"/>
    <w:rsid w:val="725325B9"/>
    <w:rsid w:val="72541E8D"/>
    <w:rsid w:val="72541F51"/>
    <w:rsid w:val="7254352B"/>
    <w:rsid w:val="7254553B"/>
    <w:rsid w:val="72553024"/>
    <w:rsid w:val="725620A9"/>
    <w:rsid w:val="72563E57"/>
    <w:rsid w:val="72565C05"/>
    <w:rsid w:val="725676CF"/>
    <w:rsid w:val="725813DB"/>
    <w:rsid w:val="7258372B"/>
    <w:rsid w:val="72587BCF"/>
    <w:rsid w:val="725926A9"/>
    <w:rsid w:val="725956F5"/>
    <w:rsid w:val="725B0732"/>
    <w:rsid w:val="725B146D"/>
    <w:rsid w:val="725B5B0E"/>
    <w:rsid w:val="725C6621"/>
    <w:rsid w:val="725D2CDD"/>
    <w:rsid w:val="725D51E5"/>
    <w:rsid w:val="725D6F93"/>
    <w:rsid w:val="725D777E"/>
    <w:rsid w:val="725E2D0C"/>
    <w:rsid w:val="725F094D"/>
    <w:rsid w:val="725F0958"/>
    <w:rsid w:val="725F0975"/>
    <w:rsid w:val="725F0F5E"/>
    <w:rsid w:val="726056E6"/>
    <w:rsid w:val="72642581"/>
    <w:rsid w:val="726447C6"/>
    <w:rsid w:val="72646574"/>
    <w:rsid w:val="7265409A"/>
    <w:rsid w:val="7265547D"/>
    <w:rsid w:val="72655E48"/>
    <w:rsid w:val="72671BC0"/>
    <w:rsid w:val="726729E8"/>
    <w:rsid w:val="72675BA3"/>
    <w:rsid w:val="72677E12"/>
    <w:rsid w:val="72683EF4"/>
    <w:rsid w:val="72684737"/>
    <w:rsid w:val="72685687"/>
    <w:rsid w:val="72691DDC"/>
    <w:rsid w:val="72694909"/>
    <w:rsid w:val="72694AD2"/>
    <w:rsid w:val="72694F06"/>
    <w:rsid w:val="72695938"/>
    <w:rsid w:val="726A0763"/>
    <w:rsid w:val="726A56C4"/>
    <w:rsid w:val="726B28A3"/>
    <w:rsid w:val="726B3F64"/>
    <w:rsid w:val="726B5B54"/>
    <w:rsid w:val="726C03C6"/>
    <w:rsid w:val="726E2190"/>
    <w:rsid w:val="726E2199"/>
    <w:rsid w:val="726E2F4F"/>
    <w:rsid w:val="726E417E"/>
    <w:rsid w:val="726E598B"/>
    <w:rsid w:val="726F016F"/>
    <w:rsid w:val="726F07C8"/>
    <w:rsid w:val="726F33D9"/>
    <w:rsid w:val="726F4F19"/>
    <w:rsid w:val="726F6CC7"/>
    <w:rsid w:val="726F6CE2"/>
    <w:rsid w:val="72700380"/>
    <w:rsid w:val="72702DD6"/>
    <w:rsid w:val="7270316B"/>
    <w:rsid w:val="72703DC2"/>
    <w:rsid w:val="727051DB"/>
    <w:rsid w:val="7271277B"/>
    <w:rsid w:val="727147ED"/>
    <w:rsid w:val="72715487"/>
    <w:rsid w:val="7271666B"/>
    <w:rsid w:val="727206B1"/>
    <w:rsid w:val="72722654"/>
    <w:rsid w:val="72733B5C"/>
    <w:rsid w:val="72750781"/>
    <w:rsid w:val="72750C00"/>
    <w:rsid w:val="72752E54"/>
    <w:rsid w:val="72760055"/>
    <w:rsid w:val="72762CB8"/>
    <w:rsid w:val="72763559"/>
    <w:rsid w:val="727662A7"/>
    <w:rsid w:val="727840ED"/>
    <w:rsid w:val="72787DE2"/>
    <w:rsid w:val="72791E41"/>
    <w:rsid w:val="727A3825"/>
    <w:rsid w:val="727A7849"/>
    <w:rsid w:val="727A7B45"/>
    <w:rsid w:val="727B0722"/>
    <w:rsid w:val="727B566C"/>
    <w:rsid w:val="727C377E"/>
    <w:rsid w:val="727D13E4"/>
    <w:rsid w:val="727D1BD4"/>
    <w:rsid w:val="727D437C"/>
    <w:rsid w:val="727D4532"/>
    <w:rsid w:val="727E1565"/>
    <w:rsid w:val="727E6F0A"/>
    <w:rsid w:val="727F1ACA"/>
    <w:rsid w:val="727F434D"/>
    <w:rsid w:val="727F4F4A"/>
    <w:rsid w:val="72803435"/>
    <w:rsid w:val="72807126"/>
    <w:rsid w:val="72815085"/>
    <w:rsid w:val="728170D6"/>
    <w:rsid w:val="72817EA4"/>
    <w:rsid w:val="7283124A"/>
    <w:rsid w:val="72834520"/>
    <w:rsid w:val="72836D52"/>
    <w:rsid w:val="728409C4"/>
    <w:rsid w:val="72841DA1"/>
    <w:rsid w:val="72843020"/>
    <w:rsid w:val="728478D2"/>
    <w:rsid w:val="72851BFC"/>
    <w:rsid w:val="72852482"/>
    <w:rsid w:val="728564EA"/>
    <w:rsid w:val="7286033A"/>
    <w:rsid w:val="72865A0F"/>
    <w:rsid w:val="728704B4"/>
    <w:rsid w:val="72872262"/>
    <w:rsid w:val="72873462"/>
    <w:rsid w:val="72885662"/>
    <w:rsid w:val="72886033"/>
    <w:rsid w:val="728A3B01"/>
    <w:rsid w:val="728A58AF"/>
    <w:rsid w:val="728B1DE3"/>
    <w:rsid w:val="728B4C75"/>
    <w:rsid w:val="728B65E1"/>
    <w:rsid w:val="728B7568"/>
    <w:rsid w:val="728C26A1"/>
    <w:rsid w:val="728C5ACB"/>
    <w:rsid w:val="728C6F1C"/>
    <w:rsid w:val="728C7879"/>
    <w:rsid w:val="728D2438"/>
    <w:rsid w:val="728D4581"/>
    <w:rsid w:val="728D524E"/>
    <w:rsid w:val="728D5C3E"/>
    <w:rsid w:val="728D7DFB"/>
    <w:rsid w:val="728E539F"/>
    <w:rsid w:val="728F0CF3"/>
    <w:rsid w:val="728F1117"/>
    <w:rsid w:val="728F48BB"/>
    <w:rsid w:val="72904D02"/>
    <w:rsid w:val="729055BB"/>
    <w:rsid w:val="729076B1"/>
    <w:rsid w:val="72912784"/>
    <w:rsid w:val="729137CD"/>
    <w:rsid w:val="72914E8F"/>
    <w:rsid w:val="729227DA"/>
    <w:rsid w:val="729273B4"/>
    <w:rsid w:val="7294076C"/>
    <w:rsid w:val="72952BD1"/>
    <w:rsid w:val="72952EE5"/>
    <w:rsid w:val="72954D05"/>
    <w:rsid w:val="7296028E"/>
    <w:rsid w:val="729624A5"/>
    <w:rsid w:val="72966C0C"/>
    <w:rsid w:val="72966EF6"/>
    <w:rsid w:val="72970B06"/>
    <w:rsid w:val="7297468D"/>
    <w:rsid w:val="72976025"/>
    <w:rsid w:val="72981944"/>
    <w:rsid w:val="7298446F"/>
    <w:rsid w:val="729906F2"/>
    <w:rsid w:val="72992A2C"/>
    <w:rsid w:val="729A01E8"/>
    <w:rsid w:val="729A1F96"/>
    <w:rsid w:val="729A3D44"/>
    <w:rsid w:val="729A4C6C"/>
    <w:rsid w:val="729A622B"/>
    <w:rsid w:val="729B151B"/>
    <w:rsid w:val="729B512F"/>
    <w:rsid w:val="729B5D0E"/>
    <w:rsid w:val="729B7ABC"/>
    <w:rsid w:val="729C3F60"/>
    <w:rsid w:val="729D20E0"/>
    <w:rsid w:val="729D3834"/>
    <w:rsid w:val="729D38E1"/>
    <w:rsid w:val="729E0259"/>
    <w:rsid w:val="729E4018"/>
    <w:rsid w:val="729E49E9"/>
    <w:rsid w:val="729F3B51"/>
    <w:rsid w:val="729F57FE"/>
    <w:rsid w:val="72A03324"/>
    <w:rsid w:val="72A050D2"/>
    <w:rsid w:val="72A11576"/>
    <w:rsid w:val="72A12033"/>
    <w:rsid w:val="72A13C5F"/>
    <w:rsid w:val="72A14EA6"/>
    <w:rsid w:val="72A1623B"/>
    <w:rsid w:val="72A20E4A"/>
    <w:rsid w:val="72A31040"/>
    <w:rsid w:val="72A314FA"/>
    <w:rsid w:val="72A3476F"/>
    <w:rsid w:val="72A362A9"/>
    <w:rsid w:val="72A41893"/>
    <w:rsid w:val="72A4268E"/>
    <w:rsid w:val="72A44BC2"/>
    <w:rsid w:val="72A46970"/>
    <w:rsid w:val="72A46A4B"/>
    <w:rsid w:val="72A46FEE"/>
    <w:rsid w:val="72A70FA9"/>
    <w:rsid w:val="72A714F1"/>
    <w:rsid w:val="72A746B3"/>
    <w:rsid w:val="72A75950"/>
    <w:rsid w:val="72A75B91"/>
    <w:rsid w:val="72A76461"/>
    <w:rsid w:val="72A816B0"/>
    <w:rsid w:val="72A858A4"/>
    <w:rsid w:val="72A9042B"/>
    <w:rsid w:val="72A90FFE"/>
    <w:rsid w:val="72A93598"/>
    <w:rsid w:val="72A9656A"/>
    <w:rsid w:val="72A96592"/>
    <w:rsid w:val="72A9667D"/>
    <w:rsid w:val="72AA07D4"/>
    <w:rsid w:val="72AA2F12"/>
    <w:rsid w:val="72AA67FC"/>
    <w:rsid w:val="72AA7CFF"/>
    <w:rsid w:val="72AB31BB"/>
    <w:rsid w:val="72AB41A3"/>
    <w:rsid w:val="72AB713A"/>
    <w:rsid w:val="72AD2107"/>
    <w:rsid w:val="72AD526C"/>
    <w:rsid w:val="72AD5CA1"/>
    <w:rsid w:val="72AE3BD5"/>
    <w:rsid w:val="72AE3C93"/>
    <w:rsid w:val="72AE5A41"/>
    <w:rsid w:val="72AF0030"/>
    <w:rsid w:val="72AF15AE"/>
    <w:rsid w:val="72AF1607"/>
    <w:rsid w:val="72AF30A6"/>
    <w:rsid w:val="72B017B9"/>
    <w:rsid w:val="72B0183E"/>
    <w:rsid w:val="72B042D6"/>
    <w:rsid w:val="72B07584"/>
    <w:rsid w:val="72B1108D"/>
    <w:rsid w:val="72B15531"/>
    <w:rsid w:val="72B16DA9"/>
    <w:rsid w:val="72B22EB9"/>
    <w:rsid w:val="72B3010F"/>
    <w:rsid w:val="72B312A9"/>
    <w:rsid w:val="72B3358B"/>
    <w:rsid w:val="72B3549E"/>
    <w:rsid w:val="72B378C6"/>
    <w:rsid w:val="72B37C80"/>
    <w:rsid w:val="72B50B7E"/>
    <w:rsid w:val="72B50F45"/>
    <w:rsid w:val="72B55021"/>
    <w:rsid w:val="72B55F43"/>
    <w:rsid w:val="72B56DCF"/>
    <w:rsid w:val="72B666A4"/>
    <w:rsid w:val="72B77225"/>
    <w:rsid w:val="72B77970"/>
    <w:rsid w:val="72B80445"/>
    <w:rsid w:val="72B8066E"/>
    <w:rsid w:val="72B81EB0"/>
    <w:rsid w:val="72B868C0"/>
    <w:rsid w:val="72B87332"/>
    <w:rsid w:val="72B92F2E"/>
    <w:rsid w:val="72B93030"/>
    <w:rsid w:val="72B94182"/>
    <w:rsid w:val="72BA2638"/>
    <w:rsid w:val="72BA43E6"/>
    <w:rsid w:val="72BA6194"/>
    <w:rsid w:val="72BB015E"/>
    <w:rsid w:val="72BB05E4"/>
    <w:rsid w:val="72BB3D1D"/>
    <w:rsid w:val="72BC18D5"/>
    <w:rsid w:val="72BC63B0"/>
    <w:rsid w:val="72BC6E4B"/>
    <w:rsid w:val="72BD7A32"/>
    <w:rsid w:val="72BF054F"/>
    <w:rsid w:val="72BF37AA"/>
    <w:rsid w:val="72BF48C9"/>
    <w:rsid w:val="72BF7C4E"/>
    <w:rsid w:val="72C07A50"/>
    <w:rsid w:val="72C11984"/>
    <w:rsid w:val="72C11EC9"/>
    <w:rsid w:val="72C139C6"/>
    <w:rsid w:val="72C14DB2"/>
    <w:rsid w:val="72C22153"/>
    <w:rsid w:val="72C2329A"/>
    <w:rsid w:val="72C2773E"/>
    <w:rsid w:val="72C335DB"/>
    <w:rsid w:val="72C35E57"/>
    <w:rsid w:val="72C41F74"/>
    <w:rsid w:val="72C50CE1"/>
    <w:rsid w:val="72C52CB6"/>
    <w:rsid w:val="72C53382"/>
    <w:rsid w:val="72C53404"/>
    <w:rsid w:val="72C60FDD"/>
    <w:rsid w:val="72C619A7"/>
    <w:rsid w:val="72C708B1"/>
    <w:rsid w:val="72C708F5"/>
    <w:rsid w:val="72C72BE9"/>
    <w:rsid w:val="72C74D55"/>
    <w:rsid w:val="72C84FE5"/>
    <w:rsid w:val="72C915D4"/>
    <w:rsid w:val="72C94629"/>
    <w:rsid w:val="72CA3BD2"/>
    <w:rsid w:val="72CB5599"/>
    <w:rsid w:val="72CB5DE1"/>
    <w:rsid w:val="72CB65F3"/>
    <w:rsid w:val="72CB6E80"/>
    <w:rsid w:val="72CC0706"/>
    <w:rsid w:val="72CC236B"/>
    <w:rsid w:val="72CC3140"/>
    <w:rsid w:val="72CC4CF8"/>
    <w:rsid w:val="72CD00E4"/>
    <w:rsid w:val="72CD2F61"/>
    <w:rsid w:val="72CE162F"/>
    <w:rsid w:val="72CE349D"/>
    <w:rsid w:val="72CE60E3"/>
    <w:rsid w:val="72CE7E91"/>
    <w:rsid w:val="72CF0555"/>
    <w:rsid w:val="72CF5309"/>
    <w:rsid w:val="72CF624E"/>
    <w:rsid w:val="72D04ECB"/>
    <w:rsid w:val="72D059B7"/>
    <w:rsid w:val="72D06168"/>
    <w:rsid w:val="72D1172F"/>
    <w:rsid w:val="72D13225"/>
    <w:rsid w:val="72D134DE"/>
    <w:rsid w:val="72D207DF"/>
    <w:rsid w:val="72D22C21"/>
    <w:rsid w:val="72D27981"/>
    <w:rsid w:val="72D354A8"/>
    <w:rsid w:val="72D37256"/>
    <w:rsid w:val="72D41126"/>
    <w:rsid w:val="72D45ADD"/>
    <w:rsid w:val="72D466F0"/>
    <w:rsid w:val="72D467AC"/>
    <w:rsid w:val="72D47729"/>
    <w:rsid w:val="72D477F2"/>
    <w:rsid w:val="72D54D7C"/>
    <w:rsid w:val="72D62206"/>
    <w:rsid w:val="72D63326"/>
    <w:rsid w:val="72D749EE"/>
    <w:rsid w:val="72D74F98"/>
    <w:rsid w:val="72D752CA"/>
    <w:rsid w:val="72D75A96"/>
    <w:rsid w:val="72D82ABE"/>
    <w:rsid w:val="72D8486C"/>
    <w:rsid w:val="72D9520E"/>
    <w:rsid w:val="72DA05E4"/>
    <w:rsid w:val="72DA39A5"/>
    <w:rsid w:val="72DA4D9E"/>
    <w:rsid w:val="72DA6836"/>
    <w:rsid w:val="72DC01FB"/>
    <w:rsid w:val="72DC734E"/>
    <w:rsid w:val="72DD00D4"/>
    <w:rsid w:val="72DD6326"/>
    <w:rsid w:val="72DE2B1B"/>
    <w:rsid w:val="72DE6D9C"/>
    <w:rsid w:val="72DF0CD1"/>
    <w:rsid w:val="72DF1468"/>
    <w:rsid w:val="72DF209E"/>
    <w:rsid w:val="72E04D55"/>
    <w:rsid w:val="72E07C0B"/>
    <w:rsid w:val="72E11F57"/>
    <w:rsid w:val="72E12BDD"/>
    <w:rsid w:val="72E15E16"/>
    <w:rsid w:val="72E2292C"/>
    <w:rsid w:val="72E2393D"/>
    <w:rsid w:val="72E24355"/>
    <w:rsid w:val="72E256EB"/>
    <w:rsid w:val="72E26262"/>
    <w:rsid w:val="72E400F2"/>
    <w:rsid w:val="72E4155E"/>
    <w:rsid w:val="72E41F78"/>
    <w:rsid w:val="72E43211"/>
    <w:rsid w:val="72E43B2E"/>
    <w:rsid w:val="72E47518"/>
    <w:rsid w:val="72E529EE"/>
    <w:rsid w:val="72E52DF6"/>
    <w:rsid w:val="72E54533"/>
    <w:rsid w:val="72E640ED"/>
    <w:rsid w:val="72E651DB"/>
    <w:rsid w:val="72E66F89"/>
    <w:rsid w:val="72E728F2"/>
    <w:rsid w:val="72E72D01"/>
    <w:rsid w:val="72E75D2B"/>
    <w:rsid w:val="72E87706"/>
    <w:rsid w:val="72E90B33"/>
    <w:rsid w:val="72E94CCB"/>
    <w:rsid w:val="72E95BEF"/>
    <w:rsid w:val="72E96A79"/>
    <w:rsid w:val="72EA266B"/>
    <w:rsid w:val="72EA42DF"/>
    <w:rsid w:val="72EB27F1"/>
    <w:rsid w:val="72EB4B0D"/>
    <w:rsid w:val="72EB511F"/>
    <w:rsid w:val="72EC0317"/>
    <w:rsid w:val="72EC32E8"/>
    <w:rsid w:val="72EC3BDB"/>
    <w:rsid w:val="72EC6569"/>
    <w:rsid w:val="72EC65AF"/>
    <w:rsid w:val="72EC7CF0"/>
    <w:rsid w:val="72ED0FAD"/>
    <w:rsid w:val="72ED47BB"/>
    <w:rsid w:val="72ED64A7"/>
    <w:rsid w:val="72EE5689"/>
    <w:rsid w:val="72EF5B06"/>
    <w:rsid w:val="72F01BB6"/>
    <w:rsid w:val="72F0605A"/>
    <w:rsid w:val="72F07E08"/>
    <w:rsid w:val="72F1233B"/>
    <w:rsid w:val="72F1592E"/>
    <w:rsid w:val="72F160DE"/>
    <w:rsid w:val="72F21DD2"/>
    <w:rsid w:val="72F22421"/>
    <w:rsid w:val="72F23D3A"/>
    <w:rsid w:val="72F26512"/>
    <w:rsid w:val="72F27721"/>
    <w:rsid w:val="72F316A6"/>
    <w:rsid w:val="72F329DE"/>
    <w:rsid w:val="72F338B1"/>
    <w:rsid w:val="72F378F8"/>
    <w:rsid w:val="72F50DA2"/>
    <w:rsid w:val="72F53670"/>
    <w:rsid w:val="72F5541E"/>
    <w:rsid w:val="72F62232"/>
    <w:rsid w:val="72F6429B"/>
    <w:rsid w:val="72F6532E"/>
    <w:rsid w:val="72F773E8"/>
    <w:rsid w:val="72F82F14"/>
    <w:rsid w:val="72F84F0E"/>
    <w:rsid w:val="72F861B0"/>
    <w:rsid w:val="72FA16E4"/>
    <w:rsid w:val="72FA2121"/>
    <w:rsid w:val="72FA3784"/>
    <w:rsid w:val="72FA6ED8"/>
    <w:rsid w:val="72FC3174"/>
    <w:rsid w:val="72FC67AC"/>
    <w:rsid w:val="72FD0776"/>
    <w:rsid w:val="72FD0C65"/>
    <w:rsid w:val="72FD35DD"/>
    <w:rsid w:val="72FD42D3"/>
    <w:rsid w:val="72FD6FF9"/>
    <w:rsid w:val="72FE0705"/>
    <w:rsid w:val="72FE23DD"/>
    <w:rsid w:val="72FE3538"/>
    <w:rsid w:val="72FE5336"/>
    <w:rsid w:val="72FF004B"/>
    <w:rsid w:val="72FF44EF"/>
    <w:rsid w:val="730028E8"/>
    <w:rsid w:val="73003298"/>
    <w:rsid w:val="73004B59"/>
    <w:rsid w:val="73006E8D"/>
    <w:rsid w:val="73007CD7"/>
    <w:rsid w:val="73010267"/>
    <w:rsid w:val="730104D4"/>
    <w:rsid w:val="73012015"/>
    <w:rsid w:val="73012D8C"/>
    <w:rsid w:val="73013BB9"/>
    <w:rsid w:val="730167C8"/>
    <w:rsid w:val="73017757"/>
    <w:rsid w:val="730218E9"/>
    <w:rsid w:val="73023438"/>
    <w:rsid w:val="73023802"/>
    <w:rsid w:val="73025D8D"/>
    <w:rsid w:val="73027B3B"/>
    <w:rsid w:val="730313C1"/>
    <w:rsid w:val="730324DC"/>
    <w:rsid w:val="730333A6"/>
    <w:rsid w:val="73035F77"/>
    <w:rsid w:val="73041B05"/>
    <w:rsid w:val="73045661"/>
    <w:rsid w:val="730467EB"/>
    <w:rsid w:val="73047731"/>
    <w:rsid w:val="73047CAA"/>
    <w:rsid w:val="73047F33"/>
    <w:rsid w:val="73050544"/>
    <w:rsid w:val="7305216D"/>
    <w:rsid w:val="7305515E"/>
    <w:rsid w:val="73057541"/>
    <w:rsid w:val="73064E79"/>
    <w:rsid w:val="7306587D"/>
    <w:rsid w:val="73070593"/>
    <w:rsid w:val="7307339C"/>
    <w:rsid w:val="730753CF"/>
    <w:rsid w:val="730801A4"/>
    <w:rsid w:val="7308144C"/>
    <w:rsid w:val="730833A3"/>
    <w:rsid w:val="73083F12"/>
    <w:rsid w:val="730909DE"/>
    <w:rsid w:val="73095103"/>
    <w:rsid w:val="730A02B4"/>
    <w:rsid w:val="730B191D"/>
    <w:rsid w:val="730B5872"/>
    <w:rsid w:val="730C008D"/>
    <w:rsid w:val="730C19B7"/>
    <w:rsid w:val="730D09BA"/>
    <w:rsid w:val="730D3CF4"/>
    <w:rsid w:val="730D50B6"/>
    <w:rsid w:val="730D6C0C"/>
    <w:rsid w:val="730E027D"/>
    <w:rsid w:val="730E3F29"/>
    <w:rsid w:val="730E64E0"/>
    <w:rsid w:val="730E682F"/>
    <w:rsid w:val="730E74B2"/>
    <w:rsid w:val="730F2726"/>
    <w:rsid w:val="731004AA"/>
    <w:rsid w:val="73102258"/>
    <w:rsid w:val="731210AE"/>
    <w:rsid w:val="73122968"/>
    <w:rsid w:val="73130341"/>
    <w:rsid w:val="73131D48"/>
    <w:rsid w:val="73133AF6"/>
    <w:rsid w:val="7313464B"/>
    <w:rsid w:val="731358A4"/>
    <w:rsid w:val="73135C3F"/>
    <w:rsid w:val="7314390C"/>
    <w:rsid w:val="73146EFC"/>
    <w:rsid w:val="73150142"/>
    <w:rsid w:val="7315161C"/>
    <w:rsid w:val="7315786E"/>
    <w:rsid w:val="73161C80"/>
    <w:rsid w:val="73162230"/>
    <w:rsid w:val="7316338A"/>
    <w:rsid w:val="73163E19"/>
    <w:rsid w:val="73165394"/>
    <w:rsid w:val="73171838"/>
    <w:rsid w:val="73172CAC"/>
    <w:rsid w:val="731735E6"/>
    <w:rsid w:val="7317587D"/>
    <w:rsid w:val="7318110C"/>
    <w:rsid w:val="731825DF"/>
    <w:rsid w:val="7318735E"/>
    <w:rsid w:val="731955B0"/>
    <w:rsid w:val="731A1328"/>
    <w:rsid w:val="731A2D6E"/>
    <w:rsid w:val="731A30D6"/>
    <w:rsid w:val="731A4DE6"/>
    <w:rsid w:val="731A61B8"/>
    <w:rsid w:val="731A6C33"/>
    <w:rsid w:val="731B0A38"/>
    <w:rsid w:val="731B3B3C"/>
    <w:rsid w:val="731B4C66"/>
    <w:rsid w:val="731C0BFD"/>
    <w:rsid w:val="731C29AB"/>
    <w:rsid w:val="731D16EF"/>
    <w:rsid w:val="731D5ADA"/>
    <w:rsid w:val="731E2BC7"/>
    <w:rsid w:val="731E3DB2"/>
    <w:rsid w:val="731F06ED"/>
    <w:rsid w:val="731F249B"/>
    <w:rsid w:val="731F2952"/>
    <w:rsid w:val="731F5D5E"/>
    <w:rsid w:val="731F693F"/>
    <w:rsid w:val="73201B9F"/>
    <w:rsid w:val="73202B52"/>
    <w:rsid w:val="73214465"/>
    <w:rsid w:val="73216213"/>
    <w:rsid w:val="73223D39"/>
    <w:rsid w:val="73236A99"/>
    <w:rsid w:val="73240D7C"/>
    <w:rsid w:val="73243F55"/>
    <w:rsid w:val="73247AB1"/>
    <w:rsid w:val="73261A7B"/>
    <w:rsid w:val="73264957"/>
    <w:rsid w:val="73267CCD"/>
    <w:rsid w:val="73275372"/>
    <w:rsid w:val="732775A1"/>
    <w:rsid w:val="7328175F"/>
    <w:rsid w:val="73281D30"/>
    <w:rsid w:val="7329156C"/>
    <w:rsid w:val="73296E0F"/>
    <w:rsid w:val="732A002F"/>
    <w:rsid w:val="732A1EB2"/>
    <w:rsid w:val="732B0E40"/>
    <w:rsid w:val="732B4922"/>
    <w:rsid w:val="732C4333"/>
    <w:rsid w:val="732C6966"/>
    <w:rsid w:val="732D789B"/>
    <w:rsid w:val="732D7989"/>
    <w:rsid w:val="732E08D8"/>
    <w:rsid w:val="732E26DE"/>
    <w:rsid w:val="732E470E"/>
    <w:rsid w:val="732E6B82"/>
    <w:rsid w:val="732F01D4"/>
    <w:rsid w:val="732F21D5"/>
    <w:rsid w:val="732F2BBE"/>
    <w:rsid w:val="732F3B04"/>
    <w:rsid w:val="732F6CEC"/>
    <w:rsid w:val="733028FA"/>
    <w:rsid w:val="73313BD5"/>
    <w:rsid w:val="733149D8"/>
    <w:rsid w:val="7331611C"/>
    <w:rsid w:val="733221CE"/>
    <w:rsid w:val="73322ADD"/>
    <w:rsid w:val="73327B0D"/>
    <w:rsid w:val="73334777"/>
    <w:rsid w:val="73335F46"/>
    <w:rsid w:val="73337F0D"/>
    <w:rsid w:val="73351CBE"/>
    <w:rsid w:val="73353A6C"/>
    <w:rsid w:val="73360E06"/>
    <w:rsid w:val="733676C5"/>
    <w:rsid w:val="73373C88"/>
    <w:rsid w:val="73375A36"/>
    <w:rsid w:val="7338355D"/>
    <w:rsid w:val="7338490D"/>
    <w:rsid w:val="73384954"/>
    <w:rsid w:val="733956DB"/>
    <w:rsid w:val="733A14C9"/>
    <w:rsid w:val="733A4E40"/>
    <w:rsid w:val="733A5527"/>
    <w:rsid w:val="733A5777"/>
    <w:rsid w:val="733A6238"/>
    <w:rsid w:val="733A72D5"/>
    <w:rsid w:val="733B02ED"/>
    <w:rsid w:val="733B33E0"/>
    <w:rsid w:val="733B56A7"/>
    <w:rsid w:val="733B62C7"/>
    <w:rsid w:val="733B673A"/>
    <w:rsid w:val="733C304D"/>
    <w:rsid w:val="733C68DD"/>
    <w:rsid w:val="733C7E21"/>
    <w:rsid w:val="733D0B73"/>
    <w:rsid w:val="733D2DB3"/>
    <w:rsid w:val="733D75B6"/>
    <w:rsid w:val="733D7B03"/>
    <w:rsid w:val="733E00D9"/>
    <w:rsid w:val="733E2B41"/>
    <w:rsid w:val="733E3405"/>
    <w:rsid w:val="733E496C"/>
    <w:rsid w:val="733F0772"/>
    <w:rsid w:val="733F0D8F"/>
    <w:rsid w:val="733F2B3D"/>
    <w:rsid w:val="733F48EB"/>
    <w:rsid w:val="733F6699"/>
    <w:rsid w:val="734020D8"/>
    <w:rsid w:val="73410663"/>
    <w:rsid w:val="7341176D"/>
    <w:rsid w:val="73430029"/>
    <w:rsid w:val="7343163D"/>
    <w:rsid w:val="73441498"/>
    <w:rsid w:val="73441F01"/>
    <w:rsid w:val="73447A8D"/>
    <w:rsid w:val="73451759"/>
    <w:rsid w:val="734608FB"/>
    <w:rsid w:val="734616B7"/>
    <w:rsid w:val="73463696"/>
    <w:rsid w:val="73465C7A"/>
    <w:rsid w:val="73467A28"/>
    <w:rsid w:val="734737A0"/>
    <w:rsid w:val="734819F2"/>
    <w:rsid w:val="7349576A"/>
    <w:rsid w:val="73495B3B"/>
    <w:rsid w:val="734A1F2E"/>
    <w:rsid w:val="734A299B"/>
    <w:rsid w:val="734A4AA8"/>
    <w:rsid w:val="734A5E12"/>
    <w:rsid w:val="734A7353"/>
    <w:rsid w:val="734A753D"/>
    <w:rsid w:val="734B113B"/>
    <w:rsid w:val="734B14E2"/>
    <w:rsid w:val="734B1B9C"/>
    <w:rsid w:val="734B3290"/>
    <w:rsid w:val="734B504A"/>
    <w:rsid w:val="734B7734"/>
    <w:rsid w:val="734C5BC6"/>
    <w:rsid w:val="734D182C"/>
    <w:rsid w:val="734D525A"/>
    <w:rsid w:val="734E2D80"/>
    <w:rsid w:val="734E7FFD"/>
    <w:rsid w:val="734F0FD2"/>
    <w:rsid w:val="734F56E3"/>
    <w:rsid w:val="734F6DDC"/>
    <w:rsid w:val="735005C7"/>
    <w:rsid w:val="73503460"/>
    <w:rsid w:val="73506AF8"/>
    <w:rsid w:val="73506FE8"/>
    <w:rsid w:val="73515A0E"/>
    <w:rsid w:val="73520AC2"/>
    <w:rsid w:val="73522870"/>
    <w:rsid w:val="7352461E"/>
    <w:rsid w:val="735322B2"/>
    <w:rsid w:val="735503D9"/>
    <w:rsid w:val="73551D91"/>
    <w:rsid w:val="73552E88"/>
    <w:rsid w:val="7355410F"/>
    <w:rsid w:val="73555EBD"/>
    <w:rsid w:val="73556342"/>
    <w:rsid w:val="73556F95"/>
    <w:rsid w:val="7356031E"/>
    <w:rsid w:val="73561F7D"/>
    <w:rsid w:val="73566F34"/>
    <w:rsid w:val="73571FDB"/>
    <w:rsid w:val="735744E1"/>
    <w:rsid w:val="73574F13"/>
    <w:rsid w:val="735760D9"/>
    <w:rsid w:val="73577E87"/>
    <w:rsid w:val="73581E92"/>
    <w:rsid w:val="7358643A"/>
    <w:rsid w:val="73590D52"/>
    <w:rsid w:val="735A21CD"/>
    <w:rsid w:val="735A24C5"/>
    <w:rsid w:val="735A6AC0"/>
    <w:rsid w:val="735B1691"/>
    <w:rsid w:val="735C13E0"/>
    <w:rsid w:val="735C62F8"/>
    <w:rsid w:val="735E12E8"/>
    <w:rsid w:val="735E4D17"/>
    <w:rsid w:val="735F0AE9"/>
    <w:rsid w:val="735F1CAA"/>
    <w:rsid w:val="735F3022"/>
    <w:rsid w:val="735F6D3B"/>
    <w:rsid w:val="73605A33"/>
    <w:rsid w:val="73605D7B"/>
    <w:rsid w:val="73610D05"/>
    <w:rsid w:val="73612AB3"/>
    <w:rsid w:val="73614861"/>
    <w:rsid w:val="73624FB6"/>
    <w:rsid w:val="736308BE"/>
    <w:rsid w:val="73634A7D"/>
    <w:rsid w:val="73635527"/>
    <w:rsid w:val="7363682B"/>
    <w:rsid w:val="736425A4"/>
    <w:rsid w:val="736435FE"/>
    <w:rsid w:val="73644352"/>
    <w:rsid w:val="736507F6"/>
    <w:rsid w:val="73655314"/>
    <w:rsid w:val="736600CA"/>
    <w:rsid w:val="73666173"/>
    <w:rsid w:val="736740C5"/>
    <w:rsid w:val="73677A56"/>
    <w:rsid w:val="73677C34"/>
    <w:rsid w:val="736810C4"/>
    <w:rsid w:val="73682094"/>
    <w:rsid w:val="736829FA"/>
    <w:rsid w:val="736868D7"/>
    <w:rsid w:val="73691B05"/>
    <w:rsid w:val="73693FEA"/>
    <w:rsid w:val="736A4CB9"/>
    <w:rsid w:val="736A5E0C"/>
    <w:rsid w:val="736B56E0"/>
    <w:rsid w:val="736B748E"/>
    <w:rsid w:val="736C5550"/>
    <w:rsid w:val="736C6F37"/>
    <w:rsid w:val="736D1458"/>
    <w:rsid w:val="736D5622"/>
    <w:rsid w:val="736F23EC"/>
    <w:rsid w:val="736F3422"/>
    <w:rsid w:val="736F4CB3"/>
    <w:rsid w:val="736F63C6"/>
    <w:rsid w:val="736F77D9"/>
    <w:rsid w:val="736F7856"/>
    <w:rsid w:val="73700CE6"/>
    <w:rsid w:val="73700F48"/>
    <w:rsid w:val="73715858"/>
    <w:rsid w:val="73715DD6"/>
    <w:rsid w:val="73722F12"/>
    <w:rsid w:val="73724CC1"/>
    <w:rsid w:val="73726A6F"/>
    <w:rsid w:val="73727918"/>
    <w:rsid w:val="73734595"/>
    <w:rsid w:val="7374189F"/>
    <w:rsid w:val="737427E7"/>
    <w:rsid w:val="737454E9"/>
    <w:rsid w:val="737473EC"/>
    <w:rsid w:val="7375030D"/>
    <w:rsid w:val="7375233D"/>
    <w:rsid w:val="737547B1"/>
    <w:rsid w:val="7375655F"/>
    <w:rsid w:val="737607E1"/>
    <w:rsid w:val="737658DF"/>
    <w:rsid w:val="73766299"/>
    <w:rsid w:val="737720DF"/>
    <w:rsid w:val="7377233F"/>
    <w:rsid w:val="73774085"/>
    <w:rsid w:val="737740C4"/>
    <w:rsid w:val="7378016B"/>
    <w:rsid w:val="73781AE6"/>
    <w:rsid w:val="7378254C"/>
    <w:rsid w:val="7379782F"/>
    <w:rsid w:val="737A1DC7"/>
    <w:rsid w:val="737A34D9"/>
    <w:rsid w:val="737A5923"/>
    <w:rsid w:val="737A60AA"/>
    <w:rsid w:val="737B1022"/>
    <w:rsid w:val="737B3522"/>
    <w:rsid w:val="737C169B"/>
    <w:rsid w:val="737C20A7"/>
    <w:rsid w:val="737C5B3F"/>
    <w:rsid w:val="737C7563"/>
    <w:rsid w:val="737C78ED"/>
    <w:rsid w:val="737E1B01"/>
    <w:rsid w:val="737E2F11"/>
    <w:rsid w:val="737E5EBB"/>
    <w:rsid w:val="737F118B"/>
    <w:rsid w:val="737F249B"/>
    <w:rsid w:val="737F2F3A"/>
    <w:rsid w:val="737F73DD"/>
    <w:rsid w:val="737F7477"/>
    <w:rsid w:val="73800E3B"/>
    <w:rsid w:val="73813156"/>
    <w:rsid w:val="73816F68"/>
    <w:rsid w:val="73820031"/>
    <w:rsid w:val="73820F58"/>
    <w:rsid w:val="738265A6"/>
    <w:rsid w:val="738307E8"/>
    <w:rsid w:val="73830C7C"/>
    <w:rsid w:val="73832A2A"/>
    <w:rsid w:val="738343C2"/>
    <w:rsid w:val="73836ECE"/>
    <w:rsid w:val="7384715C"/>
    <w:rsid w:val="738531BD"/>
    <w:rsid w:val="738549F4"/>
    <w:rsid w:val="73860D36"/>
    <w:rsid w:val="73861F99"/>
    <w:rsid w:val="7386251A"/>
    <w:rsid w:val="738656F7"/>
    <w:rsid w:val="73871C90"/>
    <w:rsid w:val="7387660A"/>
    <w:rsid w:val="73880040"/>
    <w:rsid w:val="73880BB2"/>
    <w:rsid w:val="73881563"/>
    <w:rsid w:val="738844E4"/>
    <w:rsid w:val="73891B3E"/>
    <w:rsid w:val="738925E4"/>
    <w:rsid w:val="73893DB8"/>
    <w:rsid w:val="738961A8"/>
    <w:rsid w:val="738A025C"/>
    <w:rsid w:val="738A079E"/>
    <w:rsid w:val="738A200A"/>
    <w:rsid w:val="738B18DE"/>
    <w:rsid w:val="738B5D82"/>
    <w:rsid w:val="738B702F"/>
    <w:rsid w:val="738B7B30"/>
    <w:rsid w:val="738C04BF"/>
    <w:rsid w:val="738C0C86"/>
    <w:rsid w:val="738C7822"/>
    <w:rsid w:val="738D1AFA"/>
    <w:rsid w:val="738D1B74"/>
    <w:rsid w:val="738D38A8"/>
    <w:rsid w:val="738D5656"/>
    <w:rsid w:val="738E13CF"/>
    <w:rsid w:val="738F072A"/>
    <w:rsid w:val="738F4117"/>
    <w:rsid w:val="738F7621"/>
    <w:rsid w:val="739002D0"/>
    <w:rsid w:val="73903399"/>
    <w:rsid w:val="73904FD5"/>
    <w:rsid w:val="73905147"/>
    <w:rsid w:val="73920EBF"/>
    <w:rsid w:val="73922C6D"/>
    <w:rsid w:val="73933B82"/>
    <w:rsid w:val="739369E5"/>
    <w:rsid w:val="739403BB"/>
    <w:rsid w:val="73951A44"/>
    <w:rsid w:val="7395212C"/>
    <w:rsid w:val="7395275D"/>
    <w:rsid w:val="73952CB2"/>
    <w:rsid w:val="7396222C"/>
    <w:rsid w:val="73965CF6"/>
    <w:rsid w:val="73966C01"/>
    <w:rsid w:val="73970283"/>
    <w:rsid w:val="73972979"/>
    <w:rsid w:val="7398078A"/>
    <w:rsid w:val="73981633"/>
    <w:rsid w:val="73982CA4"/>
    <w:rsid w:val="7399049F"/>
    <w:rsid w:val="739915E2"/>
    <w:rsid w:val="7399224D"/>
    <w:rsid w:val="7399244A"/>
    <w:rsid w:val="739A7968"/>
    <w:rsid w:val="739B10F7"/>
    <w:rsid w:val="739B4217"/>
    <w:rsid w:val="739B7204"/>
    <w:rsid w:val="739C463F"/>
    <w:rsid w:val="739C656F"/>
    <w:rsid w:val="739C7E44"/>
    <w:rsid w:val="739D7179"/>
    <w:rsid w:val="739E3136"/>
    <w:rsid w:val="739E31BE"/>
    <w:rsid w:val="739E5AB6"/>
    <w:rsid w:val="739E5ADD"/>
    <w:rsid w:val="739F2C29"/>
    <w:rsid w:val="739F7639"/>
    <w:rsid w:val="73A01A34"/>
    <w:rsid w:val="73A03884"/>
    <w:rsid w:val="73A051F4"/>
    <w:rsid w:val="73A06DF4"/>
    <w:rsid w:val="73A155A6"/>
    <w:rsid w:val="73A17354"/>
    <w:rsid w:val="73A309A3"/>
    <w:rsid w:val="73A3131E"/>
    <w:rsid w:val="73A31608"/>
    <w:rsid w:val="73A31B33"/>
    <w:rsid w:val="73A330CC"/>
    <w:rsid w:val="73A34E7A"/>
    <w:rsid w:val="73A41C0D"/>
    <w:rsid w:val="73A429A0"/>
    <w:rsid w:val="73A45509"/>
    <w:rsid w:val="73A51B69"/>
    <w:rsid w:val="73A62BBC"/>
    <w:rsid w:val="73A66718"/>
    <w:rsid w:val="73A702C5"/>
    <w:rsid w:val="73A707EA"/>
    <w:rsid w:val="73A806E2"/>
    <w:rsid w:val="73A86557"/>
    <w:rsid w:val="73AA26AC"/>
    <w:rsid w:val="73AA445A"/>
    <w:rsid w:val="73AA4A93"/>
    <w:rsid w:val="73AB3967"/>
    <w:rsid w:val="73AB3D2F"/>
    <w:rsid w:val="73AB4DD3"/>
    <w:rsid w:val="73AD0F38"/>
    <w:rsid w:val="73AD16CB"/>
    <w:rsid w:val="73AD3F4B"/>
    <w:rsid w:val="73AD45E0"/>
    <w:rsid w:val="73AD522B"/>
    <w:rsid w:val="73AD77F7"/>
    <w:rsid w:val="73AE2C05"/>
    <w:rsid w:val="73AF1A71"/>
    <w:rsid w:val="73AF381F"/>
    <w:rsid w:val="73AF5163"/>
    <w:rsid w:val="73AF7CC3"/>
    <w:rsid w:val="73B02DB1"/>
    <w:rsid w:val="73B10D49"/>
    <w:rsid w:val="73B11269"/>
    <w:rsid w:val="73B12D65"/>
    <w:rsid w:val="73B13143"/>
    <w:rsid w:val="73B219A5"/>
    <w:rsid w:val="73B22F73"/>
    <w:rsid w:val="73B242BE"/>
    <w:rsid w:val="73B250BD"/>
    <w:rsid w:val="73B25D69"/>
    <w:rsid w:val="73B31DE8"/>
    <w:rsid w:val="73B452D9"/>
    <w:rsid w:val="73B46783"/>
    <w:rsid w:val="73B46CC8"/>
    <w:rsid w:val="73B47087"/>
    <w:rsid w:val="73B476CA"/>
    <w:rsid w:val="73B50EC7"/>
    <w:rsid w:val="73B55529"/>
    <w:rsid w:val="73B61051"/>
    <w:rsid w:val="73B6372B"/>
    <w:rsid w:val="73B641C8"/>
    <w:rsid w:val="73B6653F"/>
    <w:rsid w:val="73B726D3"/>
    <w:rsid w:val="73B747F5"/>
    <w:rsid w:val="73B74BBB"/>
    <w:rsid w:val="73B74C74"/>
    <w:rsid w:val="73B83147"/>
    <w:rsid w:val="73B84D22"/>
    <w:rsid w:val="73B9469D"/>
    <w:rsid w:val="73B9644B"/>
    <w:rsid w:val="73BA096B"/>
    <w:rsid w:val="73BA1136"/>
    <w:rsid w:val="73BB0416"/>
    <w:rsid w:val="73BB4017"/>
    <w:rsid w:val="73BB5BA3"/>
    <w:rsid w:val="73BC23E0"/>
    <w:rsid w:val="73BC418E"/>
    <w:rsid w:val="73BC4B00"/>
    <w:rsid w:val="73BE077C"/>
    <w:rsid w:val="73BE334D"/>
    <w:rsid w:val="73BF2EAB"/>
    <w:rsid w:val="73BF304D"/>
    <w:rsid w:val="73BF47DD"/>
    <w:rsid w:val="73BF4D3B"/>
    <w:rsid w:val="73C010F7"/>
    <w:rsid w:val="73C05A2C"/>
    <w:rsid w:val="73C117A4"/>
    <w:rsid w:val="73C21CCE"/>
    <w:rsid w:val="73C31078"/>
    <w:rsid w:val="73C3551C"/>
    <w:rsid w:val="73C372CA"/>
    <w:rsid w:val="73C51294"/>
    <w:rsid w:val="73C51AD5"/>
    <w:rsid w:val="73C53042"/>
    <w:rsid w:val="73C60B68"/>
    <w:rsid w:val="73C6500C"/>
    <w:rsid w:val="73C66DBA"/>
    <w:rsid w:val="73C71425"/>
    <w:rsid w:val="73C748F9"/>
    <w:rsid w:val="73C80D84"/>
    <w:rsid w:val="73C92407"/>
    <w:rsid w:val="73C95A04"/>
    <w:rsid w:val="73CA0659"/>
    <w:rsid w:val="73CA18F0"/>
    <w:rsid w:val="73CA57A7"/>
    <w:rsid w:val="73CB41EE"/>
    <w:rsid w:val="73CB44C1"/>
    <w:rsid w:val="73CB617F"/>
    <w:rsid w:val="73CD1EF7"/>
    <w:rsid w:val="73CD4ADC"/>
    <w:rsid w:val="73CD639B"/>
    <w:rsid w:val="73CE0271"/>
    <w:rsid w:val="73CE3DC7"/>
    <w:rsid w:val="73CF4692"/>
    <w:rsid w:val="73D10333"/>
    <w:rsid w:val="73D16BF2"/>
    <w:rsid w:val="73D17C39"/>
    <w:rsid w:val="73D25041"/>
    <w:rsid w:val="73D31512"/>
    <w:rsid w:val="73D332A1"/>
    <w:rsid w:val="73D45D3D"/>
    <w:rsid w:val="73D56FFD"/>
    <w:rsid w:val="73D6524F"/>
    <w:rsid w:val="73D65FA2"/>
    <w:rsid w:val="73D67E93"/>
    <w:rsid w:val="73D71E76"/>
    <w:rsid w:val="73D72D76"/>
    <w:rsid w:val="73D74B24"/>
    <w:rsid w:val="73D76183"/>
    <w:rsid w:val="73D81C3A"/>
    <w:rsid w:val="73D82886"/>
    <w:rsid w:val="73D832C2"/>
    <w:rsid w:val="73D8585A"/>
    <w:rsid w:val="73D90FE2"/>
    <w:rsid w:val="73D94590"/>
    <w:rsid w:val="73D94D40"/>
    <w:rsid w:val="73D95384"/>
    <w:rsid w:val="73D97EF9"/>
    <w:rsid w:val="73DA223C"/>
    <w:rsid w:val="73DA4614"/>
    <w:rsid w:val="73DB0AB8"/>
    <w:rsid w:val="73DB2866"/>
    <w:rsid w:val="73DB2875"/>
    <w:rsid w:val="73DB376D"/>
    <w:rsid w:val="73DB3FB6"/>
    <w:rsid w:val="73DB534F"/>
    <w:rsid w:val="73DB5F81"/>
    <w:rsid w:val="73DC038C"/>
    <w:rsid w:val="73DE1F4E"/>
    <w:rsid w:val="73DE2356"/>
    <w:rsid w:val="73DE2937"/>
    <w:rsid w:val="73DE2E29"/>
    <w:rsid w:val="73DE3869"/>
    <w:rsid w:val="73DE3AB1"/>
    <w:rsid w:val="73DE78B6"/>
    <w:rsid w:val="73DE7D66"/>
    <w:rsid w:val="73DF2696"/>
    <w:rsid w:val="73DF3DC7"/>
    <w:rsid w:val="73DF6992"/>
    <w:rsid w:val="73E01156"/>
    <w:rsid w:val="73E01C2A"/>
    <w:rsid w:val="73E105F6"/>
    <w:rsid w:val="73E22A85"/>
    <w:rsid w:val="73E25879"/>
    <w:rsid w:val="73E30E39"/>
    <w:rsid w:val="73E334C8"/>
    <w:rsid w:val="73E40391"/>
    <w:rsid w:val="73E45068"/>
    <w:rsid w:val="73E47426"/>
    <w:rsid w:val="73E536E4"/>
    <w:rsid w:val="73E55492"/>
    <w:rsid w:val="73E55634"/>
    <w:rsid w:val="73E612B4"/>
    <w:rsid w:val="73E70E18"/>
    <w:rsid w:val="73E7745D"/>
    <w:rsid w:val="73EA0CFB"/>
    <w:rsid w:val="73EA0EDA"/>
    <w:rsid w:val="73EA3366"/>
    <w:rsid w:val="73EA4415"/>
    <w:rsid w:val="73EA51AD"/>
    <w:rsid w:val="73EB05CF"/>
    <w:rsid w:val="73EB22F9"/>
    <w:rsid w:val="73EB5670"/>
    <w:rsid w:val="73EC4A73"/>
    <w:rsid w:val="73ED07EB"/>
    <w:rsid w:val="73ED4347"/>
    <w:rsid w:val="73ED721F"/>
    <w:rsid w:val="73EE405D"/>
    <w:rsid w:val="73EE5BC3"/>
    <w:rsid w:val="73EF00BF"/>
    <w:rsid w:val="73EF1E6D"/>
    <w:rsid w:val="73EF32A8"/>
    <w:rsid w:val="73EF586B"/>
    <w:rsid w:val="73EF6311"/>
    <w:rsid w:val="73F06669"/>
    <w:rsid w:val="73F07FFF"/>
    <w:rsid w:val="73F12089"/>
    <w:rsid w:val="73F1375A"/>
    <w:rsid w:val="73F152D1"/>
    <w:rsid w:val="73F20269"/>
    <w:rsid w:val="73F238FC"/>
    <w:rsid w:val="73F25C64"/>
    <w:rsid w:val="73F2766C"/>
    <w:rsid w:val="73F30453"/>
    <w:rsid w:val="73F41B79"/>
    <w:rsid w:val="73F41F8C"/>
    <w:rsid w:val="73F456D6"/>
    <w:rsid w:val="73F501E7"/>
    <w:rsid w:val="73F5341C"/>
    <w:rsid w:val="73F54893"/>
    <w:rsid w:val="73F578D0"/>
    <w:rsid w:val="73F6144E"/>
    <w:rsid w:val="73F751C6"/>
    <w:rsid w:val="73F76D4C"/>
    <w:rsid w:val="73F8797C"/>
    <w:rsid w:val="73F90F3E"/>
    <w:rsid w:val="73F977FD"/>
    <w:rsid w:val="73FA0F03"/>
    <w:rsid w:val="73FA1085"/>
    <w:rsid w:val="73FA12E1"/>
    <w:rsid w:val="73FA1B15"/>
    <w:rsid w:val="73FB2F08"/>
    <w:rsid w:val="73FB4CB6"/>
    <w:rsid w:val="73FC0A2E"/>
    <w:rsid w:val="73FC1BD6"/>
    <w:rsid w:val="73FC27DC"/>
    <w:rsid w:val="73FC458A"/>
    <w:rsid w:val="73FD422D"/>
    <w:rsid w:val="73FE47A6"/>
    <w:rsid w:val="73FF6600"/>
    <w:rsid w:val="7400051E"/>
    <w:rsid w:val="740028E9"/>
    <w:rsid w:val="74017DF2"/>
    <w:rsid w:val="74024296"/>
    <w:rsid w:val="74025471"/>
    <w:rsid w:val="74033B6B"/>
    <w:rsid w:val="74035919"/>
    <w:rsid w:val="74040436"/>
    <w:rsid w:val="74050E75"/>
    <w:rsid w:val="74051165"/>
    <w:rsid w:val="74051691"/>
    <w:rsid w:val="74052F11"/>
    <w:rsid w:val="74055B35"/>
    <w:rsid w:val="740563C2"/>
    <w:rsid w:val="74057244"/>
    <w:rsid w:val="7406024E"/>
    <w:rsid w:val="7406353F"/>
    <w:rsid w:val="740718AD"/>
    <w:rsid w:val="740722AB"/>
    <w:rsid w:val="7407365B"/>
    <w:rsid w:val="7407412D"/>
    <w:rsid w:val="74082A5B"/>
    <w:rsid w:val="740863C8"/>
    <w:rsid w:val="740873D3"/>
    <w:rsid w:val="7409160E"/>
    <w:rsid w:val="74092D22"/>
    <w:rsid w:val="740A1223"/>
    <w:rsid w:val="740A3A9A"/>
    <w:rsid w:val="740A5F00"/>
    <w:rsid w:val="740A6D83"/>
    <w:rsid w:val="740A7301"/>
    <w:rsid w:val="740A7A8A"/>
    <w:rsid w:val="740B1651"/>
    <w:rsid w:val="740B2A1F"/>
    <w:rsid w:val="740C0C71"/>
    <w:rsid w:val="740C41EF"/>
    <w:rsid w:val="740C658E"/>
    <w:rsid w:val="740C6EC3"/>
    <w:rsid w:val="740C788F"/>
    <w:rsid w:val="740D2C3B"/>
    <w:rsid w:val="740D32C1"/>
    <w:rsid w:val="740D49E9"/>
    <w:rsid w:val="740D6797"/>
    <w:rsid w:val="740E1600"/>
    <w:rsid w:val="740E3F4A"/>
    <w:rsid w:val="740E71EB"/>
    <w:rsid w:val="740F0761"/>
    <w:rsid w:val="740F1E79"/>
    <w:rsid w:val="740F6AE2"/>
    <w:rsid w:val="74100752"/>
    <w:rsid w:val="74113EFA"/>
    <w:rsid w:val="741142DD"/>
    <w:rsid w:val="74115665"/>
    <w:rsid w:val="74116287"/>
    <w:rsid w:val="7412392F"/>
    <w:rsid w:val="74123DAE"/>
    <w:rsid w:val="74124682"/>
    <w:rsid w:val="74126C56"/>
    <w:rsid w:val="74130252"/>
    <w:rsid w:val="741344B8"/>
    <w:rsid w:val="74145D78"/>
    <w:rsid w:val="74146953"/>
    <w:rsid w:val="74147B26"/>
    <w:rsid w:val="74157A8F"/>
    <w:rsid w:val="74162289"/>
    <w:rsid w:val="7416389E"/>
    <w:rsid w:val="74163E96"/>
    <w:rsid w:val="7416564C"/>
    <w:rsid w:val="74166A67"/>
    <w:rsid w:val="74171201"/>
    <w:rsid w:val="741713C4"/>
    <w:rsid w:val="74176E93"/>
    <w:rsid w:val="74177EF7"/>
    <w:rsid w:val="74185868"/>
    <w:rsid w:val="74187E69"/>
    <w:rsid w:val="74190556"/>
    <w:rsid w:val="74193A2F"/>
    <w:rsid w:val="74193AD0"/>
    <w:rsid w:val="7419457A"/>
    <w:rsid w:val="7419513C"/>
    <w:rsid w:val="74196033"/>
    <w:rsid w:val="741B5E97"/>
    <w:rsid w:val="741B61E8"/>
    <w:rsid w:val="741B7106"/>
    <w:rsid w:val="741C4C2C"/>
    <w:rsid w:val="741C64FF"/>
    <w:rsid w:val="741C732D"/>
    <w:rsid w:val="741D3841"/>
    <w:rsid w:val="741D67F2"/>
    <w:rsid w:val="741E2752"/>
    <w:rsid w:val="741E6BF6"/>
    <w:rsid w:val="741E793C"/>
    <w:rsid w:val="741F520A"/>
    <w:rsid w:val="741F539B"/>
    <w:rsid w:val="741F7660"/>
    <w:rsid w:val="7420296E"/>
    <w:rsid w:val="742064CB"/>
    <w:rsid w:val="742069BA"/>
    <w:rsid w:val="74207DB6"/>
    <w:rsid w:val="74210C4D"/>
    <w:rsid w:val="74213B7A"/>
    <w:rsid w:val="74213D85"/>
    <w:rsid w:val="74221482"/>
    <w:rsid w:val="7422441D"/>
    <w:rsid w:val="74232C88"/>
    <w:rsid w:val="7423380A"/>
    <w:rsid w:val="74235FBB"/>
    <w:rsid w:val="742460E6"/>
    <w:rsid w:val="74251D33"/>
    <w:rsid w:val="74253798"/>
    <w:rsid w:val="7425398B"/>
    <w:rsid w:val="74263486"/>
    <w:rsid w:val="742703B1"/>
    <w:rsid w:val="74273CFD"/>
    <w:rsid w:val="74275AAB"/>
    <w:rsid w:val="74282B7B"/>
    <w:rsid w:val="74293ACB"/>
    <w:rsid w:val="742A2244"/>
    <w:rsid w:val="742A3172"/>
    <w:rsid w:val="742A559B"/>
    <w:rsid w:val="742A5EB3"/>
    <w:rsid w:val="742A636D"/>
    <w:rsid w:val="742B3769"/>
    <w:rsid w:val="742B38CB"/>
    <w:rsid w:val="742B4AA4"/>
    <w:rsid w:val="742C05E7"/>
    <w:rsid w:val="742C06DE"/>
    <w:rsid w:val="742C1313"/>
    <w:rsid w:val="742C30C1"/>
    <w:rsid w:val="742C4E6F"/>
    <w:rsid w:val="742C5E8F"/>
    <w:rsid w:val="742D0BE7"/>
    <w:rsid w:val="742D1EBF"/>
    <w:rsid w:val="742D6E39"/>
    <w:rsid w:val="742E3A49"/>
    <w:rsid w:val="742E4F45"/>
    <w:rsid w:val="742E553C"/>
    <w:rsid w:val="742F18D2"/>
    <w:rsid w:val="742F2D95"/>
    <w:rsid w:val="742F34F0"/>
    <w:rsid w:val="742F4960"/>
    <w:rsid w:val="743021DF"/>
    <w:rsid w:val="7430612A"/>
    <w:rsid w:val="74312F5D"/>
    <w:rsid w:val="74313014"/>
    <w:rsid w:val="7431692A"/>
    <w:rsid w:val="74321816"/>
    <w:rsid w:val="74324450"/>
    <w:rsid w:val="74324AFF"/>
    <w:rsid w:val="74324D74"/>
    <w:rsid w:val="7432705F"/>
    <w:rsid w:val="74327154"/>
    <w:rsid w:val="74331D80"/>
    <w:rsid w:val="743337E4"/>
    <w:rsid w:val="74335144"/>
    <w:rsid w:val="74343D24"/>
    <w:rsid w:val="7434641A"/>
    <w:rsid w:val="74346E1B"/>
    <w:rsid w:val="74353480"/>
    <w:rsid w:val="7435547A"/>
    <w:rsid w:val="74363F40"/>
    <w:rsid w:val="74370F44"/>
    <w:rsid w:val="74373814"/>
    <w:rsid w:val="743756A7"/>
    <w:rsid w:val="74375AEB"/>
    <w:rsid w:val="74375FCC"/>
    <w:rsid w:val="74384AB6"/>
    <w:rsid w:val="74387114"/>
    <w:rsid w:val="74387230"/>
    <w:rsid w:val="743908CB"/>
    <w:rsid w:val="74392365"/>
    <w:rsid w:val="743957DE"/>
    <w:rsid w:val="74396224"/>
    <w:rsid w:val="743A0EAD"/>
    <w:rsid w:val="743A3291"/>
    <w:rsid w:val="743A3D40"/>
    <w:rsid w:val="743A5297"/>
    <w:rsid w:val="743B1556"/>
    <w:rsid w:val="743B3304"/>
    <w:rsid w:val="743B35D3"/>
    <w:rsid w:val="743B4721"/>
    <w:rsid w:val="743B50B2"/>
    <w:rsid w:val="743B743A"/>
    <w:rsid w:val="743C24D2"/>
    <w:rsid w:val="743D52CE"/>
    <w:rsid w:val="743D635F"/>
    <w:rsid w:val="743D6B0F"/>
    <w:rsid w:val="743E127E"/>
    <w:rsid w:val="743E367E"/>
    <w:rsid w:val="743E47E3"/>
    <w:rsid w:val="743E4BA3"/>
    <w:rsid w:val="743E7AEA"/>
    <w:rsid w:val="743F5C73"/>
    <w:rsid w:val="743F7A89"/>
    <w:rsid w:val="7440091B"/>
    <w:rsid w:val="74406B6D"/>
    <w:rsid w:val="74413682"/>
    <w:rsid w:val="74416441"/>
    <w:rsid w:val="74420281"/>
    <w:rsid w:val="74423B9E"/>
    <w:rsid w:val="74424693"/>
    <w:rsid w:val="7443214A"/>
    <w:rsid w:val="74433DAE"/>
    <w:rsid w:val="744353E1"/>
    <w:rsid w:val="7443665D"/>
    <w:rsid w:val="74445368"/>
    <w:rsid w:val="74450D51"/>
    <w:rsid w:val="744523D5"/>
    <w:rsid w:val="74452F8D"/>
    <w:rsid w:val="74454183"/>
    <w:rsid w:val="744652C0"/>
    <w:rsid w:val="744664FB"/>
    <w:rsid w:val="74470C8A"/>
    <w:rsid w:val="7447614D"/>
    <w:rsid w:val="74477EFB"/>
    <w:rsid w:val="74485A21"/>
    <w:rsid w:val="74486B13"/>
    <w:rsid w:val="74487EAD"/>
    <w:rsid w:val="744918F6"/>
    <w:rsid w:val="744959C1"/>
    <w:rsid w:val="744B1675"/>
    <w:rsid w:val="744B7172"/>
    <w:rsid w:val="744C365C"/>
    <w:rsid w:val="744C6B36"/>
    <w:rsid w:val="744D4DE6"/>
    <w:rsid w:val="744D4F9C"/>
    <w:rsid w:val="744E0AB4"/>
    <w:rsid w:val="744E128A"/>
    <w:rsid w:val="744E2B97"/>
    <w:rsid w:val="744E2D29"/>
    <w:rsid w:val="744E3973"/>
    <w:rsid w:val="744F0B5E"/>
    <w:rsid w:val="744F0BCB"/>
    <w:rsid w:val="74506530"/>
    <w:rsid w:val="74511518"/>
    <w:rsid w:val="74511B6C"/>
    <w:rsid w:val="74515EAD"/>
    <w:rsid w:val="745229A8"/>
    <w:rsid w:val="74524028"/>
    <w:rsid w:val="7453435B"/>
    <w:rsid w:val="74534AF2"/>
    <w:rsid w:val="745368A0"/>
    <w:rsid w:val="74542618"/>
    <w:rsid w:val="74547324"/>
    <w:rsid w:val="74547856"/>
    <w:rsid w:val="745545AE"/>
    <w:rsid w:val="7456013E"/>
    <w:rsid w:val="74561EEC"/>
    <w:rsid w:val="74563EFA"/>
    <w:rsid w:val="7456463B"/>
    <w:rsid w:val="74566390"/>
    <w:rsid w:val="74571C02"/>
    <w:rsid w:val="745727B9"/>
    <w:rsid w:val="74573C49"/>
    <w:rsid w:val="74574BFF"/>
    <w:rsid w:val="74575C64"/>
    <w:rsid w:val="74583EB6"/>
    <w:rsid w:val="74585BAB"/>
    <w:rsid w:val="745A575B"/>
    <w:rsid w:val="745A7D11"/>
    <w:rsid w:val="745B39A7"/>
    <w:rsid w:val="745B5755"/>
    <w:rsid w:val="745B7503"/>
    <w:rsid w:val="745D14CD"/>
    <w:rsid w:val="745D327B"/>
    <w:rsid w:val="745E0DCD"/>
    <w:rsid w:val="745E0F4B"/>
    <w:rsid w:val="745E3944"/>
    <w:rsid w:val="745E44F3"/>
    <w:rsid w:val="745E5211"/>
    <w:rsid w:val="745E7A5F"/>
    <w:rsid w:val="746003DC"/>
    <w:rsid w:val="74600FBD"/>
    <w:rsid w:val="74602D6B"/>
    <w:rsid w:val="74604B19"/>
    <w:rsid w:val="746068D5"/>
    <w:rsid w:val="7460720F"/>
    <w:rsid w:val="74614EB2"/>
    <w:rsid w:val="74616D35"/>
    <w:rsid w:val="7462439A"/>
    <w:rsid w:val="746244C8"/>
    <w:rsid w:val="74624D35"/>
    <w:rsid w:val="74625772"/>
    <w:rsid w:val="74626AE3"/>
    <w:rsid w:val="74627F06"/>
    <w:rsid w:val="74634609"/>
    <w:rsid w:val="74634917"/>
    <w:rsid w:val="7464542E"/>
    <w:rsid w:val="74650074"/>
    <w:rsid w:val="74650724"/>
    <w:rsid w:val="74654825"/>
    <w:rsid w:val="7465510A"/>
    <w:rsid w:val="746612F1"/>
    <w:rsid w:val="746639EF"/>
    <w:rsid w:val="7467234B"/>
    <w:rsid w:val="74673706"/>
    <w:rsid w:val="7467373E"/>
    <w:rsid w:val="746740F9"/>
    <w:rsid w:val="74675EA7"/>
    <w:rsid w:val="74677882"/>
    <w:rsid w:val="74681C20"/>
    <w:rsid w:val="74683E56"/>
    <w:rsid w:val="74687E72"/>
    <w:rsid w:val="74691755"/>
    <w:rsid w:val="746A5998"/>
    <w:rsid w:val="746B7A45"/>
    <w:rsid w:val="746B7A8B"/>
    <w:rsid w:val="746C5BB4"/>
    <w:rsid w:val="746C7962"/>
    <w:rsid w:val="746D4F98"/>
    <w:rsid w:val="746D6233"/>
    <w:rsid w:val="746E0A40"/>
    <w:rsid w:val="746E42D3"/>
    <w:rsid w:val="746F09C2"/>
    <w:rsid w:val="746F1200"/>
    <w:rsid w:val="746F2E35"/>
    <w:rsid w:val="746F3105"/>
    <w:rsid w:val="746F5599"/>
    <w:rsid w:val="746F7CCC"/>
    <w:rsid w:val="74706272"/>
    <w:rsid w:val="74712D98"/>
    <w:rsid w:val="74713CEA"/>
    <w:rsid w:val="74714858"/>
    <w:rsid w:val="74714F78"/>
    <w:rsid w:val="74715374"/>
    <w:rsid w:val="747173C1"/>
    <w:rsid w:val="7472484C"/>
    <w:rsid w:val="74732A9E"/>
    <w:rsid w:val="74736AA6"/>
    <w:rsid w:val="74736F42"/>
    <w:rsid w:val="747405C4"/>
    <w:rsid w:val="74740EDB"/>
    <w:rsid w:val="74743788"/>
    <w:rsid w:val="74744A68"/>
    <w:rsid w:val="747539E4"/>
    <w:rsid w:val="747603BD"/>
    <w:rsid w:val="7476258E"/>
    <w:rsid w:val="747651AB"/>
    <w:rsid w:val="747755ED"/>
    <w:rsid w:val="74784559"/>
    <w:rsid w:val="747910F0"/>
    <w:rsid w:val="7479207F"/>
    <w:rsid w:val="74793E2D"/>
    <w:rsid w:val="74795BDB"/>
    <w:rsid w:val="747968C9"/>
    <w:rsid w:val="747A08A0"/>
    <w:rsid w:val="747A093D"/>
    <w:rsid w:val="747A2C16"/>
    <w:rsid w:val="747B2BE8"/>
    <w:rsid w:val="747B5D3E"/>
    <w:rsid w:val="747D1B6F"/>
    <w:rsid w:val="747D2287"/>
    <w:rsid w:val="747D4771"/>
    <w:rsid w:val="747D56CB"/>
    <w:rsid w:val="747D743F"/>
    <w:rsid w:val="747E0E9B"/>
    <w:rsid w:val="747E1443"/>
    <w:rsid w:val="747E144A"/>
    <w:rsid w:val="747E450D"/>
    <w:rsid w:val="747E5C1E"/>
    <w:rsid w:val="747E5FEE"/>
    <w:rsid w:val="747F07D5"/>
    <w:rsid w:val="747F5534"/>
    <w:rsid w:val="747F58E7"/>
    <w:rsid w:val="748051BB"/>
    <w:rsid w:val="7481559C"/>
    <w:rsid w:val="748179EC"/>
    <w:rsid w:val="74820F33"/>
    <w:rsid w:val="74822CE1"/>
    <w:rsid w:val="74827185"/>
    <w:rsid w:val="748406BD"/>
    <w:rsid w:val="74842EFD"/>
    <w:rsid w:val="74844CAB"/>
    <w:rsid w:val="748527D2"/>
    <w:rsid w:val="74856C75"/>
    <w:rsid w:val="748702F8"/>
    <w:rsid w:val="74871076"/>
    <w:rsid w:val="7487479C"/>
    <w:rsid w:val="74877D19"/>
    <w:rsid w:val="7488320D"/>
    <w:rsid w:val="7488500E"/>
    <w:rsid w:val="74890514"/>
    <w:rsid w:val="7489167B"/>
    <w:rsid w:val="748922C2"/>
    <w:rsid w:val="7489557A"/>
    <w:rsid w:val="748A31AB"/>
    <w:rsid w:val="748A603A"/>
    <w:rsid w:val="748A7DE8"/>
    <w:rsid w:val="748C0004"/>
    <w:rsid w:val="748C3B60"/>
    <w:rsid w:val="748C590E"/>
    <w:rsid w:val="748D1686"/>
    <w:rsid w:val="748D2D0A"/>
    <w:rsid w:val="748D5459"/>
    <w:rsid w:val="748D691D"/>
    <w:rsid w:val="748E5017"/>
    <w:rsid w:val="748E5B2A"/>
    <w:rsid w:val="748E60B2"/>
    <w:rsid w:val="748E78D8"/>
    <w:rsid w:val="748F0D49"/>
    <w:rsid w:val="748F2630"/>
    <w:rsid w:val="748F2D38"/>
    <w:rsid w:val="748F3650"/>
    <w:rsid w:val="748F4A91"/>
    <w:rsid w:val="74904326"/>
    <w:rsid w:val="7490551B"/>
    <w:rsid w:val="7490789B"/>
    <w:rsid w:val="749165AE"/>
    <w:rsid w:val="749169AB"/>
    <w:rsid w:val="749173C8"/>
    <w:rsid w:val="74926AD9"/>
    <w:rsid w:val="749312CB"/>
    <w:rsid w:val="74933140"/>
    <w:rsid w:val="74934EEE"/>
    <w:rsid w:val="74940C67"/>
    <w:rsid w:val="7494275B"/>
    <w:rsid w:val="749427AD"/>
    <w:rsid w:val="74942A15"/>
    <w:rsid w:val="74952741"/>
    <w:rsid w:val="74956EB9"/>
    <w:rsid w:val="749649DF"/>
    <w:rsid w:val="74965ECB"/>
    <w:rsid w:val="7496678D"/>
    <w:rsid w:val="749710DC"/>
    <w:rsid w:val="749809E1"/>
    <w:rsid w:val="74995AD5"/>
    <w:rsid w:val="7499627D"/>
    <w:rsid w:val="74996569"/>
    <w:rsid w:val="749A44CF"/>
    <w:rsid w:val="749A4C78"/>
    <w:rsid w:val="749A65CD"/>
    <w:rsid w:val="749A6F19"/>
    <w:rsid w:val="749B1FF5"/>
    <w:rsid w:val="749B7A5D"/>
    <w:rsid w:val="749C0749"/>
    <w:rsid w:val="749D48E7"/>
    <w:rsid w:val="749D5D6D"/>
    <w:rsid w:val="749D668F"/>
    <w:rsid w:val="749D7B1B"/>
    <w:rsid w:val="749E4E19"/>
    <w:rsid w:val="749E5641"/>
    <w:rsid w:val="749F1AE5"/>
    <w:rsid w:val="749F21E9"/>
    <w:rsid w:val="749F5422"/>
    <w:rsid w:val="749F67DC"/>
    <w:rsid w:val="74A0585D"/>
    <w:rsid w:val="74A1529D"/>
    <w:rsid w:val="74A1533D"/>
    <w:rsid w:val="74A20352"/>
    <w:rsid w:val="74A215D5"/>
    <w:rsid w:val="74A25132"/>
    <w:rsid w:val="74A25383"/>
    <w:rsid w:val="74A26F8A"/>
    <w:rsid w:val="74A31EFA"/>
    <w:rsid w:val="74A32EF7"/>
    <w:rsid w:val="74A42250"/>
    <w:rsid w:val="74A44479"/>
    <w:rsid w:val="74A4534E"/>
    <w:rsid w:val="74A470FC"/>
    <w:rsid w:val="74A477FE"/>
    <w:rsid w:val="74A54329"/>
    <w:rsid w:val="74A54C22"/>
    <w:rsid w:val="74A6611E"/>
    <w:rsid w:val="74A67741"/>
    <w:rsid w:val="74A736B2"/>
    <w:rsid w:val="74A82235"/>
    <w:rsid w:val="74A82FE7"/>
    <w:rsid w:val="74A92964"/>
    <w:rsid w:val="74A9452C"/>
    <w:rsid w:val="74AA14A7"/>
    <w:rsid w:val="74AB28D6"/>
    <w:rsid w:val="74AB66DC"/>
    <w:rsid w:val="74AC4202"/>
    <w:rsid w:val="74AC5FB0"/>
    <w:rsid w:val="74AD5516"/>
    <w:rsid w:val="74AD6B8C"/>
    <w:rsid w:val="74AE1D28"/>
    <w:rsid w:val="74AF2DDE"/>
    <w:rsid w:val="74AF47E2"/>
    <w:rsid w:val="74AF5AA0"/>
    <w:rsid w:val="74AF784E"/>
    <w:rsid w:val="74B00F7A"/>
    <w:rsid w:val="74B01F34"/>
    <w:rsid w:val="74B03CF2"/>
    <w:rsid w:val="74B0560D"/>
    <w:rsid w:val="74B07CC5"/>
    <w:rsid w:val="74B11819"/>
    <w:rsid w:val="74B15375"/>
    <w:rsid w:val="74B15F95"/>
    <w:rsid w:val="74B308B5"/>
    <w:rsid w:val="74B310ED"/>
    <w:rsid w:val="74B33A8A"/>
    <w:rsid w:val="74B371A0"/>
    <w:rsid w:val="74B3733F"/>
    <w:rsid w:val="74B43519"/>
    <w:rsid w:val="74B453E8"/>
    <w:rsid w:val="74B531D5"/>
    <w:rsid w:val="74B60BDD"/>
    <w:rsid w:val="74B6390B"/>
    <w:rsid w:val="74B64716"/>
    <w:rsid w:val="74B65081"/>
    <w:rsid w:val="74B66189"/>
    <w:rsid w:val="74B66E2F"/>
    <w:rsid w:val="74B702B0"/>
    <w:rsid w:val="74B77572"/>
    <w:rsid w:val="74B80DF9"/>
    <w:rsid w:val="74B84955"/>
    <w:rsid w:val="74B94A52"/>
    <w:rsid w:val="74B95D5B"/>
    <w:rsid w:val="74B97CC2"/>
    <w:rsid w:val="74B97D58"/>
    <w:rsid w:val="74BA61F5"/>
    <w:rsid w:val="74BA74A4"/>
    <w:rsid w:val="74BB60EF"/>
    <w:rsid w:val="74BC1824"/>
    <w:rsid w:val="74BC20D2"/>
    <w:rsid w:val="74BC29EE"/>
    <w:rsid w:val="74BC3521"/>
    <w:rsid w:val="74BC41E7"/>
    <w:rsid w:val="74BC7964"/>
    <w:rsid w:val="74BD01BD"/>
    <w:rsid w:val="74BD4F13"/>
    <w:rsid w:val="74BE5B37"/>
    <w:rsid w:val="74BF01CB"/>
    <w:rsid w:val="74BF0740"/>
    <w:rsid w:val="74C0263A"/>
    <w:rsid w:val="74C04F35"/>
    <w:rsid w:val="74C10DE1"/>
    <w:rsid w:val="74C1528B"/>
    <w:rsid w:val="74C209FD"/>
    <w:rsid w:val="74C225D4"/>
    <w:rsid w:val="74C23A26"/>
    <w:rsid w:val="74C257D4"/>
    <w:rsid w:val="74C27582"/>
    <w:rsid w:val="74C303AA"/>
    <w:rsid w:val="74C4779E"/>
    <w:rsid w:val="74C507EF"/>
    <w:rsid w:val="74C50E20"/>
    <w:rsid w:val="74C652C4"/>
    <w:rsid w:val="74C658AD"/>
    <w:rsid w:val="74C7017F"/>
    <w:rsid w:val="74C7103C"/>
    <w:rsid w:val="74C71DE0"/>
    <w:rsid w:val="74C741E4"/>
    <w:rsid w:val="74C756DA"/>
    <w:rsid w:val="74C7648B"/>
    <w:rsid w:val="74C8164B"/>
    <w:rsid w:val="74C86EE7"/>
    <w:rsid w:val="74C90910"/>
    <w:rsid w:val="74C92ADB"/>
    <w:rsid w:val="74C94DB4"/>
    <w:rsid w:val="74C96B62"/>
    <w:rsid w:val="74CA36DE"/>
    <w:rsid w:val="74CA4688"/>
    <w:rsid w:val="74CA4F38"/>
    <w:rsid w:val="74CA66EC"/>
    <w:rsid w:val="74CA7969"/>
    <w:rsid w:val="74CA7BDE"/>
    <w:rsid w:val="74CB0B2C"/>
    <w:rsid w:val="74CB17E5"/>
    <w:rsid w:val="74CB28DA"/>
    <w:rsid w:val="74CB63C1"/>
    <w:rsid w:val="74CB6B3C"/>
    <w:rsid w:val="74CC0400"/>
    <w:rsid w:val="74CC21AE"/>
    <w:rsid w:val="74CC43C6"/>
    <w:rsid w:val="74CC6652"/>
    <w:rsid w:val="74CD0A98"/>
    <w:rsid w:val="74CD53BB"/>
    <w:rsid w:val="74CE02BE"/>
    <w:rsid w:val="74CE23CA"/>
    <w:rsid w:val="74CE4179"/>
    <w:rsid w:val="74CE4724"/>
    <w:rsid w:val="74CE65DA"/>
    <w:rsid w:val="74CE7450"/>
    <w:rsid w:val="74CE760C"/>
    <w:rsid w:val="74CE7B30"/>
    <w:rsid w:val="74CF1C9F"/>
    <w:rsid w:val="74D00441"/>
    <w:rsid w:val="74D07BA6"/>
    <w:rsid w:val="74D07DDD"/>
    <w:rsid w:val="74D100EB"/>
    <w:rsid w:val="74D12214"/>
    <w:rsid w:val="74D13C69"/>
    <w:rsid w:val="74D15A17"/>
    <w:rsid w:val="74D177C5"/>
    <w:rsid w:val="74D252CE"/>
    <w:rsid w:val="74D34866"/>
    <w:rsid w:val="74D35972"/>
    <w:rsid w:val="74D36F71"/>
    <w:rsid w:val="74D37FBD"/>
    <w:rsid w:val="74D4132F"/>
    <w:rsid w:val="74D41369"/>
    <w:rsid w:val="74D42D70"/>
    <w:rsid w:val="74D47953"/>
    <w:rsid w:val="74D53759"/>
    <w:rsid w:val="74D55507"/>
    <w:rsid w:val="74D6302D"/>
    <w:rsid w:val="74D6467B"/>
    <w:rsid w:val="74D67889"/>
    <w:rsid w:val="74D77E29"/>
    <w:rsid w:val="74D967E7"/>
    <w:rsid w:val="74D97494"/>
    <w:rsid w:val="74D97F76"/>
    <w:rsid w:val="74DA0C01"/>
    <w:rsid w:val="74DA0D6F"/>
    <w:rsid w:val="74DA5B41"/>
    <w:rsid w:val="74DB0643"/>
    <w:rsid w:val="74DB1708"/>
    <w:rsid w:val="74DC1C15"/>
    <w:rsid w:val="74DC3BE7"/>
    <w:rsid w:val="74DC4AE7"/>
    <w:rsid w:val="74DD23E1"/>
    <w:rsid w:val="74DD3B22"/>
    <w:rsid w:val="74DD43BC"/>
    <w:rsid w:val="74DD557B"/>
    <w:rsid w:val="74DD7478"/>
    <w:rsid w:val="74DE387A"/>
    <w:rsid w:val="74DF1EE2"/>
    <w:rsid w:val="74DF4D01"/>
    <w:rsid w:val="74DF6A16"/>
    <w:rsid w:val="74E00C93"/>
    <w:rsid w:val="74E052D3"/>
    <w:rsid w:val="74E05C5A"/>
    <w:rsid w:val="74E10D62"/>
    <w:rsid w:val="74E11303"/>
    <w:rsid w:val="74E120FE"/>
    <w:rsid w:val="74E136AD"/>
    <w:rsid w:val="74E13933"/>
    <w:rsid w:val="74E207C9"/>
    <w:rsid w:val="74E24BCD"/>
    <w:rsid w:val="74E27C24"/>
    <w:rsid w:val="74E33432"/>
    <w:rsid w:val="74E3460E"/>
    <w:rsid w:val="74E41BEE"/>
    <w:rsid w:val="74E44691"/>
    <w:rsid w:val="74E4574A"/>
    <w:rsid w:val="74E46180"/>
    <w:rsid w:val="74E474F8"/>
    <w:rsid w:val="74E50B73"/>
    <w:rsid w:val="74E514C2"/>
    <w:rsid w:val="74E56252"/>
    <w:rsid w:val="74E610AC"/>
    <w:rsid w:val="74E64777"/>
    <w:rsid w:val="74E659D1"/>
    <w:rsid w:val="74E7256F"/>
    <w:rsid w:val="74E7348C"/>
    <w:rsid w:val="74E742AF"/>
    <w:rsid w:val="74E7523A"/>
    <w:rsid w:val="74E75974"/>
    <w:rsid w:val="74E76FE8"/>
    <w:rsid w:val="74E833CF"/>
    <w:rsid w:val="74E855D1"/>
    <w:rsid w:val="74E90FB2"/>
    <w:rsid w:val="74E92D60"/>
    <w:rsid w:val="74E96EF2"/>
    <w:rsid w:val="74E97204"/>
    <w:rsid w:val="74EA0887"/>
    <w:rsid w:val="74EA4C40"/>
    <w:rsid w:val="74EA6126"/>
    <w:rsid w:val="74EB4D2A"/>
    <w:rsid w:val="74EB5EA0"/>
    <w:rsid w:val="74EB6AD9"/>
    <w:rsid w:val="74EB79C8"/>
    <w:rsid w:val="74EC0280"/>
    <w:rsid w:val="74EC0AA3"/>
    <w:rsid w:val="74EC3A46"/>
    <w:rsid w:val="74EC5383"/>
    <w:rsid w:val="74EC6149"/>
    <w:rsid w:val="74ED49EC"/>
    <w:rsid w:val="74EE0377"/>
    <w:rsid w:val="74EE4628"/>
    <w:rsid w:val="74EF5803"/>
    <w:rsid w:val="74EF5C68"/>
    <w:rsid w:val="74F00593"/>
    <w:rsid w:val="74F14BAF"/>
    <w:rsid w:val="74F248B8"/>
    <w:rsid w:val="74F24B90"/>
    <w:rsid w:val="74F34607"/>
    <w:rsid w:val="74F3598D"/>
    <w:rsid w:val="74F41DAB"/>
    <w:rsid w:val="74F42F85"/>
    <w:rsid w:val="74F43F8B"/>
    <w:rsid w:val="74F4511C"/>
    <w:rsid w:val="74F471D8"/>
    <w:rsid w:val="74F47D2C"/>
    <w:rsid w:val="74F51705"/>
    <w:rsid w:val="74F53239"/>
    <w:rsid w:val="74F55BA9"/>
    <w:rsid w:val="74F57957"/>
    <w:rsid w:val="74F636CF"/>
    <w:rsid w:val="74F646C9"/>
    <w:rsid w:val="74F6722B"/>
    <w:rsid w:val="74F71921"/>
    <w:rsid w:val="74F75E20"/>
    <w:rsid w:val="74F87447"/>
    <w:rsid w:val="74F90095"/>
    <w:rsid w:val="74F91033"/>
    <w:rsid w:val="74F92F44"/>
    <w:rsid w:val="74F95A1F"/>
    <w:rsid w:val="74F96A47"/>
    <w:rsid w:val="74FA1533"/>
    <w:rsid w:val="74FA1909"/>
    <w:rsid w:val="74FA31C0"/>
    <w:rsid w:val="74FA5DFA"/>
    <w:rsid w:val="74FA6D1C"/>
    <w:rsid w:val="74FA7758"/>
    <w:rsid w:val="74FB05D9"/>
    <w:rsid w:val="74FB343C"/>
    <w:rsid w:val="74FB422A"/>
    <w:rsid w:val="74FB6233"/>
    <w:rsid w:val="74FB7EBD"/>
    <w:rsid w:val="74FC0CE6"/>
    <w:rsid w:val="74FC158A"/>
    <w:rsid w:val="74FC6BF2"/>
    <w:rsid w:val="74FD05BA"/>
    <w:rsid w:val="74FD0ADB"/>
    <w:rsid w:val="74FE4AD9"/>
    <w:rsid w:val="74FE7D66"/>
    <w:rsid w:val="74FF2DE5"/>
    <w:rsid w:val="74FF4332"/>
    <w:rsid w:val="750000AA"/>
    <w:rsid w:val="75006486"/>
    <w:rsid w:val="7501454E"/>
    <w:rsid w:val="75016C0B"/>
    <w:rsid w:val="75023325"/>
    <w:rsid w:val="75023E22"/>
    <w:rsid w:val="75034B41"/>
    <w:rsid w:val="75036403"/>
    <w:rsid w:val="75042B46"/>
    <w:rsid w:val="75043F80"/>
    <w:rsid w:val="7504558C"/>
    <w:rsid w:val="75045B2E"/>
    <w:rsid w:val="750466C5"/>
    <w:rsid w:val="75046784"/>
    <w:rsid w:val="75047B9A"/>
    <w:rsid w:val="7505128E"/>
    <w:rsid w:val="750517A0"/>
    <w:rsid w:val="750522A1"/>
    <w:rsid w:val="75052C34"/>
    <w:rsid w:val="75061904"/>
    <w:rsid w:val="75061B64"/>
    <w:rsid w:val="75063912"/>
    <w:rsid w:val="75064C7B"/>
    <w:rsid w:val="750710F3"/>
    <w:rsid w:val="7507546F"/>
    <w:rsid w:val="7507564E"/>
    <w:rsid w:val="750758DC"/>
    <w:rsid w:val="75076C79"/>
    <w:rsid w:val="75083F0D"/>
    <w:rsid w:val="750879CE"/>
    <w:rsid w:val="75093403"/>
    <w:rsid w:val="750951B1"/>
    <w:rsid w:val="75095CEA"/>
    <w:rsid w:val="7509664B"/>
    <w:rsid w:val="75096F5F"/>
    <w:rsid w:val="750A2CD7"/>
    <w:rsid w:val="750B717B"/>
    <w:rsid w:val="750C5936"/>
    <w:rsid w:val="750C5F2D"/>
    <w:rsid w:val="750C6A4F"/>
    <w:rsid w:val="750D40D2"/>
    <w:rsid w:val="750D469B"/>
    <w:rsid w:val="750D50A6"/>
    <w:rsid w:val="750D68EF"/>
    <w:rsid w:val="750D7BBD"/>
    <w:rsid w:val="750E120F"/>
    <w:rsid w:val="750E215F"/>
    <w:rsid w:val="750E27C7"/>
    <w:rsid w:val="750E61A7"/>
    <w:rsid w:val="750F341C"/>
    <w:rsid w:val="750F3819"/>
    <w:rsid w:val="750F6FEF"/>
    <w:rsid w:val="751002ED"/>
    <w:rsid w:val="751029E3"/>
    <w:rsid w:val="75104791"/>
    <w:rsid w:val="75114065"/>
    <w:rsid w:val="75114E42"/>
    <w:rsid w:val="751245D9"/>
    <w:rsid w:val="75127B90"/>
    <w:rsid w:val="751335E1"/>
    <w:rsid w:val="75133F30"/>
    <w:rsid w:val="7513602F"/>
    <w:rsid w:val="75136A90"/>
    <w:rsid w:val="75137DDD"/>
    <w:rsid w:val="75142914"/>
    <w:rsid w:val="75142BAA"/>
    <w:rsid w:val="75143913"/>
    <w:rsid w:val="75157FF9"/>
    <w:rsid w:val="751610E2"/>
    <w:rsid w:val="7516167C"/>
    <w:rsid w:val="75171D53"/>
    <w:rsid w:val="751737EE"/>
    <w:rsid w:val="751742A5"/>
    <w:rsid w:val="75175143"/>
    <w:rsid w:val="75175B20"/>
    <w:rsid w:val="75177463"/>
    <w:rsid w:val="751828EB"/>
    <w:rsid w:val="75183646"/>
    <w:rsid w:val="751853F4"/>
    <w:rsid w:val="7518705C"/>
    <w:rsid w:val="7518774E"/>
    <w:rsid w:val="75187F00"/>
    <w:rsid w:val="7519571A"/>
    <w:rsid w:val="751A6853"/>
    <w:rsid w:val="751A73BE"/>
    <w:rsid w:val="751B3AC4"/>
    <w:rsid w:val="751B4EE4"/>
    <w:rsid w:val="751C046E"/>
    <w:rsid w:val="751C3136"/>
    <w:rsid w:val="751C6DC0"/>
    <w:rsid w:val="751D0C5C"/>
    <w:rsid w:val="751D0F84"/>
    <w:rsid w:val="751D321A"/>
    <w:rsid w:val="751E0BB4"/>
    <w:rsid w:val="751F0002"/>
    <w:rsid w:val="751F43CC"/>
    <w:rsid w:val="751F49D4"/>
    <w:rsid w:val="751F6782"/>
    <w:rsid w:val="7520350B"/>
    <w:rsid w:val="752035F2"/>
    <w:rsid w:val="75213009"/>
    <w:rsid w:val="7521549D"/>
    <w:rsid w:val="7521601C"/>
    <w:rsid w:val="7521699E"/>
    <w:rsid w:val="75217E0F"/>
    <w:rsid w:val="75220020"/>
    <w:rsid w:val="752210C4"/>
    <w:rsid w:val="752244C4"/>
    <w:rsid w:val="75230249"/>
    <w:rsid w:val="75230389"/>
    <w:rsid w:val="75232716"/>
    <w:rsid w:val="75237230"/>
    <w:rsid w:val="7524023C"/>
    <w:rsid w:val="75243D99"/>
    <w:rsid w:val="75246D45"/>
    <w:rsid w:val="7526644A"/>
    <w:rsid w:val="752673EF"/>
    <w:rsid w:val="75267B11"/>
    <w:rsid w:val="752769C0"/>
    <w:rsid w:val="7528176C"/>
    <w:rsid w:val="752913AF"/>
    <w:rsid w:val="75291AE4"/>
    <w:rsid w:val="75295853"/>
    <w:rsid w:val="75297601"/>
    <w:rsid w:val="752A09E7"/>
    <w:rsid w:val="752A6F85"/>
    <w:rsid w:val="752B15CB"/>
    <w:rsid w:val="752C0E9F"/>
    <w:rsid w:val="752C5984"/>
    <w:rsid w:val="752D0A25"/>
    <w:rsid w:val="752D2858"/>
    <w:rsid w:val="752D3B88"/>
    <w:rsid w:val="752D470E"/>
    <w:rsid w:val="752D5A67"/>
    <w:rsid w:val="752D648B"/>
    <w:rsid w:val="752D7368"/>
    <w:rsid w:val="752E598D"/>
    <w:rsid w:val="752E67C7"/>
    <w:rsid w:val="752F26EA"/>
    <w:rsid w:val="752F59E9"/>
    <w:rsid w:val="75301320"/>
    <w:rsid w:val="7530574E"/>
    <w:rsid w:val="75306BE1"/>
    <w:rsid w:val="75322959"/>
    <w:rsid w:val="75324707"/>
    <w:rsid w:val="7532674E"/>
    <w:rsid w:val="75327179"/>
    <w:rsid w:val="75330480"/>
    <w:rsid w:val="75331A99"/>
    <w:rsid w:val="7533222E"/>
    <w:rsid w:val="75333435"/>
    <w:rsid w:val="75333EE8"/>
    <w:rsid w:val="75341AB0"/>
    <w:rsid w:val="75342AE0"/>
    <w:rsid w:val="75343457"/>
    <w:rsid w:val="75343681"/>
    <w:rsid w:val="75345C96"/>
    <w:rsid w:val="753514A6"/>
    <w:rsid w:val="7535244A"/>
    <w:rsid w:val="75353C2E"/>
    <w:rsid w:val="75355FA6"/>
    <w:rsid w:val="75357A48"/>
    <w:rsid w:val="75363ACC"/>
    <w:rsid w:val="75377F70"/>
    <w:rsid w:val="75381A33"/>
    <w:rsid w:val="75383718"/>
    <w:rsid w:val="75386C7E"/>
    <w:rsid w:val="75387844"/>
    <w:rsid w:val="75387EA3"/>
    <w:rsid w:val="75391DB7"/>
    <w:rsid w:val="753949B8"/>
    <w:rsid w:val="753970E9"/>
    <w:rsid w:val="753A0D04"/>
    <w:rsid w:val="753A28EB"/>
    <w:rsid w:val="753A3580"/>
    <w:rsid w:val="753A6D0B"/>
    <w:rsid w:val="753A6D9B"/>
    <w:rsid w:val="753A7A60"/>
    <w:rsid w:val="753B086D"/>
    <w:rsid w:val="753B196C"/>
    <w:rsid w:val="753C058F"/>
    <w:rsid w:val="753C37D8"/>
    <w:rsid w:val="753C7334"/>
    <w:rsid w:val="753D41D2"/>
    <w:rsid w:val="753D744D"/>
    <w:rsid w:val="753D7962"/>
    <w:rsid w:val="753E007F"/>
    <w:rsid w:val="753E00AE"/>
    <w:rsid w:val="753E1FF4"/>
    <w:rsid w:val="753E6F1E"/>
    <w:rsid w:val="753F20D8"/>
    <w:rsid w:val="753F3382"/>
    <w:rsid w:val="753F594E"/>
    <w:rsid w:val="753F6E24"/>
    <w:rsid w:val="754003F5"/>
    <w:rsid w:val="75400E19"/>
    <w:rsid w:val="7540572D"/>
    <w:rsid w:val="75407F81"/>
    <w:rsid w:val="75410530"/>
    <w:rsid w:val="75412B9C"/>
    <w:rsid w:val="7541494A"/>
    <w:rsid w:val="7543146E"/>
    <w:rsid w:val="75436915"/>
    <w:rsid w:val="75444D6F"/>
    <w:rsid w:val="754461E9"/>
    <w:rsid w:val="75466405"/>
    <w:rsid w:val="75472320"/>
    <w:rsid w:val="75477BE6"/>
    <w:rsid w:val="75497CA3"/>
    <w:rsid w:val="754A081F"/>
    <w:rsid w:val="754A7FD1"/>
    <w:rsid w:val="754B3A1B"/>
    <w:rsid w:val="754B57C9"/>
    <w:rsid w:val="754C3F0D"/>
    <w:rsid w:val="754D1541"/>
    <w:rsid w:val="754E0E15"/>
    <w:rsid w:val="754E7067"/>
    <w:rsid w:val="754F18A9"/>
    <w:rsid w:val="754F6794"/>
    <w:rsid w:val="7550563C"/>
    <w:rsid w:val="75510906"/>
    <w:rsid w:val="755119A9"/>
    <w:rsid w:val="7551624A"/>
    <w:rsid w:val="75526B58"/>
    <w:rsid w:val="75531083"/>
    <w:rsid w:val="75536724"/>
    <w:rsid w:val="7554127F"/>
    <w:rsid w:val="75542513"/>
    <w:rsid w:val="7554437D"/>
    <w:rsid w:val="755462F2"/>
    <w:rsid w:val="755466E8"/>
    <w:rsid w:val="75551855"/>
    <w:rsid w:val="755521A4"/>
    <w:rsid w:val="75556648"/>
    <w:rsid w:val="755630C9"/>
    <w:rsid w:val="755655AF"/>
    <w:rsid w:val="75567D8E"/>
    <w:rsid w:val="7557416E"/>
    <w:rsid w:val="75581C94"/>
    <w:rsid w:val="75582D27"/>
    <w:rsid w:val="7558409B"/>
    <w:rsid w:val="75587EE6"/>
    <w:rsid w:val="755A3C5E"/>
    <w:rsid w:val="755A5A0C"/>
    <w:rsid w:val="755B5DCD"/>
    <w:rsid w:val="755C1784"/>
    <w:rsid w:val="755C2E16"/>
    <w:rsid w:val="755C70AD"/>
    <w:rsid w:val="755C79D6"/>
    <w:rsid w:val="755D2121"/>
    <w:rsid w:val="755D5C2B"/>
    <w:rsid w:val="755E374E"/>
    <w:rsid w:val="755E4A41"/>
    <w:rsid w:val="755E6196"/>
    <w:rsid w:val="755E6B56"/>
    <w:rsid w:val="755F1275"/>
    <w:rsid w:val="755F3023"/>
    <w:rsid w:val="755F4D82"/>
    <w:rsid w:val="755F5897"/>
    <w:rsid w:val="755F5F9C"/>
    <w:rsid w:val="755F74C6"/>
    <w:rsid w:val="75603A63"/>
    <w:rsid w:val="75611638"/>
    <w:rsid w:val="75616D9B"/>
    <w:rsid w:val="756175DB"/>
    <w:rsid w:val="756205EC"/>
    <w:rsid w:val="7562160F"/>
    <w:rsid w:val="756224A1"/>
    <w:rsid w:val="75630CAA"/>
    <w:rsid w:val="756353EA"/>
    <w:rsid w:val="75640639"/>
    <w:rsid w:val="75644065"/>
    <w:rsid w:val="75644ADD"/>
    <w:rsid w:val="75645ACD"/>
    <w:rsid w:val="7564688B"/>
    <w:rsid w:val="75646E05"/>
    <w:rsid w:val="756471B5"/>
    <w:rsid w:val="756501CE"/>
    <w:rsid w:val="756503B4"/>
    <w:rsid w:val="7565131A"/>
    <w:rsid w:val="75656C30"/>
    <w:rsid w:val="75660855"/>
    <w:rsid w:val="75662149"/>
    <w:rsid w:val="75662603"/>
    <w:rsid w:val="7566510A"/>
    <w:rsid w:val="75671ED7"/>
    <w:rsid w:val="756774F9"/>
    <w:rsid w:val="75680129"/>
    <w:rsid w:val="7568355A"/>
    <w:rsid w:val="75683DA8"/>
    <w:rsid w:val="756845CD"/>
    <w:rsid w:val="7568576A"/>
    <w:rsid w:val="7568637B"/>
    <w:rsid w:val="75690105"/>
    <w:rsid w:val="75693EA1"/>
    <w:rsid w:val="7569433B"/>
    <w:rsid w:val="756955A6"/>
    <w:rsid w:val="756A4739"/>
    <w:rsid w:val="756A51F6"/>
    <w:rsid w:val="756A6F56"/>
    <w:rsid w:val="756A72C4"/>
    <w:rsid w:val="756B19C7"/>
    <w:rsid w:val="756B5E6B"/>
    <w:rsid w:val="756B7C19"/>
    <w:rsid w:val="756D0609"/>
    <w:rsid w:val="756D1C2A"/>
    <w:rsid w:val="756D3991"/>
    <w:rsid w:val="756D47FB"/>
    <w:rsid w:val="756D573F"/>
    <w:rsid w:val="756E14B8"/>
    <w:rsid w:val="756E19D5"/>
    <w:rsid w:val="756E5152"/>
    <w:rsid w:val="756E5368"/>
    <w:rsid w:val="756E58BB"/>
    <w:rsid w:val="756E770A"/>
    <w:rsid w:val="75703482"/>
    <w:rsid w:val="75706FDE"/>
    <w:rsid w:val="75713E45"/>
    <w:rsid w:val="7571755A"/>
    <w:rsid w:val="75720FA8"/>
    <w:rsid w:val="7572775B"/>
    <w:rsid w:val="75734E19"/>
    <w:rsid w:val="757361E8"/>
    <w:rsid w:val="75736ACE"/>
    <w:rsid w:val="75742F72"/>
    <w:rsid w:val="75752846"/>
    <w:rsid w:val="757545F4"/>
    <w:rsid w:val="75772D4D"/>
    <w:rsid w:val="75774810"/>
    <w:rsid w:val="757758AD"/>
    <w:rsid w:val="757765BE"/>
    <w:rsid w:val="75776FEE"/>
    <w:rsid w:val="757840E4"/>
    <w:rsid w:val="75790588"/>
    <w:rsid w:val="7579406A"/>
    <w:rsid w:val="757A15D8"/>
    <w:rsid w:val="757A1C0A"/>
    <w:rsid w:val="757A7E5C"/>
    <w:rsid w:val="757B56BE"/>
    <w:rsid w:val="757B7431"/>
    <w:rsid w:val="757C1BD6"/>
    <w:rsid w:val="757C1E26"/>
    <w:rsid w:val="757C3BD5"/>
    <w:rsid w:val="757C6DC8"/>
    <w:rsid w:val="757D0CD8"/>
    <w:rsid w:val="757D16FB"/>
    <w:rsid w:val="757D42F0"/>
    <w:rsid w:val="757E1548"/>
    <w:rsid w:val="757E5B9F"/>
    <w:rsid w:val="757E794D"/>
    <w:rsid w:val="757F1917"/>
    <w:rsid w:val="757F36C5"/>
    <w:rsid w:val="7580095D"/>
    <w:rsid w:val="75801832"/>
    <w:rsid w:val="75802BED"/>
    <w:rsid w:val="75804640"/>
    <w:rsid w:val="75810554"/>
    <w:rsid w:val="758111EB"/>
    <w:rsid w:val="75812F99"/>
    <w:rsid w:val="7582282F"/>
    <w:rsid w:val="75824101"/>
    <w:rsid w:val="75826D11"/>
    <w:rsid w:val="758331B5"/>
    <w:rsid w:val="75836A21"/>
    <w:rsid w:val="75840CDB"/>
    <w:rsid w:val="75861DE0"/>
    <w:rsid w:val="75864EA0"/>
    <w:rsid w:val="75866801"/>
    <w:rsid w:val="758720DC"/>
    <w:rsid w:val="75874327"/>
    <w:rsid w:val="75877F73"/>
    <w:rsid w:val="75882579"/>
    <w:rsid w:val="75884482"/>
    <w:rsid w:val="75892595"/>
    <w:rsid w:val="75894543"/>
    <w:rsid w:val="75894B34"/>
    <w:rsid w:val="758962F1"/>
    <w:rsid w:val="75897427"/>
    <w:rsid w:val="758A3D23"/>
    <w:rsid w:val="758A5E65"/>
    <w:rsid w:val="758B02BC"/>
    <w:rsid w:val="758B0367"/>
    <w:rsid w:val="758B206A"/>
    <w:rsid w:val="758B3CF4"/>
    <w:rsid w:val="758B3E18"/>
    <w:rsid w:val="758C073A"/>
    <w:rsid w:val="758C1DEB"/>
    <w:rsid w:val="758C7D84"/>
    <w:rsid w:val="758C7F98"/>
    <w:rsid w:val="758D193E"/>
    <w:rsid w:val="758D6E48"/>
    <w:rsid w:val="758D7E54"/>
    <w:rsid w:val="758E26A4"/>
    <w:rsid w:val="758E3908"/>
    <w:rsid w:val="758F3128"/>
    <w:rsid w:val="7590142E"/>
    <w:rsid w:val="759058D2"/>
    <w:rsid w:val="75905CE3"/>
    <w:rsid w:val="75907680"/>
    <w:rsid w:val="759149E0"/>
    <w:rsid w:val="7591595D"/>
    <w:rsid w:val="75916406"/>
    <w:rsid w:val="7592164A"/>
    <w:rsid w:val="759224B5"/>
    <w:rsid w:val="759251A6"/>
    <w:rsid w:val="75952EE8"/>
    <w:rsid w:val="75954C96"/>
    <w:rsid w:val="75956A44"/>
    <w:rsid w:val="759613F7"/>
    <w:rsid w:val="75970A0E"/>
    <w:rsid w:val="75986535"/>
    <w:rsid w:val="759977B7"/>
    <w:rsid w:val="759A22AD"/>
    <w:rsid w:val="759A405B"/>
    <w:rsid w:val="759A453A"/>
    <w:rsid w:val="759A66A5"/>
    <w:rsid w:val="759B396F"/>
    <w:rsid w:val="759C00BE"/>
    <w:rsid w:val="759C2E91"/>
    <w:rsid w:val="759C4277"/>
    <w:rsid w:val="759C7879"/>
    <w:rsid w:val="759D0BB3"/>
    <w:rsid w:val="759D1221"/>
    <w:rsid w:val="759D4F9F"/>
    <w:rsid w:val="759D57FC"/>
    <w:rsid w:val="759E3C12"/>
    <w:rsid w:val="759E7FEF"/>
    <w:rsid w:val="759F4C80"/>
    <w:rsid w:val="759F78C3"/>
    <w:rsid w:val="75A03D67"/>
    <w:rsid w:val="75A051BD"/>
    <w:rsid w:val="75A1125C"/>
    <w:rsid w:val="75A1188D"/>
    <w:rsid w:val="75A121ED"/>
    <w:rsid w:val="75A1363B"/>
    <w:rsid w:val="75A152AF"/>
    <w:rsid w:val="75A24B7B"/>
    <w:rsid w:val="75A26463"/>
    <w:rsid w:val="75A31161"/>
    <w:rsid w:val="75A3600B"/>
    <w:rsid w:val="75A4312B"/>
    <w:rsid w:val="75A44064"/>
    <w:rsid w:val="75A448CA"/>
    <w:rsid w:val="75A5160C"/>
    <w:rsid w:val="75A624BC"/>
    <w:rsid w:val="75A629FF"/>
    <w:rsid w:val="75A650F5"/>
    <w:rsid w:val="75A653D5"/>
    <w:rsid w:val="75A82C1C"/>
    <w:rsid w:val="75A872AC"/>
    <w:rsid w:val="75A90742"/>
    <w:rsid w:val="75A918E7"/>
    <w:rsid w:val="75A924F0"/>
    <w:rsid w:val="75A9396B"/>
    <w:rsid w:val="75AA2616"/>
    <w:rsid w:val="75AB44BA"/>
    <w:rsid w:val="75AB479D"/>
    <w:rsid w:val="75AB5DAD"/>
    <w:rsid w:val="75AB6268"/>
    <w:rsid w:val="75AC317E"/>
    <w:rsid w:val="75AC3F99"/>
    <w:rsid w:val="75AC49DD"/>
    <w:rsid w:val="75AC5198"/>
    <w:rsid w:val="75AC7E4B"/>
    <w:rsid w:val="75AD0232"/>
    <w:rsid w:val="75AD0300"/>
    <w:rsid w:val="75AD2E60"/>
    <w:rsid w:val="75AD3D8E"/>
    <w:rsid w:val="75AD666D"/>
    <w:rsid w:val="75AD797C"/>
    <w:rsid w:val="75AE3611"/>
    <w:rsid w:val="75AE7B06"/>
    <w:rsid w:val="75AF24B6"/>
    <w:rsid w:val="75AF58A5"/>
    <w:rsid w:val="75B02F99"/>
    <w:rsid w:val="75B0387E"/>
    <w:rsid w:val="75B20468"/>
    <w:rsid w:val="75B20FCF"/>
    <w:rsid w:val="75B24CB4"/>
    <w:rsid w:val="75B2702A"/>
    <w:rsid w:val="75B275F6"/>
    <w:rsid w:val="75B3511C"/>
    <w:rsid w:val="75B4336E"/>
    <w:rsid w:val="75B443BF"/>
    <w:rsid w:val="75B509E3"/>
    <w:rsid w:val="75B55338"/>
    <w:rsid w:val="75B570E6"/>
    <w:rsid w:val="75B60F47"/>
    <w:rsid w:val="75B62CBA"/>
    <w:rsid w:val="75B65A56"/>
    <w:rsid w:val="75B70153"/>
    <w:rsid w:val="75B710B1"/>
    <w:rsid w:val="75B72D40"/>
    <w:rsid w:val="75B74C0D"/>
    <w:rsid w:val="75B77D26"/>
    <w:rsid w:val="75B806CE"/>
    <w:rsid w:val="75B820F3"/>
    <w:rsid w:val="75B82733"/>
    <w:rsid w:val="75B83648"/>
    <w:rsid w:val="75B86DA1"/>
    <w:rsid w:val="75B90231"/>
    <w:rsid w:val="75B904F4"/>
    <w:rsid w:val="75B94196"/>
    <w:rsid w:val="75BA05B7"/>
    <w:rsid w:val="75BA294F"/>
    <w:rsid w:val="75BA46FD"/>
    <w:rsid w:val="75BA64AB"/>
    <w:rsid w:val="75BB3D91"/>
    <w:rsid w:val="75BC026A"/>
    <w:rsid w:val="75BC0475"/>
    <w:rsid w:val="75BC66C7"/>
    <w:rsid w:val="75BC6A0D"/>
    <w:rsid w:val="75BD0DA2"/>
    <w:rsid w:val="75BD1B94"/>
    <w:rsid w:val="75BD4F55"/>
    <w:rsid w:val="75BE100A"/>
    <w:rsid w:val="75BE243F"/>
    <w:rsid w:val="75BE3629"/>
    <w:rsid w:val="75BE41ED"/>
    <w:rsid w:val="75BE5F9B"/>
    <w:rsid w:val="75BE625B"/>
    <w:rsid w:val="75BE780E"/>
    <w:rsid w:val="75BF1D13"/>
    <w:rsid w:val="75BF3AC1"/>
    <w:rsid w:val="75BF65E4"/>
    <w:rsid w:val="75C13CDD"/>
    <w:rsid w:val="75C13E6A"/>
    <w:rsid w:val="75C147ED"/>
    <w:rsid w:val="75C17FAE"/>
    <w:rsid w:val="75C20707"/>
    <w:rsid w:val="75C25BD6"/>
    <w:rsid w:val="75C261D8"/>
    <w:rsid w:val="75C26CCB"/>
    <w:rsid w:val="75C27F9E"/>
    <w:rsid w:val="75C335B1"/>
    <w:rsid w:val="75C33C85"/>
    <w:rsid w:val="75C33EB4"/>
    <w:rsid w:val="75C34158"/>
    <w:rsid w:val="75C35F7A"/>
    <w:rsid w:val="75C37A55"/>
    <w:rsid w:val="75C45344"/>
    <w:rsid w:val="75C5187D"/>
    <w:rsid w:val="75C5557C"/>
    <w:rsid w:val="75C5675B"/>
    <w:rsid w:val="75C612F4"/>
    <w:rsid w:val="75C6178C"/>
    <w:rsid w:val="75C630A2"/>
    <w:rsid w:val="75C641AE"/>
    <w:rsid w:val="75C64841"/>
    <w:rsid w:val="75C74657"/>
    <w:rsid w:val="75C80BC8"/>
    <w:rsid w:val="75C8506C"/>
    <w:rsid w:val="75C94940"/>
    <w:rsid w:val="75CA0673"/>
    <w:rsid w:val="75CA0DE4"/>
    <w:rsid w:val="75CA2B92"/>
    <w:rsid w:val="75CA6AF7"/>
    <w:rsid w:val="75CA6FB5"/>
    <w:rsid w:val="75CB06B8"/>
    <w:rsid w:val="75CB3660"/>
    <w:rsid w:val="75CB3D87"/>
    <w:rsid w:val="75CB4B5C"/>
    <w:rsid w:val="75CB690A"/>
    <w:rsid w:val="75CC2F04"/>
    <w:rsid w:val="75CD321F"/>
    <w:rsid w:val="75CD5EA2"/>
    <w:rsid w:val="75CD61DE"/>
    <w:rsid w:val="75CE1209"/>
    <w:rsid w:val="75CE1F56"/>
    <w:rsid w:val="75CF2457"/>
    <w:rsid w:val="75CF58BE"/>
    <w:rsid w:val="75CF63FA"/>
    <w:rsid w:val="75D019B6"/>
    <w:rsid w:val="75D03F20"/>
    <w:rsid w:val="75D1061E"/>
    <w:rsid w:val="75D21089"/>
    <w:rsid w:val="75D266AE"/>
    <w:rsid w:val="75D27C98"/>
    <w:rsid w:val="75D30D10"/>
    <w:rsid w:val="75D315DC"/>
    <w:rsid w:val="75D31BFB"/>
    <w:rsid w:val="75D31EE3"/>
    <w:rsid w:val="75D36983"/>
    <w:rsid w:val="75D37451"/>
    <w:rsid w:val="75D41510"/>
    <w:rsid w:val="75D5113A"/>
    <w:rsid w:val="75D532E5"/>
    <w:rsid w:val="75D67759"/>
    <w:rsid w:val="75D67789"/>
    <w:rsid w:val="75D732ED"/>
    <w:rsid w:val="75D73501"/>
    <w:rsid w:val="75D752AF"/>
    <w:rsid w:val="75D75C92"/>
    <w:rsid w:val="75D7705D"/>
    <w:rsid w:val="75D81209"/>
    <w:rsid w:val="75D86AE0"/>
    <w:rsid w:val="75D91027"/>
    <w:rsid w:val="75D9208B"/>
    <w:rsid w:val="75D934E5"/>
    <w:rsid w:val="75DA0CAB"/>
    <w:rsid w:val="75DA22E9"/>
    <w:rsid w:val="75DA6B4D"/>
    <w:rsid w:val="75DB64B5"/>
    <w:rsid w:val="75DC0B17"/>
    <w:rsid w:val="75DC28C5"/>
    <w:rsid w:val="75DC563F"/>
    <w:rsid w:val="75DD0C1A"/>
    <w:rsid w:val="75DD0D71"/>
    <w:rsid w:val="75DD40E4"/>
    <w:rsid w:val="75DD4A5B"/>
    <w:rsid w:val="75DD619C"/>
    <w:rsid w:val="75DD6288"/>
    <w:rsid w:val="75DD628F"/>
    <w:rsid w:val="75E00C12"/>
    <w:rsid w:val="75E023B5"/>
    <w:rsid w:val="75E055F0"/>
    <w:rsid w:val="75E11C8A"/>
    <w:rsid w:val="75E141D7"/>
    <w:rsid w:val="75E17EDC"/>
    <w:rsid w:val="75E21B92"/>
    <w:rsid w:val="75E308FE"/>
    <w:rsid w:val="75E339AD"/>
    <w:rsid w:val="75E4177A"/>
    <w:rsid w:val="75E43528"/>
    <w:rsid w:val="75E567BC"/>
    <w:rsid w:val="75E579CC"/>
    <w:rsid w:val="75E63744"/>
    <w:rsid w:val="75E672A0"/>
    <w:rsid w:val="75E75781"/>
    <w:rsid w:val="75E7607E"/>
    <w:rsid w:val="75E8126A"/>
    <w:rsid w:val="75E83018"/>
    <w:rsid w:val="75E832AF"/>
    <w:rsid w:val="75E85738"/>
    <w:rsid w:val="75E874BC"/>
    <w:rsid w:val="75E9032C"/>
    <w:rsid w:val="75E90518"/>
    <w:rsid w:val="75E90DC4"/>
    <w:rsid w:val="75E938B6"/>
    <w:rsid w:val="75E93EAD"/>
    <w:rsid w:val="75EA2D6F"/>
    <w:rsid w:val="75EA3234"/>
    <w:rsid w:val="75EB0D5A"/>
    <w:rsid w:val="75EB2B08"/>
    <w:rsid w:val="75EC13AD"/>
    <w:rsid w:val="75EC1C9E"/>
    <w:rsid w:val="75ED2227"/>
    <w:rsid w:val="75ED59AB"/>
    <w:rsid w:val="75EE2171"/>
    <w:rsid w:val="75EE3701"/>
    <w:rsid w:val="75EE59E0"/>
    <w:rsid w:val="75EF25F8"/>
    <w:rsid w:val="75EF41F6"/>
    <w:rsid w:val="75F04BE7"/>
    <w:rsid w:val="75F052FA"/>
    <w:rsid w:val="75F145C2"/>
    <w:rsid w:val="75F15641"/>
    <w:rsid w:val="75F23E97"/>
    <w:rsid w:val="75F24764"/>
    <w:rsid w:val="75F25C45"/>
    <w:rsid w:val="75F32C15"/>
    <w:rsid w:val="75F34E3F"/>
    <w:rsid w:val="75F35BD2"/>
    <w:rsid w:val="75F36F0B"/>
    <w:rsid w:val="75F419BD"/>
    <w:rsid w:val="75F47C0F"/>
    <w:rsid w:val="75F61BD9"/>
    <w:rsid w:val="75F62292"/>
    <w:rsid w:val="75F64A3E"/>
    <w:rsid w:val="75F65139"/>
    <w:rsid w:val="75F70141"/>
    <w:rsid w:val="75F774E3"/>
    <w:rsid w:val="75F775B9"/>
    <w:rsid w:val="75F87339"/>
    <w:rsid w:val="75F87720"/>
    <w:rsid w:val="75F90EDD"/>
    <w:rsid w:val="75FA0295"/>
    <w:rsid w:val="75FA5E46"/>
    <w:rsid w:val="75FB71EF"/>
    <w:rsid w:val="75FC0B87"/>
    <w:rsid w:val="75FC2F67"/>
    <w:rsid w:val="75FC6E5B"/>
    <w:rsid w:val="75FD0F66"/>
    <w:rsid w:val="75FD3AF8"/>
    <w:rsid w:val="75FD6C16"/>
    <w:rsid w:val="75FD7CE1"/>
    <w:rsid w:val="75FE00A6"/>
    <w:rsid w:val="75FE0A8D"/>
    <w:rsid w:val="75FE283B"/>
    <w:rsid w:val="75FE2FA8"/>
    <w:rsid w:val="75FE42AB"/>
    <w:rsid w:val="75FE45EA"/>
    <w:rsid w:val="75FE6CDF"/>
    <w:rsid w:val="75FF0362"/>
    <w:rsid w:val="75FF672C"/>
    <w:rsid w:val="760035AB"/>
    <w:rsid w:val="76004806"/>
    <w:rsid w:val="76005CB5"/>
    <w:rsid w:val="7601057E"/>
    <w:rsid w:val="7601232C"/>
    <w:rsid w:val="76013E56"/>
    <w:rsid w:val="760140DA"/>
    <w:rsid w:val="76023F3E"/>
    <w:rsid w:val="7603556B"/>
    <w:rsid w:val="760360A4"/>
    <w:rsid w:val="76036776"/>
    <w:rsid w:val="76037E52"/>
    <w:rsid w:val="7604063D"/>
    <w:rsid w:val="76041BD9"/>
    <w:rsid w:val="760422F3"/>
    <w:rsid w:val="76051A12"/>
    <w:rsid w:val="76062B1F"/>
    <w:rsid w:val="76067942"/>
    <w:rsid w:val="76072D30"/>
    <w:rsid w:val="7607544F"/>
    <w:rsid w:val="7608190C"/>
    <w:rsid w:val="760836BA"/>
    <w:rsid w:val="7609780F"/>
    <w:rsid w:val="76097D6B"/>
    <w:rsid w:val="760A11E0"/>
    <w:rsid w:val="760A5684"/>
    <w:rsid w:val="760A5A1E"/>
    <w:rsid w:val="760A7B8A"/>
    <w:rsid w:val="760B12BE"/>
    <w:rsid w:val="760C0F69"/>
    <w:rsid w:val="760C31AA"/>
    <w:rsid w:val="760C5361"/>
    <w:rsid w:val="760D004E"/>
    <w:rsid w:val="760D2A7F"/>
    <w:rsid w:val="760D3AD9"/>
    <w:rsid w:val="760D6F22"/>
    <w:rsid w:val="760E4ACF"/>
    <w:rsid w:val="760E5962"/>
    <w:rsid w:val="760F2C9B"/>
    <w:rsid w:val="760F4A49"/>
    <w:rsid w:val="760F52A5"/>
    <w:rsid w:val="76100FC1"/>
    <w:rsid w:val="7610256F"/>
    <w:rsid w:val="76102C40"/>
    <w:rsid w:val="76103A5F"/>
    <w:rsid w:val="7610431D"/>
    <w:rsid w:val="761058A1"/>
    <w:rsid w:val="76116A13"/>
    <w:rsid w:val="76117CEB"/>
    <w:rsid w:val="76126042"/>
    <w:rsid w:val="761262E7"/>
    <w:rsid w:val="761402B1"/>
    <w:rsid w:val="7614205F"/>
    <w:rsid w:val="76142D42"/>
    <w:rsid w:val="7614315C"/>
    <w:rsid w:val="761505A1"/>
    <w:rsid w:val="76157814"/>
    <w:rsid w:val="76157B85"/>
    <w:rsid w:val="76164029"/>
    <w:rsid w:val="76170DCC"/>
    <w:rsid w:val="7617607C"/>
    <w:rsid w:val="761762BD"/>
    <w:rsid w:val="761808C1"/>
    <w:rsid w:val="76184D40"/>
    <w:rsid w:val="761865B3"/>
    <w:rsid w:val="76187F2E"/>
    <w:rsid w:val="76191423"/>
    <w:rsid w:val="76193959"/>
    <w:rsid w:val="7619671C"/>
    <w:rsid w:val="76197675"/>
    <w:rsid w:val="761A356D"/>
    <w:rsid w:val="761A4E2E"/>
    <w:rsid w:val="761A5220"/>
    <w:rsid w:val="761B163F"/>
    <w:rsid w:val="761B33ED"/>
    <w:rsid w:val="761C209B"/>
    <w:rsid w:val="761C5A2D"/>
    <w:rsid w:val="761C7166"/>
    <w:rsid w:val="761D2CD5"/>
    <w:rsid w:val="761E2EDE"/>
    <w:rsid w:val="761E4ABF"/>
    <w:rsid w:val="761E4C8C"/>
    <w:rsid w:val="761F007B"/>
    <w:rsid w:val="76200A04"/>
    <w:rsid w:val="76203C5A"/>
    <w:rsid w:val="76206C56"/>
    <w:rsid w:val="76207A77"/>
    <w:rsid w:val="76212261"/>
    <w:rsid w:val="762229CE"/>
    <w:rsid w:val="76224A60"/>
    <w:rsid w:val="762251E3"/>
    <w:rsid w:val="76231B42"/>
    <w:rsid w:val="762322A2"/>
    <w:rsid w:val="76236746"/>
    <w:rsid w:val="76236B63"/>
    <w:rsid w:val="76241DC1"/>
    <w:rsid w:val="76244030"/>
    <w:rsid w:val="76247D85"/>
    <w:rsid w:val="7625426C"/>
    <w:rsid w:val="7625601A"/>
    <w:rsid w:val="76257DC8"/>
    <w:rsid w:val="76261D92"/>
    <w:rsid w:val="76263B40"/>
    <w:rsid w:val="7627393D"/>
    <w:rsid w:val="7628238A"/>
    <w:rsid w:val="76283D5C"/>
    <w:rsid w:val="76284548"/>
    <w:rsid w:val="76285B0A"/>
    <w:rsid w:val="762964EE"/>
    <w:rsid w:val="762A3631"/>
    <w:rsid w:val="762A4A51"/>
    <w:rsid w:val="762B5982"/>
    <w:rsid w:val="762B73A9"/>
    <w:rsid w:val="762C2BBD"/>
    <w:rsid w:val="762C3096"/>
    <w:rsid w:val="762C55FB"/>
    <w:rsid w:val="762C64BB"/>
    <w:rsid w:val="762D19E3"/>
    <w:rsid w:val="762D4B20"/>
    <w:rsid w:val="762D4ECF"/>
    <w:rsid w:val="762E16DC"/>
    <w:rsid w:val="762E2E73"/>
    <w:rsid w:val="762E464F"/>
    <w:rsid w:val="762E6728"/>
    <w:rsid w:val="762E7530"/>
    <w:rsid w:val="762F0C47"/>
    <w:rsid w:val="762F50EB"/>
    <w:rsid w:val="7630676D"/>
    <w:rsid w:val="763077AC"/>
    <w:rsid w:val="76312C11"/>
    <w:rsid w:val="763149BF"/>
    <w:rsid w:val="76315255"/>
    <w:rsid w:val="76317661"/>
    <w:rsid w:val="76320737"/>
    <w:rsid w:val="76325F3D"/>
    <w:rsid w:val="76332EBE"/>
    <w:rsid w:val="7633639C"/>
    <w:rsid w:val="763371CB"/>
    <w:rsid w:val="763408D8"/>
    <w:rsid w:val="7635099D"/>
    <w:rsid w:val="76361897"/>
    <w:rsid w:val="76361FD5"/>
    <w:rsid w:val="763641D6"/>
    <w:rsid w:val="76366479"/>
    <w:rsid w:val="76370F0D"/>
    <w:rsid w:val="76375D4D"/>
    <w:rsid w:val="76377102"/>
    <w:rsid w:val="76377AFB"/>
    <w:rsid w:val="7638098B"/>
    <w:rsid w:val="763866CB"/>
    <w:rsid w:val="76391AC6"/>
    <w:rsid w:val="76391D49"/>
    <w:rsid w:val="76392B57"/>
    <w:rsid w:val="76395437"/>
    <w:rsid w:val="76396CC2"/>
    <w:rsid w:val="76397D18"/>
    <w:rsid w:val="763A1AA1"/>
    <w:rsid w:val="763A1D29"/>
    <w:rsid w:val="763A6FA4"/>
    <w:rsid w:val="763A78B0"/>
    <w:rsid w:val="763B3A90"/>
    <w:rsid w:val="763B70FF"/>
    <w:rsid w:val="763B7C4E"/>
    <w:rsid w:val="763C15B6"/>
    <w:rsid w:val="763C3364"/>
    <w:rsid w:val="763C5112"/>
    <w:rsid w:val="763D14D8"/>
    <w:rsid w:val="763D32E9"/>
    <w:rsid w:val="763D7808"/>
    <w:rsid w:val="763E081F"/>
    <w:rsid w:val="763E0E8A"/>
    <w:rsid w:val="763E2968"/>
    <w:rsid w:val="763E2F56"/>
    <w:rsid w:val="763E536C"/>
    <w:rsid w:val="764010A6"/>
    <w:rsid w:val="76404C02"/>
    <w:rsid w:val="76405656"/>
    <w:rsid w:val="7641097A"/>
    <w:rsid w:val="76411C10"/>
    <w:rsid w:val="76411D90"/>
    <w:rsid w:val="7641206B"/>
    <w:rsid w:val="76423EBA"/>
    <w:rsid w:val="76424E1E"/>
    <w:rsid w:val="76430229"/>
    <w:rsid w:val="76432944"/>
    <w:rsid w:val="76432E21"/>
    <w:rsid w:val="76433CA8"/>
    <w:rsid w:val="764355B4"/>
    <w:rsid w:val="764364A0"/>
    <w:rsid w:val="7645046A"/>
    <w:rsid w:val="7645596F"/>
    <w:rsid w:val="764566BC"/>
    <w:rsid w:val="76463052"/>
    <w:rsid w:val="76463E9C"/>
    <w:rsid w:val="76465F91"/>
    <w:rsid w:val="76467051"/>
    <w:rsid w:val="76472434"/>
    <w:rsid w:val="76480EDA"/>
    <w:rsid w:val="76481278"/>
    <w:rsid w:val="76481D09"/>
    <w:rsid w:val="764861AD"/>
    <w:rsid w:val="764865EB"/>
    <w:rsid w:val="76487F5B"/>
    <w:rsid w:val="764922AA"/>
    <w:rsid w:val="764928A0"/>
    <w:rsid w:val="764A0F0B"/>
    <w:rsid w:val="764A5A81"/>
    <w:rsid w:val="764B2BE6"/>
    <w:rsid w:val="764B30E2"/>
    <w:rsid w:val="764B35A7"/>
    <w:rsid w:val="764B3BF3"/>
    <w:rsid w:val="764B4FE9"/>
    <w:rsid w:val="764B7633"/>
    <w:rsid w:val="764C2B9C"/>
    <w:rsid w:val="764C64A5"/>
    <w:rsid w:val="764C7A4B"/>
    <w:rsid w:val="764D1D92"/>
    <w:rsid w:val="764D37C3"/>
    <w:rsid w:val="764D4B5E"/>
    <w:rsid w:val="764D5571"/>
    <w:rsid w:val="764D587F"/>
    <w:rsid w:val="764F1189"/>
    <w:rsid w:val="764F3097"/>
    <w:rsid w:val="764F32E3"/>
    <w:rsid w:val="764F38ED"/>
    <w:rsid w:val="764F753B"/>
    <w:rsid w:val="7650256E"/>
    <w:rsid w:val="76515061"/>
    <w:rsid w:val="76520CCA"/>
    <w:rsid w:val="7652226E"/>
    <w:rsid w:val="76522B87"/>
    <w:rsid w:val="76525B1A"/>
    <w:rsid w:val="76527081"/>
    <w:rsid w:val="76530E88"/>
    <w:rsid w:val="765336FE"/>
    <w:rsid w:val="76545884"/>
    <w:rsid w:val="765608C9"/>
    <w:rsid w:val="765661D4"/>
    <w:rsid w:val="765717AA"/>
    <w:rsid w:val="76571F4C"/>
    <w:rsid w:val="76572D3C"/>
    <w:rsid w:val="76574C50"/>
    <w:rsid w:val="76577B38"/>
    <w:rsid w:val="76585097"/>
    <w:rsid w:val="765860DF"/>
    <w:rsid w:val="765863F0"/>
    <w:rsid w:val="76591431"/>
    <w:rsid w:val="7659281B"/>
    <w:rsid w:val="76595CC4"/>
    <w:rsid w:val="765A4BD0"/>
    <w:rsid w:val="765B1E90"/>
    <w:rsid w:val="765B2799"/>
    <w:rsid w:val="765B2F7D"/>
    <w:rsid w:val="765B5EE0"/>
    <w:rsid w:val="765B7C8E"/>
    <w:rsid w:val="765C6A8D"/>
    <w:rsid w:val="765C734D"/>
    <w:rsid w:val="765C7557"/>
    <w:rsid w:val="765E152C"/>
    <w:rsid w:val="765E32DA"/>
    <w:rsid w:val="765F131E"/>
    <w:rsid w:val="765F1FA9"/>
    <w:rsid w:val="766034F6"/>
    <w:rsid w:val="766052A4"/>
    <w:rsid w:val="76605D02"/>
    <w:rsid w:val="76607052"/>
    <w:rsid w:val="766157B4"/>
    <w:rsid w:val="7662101C"/>
    <w:rsid w:val="7662372F"/>
    <w:rsid w:val="7662380B"/>
    <w:rsid w:val="7662726E"/>
    <w:rsid w:val="766321F8"/>
    <w:rsid w:val="76633D26"/>
    <w:rsid w:val="76636B42"/>
    <w:rsid w:val="76637A2B"/>
    <w:rsid w:val="766534E5"/>
    <w:rsid w:val="76654669"/>
    <w:rsid w:val="76663F65"/>
    <w:rsid w:val="76664476"/>
    <w:rsid w:val="766726EC"/>
    <w:rsid w:val="76674885"/>
    <w:rsid w:val="76676633"/>
    <w:rsid w:val="76685F07"/>
    <w:rsid w:val="766905FD"/>
    <w:rsid w:val="76692BEC"/>
    <w:rsid w:val="766935D1"/>
    <w:rsid w:val="76696CC0"/>
    <w:rsid w:val="766A04F5"/>
    <w:rsid w:val="766A1C30"/>
    <w:rsid w:val="766A6123"/>
    <w:rsid w:val="766A70CA"/>
    <w:rsid w:val="766C1E9B"/>
    <w:rsid w:val="766C3F04"/>
    <w:rsid w:val="766C5328"/>
    <w:rsid w:val="766C74EB"/>
    <w:rsid w:val="766D79C1"/>
    <w:rsid w:val="766E1852"/>
    <w:rsid w:val="766E5C13"/>
    <w:rsid w:val="766F2A88"/>
    <w:rsid w:val="766F41A4"/>
    <w:rsid w:val="766F54E7"/>
    <w:rsid w:val="766F7295"/>
    <w:rsid w:val="7670020D"/>
    <w:rsid w:val="767103C8"/>
    <w:rsid w:val="7671495D"/>
    <w:rsid w:val="76717217"/>
    <w:rsid w:val="76717A07"/>
    <w:rsid w:val="76721858"/>
    <w:rsid w:val="76726D86"/>
    <w:rsid w:val="76734162"/>
    <w:rsid w:val="767356D8"/>
    <w:rsid w:val="7673588A"/>
    <w:rsid w:val="76743903"/>
    <w:rsid w:val="7674659E"/>
    <w:rsid w:val="76752898"/>
    <w:rsid w:val="76755608"/>
    <w:rsid w:val="767573DC"/>
    <w:rsid w:val="76761A45"/>
    <w:rsid w:val="76764AC8"/>
    <w:rsid w:val="76765F68"/>
    <w:rsid w:val="76766876"/>
    <w:rsid w:val="76767F28"/>
    <w:rsid w:val="767713FD"/>
    <w:rsid w:val="7677439C"/>
    <w:rsid w:val="76776F30"/>
    <w:rsid w:val="767825EE"/>
    <w:rsid w:val="76782D47"/>
    <w:rsid w:val="76785955"/>
    <w:rsid w:val="76786071"/>
    <w:rsid w:val="76791A57"/>
    <w:rsid w:val="767945B8"/>
    <w:rsid w:val="76794708"/>
    <w:rsid w:val="76795419"/>
    <w:rsid w:val="767958D9"/>
    <w:rsid w:val="767B20DE"/>
    <w:rsid w:val="767B3E8C"/>
    <w:rsid w:val="767B404B"/>
    <w:rsid w:val="767B46D4"/>
    <w:rsid w:val="767B6D10"/>
    <w:rsid w:val="767C19B2"/>
    <w:rsid w:val="767C3112"/>
    <w:rsid w:val="767C3D9A"/>
    <w:rsid w:val="767C7819"/>
    <w:rsid w:val="767D1D2E"/>
    <w:rsid w:val="767D7C04"/>
    <w:rsid w:val="767E1BCE"/>
    <w:rsid w:val="767E2E6C"/>
    <w:rsid w:val="767F128B"/>
    <w:rsid w:val="767F3B39"/>
    <w:rsid w:val="76800EE8"/>
    <w:rsid w:val="76805946"/>
    <w:rsid w:val="76806B01"/>
    <w:rsid w:val="7681300E"/>
    <w:rsid w:val="76813BAB"/>
    <w:rsid w:val="76816FC9"/>
    <w:rsid w:val="7682521B"/>
    <w:rsid w:val="76827C0C"/>
    <w:rsid w:val="76830F93"/>
    <w:rsid w:val="768327DD"/>
    <w:rsid w:val="768371E5"/>
    <w:rsid w:val="76840350"/>
    <w:rsid w:val="7684079A"/>
    <w:rsid w:val="7684657A"/>
    <w:rsid w:val="76854D0B"/>
    <w:rsid w:val="76856B91"/>
    <w:rsid w:val="76860519"/>
    <w:rsid w:val="76865DBE"/>
    <w:rsid w:val="76872831"/>
    <w:rsid w:val="76875356"/>
    <w:rsid w:val="76880F39"/>
    <w:rsid w:val="7688705F"/>
    <w:rsid w:val="76893F42"/>
    <w:rsid w:val="768947FB"/>
    <w:rsid w:val="76895F2E"/>
    <w:rsid w:val="7689694D"/>
    <w:rsid w:val="768A2321"/>
    <w:rsid w:val="768A639E"/>
    <w:rsid w:val="768B23FF"/>
    <w:rsid w:val="768B4DD1"/>
    <w:rsid w:val="768C0891"/>
    <w:rsid w:val="768C30A3"/>
    <w:rsid w:val="768C42EB"/>
    <w:rsid w:val="768C6099"/>
    <w:rsid w:val="768E0063"/>
    <w:rsid w:val="768F16E6"/>
    <w:rsid w:val="768F5476"/>
    <w:rsid w:val="768F7938"/>
    <w:rsid w:val="769106A7"/>
    <w:rsid w:val="76914B30"/>
    <w:rsid w:val="76914DF4"/>
    <w:rsid w:val="7691545E"/>
    <w:rsid w:val="76916271"/>
    <w:rsid w:val="76923EF7"/>
    <w:rsid w:val="76930B82"/>
    <w:rsid w:val="769322EE"/>
    <w:rsid w:val="7693293B"/>
    <w:rsid w:val="76937428"/>
    <w:rsid w:val="769413F2"/>
    <w:rsid w:val="76941E6C"/>
    <w:rsid w:val="76947F6B"/>
    <w:rsid w:val="76951717"/>
    <w:rsid w:val="76951A95"/>
    <w:rsid w:val="76960CC6"/>
    <w:rsid w:val="76965B16"/>
    <w:rsid w:val="76966F18"/>
    <w:rsid w:val="769671DB"/>
    <w:rsid w:val="7697011E"/>
    <w:rsid w:val="769767EC"/>
    <w:rsid w:val="769819ED"/>
    <w:rsid w:val="76982C90"/>
    <w:rsid w:val="76992564"/>
    <w:rsid w:val="769A1F95"/>
    <w:rsid w:val="769A5740"/>
    <w:rsid w:val="769A5E93"/>
    <w:rsid w:val="769A6A08"/>
    <w:rsid w:val="769A787A"/>
    <w:rsid w:val="769B008A"/>
    <w:rsid w:val="769B04D6"/>
    <w:rsid w:val="769B452E"/>
    <w:rsid w:val="769B45AD"/>
    <w:rsid w:val="769C11B2"/>
    <w:rsid w:val="769C1D7B"/>
    <w:rsid w:val="769C3384"/>
    <w:rsid w:val="769C6B69"/>
    <w:rsid w:val="769D2054"/>
    <w:rsid w:val="769D7AD8"/>
    <w:rsid w:val="769E443C"/>
    <w:rsid w:val="769E5DCD"/>
    <w:rsid w:val="769E68B0"/>
    <w:rsid w:val="769E6BD1"/>
    <w:rsid w:val="769E73E4"/>
    <w:rsid w:val="769F1D04"/>
    <w:rsid w:val="769F401E"/>
    <w:rsid w:val="76A01B45"/>
    <w:rsid w:val="76A01B50"/>
    <w:rsid w:val="76A15D30"/>
    <w:rsid w:val="76A20086"/>
    <w:rsid w:val="76A20E1E"/>
    <w:rsid w:val="76A2431D"/>
    <w:rsid w:val="76A24DAF"/>
    <w:rsid w:val="76A258BD"/>
    <w:rsid w:val="76A30685"/>
    <w:rsid w:val="76A333E3"/>
    <w:rsid w:val="76A34FE3"/>
    <w:rsid w:val="76A35191"/>
    <w:rsid w:val="76A36213"/>
    <w:rsid w:val="76A36DB4"/>
    <w:rsid w:val="76A4009B"/>
    <w:rsid w:val="76A41635"/>
    <w:rsid w:val="76A45F84"/>
    <w:rsid w:val="76A46CC8"/>
    <w:rsid w:val="76A50F09"/>
    <w:rsid w:val="76A51DDD"/>
    <w:rsid w:val="76A53E71"/>
    <w:rsid w:val="76A553AD"/>
    <w:rsid w:val="76A5715B"/>
    <w:rsid w:val="76A6375C"/>
    <w:rsid w:val="76A71125"/>
    <w:rsid w:val="76A72ED3"/>
    <w:rsid w:val="76A85584"/>
    <w:rsid w:val="76A85B9C"/>
    <w:rsid w:val="76A93F50"/>
    <w:rsid w:val="76A96AA8"/>
    <w:rsid w:val="76A96C4B"/>
    <w:rsid w:val="76AA29C3"/>
    <w:rsid w:val="76AA406C"/>
    <w:rsid w:val="76AA5E7C"/>
    <w:rsid w:val="76AA651F"/>
    <w:rsid w:val="76AB5A3B"/>
    <w:rsid w:val="76AB6FB1"/>
    <w:rsid w:val="76AC2297"/>
    <w:rsid w:val="76AC735D"/>
    <w:rsid w:val="76AD0A9C"/>
    <w:rsid w:val="76AD371C"/>
    <w:rsid w:val="76AD4A02"/>
    <w:rsid w:val="76AE16A9"/>
    <w:rsid w:val="76AE24B4"/>
    <w:rsid w:val="76AE2693"/>
    <w:rsid w:val="76AE3643"/>
    <w:rsid w:val="76AE5B51"/>
    <w:rsid w:val="76AE6010"/>
    <w:rsid w:val="76AE70EE"/>
    <w:rsid w:val="76AF2244"/>
    <w:rsid w:val="76AF3B36"/>
    <w:rsid w:val="76AF3ECD"/>
    <w:rsid w:val="76AF5D16"/>
    <w:rsid w:val="76AF68FE"/>
    <w:rsid w:val="76AF724C"/>
    <w:rsid w:val="76AF7FDA"/>
    <w:rsid w:val="76B13D52"/>
    <w:rsid w:val="76B14119"/>
    <w:rsid w:val="76B15B00"/>
    <w:rsid w:val="76B178AE"/>
    <w:rsid w:val="76B211FE"/>
    <w:rsid w:val="76B255A9"/>
    <w:rsid w:val="76B2766F"/>
    <w:rsid w:val="76B32968"/>
    <w:rsid w:val="76B34480"/>
    <w:rsid w:val="76B40DE1"/>
    <w:rsid w:val="76B4114C"/>
    <w:rsid w:val="76B455F0"/>
    <w:rsid w:val="76B4739E"/>
    <w:rsid w:val="76B57495"/>
    <w:rsid w:val="76B61368"/>
    <w:rsid w:val="76B63116"/>
    <w:rsid w:val="76B63913"/>
    <w:rsid w:val="76B64EC4"/>
    <w:rsid w:val="76B723FF"/>
    <w:rsid w:val="76B75AA2"/>
    <w:rsid w:val="76B76D6E"/>
    <w:rsid w:val="76B77F6C"/>
    <w:rsid w:val="76B80C3C"/>
    <w:rsid w:val="76B81DEC"/>
    <w:rsid w:val="76B86E8E"/>
    <w:rsid w:val="76B928CA"/>
    <w:rsid w:val="76B92C06"/>
    <w:rsid w:val="76B9436E"/>
    <w:rsid w:val="76B949B4"/>
    <w:rsid w:val="76BA3D3B"/>
    <w:rsid w:val="76BA547C"/>
    <w:rsid w:val="76BA616D"/>
    <w:rsid w:val="76BA6CD2"/>
    <w:rsid w:val="76BB24DB"/>
    <w:rsid w:val="76BC3EBD"/>
    <w:rsid w:val="76BD1E41"/>
    <w:rsid w:val="76BD29B3"/>
    <w:rsid w:val="76BD44A5"/>
    <w:rsid w:val="76BD6253"/>
    <w:rsid w:val="76BE140E"/>
    <w:rsid w:val="76BF021D"/>
    <w:rsid w:val="76BF646F"/>
    <w:rsid w:val="76C02611"/>
    <w:rsid w:val="76C10D84"/>
    <w:rsid w:val="76C13C0E"/>
    <w:rsid w:val="76C17AC3"/>
    <w:rsid w:val="76C20467"/>
    <w:rsid w:val="76C2320A"/>
    <w:rsid w:val="76C23768"/>
    <w:rsid w:val="76C23869"/>
    <w:rsid w:val="76C30F80"/>
    <w:rsid w:val="76C37C6F"/>
    <w:rsid w:val="76C4494D"/>
    <w:rsid w:val="76C4692C"/>
    <w:rsid w:val="76C47B5C"/>
    <w:rsid w:val="76C530C2"/>
    <w:rsid w:val="76C54F44"/>
    <w:rsid w:val="76C64558"/>
    <w:rsid w:val="76C64EAF"/>
    <w:rsid w:val="76C6687F"/>
    <w:rsid w:val="76C7496C"/>
    <w:rsid w:val="76C75323"/>
    <w:rsid w:val="76C770D1"/>
    <w:rsid w:val="76C810F6"/>
    <w:rsid w:val="76C8263C"/>
    <w:rsid w:val="76C923A0"/>
    <w:rsid w:val="76C9709A"/>
    <w:rsid w:val="76CA0970"/>
    <w:rsid w:val="76CA4E14"/>
    <w:rsid w:val="76CB3187"/>
    <w:rsid w:val="76CC0B8C"/>
    <w:rsid w:val="76CC0D21"/>
    <w:rsid w:val="76CD04AB"/>
    <w:rsid w:val="76CD220E"/>
    <w:rsid w:val="76CD67DA"/>
    <w:rsid w:val="76CE094A"/>
    <w:rsid w:val="76CE66B2"/>
    <w:rsid w:val="76CF5F86"/>
    <w:rsid w:val="76CF6732"/>
    <w:rsid w:val="76CF7F0B"/>
    <w:rsid w:val="76D04E70"/>
    <w:rsid w:val="76D1198E"/>
    <w:rsid w:val="76D17384"/>
    <w:rsid w:val="76D17F50"/>
    <w:rsid w:val="76D2131C"/>
    <w:rsid w:val="76D24066"/>
    <w:rsid w:val="76D244C1"/>
    <w:rsid w:val="76D31F1A"/>
    <w:rsid w:val="76D33CC8"/>
    <w:rsid w:val="76D33CEA"/>
    <w:rsid w:val="76D40BF4"/>
    <w:rsid w:val="76D417EE"/>
    <w:rsid w:val="76D44A02"/>
    <w:rsid w:val="76D46A2F"/>
    <w:rsid w:val="76D54E73"/>
    <w:rsid w:val="76D6490B"/>
    <w:rsid w:val="76D64A46"/>
    <w:rsid w:val="76D65566"/>
    <w:rsid w:val="76D67314"/>
    <w:rsid w:val="76D77575"/>
    <w:rsid w:val="76D8069B"/>
    <w:rsid w:val="76D812DE"/>
    <w:rsid w:val="76DA32A9"/>
    <w:rsid w:val="76DA5EF6"/>
    <w:rsid w:val="76DA618C"/>
    <w:rsid w:val="76DB0DCF"/>
    <w:rsid w:val="76DB1E0E"/>
    <w:rsid w:val="76DB3D0E"/>
    <w:rsid w:val="76DB47B5"/>
    <w:rsid w:val="76DB492B"/>
    <w:rsid w:val="76DB4C87"/>
    <w:rsid w:val="76DB72D3"/>
    <w:rsid w:val="76DC5C45"/>
    <w:rsid w:val="76DC7E77"/>
    <w:rsid w:val="76DD06A3"/>
    <w:rsid w:val="76DD2CF8"/>
    <w:rsid w:val="76DD4B47"/>
    <w:rsid w:val="76DD681E"/>
    <w:rsid w:val="76DF1D88"/>
    <w:rsid w:val="76DF266D"/>
    <w:rsid w:val="76DF4620"/>
    <w:rsid w:val="76DF5D07"/>
    <w:rsid w:val="76DF7E80"/>
    <w:rsid w:val="76E01F41"/>
    <w:rsid w:val="76E07197"/>
    <w:rsid w:val="76E20871"/>
    <w:rsid w:val="76E217D8"/>
    <w:rsid w:val="76E22866"/>
    <w:rsid w:val="76E22F20"/>
    <w:rsid w:val="76E25746"/>
    <w:rsid w:val="76E25CB9"/>
    <w:rsid w:val="76E2609B"/>
    <w:rsid w:val="76E41A31"/>
    <w:rsid w:val="76E45845"/>
    <w:rsid w:val="76E463E5"/>
    <w:rsid w:val="76E46FA8"/>
    <w:rsid w:val="76E47C83"/>
    <w:rsid w:val="76E557A9"/>
    <w:rsid w:val="76E5605C"/>
    <w:rsid w:val="76E71522"/>
    <w:rsid w:val="76E75D40"/>
    <w:rsid w:val="76E77696"/>
    <w:rsid w:val="76E77774"/>
    <w:rsid w:val="76E80BBD"/>
    <w:rsid w:val="76E84FD8"/>
    <w:rsid w:val="76E8508B"/>
    <w:rsid w:val="76E904BC"/>
    <w:rsid w:val="76E9529A"/>
    <w:rsid w:val="76E96109"/>
    <w:rsid w:val="76E97048"/>
    <w:rsid w:val="76EA1012"/>
    <w:rsid w:val="76EA3112"/>
    <w:rsid w:val="76EA5275"/>
    <w:rsid w:val="76EA7819"/>
    <w:rsid w:val="76EB1505"/>
    <w:rsid w:val="76EB38DB"/>
    <w:rsid w:val="76EC08E6"/>
    <w:rsid w:val="76EC35A6"/>
    <w:rsid w:val="76EC4BF9"/>
    <w:rsid w:val="76EC6B38"/>
    <w:rsid w:val="76ED08C1"/>
    <w:rsid w:val="76ED4304"/>
    <w:rsid w:val="76EE0B02"/>
    <w:rsid w:val="76EF4421"/>
    <w:rsid w:val="76EF47B1"/>
    <w:rsid w:val="76EF6628"/>
    <w:rsid w:val="76F0487A"/>
    <w:rsid w:val="76F04965"/>
    <w:rsid w:val="76F105F2"/>
    <w:rsid w:val="76F10728"/>
    <w:rsid w:val="76F1130B"/>
    <w:rsid w:val="76F11BD0"/>
    <w:rsid w:val="76F150A2"/>
    <w:rsid w:val="76F1721F"/>
    <w:rsid w:val="76F2417D"/>
    <w:rsid w:val="76F31C74"/>
    <w:rsid w:val="76F32CB4"/>
    <w:rsid w:val="76F33935"/>
    <w:rsid w:val="76F373E4"/>
    <w:rsid w:val="76F37EC6"/>
    <w:rsid w:val="76F37F09"/>
    <w:rsid w:val="76F4164B"/>
    <w:rsid w:val="76F51E90"/>
    <w:rsid w:val="76F529B8"/>
    <w:rsid w:val="76F53C3E"/>
    <w:rsid w:val="76F55AFE"/>
    <w:rsid w:val="76F60146"/>
    <w:rsid w:val="76F603C6"/>
    <w:rsid w:val="76F61765"/>
    <w:rsid w:val="76F628F8"/>
    <w:rsid w:val="76F65C09"/>
    <w:rsid w:val="76F73DA7"/>
    <w:rsid w:val="76F8372F"/>
    <w:rsid w:val="76F854DD"/>
    <w:rsid w:val="76F87726"/>
    <w:rsid w:val="76F9147F"/>
    <w:rsid w:val="76F93003"/>
    <w:rsid w:val="76FA1255"/>
    <w:rsid w:val="76FA38FF"/>
    <w:rsid w:val="76FA3D9F"/>
    <w:rsid w:val="76FA74A7"/>
    <w:rsid w:val="76FB10D2"/>
    <w:rsid w:val="76FB368F"/>
    <w:rsid w:val="76FB6D7B"/>
    <w:rsid w:val="76FC1DDC"/>
    <w:rsid w:val="76FC3B74"/>
    <w:rsid w:val="76FC3BE4"/>
    <w:rsid w:val="76FD2AF3"/>
    <w:rsid w:val="76FD2D97"/>
    <w:rsid w:val="76FD6F97"/>
    <w:rsid w:val="76FD7B4F"/>
    <w:rsid w:val="76FE0FDF"/>
    <w:rsid w:val="76FE10CA"/>
    <w:rsid w:val="76FF2BE8"/>
    <w:rsid w:val="76FF686B"/>
    <w:rsid w:val="770040E7"/>
    <w:rsid w:val="77005040"/>
    <w:rsid w:val="77006603"/>
    <w:rsid w:val="77007A09"/>
    <w:rsid w:val="77007C11"/>
    <w:rsid w:val="770110A1"/>
    <w:rsid w:val="77011440"/>
    <w:rsid w:val="77013CC2"/>
    <w:rsid w:val="77017471"/>
    <w:rsid w:val="77020109"/>
    <w:rsid w:val="77022531"/>
    <w:rsid w:val="77024447"/>
    <w:rsid w:val="770245AD"/>
    <w:rsid w:val="7702635B"/>
    <w:rsid w:val="7702755A"/>
    <w:rsid w:val="77031CCE"/>
    <w:rsid w:val="77035102"/>
    <w:rsid w:val="770420D4"/>
    <w:rsid w:val="77043E82"/>
    <w:rsid w:val="770519A8"/>
    <w:rsid w:val="77056F4D"/>
    <w:rsid w:val="7706409E"/>
    <w:rsid w:val="77065E4C"/>
    <w:rsid w:val="77070172"/>
    <w:rsid w:val="77072BFF"/>
    <w:rsid w:val="77075720"/>
    <w:rsid w:val="77083B24"/>
    <w:rsid w:val="77084C62"/>
    <w:rsid w:val="77086156"/>
    <w:rsid w:val="77087D19"/>
    <w:rsid w:val="77091498"/>
    <w:rsid w:val="77097080"/>
    <w:rsid w:val="770977BF"/>
    <w:rsid w:val="770B0473"/>
    <w:rsid w:val="770B16B4"/>
    <w:rsid w:val="770B3462"/>
    <w:rsid w:val="770C0F88"/>
    <w:rsid w:val="770C1883"/>
    <w:rsid w:val="770C41A6"/>
    <w:rsid w:val="770D5F29"/>
    <w:rsid w:val="770D7568"/>
    <w:rsid w:val="770E2F52"/>
    <w:rsid w:val="770E508F"/>
    <w:rsid w:val="770E5294"/>
    <w:rsid w:val="770F0C38"/>
    <w:rsid w:val="770F1B52"/>
    <w:rsid w:val="770F2826"/>
    <w:rsid w:val="770F623A"/>
    <w:rsid w:val="77106CCA"/>
    <w:rsid w:val="771072C1"/>
    <w:rsid w:val="77112A42"/>
    <w:rsid w:val="7711659E"/>
    <w:rsid w:val="77117524"/>
    <w:rsid w:val="77130569"/>
    <w:rsid w:val="7713296A"/>
    <w:rsid w:val="77140350"/>
    <w:rsid w:val="771434BB"/>
    <w:rsid w:val="771508A0"/>
    <w:rsid w:val="771509A7"/>
    <w:rsid w:val="7715201F"/>
    <w:rsid w:val="771542E1"/>
    <w:rsid w:val="7715515E"/>
    <w:rsid w:val="7715521D"/>
    <w:rsid w:val="7715608F"/>
    <w:rsid w:val="77161E07"/>
    <w:rsid w:val="77167266"/>
    <w:rsid w:val="771676EB"/>
    <w:rsid w:val="771816DB"/>
    <w:rsid w:val="77181D8C"/>
    <w:rsid w:val="77183DD1"/>
    <w:rsid w:val="77185E98"/>
    <w:rsid w:val="7718792D"/>
    <w:rsid w:val="77190E8F"/>
    <w:rsid w:val="77193289"/>
    <w:rsid w:val="77197802"/>
    <w:rsid w:val="771A07B8"/>
    <w:rsid w:val="771A18F7"/>
    <w:rsid w:val="771B3EF6"/>
    <w:rsid w:val="771B4819"/>
    <w:rsid w:val="771B741D"/>
    <w:rsid w:val="771C37E7"/>
    <w:rsid w:val="771C566F"/>
    <w:rsid w:val="771C7EA0"/>
    <w:rsid w:val="771D2638"/>
    <w:rsid w:val="771D297C"/>
    <w:rsid w:val="771D3195"/>
    <w:rsid w:val="771D5467"/>
    <w:rsid w:val="771D7793"/>
    <w:rsid w:val="771E05C9"/>
    <w:rsid w:val="771E4B63"/>
    <w:rsid w:val="771E61BA"/>
    <w:rsid w:val="771F0981"/>
    <w:rsid w:val="771F6F0D"/>
    <w:rsid w:val="77204A34"/>
    <w:rsid w:val="77206199"/>
    <w:rsid w:val="772065A8"/>
    <w:rsid w:val="77212C85"/>
    <w:rsid w:val="77213FC1"/>
    <w:rsid w:val="772207AC"/>
    <w:rsid w:val="7722255A"/>
    <w:rsid w:val="77222ED2"/>
    <w:rsid w:val="772258EE"/>
    <w:rsid w:val="77236A34"/>
    <w:rsid w:val="772372D2"/>
    <w:rsid w:val="7724443B"/>
    <w:rsid w:val="77244524"/>
    <w:rsid w:val="772462D2"/>
    <w:rsid w:val="77250524"/>
    <w:rsid w:val="77253DF8"/>
    <w:rsid w:val="7726029C"/>
    <w:rsid w:val="77265594"/>
    <w:rsid w:val="77265F3D"/>
    <w:rsid w:val="77270549"/>
    <w:rsid w:val="77271C23"/>
    <w:rsid w:val="77274014"/>
    <w:rsid w:val="7728424C"/>
    <w:rsid w:val="77291B3A"/>
    <w:rsid w:val="77291ECA"/>
    <w:rsid w:val="772A02AD"/>
    <w:rsid w:val="772A108D"/>
    <w:rsid w:val="772A140E"/>
    <w:rsid w:val="772A3BEA"/>
    <w:rsid w:val="772B1789"/>
    <w:rsid w:val="772B3B04"/>
    <w:rsid w:val="772B58B2"/>
    <w:rsid w:val="772B6842"/>
    <w:rsid w:val="772B6C92"/>
    <w:rsid w:val="772C15B9"/>
    <w:rsid w:val="772C2504"/>
    <w:rsid w:val="772C282D"/>
    <w:rsid w:val="772C2953"/>
    <w:rsid w:val="772C33D8"/>
    <w:rsid w:val="772C3A48"/>
    <w:rsid w:val="772C4CE8"/>
    <w:rsid w:val="772C5186"/>
    <w:rsid w:val="772E53A2"/>
    <w:rsid w:val="772F3A53"/>
    <w:rsid w:val="773017AB"/>
    <w:rsid w:val="773029DE"/>
    <w:rsid w:val="77304C77"/>
    <w:rsid w:val="77313E6E"/>
    <w:rsid w:val="77322F0A"/>
    <w:rsid w:val="77324E93"/>
    <w:rsid w:val="77327ECF"/>
    <w:rsid w:val="773329B9"/>
    <w:rsid w:val="77334A1B"/>
    <w:rsid w:val="773442B4"/>
    <w:rsid w:val="773504DF"/>
    <w:rsid w:val="7735228D"/>
    <w:rsid w:val="773675E6"/>
    <w:rsid w:val="773676A6"/>
    <w:rsid w:val="773724A9"/>
    <w:rsid w:val="773728B1"/>
    <w:rsid w:val="7737452D"/>
    <w:rsid w:val="773804D6"/>
    <w:rsid w:val="77381D7D"/>
    <w:rsid w:val="77383D41"/>
    <w:rsid w:val="77387FCF"/>
    <w:rsid w:val="77390BAA"/>
    <w:rsid w:val="77393651"/>
    <w:rsid w:val="77396244"/>
    <w:rsid w:val="77397B61"/>
    <w:rsid w:val="773A10E8"/>
    <w:rsid w:val="773A2721"/>
    <w:rsid w:val="773A3D47"/>
    <w:rsid w:val="773A5AF5"/>
    <w:rsid w:val="773A7DA2"/>
    <w:rsid w:val="773C5DAF"/>
    <w:rsid w:val="773C5FA5"/>
    <w:rsid w:val="773C67FE"/>
    <w:rsid w:val="773C7ABF"/>
    <w:rsid w:val="773D55E5"/>
    <w:rsid w:val="773D5D28"/>
    <w:rsid w:val="773E47F4"/>
    <w:rsid w:val="773E6F4D"/>
    <w:rsid w:val="773E7BB3"/>
    <w:rsid w:val="773F4EBA"/>
    <w:rsid w:val="77412E82"/>
    <w:rsid w:val="774150D6"/>
    <w:rsid w:val="77416E84"/>
    <w:rsid w:val="77422BFC"/>
    <w:rsid w:val="77422E8C"/>
    <w:rsid w:val="774249AA"/>
    <w:rsid w:val="7743202D"/>
    <w:rsid w:val="77432976"/>
    <w:rsid w:val="774345BB"/>
    <w:rsid w:val="774357A2"/>
    <w:rsid w:val="774424D0"/>
    <w:rsid w:val="7744507C"/>
    <w:rsid w:val="77452E9E"/>
    <w:rsid w:val="77456248"/>
    <w:rsid w:val="774626EC"/>
    <w:rsid w:val="77475455"/>
    <w:rsid w:val="774776DB"/>
    <w:rsid w:val="77487A02"/>
    <w:rsid w:val="77491101"/>
    <w:rsid w:val="77493A0D"/>
    <w:rsid w:val="77495D38"/>
    <w:rsid w:val="774A0093"/>
    <w:rsid w:val="774A385E"/>
    <w:rsid w:val="774A57F8"/>
    <w:rsid w:val="774B31F1"/>
    <w:rsid w:val="774B6FE8"/>
    <w:rsid w:val="774C127B"/>
    <w:rsid w:val="774C193D"/>
    <w:rsid w:val="774C5829"/>
    <w:rsid w:val="774D59A3"/>
    <w:rsid w:val="774E0CEC"/>
    <w:rsid w:val="774E39C2"/>
    <w:rsid w:val="774E47FE"/>
    <w:rsid w:val="774E48BB"/>
    <w:rsid w:val="774F73F7"/>
    <w:rsid w:val="77501364"/>
    <w:rsid w:val="77505319"/>
    <w:rsid w:val="77512E3F"/>
    <w:rsid w:val="77513458"/>
    <w:rsid w:val="77516029"/>
    <w:rsid w:val="77516D13"/>
    <w:rsid w:val="77517DB2"/>
    <w:rsid w:val="77525D78"/>
    <w:rsid w:val="775274B9"/>
    <w:rsid w:val="77535EA1"/>
    <w:rsid w:val="77542963"/>
    <w:rsid w:val="77542FC1"/>
    <w:rsid w:val="775505BC"/>
    <w:rsid w:val="77550B81"/>
    <w:rsid w:val="7755292F"/>
    <w:rsid w:val="77557272"/>
    <w:rsid w:val="77560455"/>
    <w:rsid w:val="7756081D"/>
    <w:rsid w:val="77562203"/>
    <w:rsid w:val="7756306D"/>
    <w:rsid w:val="77573C01"/>
    <w:rsid w:val="775748F9"/>
    <w:rsid w:val="77574B24"/>
    <w:rsid w:val="77576A75"/>
    <w:rsid w:val="775778B0"/>
    <w:rsid w:val="77577A6C"/>
    <w:rsid w:val="775841CD"/>
    <w:rsid w:val="77584BEE"/>
    <w:rsid w:val="7759063E"/>
    <w:rsid w:val="77592DEC"/>
    <w:rsid w:val="775A1CF3"/>
    <w:rsid w:val="775A3094"/>
    <w:rsid w:val="775A6197"/>
    <w:rsid w:val="775A6214"/>
    <w:rsid w:val="775A7F45"/>
    <w:rsid w:val="775B0D47"/>
    <w:rsid w:val="775B158B"/>
    <w:rsid w:val="775B1CAC"/>
    <w:rsid w:val="775C0BE0"/>
    <w:rsid w:val="775C1071"/>
    <w:rsid w:val="775C1F10"/>
    <w:rsid w:val="775C3CBE"/>
    <w:rsid w:val="775D3592"/>
    <w:rsid w:val="775D4BD5"/>
    <w:rsid w:val="775D56E5"/>
    <w:rsid w:val="775F6EEC"/>
    <w:rsid w:val="775F730A"/>
    <w:rsid w:val="775F7DC9"/>
    <w:rsid w:val="77602A66"/>
    <w:rsid w:val="77610BA7"/>
    <w:rsid w:val="77612FB0"/>
    <w:rsid w:val="77617526"/>
    <w:rsid w:val="7763212C"/>
    <w:rsid w:val="77634516"/>
    <w:rsid w:val="776355E5"/>
    <w:rsid w:val="77637EA7"/>
    <w:rsid w:val="77642B72"/>
    <w:rsid w:val="77642B76"/>
    <w:rsid w:val="77644920"/>
    <w:rsid w:val="77647315"/>
    <w:rsid w:val="77660396"/>
    <w:rsid w:val="77660A7F"/>
    <w:rsid w:val="77664168"/>
    <w:rsid w:val="77665407"/>
    <w:rsid w:val="77670516"/>
    <w:rsid w:val="77670BC5"/>
    <w:rsid w:val="77672DB8"/>
    <w:rsid w:val="77675276"/>
    <w:rsid w:val="77675FEE"/>
    <w:rsid w:val="776808B4"/>
    <w:rsid w:val="77685B26"/>
    <w:rsid w:val="7768620E"/>
    <w:rsid w:val="77693EE1"/>
    <w:rsid w:val="77696125"/>
    <w:rsid w:val="776A1A51"/>
    <w:rsid w:val="776A3FFF"/>
    <w:rsid w:val="776B7C09"/>
    <w:rsid w:val="776C14F0"/>
    <w:rsid w:val="776C1A27"/>
    <w:rsid w:val="776C6151"/>
    <w:rsid w:val="776C6411"/>
    <w:rsid w:val="776C78F9"/>
    <w:rsid w:val="776D04E7"/>
    <w:rsid w:val="776E1C43"/>
    <w:rsid w:val="776F354E"/>
    <w:rsid w:val="776F3C10"/>
    <w:rsid w:val="776F5BE1"/>
    <w:rsid w:val="77701517"/>
    <w:rsid w:val="77701CC3"/>
    <w:rsid w:val="777041EC"/>
    <w:rsid w:val="77704880"/>
    <w:rsid w:val="777059BB"/>
    <w:rsid w:val="77707769"/>
    <w:rsid w:val="77707E71"/>
    <w:rsid w:val="77716648"/>
    <w:rsid w:val="7771703D"/>
    <w:rsid w:val="77731007"/>
    <w:rsid w:val="77732DB5"/>
    <w:rsid w:val="77733A37"/>
    <w:rsid w:val="77737259"/>
    <w:rsid w:val="77737D91"/>
    <w:rsid w:val="7774021A"/>
    <w:rsid w:val="77740FB9"/>
    <w:rsid w:val="77742801"/>
    <w:rsid w:val="77754D7F"/>
    <w:rsid w:val="777554FC"/>
    <w:rsid w:val="7776200D"/>
    <w:rsid w:val="77762421"/>
    <w:rsid w:val="77764653"/>
    <w:rsid w:val="777670AD"/>
    <w:rsid w:val="7777246F"/>
    <w:rsid w:val="77773352"/>
    <w:rsid w:val="77775173"/>
    <w:rsid w:val="77776E5F"/>
    <w:rsid w:val="77785B75"/>
    <w:rsid w:val="77787801"/>
    <w:rsid w:val="77792664"/>
    <w:rsid w:val="77793BD1"/>
    <w:rsid w:val="77793EE4"/>
    <w:rsid w:val="7779431A"/>
    <w:rsid w:val="777971D1"/>
    <w:rsid w:val="777A05E8"/>
    <w:rsid w:val="777A0A13"/>
    <w:rsid w:val="777A2396"/>
    <w:rsid w:val="777A3193"/>
    <w:rsid w:val="777A3AF4"/>
    <w:rsid w:val="777B293F"/>
    <w:rsid w:val="777C1C45"/>
    <w:rsid w:val="777C610E"/>
    <w:rsid w:val="777D4695"/>
    <w:rsid w:val="777E5046"/>
    <w:rsid w:val="777F175A"/>
    <w:rsid w:val="777F5BFE"/>
    <w:rsid w:val="77802537"/>
    <w:rsid w:val="77806C07"/>
    <w:rsid w:val="77811976"/>
    <w:rsid w:val="77811EB5"/>
    <w:rsid w:val="77815190"/>
    <w:rsid w:val="77815746"/>
    <w:rsid w:val="7781576A"/>
    <w:rsid w:val="7781775B"/>
    <w:rsid w:val="77821E7F"/>
    <w:rsid w:val="77822DB4"/>
    <w:rsid w:val="77822FF8"/>
    <w:rsid w:val="77826501"/>
    <w:rsid w:val="778323B5"/>
    <w:rsid w:val="7783749C"/>
    <w:rsid w:val="7784470A"/>
    <w:rsid w:val="77847777"/>
    <w:rsid w:val="77855DA7"/>
    <w:rsid w:val="77855F46"/>
    <w:rsid w:val="7785739C"/>
    <w:rsid w:val="77863D15"/>
    <w:rsid w:val="77866F8C"/>
    <w:rsid w:val="77872906"/>
    <w:rsid w:val="778744A6"/>
    <w:rsid w:val="77876861"/>
    <w:rsid w:val="77884AB3"/>
    <w:rsid w:val="7789082B"/>
    <w:rsid w:val="77892159"/>
    <w:rsid w:val="778925D9"/>
    <w:rsid w:val="77894387"/>
    <w:rsid w:val="778A61BA"/>
    <w:rsid w:val="778B1E0C"/>
    <w:rsid w:val="778B2EAC"/>
    <w:rsid w:val="778B6351"/>
    <w:rsid w:val="778C2A27"/>
    <w:rsid w:val="778D1F6A"/>
    <w:rsid w:val="778E7F4D"/>
    <w:rsid w:val="778F2E26"/>
    <w:rsid w:val="778F6569"/>
    <w:rsid w:val="77900B89"/>
    <w:rsid w:val="77905715"/>
    <w:rsid w:val="77905D1A"/>
    <w:rsid w:val="77907355"/>
    <w:rsid w:val="7791148D"/>
    <w:rsid w:val="77917A16"/>
    <w:rsid w:val="779202B8"/>
    <w:rsid w:val="779218BF"/>
    <w:rsid w:val="7792494C"/>
    <w:rsid w:val="779276DF"/>
    <w:rsid w:val="77931781"/>
    <w:rsid w:val="77940587"/>
    <w:rsid w:val="77940F33"/>
    <w:rsid w:val="779416A9"/>
    <w:rsid w:val="779418AA"/>
    <w:rsid w:val="779501F2"/>
    <w:rsid w:val="779505E2"/>
    <w:rsid w:val="779506FC"/>
    <w:rsid w:val="77950F7E"/>
    <w:rsid w:val="77953487"/>
    <w:rsid w:val="77955421"/>
    <w:rsid w:val="77956538"/>
    <w:rsid w:val="77962B64"/>
    <w:rsid w:val="7796637D"/>
    <w:rsid w:val="77967B97"/>
    <w:rsid w:val="77974CF6"/>
    <w:rsid w:val="7798281C"/>
    <w:rsid w:val="779A2A38"/>
    <w:rsid w:val="779A63E0"/>
    <w:rsid w:val="779B0470"/>
    <w:rsid w:val="779C055E"/>
    <w:rsid w:val="779C230C"/>
    <w:rsid w:val="779C67B0"/>
    <w:rsid w:val="779C6C35"/>
    <w:rsid w:val="779C7005"/>
    <w:rsid w:val="779D001A"/>
    <w:rsid w:val="779D14EF"/>
    <w:rsid w:val="779D7E32"/>
    <w:rsid w:val="779E031E"/>
    <w:rsid w:val="779E03F1"/>
    <w:rsid w:val="779E42D6"/>
    <w:rsid w:val="779F004E"/>
    <w:rsid w:val="779F1DFC"/>
    <w:rsid w:val="779F2919"/>
    <w:rsid w:val="779F3BAA"/>
    <w:rsid w:val="779F608B"/>
    <w:rsid w:val="77A128CD"/>
    <w:rsid w:val="77A13DC6"/>
    <w:rsid w:val="77A15B74"/>
    <w:rsid w:val="77A17922"/>
    <w:rsid w:val="77A203D8"/>
    <w:rsid w:val="77A2369A"/>
    <w:rsid w:val="77A24429"/>
    <w:rsid w:val="77A25449"/>
    <w:rsid w:val="77A318EC"/>
    <w:rsid w:val="77A40CBE"/>
    <w:rsid w:val="77A42FA2"/>
    <w:rsid w:val="77A439F6"/>
    <w:rsid w:val="77A45665"/>
    <w:rsid w:val="77A46D61"/>
    <w:rsid w:val="77A50300"/>
    <w:rsid w:val="77A613DD"/>
    <w:rsid w:val="77A64252"/>
    <w:rsid w:val="77A6728C"/>
    <w:rsid w:val="77A74CFF"/>
    <w:rsid w:val="77A8333C"/>
    <w:rsid w:val="77A85155"/>
    <w:rsid w:val="77A86B72"/>
    <w:rsid w:val="77A92C7B"/>
    <w:rsid w:val="77A94328"/>
    <w:rsid w:val="77A959E9"/>
    <w:rsid w:val="77A967D7"/>
    <w:rsid w:val="77AA48B7"/>
    <w:rsid w:val="77AA4BA9"/>
    <w:rsid w:val="77AA5DA7"/>
    <w:rsid w:val="77AA79EB"/>
    <w:rsid w:val="77AB254F"/>
    <w:rsid w:val="77AB2922"/>
    <w:rsid w:val="77AB69F3"/>
    <w:rsid w:val="77AC0DAB"/>
    <w:rsid w:val="77AC0FA2"/>
    <w:rsid w:val="77AC24F6"/>
    <w:rsid w:val="77AC2560"/>
    <w:rsid w:val="77AD276B"/>
    <w:rsid w:val="77AD3270"/>
    <w:rsid w:val="77AD4519"/>
    <w:rsid w:val="77AD62C7"/>
    <w:rsid w:val="77AD768D"/>
    <w:rsid w:val="77AE203F"/>
    <w:rsid w:val="77AE7194"/>
    <w:rsid w:val="77AF34AB"/>
    <w:rsid w:val="77AF6EFB"/>
    <w:rsid w:val="77B05DB7"/>
    <w:rsid w:val="77B119C2"/>
    <w:rsid w:val="77B17784"/>
    <w:rsid w:val="77B244B3"/>
    <w:rsid w:val="77B27D81"/>
    <w:rsid w:val="77B358A8"/>
    <w:rsid w:val="77B43AFA"/>
    <w:rsid w:val="77B43B46"/>
    <w:rsid w:val="77B53CF7"/>
    <w:rsid w:val="77B5458D"/>
    <w:rsid w:val="77B5517C"/>
    <w:rsid w:val="77B56B1F"/>
    <w:rsid w:val="77B70BE8"/>
    <w:rsid w:val="77B70EF4"/>
    <w:rsid w:val="77B72606"/>
    <w:rsid w:val="77B75398"/>
    <w:rsid w:val="77B80FB0"/>
    <w:rsid w:val="77B84627"/>
    <w:rsid w:val="77B86EDF"/>
    <w:rsid w:val="77B87A5B"/>
    <w:rsid w:val="77B91110"/>
    <w:rsid w:val="77B94B5F"/>
    <w:rsid w:val="77B95AB1"/>
    <w:rsid w:val="77BA2CA8"/>
    <w:rsid w:val="77BA349A"/>
    <w:rsid w:val="77BA43A1"/>
    <w:rsid w:val="77BA4E88"/>
    <w:rsid w:val="77BA7782"/>
    <w:rsid w:val="77BB2417"/>
    <w:rsid w:val="77BB2D0B"/>
    <w:rsid w:val="77BB6868"/>
    <w:rsid w:val="77BC2316"/>
    <w:rsid w:val="77BC650A"/>
    <w:rsid w:val="77BD012D"/>
    <w:rsid w:val="77BD3638"/>
    <w:rsid w:val="77BE47B4"/>
    <w:rsid w:val="77BE60EB"/>
    <w:rsid w:val="77BF5FFA"/>
    <w:rsid w:val="77C02328"/>
    <w:rsid w:val="77C04DF9"/>
    <w:rsid w:val="77C05D84"/>
    <w:rsid w:val="77C16217"/>
    <w:rsid w:val="77C17AA6"/>
    <w:rsid w:val="77C21831"/>
    <w:rsid w:val="77C27899"/>
    <w:rsid w:val="77C31ACD"/>
    <w:rsid w:val="77C35AEB"/>
    <w:rsid w:val="77C43611"/>
    <w:rsid w:val="77C47B8E"/>
    <w:rsid w:val="77C50C37"/>
    <w:rsid w:val="77C535B7"/>
    <w:rsid w:val="77C545BF"/>
    <w:rsid w:val="77C60C6B"/>
    <w:rsid w:val="77C63F13"/>
    <w:rsid w:val="77C67389"/>
    <w:rsid w:val="77C72A7B"/>
    <w:rsid w:val="77C81863"/>
    <w:rsid w:val="77C83101"/>
    <w:rsid w:val="77C90C27"/>
    <w:rsid w:val="77C9452F"/>
    <w:rsid w:val="77C948CA"/>
    <w:rsid w:val="77C970E1"/>
    <w:rsid w:val="77C9789F"/>
    <w:rsid w:val="77CA50CB"/>
    <w:rsid w:val="77CA6CBD"/>
    <w:rsid w:val="77CB0E43"/>
    <w:rsid w:val="77CB216E"/>
    <w:rsid w:val="77CB71C5"/>
    <w:rsid w:val="77CC156A"/>
    <w:rsid w:val="77CC229C"/>
    <w:rsid w:val="77CC23A1"/>
    <w:rsid w:val="77CC5F6D"/>
    <w:rsid w:val="77CC736C"/>
    <w:rsid w:val="77CD43F6"/>
    <w:rsid w:val="77CD466B"/>
    <w:rsid w:val="77CD6AFA"/>
    <w:rsid w:val="77CE207F"/>
    <w:rsid w:val="77CE623E"/>
    <w:rsid w:val="77CF1B8C"/>
    <w:rsid w:val="77CF26E1"/>
    <w:rsid w:val="77D01FB6"/>
    <w:rsid w:val="77D03501"/>
    <w:rsid w:val="77D05FB8"/>
    <w:rsid w:val="77D0645A"/>
    <w:rsid w:val="77D117FB"/>
    <w:rsid w:val="77D221D2"/>
    <w:rsid w:val="77D27113"/>
    <w:rsid w:val="77D27F44"/>
    <w:rsid w:val="77D3069E"/>
    <w:rsid w:val="77D30A5E"/>
    <w:rsid w:val="77D31AA6"/>
    <w:rsid w:val="77D31AE0"/>
    <w:rsid w:val="77D32050"/>
    <w:rsid w:val="77D329ED"/>
    <w:rsid w:val="77D43CB5"/>
    <w:rsid w:val="77D4513B"/>
    <w:rsid w:val="77D45F4A"/>
    <w:rsid w:val="77D47CF8"/>
    <w:rsid w:val="77D515D3"/>
    <w:rsid w:val="77D52C9A"/>
    <w:rsid w:val="77D53A70"/>
    <w:rsid w:val="77D5676F"/>
    <w:rsid w:val="77D6172C"/>
    <w:rsid w:val="77D61BF0"/>
    <w:rsid w:val="77D70467"/>
    <w:rsid w:val="77D74CE3"/>
    <w:rsid w:val="77D8586D"/>
    <w:rsid w:val="77D870BC"/>
    <w:rsid w:val="77D930BA"/>
    <w:rsid w:val="77D93560"/>
    <w:rsid w:val="77D93D67"/>
    <w:rsid w:val="77D951C4"/>
    <w:rsid w:val="77D951E5"/>
    <w:rsid w:val="77D9530E"/>
    <w:rsid w:val="77D97032"/>
    <w:rsid w:val="77DA00CA"/>
    <w:rsid w:val="77DA1086"/>
    <w:rsid w:val="77DA2E34"/>
    <w:rsid w:val="77DB72D8"/>
    <w:rsid w:val="77DC3B3C"/>
    <w:rsid w:val="77DC6BAC"/>
    <w:rsid w:val="77DD5650"/>
    <w:rsid w:val="77DD6EF2"/>
    <w:rsid w:val="77DD7E6D"/>
    <w:rsid w:val="77DE1915"/>
    <w:rsid w:val="77DE46D3"/>
    <w:rsid w:val="77DF1812"/>
    <w:rsid w:val="77E01636"/>
    <w:rsid w:val="77E048EF"/>
    <w:rsid w:val="77E134ED"/>
    <w:rsid w:val="77E14CE6"/>
    <w:rsid w:val="77E20193"/>
    <w:rsid w:val="77E23F9F"/>
    <w:rsid w:val="77E30807"/>
    <w:rsid w:val="77E32811"/>
    <w:rsid w:val="77E32D64"/>
    <w:rsid w:val="77E3305F"/>
    <w:rsid w:val="77E33DF2"/>
    <w:rsid w:val="77E3618D"/>
    <w:rsid w:val="77E37F3B"/>
    <w:rsid w:val="77E43CB3"/>
    <w:rsid w:val="77E512AF"/>
    <w:rsid w:val="77E55F64"/>
    <w:rsid w:val="77E64141"/>
    <w:rsid w:val="77E66B14"/>
    <w:rsid w:val="77E67A2B"/>
    <w:rsid w:val="77E77D66"/>
    <w:rsid w:val="77E81302"/>
    <w:rsid w:val="77E837A3"/>
    <w:rsid w:val="77E83B26"/>
    <w:rsid w:val="77E84005"/>
    <w:rsid w:val="77E84B7B"/>
    <w:rsid w:val="77E85551"/>
    <w:rsid w:val="77E872FF"/>
    <w:rsid w:val="77E912C9"/>
    <w:rsid w:val="77E94426"/>
    <w:rsid w:val="77E97604"/>
    <w:rsid w:val="77EA4E5D"/>
    <w:rsid w:val="77EA526E"/>
    <w:rsid w:val="77EB5041"/>
    <w:rsid w:val="77EB5048"/>
    <w:rsid w:val="77EB6DF0"/>
    <w:rsid w:val="77EC1F98"/>
    <w:rsid w:val="77EC2986"/>
    <w:rsid w:val="77EC755D"/>
    <w:rsid w:val="77ED0DBA"/>
    <w:rsid w:val="77ED2B68"/>
    <w:rsid w:val="77ED4DD1"/>
    <w:rsid w:val="77EF2BD0"/>
    <w:rsid w:val="77EF4B32"/>
    <w:rsid w:val="77EF50EB"/>
    <w:rsid w:val="77EF68E0"/>
    <w:rsid w:val="77F01503"/>
    <w:rsid w:val="77F02658"/>
    <w:rsid w:val="77F04C98"/>
    <w:rsid w:val="77F06B98"/>
    <w:rsid w:val="77F07FAE"/>
    <w:rsid w:val="77F24622"/>
    <w:rsid w:val="77F263D0"/>
    <w:rsid w:val="77F26E5C"/>
    <w:rsid w:val="77F35CA4"/>
    <w:rsid w:val="77F425A8"/>
    <w:rsid w:val="77F428DB"/>
    <w:rsid w:val="77F448D0"/>
    <w:rsid w:val="77F45E25"/>
    <w:rsid w:val="77F51BAB"/>
    <w:rsid w:val="77F55179"/>
    <w:rsid w:val="77F55EC0"/>
    <w:rsid w:val="77F61097"/>
    <w:rsid w:val="77F6256C"/>
    <w:rsid w:val="77F70454"/>
    <w:rsid w:val="77F71BDF"/>
    <w:rsid w:val="77F75766"/>
    <w:rsid w:val="77F77AA0"/>
    <w:rsid w:val="77F83C74"/>
    <w:rsid w:val="77F8785D"/>
    <w:rsid w:val="77F87ABB"/>
    <w:rsid w:val="77F973FE"/>
    <w:rsid w:val="77F9775E"/>
    <w:rsid w:val="77F97C55"/>
    <w:rsid w:val="77FA5520"/>
    <w:rsid w:val="77FB1377"/>
    <w:rsid w:val="77FB5F82"/>
    <w:rsid w:val="77FC2DAB"/>
    <w:rsid w:val="77FC5F12"/>
    <w:rsid w:val="77FC5FED"/>
    <w:rsid w:val="77FE2FC7"/>
    <w:rsid w:val="77FE4D75"/>
    <w:rsid w:val="77FF289B"/>
    <w:rsid w:val="77FF35F1"/>
    <w:rsid w:val="77FF76BB"/>
    <w:rsid w:val="78000AED"/>
    <w:rsid w:val="780011B7"/>
    <w:rsid w:val="780062DF"/>
    <w:rsid w:val="78006D3F"/>
    <w:rsid w:val="78007A78"/>
    <w:rsid w:val="78007E78"/>
    <w:rsid w:val="7801371C"/>
    <w:rsid w:val="78014865"/>
    <w:rsid w:val="78016613"/>
    <w:rsid w:val="78017C5B"/>
    <w:rsid w:val="780270D0"/>
    <w:rsid w:val="7802777D"/>
    <w:rsid w:val="78034139"/>
    <w:rsid w:val="78035FF5"/>
    <w:rsid w:val="7804499B"/>
    <w:rsid w:val="780521C1"/>
    <w:rsid w:val="78054355"/>
    <w:rsid w:val="78054D74"/>
    <w:rsid w:val="78056103"/>
    <w:rsid w:val="780600CD"/>
    <w:rsid w:val="78063B6A"/>
    <w:rsid w:val="780659D7"/>
    <w:rsid w:val="78070701"/>
    <w:rsid w:val="78084E16"/>
    <w:rsid w:val="780862A6"/>
    <w:rsid w:val="780879A1"/>
    <w:rsid w:val="780A0CF1"/>
    <w:rsid w:val="780B3776"/>
    <w:rsid w:val="780B56E4"/>
    <w:rsid w:val="780C618A"/>
    <w:rsid w:val="780D4FB8"/>
    <w:rsid w:val="780D6694"/>
    <w:rsid w:val="780E28C9"/>
    <w:rsid w:val="780E3806"/>
    <w:rsid w:val="780E4A67"/>
    <w:rsid w:val="780F09F4"/>
    <w:rsid w:val="780F1235"/>
    <w:rsid w:val="780F71B0"/>
    <w:rsid w:val="78101D81"/>
    <w:rsid w:val="78106EAA"/>
    <w:rsid w:val="78112CFA"/>
    <w:rsid w:val="781225CE"/>
    <w:rsid w:val="78126A72"/>
    <w:rsid w:val="78127307"/>
    <w:rsid w:val="78140451"/>
    <w:rsid w:val="78146D8B"/>
    <w:rsid w:val="78151EEA"/>
    <w:rsid w:val="7815391F"/>
    <w:rsid w:val="781644B1"/>
    <w:rsid w:val="78170512"/>
    <w:rsid w:val="7817760E"/>
    <w:rsid w:val="78177BE5"/>
    <w:rsid w:val="78191561"/>
    <w:rsid w:val="78191BAF"/>
    <w:rsid w:val="7819395D"/>
    <w:rsid w:val="78196949"/>
    <w:rsid w:val="78197E01"/>
    <w:rsid w:val="781A1483"/>
    <w:rsid w:val="781B11D8"/>
    <w:rsid w:val="781D0955"/>
    <w:rsid w:val="781D350A"/>
    <w:rsid w:val="781E0489"/>
    <w:rsid w:val="781E316D"/>
    <w:rsid w:val="781E4659"/>
    <w:rsid w:val="781E7E54"/>
    <w:rsid w:val="781F0C6B"/>
    <w:rsid w:val="781F1E84"/>
    <w:rsid w:val="781F6A99"/>
    <w:rsid w:val="781F7948"/>
    <w:rsid w:val="781F7C21"/>
    <w:rsid w:val="78200134"/>
    <w:rsid w:val="78201875"/>
    <w:rsid w:val="782051EE"/>
    <w:rsid w:val="78210A63"/>
    <w:rsid w:val="78212B0A"/>
    <w:rsid w:val="78216CB5"/>
    <w:rsid w:val="78236589"/>
    <w:rsid w:val="78246B4A"/>
    <w:rsid w:val="78250553"/>
    <w:rsid w:val="78252301"/>
    <w:rsid w:val="782619D3"/>
    <w:rsid w:val="782642CC"/>
    <w:rsid w:val="782648A3"/>
    <w:rsid w:val="78265D9D"/>
    <w:rsid w:val="7826607A"/>
    <w:rsid w:val="78267E28"/>
    <w:rsid w:val="78275436"/>
    <w:rsid w:val="78280C3E"/>
    <w:rsid w:val="7829461B"/>
    <w:rsid w:val="78297FCE"/>
    <w:rsid w:val="782A2380"/>
    <w:rsid w:val="782A7918"/>
    <w:rsid w:val="782B18E2"/>
    <w:rsid w:val="782B3690"/>
    <w:rsid w:val="782C3C84"/>
    <w:rsid w:val="782C42DA"/>
    <w:rsid w:val="782C5004"/>
    <w:rsid w:val="782C7B34"/>
    <w:rsid w:val="782C7E18"/>
    <w:rsid w:val="782D15D9"/>
    <w:rsid w:val="782E41A6"/>
    <w:rsid w:val="782E460E"/>
    <w:rsid w:val="782F13D2"/>
    <w:rsid w:val="782F3180"/>
    <w:rsid w:val="782F4F2E"/>
    <w:rsid w:val="78300CA6"/>
    <w:rsid w:val="78305E25"/>
    <w:rsid w:val="783110B9"/>
    <w:rsid w:val="78312CE9"/>
    <w:rsid w:val="783145BA"/>
    <w:rsid w:val="78321012"/>
    <w:rsid w:val="78340796"/>
    <w:rsid w:val="783446D1"/>
    <w:rsid w:val="783448DE"/>
    <w:rsid w:val="783469E8"/>
    <w:rsid w:val="7835191F"/>
    <w:rsid w:val="783549BE"/>
    <w:rsid w:val="78362761"/>
    <w:rsid w:val="78363A9B"/>
    <w:rsid w:val="78372105"/>
    <w:rsid w:val="78372663"/>
    <w:rsid w:val="78377DDA"/>
    <w:rsid w:val="78385321"/>
    <w:rsid w:val="783855FC"/>
    <w:rsid w:val="783863BB"/>
    <w:rsid w:val="78392224"/>
    <w:rsid w:val="7839223D"/>
    <w:rsid w:val="78393BE4"/>
    <w:rsid w:val="7839499F"/>
    <w:rsid w:val="78395DAD"/>
    <w:rsid w:val="7839784B"/>
    <w:rsid w:val="78397B5B"/>
    <w:rsid w:val="783A38D3"/>
    <w:rsid w:val="783A3B51"/>
    <w:rsid w:val="783A505B"/>
    <w:rsid w:val="783B1B25"/>
    <w:rsid w:val="783C249C"/>
    <w:rsid w:val="783C3AEF"/>
    <w:rsid w:val="783C4996"/>
    <w:rsid w:val="783C589D"/>
    <w:rsid w:val="783D3D43"/>
    <w:rsid w:val="783D4D13"/>
    <w:rsid w:val="783E1615"/>
    <w:rsid w:val="783E1A49"/>
    <w:rsid w:val="783E2461"/>
    <w:rsid w:val="783E33C3"/>
    <w:rsid w:val="783E63F5"/>
    <w:rsid w:val="783E66FF"/>
    <w:rsid w:val="783E7867"/>
    <w:rsid w:val="783F0EE9"/>
    <w:rsid w:val="783F284D"/>
    <w:rsid w:val="783F7D9B"/>
    <w:rsid w:val="7840538D"/>
    <w:rsid w:val="7840713B"/>
    <w:rsid w:val="78412EB3"/>
    <w:rsid w:val="78414C61"/>
    <w:rsid w:val="78417517"/>
    <w:rsid w:val="78424137"/>
    <w:rsid w:val="784309DA"/>
    <w:rsid w:val="784318DD"/>
    <w:rsid w:val="78434E7D"/>
    <w:rsid w:val="7843609F"/>
    <w:rsid w:val="784366B9"/>
    <w:rsid w:val="78436C2C"/>
    <w:rsid w:val="78450BF6"/>
    <w:rsid w:val="78451C24"/>
    <w:rsid w:val="784528D7"/>
    <w:rsid w:val="784529A4"/>
    <w:rsid w:val="78454752"/>
    <w:rsid w:val="784604CA"/>
    <w:rsid w:val="78461B32"/>
    <w:rsid w:val="78462278"/>
    <w:rsid w:val="78463590"/>
    <w:rsid w:val="78472812"/>
    <w:rsid w:val="784754A5"/>
    <w:rsid w:val="78475DD4"/>
    <w:rsid w:val="7847671C"/>
    <w:rsid w:val="78482494"/>
    <w:rsid w:val="78485EB0"/>
    <w:rsid w:val="784A1D68"/>
    <w:rsid w:val="784A2C93"/>
    <w:rsid w:val="784A620C"/>
    <w:rsid w:val="784B5AE0"/>
    <w:rsid w:val="784B5FEF"/>
    <w:rsid w:val="784B788E"/>
    <w:rsid w:val="784C1F84"/>
    <w:rsid w:val="784C3D32"/>
    <w:rsid w:val="784D1858"/>
    <w:rsid w:val="784D3606"/>
    <w:rsid w:val="784D4379"/>
    <w:rsid w:val="784D6FBC"/>
    <w:rsid w:val="784D7AAA"/>
    <w:rsid w:val="784E1CF0"/>
    <w:rsid w:val="784E26B3"/>
    <w:rsid w:val="784E39C4"/>
    <w:rsid w:val="784F0BDA"/>
    <w:rsid w:val="784F6377"/>
    <w:rsid w:val="784F737E"/>
    <w:rsid w:val="784F73C8"/>
    <w:rsid w:val="7850376E"/>
    <w:rsid w:val="7850726A"/>
    <w:rsid w:val="785129AB"/>
    <w:rsid w:val="7851759A"/>
    <w:rsid w:val="78520C1D"/>
    <w:rsid w:val="78526E6F"/>
    <w:rsid w:val="785273C5"/>
    <w:rsid w:val="78540376"/>
    <w:rsid w:val="785433DC"/>
    <w:rsid w:val="78544F6B"/>
    <w:rsid w:val="7855301B"/>
    <w:rsid w:val="785560F7"/>
    <w:rsid w:val="7855753C"/>
    <w:rsid w:val="78561944"/>
    <w:rsid w:val="785643F0"/>
    <w:rsid w:val="78564BB1"/>
    <w:rsid w:val="7856695F"/>
    <w:rsid w:val="785726D7"/>
    <w:rsid w:val="78573708"/>
    <w:rsid w:val="78573847"/>
    <w:rsid w:val="78574485"/>
    <w:rsid w:val="78575360"/>
    <w:rsid w:val="785836DE"/>
    <w:rsid w:val="78586D7C"/>
    <w:rsid w:val="7858735E"/>
    <w:rsid w:val="78591A3B"/>
    <w:rsid w:val="78591FAB"/>
    <w:rsid w:val="78595C42"/>
    <w:rsid w:val="78596379"/>
    <w:rsid w:val="78596B71"/>
    <w:rsid w:val="785A17F6"/>
    <w:rsid w:val="785A2E96"/>
    <w:rsid w:val="785A629B"/>
    <w:rsid w:val="785B3CD9"/>
    <w:rsid w:val="785B3F75"/>
    <w:rsid w:val="785C0A91"/>
    <w:rsid w:val="785C5704"/>
    <w:rsid w:val="785C5A88"/>
    <w:rsid w:val="785D4470"/>
    <w:rsid w:val="785E10BF"/>
    <w:rsid w:val="785E3A65"/>
    <w:rsid w:val="785F36CA"/>
    <w:rsid w:val="785F4137"/>
    <w:rsid w:val="785F7CDB"/>
    <w:rsid w:val="78600002"/>
    <w:rsid w:val="7860158C"/>
    <w:rsid w:val="786077DD"/>
    <w:rsid w:val="786111B1"/>
    <w:rsid w:val="78623556"/>
    <w:rsid w:val="78627EE7"/>
    <w:rsid w:val="78642E05"/>
    <w:rsid w:val="7864378F"/>
    <w:rsid w:val="786453D8"/>
    <w:rsid w:val="78650950"/>
    <w:rsid w:val="786523D7"/>
    <w:rsid w:val="7865537F"/>
    <w:rsid w:val="78656868"/>
    <w:rsid w:val="78660F0D"/>
    <w:rsid w:val="7866291A"/>
    <w:rsid w:val="78662B74"/>
    <w:rsid w:val="78670B6C"/>
    <w:rsid w:val="7867122A"/>
    <w:rsid w:val="78673EF3"/>
    <w:rsid w:val="786848E4"/>
    <w:rsid w:val="78690AA8"/>
    <w:rsid w:val="786952F6"/>
    <w:rsid w:val="786A065C"/>
    <w:rsid w:val="786A240A"/>
    <w:rsid w:val="786A41B8"/>
    <w:rsid w:val="786B7130"/>
    <w:rsid w:val="786C147B"/>
    <w:rsid w:val="786C3B6A"/>
    <w:rsid w:val="786C6182"/>
    <w:rsid w:val="786C7F30"/>
    <w:rsid w:val="786D0401"/>
    <w:rsid w:val="786D1EFA"/>
    <w:rsid w:val="786F7A21"/>
    <w:rsid w:val="78702570"/>
    <w:rsid w:val="787119EB"/>
    <w:rsid w:val="78714A90"/>
    <w:rsid w:val="78715547"/>
    <w:rsid w:val="78717E6A"/>
    <w:rsid w:val="78720B19"/>
    <w:rsid w:val="78720CF2"/>
    <w:rsid w:val="78720E06"/>
    <w:rsid w:val="787212BF"/>
    <w:rsid w:val="7872231A"/>
    <w:rsid w:val="78722B69"/>
    <w:rsid w:val="78722DD1"/>
    <w:rsid w:val="7872306D"/>
    <w:rsid w:val="78724754"/>
    <w:rsid w:val="787248D1"/>
    <w:rsid w:val="7872532D"/>
    <w:rsid w:val="78737931"/>
    <w:rsid w:val="787425CC"/>
    <w:rsid w:val="78743289"/>
    <w:rsid w:val="78743CF2"/>
    <w:rsid w:val="7874504A"/>
    <w:rsid w:val="78746DE5"/>
    <w:rsid w:val="78760DAF"/>
    <w:rsid w:val="78762BF8"/>
    <w:rsid w:val="787677ED"/>
    <w:rsid w:val="78770FA3"/>
    <w:rsid w:val="78774B27"/>
    <w:rsid w:val="78780346"/>
    <w:rsid w:val="78787676"/>
    <w:rsid w:val="7879264D"/>
    <w:rsid w:val="78792CC1"/>
    <w:rsid w:val="787943FB"/>
    <w:rsid w:val="787A40E6"/>
    <w:rsid w:val="787A64E0"/>
    <w:rsid w:val="787B0173"/>
    <w:rsid w:val="787B12CF"/>
    <w:rsid w:val="787B153F"/>
    <w:rsid w:val="787B4617"/>
    <w:rsid w:val="787B4C55"/>
    <w:rsid w:val="787B6BC2"/>
    <w:rsid w:val="787C3267"/>
    <w:rsid w:val="787C398F"/>
    <w:rsid w:val="787C3EEC"/>
    <w:rsid w:val="787C7650"/>
    <w:rsid w:val="787D0361"/>
    <w:rsid w:val="787D038F"/>
    <w:rsid w:val="787D0748"/>
    <w:rsid w:val="787D098B"/>
    <w:rsid w:val="787D3CD2"/>
    <w:rsid w:val="787D74DA"/>
    <w:rsid w:val="787E1096"/>
    <w:rsid w:val="787E1A12"/>
    <w:rsid w:val="787E1DE1"/>
    <w:rsid w:val="787E3809"/>
    <w:rsid w:val="787E4304"/>
    <w:rsid w:val="787E76C0"/>
    <w:rsid w:val="787E7C64"/>
    <w:rsid w:val="787F215F"/>
    <w:rsid w:val="787F24BF"/>
    <w:rsid w:val="787F3721"/>
    <w:rsid w:val="788039DC"/>
    <w:rsid w:val="7880578A"/>
    <w:rsid w:val="78811502"/>
    <w:rsid w:val="7881229B"/>
    <w:rsid w:val="7881239A"/>
    <w:rsid w:val="78817B93"/>
    <w:rsid w:val="78826E72"/>
    <w:rsid w:val="788275EE"/>
    <w:rsid w:val="78827754"/>
    <w:rsid w:val="7883527A"/>
    <w:rsid w:val="78846DC6"/>
    <w:rsid w:val="78850FF2"/>
    <w:rsid w:val="78854B7B"/>
    <w:rsid w:val="788565FB"/>
    <w:rsid w:val="78866B18"/>
    <w:rsid w:val="78871EB3"/>
    <w:rsid w:val="788735AB"/>
    <w:rsid w:val="78874D6A"/>
    <w:rsid w:val="78880AE2"/>
    <w:rsid w:val="78880BF1"/>
    <w:rsid w:val="78883343"/>
    <w:rsid w:val="78885CFF"/>
    <w:rsid w:val="78895E65"/>
    <w:rsid w:val="788A03B6"/>
    <w:rsid w:val="788A3163"/>
    <w:rsid w:val="788A6608"/>
    <w:rsid w:val="788A70F3"/>
    <w:rsid w:val="788C2381"/>
    <w:rsid w:val="788C2B77"/>
    <w:rsid w:val="788C2BBF"/>
    <w:rsid w:val="788C42EA"/>
    <w:rsid w:val="788D143B"/>
    <w:rsid w:val="788D212B"/>
    <w:rsid w:val="788D434B"/>
    <w:rsid w:val="788D7EA7"/>
    <w:rsid w:val="788E093C"/>
    <w:rsid w:val="788E1979"/>
    <w:rsid w:val="788E50B7"/>
    <w:rsid w:val="788F00C3"/>
    <w:rsid w:val="78907DC2"/>
    <w:rsid w:val="78912E9A"/>
    <w:rsid w:val="78914535"/>
    <w:rsid w:val="789158A9"/>
    <w:rsid w:val="78916E8E"/>
    <w:rsid w:val="789254BD"/>
    <w:rsid w:val="78926366"/>
    <w:rsid w:val="78926FC6"/>
    <w:rsid w:val="78931961"/>
    <w:rsid w:val="789339A1"/>
    <w:rsid w:val="78941235"/>
    <w:rsid w:val="78943A68"/>
    <w:rsid w:val="789456D9"/>
    <w:rsid w:val="78947487"/>
    <w:rsid w:val="78952D76"/>
    <w:rsid w:val="7895322D"/>
    <w:rsid w:val="78954B3B"/>
    <w:rsid w:val="78957AE3"/>
    <w:rsid w:val="78961451"/>
    <w:rsid w:val="789631FF"/>
    <w:rsid w:val="78966947"/>
    <w:rsid w:val="78966DD7"/>
    <w:rsid w:val="789719A8"/>
    <w:rsid w:val="78972AD3"/>
    <w:rsid w:val="789842C8"/>
    <w:rsid w:val="78991D27"/>
    <w:rsid w:val="78992CEF"/>
    <w:rsid w:val="78993069"/>
    <w:rsid w:val="78995758"/>
    <w:rsid w:val="789A3CEC"/>
    <w:rsid w:val="789A67D5"/>
    <w:rsid w:val="789B0816"/>
    <w:rsid w:val="789B17B9"/>
    <w:rsid w:val="789B25C4"/>
    <w:rsid w:val="789B436E"/>
    <w:rsid w:val="789B7FE8"/>
    <w:rsid w:val="789C050B"/>
    <w:rsid w:val="789C6FEC"/>
    <w:rsid w:val="789D27E0"/>
    <w:rsid w:val="789D458E"/>
    <w:rsid w:val="789D6CAA"/>
    <w:rsid w:val="789E40A2"/>
    <w:rsid w:val="789E4EB1"/>
    <w:rsid w:val="789F51CB"/>
    <w:rsid w:val="789F74D8"/>
    <w:rsid w:val="78A00691"/>
    <w:rsid w:val="78A0407E"/>
    <w:rsid w:val="78A05E2C"/>
    <w:rsid w:val="78A07BDA"/>
    <w:rsid w:val="78A07E89"/>
    <w:rsid w:val="78A2146F"/>
    <w:rsid w:val="78A269DE"/>
    <w:rsid w:val="78A26ABB"/>
    <w:rsid w:val="78A26B49"/>
    <w:rsid w:val="78A27DF6"/>
    <w:rsid w:val="78A31478"/>
    <w:rsid w:val="78A315CC"/>
    <w:rsid w:val="78A33282"/>
    <w:rsid w:val="78A364D7"/>
    <w:rsid w:val="78A376CA"/>
    <w:rsid w:val="78A4106E"/>
    <w:rsid w:val="78A50061"/>
    <w:rsid w:val="78A53CFB"/>
    <w:rsid w:val="78A7023F"/>
    <w:rsid w:val="78A70F68"/>
    <w:rsid w:val="78A732C8"/>
    <w:rsid w:val="78A75A26"/>
    <w:rsid w:val="78A75C00"/>
    <w:rsid w:val="78A81248"/>
    <w:rsid w:val="78A82F32"/>
    <w:rsid w:val="78A84CE1"/>
    <w:rsid w:val="78A8576C"/>
    <w:rsid w:val="78A90480"/>
    <w:rsid w:val="78A91184"/>
    <w:rsid w:val="78A917B5"/>
    <w:rsid w:val="78A9524D"/>
    <w:rsid w:val="78AA0A59"/>
    <w:rsid w:val="78AA3B0C"/>
    <w:rsid w:val="78AA6CAB"/>
    <w:rsid w:val="78AA730B"/>
    <w:rsid w:val="78AB2110"/>
    <w:rsid w:val="78AC0FFD"/>
    <w:rsid w:val="78AC2A23"/>
    <w:rsid w:val="78AC47D1"/>
    <w:rsid w:val="78AC48FA"/>
    <w:rsid w:val="78AC69AC"/>
    <w:rsid w:val="78AD0549"/>
    <w:rsid w:val="78AD4288"/>
    <w:rsid w:val="78AD7CCB"/>
    <w:rsid w:val="78AE0074"/>
    <w:rsid w:val="78AE46A0"/>
    <w:rsid w:val="78AE505E"/>
    <w:rsid w:val="78AF42C1"/>
    <w:rsid w:val="78B000CB"/>
    <w:rsid w:val="78B11DE7"/>
    <w:rsid w:val="78B25C27"/>
    <w:rsid w:val="78B33C13"/>
    <w:rsid w:val="78B33DB1"/>
    <w:rsid w:val="78B346DE"/>
    <w:rsid w:val="78B35B5F"/>
    <w:rsid w:val="78B36EFE"/>
    <w:rsid w:val="78B47B29"/>
    <w:rsid w:val="78B57ABA"/>
    <w:rsid w:val="78B638A1"/>
    <w:rsid w:val="78B673FD"/>
    <w:rsid w:val="78B76110"/>
    <w:rsid w:val="78B813C8"/>
    <w:rsid w:val="78B874DB"/>
    <w:rsid w:val="78B9050D"/>
    <w:rsid w:val="78B90FD7"/>
    <w:rsid w:val="78B95140"/>
    <w:rsid w:val="78B97DC5"/>
    <w:rsid w:val="78BA0AE0"/>
    <w:rsid w:val="78BB0E38"/>
    <w:rsid w:val="78BB0EB8"/>
    <w:rsid w:val="78BB478B"/>
    <w:rsid w:val="78BB7539"/>
    <w:rsid w:val="78BC253A"/>
    <w:rsid w:val="78BC541D"/>
    <w:rsid w:val="78BD18A4"/>
    <w:rsid w:val="78BD2111"/>
    <w:rsid w:val="78BE2756"/>
    <w:rsid w:val="78BE3728"/>
    <w:rsid w:val="78BE3A35"/>
    <w:rsid w:val="78BE3DC1"/>
    <w:rsid w:val="78BE4504"/>
    <w:rsid w:val="78BE5FE3"/>
    <w:rsid w:val="78BE62B2"/>
    <w:rsid w:val="78BF0D77"/>
    <w:rsid w:val="78BF4DCC"/>
    <w:rsid w:val="78C0027C"/>
    <w:rsid w:val="78C03AE3"/>
    <w:rsid w:val="78C064CE"/>
    <w:rsid w:val="78C121D6"/>
    <w:rsid w:val="78C14B4E"/>
    <w:rsid w:val="78C22246"/>
    <w:rsid w:val="78C23FF4"/>
    <w:rsid w:val="78C254BE"/>
    <w:rsid w:val="78C25DA2"/>
    <w:rsid w:val="78C31B1A"/>
    <w:rsid w:val="78C32D0B"/>
    <w:rsid w:val="78C338C8"/>
    <w:rsid w:val="78C35DF4"/>
    <w:rsid w:val="78C43C37"/>
    <w:rsid w:val="78C53CD6"/>
    <w:rsid w:val="78C54726"/>
    <w:rsid w:val="78C54E15"/>
    <w:rsid w:val="78C74231"/>
    <w:rsid w:val="78C74C7B"/>
    <w:rsid w:val="78C76F81"/>
    <w:rsid w:val="78C8056D"/>
    <w:rsid w:val="78C807D6"/>
    <w:rsid w:val="78C87131"/>
    <w:rsid w:val="78C91C66"/>
    <w:rsid w:val="78C95383"/>
    <w:rsid w:val="78C979B2"/>
    <w:rsid w:val="78CA1167"/>
    <w:rsid w:val="78CA30F6"/>
    <w:rsid w:val="78CA500D"/>
    <w:rsid w:val="78CA717D"/>
    <w:rsid w:val="78CA7F3E"/>
    <w:rsid w:val="78CB5D3A"/>
    <w:rsid w:val="78CB6182"/>
    <w:rsid w:val="78CB7157"/>
    <w:rsid w:val="78CB76DB"/>
    <w:rsid w:val="78CC05E7"/>
    <w:rsid w:val="78CC11E9"/>
    <w:rsid w:val="78CC359E"/>
    <w:rsid w:val="78CC6C21"/>
    <w:rsid w:val="78CD4747"/>
    <w:rsid w:val="78CE0040"/>
    <w:rsid w:val="78CE0BEB"/>
    <w:rsid w:val="78CE120F"/>
    <w:rsid w:val="78CE2999"/>
    <w:rsid w:val="78CF226D"/>
    <w:rsid w:val="78D05741"/>
    <w:rsid w:val="78D11DA9"/>
    <w:rsid w:val="78D12489"/>
    <w:rsid w:val="78D13BAA"/>
    <w:rsid w:val="78D178AE"/>
    <w:rsid w:val="78D21D5D"/>
    <w:rsid w:val="78D23D94"/>
    <w:rsid w:val="78D24510"/>
    <w:rsid w:val="78D31843"/>
    <w:rsid w:val="78D33689"/>
    <w:rsid w:val="78D35C0D"/>
    <w:rsid w:val="78D37FAF"/>
    <w:rsid w:val="78D42234"/>
    <w:rsid w:val="78D51459"/>
    <w:rsid w:val="78D51699"/>
    <w:rsid w:val="78D571F1"/>
    <w:rsid w:val="78D6184E"/>
    <w:rsid w:val="78D62131"/>
    <w:rsid w:val="78D62451"/>
    <w:rsid w:val="78D635FC"/>
    <w:rsid w:val="78D6368A"/>
    <w:rsid w:val="78D67AA0"/>
    <w:rsid w:val="78D8344D"/>
    <w:rsid w:val="78D855C6"/>
    <w:rsid w:val="78D87374"/>
    <w:rsid w:val="78D9133E"/>
    <w:rsid w:val="78D96CA7"/>
    <w:rsid w:val="78DA1B2B"/>
    <w:rsid w:val="78DB156E"/>
    <w:rsid w:val="78DB52AF"/>
    <w:rsid w:val="78DB76E0"/>
    <w:rsid w:val="78DC00DC"/>
    <w:rsid w:val="78DC3CE6"/>
    <w:rsid w:val="78DC4E36"/>
    <w:rsid w:val="78DD0E2E"/>
    <w:rsid w:val="78DD498A"/>
    <w:rsid w:val="78DD549F"/>
    <w:rsid w:val="78DE01BC"/>
    <w:rsid w:val="78DE29FC"/>
    <w:rsid w:val="78DE3B4C"/>
    <w:rsid w:val="78DE5373"/>
    <w:rsid w:val="78DE6954"/>
    <w:rsid w:val="78DF15B6"/>
    <w:rsid w:val="78DF6413"/>
    <w:rsid w:val="78E0091E"/>
    <w:rsid w:val="78E026CC"/>
    <w:rsid w:val="78E034F7"/>
    <w:rsid w:val="78E0447A"/>
    <w:rsid w:val="78E0531C"/>
    <w:rsid w:val="78E116E3"/>
    <w:rsid w:val="78E16198"/>
    <w:rsid w:val="78E21F6A"/>
    <w:rsid w:val="78E24696"/>
    <w:rsid w:val="78E246D8"/>
    <w:rsid w:val="78E25C4A"/>
    <w:rsid w:val="78E33978"/>
    <w:rsid w:val="78E35799"/>
    <w:rsid w:val="78E370A5"/>
    <w:rsid w:val="78E37A68"/>
    <w:rsid w:val="78E403CB"/>
    <w:rsid w:val="78E51301"/>
    <w:rsid w:val="78E51A91"/>
    <w:rsid w:val="78E53B2E"/>
    <w:rsid w:val="78E55F35"/>
    <w:rsid w:val="78E57CE3"/>
    <w:rsid w:val="78E6452D"/>
    <w:rsid w:val="78E71C39"/>
    <w:rsid w:val="78E75809"/>
    <w:rsid w:val="78E75FEB"/>
    <w:rsid w:val="78E81581"/>
    <w:rsid w:val="78E8332F"/>
    <w:rsid w:val="78E977D3"/>
    <w:rsid w:val="78E97D12"/>
    <w:rsid w:val="78EA608E"/>
    <w:rsid w:val="78EC2E1F"/>
    <w:rsid w:val="78EC6490"/>
    <w:rsid w:val="78EC7BD1"/>
    <w:rsid w:val="78ED5238"/>
    <w:rsid w:val="78ED794C"/>
    <w:rsid w:val="78EE0695"/>
    <w:rsid w:val="78EE4DE9"/>
    <w:rsid w:val="78EE6B97"/>
    <w:rsid w:val="78EF0B61"/>
    <w:rsid w:val="78EF6552"/>
    <w:rsid w:val="78F00C15"/>
    <w:rsid w:val="78F10E72"/>
    <w:rsid w:val="78F13E09"/>
    <w:rsid w:val="78F148D9"/>
    <w:rsid w:val="78F16688"/>
    <w:rsid w:val="78F2570F"/>
    <w:rsid w:val="78F30652"/>
    <w:rsid w:val="78F314AD"/>
    <w:rsid w:val="78F32400"/>
    <w:rsid w:val="78F33AFF"/>
    <w:rsid w:val="78F341AE"/>
    <w:rsid w:val="78F41CD4"/>
    <w:rsid w:val="78F45C2F"/>
    <w:rsid w:val="78F51DCC"/>
    <w:rsid w:val="78F531E6"/>
    <w:rsid w:val="78F5423A"/>
    <w:rsid w:val="78F54289"/>
    <w:rsid w:val="78F543CA"/>
    <w:rsid w:val="78F61E87"/>
    <w:rsid w:val="78F61EF0"/>
    <w:rsid w:val="78F63C9E"/>
    <w:rsid w:val="78F65A4C"/>
    <w:rsid w:val="78F65BB3"/>
    <w:rsid w:val="78F7045B"/>
    <w:rsid w:val="78F727FB"/>
    <w:rsid w:val="78F72B1E"/>
    <w:rsid w:val="78F84E47"/>
    <w:rsid w:val="78F85668"/>
    <w:rsid w:val="78F85C68"/>
    <w:rsid w:val="78F92189"/>
    <w:rsid w:val="78F9378E"/>
    <w:rsid w:val="78F9553C"/>
    <w:rsid w:val="78F9769D"/>
    <w:rsid w:val="78FA19E0"/>
    <w:rsid w:val="78FA7B41"/>
    <w:rsid w:val="78FC32EA"/>
    <w:rsid w:val="78FD217B"/>
    <w:rsid w:val="78FD327E"/>
    <w:rsid w:val="78FD502C"/>
    <w:rsid w:val="78FD6C48"/>
    <w:rsid w:val="78FD6DDA"/>
    <w:rsid w:val="78FE33D3"/>
    <w:rsid w:val="78FE5F2F"/>
    <w:rsid w:val="78FF2439"/>
    <w:rsid w:val="78FF3476"/>
    <w:rsid w:val="79002D6F"/>
    <w:rsid w:val="79013499"/>
    <w:rsid w:val="790145D7"/>
    <w:rsid w:val="79017041"/>
    <w:rsid w:val="79021D0D"/>
    <w:rsid w:val="79033287"/>
    <w:rsid w:val="7904460D"/>
    <w:rsid w:val="790463BB"/>
    <w:rsid w:val="79050385"/>
    <w:rsid w:val="790543A1"/>
    <w:rsid w:val="79063B4E"/>
    <w:rsid w:val="790733F3"/>
    <w:rsid w:val="790740FD"/>
    <w:rsid w:val="79075EAB"/>
    <w:rsid w:val="79077C59"/>
    <w:rsid w:val="79082CFE"/>
    <w:rsid w:val="790915FF"/>
    <w:rsid w:val="79091C23"/>
    <w:rsid w:val="790939D1"/>
    <w:rsid w:val="79093BDF"/>
    <w:rsid w:val="790A1822"/>
    <w:rsid w:val="790A19FC"/>
    <w:rsid w:val="790A315A"/>
    <w:rsid w:val="790A7749"/>
    <w:rsid w:val="790B45E8"/>
    <w:rsid w:val="790C1713"/>
    <w:rsid w:val="790C34C1"/>
    <w:rsid w:val="790C526F"/>
    <w:rsid w:val="790C579E"/>
    <w:rsid w:val="790C74CF"/>
    <w:rsid w:val="790D2781"/>
    <w:rsid w:val="790D6EC5"/>
    <w:rsid w:val="790E0FE8"/>
    <w:rsid w:val="790E1ADB"/>
    <w:rsid w:val="790E49BA"/>
    <w:rsid w:val="790E548B"/>
    <w:rsid w:val="790E68AB"/>
    <w:rsid w:val="790F790E"/>
    <w:rsid w:val="79102556"/>
    <w:rsid w:val="79102FB2"/>
    <w:rsid w:val="7910652B"/>
    <w:rsid w:val="791106B3"/>
    <w:rsid w:val="79110AD8"/>
    <w:rsid w:val="79112886"/>
    <w:rsid w:val="791165F7"/>
    <w:rsid w:val="79116A5F"/>
    <w:rsid w:val="791216C9"/>
    <w:rsid w:val="79126122"/>
    <w:rsid w:val="791262D9"/>
    <w:rsid w:val="791308C9"/>
    <w:rsid w:val="79132AA2"/>
    <w:rsid w:val="79133208"/>
    <w:rsid w:val="791365FE"/>
    <w:rsid w:val="791374B0"/>
    <w:rsid w:val="79142376"/>
    <w:rsid w:val="79144124"/>
    <w:rsid w:val="79144FF3"/>
    <w:rsid w:val="79151F2D"/>
    <w:rsid w:val="79153747"/>
    <w:rsid w:val="791552D0"/>
    <w:rsid w:val="7915569C"/>
    <w:rsid w:val="79161A66"/>
    <w:rsid w:val="7916202A"/>
    <w:rsid w:val="79162DF9"/>
    <w:rsid w:val="7917517B"/>
    <w:rsid w:val="7917592A"/>
    <w:rsid w:val="791767BE"/>
    <w:rsid w:val="791800B8"/>
    <w:rsid w:val="79181E66"/>
    <w:rsid w:val="79183999"/>
    <w:rsid w:val="79183C14"/>
    <w:rsid w:val="7918768E"/>
    <w:rsid w:val="7919007E"/>
    <w:rsid w:val="79192B0B"/>
    <w:rsid w:val="79193243"/>
    <w:rsid w:val="79193CB5"/>
    <w:rsid w:val="7919697A"/>
    <w:rsid w:val="7919798C"/>
    <w:rsid w:val="791A150E"/>
    <w:rsid w:val="791A202D"/>
    <w:rsid w:val="791A3E30"/>
    <w:rsid w:val="791B3704"/>
    <w:rsid w:val="791B4B57"/>
    <w:rsid w:val="791C4186"/>
    <w:rsid w:val="791D0808"/>
    <w:rsid w:val="791D122B"/>
    <w:rsid w:val="791D2444"/>
    <w:rsid w:val="791D3642"/>
    <w:rsid w:val="791D56CF"/>
    <w:rsid w:val="791D7EDE"/>
    <w:rsid w:val="791E10C4"/>
    <w:rsid w:val="791E4FA3"/>
    <w:rsid w:val="791F1447"/>
    <w:rsid w:val="791F31F5"/>
    <w:rsid w:val="79201D5D"/>
    <w:rsid w:val="79202AC9"/>
    <w:rsid w:val="792078FD"/>
    <w:rsid w:val="79214E3A"/>
    <w:rsid w:val="792213E1"/>
    <w:rsid w:val="79222CE5"/>
    <w:rsid w:val="79224A93"/>
    <w:rsid w:val="79226841"/>
    <w:rsid w:val="79227CA0"/>
    <w:rsid w:val="7924080B"/>
    <w:rsid w:val="7924221A"/>
    <w:rsid w:val="79244C47"/>
    <w:rsid w:val="79246A5D"/>
    <w:rsid w:val="7925274C"/>
    <w:rsid w:val="79254583"/>
    <w:rsid w:val="792546C5"/>
    <w:rsid w:val="79254E64"/>
    <w:rsid w:val="7926782A"/>
    <w:rsid w:val="79267AB1"/>
    <w:rsid w:val="792720A9"/>
    <w:rsid w:val="79281E87"/>
    <w:rsid w:val="79282E51"/>
    <w:rsid w:val="79286E57"/>
    <w:rsid w:val="7929020A"/>
    <w:rsid w:val="79294D66"/>
    <w:rsid w:val="79295E21"/>
    <w:rsid w:val="792A1B99"/>
    <w:rsid w:val="792A2A4B"/>
    <w:rsid w:val="792A31EC"/>
    <w:rsid w:val="792A3275"/>
    <w:rsid w:val="792B0C92"/>
    <w:rsid w:val="792B0DF4"/>
    <w:rsid w:val="792B2493"/>
    <w:rsid w:val="792B6360"/>
    <w:rsid w:val="792B7DEB"/>
    <w:rsid w:val="792D2B25"/>
    <w:rsid w:val="792E1E64"/>
    <w:rsid w:val="792E7AEB"/>
    <w:rsid w:val="792F0F5E"/>
    <w:rsid w:val="792F3070"/>
    <w:rsid w:val="79302D6A"/>
    <w:rsid w:val="79305402"/>
    <w:rsid w:val="7931117A"/>
    <w:rsid w:val="793220D4"/>
    <w:rsid w:val="79322E1E"/>
    <w:rsid w:val="79326BC6"/>
    <w:rsid w:val="79330A4E"/>
    <w:rsid w:val="793326CC"/>
    <w:rsid w:val="793338F7"/>
    <w:rsid w:val="79333CEA"/>
    <w:rsid w:val="79334EF2"/>
    <w:rsid w:val="79335029"/>
    <w:rsid w:val="793420B5"/>
    <w:rsid w:val="793437F6"/>
    <w:rsid w:val="79344C86"/>
    <w:rsid w:val="79344EF9"/>
    <w:rsid w:val="79356B86"/>
    <w:rsid w:val="7936053E"/>
    <w:rsid w:val="793622EC"/>
    <w:rsid w:val="7937045D"/>
    <w:rsid w:val="79371A2D"/>
    <w:rsid w:val="79371E07"/>
    <w:rsid w:val="79372177"/>
    <w:rsid w:val="79383048"/>
    <w:rsid w:val="79386064"/>
    <w:rsid w:val="793876EF"/>
    <w:rsid w:val="793935DE"/>
    <w:rsid w:val="793A002E"/>
    <w:rsid w:val="793A6280"/>
    <w:rsid w:val="793B1A71"/>
    <w:rsid w:val="793B1EB5"/>
    <w:rsid w:val="793B3DA7"/>
    <w:rsid w:val="793C06F5"/>
    <w:rsid w:val="793C0847"/>
    <w:rsid w:val="793D2AAD"/>
    <w:rsid w:val="793D7B1F"/>
    <w:rsid w:val="793E3D99"/>
    <w:rsid w:val="793E3E21"/>
    <w:rsid w:val="793F17F7"/>
    <w:rsid w:val="793F3897"/>
    <w:rsid w:val="793F3DFB"/>
    <w:rsid w:val="793F5645"/>
    <w:rsid w:val="79410FBE"/>
    <w:rsid w:val="79412313"/>
    <w:rsid w:val="794171D9"/>
    <w:rsid w:val="79420C91"/>
    <w:rsid w:val="7942400F"/>
    <w:rsid w:val="79426EE3"/>
    <w:rsid w:val="7942732B"/>
    <w:rsid w:val="79427E10"/>
    <w:rsid w:val="7943341B"/>
    <w:rsid w:val="79442C5B"/>
    <w:rsid w:val="7944477B"/>
    <w:rsid w:val="794455D0"/>
    <w:rsid w:val="7945060E"/>
    <w:rsid w:val="79450781"/>
    <w:rsid w:val="794559D8"/>
    <w:rsid w:val="79455C0B"/>
    <w:rsid w:val="79464C25"/>
    <w:rsid w:val="794669D3"/>
    <w:rsid w:val="7946709B"/>
    <w:rsid w:val="7947274B"/>
    <w:rsid w:val="794762A8"/>
    <w:rsid w:val="794768AA"/>
    <w:rsid w:val="79490272"/>
    <w:rsid w:val="794909BC"/>
    <w:rsid w:val="79492020"/>
    <w:rsid w:val="79493EC0"/>
    <w:rsid w:val="794A45A0"/>
    <w:rsid w:val="794A62F8"/>
    <w:rsid w:val="794B033C"/>
    <w:rsid w:val="794C17CC"/>
    <w:rsid w:val="794C1B10"/>
    <w:rsid w:val="794C35A2"/>
    <w:rsid w:val="794C7D62"/>
    <w:rsid w:val="794D2E1F"/>
    <w:rsid w:val="794D439D"/>
    <w:rsid w:val="794D6A8B"/>
    <w:rsid w:val="794E57F6"/>
    <w:rsid w:val="794E6242"/>
    <w:rsid w:val="794E7850"/>
    <w:rsid w:val="794F33AE"/>
    <w:rsid w:val="794F7C70"/>
    <w:rsid w:val="795022A2"/>
    <w:rsid w:val="79507852"/>
    <w:rsid w:val="79512C0E"/>
    <w:rsid w:val="79514A22"/>
    <w:rsid w:val="79515378"/>
    <w:rsid w:val="795173B4"/>
    <w:rsid w:val="79530643"/>
    <w:rsid w:val="795310F0"/>
    <w:rsid w:val="795347EA"/>
    <w:rsid w:val="79536ACE"/>
    <w:rsid w:val="79537342"/>
    <w:rsid w:val="7954169F"/>
    <w:rsid w:val="795434FC"/>
    <w:rsid w:val="79547C1E"/>
    <w:rsid w:val="79552975"/>
    <w:rsid w:val="79554E68"/>
    <w:rsid w:val="795804B5"/>
    <w:rsid w:val="795A42B1"/>
    <w:rsid w:val="795A74AB"/>
    <w:rsid w:val="795B1EB6"/>
    <w:rsid w:val="795B7FA5"/>
    <w:rsid w:val="795C7FCB"/>
    <w:rsid w:val="795D1F6F"/>
    <w:rsid w:val="795D5ACB"/>
    <w:rsid w:val="795D6C28"/>
    <w:rsid w:val="795F1843"/>
    <w:rsid w:val="795F1F28"/>
    <w:rsid w:val="795F5CB8"/>
    <w:rsid w:val="795F67B2"/>
    <w:rsid w:val="796055BB"/>
    <w:rsid w:val="79607369"/>
    <w:rsid w:val="796135B8"/>
    <w:rsid w:val="7961380D"/>
    <w:rsid w:val="79616133"/>
    <w:rsid w:val="7961616E"/>
    <w:rsid w:val="79620B57"/>
    <w:rsid w:val="79621333"/>
    <w:rsid w:val="796230E1"/>
    <w:rsid w:val="796232D8"/>
    <w:rsid w:val="79627585"/>
    <w:rsid w:val="796450AB"/>
    <w:rsid w:val="7964601B"/>
    <w:rsid w:val="79646E59"/>
    <w:rsid w:val="79652624"/>
    <w:rsid w:val="7965292A"/>
    <w:rsid w:val="79657AC4"/>
    <w:rsid w:val="79660172"/>
    <w:rsid w:val="79660E24"/>
    <w:rsid w:val="79661212"/>
    <w:rsid w:val="79664563"/>
    <w:rsid w:val="79664F44"/>
    <w:rsid w:val="796706F8"/>
    <w:rsid w:val="796763D4"/>
    <w:rsid w:val="79680FA5"/>
    <w:rsid w:val="796813AD"/>
    <w:rsid w:val="79686892"/>
    <w:rsid w:val="796926C2"/>
    <w:rsid w:val="796A6AF6"/>
    <w:rsid w:val="796B01E8"/>
    <w:rsid w:val="796B545B"/>
    <w:rsid w:val="796B72E8"/>
    <w:rsid w:val="796C0DB6"/>
    <w:rsid w:val="796C391D"/>
    <w:rsid w:val="796C5D0E"/>
    <w:rsid w:val="796C67E1"/>
    <w:rsid w:val="796D1604"/>
    <w:rsid w:val="796D3096"/>
    <w:rsid w:val="796D70E4"/>
    <w:rsid w:val="796E5F2A"/>
    <w:rsid w:val="796E604F"/>
    <w:rsid w:val="796E67BF"/>
    <w:rsid w:val="796E72AE"/>
    <w:rsid w:val="796E7CD8"/>
    <w:rsid w:val="796F0248"/>
    <w:rsid w:val="796F16BD"/>
    <w:rsid w:val="796F28C5"/>
    <w:rsid w:val="79703A50"/>
    <w:rsid w:val="7970564B"/>
    <w:rsid w:val="797057FE"/>
    <w:rsid w:val="79706CB9"/>
    <w:rsid w:val="79711AA2"/>
    <w:rsid w:val="7971226B"/>
    <w:rsid w:val="79716366"/>
    <w:rsid w:val="797177C8"/>
    <w:rsid w:val="79725A1A"/>
    <w:rsid w:val="797263C7"/>
    <w:rsid w:val="7972684F"/>
    <w:rsid w:val="797272C0"/>
    <w:rsid w:val="79732655"/>
    <w:rsid w:val="79733540"/>
    <w:rsid w:val="797352EE"/>
    <w:rsid w:val="79736BA9"/>
    <w:rsid w:val="79745D22"/>
    <w:rsid w:val="79750A88"/>
    <w:rsid w:val="79752E15"/>
    <w:rsid w:val="79755499"/>
    <w:rsid w:val="797572B9"/>
    <w:rsid w:val="79764DDF"/>
    <w:rsid w:val="79771676"/>
    <w:rsid w:val="79771EE3"/>
    <w:rsid w:val="79773031"/>
    <w:rsid w:val="797846B3"/>
    <w:rsid w:val="797863B9"/>
    <w:rsid w:val="797A0365"/>
    <w:rsid w:val="797A290C"/>
    <w:rsid w:val="797A48CF"/>
    <w:rsid w:val="797A5F8B"/>
    <w:rsid w:val="797A667D"/>
    <w:rsid w:val="797A72D9"/>
    <w:rsid w:val="797C191B"/>
    <w:rsid w:val="797C2468"/>
    <w:rsid w:val="797C64B0"/>
    <w:rsid w:val="797D3B16"/>
    <w:rsid w:val="797D43BF"/>
    <w:rsid w:val="797D4C25"/>
    <w:rsid w:val="797E23E2"/>
    <w:rsid w:val="797E2610"/>
    <w:rsid w:val="797E2846"/>
    <w:rsid w:val="797E5D37"/>
    <w:rsid w:val="797F3C54"/>
    <w:rsid w:val="797F5A41"/>
    <w:rsid w:val="797F66A4"/>
    <w:rsid w:val="797F7E64"/>
    <w:rsid w:val="798017B9"/>
    <w:rsid w:val="79811B4C"/>
    <w:rsid w:val="7981470F"/>
    <w:rsid w:val="79815C5D"/>
    <w:rsid w:val="79817A0B"/>
    <w:rsid w:val="7982533E"/>
    <w:rsid w:val="79825C01"/>
    <w:rsid w:val="7983212C"/>
    <w:rsid w:val="79836C2D"/>
    <w:rsid w:val="798412AA"/>
    <w:rsid w:val="79845141"/>
    <w:rsid w:val="79846EF1"/>
    <w:rsid w:val="798474FC"/>
    <w:rsid w:val="798542B5"/>
    <w:rsid w:val="79854A26"/>
    <w:rsid w:val="79856DD0"/>
    <w:rsid w:val="79863274"/>
    <w:rsid w:val="79863BEA"/>
    <w:rsid w:val="7986625E"/>
    <w:rsid w:val="79870D9A"/>
    <w:rsid w:val="79872B48"/>
    <w:rsid w:val="79875B0A"/>
    <w:rsid w:val="79876FEC"/>
    <w:rsid w:val="79886F0B"/>
    <w:rsid w:val="798902DE"/>
    <w:rsid w:val="79892D64"/>
    <w:rsid w:val="79893213"/>
    <w:rsid w:val="798B433F"/>
    <w:rsid w:val="798C500B"/>
    <w:rsid w:val="798D324A"/>
    <w:rsid w:val="798D4602"/>
    <w:rsid w:val="798E2128"/>
    <w:rsid w:val="798E2D47"/>
    <w:rsid w:val="798E3ED6"/>
    <w:rsid w:val="798F34E7"/>
    <w:rsid w:val="79904524"/>
    <w:rsid w:val="799139C7"/>
    <w:rsid w:val="79923AE5"/>
    <w:rsid w:val="79927E6B"/>
    <w:rsid w:val="799404C6"/>
    <w:rsid w:val="79940BDE"/>
    <w:rsid w:val="79946C8F"/>
    <w:rsid w:val="79951709"/>
    <w:rsid w:val="799534B7"/>
    <w:rsid w:val="799536BA"/>
    <w:rsid w:val="79955265"/>
    <w:rsid w:val="79961398"/>
    <w:rsid w:val="79961451"/>
    <w:rsid w:val="79964022"/>
    <w:rsid w:val="79964601"/>
    <w:rsid w:val="799728E1"/>
    <w:rsid w:val="799754B2"/>
    <w:rsid w:val="799812E8"/>
    <w:rsid w:val="79984D55"/>
    <w:rsid w:val="79986942"/>
    <w:rsid w:val="799A00A8"/>
    <w:rsid w:val="799A018D"/>
    <w:rsid w:val="799A1724"/>
    <w:rsid w:val="799A287B"/>
    <w:rsid w:val="799A4C75"/>
    <w:rsid w:val="799B15E0"/>
    <w:rsid w:val="799B3548"/>
    <w:rsid w:val="799B3E33"/>
    <w:rsid w:val="799B65F3"/>
    <w:rsid w:val="799C4845"/>
    <w:rsid w:val="799D05BD"/>
    <w:rsid w:val="799E0AB6"/>
    <w:rsid w:val="799E10A7"/>
    <w:rsid w:val="799E3AFC"/>
    <w:rsid w:val="799E6514"/>
    <w:rsid w:val="799E7395"/>
    <w:rsid w:val="799F35D4"/>
    <w:rsid w:val="799F38A7"/>
    <w:rsid w:val="799F3C44"/>
    <w:rsid w:val="799F4335"/>
    <w:rsid w:val="799F5D6F"/>
    <w:rsid w:val="799F60E4"/>
    <w:rsid w:val="799F6815"/>
    <w:rsid w:val="799F7E92"/>
    <w:rsid w:val="79A11E5C"/>
    <w:rsid w:val="79A129D5"/>
    <w:rsid w:val="79A1389B"/>
    <w:rsid w:val="79A201E7"/>
    <w:rsid w:val="79A26B99"/>
    <w:rsid w:val="79A27982"/>
    <w:rsid w:val="79A333E3"/>
    <w:rsid w:val="79A42225"/>
    <w:rsid w:val="79A42CB5"/>
    <w:rsid w:val="79A4323A"/>
    <w:rsid w:val="79A436FA"/>
    <w:rsid w:val="79A47EB6"/>
    <w:rsid w:val="79A611AD"/>
    <w:rsid w:val="79A61220"/>
    <w:rsid w:val="79A623D6"/>
    <w:rsid w:val="79A656C4"/>
    <w:rsid w:val="79A66416"/>
    <w:rsid w:val="79A72DD3"/>
    <w:rsid w:val="79A731EA"/>
    <w:rsid w:val="79A73866"/>
    <w:rsid w:val="79A73BD4"/>
    <w:rsid w:val="79A75608"/>
    <w:rsid w:val="79A75683"/>
    <w:rsid w:val="79A8143C"/>
    <w:rsid w:val="79A860DA"/>
    <w:rsid w:val="79A86A7D"/>
    <w:rsid w:val="79A87516"/>
    <w:rsid w:val="79A90652"/>
    <w:rsid w:val="79A90D10"/>
    <w:rsid w:val="79A914A0"/>
    <w:rsid w:val="79A93C57"/>
    <w:rsid w:val="79A94446"/>
    <w:rsid w:val="79A96F62"/>
    <w:rsid w:val="79AA2B42"/>
    <w:rsid w:val="79AA56FB"/>
    <w:rsid w:val="79AA7760"/>
    <w:rsid w:val="79AB07DC"/>
    <w:rsid w:val="79AC25AE"/>
    <w:rsid w:val="79AC6248"/>
    <w:rsid w:val="79AD4456"/>
    <w:rsid w:val="79AD6A52"/>
    <w:rsid w:val="79AE0B68"/>
    <w:rsid w:val="79AE27CB"/>
    <w:rsid w:val="79AE2B56"/>
    <w:rsid w:val="79AE4579"/>
    <w:rsid w:val="79AE6327"/>
    <w:rsid w:val="79AF1FF8"/>
    <w:rsid w:val="79B002F1"/>
    <w:rsid w:val="79B20F0A"/>
    <w:rsid w:val="79B25E17"/>
    <w:rsid w:val="79B26361"/>
    <w:rsid w:val="79B3393D"/>
    <w:rsid w:val="79B35946"/>
    <w:rsid w:val="79B407CC"/>
    <w:rsid w:val="79B41303"/>
    <w:rsid w:val="79B4170F"/>
    <w:rsid w:val="79B439CB"/>
    <w:rsid w:val="79B5322F"/>
    <w:rsid w:val="79B54734"/>
    <w:rsid w:val="79B55907"/>
    <w:rsid w:val="79B62C5A"/>
    <w:rsid w:val="79B7167F"/>
    <w:rsid w:val="79B7342D"/>
    <w:rsid w:val="79B750D9"/>
    <w:rsid w:val="79B7799C"/>
    <w:rsid w:val="79B77F68"/>
    <w:rsid w:val="79B83965"/>
    <w:rsid w:val="79B8731E"/>
    <w:rsid w:val="79B90868"/>
    <w:rsid w:val="79B91217"/>
    <w:rsid w:val="79B95330"/>
    <w:rsid w:val="79B97BDD"/>
    <w:rsid w:val="79BA084C"/>
    <w:rsid w:val="79BA0DD5"/>
    <w:rsid w:val="79BA2D72"/>
    <w:rsid w:val="79BA4D16"/>
    <w:rsid w:val="79BB0543"/>
    <w:rsid w:val="79BB428F"/>
    <w:rsid w:val="79BC316C"/>
    <w:rsid w:val="79BC3BE8"/>
    <w:rsid w:val="79BC6C95"/>
    <w:rsid w:val="79BD47BC"/>
    <w:rsid w:val="79BE0C60"/>
    <w:rsid w:val="79BE6AF7"/>
    <w:rsid w:val="79BF0130"/>
    <w:rsid w:val="79BF0534"/>
    <w:rsid w:val="79BF22E2"/>
    <w:rsid w:val="79BF6786"/>
    <w:rsid w:val="79C02F7D"/>
    <w:rsid w:val="79C1384A"/>
    <w:rsid w:val="79C23032"/>
    <w:rsid w:val="79C235A5"/>
    <w:rsid w:val="79C27653"/>
    <w:rsid w:val="79C30024"/>
    <w:rsid w:val="79C35E7B"/>
    <w:rsid w:val="79C36276"/>
    <w:rsid w:val="79C42ADA"/>
    <w:rsid w:val="79C435FC"/>
    <w:rsid w:val="79C43D9C"/>
    <w:rsid w:val="79C444CF"/>
    <w:rsid w:val="79C45B4A"/>
    <w:rsid w:val="79C5595F"/>
    <w:rsid w:val="79C56DD2"/>
    <w:rsid w:val="79C76926"/>
    <w:rsid w:val="79C8388C"/>
    <w:rsid w:val="79C8563A"/>
    <w:rsid w:val="79C913B2"/>
    <w:rsid w:val="79C91E03"/>
    <w:rsid w:val="79C91FED"/>
    <w:rsid w:val="79C93160"/>
    <w:rsid w:val="79C97604"/>
    <w:rsid w:val="79C9794E"/>
    <w:rsid w:val="79CA0341"/>
    <w:rsid w:val="79CA0851"/>
    <w:rsid w:val="79CB0C87"/>
    <w:rsid w:val="79CB1E8A"/>
    <w:rsid w:val="79CB6ED9"/>
    <w:rsid w:val="79CC40F1"/>
    <w:rsid w:val="79CC49FF"/>
    <w:rsid w:val="79CC7F63"/>
    <w:rsid w:val="79CD0628"/>
    <w:rsid w:val="79CD0EA3"/>
    <w:rsid w:val="79CE69C9"/>
    <w:rsid w:val="79CF1151"/>
    <w:rsid w:val="79CF3A92"/>
    <w:rsid w:val="79CF426A"/>
    <w:rsid w:val="79CF664D"/>
    <w:rsid w:val="79D020C1"/>
    <w:rsid w:val="79D02A72"/>
    <w:rsid w:val="79D05C3A"/>
    <w:rsid w:val="79D129F2"/>
    <w:rsid w:val="79D13AAC"/>
    <w:rsid w:val="79D16AD3"/>
    <w:rsid w:val="79D2281B"/>
    <w:rsid w:val="79D24552"/>
    <w:rsid w:val="79D25462"/>
    <w:rsid w:val="79D35D8D"/>
    <w:rsid w:val="79D37523"/>
    <w:rsid w:val="79D42883"/>
    <w:rsid w:val="79D441CE"/>
    <w:rsid w:val="79D44E28"/>
    <w:rsid w:val="79D54D22"/>
    <w:rsid w:val="79D55FA9"/>
    <w:rsid w:val="79D57D57"/>
    <w:rsid w:val="79D63B4C"/>
    <w:rsid w:val="79D66E32"/>
    <w:rsid w:val="79D73ACF"/>
    <w:rsid w:val="79D7762B"/>
    <w:rsid w:val="79D80CB6"/>
    <w:rsid w:val="79D815F5"/>
    <w:rsid w:val="79D91FDB"/>
    <w:rsid w:val="79DA1E6C"/>
    <w:rsid w:val="79DA56A3"/>
    <w:rsid w:val="79DB1E70"/>
    <w:rsid w:val="79DB6086"/>
    <w:rsid w:val="79DC2E94"/>
    <w:rsid w:val="79DC716A"/>
    <w:rsid w:val="79DC7338"/>
    <w:rsid w:val="79DC7A9E"/>
    <w:rsid w:val="79DD09BA"/>
    <w:rsid w:val="79DD2504"/>
    <w:rsid w:val="79DE46E9"/>
    <w:rsid w:val="79DE4E5E"/>
    <w:rsid w:val="79DF2984"/>
    <w:rsid w:val="79DF5D1A"/>
    <w:rsid w:val="79E10962"/>
    <w:rsid w:val="79E143A4"/>
    <w:rsid w:val="79E165C8"/>
    <w:rsid w:val="79E166FC"/>
    <w:rsid w:val="79E169F8"/>
    <w:rsid w:val="79E21A8A"/>
    <w:rsid w:val="79E23728"/>
    <w:rsid w:val="79E24222"/>
    <w:rsid w:val="79E306C6"/>
    <w:rsid w:val="79E30EE8"/>
    <w:rsid w:val="79E400AC"/>
    <w:rsid w:val="79E41C54"/>
    <w:rsid w:val="79E41D48"/>
    <w:rsid w:val="79E46EF8"/>
    <w:rsid w:val="79E5221F"/>
    <w:rsid w:val="79E61F64"/>
    <w:rsid w:val="79E63914"/>
    <w:rsid w:val="79E6570B"/>
    <w:rsid w:val="79E65AC0"/>
    <w:rsid w:val="79E7243A"/>
    <w:rsid w:val="79E7601B"/>
    <w:rsid w:val="79E76670"/>
    <w:rsid w:val="79E77869"/>
    <w:rsid w:val="79E806A6"/>
    <w:rsid w:val="79E85CDC"/>
    <w:rsid w:val="79E87A8A"/>
    <w:rsid w:val="79E87C21"/>
    <w:rsid w:val="79E92804"/>
    <w:rsid w:val="79E944EB"/>
    <w:rsid w:val="79E9488A"/>
    <w:rsid w:val="79E955B1"/>
    <w:rsid w:val="79E9735F"/>
    <w:rsid w:val="79EA1711"/>
    <w:rsid w:val="79EA46D7"/>
    <w:rsid w:val="79EB1DCF"/>
    <w:rsid w:val="79EB224B"/>
    <w:rsid w:val="79ED4625"/>
    <w:rsid w:val="79ED6E4F"/>
    <w:rsid w:val="79ED72AB"/>
    <w:rsid w:val="79EE0E19"/>
    <w:rsid w:val="79EE2BC7"/>
    <w:rsid w:val="79EF0BCC"/>
    <w:rsid w:val="79EF5AA2"/>
    <w:rsid w:val="79F006ED"/>
    <w:rsid w:val="79F0693F"/>
    <w:rsid w:val="79F06E0D"/>
    <w:rsid w:val="79F12E09"/>
    <w:rsid w:val="79F226B7"/>
    <w:rsid w:val="79F2754D"/>
    <w:rsid w:val="79F277D4"/>
    <w:rsid w:val="79F31F06"/>
    <w:rsid w:val="79F3642F"/>
    <w:rsid w:val="79F5188C"/>
    <w:rsid w:val="79F521A7"/>
    <w:rsid w:val="79F52F67"/>
    <w:rsid w:val="79F538BA"/>
    <w:rsid w:val="79F71A7C"/>
    <w:rsid w:val="79F72007"/>
    <w:rsid w:val="79F756A0"/>
    <w:rsid w:val="79F75F20"/>
    <w:rsid w:val="79F7704F"/>
    <w:rsid w:val="79F77498"/>
    <w:rsid w:val="79F829DE"/>
    <w:rsid w:val="79F86A6C"/>
    <w:rsid w:val="79F93A46"/>
    <w:rsid w:val="79F9484F"/>
    <w:rsid w:val="79F95C54"/>
    <w:rsid w:val="79FA1134"/>
    <w:rsid w:val="79FA156C"/>
    <w:rsid w:val="79FA326F"/>
    <w:rsid w:val="79FA4FE6"/>
    <w:rsid w:val="79FA77BE"/>
    <w:rsid w:val="79FB4818"/>
    <w:rsid w:val="79FC05FF"/>
    <w:rsid w:val="79FC1788"/>
    <w:rsid w:val="79FC2002"/>
    <w:rsid w:val="79FC3536"/>
    <w:rsid w:val="79FC3D51"/>
    <w:rsid w:val="79FD171F"/>
    <w:rsid w:val="79FD1A8F"/>
    <w:rsid w:val="79FD2E0A"/>
    <w:rsid w:val="79FD4278"/>
    <w:rsid w:val="79FD4660"/>
    <w:rsid w:val="79FE105C"/>
    <w:rsid w:val="79FE21FD"/>
    <w:rsid w:val="79FE5951"/>
    <w:rsid w:val="79FE7BE3"/>
    <w:rsid w:val="79FE7EF1"/>
    <w:rsid w:val="79FF352D"/>
    <w:rsid w:val="7A00236B"/>
    <w:rsid w:val="7A010B4C"/>
    <w:rsid w:val="7A0128FA"/>
    <w:rsid w:val="7A012FE1"/>
    <w:rsid w:val="7A016DDC"/>
    <w:rsid w:val="7A024BBA"/>
    <w:rsid w:val="7A03357A"/>
    <w:rsid w:val="7A042854"/>
    <w:rsid w:val="7A044199"/>
    <w:rsid w:val="7A0441EA"/>
    <w:rsid w:val="7A0452CD"/>
    <w:rsid w:val="7A046449"/>
    <w:rsid w:val="7A0477EF"/>
    <w:rsid w:val="7A05148B"/>
    <w:rsid w:val="7A0559C3"/>
    <w:rsid w:val="7A0573B5"/>
    <w:rsid w:val="7A057B5F"/>
    <w:rsid w:val="7A0643B5"/>
    <w:rsid w:val="7A066163"/>
    <w:rsid w:val="7A08012D"/>
    <w:rsid w:val="7A080C3E"/>
    <w:rsid w:val="7A082045"/>
    <w:rsid w:val="7A083C89"/>
    <w:rsid w:val="7A085800"/>
    <w:rsid w:val="7A0917AF"/>
    <w:rsid w:val="7A0A0DE0"/>
    <w:rsid w:val="7A0A5C53"/>
    <w:rsid w:val="7A0B4248"/>
    <w:rsid w:val="7A0C2B39"/>
    <w:rsid w:val="7A0C4785"/>
    <w:rsid w:val="7A0D5743"/>
    <w:rsid w:val="7A0D74F1"/>
    <w:rsid w:val="7A0E5017"/>
    <w:rsid w:val="7A0F14BB"/>
    <w:rsid w:val="7A0F3269"/>
    <w:rsid w:val="7A0F4937"/>
    <w:rsid w:val="7A102B3D"/>
    <w:rsid w:val="7A107B3B"/>
    <w:rsid w:val="7A1232C8"/>
    <w:rsid w:val="7A131164"/>
    <w:rsid w:val="7A13262E"/>
    <w:rsid w:val="7A136886"/>
    <w:rsid w:val="7A141457"/>
    <w:rsid w:val="7A146C2D"/>
    <w:rsid w:val="7A147D16"/>
    <w:rsid w:val="7A1545F8"/>
    <w:rsid w:val="7A16011A"/>
    <w:rsid w:val="7A162FC2"/>
    <w:rsid w:val="7A16351C"/>
    <w:rsid w:val="7A166948"/>
    <w:rsid w:val="7A172B55"/>
    <w:rsid w:val="7A173ECC"/>
    <w:rsid w:val="7A177DD8"/>
    <w:rsid w:val="7A181268"/>
    <w:rsid w:val="7A187C44"/>
    <w:rsid w:val="7A191CAF"/>
    <w:rsid w:val="7A195997"/>
    <w:rsid w:val="7A195E96"/>
    <w:rsid w:val="7A1A7F38"/>
    <w:rsid w:val="7A1B2DC0"/>
    <w:rsid w:val="7A1B5018"/>
    <w:rsid w:val="7A1C017C"/>
    <w:rsid w:val="7A1C14E2"/>
    <w:rsid w:val="7A1C6DDC"/>
    <w:rsid w:val="7A1C7734"/>
    <w:rsid w:val="7A1C7BE9"/>
    <w:rsid w:val="7A1D305F"/>
    <w:rsid w:val="7A1E0212"/>
    <w:rsid w:val="7A1E16FE"/>
    <w:rsid w:val="7A1E525A"/>
    <w:rsid w:val="7A1E7074"/>
    <w:rsid w:val="7A1F426A"/>
    <w:rsid w:val="7A1F656A"/>
    <w:rsid w:val="7A201E81"/>
    <w:rsid w:val="7A203290"/>
    <w:rsid w:val="7A205476"/>
    <w:rsid w:val="7A213A5B"/>
    <w:rsid w:val="7A214D4A"/>
    <w:rsid w:val="7A22143D"/>
    <w:rsid w:val="7A230320"/>
    <w:rsid w:val="7A2341B7"/>
    <w:rsid w:val="7A236D15"/>
    <w:rsid w:val="7A236DF0"/>
    <w:rsid w:val="7A240F4C"/>
    <w:rsid w:val="7A24483B"/>
    <w:rsid w:val="7A244E9F"/>
    <w:rsid w:val="7A2465E9"/>
    <w:rsid w:val="7A2500FA"/>
    <w:rsid w:val="7A253953"/>
    <w:rsid w:val="7A254204"/>
    <w:rsid w:val="7A25552C"/>
    <w:rsid w:val="7A25761A"/>
    <w:rsid w:val="7A2605B3"/>
    <w:rsid w:val="7A266154"/>
    <w:rsid w:val="7A2753B5"/>
    <w:rsid w:val="7A275E24"/>
    <w:rsid w:val="7A27752A"/>
    <w:rsid w:val="7A28257D"/>
    <w:rsid w:val="7A283342"/>
    <w:rsid w:val="7A28432B"/>
    <w:rsid w:val="7A287E87"/>
    <w:rsid w:val="7A290383"/>
    <w:rsid w:val="7A293BFF"/>
    <w:rsid w:val="7A296304"/>
    <w:rsid w:val="7A2A1CE9"/>
    <w:rsid w:val="7A2B002F"/>
    <w:rsid w:val="7A2B12FD"/>
    <w:rsid w:val="7A2B189F"/>
    <w:rsid w:val="7A2B3E1B"/>
    <w:rsid w:val="7A2B5BC9"/>
    <w:rsid w:val="7A2B7F1F"/>
    <w:rsid w:val="7A2C0069"/>
    <w:rsid w:val="7A2C4AE8"/>
    <w:rsid w:val="7A2D2BA4"/>
    <w:rsid w:val="7A2D7B93"/>
    <w:rsid w:val="7A2E50C9"/>
    <w:rsid w:val="7A2F26AE"/>
    <w:rsid w:val="7A2F2D6C"/>
    <w:rsid w:val="7A2F491E"/>
    <w:rsid w:val="7A2F56B9"/>
    <w:rsid w:val="7A2F7467"/>
    <w:rsid w:val="7A301315"/>
    <w:rsid w:val="7A301431"/>
    <w:rsid w:val="7A304F8E"/>
    <w:rsid w:val="7A30625E"/>
    <w:rsid w:val="7A3078D4"/>
    <w:rsid w:val="7A313950"/>
    <w:rsid w:val="7A32410F"/>
    <w:rsid w:val="7A3249E0"/>
    <w:rsid w:val="7A326F58"/>
    <w:rsid w:val="7A332922"/>
    <w:rsid w:val="7A332C42"/>
    <w:rsid w:val="7A33329F"/>
    <w:rsid w:val="7A33570F"/>
    <w:rsid w:val="7A340F22"/>
    <w:rsid w:val="7A342CD0"/>
    <w:rsid w:val="7A342D54"/>
    <w:rsid w:val="7A347300"/>
    <w:rsid w:val="7A3507F6"/>
    <w:rsid w:val="7A3525A4"/>
    <w:rsid w:val="7A360328"/>
    <w:rsid w:val="7A362640"/>
    <w:rsid w:val="7A364017"/>
    <w:rsid w:val="7A366B1A"/>
    <w:rsid w:val="7A367560"/>
    <w:rsid w:val="7A3730B0"/>
    <w:rsid w:val="7A37456E"/>
    <w:rsid w:val="7A37631C"/>
    <w:rsid w:val="7A376ADB"/>
    <w:rsid w:val="7A382EE7"/>
    <w:rsid w:val="7A385087"/>
    <w:rsid w:val="7A387111"/>
    <w:rsid w:val="7A3908C4"/>
    <w:rsid w:val="7A3A3172"/>
    <w:rsid w:val="7A3A5E0C"/>
    <w:rsid w:val="7A3B22B0"/>
    <w:rsid w:val="7A3C0663"/>
    <w:rsid w:val="7A3C1D18"/>
    <w:rsid w:val="7A3E1E35"/>
    <w:rsid w:val="7A3E3B4E"/>
    <w:rsid w:val="7A3E58FC"/>
    <w:rsid w:val="7A3F0813"/>
    <w:rsid w:val="7A3F31CD"/>
    <w:rsid w:val="7A3F3423"/>
    <w:rsid w:val="7A3F5B5B"/>
    <w:rsid w:val="7A3F7FB6"/>
    <w:rsid w:val="7A4028F6"/>
    <w:rsid w:val="7A402B70"/>
    <w:rsid w:val="7A41014F"/>
    <w:rsid w:val="7A41363F"/>
    <w:rsid w:val="7A431165"/>
    <w:rsid w:val="7A4352D7"/>
    <w:rsid w:val="7A4353FC"/>
    <w:rsid w:val="7A445D92"/>
    <w:rsid w:val="7A4528CB"/>
    <w:rsid w:val="7A454EDD"/>
    <w:rsid w:val="7A456C8B"/>
    <w:rsid w:val="7A460C55"/>
    <w:rsid w:val="7A462A03"/>
    <w:rsid w:val="7A4772B2"/>
    <w:rsid w:val="7A480529"/>
    <w:rsid w:val="7A486C06"/>
    <w:rsid w:val="7A4871F4"/>
    <w:rsid w:val="7A48791D"/>
    <w:rsid w:val="7A490C75"/>
    <w:rsid w:val="7A4927D7"/>
    <w:rsid w:val="7A494D6B"/>
    <w:rsid w:val="7A49511D"/>
    <w:rsid w:val="7A4A24F3"/>
    <w:rsid w:val="7A4A42A1"/>
    <w:rsid w:val="7A4A70C2"/>
    <w:rsid w:val="7A4B0019"/>
    <w:rsid w:val="7A4B137B"/>
    <w:rsid w:val="7A4C30C0"/>
    <w:rsid w:val="7A4D2F1A"/>
    <w:rsid w:val="7A4D379F"/>
    <w:rsid w:val="7A4D3D91"/>
    <w:rsid w:val="7A4D5B40"/>
    <w:rsid w:val="7A4E0DE1"/>
    <w:rsid w:val="7A4E5172"/>
    <w:rsid w:val="7A4E5626"/>
    <w:rsid w:val="7A4E7CC8"/>
    <w:rsid w:val="7A4F18B8"/>
    <w:rsid w:val="7A4F4E61"/>
    <w:rsid w:val="7A4F7B0A"/>
    <w:rsid w:val="7A504DB6"/>
    <w:rsid w:val="7A505630"/>
    <w:rsid w:val="7A5073DE"/>
    <w:rsid w:val="7A51172F"/>
    <w:rsid w:val="7A513923"/>
    <w:rsid w:val="7A51423A"/>
    <w:rsid w:val="7A514FE2"/>
    <w:rsid w:val="7A523156"/>
    <w:rsid w:val="7A5275FA"/>
    <w:rsid w:val="7A535879"/>
    <w:rsid w:val="7A5368F3"/>
    <w:rsid w:val="7A537953"/>
    <w:rsid w:val="7A543209"/>
    <w:rsid w:val="7A543372"/>
    <w:rsid w:val="7A545120"/>
    <w:rsid w:val="7A550ECC"/>
    <w:rsid w:val="7A552C46"/>
    <w:rsid w:val="7A553465"/>
    <w:rsid w:val="7A5544DF"/>
    <w:rsid w:val="7A5549F4"/>
    <w:rsid w:val="7A560E98"/>
    <w:rsid w:val="7A56120A"/>
    <w:rsid w:val="7A56204E"/>
    <w:rsid w:val="7A5720C5"/>
    <w:rsid w:val="7A574FEC"/>
    <w:rsid w:val="7A575182"/>
    <w:rsid w:val="7A583B2A"/>
    <w:rsid w:val="7A5944E4"/>
    <w:rsid w:val="7A594DBF"/>
    <w:rsid w:val="7A594FBA"/>
    <w:rsid w:val="7A596EE5"/>
    <w:rsid w:val="7A5A1113"/>
    <w:rsid w:val="7A5A200A"/>
    <w:rsid w:val="7A5A5550"/>
    <w:rsid w:val="7A5A6F4E"/>
    <w:rsid w:val="7A5A764F"/>
    <w:rsid w:val="7A5B454E"/>
    <w:rsid w:val="7A5B5615"/>
    <w:rsid w:val="7A5B64AE"/>
    <w:rsid w:val="7A5B6541"/>
    <w:rsid w:val="7A5C2227"/>
    <w:rsid w:val="7A5C3FD5"/>
    <w:rsid w:val="7A5C507C"/>
    <w:rsid w:val="7A5D799C"/>
    <w:rsid w:val="7A5D7CA1"/>
    <w:rsid w:val="7A5E1AFB"/>
    <w:rsid w:val="7A5E3302"/>
    <w:rsid w:val="7A5E5F9F"/>
    <w:rsid w:val="7A5E7D4D"/>
    <w:rsid w:val="7A5F39FD"/>
    <w:rsid w:val="7A5F4A70"/>
    <w:rsid w:val="7A5F5B1D"/>
    <w:rsid w:val="7A5F735E"/>
    <w:rsid w:val="7A601D17"/>
    <w:rsid w:val="7A604E8D"/>
    <w:rsid w:val="7A607261"/>
    <w:rsid w:val="7A61076D"/>
    <w:rsid w:val="7A610EEE"/>
    <w:rsid w:val="7A613399"/>
    <w:rsid w:val="7A61614D"/>
    <w:rsid w:val="7A61631D"/>
    <w:rsid w:val="7A61783D"/>
    <w:rsid w:val="7A6219F6"/>
    <w:rsid w:val="7A62519A"/>
    <w:rsid w:val="7A637111"/>
    <w:rsid w:val="7A643A33"/>
    <w:rsid w:val="7A65019F"/>
    <w:rsid w:val="7A654FD5"/>
    <w:rsid w:val="7A65732D"/>
    <w:rsid w:val="7A6612CC"/>
    <w:rsid w:val="7A664E53"/>
    <w:rsid w:val="7A666C01"/>
    <w:rsid w:val="7A6675BE"/>
    <w:rsid w:val="7A681EAD"/>
    <w:rsid w:val="7A683513"/>
    <w:rsid w:val="7A684727"/>
    <w:rsid w:val="7A6861F0"/>
    <w:rsid w:val="7A687E78"/>
    <w:rsid w:val="7A69020F"/>
    <w:rsid w:val="7A697CF5"/>
    <w:rsid w:val="7A6A04A0"/>
    <w:rsid w:val="7A6A4943"/>
    <w:rsid w:val="7A6A66F1"/>
    <w:rsid w:val="7A6B1FA0"/>
    <w:rsid w:val="7A6B4218"/>
    <w:rsid w:val="7A6C06BC"/>
    <w:rsid w:val="7A6C0DC2"/>
    <w:rsid w:val="7A6C3034"/>
    <w:rsid w:val="7A6C6001"/>
    <w:rsid w:val="7A6D1D3E"/>
    <w:rsid w:val="7A6D4269"/>
    <w:rsid w:val="7A6D4434"/>
    <w:rsid w:val="7A6D6544"/>
    <w:rsid w:val="7A6D72EA"/>
    <w:rsid w:val="7A6F3AB7"/>
    <w:rsid w:val="7A6F3D7D"/>
    <w:rsid w:val="7A6F443F"/>
    <w:rsid w:val="7A70182E"/>
    <w:rsid w:val="7A705B14"/>
    <w:rsid w:val="7A7061F3"/>
    <w:rsid w:val="7A715CD2"/>
    <w:rsid w:val="7A721E73"/>
    <w:rsid w:val="7A723305"/>
    <w:rsid w:val="7A734856"/>
    <w:rsid w:val="7A737844"/>
    <w:rsid w:val="7A74131E"/>
    <w:rsid w:val="7A7430CC"/>
    <w:rsid w:val="7A747570"/>
    <w:rsid w:val="7A753F5D"/>
    <w:rsid w:val="7A756E44"/>
    <w:rsid w:val="7A7641F5"/>
    <w:rsid w:val="7A7676AE"/>
    <w:rsid w:val="7A770543"/>
    <w:rsid w:val="7A7725FA"/>
    <w:rsid w:val="7A772BBC"/>
    <w:rsid w:val="7A773F60"/>
    <w:rsid w:val="7A776458"/>
    <w:rsid w:val="7A777060"/>
    <w:rsid w:val="7A792DD8"/>
    <w:rsid w:val="7A79569D"/>
    <w:rsid w:val="7A796935"/>
    <w:rsid w:val="7A7A34B3"/>
    <w:rsid w:val="7A7A445B"/>
    <w:rsid w:val="7A7B4D00"/>
    <w:rsid w:val="7A7B5631"/>
    <w:rsid w:val="7A7C0B51"/>
    <w:rsid w:val="7A7C4677"/>
    <w:rsid w:val="7A7C6A82"/>
    <w:rsid w:val="7A7C74DD"/>
    <w:rsid w:val="7A7D43B5"/>
    <w:rsid w:val="7A7D7C15"/>
    <w:rsid w:val="7A7E0956"/>
    <w:rsid w:val="7A7F18A6"/>
    <w:rsid w:val="7A7F1A71"/>
    <w:rsid w:val="7A801B3B"/>
    <w:rsid w:val="7A80549F"/>
    <w:rsid w:val="7A807CC3"/>
    <w:rsid w:val="7A811C8D"/>
    <w:rsid w:val="7A8141C6"/>
    <w:rsid w:val="7A815907"/>
    <w:rsid w:val="7A816DC0"/>
    <w:rsid w:val="7A82098B"/>
    <w:rsid w:val="7A8223BB"/>
    <w:rsid w:val="7A8265E1"/>
    <w:rsid w:val="7A826D97"/>
    <w:rsid w:val="7A831561"/>
    <w:rsid w:val="7A83483E"/>
    <w:rsid w:val="7A835439"/>
    <w:rsid w:val="7A835A05"/>
    <w:rsid w:val="7A8364F3"/>
    <w:rsid w:val="7A837C18"/>
    <w:rsid w:val="7A847912"/>
    <w:rsid w:val="7A8527DC"/>
    <w:rsid w:val="7A85352B"/>
    <w:rsid w:val="7A854C30"/>
    <w:rsid w:val="7A8552D9"/>
    <w:rsid w:val="7A861779"/>
    <w:rsid w:val="7A86235C"/>
    <w:rsid w:val="7A862E00"/>
    <w:rsid w:val="7A8650E9"/>
    <w:rsid w:val="7A8772A3"/>
    <w:rsid w:val="7A88301C"/>
    <w:rsid w:val="7A884DCA"/>
    <w:rsid w:val="7A886B78"/>
    <w:rsid w:val="7A88747D"/>
    <w:rsid w:val="7A8958B8"/>
    <w:rsid w:val="7A8A28F0"/>
    <w:rsid w:val="7A8A3A96"/>
    <w:rsid w:val="7A8A69B9"/>
    <w:rsid w:val="7A8B21FF"/>
    <w:rsid w:val="7A8B571F"/>
    <w:rsid w:val="7A8B6668"/>
    <w:rsid w:val="7A8C3130"/>
    <w:rsid w:val="7A8C4DE5"/>
    <w:rsid w:val="7A8D23E0"/>
    <w:rsid w:val="7A8D418E"/>
    <w:rsid w:val="7A8D78A4"/>
    <w:rsid w:val="7A8F3276"/>
    <w:rsid w:val="7A8F4316"/>
    <w:rsid w:val="7A900321"/>
    <w:rsid w:val="7A910122"/>
    <w:rsid w:val="7A9103F0"/>
    <w:rsid w:val="7A916637"/>
    <w:rsid w:val="7A917380"/>
    <w:rsid w:val="7A923350"/>
    <w:rsid w:val="7A933304"/>
    <w:rsid w:val="7A9419C0"/>
    <w:rsid w:val="7A9429C7"/>
    <w:rsid w:val="7A945206"/>
    <w:rsid w:val="7A94551C"/>
    <w:rsid w:val="7A947EF7"/>
    <w:rsid w:val="7A95105B"/>
    <w:rsid w:val="7A951E14"/>
    <w:rsid w:val="7A95780A"/>
    <w:rsid w:val="7A96558B"/>
    <w:rsid w:val="7A965738"/>
    <w:rsid w:val="7A97325F"/>
    <w:rsid w:val="7A97500D"/>
    <w:rsid w:val="7A9814B1"/>
    <w:rsid w:val="7A985586"/>
    <w:rsid w:val="7A996FD7"/>
    <w:rsid w:val="7A9A3768"/>
    <w:rsid w:val="7A9A64AE"/>
    <w:rsid w:val="7A9B2D4F"/>
    <w:rsid w:val="7A9B3725"/>
    <w:rsid w:val="7A9C0875"/>
    <w:rsid w:val="7A9C2623"/>
    <w:rsid w:val="7A9C4DB8"/>
    <w:rsid w:val="7A9E1A65"/>
    <w:rsid w:val="7A9E3C85"/>
    <w:rsid w:val="7A9E45ED"/>
    <w:rsid w:val="7A9E62BF"/>
    <w:rsid w:val="7A9F099C"/>
    <w:rsid w:val="7A9F0E90"/>
    <w:rsid w:val="7A9F774F"/>
    <w:rsid w:val="7A9F7EE5"/>
    <w:rsid w:val="7AA00365"/>
    <w:rsid w:val="7AA02113"/>
    <w:rsid w:val="7AA034FA"/>
    <w:rsid w:val="7AA03EC1"/>
    <w:rsid w:val="7AA13F56"/>
    <w:rsid w:val="7AA17C39"/>
    <w:rsid w:val="7AA20A0E"/>
    <w:rsid w:val="7AA240DD"/>
    <w:rsid w:val="7AA332EE"/>
    <w:rsid w:val="7AA37E55"/>
    <w:rsid w:val="7AA40EF3"/>
    <w:rsid w:val="7AA46DB0"/>
    <w:rsid w:val="7AA52240"/>
    <w:rsid w:val="7AA54B1C"/>
    <w:rsid w:val="7AA54D02"/>
    <w:rsid w:val="7AA5772A"/>
    <w:rsid w:val="7AA61AB6"/>
    <w:rsid w:val="7AA64D44"/>
    <w:rsid w:val="7AA65250"/>
    <w:rsid w:val="7AA725FD"/>
    <w:rsid w:val="7AA72981"/>
    <w:rsid w:val="7AA72E24"/>
    <w:rsid w:val="7AA732DC"/>
    <w:rsid w:val="7AA739DD"/>
    <w:rsid w:val="7AA77D2F"/>
    <w:rsid w:val="7AA81451"/>
    <w:rsid w:val="7AA86DF7"/>
    <w:rsid w:val="7AA9037E"/>
    <w:rsid w:val="7AA95B1F"/>
    <w:rsid w:val="7AA9783C"/>
    <w:rsid w:val="7AAA11E4"/>
    <w:rsid w:val="7AAA2F92"/>
    <w:rsid w:val="7AAA4D40"/>
    <w:rsid w:val="7AAB2866"/>
    <w:rsid w:val="7AAB5023"/>
    <w:rsid w:val="7AAC2B97"/>
    <w:rsid w:val="7AAC4F5C"/>
    <w:rsid w:val="7AAD1D53"/>
    <w:rsid w:val="7AAD2A82"/>
    <w:rsid w:val="7AAD4830"/>
    <w:rsid w:val="7AAD65DE"/>
    <w:rsid w:val="7AAD7251"/>
    <w:rsid w:val="7AAE27F4"/>
    <w:rsid w:val="7AAE78F4"/>
    <w:rsid w:val="7AAF2356"/>
    <w:rsid w:val="7AAF67FA"/>
    <w:rsid w:val="7AB132A5"/>
    <w:rsid w:val="7AB14320"/>
    <w:rsid w:val="7AB160CE"/>
    <w:rsid w:val="7AB17D96"/>
    <w:rsid w:val="7AB23BF5"/>
    <w:rsid w:val="7AB26DB3"/>
    <w:rsid w:val="7AB27FA7"/>
    <w:rsid w:val="7AB314B0"/>
    <w:rsid w:val="7AB3762E"/>
    <w:rsid w:val="7AB404E5"/>
    <w:rsid w:val="7AB41474"/>
    <w:rsid w:val="7AB414D0"/>
    <w:rsid w:val="7AB41C26"/>
    <w:rsid w:val="7AB43E98"/>
    <w:rsid w:val="7AB45058"/>
    <w:rsid w:val="7AB61443"/>
    <w:rsid w:val="7AB61937"/>
    <w:rsid w:val="7AB67B89"/>
    <w:rsid w:val="7AB756AF"/>
    <w:rsid w:val="7AB77117"/>
    <w:rsid w:val="7AB8162F"/>
    <w:rsid w:val="7AB83901"/>
    <w:rsid w:val="7AB92EC7"/>
    <w:rsid w:val="7AB94F83"/>
    <w:rsid w:val="7AB95F5F"/>
    <w:rsid w:val="7AB97AFC"/>
    <w:rsid w:val="7ABB0535"/>
    <w:rsid w:val="7ABB2AC0"/>
    <w:rsid w:val="7ABB3A53"/>
    <w:rsid w:val="7ABB480C"/>
    <w:rsid w:val="7ABB519F"/>
    <w:rsid w:val="7ABB6F28"/>
    <w:rsid w:val="7ABB7297"/>
    <w:rsid w:val="7ABC4A73"/>
    <w:rsid w:val="7ABD09DB"/>
    <w:rsid w:val="7ABD0F17"/>
    <w:rsid w:val="7ABD2BF3"/>
    <w:rsid w:val="7ABD6292"/>
    <w:rsid w:val="7ABE2CD8"/>
    <w:rsid w:val="7ABE2D6E"/>
    <w:rsid w:val="7ABE6A3D"/>
    <w:rsid w:val="7ABF3B39"/>
    <w:rsid w:val="7ABF51D2"/>
    <w:rsid w:val="7AC008A4"/>
    <w:rsid w:val="7AC0190A"/>
    <w:rsid w:val="7AC022D9"/>
    <w:rsid w:val="7AC02DA2"/>
    <w:rsid w:val="7AC04563"/>
    <w:rsid w:val="7AC06271"/>
    <w:rsid w:val="7AC11659"/>
    <w:rsid w:val="7AC14FAB"/>
    <w:rsid w:val="7AC202DC"/>
    <w:rsid w:val="7AC21601"/>
    <w:rsid w:val="7AC2422A"/>
    <w:rsid w:val="7AC3073B"/>
    <w:rsid w:val="7AC34054"/>
    <w:rsid w:val="7AC34F4E"/>
    <w:rsid w:val="7AC356BA"/>
    <w:rsid w:val="7AC35E02"/>
    <w:rsid w:val="7AC36B4A"/>
    <w:rsid w:val="7AC55E09"/>
    <w:rsid w:val="7AC5601E"/>
    <w:rsid w:val="7AC630AB"/>
    <w:rsid w:val="7AC63794"/>
    <w:rsid w:val="7AC64679"/>
    <w:rsid w:val="7AC65B7F"/>
    <w:rsid w:val="7AC7009C"/>
    <w:rsid w:val="7AC73B44"/>
    <w:rsid w:val="7AC80A8F"/>
    <w:rsid w:val="7AC8166A"/>
    <w:rsid w:val="7AC83418"/>
    <w:rsid w:val="7AC85DD4"/>
    <w:rsid w:val="7AC912EB"/>
    <w:rsid w:val="7AC91B56"/>
    <w:rsid w:val="7ACA14A0"/>
    <w:rsid w:val="7ACA1E88"/>
    <w:rsid w:val="7ACA50A2"/>
    <w:rsid w:val="7ACB1608"/>
    <w:rsid w:val="7ACC115A"/>
    <w:rsid w:val="7ACC2F08"/>
    <w:rsid w:val="7ACD133D"/>
    <w:rsid w:val="7ACD133E"/>
    <w:rsid w:val="7ACD796F"/>
    <w:rsid w:val="7ACD7BF0"/>
    <w:rsid w:val="7ACE27CD"/>
    <w:rsid w:val="7ACE2A19"/>
    <w:rsid w:val="7ACF29F8"/>
    <w:rsid w:val="7AD029A6"/>
    <w:rsid w:val="7AD143E2"/>
    <w:rsid w:val="7AD149C3"/>
    <w:rsid w:val="7AD242A9"/>
    <w:rsid w:val="7AD26045"/>
    <w:rsid w:val="7AD324E9"/>
    <w:rsid w:val="7AD33C0D"/>
    <w:rsid w:val="7AD41DBD"/>
    <w:rsid w:val="7AD4533B"/>
    <w:rsid w:val="7AD46ED1"/>
    <w:rsid w:val="7AD47463"/>
    <w:rsid w:val="7AD479F4"/>
    <w:rsid w:val="7AD60409"/>
    <w:rsid w:val="7AD62CAB"/>
    <w:rsid w:val="7AD647F1"/>
    <w:rsid w:val="7AD65B35"/>
    <w:rsid w:val="7AD70DE5"/>
    <w:rsid w:val="7AD87AFF"/>
    <w:rsid w:val="7AD93D73"/>
    <w:rsid w:val="7AD95625"/>
    <w:rsid w:val="7AD97590"/>
    <w:rsid w:val="7ADA0A0E"/>
    <w:rsid w:val="7ADB139D"/>
    <w:rsid w:val="7ADB314B"/>
    <w:rsid w:val="7ADB75EF"/>
    <w:rsid w:val="7ADB7706"/>
    <w:rsid w:val="7ADC4334"/>
    <w:rsid w:val="7ADD2D5E"/>
    <w:rsid w:val="7ADD5115"/>
    <w:rsid w:val="7ADE2C3C"/>
    <w:rsid w:val="7ADE49EA"/>
    <w:rsid w:val="7ADE68DB"/>
    <w:rsid w:val="7ADF15DD"/>
    <w:rsid w:val="7ADF4BE2"/>
    <w:rsid w:val="7ADF5A87"/>
    <w:rsid w:val="7ADF5AFA"/>
    <w:rsid w:val="7ADF65D6"/>
    <w:rsid w:val="7AE0312B"/>
    <w:rsid w:val="7AE05073"/>
    <w:rsid w:val="7AE069B4"/>
    <w:rsid w:val="7AE10BB3"/>
    <w:rsid w:val="7AE2097E"/>
    <w:rsid w:val="7AE220D3"/>
    <w:rsid w:val="7AE30B68"/>
    <w:rsid w:val="7AE354C8"/>
    <w:rsid w:val="7AE36ADE"/>
    <w:rsid w:val="7AE460DE"/>
    <w:rsid w:val="7AE5221C"/>
    <w:rsid w:val="7AE61EE4"/>
    <w:rsid w:val="7AE61FB6"/>
    <w:rsid w:val="7AE6234A"/>
    <w:rsid w:val="7AE66897"/>
    <w:rsid w:val="7AE73374"/>
    <w:rsid w:val="7AE75F94"/>
    <w:rsid w:val="7AE77D42"/>
    <w:rsid w:val="7AE8086D"/>
    <w:rsid w:val="7AE91D0C"/>
    <w:rsid w:val="7AE91FA6"/>
    <w:rsid w:val="7AEA338E"/>
    <w:rsid w:val="7AEA5483"/>
    <w:rsid w:val="7AEA5A84"/>
    <w:rsid w:val="7AEB3A90"/>
    <w:rsid w:val="7AEB48C6"/>
    <w:rsid w:val="7AEB729D"/>
    <w:rsid w:val="7AEC292C"/>
    <w:rsid w:val="7AEC35AA"/>
    <w:rsid w:val="7AEC4433"/>
    <w:rsid w:val="7AEC7106"/>
    <w:rsid w:val="7AED63D9"/>
    <w:rsid w:val="7AEE057D"/>
    <w:rsid w:val="7AEE0A5A"/>
    <w:rsid w:val="7AEE7323"/>
    <w:rsid w:val="7AEF0707"/>
    <w:rsid w:val="7AEF309B"/>
    <w:rsid w:val="7AEF6BF7"/>
    <w:rsid w:val="7AEF7572"/>
    <w:rsid w:val="7AF0155C"/>
    <w:rsid w:val="7AF024A4"/>
    <w:rsid w:val="7AF04D73"/>
    <w:rsid w:val="7AF05B67"/>
    <w:rsid w:val="7AF110C4"/>
    <w:rsid w:val="7AF11A23"/>
    <w:rsid w:val="7AF1471D"/>
    <w:rsid w:val="7AF2458A"/>
    <w:rsid w:val="7AF26B0D"/>
    <w:rsid w:val="7AF34431"/>
    <w:rsid w:val="7AF34939"/>
    <w:rsid w:val="7AF35F22"/>
    <w:rsid w:val="7AF366E7"/>
    <w:rsid w:val="7AF37D5D"/>
    <w:rsid w:val="7AF4420D"/>
    <w:rsid w:val="7AF470B7"/>
    <w:rsid w:val="7AF52C4E"/>
    <w:rsid w:val="7AF56ECD"/>
    <w:rsid w:val="7AF63C3B"/>
    <w:rsid w:val="7AF64429"/>
    <w:rsid w:val="7AF64946"/>
    <w:rsid w:val="7AF661D7"/>
    <w:rsid w:val="7AF6709A"/>
    <w:rsid w:val="7AF72FCE"/>
    <w:rsid w:val="7AF808B3"/>
    <w:rsid w:val="7AF81F4F"/>
    <w:rsid w:val="7AF83CFD"/>
    <w:rsid w:val="7AF83D71"/>
    <w:rsid w:val="7AF91823"/>
    <w:rsid w:val="7AF92F80"/>
    <w:rsid w:val="7AF9631D"/>
    <w:rsid w:val="7AF97A75"/>
    <w:rsid w:val="7AFA17EA"/>
    <w:rsid w:val="7AFB37ED"/>
    <w:rsid w:val="7AFB3A76"/>
    <w:rsid w:val="7AFB559C"/>
    <w:rsid w:val="7AFC584B"/>
    <w:rsid w:val="7AFC6301"/>
    <w:rsid w:val="7AFD17D9"/>
    <w:rsid w:val="7AFE2D3C"/>
    <w:rsid w:val="7AFE508C"/>
    <w:rsid w:val="7AFE6E3A"/>
    <w:rsid w:val="7AFF15FB"/>
    <w:rsid w:val="7AFF2C18"/>
    <w:rsid w:val="7AFF37D8"/>
    <w:rsid w:val="7AFF5181"/>
    <w:rsid w:val="7AFF7010"/>
    <w:rsid w:val="7AFF70BD"/>
    <w:rsid w:val="7B011052"/>
    <w:rsid w:val="7B022DCE"/>
    <w:rsid w:val="7B02692A"/>
    <w:rsid w:val="7B0279CA"/>
    <w:rsid w:val="7B032B4D"/>
    <w:rsid w:val="7B036659"/>
    <w:rsid w:val="7B0408AB"/>
    <w:rsid w:val="7B0454AB"/>
    <w:rsid w:val="7B045E25"/>
    <w:rsid w:val="7B046B46"/>
    <w:rsid w:val="7B052017"/>
    <w:rsid w:val="7B05466C"/>
    <w:rsid w:val="7B06192B"/>
    <w:rsid w:val="7B0703E4"/>
    <w:rsid w:val="7B072192"/>
    <w:rsid w:val="7B073F40"/>
    <w:rsid w:val="7B077431"/>
    <w:rsid w:val="7B0818F7"/>
    <w:rsid w:val="7B094167"/>
    <w:rsid w:val="7B096184"/>
    <w:rsid w:val="7B0A12DE"/>
    <w:rsid w:val="7B0A1C83"/>
    <w:rsid w:val="7B0A3A31"/>
    <w:rsid w:val="7B0A57DF"/>
    <w:rsid w:val="7B0B276E"/>
    <w:rsid w:val="7B0B4882"/>
    <w:rsid w:val="7B0C0269"/>
    <w:rsid w:val="7B0C1557"/>
    <w:rsid w:val="7B0C47DA"/>
    <w:rsid w:val="7B0C4E7D"/>
    <w:rsid w:val="7B0C533F"/>
    <w:rsid w:val="7B0C77A9"/>
    <w:rsid w:val="7B0D3F63"/>
    <w:rsid w:val="7B0D70DC"/>
    <w:rsid w:val="7B0E1773"/>
    <w:rsid w:val="7B0E2830"/>
    <w:rsid w:val="7B0E3521"/>
    <w:rsid w:val="7B0F0AF2"/>
    <w:rsid w:val="7B0F19F5"/>
    <w:rsid w:val="7B0F5203"/>
    <w:rsid w:val="7B0F7299"/>
    <w:rsid w:val="7B1010D4"/>
    <w:rsid w:val="7B101B3D"/>
    <w:rsid w:val="7B105150"/>
    <w:rsid w:val="7B1112CC"/>
    <w:rsid w:val="7B114DBF"/>
    <w:rsid w:val="7B116B6D"/>
    <w:rsid w:val="7B120866"/>
    <w:rsid w:val="7B122641"/>
    <w:rsid w:val="7B1241A4"/>
    <w:rsid w:val="7B127A70"/>
    <w:rsid w:val="7B131975"/>
    <w:rsid w:val="7B133AD1"/>
    <w:rsid w:val="7B136D89"/>
    <w:rsid w:val="7B14592F"/>
    <w:rsid w:val="7B14665D"/>
    <w:rsid w:val="7B1466D9"/>
    <w:rsid w:val="7B152B01"/>
    <w:rsid w:val="7B1563F1"/>
    <w:rsid w:val="7B1623D5"/>
    <w:rsid w:val="7B164183"/>
    <w:rsid w:val="7B174CB5"/>
    <w:rsid w:val="7B1759BF"/>
    <w:rsid w:val="7B177796"/>
    <w:rsid w:val="7B190AD8"/>
    <w:rsid w:val="7B191EC6"/>
    <w:rsid w:val="7B193C74"/>
    <w:rsid w:val="7B1A40EB"/>
    <w:rsid w:val="7B1B282F"/>
    <w:rsid w:val="7B1C4C32"/>
    <w:rsid w:val="7B1C4E34"/>
    <w:rsid w:val="7B1C530E"/>
    <w:rsid w:val="7B1C6ED5"/>
    <w:rsid w:val="7B1D19B6"/>
    <w:rsid w:val="7B1D4B83"/>
    <w:rsid w:val="7B1D5512"/>
    <w:rsid w:val="7B1E2CFC"/>
    <w:rsid w:val="7B1E3783"/>
    <w:rsid w:val="7B1F0B54"/>
    <w:rsid w:val="7B1F572E"/>
    <w:rsid w:val="7B1F7752"/>
    <w:rsid w:val="7B201060"/>
    <w:rsid w:val="7B20147E"/>
    <w:rsid w:val="7B201623"/>
    <w:rsid w:val="7B203254"/>
    <w:rsid w:val="7B203504"/>
    <w:rsid w:val="7B205002"/>
    <w:rsid w:val="7B211D18"/>
    <w:rsid w:val="7B21296D"/>
    <w:rsid w:val="7B213BE6"/>
    <w:rsid w:val="7B220D7A"/>
    <w:rsid w:val="7B235C78"/>
    <w:rsid w:val="7B25086A"/>
    <w:rsid w:val="7B252335"/>
    <w:rsid w:val="7B252618"/>
    <w:rsid w:val="7B253C8A"/>
    <w:rsid w:val="7B260D08"/>
    <w:rsid w:val="7B263147"/>
    <w:rsid w:val="7B266100"/>
    <w:rsid w:val="7B266B29"/>
    <w:rsid w:val="7B271BE6"/>
    <w:rsid w:val="7B2726AF"/>
    <w:rsid w:val="7B285ED8"/>
    <w:rsid w:val="7B28664F"/>
    <w:rsid w:val="7B286C0B"/>
    <w:rsid w:val="7B292109"/>
    <w:rsid w:val="7B294867"/>
    <w:rsid w:val="7B296A74"/>
    <w:rsid w:val="7B2A23AA"/>
    <w:rsid w:val="7B2A40D3"/>
    <w:rsid w:val="7B2A52C5"/>
    <w:rsid w:val="7B2A7C2F"/>
    <w:rsid w:val="7B2B5024"/>
    <w:rsid w:val="7B2C1174"/>
    <w:rsid w:val="7B2C1BF9"/>
    <w:rsid w:val="7B2C31E8"/>
    <w:rsid w:val="7B2C39A7"/>
    <w:rsid w:val="7B2D7F61"/>
    <w:rsid w:val="7B2E27F6"/>
    <w:rsid w:val="7B2E5971"/>
    <w:rsid w:val="7B2F023A"/>
    <w:rsid w:val="7B2F16E9"/>
    <w:rsid w:val="7B2F3497"/>
    <w:rsid w:val="7B2F7140"/>
    <w:rsid w:val="7B304F7F"/>
    <w:rsid w:val="7B30793B"/>
    <w:rsid w:val="7B307D0E"/>
    <w:rsid w:val="7B315461"/>
    <w:rsid w:val="7B3311D9"/>
    <w:rsid w:val="7B334103"/>
    <w:rsid w:val="7B334FEE"/>
    <w:rsid w:val="7B33628E"/>
    <w:rsid w:val="7B340AAD"/>
    <w:rsid w:val="7B34130A"/>
    <w:rsid w:val="7B344610"/>
    <w:rsid w:val="7B345E9B"/>
    <w:rsid w:val="7B352230"/>
    <w:rsid w:val="7B354F51"/>
    <w:rsid w:val="7B360627"/>
    <w:rsid w:val="7B364826"/>
    <w:rsid w:val="7B3665D4"/>
    <w:rsid w:val="7B366E6B"/>
    <w:rsid w:val="7B3710AB"/>
    <w:rsid w:val="7B371A3C"/>
    <w:rsid w:val="7B372B60"/>
    <w:rsid w:val="7B38207F"/>
    <w:rsid w:val="7B3867F0"/>
    <w:rsid w:val="7B3957EC"/>
    <w:rsid w:val="7B397053"/>
    <w:rsid w:val="7B3A2568"/>
    <w:rsid w:val="7B3A3187"/>
    <w:rsid w:val="7B3A4316"/>
    <w:rsid w:val="7B3B2F0E"/>
    <w:rsid w:val="7B3B49C9"/>
    <w:rsid w:val="7B3B62E0"/>
    <w:rsid w:val="7B3B64CA"/>
    <w:rsid w:val="7B3C159C"/>
    <w:rsid w:val="7B3C4EA0"/>
    <w:rsid w:val="7B3D26D6"/>
    <w:rsid w:val="7B3D5BB4"/>
    <w:rsid w:val="7B3D6D3E"/>
    <w:rsid w:val="7B3E2261"/>
    <w:rsid w:val="7B3E36DA"/>
    <w:rsid w:val="7B3E7ECF"/>
    <w:rsid w:val="7B3F5FB8"/>
    <w:rsid w:val="7B4038F6"/>
    <w:rsid w:val="7B4041CD"/>
    <w:rsid w:val="7B4056A4"/>
    <w:rsid w:val="7B420C1F"/>
    <w:rsid w:val="7B42141C"/>
    <w:rsid w:val="7B424F78"/>
    <w:rsid w:val="7B42766E"/>
    <w:rsid w:val="7B43026F"/>
    <w:rsid w:val="7B43299D"/>
    <w:rsid w:val="7B4329D6"/>
    <w:rsid w:val="7B4428FF"/>
    <w:rsid w:val="7B4432D1"/>
    <w:rsid w:val="7B450F0D"/>
    <w:rsid w:val="7B470223"/>
    <w:rsid w:val="7B4707E1"/>
    <w:rsid w:val="7B473351"/>
    <w:rsid w:val="7B4752C4"/>
    <w:rsid w:val="7B476A33"/>
    <w:rsid w:val="7B477DF0"/>
    <w:rsid w:val="7B4830E9"/>
    <w:rsid w:val="7B486ABF"/>
    <w:rsid w:val="7B486E43"/>
    <w:rsid w:val="7B4927AB"/>
    <w:rsid w:val="7B492A67"/>
    <w:rsid w:val="7B497E6A"/>
    <w:rsid w:val="7B4A02D1"/>
    <w:rsid w:val="7B4A5AB9"/>
    <w:rsid w:val="7B4A6771"/>
    <w:rsid w:val="7B4B6523"/>
    <w:rsid w:val="7B4C0F4E"/>
    <w:rsid w:val="7B4C4049"/>
    <w:rsid w:val="7B4D4C54"/>
    <w:rsid w:val="7B4E1B6F"/>
    <w:rsid w:val="7B4E2A17"/>
    <w:rsid w:val="7B4E4985"/>
    <w:rsid w:val="7B4E7DC1"/>
    <w:rsid w:val="7B4F0667"/>
    <w:rsid w:val="7B4F79CC"/>
    <w:rsid w:val="7B5022DD"/>
    <w:rsid w:val="7B503B39"/>
    <w:rsid w:val="7B51165F"/>
    <w:rsid w:val="7B51340D"/>
    <w:rsid w:val="7B520AC3"/>
    <w:rsid w:val="7B520D7A"/>
    <w:rsid w:val="7B5317C3"/>
    <w:rsid w:val="7B533629"/>
    <w:rsid w:val="7B541B15"/>
    <w:rsid w:val="7B54284C"/>
    <w:rsid w:val="7B542EFE"/>
    <w:rsid w:val="7B551150"/>
    <w:rsid w:val="7B5573A2"/>
    <w:rsid w:val="7B560A24"/>
    <w:rsid w:val="7B5637F4"/>
    <w:rsid w:val="7B564EC8"/>
    <w:rsid w:val="7B577960"/>
    <w:rsid w:val="7B577EEA"/>
    <w:rsid w:val="7B581266"/>
    <w:rsid w:val="7B5829AA"/>
    <w:rsid w:val="7B58479C"/>
    <w:rsid w:val="7B5910BF"/>
    <w:rsid w:val="7B5941C2"/>
    <w:rsid w:val="7B594DD6"/>
    <w:rsid w:val="7B5956F1"/>
    <w:rsid w:val="7B5963FA"/>
    <w:rsid w:val="7B5A49B8"/>
    <w:rsid w:val="7B5A4BB4"/>
    <w:rsid w:val="7B5A4C4C"/>
    <w:rsid w:val="7B5A6069"/>
    <w:rsid w:val="7B5B24DE"/>
    <w:rsid w:val="7B5B4DE1"/>
    <w:rsid w:val="7B5C5636"/>
    <w:rsid w:val="7B5C565B"/>
    <w:rsid w:val="7B5C5A89"/>
    <w:rsid w:val="7B5D0275"/>
    <w:rsid w:val="7B5D2016"/>
    <w:rsid w:val="7B5D4DA1"/>
    <w:rsid w:val="7B5D6256"/>
    <w:rsid w:val="7B5D6BCC"/>
    <w:rsid w:val="7B5E4BE7"/>
    <w:rsid w:val="7B5E53EF"/>
    <w:rsid w:val="7B5F2B5A"/>
    <w:rsid w:val="7B5F347D"/>
    <w:rsid w:val="7B5F5B2A"/>
    <w:rsid w:val="7B6064A7"/>
    <w:rsid w:val="7B607AF4"/>
    <w:rsid w:val="7B610A38"/>
    <w:rsid w:val="7B614301"/>
    <w:rsid w:val="7B615B8A"/>
    <w:rsid w:val="7B617689"/>
    <w:rsid w:val="7B617B3F"/>
    <w:rsid w:val="7B62386D"/>
    <w:rsid w:val="7B625806"/>
    <w:rsid w:val="7B6273C9"/>
    <w:rsid w:val="7B630694"/>
    <w:rsid w:val="7B63375A"/>
    <w:rsid w:val="7B637226"/>
    <w:rsid w:val="7B637EE1"/>
    <w:rsid w:val="7B641393"/>
    <w:rsid w:val="7B646616"/>
    <w:rsid w:val="7B6507A8"/>
    <w:rsid w:val="7B653379"/>
    <w:rsid w:val="7B655BE1"/>
    <w:rsid w:val="7B656EB9"/>
    <w:rsid w:val="7B670E83"/>
    <w:rsid w:val="7B672C31"/>
    <w:rsid w:val="7B68086A"/>
    <w:rsid w:val="7B684B1A"/>
    <w:rsid w:val="7B686D42"/>
    <w:rsid w:val="7B690757"/>
    <w:rsid w:val="7B693A9C"/>
    <w:rsid w:val="7B694BFB"/>
    <w:rsid w:val="7B6969A9"/>
    <w:rsid w:val="7B6978E9"/>
    <w:rsid w:val="7B6A449F"/>
    <w:rsid w:val="7B6A44CF"/>
    <w:rsid w:val="7B6A4B17"/>
    <w:rsid w:val="7B6A4E3B"/>
    <w:rsid w:val="7B6B0BF5"/>
    <w:rsid w:val="7B6B193F"/>
    <w:rsid w:val="7B6B5AAA"/>
    <w:rsid w:val="7B6C0247"/>
    <w:rsid w:val="7B6C46EB"/>
    <w:rsid w:val="7B6C7EE9"/>
    <w:rsid w:val="7B6E0463"/>
    <w:rsid w:val="7B6E2211"/>
    <w:rsid w:val="7B6E3FBF"/>
    <w:rsid w:val="7B6E5B6C"/>
    <w:rsid w:val="7B6F0679"/>
    <w:rsid w:val="7B6F1AE6"/>
    <w:rsid w:val="7B6F3016"/>
    <w:rsid w:val="7B6F442B"/>
    <w:rsid w:val="7B6F478A"/>
    <w:rsid w:val="7B6F6C2A"/>
    <w:rsid w:val="7B6F6FFC"/>
    <w:rsid w:val="7B70022A"/>
    <w:rsid w:val="7B710B51"/>
    <w:rsid w:val="7B711D02"/>
    <w:rsid w:val="7B712010"/>
    <w:rsid w:val="7B713AB0"/>
    <w:rsid w:val="7B7142B7"/>
    <w:rsid w:val="7B71522A"/>
    <w:rsid w:val="7B7250A1"/>
    <w:rsid w:val="7B7251C0"/>
    <w:rsid w:val="7B72727A"/>
    <w:rsid w:val="7B7311B2"/>
    <w:rsid w:val="7B7315D6"/>
    <w:rsid w:val="7B735A7A"/>
    <w:rsid w:val="7B737828"/>
    <w:rsid w:val="7B743D9F"/>
    <w:rsid w:val="7B7470FC"/>
    <w:rsid w:val="7B751AF9"/>
    <w:rsid w:val="7B75534E"/>
    <w:rsid w:val="7B7651B7"/>
    <w:rsid w:val="7B767318"/>
    <w:rsid w:val="7B770009"/>
    <w:rsid w:val="7B7713EC"/>
    <w:rsid w:val="7B7746E9"/>
    <w:rsid w:val="7B781C65"/>
    <w:rsid w:val="7B783090"/>
    <w:rsid w:val="7B7A0F23"/>
    <w:rsid w:val="7B7A4AA1"/>
    <w:rsid w:val="7B7A4FA2"/>
    <w:rsid w:val="7B7B048A"/>
    <w:rsid w:val="7B7B492E"/>
    <w:rsid w:val="7B7C37DC"/>
    <w:rsid w:val="7B7C3EFC"/>
    <w:rsid w:val="7B7D06A6"/>
    <w:rsid w:val="7B7D4202"/>
    <w:rsid w:val="7B7D585A"/>
    <w:rsid w:val="7B7D69BA"/>
    <w:rsid w:val="7B7E04D2"/>
    <w:rsid w:val="7B7E2420"/>
    <w:rsid w:val="7B7E4F65"/>
    <w:rsid w:val="7B7F0C50"/>
    <w:rsid w:val="7B7F3005"/>
    <w:rsid w:val="7B7F3776"/>
    <w:rsid w:val="7B7F61CD"/>
    <w:rsid w:val="7B7F7F7B"/>
    <w:rsid w:val="7B803CF3"/>
    <w:rsid w:val="7B80420F"/>
    <w:rsid w:val="7B811F45"/>
    <w:rsid w:val="7B821819"/>
    <w:rsid w:val="7B825CBD"/>
    <w:rsid w:val="7B8319E1"/>
    <w:rsid w:val="7B835F92"/>
    <w:rsid w:val="7B83645A"/>
    <w:rsid w:val="7B837BA7"/>
    <w:rsid w:val="7B837C7C"/>
    <w:rsid w:val="7B840A86"/>
    <w:rsid w:val="7B841746"/>
    <w:rsid w:val="7B841C89"/>
    <w:rsid w:val="7B84474B"/>
    <w:rsid w:val="7B845591"/>
    <w:rsid w:val="7B853531"/>
    <w:rsid w:val="7B85492F"/>
    <w:rsid w:val="7B863A35"/>
    <w:rsid w:val="7B863E75"/>
    <w:rsid w:val="7B86755B"/>
    <w:rsid w:val="7B874D36"/>
    <w:rsid w:val="7B8752AE"/>
    <w:rsid w:val="7B8769AE"/>
    <w:rsid w:val="7B876E2F"/>
    <w:rsid w:val="7B885116"/>
    <w:rsid w:val="7B89165B"/>
    <w:rsid w:val="7B892BA7"/>
    <w:rsid w:val="7B89704B"/>
    <w:rsid w:val="7B8A691F"/>
    <w:rsid w:val="7B8B2DC3"/>
    <w:rsid w:val="7B8B4B71"/>
    <w:rsid w:val="7B8B6D9D"/>
    <w:rsid w:val="7B8C08E9"/>
    <w:rsid w:val="7B8C223D"/>
    <w:rsid w:val="7B8C31E4"/>
    <w:rsid w:val="7B8C40D7"/>
    <w:rsid w:val="7B8C6337"/>
    <w:rsid w:val="7B8D1606"/>
    <w:rsid w:val="7B8D79B4"/>
    <w:rsid w:val="7B8F0D5C"/>
    <w:rsid w:val="7B8F3CED"/>
    <w:rsid w:val="7B8F65E6"/>
    <w:rsid w:val="7B8F7D49"/>
    <w:rsid w:val="7B9003DA"/>
    <w:rsid w:val="7B902188"/>
    <w:rsid w:val="7B904EA5"/>
    <w:rsid w:val="7B9062D4"/>
    <w:rsid w:val="7B91027A"/>
    <w:rsid w:val="7B910992"/>
    <w:rsid w:val="7B914152"/>
    <w:rsid w:val="7B915F00"/>
    <w:rsid w:val="7B916426"/>
    <w:rsid w:val="7B916E9E"/>
    <w:rsid w:val="7B917CAE"/>
    <w:rsid w:val="7B931C78"/>
    <w:rsid w:val="7B934151"/>
    <w:rsid w:val="7B94358D"/>
    <w:rsid w:val="7B946468"/>
    <w:rsid w:val="7B9472CA"/>
    <w:rsid w:val="7B947887"/>
    <w:rsid w:val="7B952CB2"/>
    <w:rsid w:val="7B95779E"/>
    <w:rsid w:val="7B963516"/>
    <w:rsid w:val="7B9652C4"/>
    <w:rsid w:val="7B971768"/>
    <w:rsid w:val="7B984958"/>
    <w:rsid w:val="7B993402"/>
    <w:rsid w:val="7B993779"/>
    <w:rsid w:val="7B995325"/>
    <w:rsid w:val="7B995806"/>
    <w:rsid w:val="7B99602F"/>
    <w:rsid w:val="7B9A13D4"/>
    <w:rsid w:val="7B9A2374"/>
    <w:rsid w:val="7B9A3006"/>
    <w:rsid w:val="7B9A4DB4"/>
    <w:rsid w:val="7B9A6524"/>
    <w:rsid w:val="7B9B5F76"/>
    <w:rsid w:val="7B9C4735"/>
    <w:rsid w:val="7B9C6019"/>
    <w:rsid w:val="7B9C6D7F"/>
    <w:rsid w:val="7B9D39C2"/>
    <w:rsid w:val="7B9D48A5"/>
    <w:rsid w:val="7B9D703B"/>
    <w:rsid w:val="7B9F0714"/>
    <w:rsid w:val="7B9F13EB"/>
    <w:rsid w:val="7B9F4058"/>
    <w:rsid w:val="7B9F499A"/>
    <w:rsid w:val="7B9F6168"/>
    <w:rsid w:val="7BA06143"/>
    <w:rsid w:val="7BA07EF1"/>
    <w:rsid w:val="7BA109FB"/>
    <w:rsid w:val="7BA11D00"/>
    <w:rsid w:val="7BA14395"/>
    <w:rsid w:val="7BA16FBC"/>
    <w:rsid w:val="7BA172BA"/>
    <w:rsid w:val="7BA2010D"/>
    <w:rsid w:val="7BA20751"/>
    <w:rsid w:val="7BA2668E"/>
    <w:rsid w:val="7BA269C9"/>
    <w:rsid w:val="7BA35B5C"/>
    <w:rsid w:val="7BA438DA"/>
    <w:rsid w:val="7BA43E85"/>
    <w:rsid w:val="7BA45A38"/>
    <w:rsid w:val="7BA45C33"/>
    <w:rsid w:val="7BA47C43"/>
    <w:rsid w:val="7BA51EE3"/>
    <w:rsid w:val="7BA53A32"/>
    <w:rsid w:val="7BA55617"/>
    <w:rsid w:val="7BA61125"/>
    <w:rsid w:val="7BA62294"/>
    <w:rsid w:val="7BA764A6"/>
    <w:rsid w:val="7BA76818"/>
    <w:rsid w:val="7BA845BC"/>
    <w:rsid w:val="7BA9149B"/>
    <w:rsid w:val="7BA93249"/>
    <w:rsid w:val="7BA94FF8"/>
    <w:rsid w:val="7BAA4DAE"/>
    <w:rsid w:val="7BAB02A8"/>
    <w:rsid w:val="7BAB0E22"/>
    <w:rsid w:val="7BAB467E"/>
    <w:rsid w:val="7BAB5214"/>
    <w:rsid w:val="7BAC0158"/>
    <w:rsid w:val="7BAC28D0"/>
    <w:rsid w:val="7BAC2D3A"/>
    <w:rsid w:val="7BAD1F33"/>
    <w:rsid w:val="7BAD7847"/>
    <w:rsid w:val="7BAE0860"/>
    <w:rsid w:val="7BAE1B6F"/>
    <w:rsid w:val="7BAE6AB2"/>
    <w:rsid w:val="7BAF357F"/>
    <w:rsid w:val="7BB03A0C"/>
    <w:rsid w:val="7BB045D8"/>
    <w:rsid w:val="7BB06386"/>
    <w:rsid w:val="7BB06B1C"/>
    <w:rsid w:val="7BB1024E"/>
    <w:rsid w:val="7BB120FE"/>
    <w:rsid w:val="7BB140AB"/>
    <w:rsid w:val="7BB14E9C"/>
    <w:rsid w:val="7BB15693"/>
    <w:rsid w:val="7BB21980"/>
    <w:rsid w:val="7BB24969"/>
    <w:rsid w:val="7BB259E1"/>
    <w:rsid w:val="7BB26162"/>
    <w:rsid w:val="7BB3231A"/>
    <w:rsid w:val="7BB340C8"/>
    <w:rsid w:val="7BB376B0"/>
    <w:rsid w:val="7BB46E71"/>
    <w:rsid w:val="7BB51BEE"/>
    <w:rsid w:val="7BB5399C"/>
    <w:rsid w:val="7BB53DD1"/>
    <w:rsid w:val="7BB57E40"/>
    <w:rsid w:val="7BB63E6D"/>
    <w:rsid w:val="7BB65DCF"/>
    <w:rsid w:val="7BB67475"/>
    <w:rsid w:val="7BB70468"/>
    <w:rsid w:val="7BB709E3"/>
    <w:rsid w:val="7BB7343A"/>
    <w:rsid w:val="7BB75966"/>
    <w:rsid w:val="7BB87557"/>
    <w:rsid w:val="7BB91CF7"/>
    <w:rsid w:val="7BB91DEB"/>
    <w:rsid w:val="7BBA1932"/>
    <w:rsid w:val="7BBA5FC7"/>
    <w:rsid w:val="7BBA7205"/>
    <w:rsid w:val="7BBB1413"/>
    <w:rsid w:val="7BBB2497"/>
    <w:rsid w:val="7BBB4D2B"/>
    <w:rsid w:val="7BBB5A96"/>
    <w:rsid w:val="7BBC11CF"/>
    <w:rsid w:val="7BBC2F7D"/>
    <w:rsid w:val="7BBC508F"/>
    <w:rsid w:val="7BBC5274"/>
    <w:rsid w:val="7BBC65C9"/>
    <w:rsid w:val="7BBD493C"/>
    <w:rsid w:val="7BBD5177"/>
    <w:rsid w:val="7BBD6A93"/>
    <w:rsid w:val="7BBD6CF5"/>
    <w:rsid w:val="7BBE2FCB"/>
    <w:rsid w:val="7BBE3961"/>
    <w:rsid w:val="7BBE6183"/>
    <w:rsid w:val="7BBE62F3"/>
    <w:rsid w:val="7BBE779F"/>
    <w:rsid w:val="7BBF3BDC"/>
    <w:rsid w:val="7BBF6D24"/>
    <w:rsid w:val="7BC022C4"/>
    <w:rsid w:val="7BC02341"/>
    <w:rsid w:val="7BC10593"/>
    <w:rsid w:val="7BC1122E"/>
    <w:rsid w:val="7BC1661C"/>
    <w:rsid w:val="7BC167E5"/>
    <w:rsid w:val="7BC17268"/>
    <w:rsid w:val="7BC2255D"/>
    <w:rsid w:val="7BC2430B"/>
    <w:rsid w:val="7BC25CEF"/>
    <w:rsid w:val="7BC260B9"/>
    <w:rsid w:val="7BC311C4"/>
    <w:rsid w:val="7BC45C03"/>
    <w:rsid w:val="7BC462D5"/>
    <w:rsid w:val="7BC501E8"/>
    <w:rsid w:val="7BC52E91"/>
    <w:rsid w:val="7BC55AD8"/>
    <w:rsid w:val="7BC566B5"/>
    <w:rsid w:val="7BC57958"/>
    <w:rsid w:val="7BC57DF6"/>
    <w:rsid w:val="7BC6204D"/>
    <w:rsid w:val="7BC63DFB"/>
    <w:rsid w:val="7BC67677"/>
    <w:rsid w:val="7BC715AF"/>
    <w:rsid w:val="7BC72716"/>
    <w:rsid w:val="7BC919EA"/>
    <w:rsid w:val="7BC938EC"/>
    <w:rsid w:val="7BC93EC6"/>
    <w:rsid w:val="7BC946EB"/>
    <w:rsid w:val="7BC94F03"/>
    <w:rsid w:val="7BCA1097"/>
    <w:rsid w:val="7BCB08C2"/>
    <w:rsid w:val="7BCB1C27"/>
    <w:rsid w:val="7BCB31C0"/>
    <w:rsid w:val="7BCB3E23"/>
    <w:rsid w:val="7BCB7BC2"/>
    <w:rsid w:val="7BCC2A39"/>
    <w:rsid w:val="7BCC6983"/>
    <w:rsid w:val="7BCC6F38"/>
    <w:rsid w:val="7BCD3EA2"/>
    <w:rsid w:val="7BCD4FFD"/>
    <w:rsid w:val="7BCD6588"/>
    <w:rsid w:val="7BCE005E"/>
    <w:rsid w:val="7BCE1093"/>
    <w:rsid w:val="7BCE3534"/>
    <w:rsid w:val="7BCE4BEE"/>
    <w:rsid w:val="7BCE7374"/>
    <w:rsid w:val="7BCF407C"/>
    <w:rsid w:val="7BCF6FE9"/>
    <w:rsid w:val="7BD06A28"/>
    <w:rsid w:val="7BD1454E"/>
    <w:rsid w:val="7BD14C58"/>
    <w:rsid w:val="7BD16B89"/>
    <w:rsid w:val="7BD202B8"/>
    <w:rsid w:val="7BD209F2"/>
    <w:rsid w:val="7BD2433A"/>
    <w:rsid w:val="7BD358A8"/>
    <w:rsid w:val="7BD37033"/>
    <w:rsid w:val="7BD4377E"/>
    <w:rsid w:val="7BD5005C"/>
    <w:rsid w:val="7BD51450"/>
    <w:rsid w:val="7BD5390A"/>
    <w:rsid w:val="7BD615F7"/>
    <w:rsid w:val="7BD61D7A"/>
    <w:rsid w:val="7BD65F7F"/>
    <w:rsid w:val="7BD73C3D"/>
    <w:rsid w:val="7BD77DB7"/>
    <w:rsid w:val="7BD81D81"/>
    <w:rsid w:val="7BD8303E"/>
    <w:rsid w:val="7BD83B2F"/>
    <w:rsid w:val="7BD87C9A"/>
    <w:rsid w:val="7BD947BA"/>
    <w:rsid w:val="7BDA7FC6"/>
    <w:rsid w:val="7BDB70AB"/>
    <w:rsid w:val="7BDC08DB"/>
    <w:rsid w:val="7BDC0F74"/>
    <w:rsid w:val="7BDC16A3"/>
    <w:rsid w:val="7BDC34AC"/>
    <w:rsid w:val="7BDC361F"/>
    <w:rsid w:val="7BDC717B"/>
    <w:rsid w:val="7BDC7E55"/>
    <w:rsid w:val="7BDD06A3"/>
    <w:rsid w:val="7BDD1145"/>
    <w:rsid w:val="7BDD16B5"/>
    <w:rsid w:val="7BDD2850"/>
    <w:rsid w:val="7BDD6AF5"/>
    <w:rsid w:val="7BDD6D8C"/>
    <w:rsid w:val="7BDD7906"/>
    <w:rsid w:val="7BDE68C4"/>
    <w:rsid w:val="7BDE7397"/>
    <w:rsid w:val="7BDE750D"/>
    <w:rsid w:val="7BDF0A19"/>
    <w:rsid w:val="7BDF310F"/>
    <w:rsid w:val="7BE03B21"/>
    <w:rsid w:val="7BE05EE3"/>
    <w:rsid w:val="7BE10C35"/>
    <w:rsid w:val="7BE129E3"/>
    <w:rsid w:val="7BE16D5C"/>
    <w:rsid w:val="7BE20509"/>
    <w:rsid w:val="7BE257C2"/>
    <w:rsid w:val="7BE40725"/>
    <w:rsid w:val="7BE423A8"/>
    <w:rsid w:val="7BE424D4"/>
    <w:rsid w:val="7BE44282"/>
    <w:rsid w:val="7BE454D1"/>
    <w:rsid w:val="7BE45EDC"/>
    <w:rsid w:val="7BE50235"/>
    <w:rsid w:val="7BE57677"/>
    <w:rsid w:val="7BE61DA8"/>
    <w:rsid w:val="7BE6455E"/>
    <w:rsid w:val="7BE67FFA"/>
    <w:rsid w:val="7BE77DF4"/>
    <w:rsid w:val="7BE81EF7"/>
    <w:rsid w:val="7BE81FC4"/>
    <w:rsid w:val="7BE87D41"/>
    <w:rsid w:val="7BE90940"/>
    <w:rsid w:val="7BE91898"/>
    <w:rsid w:val="7BE92920"/>
    <w:rsid w:val="7BE95D3C"/>
    <w:rsid w:val="7BE97AEA"/>
    <w:rsid w:val="7BEB095D"/>
    <w:rsid w:val="7BEB1AB4"/>
    <w:rsid w:val="7BEB3862"/>
    <w:rsid w:val="7BEB46D2"/>
    <w:rsid w:val="7BEB70E5"/>
    <w:rsid w:val="7BEB753D"/>
    <w:rsid w:val="7BEB7AF4"/>
    <w:rsid w:val="7BEB7F3A"/>
    <w:rsid w:val="7BEC1388"/>
    <w:rsid w:val="7BEC1860"/>
    <w:rsid w:val="7BEC3136"/>
    <w:rsid w:val="7BEC3BF2"/>
    <w:rsid w:val="7BEC68CE"/>
    <w:rsid w:val="7BEE1AF9"/>
    <w:rsid w:val="7BEE237C"/>
    <w:rsid w:val="7BEE3352"/>
    <w:rsid w:val="7BEE5100"/>
    <w:rsid w:val="7BEE5593"/>
    <w:rsid w:val="7BEE6EAE"/>
    <w:rsid w:val="7BEE7F96"/>
    <w:rsid w:val="7BEF3923"/>
    <w:rsid w:val="7BF00E78"/>
    <w:rsid w:val="7BF02492"/>
    <w:rsid w:val="7BF03279"/>
    <w:rsid w:val="7BF070CA"/>
    <w:rsid w:val="7BF11DD9"/>
    <w:rsid w:val="7BF22E42"/>
    <w:rsid w:val="7BF26975"/>
    <w:rsid w:val="7BF30969"/>
    <w:rsid w:val="7BF3530E"/>
    <w:rsid w:val="7BF41733"/>
    <w:rsid w:val="7BF424F1"/>
    <w:rsid w:val="7BF515C7"/>
    <w:rsid w:val="7BF527EF"/>
    <w:rsid w:val="7BF52ED1"/>
    <w:rsid w:val="7BF5715C"/>
    <w:rsid w:val="7BF65078"/>
    <w:rsid w:val="7BF65754"/>
    <w:rsid w:val="7BF70C4F"/>
    <w:rsid w:val="7BF71226"/>
    <w:rsid w:val="7BF76405"/>
    <w:rsid w:val="7BF774B4"/>
    <w:rsid w:val="7BF81544"/>
    <w:rsid w:val="7BF81ADB"/>
    <w:rsid w:val="7BF841E1"/>
    <w:rsid w:val="7BF85D30"/>
    <w:rsid w:val="7BF87ACC"/>
    <w:rsid w:val="7BFA1CF7"/>
    <w:rsid w:val="7BFA3D47"/>
    <w:rsid w:val="7BFA55A5"/>
    <w:rsid w:val="7BFB004D"/>
    <w:rsid w:val="7BFB3984"/>
    <w:rsid w:val="7BFB4A24"/>
    <w:rsid w:val="7BFB7EC5"/>
    <w:rsid w:val="7BFC4E57"/>
    <w:rsid w:val="7BFC65C1"/>
    <w:rsid w:val="7BFC781D"/>
    <w:rsid w:val="7BFD4DCD"/>
    <w:rsid w:val="7BFD539D"/>
    <w:rsid w:val="7BFD6C27"/>
    <w:rsid w:val="7BFF3346"/>
    <w:rsid w:val="7BFF730D"/>
    <w:rsid w:val="7C0059B5"/>
    <w:rsid w:val="7C014E34"/>
    <w:rsid w:val="7C0225B1"/>
    <w:rsid w:val="7C025EAC"/>
    <w:rsid w:val="7C02677B"/>
    <w:rsid w:val="7C031C10"/>
    <w:rsid w:val="7C031C37"/>
    <w:rsid w:val="7C033C39"/>
    <w:rsid w:val="7C036DFE"/>
    <w:rsid w:val="7C044924"/>
    <w:rsid w:val="7C0466D2"/>
    <w:rsid w:val="7C0570D3"/>
    <w:rsid w:val="7C06069C"/>
    <w:rsid w:val="7C060708"/>
    <w:rsid w:val="7C06244A"/>
    <w:rsid w:val="7C063DB1"/>
    <w:rsid w:val="7C0640E4"/>
    <w:rsid w:val="7C0641F8"/>
    <w:rsid w:val="7C073C4C"/>
    <w:rsid w:val="7C075D69"/>
    <w:rsid w:val="7C077F70"/>
    <w:rsid w:val="7C0861C2"/>
    <w:rsid w:val="7C086947"/>
    <w:rsid w:val="7C091F3A"/>
    <w:rsid w:val="7C095A0B"/>
    <w:rsid w:val="7C0979D0"/>
    <w:rsid w:val="7C0A2894"/>
    <w:rsid w:val="7C0B180E"/>
    <w:rsid w:val="7C0B1BA9"/>
    <w:rsid w:val="7C0B3F04"/>
    <w:rsid w:val="7C0B79BA"/>
    <w:rsid w:val="7C0B7E06"/>
    <w:rsid w:val="7C0C12E2"/>
    <w:rsid w:val="7C0C5586"/>
    <w:rsid w:val="7C0C694A"/>
    <w:rsid w:val="7C0C6ACE"/>
    <w:rsid w:val="7C0F1DF5"/>
    <w:rsid w:val="7C0F6405"/>
    <w:rsid w:val="7C0F7D38"/>
    <w:rsid w:val="7C105077"/>
    <w:rsid w:val="7C10561E"/>
    <w:rsid w:val="7C116A62"/>
    <w:rsid w:val="7C122B9D"/>
    <w:rsid w:val="7C126ED0"/>
    <w:rsid w:val="7C13169D"/>
    <w:rsid w:val="7C134B67"/>
    <w:rsid w:val="7C140D1D"/>
    <w:rsid w:val="7C150A6C"/>
    <w:rsid w:val="7C15268D"/>
    <w:rsid w:val="7C15363D"/>
    <w:rsid w:val="7C154B4A"/>
    <w:rsid w:val="7C162532"/>
    <w:rsid w:val="7C170CAB"/>
    <w:rsid w:val="7C171DD7"/>
    <w:rsid w:val="7C1728A9"/>
    <w:rsid w:val="7C176405"/>
    <w:rsid w:val="7C177F93"/>
    <w:rsid w:val="7C180B2E"/>
    <w:rsid w:val="7C18217D"/>
    <w:rsid w:val="7C182BB2"/>
    <w:rsid w:val="7C183F2B"/>
    <w:rsid w:val="7C184253"/>
    <w:rsid w:val="7C1876BD"/>
    <w:rsid w:val="7C19711C"/>
    <w:rsid w:val="7C1A00AD"/>
    <w:rsid w:val="7C1A7CA3"/>
    <w:rsid w:val="7C1C093F"/>
    <w:rsid w:val="7C1C1B4C"/>
    <w:rsid w:val="7C1C1F2B"/>
    <w:rsid w:val="7C1C6E88"/>
    <w:rsid w:val="7C1C7EBF"/>
    <w:rsid w:val="7C1E325F"/>
    <w:rsid w:val="7C1E49A0"/>
    <w:rsid w:val="7C1F15FA"/>
    <w:rsid w:val="7C1F1CEB"/>
    <w:rsid w:val="7C1F350C"/>
    <w:rsid w:val="7C1F3C32"/>
    <w:rsid w:val="7C1F6A46"/>
    <w:rsid w:val="7C1F6E13"/>
    <w:rsid w:val="7C200750"/>
    <w:rsid w:val="7C202FBB"/>
    <w:rsid w:val="7C203FB1"/>
    <w:rsid w:val="7C2051FF"/>
    <w:rsid w:val="7C211032"/>
    <w:rsid w:val="7C2210D4"/>
    <w:rsid w:val="7C223070"/>
    <w:rsid w:val="7C240B22"/>
    <w:rsid w:val="7C245B94"/>
    <w:rsid w:val="7C253132"/>
    <w:rsid w:val="7C2609DC"/>
    <w:rsid w:val="7C26489A"/>
    <w:rsid w:val="7C2652CB"/>
    <w:rsid w:val="7C280612"/>
    <w:rsid w:val="7C2823C0"/>
    <w:rsid w:val="7C285AA2"/>
    <w:rsid w:val="7C286864"/>
    <w:rsid w:val="7C296138"/>
    <w:rsid w:val="7C2A25DC"/>
    <w:rsid w:val="7C2B3C5E"/>
    <w:rsid w:val="7C2B5E02"/>
    <w:rsid w:val="7C2C245E"/>
    <w:rsid w:val="7C2C53BA"/>
    <w:rsid w:val="7C2C67C8"/>
    <w:rsid w:val="7C2D4DAB"/>
    <w:rsid w:val="7C2D5C29"/>
    <w:rsid w:val="7C2E4461"/>
    <w:rsid w:val="7C2F0771"/>
    <w:rsid w:val="7C2F0918"/>
    <w:rsid w:val="7C301D8C"/>
    <w:rsid w:val="7C305719"/>
    <w:rsid w:val="7C320065"/>
    <w:rsid w:val="7C322622"/>
    <w:rsid w:val="7C32323F"/>
    <w:rsid w:val="7C324FED"/>
    <w:rsid w:val="7C325156"/>
    <w:rsid w:val="7C327443"/>
    <w:rsid w:val="7C3325C1"/>
    <w:rsid w:val="7C33284A"/>
    <w:rsid w:val="7C336FB7"/>
    <w:rsid w:val="7C340556"/>
    <w:rsid w:val="7C3406C2"/>
    <w:rsid w:val="7C340E68"/>
    <w:rsid w:val="7C34430E"/>
    <w:rsid w:val="7C345209"/>
    <w:rsid w:val="7C34709D"/>
    <w:rsid w:val="7C35007F"/>
    <w:rsid w:val="7C35791E"/>
    <w:rsid w:val="7C3604F6"/>
    <w:rsid w:val="7C366DCB"/>
    <w:rsid w:val="7C370855"/>
    <w:rsid w:val="7C372603"/>
    <w:rsid w:val="7C374CF9"/>
    <w:rsid w:val="7C376AA7"/>
    <w:rsid w:val="7C3807BC"/>
    <w:rsid w:val="7C38637B"/>
    <w:rsid w:val="7C390A5C"/>
    <w:rsid w:val="7C39281F"/>
    <w:rsid w:val="7C3964CD"/>
    <w:rsid w:val="7C3A12F7"/>
    <w:rsid w:val="7C3B033C"/>
    <w:rsid w:val="7C3B2817"/>
    <w:rsid w:val="7C3B5358"/>
    <w:rsid w:val="7C3C0CAD"/>
    <w:rsid w:val="7C3C2310"/>
    <w:rsid w:val="7C3D7C78"/>
    <w:rsid w:val="7C3E1BE4"/>
    <w:rsid w:val="7C3E7347"/>
    <w:rsid w:val="7C3E7E36"/>
    <w:rsid w:val="7C3F3CD9"/>
    <w:rsid w:val="7C3F7543"/>
    <w:rsid w:val="7C40194C"/>
    <w:rsid w:val="7C405169"/>
    <w:rsid w:val="7C4116D4"/>
    <w:rsid w:val="7C413482"/>
    <w:rsid w:val="7C4165F9"/>
    <w:rsid w:val="7C416ADB"/>
    <w:rsid w:val="7C4223F6"/>
    <w:rsid w:val="7C425FF0"/>
    <w:rsid w:val="7C431DB4"/>
    <w:rsid w:val="7C436497"/>
    <w:rsid w:val="7C436C11"/>
    <w:rsid w:val="7C43750A"/>
    <w:rsid w:val="7C4411C4"/>
    <w:rsid w:val="7C442AD2"/>
    <w:rsid w:val="7C442F72"/>
    <w:rsid w:val="7C444516"/>
    <w:rsid w:val="7C444C0C"/>
    <w:rsid w:val="7C451F56"/>
    <w:rsid w:val="7C45534E"/>
    <w:rsid w:val="7C460507"/>
    <w:rsid w:val="7C460A98"/>
    <w:rsid w:val="7C466CEA"/>
    <w:rsid w:val="7C473233"/>
    <w:rsid w:val="7C473C2F"/>
    <w:rsid w:val="7C480CB4"/>
    <w:rsid w:val="7C486FD3"/>
    <w:rsid w:val="7C491058"/>
    <w:rsid w:val="7C494450"/>
    <w:rsid w:val="7C4A4A2C"/>
    <w:rsid w:val="7C4A67DB"/>
    <w:rsid w:val="7C4B2553"/>
    <w:rsid w:val="7C4B3A46"/>
    <w:rsid w:val="7C4B4509"/>
    <w:rsid w:val="7C4C63C0"/>
    <w:rsid w:val="7C4D0079"/>
    <w:rsid w:val="7C4D2440"/>
    <w:rsid w:val="7C4D776D"/>
    <w:rsid w:val="7C4E0BFD"/>
    <w:rsid w:val="7C4E7023"/>
    <w:rsid w:val="7C4F12CD"/>
    <w:rsid w:val="7C4F31FB"/>
    <w:rsid w:val="7C516FC4"/>
    <w:rsid w:val="7C520F77"/>
    <w:rsid w:val="7C526503"/>
    <w:rsid w:val="7C52743D"/>
    <w:rsid w:val="7C532BE5"/>
    <w:rsid w:val="7C542F94"/>
    <w:rsid w:val="7C5460D2"/>
    <w:rsid w:val="7C550AD0"/>
    <w:rsid w:val="7C5544D0"/>
    <w:rsid w:val="7C55517F"/>
    <w:rsid w:val="7C555241"/>
    <w:rsid w:val="7C564A38"/>
    <w:rsid w:val="7C56598D"/>
    <w:rsid w:val="7C572CA5"/>
    <w:rsid w:val="7C582A06"/>
    <w:rsid w:val="7C587691"/>
    <w:rsid w:val="7C5877F8"/>
    <w:rsid w:val="7C594C70"/>
    <w:rsid w:val="7C596671"/>
    <w:rsid w:val="7C597B09"/>
    <w:rsid w:val="7C5A02E6"/>
    <w:rsid w:val="7C5A1C1F"/>
    <w:rsid w:val="7C5A2331"/>
    <w:rsid w:val="7C5B1D71"/>
    <w:rsid w:val="7C5C2206"/>
    <w:rsid w:val="7C5C4760"/>
    <w:rsid w:val="7C5C650E"/>
    <w:rsid w:val="7C5D0785"/>
    <w:rsid w:val="7C5D72DB"/>
    <w:rsid w:val="7C5E107E"/>
    <w:rsid w:val="7C5E4C2C"/>
    <w:rsid w:val="7C5E5DE2"/>
    <w:rsid w:val="7C5F03D8"/>
    <w:rsid w:val="7C5F1B5A"/>
    <w:rsid w:val="7C5F39EA"/>
    <w:rsid w:val="7C604753"/>
    <w:rsid w:val="7C612EFC"/>
    <w:rsid w:val="7C61326C"/>
    <w:rsid w:val="7C613B24"/>
    <w:rsid w:val="7C615BE3"/>
    <w:rsid w:val="7C616E4A"/>
    <w:rsid w:val="7C6203C7"/>
    <w:rsid w:val="7C623895"/>
    <w:rsid w:val="7C63164A"/>
    <w:rsid w:val="7C6317BF"/>
    <w:rsid w:val="7C631993"/>
    <w:rsid w:val="7C6330D4"/>
    <w:rsid w:val="7C6333F8"/>
    <w:rsid w:val="7C6453C2"/>
    <w:rsid w:val="7C646810"/>
    <w:rsid w:val="7C646AF3"/>
    <w:rsid w:val="7C652B12"/>
    <w:rsid w:val="7C653B1C"/>
    <w:rsid w:val="7C65717F"/>
    <w:rsid w:val="7C661E25"/>
    <w:rsid w:val="7C662C5B"/>
    <w:rsid w:val="7C664A55"/>
    <w:rsid w:val="7C666B00"/>
    <w:rsid w:val="7C672A41"/>
    <w:rsid w:val="7C686098"/>
    <w:rsid w:val="7C6868F6"/>
    <w:rsid w:val="7C686C61"/>
    <w:rsid w:val="7C69082B"/>
    <w:rsid w:val="7C6929D9"/>
    <w:rsid w:val="7C694787"/>
    <w:rsid w:val="7C6A1D54"/>
    <w:rsid w:val="7C6A2CBE"/>
    <w:rsid w:val="7C6B49A3"/>
    <w:rsid w:val="7C6B4C1D"/>
    <w:rsid w:val="7C6B6751"/>
    <w:rsid w:val="7C6C1D62"/>
    <w:rsid w:val="7C6C5AC7"/>
    <w:rsid w:val="7C6D0F74"/>
    <w:rsid w:val="7C6D1403"/>
    <w:rsid w:val="7C6D1FC3"/>
    <w:rsid w:val="7C6D613A"/>
    <w:rsid w:val="7C6E15E1"/>
    <w:rsid w:val="7C6E1828"/>
    <w:rsid w:val="7C6E2E01"/>
    <w:rsid w:val="7C6E6A2A"/>
    <w:rsid w:val="7C6F31FD"/>
    <w:rsid w:val="7C6F4493"/>
    <w:rsid w:val="7C6F6241"/>
    <w:rsid w:val="7C6F7FEF"/>
    <w:rsid w:val="7C702B07"/>
    <w:rsid w:val="7C706854"/>
    <w:rsid w:val="7C707844"/>
    <w:rsid w:val="7C711D6F"/>
    <w:rsid w:val="7C717E6D"/>
    <w:rsid w:val="7C717EBB"/>
    <w:rsid w:val="7C72188D"/>
    <w:rsid w:val="7C727ADF"/>
    <w:rsid w:val="7C733524"/>
    <w:rsid w:val="7C741AA9"/>
    <w:rsid w:val="7C7423F0"/>
    <w:rsid w:val="7C742918"/>
    <w:rsid w:val="7C743857"/>
    <w:rsid w:val="7C7464E8"/>
    <w:rsid w:val="7C75137E"/>
    <w:rsid w:val="7C75312C"/>
    <w:rsid w:val="7C755D3D"/>
    <w:rsid w:val="7C76101C"/>
    <w:rsid w:val="7C767363"/>
    <w:rsid w:val="7C77324A"/>
    <w:rsid w:val="7C773348"/>
    <w:rsid w:val="7C776EA4"/>
    <w:rsid w:val="7C790E6E"/>
    <w:rsid w:val="7C790F7C"/>
    <w:rsid w:val="7C7970C0"/>
    <w:rsid w:val="7C7974E4"/>
    <w:rsid w:val="7C7A0C8A"/>
    <w:rsid w:val="7C7A4626"/>
    <w:rsid w:val="7C7B135B"/>
    <w:rsid w:val="7C7C095E"/>
    <w:rsid w:val="7C7C44BA"/>
    <w:rsid w:val="7C7C62FA"/>
    <w:rsid w:val="7C7D3B9B"/>
    <w:rsid w:val="7C7D684C"/>
    <w:rsid w:val="7C7E1465"/>
    <w:rsid w:val="7C7E3B49"/>
    <w:rsid w:val="7C7E3D9C"/>
    <w:rsid w:val="7C7E46D6"/>
    <w:rsid w:val="7C7E47D9"/>
    <w:rsid w:val="7C7E4E12"/>
    <w:rsid w:val="7C7E610E"/>
    <w:rsid w:val="7C7E6484"/>
    <w:rsid w:val="7C7F178D"/>
    <w:rsid w:val="7C7F3FAA"/>
    <w:rsid w:val="7C80044E"/>
    <w:rsid w:val="7C8019A0"/>
    <w:rsid w:val="7C8025FB"/>
    <w:rsid w:val="7C8051CC"/>
    <w:rsid w:val="7C811EB4"/>
    <w:rsid w:val="7C816E2B"/>
    <w:rsid w:val="7C817D22"/>
    <w:rsid w:val="7C825B86"/>
    <w:rsid w:val="7C8415C1"/>
    <w:rsid w:val="7C841AA4"/>
    <w:rsid w:val="7C841B1D"/>
    <w:rsid w:val="7C843B4D"/>
    <w:rsid w:val="7C844DC9"/>
    <w:rsid w:val="7C8550D5"/>
    <w:rsid w:val="7C8610BB"/>
    <w:rsid w:val="7C8617DD"/>
    <w:rsid w:val="7C86358B"/>
    <w:rsid w:val="7C874F93"/>
    <w:rsid w:val="7C8763C3"/>
    <w:rsid w:val="7C8778FD"/>
    <w:rsid w:val="7C8810B1"/>
    <w:rsid w:val="7C885555"/>
    <w:rsid w:val="7C8949C7"/>
    <w:rsid w:val="7C897E39"/>
    <w:rsid w:val="7C8A4067"/>
    <w:rsid w:val="7C8A4AEC"/>
    <w:rsid w:val="7C8A5C54"/>
    <w:rsid w:val="7C8A627E"/>
    <w:rsid w:val="7C8B0BA1"/>
    <w:rsid w:val="7C8B294D"/>
    <w:rsid w:val="7C8B7A4F"/>
    <w:rsid w:val="7C8C0B9E"/>
    <w:rsid w:val="7C8D2B6B"/>
    <w:rsid w:val="7C8D46E1"/>
    <w:rsid w:val="7C8D6014"/>
    <w:rsid w:val="7C8D6044"/>
    <w:rsid w:val="7C8D66C7"/>
    <w:rsid w:val="7C8E0CC4"/>
    <w:rsid w:val="7C8E1E96"/>
    <w:rsid w:val="7C8E41ED"/>
    <w:rsid w:val="7C8E608F"/>
    <w:rsid w:val="7C8F243F"/>
    <w:rsid w:val="7C8F51E8"/>
    <w:rsid w:val="7C8F60B9"/>
    <w:rsid w:val="7C9061B7"/>
    <w:rsid w:val="7C906278"/>
    <w:rsid w:val="7C90735D"/>
    <w:rsid w:val="7C923CDE"/>
    <w:rsid w:val="7C930708"/>
    <w:rsid w:val="7C9372FA"/>
    <w:rsid w:val="7C943EFA"/>
    <w:rsid w:val="7C95233B"/>
    <w:rsid w:val="7C954AD2"/>
    <w:rsid w:val="7C95543C"/>
    <w:rsid w:val="7C964821"/>
    <w:rsid w:val="7C964851"/>
    <w:rsid w:val="7C9663B5"/>
    <w:rsid w:val="7C9673F2"/>
    <w:rsid w:val="7C9712F4"/>
    <w:rsid w:val="7C981003"/>
    <w:rsid w:val="7C981D12"/>
    <w:rsid w:val="7C983453"/>
    <w:rsid w:val="7C9948E3"/>
    <w:rsid w:val="7C99506C"/>
    <w:rsid w:val="7C9A5B40"/>
    <w:rsid w:val="7C9B5288"/>
    <w:rsid w:val="7C9B7036"/>
    <w:rsid w:val="7C9B7CC3"/>
    <w:rsid w:val="7C9C00B4"/>
    <w:rsid w:val="7C9C6069"/>
    <w:rsid w:val="7C9C6366"/>
    <w:rsid w:val="7C9D1356"/>
    <w:rsid w:val="7C9D22DB"/>
    <w:rsid w:val="7C9D46F4"/>
    <w:rsid w:val="7C9D6AFA"/>
    <w:rsid w:val="7C9D7F43"/>
    <w:rsid w:val="7C9E08D4"/>
    <w:rsid w:val="7C9E2682"/>
    <w:rsid w:val="7C9F1E41"/>
    <w:rsid w:val="7C9F5048"/>
    <w:rsid w:val="7CA0289E"/>
    <w:rsid w:val="7CA05191"/>
    <w:rsid w:val="7CA0553C"/>
    <w:rsid w:val="7CA103C5"/>
    <w:rsid w:val="7CA12E33"/>
    <w:rsid w:val="7CA13F21"/>
    <w:rsid w:val="7CA30566"/>
    <w:rsid w:val="7CA321F4"/>
    <w:rsid w:val="7CA474B9"/>
    <w:rsid w:val="7CA53A11"/>
    <w:rsid w:val="7CA57EB5"/>
    <w:rsid w:val="7CA64E0D"/>
    <w:rsid w:val="7CA678C4"/>
    <w:rsid w:val="7CA700A5"/>
    <w:rsid w:val="7CA73C2D"/>
    <w:rsid w:val="7CA8102A"/>
    <w:rsid w:val="7CA81753"/>
    <w:rsid w:val="7CA81807"/>
    <w:rsid w:val="7CA828C1"/>
    <w:rsid w:val="7CA83811"/>
    <w:rsid w:val="7CA852AF"/>
    <w:rsid w:val="7CA92C97"/>
    <w:rsid w:val="7CA94B23"/>
    <w:rsid w:val="7CAA312B"/>
    <w:rsid w:val="7CAA54CB"/>
    <w:rsid w:val="7CAA7279"/>
    <w:rsid w:val="7CAB2076"/>
    <w:rsid w:val="7CAB4D9F"/>
    <w:rsid w:val="7CAC1243"/>
    <w:rsid w:val="7CAC4C56"/>
    <w:rsid w:val="7CAD0705"/>
    <w:rsid w:val="7CAD2160"/>
    <w:rsid w:val="7CAD4FBB"/>
    <w:rsid w:val="7CAD6D69"/>
    <w:rsid w:val="7CAF209C"/>
    <w:rsid w:val="7CAF4890"/>
    <w:rsid w:val="7CAF7424"/>
    <w:rsid w:val="7CB00608"/>
    <w:rsid w:val="7CB01389"/>
    <w:rsid w:val="7CB05C34"/>
    <w:rsid w:val="7CB12663"/>
    <w:rsid w:val="7CB13703"/>
    <w:rsid w:val="7CB20F24"/>
    <w:rsid w:val="7CB225D2"/>
    <w:rsid w:val="7CB22C76"/>
    <w:rsid w:val="7CB235D0"/>
    <w:rsid w:val="7CB2612E"/>
    <w:rsid w:val="7CB3005B"/>
    <w:rsid w:val="7CB347DD"/>
    <w:rsid w:val="7CB3488A"/>
    <w:rsid w:val="7CB414EB"/>
    <w:rsid w:val="7CB421D8"/>
    <w:rsid w:val="7CB43C54"/>
    <w:rsid w:val="7CB515C3"/>
    <w:rsid w:val="7CB53346"/>
    <w:rsid w:val="7CB542A3"/>
    <w:rsid w:val="7CB61980"/>
    <w:rsid w:val="7CB62019"/>
    <w:rsid w:val="7CB71B11"/>
    <w:rsid w:val="7CB73744"/>
    <w:rsid w:val="7CB7520E"/>
    <w:rsid w:val="7CB77BE8"/>
    <w:rsid w:val="7CB77E6C"/>
    <w:rsid w:val="7CB81D1A"/>
    <w:rsid w:val="7CB835EF"/>
    <w:rsid w:val="7CB91B48"/>
    <w:rsid w:val="7CB93960"/>
    <w:rsid w:val="7CB9570E"/>
    <w:rsid w:val="7CB958A9"/>
    <w:rsid w:val="7CBA7331"/>
    <w:rsid w:val="7CBB3234"/>
    <w:rsid w:val="7CBB50AC"/>
    <w:rsid w:val="7CBC0991"/>
    <w:rsid w:val="7CBC0D5A"/>
    <w:rsid w:val="7CBC6FAC"/>
    <w:rsid w:val="7CBC7C7D"/>
    <w:rsid w:val="7CBD6203"/>
    <w:rsid w:val="7CBE0C61"/>
    <w:rsid w:val="7CBE0F77"/>
    <w:rsid w:val="7CBE2D25"/>
    <w:rsid w:val="7CBF30C7"/>
    <w:rsid w:val="7CC050E0"/>
    <w:rsid w:val="7CC12EC5"/>
    <w:rsid w:val="7CC16371"/>
    <w:rsid w:val="7CC24F7F"/>
    <w:rsid w:val="7CC3033B"/>
    <w:rsid w:val="7CC31836"/>
    <w:rsid w:val="7CC321BF"/>
    <w:rsid w:val="7CC3658D"/>
    <w:rsid w:val="7CC3679D"/>
    <w:rsid w:val="7CC4789F"/>
    <w:rsid w:val="7CC540B3"/>
    <w:rsid w:val="7CC54160"/>
    <w:rsid w:val="7CC55E61"/>
    <w:rsid w:val="7CC56011"/>
    <w:rsid w:val="7CC61BD9"/>
    <w:rsid w:val="7CC63728"/>
    <w:rsid w:val="7CC640C7"/>
    <w:rsid w:val="7CC6521D"/>
    <w:rsid w:val="7CC6544B"/>
    <w:rsid w:val="7CC6608C"/>
    <w:rsid w:val="7CC716EB"/>
    <w:rsid w:val="7CC80DF1"/>
    <w:rsid w:val="7CC81CAD"/>
    <w:rsid w:val="7CC92247"/>
    <w:rsid w:val="7CCB0075"/>
    <w:rsid w:val="7CCB25B2"/>
    <w:rsid w:val="7CCB5E67"/>
    <w:rsid w:val="7CCB71F0"/>
    <w:rsid w:val="7CCC3126"/>
    <w:rsid w:val="7CCC5441"/>
    <w:rsid w:val="7CCD2F68"/>
    <w:rsid w:val="7CCD4AB8"/>
    <w:rsid w:val="7CCD4D16"/>
    <w:rsid w:val="7CCD54A3"/>
    <w:rsid w:val="7CCD740C"/>
    <w:rsid w:val="7CCE4C63"/>
    <w:rsid w:val="7CCF1A08"/>
    <w:rsid w:val="7CCF6CE0"/>
    <w:rsid w:val="7CD03422"/>
    <w:rsid w:val="7CD04806"/>
    <w:rsid w:val="7CD10A13"/>
    <w:rsid w:val="7CD127AC"/>
    <w:rsid w:val="7CD12A58"/>
    <w:rsid w:val="7CD137FB"/>
    <w:rsid w:val="7CD21619"/>
    <w:rsid w:val="7CD23EB4"/>
    <w:rsid w:val="7CD35A56"/>
    <w:rsid w:val="7CD42548"/>
    <w:rsid w:val="7CD442F6"/>
    <w:rsid w:val="7CD460A4"/>
    <w:rsid w:val="7CD50633"/>
    <w:rsid w:val="7CD50824"/>
    <w:rsid w:val="7CD5178E"/>
    <w:rsid w:val="7CD51E1C"/>
    <w:rsid w:val="7CD5248E"/>
    <w:rsid w:val="7CD6557C"/>
    <w:rsid w:val="7CD662C0"/>
    <w:rsid w:val="7CD7072D"/>
    <w:rsid w:val="7CD73DE6"/>
    <w:rsid w:val="7CD75B94"/>
    <w:rsid w:val="7CD82038"/>
    <w:rsid w:val="7CD837F6"/>
    <w:rsid w:val="7CD868E1"/>
    <w:rsid w:val="7CD9190C"/>
    <w:rsid w:val="7CDB38D7"/>
    <w:rsid w:val="7CDC13FD"/>
    <w:rsid w:val="7CDC31AB"/>
    <w:rsid w:val="7CDC7A56"/>
    <w:rsid w:val="7CDE2D8B"/>
    <w:rsid w:val="7CDE33C7"/>
    <w:rsid w:val="7CDE54EB"/>
    <w:rsid w:val="7CDE6F23"/>
    <w:rsid w:val="7CDF5377"/>
    <w:rsid w:val="7CE000A7"/>
    <w:rsid w:val="7CE00EED"/>
    <w:rsid w:val="7CE01CB3"/>
    <w:rsid w:val="7CE02C73"/>
    <w:rsid w:val="7CE03194"/>
    <w:rsid w:val="7CE0713F"/>
    <w:rsid w:val="7CE1373F"/>
    <w:rsid w:val="7CE15F77"/>
    <w:rsid w:val="7CE22C6A"/>
    <w:rsid w:val="7CE246EC"/>
    <w:rsid w:val="7CE24C65"/>
    <w:rsid w:val="7CE26B65"/>
    <w:rsid w:val="7CE2753A"/>
    <w:rsid w:val="7CE3278B"/>
    <w:rsid w:val="7CE338D3"/>
    <w:rsid w:val="7CE347D2"/>
    <w:rsid w:val="7CE359F9"/>
    <w:rsid w:val="7CE420E4"/>
    <w:rsid w:val="7CE423A5"/>
    <w:rsid w:val="7CE45748"/>
    <w:rsid w:val="7CE502B1"/>
    <w:rsid w:val="7CE64029"/>
    <w:rsid w:val="7CE64568"/>
    <w:rsid w:val="7CE7227B"/>
    <w:rsid w:val="7CE722FC"/>
    <w:rsid w:val="7CE81BED"/>
    <w:rsid w:val="7CE83493"/>
    <w:rsid w:val="7CE9188E"/>
    <w:rsid w:val="7CE949D0"/>
    <w:rsid w:val="7CE956C6"/>
    <w:rsid w:val="7CEA1D6C"/>
    <w:rsid w:val="7CEA4744"/>
    <w:rsid w:val="7CEA7001"/>
    <w:rsid w:val="7CEC1655"/>
    <w:rsid w:val="7CEC42F9"/>
    <w:rsid w:val="7CED167C"/>
    <w:rsid w:val="7CED53B8"/>
    <w:rsid w:val="7CED6AAB"/>
    <w:rsid w:val="7CEE6972"/>
    <w:rsid w:val="7CEF1130"/>
    <w:rsid w:val="7CEF2EDE"/>
    <w:rsid w:val="7CF018F8"/>
    <w:rsid w:val="7CF074B6"/>
    <w:rsid w:val="7CF10415"/>
    <w:rsid w:val="7CF14EA8"/>
    <w:rsid w:val="7CF16C56"/>
    <w:rsid w:val="7CF229CE"/>
    <w:rsid w:val="7CF23E2E"/>
    <w:rsid w:val="7CF254B8"/>
    <w:rsid w:val="7CF2752A"/>
    <w:rsid w:val="7CF30D87"/>
    <w:rsid w:val="7CF36E72"/>
    <w:rsid w:val="7CF404F4"/>
    <w:rsid w:val="7CF4523D"/>
    <w:rsid w:val="7CF456DB"/>
    <w:rsid w:val="7CF5119E"/>
    <w:rsid w:val="7CF554E2"/>
    <w:rsid w:val="7CF566CD"/>
    <w:rsid w:val="7CF56DC3"/>
    <w:rsid w:val="7CF57B8C"/>
    <w:rsid w:val="7CF73913"/>
    <w:rsid w:val="7CF747DE"/>
    <w:rsid w:val="7CF76237"/>
    <w:rsid w:val="7CF81844"/>
    <w:rsid w:val="7CF84488"/>
    <w:rsid w:val="7CF8678F"/>
    <w:rsid w:val="7CF90201"/>
    <w:rsid w:val="7CF9398D"/>
    <w:rsid w:val="7CF9504E"/>
    <w:rsid w:val="7CF95B0B"/>
    <w:rsid w:val="7CFA695A"/>
    <w:rsid w:val="7CFB0BFD"/>
    <w:rsid w:val="7CFB74E9"/>
    <w:rsid w:val="7CFB7AD5"/>
    <w:rsid w:val="7CFC14EB"/>
    <w:rsid w:val="7CFC39A6"/>
    <w:rsid w:val="7CFC5B53"/>
    <w:rsid w:val="7CFD384D"/>
    <w:rsid w:val="7CFE1373"/>
    <w:rsid w:val="7CFE5817"/>
    <w:rsid w:val="7CFF2EC7"/>
    <w:rsid w:val="7CFF6113"/>
    <w:rsid w:val="7D0050EB"/>
    <w:rsid w:val="7D0053F8"/>
    <w:rsid w:val="7D010FE0"/>
    <w:rsid w:val="7D012C65"/>
    <w:rsid w:val="7D020E63"/>
    <w:rsid w:val="7D022412"/>
    <w:rsid w:val="7D0239FF"/>
    <w:rsid w:val="7D032E2D"/>
    <w:rsid w:val="7D03315D"/>
    <w:rsid w:val="7D035D55"/>
    <w:rsid w:val="7D0364BA"/>
    <w:rsid w:val="7D036989"/>
    <w:rsid w:val="7D041A97"/>
    <w:rsid w:val="7D041AF5"/>
    <w:rsid w:val="7D042A1D"/>
    <w:rsid w:val="7D04651D"/>
    <w:rsid w:val="7D052701"/>
    <w:rsid w:val="7D055AE9"/>
    <w:rsid w:val="7D056BA5"/>
    <w:rsid w:val="7D060228"/>
    <w:rsid w:val="7D063E26"/>
    <w:rsid w:val="7D0746CC"/>
    <w:rsid w:val="7D07647A"/>
    <w:rsid w:val="7D0821F2"/>
    <w:rsid w:val="7D0833A3"/>
    <w:rsid w:val="7D0836B3"/>
    <w:rsid w:val="7D083FA0"/>
    <w:rsid w:val="7D092500"/>
    <w:rsid w:val="7D093C14"/>
    <w:rsid w:val="7D095FD3"/>
    <w:rsid w:val="7D0A41BC"/>
    <w:rsid w:val="7D0A5F6A"/>
    <w:rsid w:val="7D0B0EF0"/>
    <w:rsid w:val="7D0C1CE2"/>
    <w:rsid w:val="7D0C218D"/>
    <w:rsid w:val="7D0D15B6"/>
    <w:rsid w:val="7D0D233E"/>
    <w:rsid w:val="7D0D35F9"/>
    <w:rsid w:val="7D0D6042"/>
    <w:rsid w:val="7D0D7808"/>
    <w:rsid w:val="7D0E1509"/>
    <w:rsid w:val="7D0F17D2"/>
    <w:rsid w:val="7D0F2C1B"/>
    <w:rsid w:val="7D0F3580"/>
    <w:rsid w:val="7D0F5C52"/>
    <w:rsid w:val="7D104A16"/>
    <w:rsid w:val="7D114111"/>
    <w:rsid w:val="7D11554A"/>
    <w:rsid w:val="7D121F07"/>
    <w:rsid w:val="7D123AD5"/>
    <w:rsid w:val="7D123C63"/>
    <w:rsid w:val="7D124E1E"/>
    <w:rsid w:val="7D126BCC"/>
    <w:rsid w:val="7D1307C6"/>
    <w:rsid w:val="7D1312C2"/>
    <w:rsid w:val="7D13737B"/>
    <w:rsid w:val="7D142945"/>
    <w:rsid w:val="7D1602C2"/>
    <w:rsid w:val="7D160AF0"/>
    <w:rsid w:val="7D1666BD"/>
    <w:rsid w:val="7D1705D7"/>
    <w:rsid w:val="7D1711BC"/>
    <w:rsid w:val="7D171D18"/>
    <w:rsid w:val="7D180687"/>
    <w:rsid w:val="7D183EB6"/>
    <w:rsid w:val="7D184638"/>
    <w:rsid w:val="7D1851D4"/>
    <w:rsid w:val="7D186340"/>
    <w:rsid w:val="7D190614"/>
    <w:rsid w:val="7D194F5E"/>
    <w:rsid w:val="7D197F5B"/>
    <w:rsid w:val="7D1A2DE9"/>
    <w:rsid w:val="7D1B1B29"/>
    <w:rsid w:val="7D1C7A4B"/>
    <w:rsid w:val="7D1D051D"/>
    <w:rsid w:val="7D1D0606"/>
    <w:rsid w:val="7D1D1974"/>
    <w:rsid w:val="7D1D2E6B"/>
    <w:rsid w:val="7D1E1A15"/>
    <w:rsid w:val="7D1E37C3"/>
    <w:rsid w:val="7D1E52AA"/>
    <w:rsid w:val="7D1E6A55"/>
    <w:rsid w:val="7D1F193A"/>
    <w:rsid w:val="7D1F2FC6"/>
    <w:rsid w:val="7D1F338C"/>
    <w:rsid w:val="7D1F4A8F"/>
    <w:rsid w:val="7D1F4BEE"/>
    <w:rsid w:val="7D1F6C78"/>
    <w:rsid w:val="7D2012E9"/>
    <w:rsid w:val="7D20578D"/>
    <w:rsid w:val="7D20693F"/>
    <w:rsid w:val="7D211C40"/>
    <w:rsid w:val="7D21705C"/>
    <w:rsid w:val="7D2232B3"/>
    <w:rsid w:val="7D225061"/>
    <w:rsid w:val="7D225F27"/>
    <w:rsid w:val="7D22618E"/>
    <w:rsid w:val="7D230486"/>
    <w:rsid w:val="7D23702C"/>
    <w:rsid w:val="7D2409AA"/>
    <w:rsid w:val="7D24527D"/>
    <w:rsid w:val="7D252DA4"/>
    <w:rsid w:val="7D2534DC"/>
    <w:rsid w:val="7D256900"/>
    <w:rsid w:val="7D261F6B"/>
    <w:rsid w:val="7D272678"/>
    <w:rsid w:val="7D2775F9"/>
    <w:rsid w:val="7D277B27"/>
    <w:rsid w:val="7D284642"/>
    <w:rsid w:val="7D290648"/>
    <w:rsid w:val="7D294373"/>
    <w:rsid w:val="7D294D1D"/>
    <w:rsid w:val="7D2978B5"/>
    <w:rsid w:val="7D2A040A"/>
    <w:rsid w:val="7D2A1791"/>
    <w:rsid w:val="7D2A2168"/>
    <w:rsid w:val="7D2A6445"/>
    <w:rsid w:val="7D2B4FB1"/>
    <w:rsid w:val="7D2B615C"/>
    <w:rsid w:val="7D2C177F"/>
    <w:rsid w:val="7D2C2CC3"/>
    <w:rsid w:val="7D2C53AB"/>
    <w:rsid w:val="7D2D023C"/>
    <w:rsid w:val="7D2D15D3"/>
    <w:rsid w:val="7D2D3F3E"/>
    <w:rsid w:val="7D2E7EAA"/>
    <w:rsid w:val="7D301008"/>
    <w:rsid w:val="7D302BF7"/>
    <w:rsid w:val="7D307669"/>
    <w:rsid w:val="7D310835"/>
    <w:rsid w:val="7D310F2F"/>
    <w:rsid w:val="7D3113EC"/>
    <w:rsid w:val="7D311664"/>
    <w:rsid w:val="7D311748"/>
    <w:rsid w:val="7D313D4F"/>
    <w:rsid w:val="7D317347"/>
    <w:rsid w:val="7D32101D"/>
    <w:rsid w:val="7D3354C1"/>
    <w:rsid w:val="7D33726F"/>
    <w:rsid w:val="7D3372CF"/>
    <w:rsid w:val="7D337A25"/>
    <w:rsid w:val="7D3422DA"/>
    <w:rsid w:val="7D35071E"/>
    <w:rsid w:val="7D354ACE"/>
    <w:rsid w:val="7D356A15"/>
    <w:rsid w:val="7D366D5F"/>
    <w:rsid w:val="7D366DD3"/>
    <w:rsid w:val="7D370CEF"/>
    <w:rsid w:val="7D371DFC"/>
    <w:rsid w:val="7D376633"/>
    <w:rsid w:val="7D3773F4"/>
    <w:rsid w:val="7D3910C6"/>
    <w:rsid w:val="7D3913FB"/>
    <w:rsid w:val="7D39684F"/>
    <w:rsid w:val="7D3A21A9"/>
    <w:rsid w:val="7D3B041C"/>
    <w:rsid w:val="7D3B2542"/>
    <w:rsid w:val="7D3B4375"/>
    <w:rsid w:val="7D3B6123"/>
    <w:rsid w:val="7D3B6DE2"/>
    <w:rsid w:val="7D3B71E3"/>
    <w:rsid w:val="7D3C17D5"/>
    <w:rsid w:val="7D3D1E9B"/>
    <w:rsid w:val="7D3D3A33"/>
    <w:rsid w:val="7D3D633F"/>
    <w:rsid w:val="7D3E31A7"/>
    <w:rsid w:val="7D3E3E65"/>
    <w:rsid w:val="7D3E5BDA"/>
    <w:rsid w:val="7D3E6E56"/>
    <w:rsid w:val="7D3E79C1"/>
    <w:rsid w:val="7D3F20B7"/>
    <w:rsid w:val="7D3F4A9B"/>
    <w:rsid w:val="7D3F70B7"/>
    <w:rsid w:val="7D400B4F"/>
    <w:rsid w:val="7D40198C"/>
    <w:rsid w:val="7D4023B4"/>
    <w:rsid w:val="7D403E7D"/>
    <w:rsid w:val="7D413844"/>
    <w:rsid w:val="7D413E44"/>
    <w:rsid w:val="7D4242B1"/>
    <w:rsid w:val="7D425704"/>
    <w:rsid w:val="7D4274B2"/>
    <w:rsid w:val="7D4278A5"/>
    <w:rsid w:val="7D43322A"/>
    <w:rsid w:val="7D436014"/>
    <w:rsid w:val="7D4377DB"/>
    <w:rsid w:val="7D437D8E"/>
    <w:rsid w:val="7D44147C"/>
    <w:rsid w:val="7D44388E"/>
    <w:rsid w:val="7D4479CE"/>
    <w:rsid w:val="7D454A6D"/>
    <w:rsid w:val="7D4551F4"/>
    <w:rsid w:val="7D457DB9"/>
    <w:rsid w:val="7D464AE5"/>
    <w:rsid w:val="7D470F6C"/>
    <w:rsid w:val="7D480840"/>
    <w:rsid w:val="7D480B46"/>
    <w:rsid w:val="7D4821C7"/>
    <w:rsid w:val="7D491FD6"/>
    <w:rsid w:val="7D494CE4"/>
    <w:rsid w:val="7D4961F9"/>
    <w:rsid w:val="7D496A92"/>
    <w:rsid w:val="7D4A0A5C"/>
    <w:rsid w:val="7D4A45B8"/>
    <w:rsid w:val="7D4A591B"/>
    <w:rsid w:val="7D4B133C"/>
    <w:rsid w:val="7D4C0330"/>
    <w:rsid w:val="7D4C0385"/>
    <w:rsid w:val="7D4C13EA"/>
    <w:rsid w:val="7D4C2098"/>
    <w:rsid w:val="7D4C20DE"/>
    <w:rsid w:val="7D4C3528"/>
    <w:rsid w:val="7D4C6582"/>
    <w:rsid w:val="7D4D0BA2"/>
    <w:rsid w:val="7D4E22FA"/>
    <w:rsid w:val="7D4E3F18"/>
    <w:rsid w:val="7D4F1BCF"/>
    <w:rsid w:val="7D4F2127"/>
    <w:rsid w:val="7D4F318C"/>
    <w:rsid w:val="7D4F6073"/>
    <w:rsid w:val="7D502D5B"/>
    <w:rsid w:val="7D513D56"/>
    <w:rsid w:val="7D515947"/>
    <w:rsid w:val="7D5273EA"/>
    <w:rsid w:val="7D5327F5"/>
    <w:rsid w:val="7D53555A"/>
    <w:rsid w:val="7D537911"/>
    <w:rsid w:val="7D545437"/>
    <w:rsid w:val="7D5471E5"/>
    <w:rsid w:val="7D5645DA"/>
    <w:rsid w:val="7D574FC7"/>
    <w:rsid w:val="7D575C62"/>
    <w:rsid w:val="7D580FFA"/>
    <w:rsid w:val="7D586CD5"/>
    <w:rsid w:val="7D5A0C9F"/>
    <w:rsid w:val="7D5A1F62"/>
    <w:rsid w:val="7D5A6919"/>
    <w:rsid w:val="7D5B0573"/>
    <w:rsid w:val="7D5B2DE6"/>
    <w:rsid w:val="7D5B4A17"/>
    <w:rsid w:val="7D5B4E63"/>
    <w:rsid w:val="7D5C14CD"/>
    <w:rsid w:val="7D5D253D"/>
    <w:rsid w:val="7D5D42EC"/>
    <w:rsid w:val="7D5E1E12"/>
    <w:rsid w:val="7D5E40CD"/>
    <w:rsid w:val="7D5F62B6"/>
    <w:rsid w:val="7D60202E"/>
    <w:rsid w:val="7D603993"/>
    <w:rsid w:val="7D603D80"/>
    <w:rsid w:val="7D607503"/>
    <w:rsid w:val="7D623591"/>
    <w:rsid w:val="7D625DA6"/>
    <w:rsid w:val="7D63567A"/>
    <w:rsid w:val="7D635EF7"/>
    <w:rsid w:val="7D643769"/>
    <w:rsid w:val="7D6469F8"/>
    <w:rsid w:val="7D652C3F"/>
    <w:rsid w:val="7D6531A0"/>
    <w:rsid w:val="7D65336D"/>
    <w:rsid w:val="7D657644"/>
    <w:rsid w:val="7D660653"/>
    <w:rsid w:val="7D67516A"/>
    <w:rsid w:val="7D677407"/>
    <w:rsid w:val="7D68608A"/>
    <w:rsid w:val="7D686D69"/>
    <w:rsid w:val="7D6873BE"/>
    <w:rsid w:val="7D687A4C"/>
    <w:rsid w:val="7D691E2E"/>
    <w:rsid w:val="7D692C90"/>
    <w:rsid w:val="7D69505D"/>
    <w:rsid w:val="7D6A07B6"/>
    <w:rsid w:val="7D6A5621"/>
    <w:rsid w:val="7D6A7225"/>
    <w:rsid w:val="7D6B1191"/>
    <w:rsid w:val="7D6B2EAC"/>
    <w:rsid w:val="7D6B5370"/>
    <w:rsid w:val="7D6C4BDF"/>
    <w:rsid w:val="7D6D64AB"/>
    <w:rsid w:val="7D6D6E09"/>
    <w:rsid w:val="7D6E02A7"/>
    <w:rsid w:val="7D6E0C40"/>
    <w:rsid w:val="7D6E27AF"/>
    <w:rsid w:val="7D6E2E2C"/>
    <w:rsid w:val="7D6F14AC"/>
    <w:rsid w:val="7D6F1730"/>
    <w:rsid w:val="7D7004C3"/>
    <w:rsid w:val="7D7039C7"/>
    <w:rsid w:val="7D7111E2"/>
    <w:rsid w:val="7D715FB6"/>
    <w:rsid w:val="7D726347"/>
    <w:rsid w:val="7D726ADF"/>
    <w:rsid w:val="7D73004A"/>
    <w:rsid w:val="7D731663"/>
    <w:rsid w:val="7D733B0F"/>
    <w:rsid w:val="7D733F27"/>
    <w:rsid w:val="7D7358BD"/>
    <w:rsid w:val="7D737A52"/>
    <w:rsid w:val="7D740952"/>
    <w:rsid w:val="7D74404F"/>
    <w:rsid w:val="7D747C84"/>
    <w:rsid w:val="7D750FF3"/>
    <w:rsid w:val="7D7515E7"/>
    <w:rsid w:val="7D755727"/>
    <w:rsid w:val="7D761851"/>
    <w:rsid w:val="7D761F06"/>
    <w:rsid w:val="7D7635FF"/>
    <w:rsid w:val="7D774DBF"/>
    <w:rsid w:val="7D781125"/>
    <w:rsid w:val="7D7819FE"/>
    <w:rsid w:val="7D787377"/>
    <w:rsid w:val="7D790740"/>
    <w:rsid w:val="7D796C4C"/>
    <w:rsid w:val="7D797BF1"/>
    <w:rsid w:val="7D7A30EF"/>
    <w:rsid w:val="7D7A39D5"/>
    <w:rsid w:val="7D7A4E9D"/>
    <w:rsid w:val="7D7C30CE"/>
    <w:rsid w:val="7D7C58BE"/>
    <w:rsid w:val="7D7C62F5"/>
    <w:rsid w:val="7D7C7A36"/>
    <w:rsid w:val="7D7D04EA"/>
    <w:rsid w:val="7D7D2BE0"/>
    <w:rsid w:val="7D7D555E"/>
    <w:rsid w:val="7D7D673C"/>
    <w:rsid w:val="7D7D7785"/>
    <w:rsid w:val="7D7E3329"/>
    <w:rsid w:val="7D7F0706"/>
    <w:rsid w:val="7D7F4AF0"/>
    <w:rsid w:val="7D7F4C76"/>
    <w:rsid w:val="7D7F61DE"/>
    <w:rsid w:val="7D80447E"/>
    <w:rsid w:val="7D80622C"/>
    <w:rsid w:val="7D807847"/>
    <w:rsid w:val="7D811639"/>
    <w:rsid w:val="7D8123E1"/>
    <w:rsid w:val="7D8125AE"/>
    <w:rsid w:val="7D831878"/>
    <w:rsid w:val="7D8361C8"/>
    <w:rsid w:val="7D836237"/>
    <w:rsid w:val="7D8513B2"/>
    <w:rsid w:val="7D85227D"/>
    <w:rsid w:val="7D854CB6"/>
    <w:rsid w:val="7D865DD3"/>
    <w:rsid w:val="7D873365"/>
    <w:rsid w:val="7D881731"/>
    <w:rsid w:val="7D891584"/>
    <w:rsid w:val="7D895543"/>
    <w:rsid w:val="7D896705"/>
    <w:rsid w:val="7D8A0E59"/>
    <w:rsid w:val="7D8A2C07"/>
    <w:rsid w:val="7D8B70AB"/>
    <w:rsid w:val="7D8B7C4C"/>
    <w:rsid w:val="7D8C2E23"/>
    <w:rsid w:val="7D8C4BD1"/>
    <w:rsid w:val="7D8D09BB"/>
    <w:rsid w:val="7D8D1E4B"/>
    <w:rsid w:val="7D8D48BC"/>
    <w:rsid w:val="7D8D727A"/>
    <w:rsid w:val="7D8E01D6"/>
    <w:rsid w:val="7D8E213F"/>
    <w:rsid w:val="7D8E3287"/>
    <w:rsid w:val="7D8E3CD7"/>
    <w:rsid w:val="7D8F021D"/>
    <w:rsid w:val="7D8F646F"/>
    <w:rsid w:val="7D8F6C39"/>
    <w:rsid w:val="7D8F7243"/>
    <w:rsid w:val="7D8F74D4"/>
    <w:rsid w:val="7D902913"/>
    <w:rsid w:val="7D9107CC"/>
    <w:rsid w:val="7D910DBD"/>
    <w:rsid w:val="7D911D20"/>
    <w:rsid w:val="7D93607C"/>
    <w:rsid w:val="7D937778"/>
    <w:rsid w:val="7D9505DD"/>
    <w:rsid w:val="7D9558CD"/>
    <w:rsid w:val="7D960230"/>
    <w:rsid w:val="7D961ED7"/>
    <w:rsid w:val="7D96286A"/>
    <w:rsid w:val="7D965A4F"/>
    <w:rsid w:val="7D9771DF"/>
    <w:rsid w:val="7D983576"/>
    <w:rsid w:val="7D9867C0"/>
    <w:rsid w:val="7D986F5E"/>
    <w:rsid w:val="7D9903EE"/>
    <w:rsid w:val="7D9905A8"/>
    <w:rsid w:val="7D99109C"/>
    <w:rsid w:val="7D991438"/>
    <w:rsid w:val="7D993920"/>
    <w:rsid w:val="7D997217"/>
    <w:rsid w:val="7D9A5767"/>
    <w:rsid w:val="7D9A7BC3"/>
    <w:rsid w:val="7D9B27FD"/>
    <w:rsid w:val="7D9B3066"/>
    <w:rsid w:val="7D9B444F"/>
    <w:rsid w:val="7D9C12B8"/>
    <w:rsid w:val="7D9C2790"/>
    <w:rsid w:val="7D9D0B8C"/>
    <w:rsid w:val="7D9D6448"/>
    <w:rsid w:val="7D9D6D6F"/>
    <w:rsid w:val="7D9D6DDE"/>
    <w:rsid w:val="7D9E518D"/>
    <w:rsid w:val="7D9F66B2"/>
    <w:rsid w:val="7DA0105C"/>
    <w:rsid w:val="7DA13DAB"/>
    <w:rsid w:val="7DA1414D"/>
    <w:rsid w:val="7DA15960"/>
    <w:rsid w:val="7DA168CE"/>
    <w:rsid w:val="7DA17606"/>
    <w:rsid w:val="7DA17A48"/>
    <w:rsid w:val="7DA20010"/>
    <w:rsid w:val="7DA20C25"/>
    <w:rsid w:val="7DA261A2"/>
    <w:rsid w:val="7DA27C62"/>
    <w:rsid w:val="7DA43CC8"/>
    <w:rsid w:val="7DA454BF"/>
    <w:rsid w:val="7DA46CB9"/>
    <w:rsid w:val="7DA55C93"/>
    <w:rsid w:val="7DA57A41"/>
    <w:rsid w:val="7DA60774"/>
    <w:rsid w:val="7DA729F2"/>
    <w:rsid w:val="7DA755C3"/>
    <w:rsid w:val="7DA86A53"/>
    <w:rsid w:val="7DA87BD4"/>
    <w:rsid w:val="7DA9292E"/>
    <w:rsid w:val="7DAA1815"/>
    <w:rsid w:val="7DAA52CA"/>
    <w:rsid w:val="7DAB0E2A"/>
    <w:rsid w:val="7DAC62F1"/>
    <w:rsid w:val="7DAC78BA"/>
    <w:rsid w:val="7DAD3AB5"/>
    <w:rsid w:val="7DAD6D1D"/>
    <w:rsid w:val="7DAD7D0D"/>
    <w:rsid w:val="7DAE218F"/>
    <w:rsid w:val="7DAE2D99"/>
    <w:rsid w:val="7DAE4B47"/>
    <w:rsid w:val="7DAE7BC5"/>
    <w:rsid w:val="7DAF2218"/>
    <w:rsid w:val="7DB00F10"/>
    <w:rsid w:val="7DB05976"/>
    <w:rsid w:val="7DB06383"/>
    <w:rsid w:val="7DB100DF"/>
    <w:rsid w:val="7DB163E5"/>
    <w:rsid w:val="7DB20D54"/>
    <w:rsid w:val="7DB222C5"/>
    <w:rsid w:val="7DB303AF"/>
    <w:rsid w:val="7DB36601"/>
    <w:rsid w:val="7DB47898"/>
    <w:rsid w:val="7DB51B46"/>
    <w:rsid w:val="7DB52379"/>
    <w:rsid w:val="7DB54128"/>
    <w:rsid w:val="7DB54732"/>
    <w:rsid w:val="7DB561F2"/>
    <w:rsid w:val="7DB56486"/>
    <w:rsid w:val="7DB61A1D"/>
    <w:rsid w:val="7DB61C4E"/>
    <w:rsid w:val="7DB639FC"/>
    <w:rsid w:val="7DB7671D"/>
    <w:rsid w:val="7DB83C18"/>
    <w:rsid w:val="7DB859C6"/>
    <w:rsid w:val="7DB86716"/>
    <w:rsid w:val="7DB8799F"/>
    <w:rsid w:val="7DB94E07"/>
    <w:rsid w:val="7DB979D8"/>
    <w:rsid w:val="7DBA0E4F"/>
    <w:rsid w:val="7DBA173E"/>
    <w:rsid w:val="7DBA5722"/>
    <w:rsid w:val="7DBA750E"/>
    <w:rsid w:val="7DBB0899"/>
    <w:rsid w:val="7DBB54B6"/>
    <w:rsid w:val="7DBC3708"/>
    <w:rsid w:val="7DBC3788"/>
    <w:rsid w:val="7DBC4436"/>
    <w:rsid w:val="7DBC620B"/>
    <w:rsid w:val="7DBD3374"/>
    <w:rsid w:val="7DBE3CBA"/>
    <w:rsid w:val="7DBF2109"/>
    <w:rsid w:val="7DBF3B6B"/>
    <w:rsid w:val="7DC00DDD"/>
    <w:rsid w:val="7DC0487A"/>
    <w:rsid w:val="7DC06BDF"/>
    <w:rsid w:val="7DC10D1E"/>
    <w:rsid w:val="7DC156B6"/>
    <w:rsid w:val="7DC17168"/>
    <w:rsid w:val="7DC1796C"/>
    <w:rsid w:val="7DC205F3"/>
    <w:rsid w:val="7DC21C6C"/>
    <w:rsid w:val="7DC223A1"/>
    <w:rsid w:val="7DC26844"/>
    <w:rsid w:val="7DC268B8"/>
    <w:rsid w:val="7DC349F4"/>
    <w:rsid w:val="7DC375D7"/>
    <w:rsid w:val="7DC40AF4"/>
    <w:rsid w:val="7DC4436B"/>
    <w:rsid w:val="7DC51E91"/>
    <w:rsid w:val="7DC53D9C"/>
    <w:rsid w:val="7DC54579"/>
    <w:rsid w:val="7DC57A20"/>
    <w:rsid w:val="7DC600E3"/>
    <w:rsid w:val="7DC73E5B"/>
    <w:rsid w:val="7DC75C09"/>
    <w:rsid w:val="7DC9091A"/>
    <w:rsid w:val="7DC921A4"/>
    <w:rsid w:val="7DC92DF0"/>
    <w:rsid w:val="7DC9359F"/>
    <w:rsid w:val="7DCA74A7"/>
    <w:rsid w:val="7DCB1DED"/>
    <w:rsid w:val="7DCB56F9"/>
    <w:rsid w:val="7DCC4BF0"/>
    <w:rsid w:val="7DCC63B1"/>
    <w:rsid w:val="7DCD11E9"/>
    <w:rsid w:val="7DCD15AE"/>
    <w:rsid w:val="7DCD45BE"/>
    <w:rsid w:val="7DCD56F2"/>
    <w:rsid w:val="7DCE006A"/>
    <w:rsid w:val="7DCE076E"/>
    <w:rsid w:val="7DCE343B"/>
    <w:rsid w:val="7DCE51E9"/>
    <w:rsid w:val="7DCE6F97"/>
    <w:rsid w:val="7DCE7FFF"/>
    <w:rsid w:val="7DCF2576"/>
    <w:rsid w:val="7DCF4ABD"/>
    <w:rsid w:val="7DCF59B1"/>
    <w:rsid w:val="7DD00F61"/>
    <w:rsid w:val="7DD01C93"/>
    <w:rsid w:val="7DD03157"/>
    <w:rsid w:val="7DD0505C"/>
    <w:rsid w:val="7DD07093"/>
    <w:rsid w:val="7DD13898"/>
    <w:rsid w:val="7DD16A88"/>
    <w:rsid w:val="7DD23264"/>
    <w:rsid w:val="7DD24CD9"/>
    <w:rsid w:val="7DD2598F"/>
    <w:rsid w:val="7DD33150"/>
    <w:rsid w:val="7DD36318"/>
    <w:rsid w:val="7DD41E33"/>
    <w:rsid w:val="7DD447CA"/>
    <w:rsid w:val="7DD47D47"/>
    <w:rsid w:val="7DD50326"/>
    <w:rsid w:val="7DD520D4"/>
    <w:rsid w:val="7DD53EC6"/>
    <w:rsid w:val="7DD547CA"/>
    <w:rsid w:val="7DD56578"/>
    <w:rsid w:val="7DD62B82"/>
    <w:rsid w:val="7DD64A15"/>
    <w:rsid w:val="7DD65140"/>
    <w:rsid w:val="7DD65E4C"/>
    <w:rsid w:val="7DD7396E"/>
    <w:rsid w:val="7DD80B2D"/>
    <w:rsid w:val="7DD81BC4"/>
    <w:rsid w:val="7DD82F61"/>
    <w:rsid w:val="7DD86068"/>
    <w:rsid w:val="7DD87E16"/>
    <w:rsid w:val="7DD90F22"/>
    <w:rsid w:val="7DDA4D40"/>
    <w:rsid w:val="7DDA6D11"/>
    <w:rsid w:val="7DDA771A"/>
    <w:rsid w:val="7DDB16B4"/>
    <w:rsid w:val="7DDB1A3B"/>
    <w:rsid w:val="7DDB3462"/>
    <w:rsid w:val="7DDB4DEA"/>
    <w:rsid w:val="7DDC0A58"/>
    <w:rsid w:val="7DDD2303"/>
    <w:rsid w:val="7DDD3CFE"/>
    <w:rsid w:val="7DDD6128"/>
    <w:rsid w:val="7DDE0263"/>
    <w:rsid w:val="7DDE038D"/>
    <w:rsid w:val="7DDE5692"/>
    <w:rsid w:val="7DDF16F3"/>
    <w:rsid w:val="7DDF3424"/>
    <w:rsid w:val="7DDF3558"/>
    <w:rsid w:val="7DDF73F6"/>
    <w:rsid w:val="7DDF7BA4"/>
    <w:rsid w:val="7DE10723"/>
    <w:rsid w:val="7DE1139E"/>
    <w:rsid w:val="7DE1316F"/>
    <w:rsid w:val="7DE14D54"/>
    <w:rsid w:val="7DE15754"/>
    <w:rsid w:val="7DE21265"/>
    <w:rsid w:val="7DE2453F"/>
    <w:rsid w:val="7DE30074"/>
    <w:rsid w:val="7DE40569"/>
    <w:rsid w:val="7DE44A0D"/>
    <w:rsid w:val="7DE51CF9"/>
    <w:rsid w:val="7DE548C4"/>
    <w:rsid w:val="7DE60785"/>
    <w:rsid w:val="7DE62533"/>
    <w:rsid w:val="7DE6481C"/>
    <w:rsid w:val="7DE64D48"/>
    <w:rsid w:val="7DE70059"/>
    <w:rsid w:val="7DE844FD"/>
    <w:rsid w:val="7DE859ED"/>
    <w:rsid w:val="7DE907C7"/>
    <w:rsid w:val="7DE90E7A"/>
    <w:rsid w:val="7DE9105E"/>
    <w:rsid w:val="7DE91552"/>
    <w:rsid w:val="7DE92023"/>
    <w:rsid w:val="7DE960E5"/>
    <w:rsid w:val="7DEA0224"/>
    <w:rsid w:val="7DEA44DB"/>
    <w:rsid w:val="7DEA75E4"/>
    <w:rsid w:val="7DEB45B9"/>
    <w:rsid w:val="7DEB5D9B"/>
    <w:rsid w:val="7DEB7B49"/>
    <w:rsid w:val="7DEC2962"/>
    <w:rsid w:val="7DEC566F"/>
    <w:rsid w:val="7DED1B13"/>
    <w:rsid w:val="7DED47AB"/>
    <w:rsid w:val="7DEE7639"/>
    <w:rsid w:val="7DEF235B"/>
    <w:rsid w:val="7DEF60A9"/>
    <w:rsid w:val="7DF033B2"/>
    <w:rsid w:val="7DF049DC"/>
    <w:rsid w:val="7DF05CA9"/>
    <w:rsid w:val="7DF06F0E"/>
    <w:rsid w:val="7DF06F1F"/>
    <w:rsid w:val="7DF12C86"/>
    <w:rsid w:val="7DF13DD7"/>
    <w:rsid w:val="7DF15239"/>
    <w:rsid w:val="7DF22975"/>
    <w:rsid w:val="7DF24F98"/>
    <w:rsid w:val="7DF26D5D"/>
    <w:rsid w:val="7DF306F4"/>
    <w:rsid w:val="7DF34AAF"/>
    <w:rsid w:val="7DF37096"/>
    <w:rsid w:val="7DF440E5"/>
    <w:rsid w:val="7DF447BE"/>
    <w:rsid w:val="7DF509C8"/>
    <w:rsid w:val="7DF5250D"/>
    <w:rsid w:val="7DF5262B"/>
    <w:rsid w:val="7DF6029C"/>
    <w:rsid w:val="7DF648F8"/>
    <w:rsid w:val="7DF64DA9"/>
    <w:rsid w:val="7DF74740"/>
    <w:rsid w:val="7DF804B8"/>
    <w:rsid w:val="7DF81F34"/>
    <w:rsid w:val="7DF92299"/>
    <w:rsid w:val="7DF9501B"/>
    <w:rsid w:val="7DFA3729"/>
    <w:rsid w:val="7DFA4230"/>
    <w:rsid w:val="7DFA495A"/>
    <w:rsid w:val="7DFA5CD1"/>
    <w:rsid w:val="7DFA5FDE"/>
    <w:rsid w:val="7DFC3B04"/>
    <w:rsid w:val="7DFD162B"/>
    <w:rsid w:val="7DFF0735"/>
    <w:rsid w:val="7DFF35F5"/>
    <w:rsid w:val="7DFF55A9"/>
    <w:rsid w:val="7E002EC9"/>
    <w:rsid w:val="7E01111B"/>
    <w:rsid w:val="7E011EBB"/>
    <w:rsid w:val="7E0155BF"/>
    <w:rsid w:val="7E021846"/>
    <w:rsid w:val="7E0274DA"/>
    <w:rsid w:val="7E030AED"/>
    <w:rsid w:val="7E033DF9"/>
    <w:rsid w:val="7E0429B9"/>
    <w:rsid w:val="7E046CD4"/>
    <w:rsid w:val="7E0557AD"/>
    <w:rsid w:val="7E06489D"/>
    <w:rsid w:val="7E066731"/>
    <w:rsid w:val="7E074257"/>
    <w:rsid w:val="7E0806FB"/>
    <w:rsid w:val="7E0808FE"/>
    <w:rsid w:val="7E094473"/>
    <w:rsid w:val="7E09527D"/>
    <w:rsid w:val="7E096919"/>
    <w:rsid w:val="7E097FCF"/>
    <w:rsid w:val="7E0A3DA5"/>
    <w:rsid w:val="7E0A5DEF"/>
    <w:rsid w:val="7E0B01EB"/>
    <w:rsid w:val="7E0B1C8F"/>
    <w:rsid w:val="7E0B3B61"/>
    <w:rsid w:val="7E0B3D48"/>
    <w:rsid w:val="7E0B727F"/>
    <w:rsid w:val="7E0C2AE7"/>
    <w:rsid w:val="7E0D3F64"/>
    <w:rsid w:val="7E0D4502"/>
    <w:rsid w:val="7E0D5D12"/>
    <w:rsid w:val="7E0E21D7"/>
    <w:rsid w:val="7E0E55E6"/>
    <w:rsid w:val="7E0F0073"/>
    <w:rsid w:val="7E10135E"/>
    <w:rsid w:val="7E103AE9"/>
    <w:rsid w:val="7E105902"/>
    <w:rsid w:val="7E11318F"/>
    <w:rsid w:val="7E1157F9"/>
    <w:rsid w:val="7E115C3B"/>
    <w:rsid w:val="7E12157A"/>
    <w:rsid w:val="7E1216CD"/>
    <w:rsid w:val="7E131996"/>
    <w:rsid w:val="7E131BA5"/>
    <w:rsid w:val="7E134C62"/>
    <w:rsid w:val="7E1352F2"/>
    <w:rsid w:val="7E1365B7"/>
    <w:rsid w:val="7E1370A0"/>
    <w:rsid w:val="7E137708"/>
    <w:rsid w:val="7E1451E3"/>
    <w:rsid w:val="7E15249D"/>
    <w:rsid w:val="7E152E18"/>
    <w:rsid w:val="7E152F02"/>
    <w:rsid w:val="7E1533D8"/>
    <w:rsid w:val="7E155EAF"/>
    <w:rsid w:val="7E164B37"/>
    <w:rsid w:val="7E170E6D"/>
    <w:rsid w:val="7E1710AA"/>
    <w:rsid w:val="7E171911"/>
    <w:rsid w:val="7E1757B2"/>
    <w:rsid w:val="7E176626"/>
    <w:rsid w:val="7E186464"/>
    <w:rsid w:val="7E1906D4"/>
    <w:rsid w:val="7E192D13"/>
    <w:rsid w:val="7E1A020E"/>
    <w:rsid w:val="7E1A042F"/>
    <w:rsid w:val="7E1B53F6"/>
    <w:rsid w:val="7E1B7B68"/>
    <w:rsid w:val="7E1C0321"/>
    <w:rsid w:val="7E1C2E32"/>
    <w:rsid w:val="7E1C5A2B"/>
    <w:rsid w:val="7E1C767E"/>
    <w:rsid w:val="7E1D07C3"/>
    <w:rsid w:val="7E1D1CCD"/>
    <w:rsid w:val="7E1D2E37"/>
    <w:rsid w:val="7E1D3A7B"/>
    <w:rsid w:val="7E1E00B5"/>
    <w:rsid w:val="7E1E329F"/>
    <w:rsid w:val="7E1E7F1F"/>
    <w:rsid w:val="7E1F2BF2"/>
    <w:rsid w:val="7E1F3C97"/>
    <w:rsid w:val="7E1F3FB4"/>
    <w:rsid w:val="7E1F5901"/>
    <w:rsid w:val="7E20237B"/>
    <w:rsid w:val="7E20339C"/>
    <w:rsid w:val="7E20742A"/>
    <w:rsid w:val="7E2101BB"/>
    <w:rsid w:val="7E2117BD"/>
    <w:rsid w:val="7E214BB4"/>
    <w:rsid w:val="7E215319"/>
    <w:rsid w:val="7E221091"/>
    <w:rsid w:val="7E2272E3"/>
    <w:rsid w:val="7E2303A6"/>
    <w:rsid w:val="7E233DC5"/>
    <w:rsid w:val="7E233F3B"/>
    <w:rsid w:val="7E235535"/>
    <w:rsid w:val="7E237B92"/>
    <w:rsid w:val="7E246C26"/>
    <w:rsid w:val="7E263E87"/>
    <w:rsid w:val="7E272C94"/>
    <w:rsid w:val="7E2748F9"/>
    <w:rsid w:val="7E275861"/>
    <w:rsid w:val="7E27649A"/>
    <w:rsid w:val="7E282B4B"/>
    <w:rsid w:val="7E284E00"/>
    <w:rsid w:val="7E2961B8"/>
    <w:rsid w:val="7E2968C4"/>
    <w:rsid w:val="7E297C37"/>
    <w:rsid w:val="7E2A0670"/>
    <w:rsid w:val="7E2A13F0"/>
    <w:rsid w:val="7E2A70DF"/>
    <w:rsid w:val="7E2B43EA"/>
    <w:rsid w:val="7E2B5128"/>
    <w:rsid w:val="7E2B6198"/>
    <w:rsid w:val="7E2C3CBE"/>
    <w:rsid w:val="7E2D4365"/>
    <w:rsid w:val="7E2D70C2"/>
    <w:rsid w:val="7E2D7A48"/>
    <w:rsid w:val="7E2E2619"/>
    <w:rsid w:val="7E2E4B35"/>
    <w:rsid w:val="7E2E5C88"/>
    <w:rsid w:val="7E2E6078"/>
    <w:rsid w:val="7E301570"/>
    <w:rsid w:val="7E30185D"/>
    <w:rsid w:val="7E301A00"/>
    <w:rsid w:val="7E3037AE"/>
    <w:rsid w:val="7E307B0A"/>
    <w:rsid w:val="7E31008B"/>
    <w:rsid w:val="7E311875"/>
    <w:rsid w:val="7E314CBD"/>
    <w:rsid w:val="7E31750D"/>
    <w:rsid w:val="7E320D2E"/>
    <w:rsid w:val="7E3219C6"/>
    <w:rsid w:val="7E3239CA"/>
    <w:rsid w:val="7E32403B"/>
    <w:rsid w:val="7E325778"/>
    <w:rsid w:val="7E327526"/>
    <w:rsid w:val="7E3276C9"/>
    <w:rsid w:val="7E3276CF"/>
    <w:rsid w:val="7E334FFB"/>
    <w:rsid w:val="7E336173"/>
    <w:rsid w:val="7E341193"/>
    <w:rsid w:val="7E34791B"/>
    <w:rsid w:val="7E350B80"/>
    <w:rsid w:val="7E350DC4"/>
    <w:rsid w:val="7E355268"/>
    <w:rsid w:val="7E35622D"/>
    <w:rsid w:val="7E357016"/>
    <w:rsid w:val="7E357394"/>
    <w:rsid w:val="7E3808B5"/>
    <w:rsid w:val="7E385F5A"/>
    <w:rsid w:val="7E386B07"/>
    <w:rsid w:val="7E394D59"/>
    <w:rsid w:val="7E39772C"/>
    <w:rsid w:val="7E3A41B1"/>
    <w:rsid w:val="7E3A462D"/>
    <w:rsid w:val="7E3A63DB"/>
    <w:rsid w:val="7E3B2254"/>
    <w:rsid w:val="7E3B5607"/>
    <w:rsid w:val="7E3C03A5"/>
    <w:rsid w:val="7E3C2A2D"/>
    <w:rsid w:val="7E3C60AD"/>
    <w:rsid w:val="7E3C61A8"/>
    <w:rsid w:val="7E3D549D"/>
    <w:rsid w:val="7E3D5ECB"/>
    <w:rsid w:val="7E3D690A"/>
    <w:rsid w:val="7E3E236F"/>
    <w:rsid w:val="7E3E2DA3"/>
    <w:rsid w:val="7E3E411D"/>
    <w:rsid w:val="7E3F39F1"/>
    <w:rsid w:val="7E3F4922"/>
    <w:rsid w:val="7E3F746A"/>
    <w:rsid w:val="7E3F7E95"/>
    <w:rsid w:val="7E400016"/>
    <w:rsid w:val="7E4001DC"/>
    <w:rsid w:val="7E401AB3"/>
    <w:rsid w:val="7E404A2E"/>
    <w:rsid w:val="7E404DF7"/>
    <w:rsid w:val="7E405CBD"/>
    <w:rsid w:val="7E4069CF"/>
    <w:rsid w:val="7E41212C"/>
    <w:rsid w:val="7E413AE4"/>
    <w:rsid w:val="7E41734E"/>
    <w:rsid w:val="7E417769"/>
    <w:rsid w:val="7E42647F"/>
    <w:rsid w:val="7E430448"/>
    <w:rsid w:val="7E4328CE"/>
    <w:rsid w:val="7E435B33"/>
    <w:rsid w:val="7E436536"/>
    <w:rsid w:val="7E4436FD"/>
    <w:rsid w:val="7E444A54"/>
    <w:rsid w:val="7E4454AB"/>
    <w:rsid w:val="7E447259"/>
    <w:rsid w:val="7E4548B9"/>
    <w:rsid w:val="7E462FD2"/>
    <w:rsid w:val="7E464BC4"/>
    <w:rsid w:val="7E466380"/>
    <w:rsid w:val="7E472F01"/>
    <w:rsid w:val="7E486D4A"/>
    <w:rsid w:val="7E487E89"/>
    <w:rsid w:val="7E490D14"/>
    <w:rsid w:val="7E4A3282"/>
    <w:rsid w:val="7E4A46C2"/>
    <w:rsid w:val="7E4B05E8"/>
    <w:rsid w:val="7E4B0675"/>
    <w:rsid w:val="7E4B0769"/>
    <w:rsid w:val="7E4B1B41"/>
    <w:rsid w:val="7E4C53D3"/>
    <w:rsid w:val="7E4C5BA2"/>
    <w:rsid w:val="7E4C610E"/>
    <w:rsid w:val="7E4D4360"/>
    <w:rsid w:val="7E4E0006"/>
    <w:rsid w:val="7E4E04C2"/>
    <w:rsid w:val="7E4E1E86"/>
    <w:rsid w:val="7E4F2222"/>
    <w:rsid w:val="7E4F632A"/>
    <w:rsid w:val="7E510584"/>
    <w:rsid w:val="7E5202D3"/>
    <w:rsid w:val="7E521976"/>
    <w:rsid w:val="7E521BF3"/>
    <w:rsid w:val="7E524DA3"/>
    <w:rsid w:val="7E5255A9"/>
    <w:rsid w:val="7E525E1A"/>
    <w:rsid w:val="7E52614D"/>
    <w:rsid w:val="7E531884"/>
    <w:rsid w:val="7E533299"/>
    <w:rsid w:val="7E53749D"/>
    <w:rsid w:val="7E540A2A"/>
    <w:rsid w:val="7E543940"/>
    <w:rsid w:val="7E545791"/>
    <w:rsid w:val="7E546956"/>
    <w:rsid w:val="7E551467"/>
    <w:rsid w:val="7E551D69"/>
    <w:rsid w:val="7E554143"/>
    <w:rsid w:val="7E5570D2"/>
    <w:rsid w:val="7E5576B9"/>
    <w:rsid w:val="7E5624AB"/>
    <w:rsid w:val="7E5633A0"/>
    <w:rsid w:val="7E56389E"/>
    <w:rsid w:val="7E566C54"/>
    <w:rsid w:val="7E5751DF"/>
    <w:rsid w:val="7E577064"/>
    <w:rsid w:val="7E5772CC"/>
    <w:rsid w:val="7E5805BA"/>
    <w:rsid w:val="7E582D05"/>
    <w:rsid w:val="7E582E17"/>
    <w:rsid w:val="7E590F57"/>
    <w:rsid w:val="7E59665A"/>
    <w:rsid w:val="7E596C4A"/>
    <w:rsid w:val="7E5A1926"/>
    <w:rsid w:val="7E5A21D9"/>
    <w:rsid w:val="7E5A5649"/>
    <w:rsid w:val="7E5B330A"/>
    <w:rsid w:val="7E5B4207"/>
    <w:rsid w:val="7E5C0A47"/>
    <w:rsid w:val="7E5C2C2A"/>
    <w:rsid w:val="7E5C45A3"/>
    <w:rsid w:val="7E5D031B"/>
    <w:rsid w:val="7E5D548E"/>
    <w:rsid w:val="7E5E06B3"/>
    <w:rsid w:val="7E5E261A"/>
    <w:rsid w:val="7E5E4287"/>
    <w:rsid w:val="7E5E656D"/>
    <w:rsid w:val="7E5F22E5"/>
    <w:rsid w:val="7E6027DD"/>
    <w:rsid w:val="7E611BB9"/>
    <w:rsid w:val="7E61318D"/>
    <w:rsid w:val="7E61605D"/>
    <w:rsid w:val="7E617E0B"/>
    <w:rsid w:val="7E621CF2"/>
    <w:rsid w:val="7E62443B"/>
    <w:rsid w:val="7E624CA1"/>
    <w:rsid w:val="7E631258"/>
    <w:rsid w:val="7E6316DF"/>
    <w:rsid w:val="7E633B84"/>
    <w:rsid w:val="7E635932"/>
    <w:rsid w:val="7E635E7C"/>
    <w:rsid w:val="7E64102D"/>
    <w:rsid w:val="7E6416AA"/>
    <w:rsid w:val="7E642DD9"/>
    <w:rsid w:val="7E656734"/>
    <w:rsid w:val="7E660124"/>
    <w:rsid w:val="7E660D86"/>
    <w:rsid w:val="7E66131A"/>
    <w:rsid w:val="7E6671D0"/>
    <w:rsid w:val="7E6727AA"/>
    <w:rsid w:val="7E6747B5"/>
    <w:rsid w:val="7E6820E7"/>
    <w:rsid w:val="7E682F48"/>
    <w:rsid w:val="7E686041"/>
    <w:rsid w:val="7E6867FD"/>
    <w:rsid w:val="7E6911E4"/>
    <w:rsid w:val="7E691610"/>
    <w:rsid w:val="7E691F05"/>
    <w:rsid w:val="7E696DF4"/>
    <w:rsid w:val="7E6A0FC8"/>
    <w:rsid w:val="7E6A5CFF"/>
    <w:rsid w:val="7E6A69EB"/>
    <w:rsid w:val="7E6B0C8A"/>
    <w:rsid w:val="7E6B3AED"/>
    <w:rsid w:val="7E6B79EA"/>
    <w:rsid w:val="7E6D10D6"/>
    <w:rsid w:val="7E6E0C3D"/>
    <w:rsid w:val="7E6E1DAC"/>
    <w:rsid w:val="7E6E2528"/>
    <w:rsid w:val="7E6E42D6"/>
    <w:rsid w:val="7E6E636B"/>
    <w:rsid w:val="7E6F077A"/>
    <w:rsid w:val="7E70004F"/>
    <w:rsid w:val="7E70147A"/>
    <w:rsid w:val="7E70503D"/>
    <w:rsid w:val="7E710202"/>
    <w:rsid w:val="7E713588"/>
    <w:rsid w:val="7E7200FE"/>
    <w:rsid w:val="7E7257DC"/>
    <w:rsid w:val="7E730D4D"/>
    <w:rsid w:val="7E7318ED"/>
    <w:rsid w:val="7E7336AD"/>
    <w:rsid w:val="7E735C2E"/>
    <w:rsid w:val="7E743B40"/>
    <w:rsid w:val="7E746A0C"/>
    <w:rsid w:val="7E751B09"/>
    <w:rsid w:val="7E752DCA"/>
    <w:rsid w:val="7E755665"/>
    <w:rsid w:val="7E764D60"/>
    <w:rsid w:val="7E7726CB"/>
    <w:rsid w:val="7E772737"/>
    <w:rsid w:val="7E78372F"/>
    <w:rsid w:val="7E7864E1"/>
    <w:rsid w:val="7E795155"/>
    <w:rsid w:val="7E7A0ECD"/>
    <w:rsid w:val="7E7A2F09"/>
    <w:rsid w:val="7E7A604F"/>
    <w:rsid w:val="7E7A711F"/>
    <w:rsid w:val="7E7B2AE0"/>
    <w:rsid w:val="7E7C2E97"/>
    <w:rsid w:val="7E7C4C45"/>
    <w:rsid w:val="7E7D21DF"/>
    <w:rsid w:val="7E7D5D3C"/>
    <w:rsid w:val="7E7D7E98"/>
    <w:rsid w:val="7E7E232D"/>
    <w:rsid w:val="7E7E276B"/>
    <w:rsid w:val="7E7E4970"/>
    <w:rsid w:val="7E7E516C"/>
    <w:rsid w:val="7E7E60FC"/>
    <w:rsid w:val="7E7E6C0F"/>
    <w:rsid w:val="7E7F3D32"/>
    <w:rsid w:val="7E7F4EC9"/>
    <w:rsid w:val="7E7F4F69"/>
    <w:rsid w:val="7E7F64E4"/>
    <w:rsid w:val="7E7F6EEE"/>
    <w:rsid w:val="7E8044E0"/>
    <w:rsid w:val="7E8047FE"/>
    <w:rsid w:val="7E81225C"/>
    <w:rsid w:val="7E814567"/>
    <w:rsid w:val="7E8147E1"/>
    <w:rsid w:val="7E820DF8"/>
    <w:rsid w:val="7E830415"/>
    <w:rsid w:val="7E83046A"/>
    <w:rsid w:val="7E835D9F"/>
    <w:rsid w:val="7E837D82"/>
    <w:rsid w:val="7E84219D"/>
    <w:rsid w:val="7E844A7D"/>
    <w:rsid w:val="7E8458A8"/>
    <w:rsid w:val="7E851D4C"/>
    <w:rsid w:val="7E857F9E"/>
    <w:rsid w:val="7E857FA3"/>
    <w:rsid w:val="7E863BDC"/>
    <w:rsid w:val="7E8807F6"/>
    <w:rsid w:val="7E8835EA"/>
    <w:rsid w:val="7E88519C"/>
    <w:rsid w:val="7E891110"/>
    <w:rsid w:val="7E8B30DA"/>
    <w:rsid w:val="7E8B4758"/>
    <w:rsid w:val="7E8C065F"/>
    <w:rsid w:val="7E8D0900"/>
    <w:rsid w:val="7E8D1BE3"/>
    <w:rsid w:val="7E8D29AE"/>
    <w:rsid w:val="7E8D5D27"/>
    <w:rsid w:val="7E8D68EA"/>
    <w:rsid w:val="7E8E1714"/>
    <w:rsid w:val="7E8E6727"/>
    <w:rsid w:val="7E8F4EBC"/>
    <w:rsid w:val="7E90249F"/>
    <w:rsid w:val="7E905C32"/>
    <w:rsid w:val="7E906943"/>
    <w:rsid w:val="7E9256EF"/>
    <w:rsid w:val="7E933D3D"/>
    <w:rsid w:val="7E935F3B"/>
    <w:rsid w:val="7E940154"/>
    <w:rsid w:val="7E9401E1"/>
    <w:rsid w:val="7E953F59"/>
    <w:rsid w:val="7E955828"/>
    <w:rsid w:val="7E957203"/>
    <w:rsid w:val="7E962A37"/>
    <w:rsid w:val="7E964D71"/>
    <w:rsid w:val="7E966CB8"/>
    <w:rsid w:val="7E9677B1"/>
    <w:rsid w:val="7E970148"/>
    <w:rsid w:val="7E973746"/>
    <w:rsid w:val="7E97382D"/>
    <w:rsid w:val="7E975577"/>
    <w:rsid w:val="7E991353"/>
    <w:rsid w:val="7E9941A9"/>
    <w:rsid w:val="7E9975A5"/>
    <w:rsid w:val="7E9A0D49"/>
    <w:rsid w:val="7E9A3EF8"/>
    <w:rsid w:val="7E9A50CB"/>
    <w:rsid w:val="7E9A78A1"/>
    <w:rsid w:val="7E9B156F"/>
    <w:rsid w:val="7E9B264D"/>
    <w:rsid w:val="7E9B2796"/>
    <w:rsid w:val="7E9B6276"/>
    <w:rsid w:val="7E9C0E44"/>
    <w:rsid w:val="7E9C52E7"/>
    <w:rsid w:val="7E9D7CD9"/>
    <w:rsid w:val="7E9E2E0E"/>
    <w:rsid w:val="7E9E7BAE"/>
    <w:rsid w:val="7E9F528B"/>
    <w:rsid w:val="7EA03058"/>
    <w:rsid w:val="7EA113F5"/>
    <w:rsid w:val="7EA128FE"/>
    <w:rsid w:val="7EA14244"/>
    <w:rsid w:val="7EA1645A"/>
    <w:rsid w:val="7EA17C5F"/>
    <w:rsid w:val="7EA24235"/>
    <w:rsid w:val="7EA303B6"/>
    <w:rsid w:val="7EA30424"/>
    <w:rsid w:val="7EA321D2"/>
    <w:rsid w:val="7EA35A72"/>
    <w:rsid w:val="7EA36676"/>
    <w:rsid w:val="7EA4093D"/>
    <w:rsid w:val="7EA41B5F"/>
    <w:rsid w:val="7EA46AD1"/>
    <w:rsid w:val="7EA5025C"/>
    <w:rsid w:val="7EA55E80"/>
    <w:rsid w:val="7EA57133"/>
    <w:rsid w:val="7EA61B54"/>
    <w:rsid w:val="7EA63A70"/>
    <w:rsid w:val="7EA67F14"/>
    <w:rsid w:val="7EA77C3D"/>
    <w:rsid w:val="7EA83C8C"/>
    <w:rsid w:val="7EA84A63"/>
    <w:rsid w:val="7EA85A3A"/>
    <w:rsid w:val="7EA865FF"/>
    <w:rsid w:val="7EA877E8"/>
    <w:rsid w:val="7EA91FAF"/>
    <w:rsid w:val="7EA9255D"/>
    <w:rsid w:val="7EA942FF"/>
    <w:rsid w:val="7EAA17B2"/>
    <w:rsid w:val="7EAA3560"/>
    <w:rsid w:val="7EAB1087"/>
    <w:rsid w:val="7EAB72D9"/>
    <w:rsid w:val="7EAC2BFE"/>
    <w:rsid w:val="7EAD12A3"/>
    <w:rsid w:val="7EAD3051"/>
    <w:rsid w:val="7EAD530E"/>
    <w:rsid w:val="7EAE3933"/>
    <w:rsid w:val="7EAE463B"/>
    <w:rsid w:val="7EAF6DC9"/>
    <w:rsid w:val="7EB0040B"/>
    <w:rsid w:val="7EB02B41"/>
    <w:rsid w:val="7EB037B2"/>
    <w:rsid w:val="7EB048EF"/>
    <w:rsid w:val="7EB0785F"/>
    <w:rsid w:val="7EB079D5"/>
    <w:rsid w:val="7EB20667"/>
    <w:rsid w:val="7EB21C78"/>
    <w:rsid w:val="7EB22415"/>
    <w:rsid w:val="7EB268B9"/>
    <w:rsid w:val="7EB32B2E"/>
    <w:rsid w:val="7EB435A8"/>
    <w:rsid w:val="7EB472FA"/>
    <w:rsid w:val="7EB47670"/>
    <w:rsid w:val="7EB60414"/>
    <w:rsid w:val="7EB62636"/>
    <w:rsid w:val="7EB64B61"/>
    <w:rsid w:val="7EB73ECF"/>
    <w:rsid w:val="7EB75C7D"/>
    <w:rsid w:val="7EB77A2B"/>
    <w:rsid w:val="7EB8083D"/>
    <w:rsid w:val="7EB91081"/>
    <w:rsid w:val="7EB913F0"/>
    <w:rsid w:val="7EB919F5"/>
    <w:rsid w:val="7EBB21A7"/>
    <w:rsid w:val="7EBB39C0"/>
    <w:rsid w:val="7EBB576E"/>
    <w:rsid w:val="7EBC14E6"/>
    <w:rsid w:val="7EBC3294"/>
    <w:rsid w:val="7EBC4261"/>
    <w:rsid w:val="7EBC7738"/>
    <w:rsid w:val="7EBE1F70"/>
    <w:rsid w:val="7EBE2CCE"/>
    <w:rsid w:val="7EBE4A34"/>
    <w:rsid w:val="7EBE4F03"/>
    <w:rsid w:val="7EBE700C"/>
    <w:rsid w:val="7EBF4B32"/>
    <w:rsid w:val="7EC0068F"/>
    <w:rsid w:val="7EC00849"/>
    <w:rsid w:val="7EC00FD6"/>
    <w:rsid w:val="7EC02D84"/>
    <w:rsid w:val="7EC035FC"/>
    <w:rsid w:val="7EC06323"/>
    <w:rsid w:val="7EC10816"/>
    <w:rsid w:val="7EC16AFC"/>
    <w:rsid w:val="7EC35AA6"/>
    <w:rsid w:val="7EC363D0"/>
    <w:rsid w:val="7EC4077C"/>
    <w:rsid w:val="7EC42148"/>
    <w:rsid w:val="7EC4446B"/>
    <w:rsid w:val="7EC5039A"/>
    <w:rsid w:val="7EC50590"/>
    <w:rsid w:val="7EC512AA"/>
    <w:rsid w:val="7EC536C4"/>
    <w:rsid w:val="7EC572FA"/>
    <w:rsid w:val="7EC60243"/>
    <w:rsid w:val="7EC64112"/>
    <w:rsid w:val="7EC65650"/>
    <w:rsid w:val="7EC72D44"/>
    <w:rsid w:val="7EC74053"/>
    <w:rsid w:val="7EC75DFF"/>
    <w:rsid w:val="7EC76A34"/>
    <w:rsid w:val="7EC81688"/>
    <w:rsid w:val="7EC81C39"/>
    <w:rsid w:val="7EC823F6"/>
    <w:rsid w:val="7EC82E67"/>
    <w:rsid w:val="7EC860DC"/>
    <w:rsid w:val="7EC97423"/>
    <w:rsid w:val="7ECB1327"/>
    <w:rsid w:val="7ECB4DA6"/>
    <w:rsid w:val="7ECB797B"/>
    <w:rsid w:val="7ECD1A2F"/>
    <w:rsid w:val="7ECD36F3"/>
    <w:rsid w:val="7ECD54A1"/>
    <w:rsid w:val="7ECD6632"/>
    <w:rsid w:val="7ECE6324"/>
    <w:rsid w:val="7ECF1219"/>
    <w:rsid w:val="7ECF2FC7"/>
    <w:rsid w:val="7ECF53A2"/>
    <w:rsid w:val="7ECF553C"/>
    <w:rsid w:val="7ECF7A6A"/>
    <w:rsid w:val="7ED00AED"/>
    <w:rsid w:val="7ED037CB"/>
    <w:rsid w:val="7ED10D8E"/>
    <w:rsid w:val="7ED11B74"/>
    <w:rsid w:val="7ED14F91"/>
    <w:rsid w:val="7ED166B7"/>
    <w:rsid w:val="7ED20C3B"/>
    <w:rsid w:val="7ED22AB7"/>
    <w:rsid w:val="7ED24865"/>
    <w:rsid w:val="7ED36F36"/>
    <w:rsid w:val="7ED405DD"/>
    <w:rsid w:val="7ED44D9A"/>
    <w:rsid w:val="7ED54355"/>
    <w:rsid w:val="7ED56104"/>
    <w:rsid w:val="7ED5673E"/>
    <w:rsid w:val="7ED607F9"/>
    <w:rsid w:val="7ED625A7"/>
    <w:rsid w:val="7ED71085"/>
    <w:rsid w:val="7ED726E5"/>
    <w:rsid w:val="7ED73C11"/>
    <w:rsid w:val="7ED75443"/>
    <w:rsid w:val="7ED76320"/>
    <w:rsid w:val="7ED76487"/>
    <w:rsid w:val="7ED776F2"/>
    <w:rsid w:val="7ED87E48"/>
    <w:rsid w:val="7ED92098"/>
    <w:rsid w:val="7ED92331"/>
    <w:rsid w:val="7ED93E46"/>
    <w:rsid w:val="7ED951FA"/>
    <w:rsid w:val="7ED95941"/>
    <w:rsid w:val="7EDB2510"/>
    <w:rsid w:val="7EDB5E10"/>
    <w:rsid w:val="7EDC1B88"/>
    <w:rsid w:val="7EDC3842"/>
    <w:rsid w:val="7EDC3936"/>
    <w:rsid w:val="7EDC5F0A"/>
    <w:rsid w:val="7EDC5F41"/>
    <w:rsid w:val="7EDC7A86"/>
    <w:rsid w:val="7EDC7FBD"/>
    <w:rsid w:val="7EDD144D"/>
    <w:rsid w:val="7EDD15C3"/>
    <w:rsid w:val="7EDE145C"/>
    <w:rsid w:val="7EDE5830"/>
    <w:rsid w:val="7EDE6016"/>
    <w:rsid w:val="7EDE76AE"/>
    <w:rsid w:val="7EDF2087"/>
    <w:rsid w:val="7EE03426"/>
    <w:rsid w:val="7EE06F82"/>
    <w:rsid w:val="7EE10233"/>
    <w:rsid w:val="7EE10F4C"/>
    <w:rsid w:val="7EE111C1"/>
    <w:rsid w:val="7EE1125E"/>
    <w:rsid w:val="7EE13423"/>
    <w:rsid w:val="7EE1668D"/>
    <w:rsid w:val="7EE22420"/>
    <w:rsid w:val="7EE22913"/>
    <w:rsid w:val="7EE230FA"/>
    <w:rsid w:val="7EE2757B"/>
    <w:rsid w:val="7EE30820"/>
    <w:rsid w:val="7EE34CC4"/>
    <w:rsid w:val="7EE35F41"/>
    <w:rsid w:val="7EE36A72"/>
    <w:rsid w:val="7EE40839"/>
    <w:rsid w:val="7EE46B78"/>
    <w:rsid w:val="7EE50A3C"/>
    <w:rsid w:val="7EE540FF"/>
    <w:rsid w:val="7EE57BDF"/>
    <w:rsid w:val="7EE63C40"/>
    <w:rsid w:val="7EE64D73"/>
    <w:rsid w:val="7EE71D05"/>
    <w:rsid w:val="7EE7398F"/>
    <w:rsid w:val="7EE74A83"/>
    <w:rsid w:val="7EE767C9"/>
    <w:rsid w:val="7EE852D9"/>
    <w:rsid w:val="7EE91F1A"/>
    <w:rsid w:val="7EE940C2"/>
    <w:rsid w:val="7EE95410"/>
    <w:rsid w:val="7EE963FD"/>
    <w:rsid w:val="7EEA19EE"/>
    <w:rsid w:val="7EEA6053"/>
    <w:rsid w:val="7EEA7614"/>
    <w:rsid w:val="7EEB06F9"/>
    <w:rsid w:val="7EEB3B79"/>
    <w:rsid w:val="7EEB3E7B"/>
    <w:rsid w:val="7EEB7AC2"/>
    <w:rsid w:val="7EEC6371"/>
    <w:rsid w:val="7EED3C7E"/>
    <w:rsid w:val="7EED5B43"/>
    <w:rsid w:val="7EED7801"/>
    <w:rsid w:val="7EEF0DC3"/>
    <w:rsid w:val="7EEF28BC"/>
    <w:rsid w:val="7EEF5417"/>
    <w:rsid w:val="7EEF71C5"/>
    <w:rsid w:val="7EF02F3D"/>
    <w:rsid w:val="7EF04CF2"/>
    <w:rsid w:val="7EF11DCD"/>
    <w:rsid w:val="7EF11E40"/>
    <w:rsid w:val="7EF156AE"/>
    <w:rsid w:val="7EF173E1"/>
    <w:rsid w:val="7EF20D63"/>
    <w:rsid w:val="7EF21A17"/>
    <w:rsid w:val="7EF23159"/>
    <w:rsid w:val="7EF24F07"/>
    <w:rsid w:val="7EF352C8"/>
    <w:rsid w:val="7EF40C80"/>
    <w:rsid w:val="7EF42A2E"/>
    <w:rsid w:val="7EF43052"/>
    <w:rsid w:val="7EF44B08"/>
    <w:rsid w:val="7EF44CF2"/>
    <w:rsid w:val="7EF46ED2"/>
    <w:rsid w:val="7EF47E54"/>
    <w:rsid w:val="7EF50554"/>
    <w:rsid w:val="7EF54E08"/>
    <w:rsid w:val="7EF55F93"/>
    <w:rsid w:val="7EF60B64"/>
    <w:rsid w:val="7EF63627"/>
    <w:rsid w:val="7EF64EFB"/>
    <w:rsid w:val="7EF667A6"/>
    <w:rsid w:val="7EF66AE0"/>
    <w:rsid w:val="7EF70770"/>
    <w:rsid w:val="7EF71F5D"/>
    <w:rsid w:val="7EF73484"/>
    <w:rsid w:val="7EF73EC1"/>
    <w:rsid w:val="7EF742CC"/>
    <w:rsid w:val="7EF87DC0"/>
    <w:rsid w:val="7EF96296"/>
    <w:rsid w:val="7EFA2AD9"/>
    <w:rsid w:val="7EFB200E"/>
    <w:rsid w:val="7EFC18E2"/>
    <w:rsid w:val="7EFC3295"/>
    <w:rsid w:val="7EFD25BA"/>
    <w:rsid w:val="7EFE0E94"/>
    <w:rsid w:val="7EFE565A"/>
    <w:rsid w:val="7EFE7E2D"/>
    <w:rsid w:val="7EFF1C16"/>
    <w:rsid w:val="7EFF666A"/>
    <w:rsid w:val="7F001CE7"/>
    <w:rsid w:val="7F003179"/>
    <w:rsid w:val="7F004B76"/>
    <w:rsid w:val="7F0051E2"/>
    <w:rsid w:val="7F005876"/>
    <w:rsid w:val="7F007624"/>
    <w:rsid w:val="7F010848"/>
    <w:rsid w:val="7F017107"/>
    <w:rsid w:val="7F020AE3"/>
    <w:rsid w:val="7F0315C1"/>
    <w:rsid w:val="7F0327AD"/>
    <w:rsid w:val="7F032C71"/>
    <w:rsid w:val="7F04278F"/>
    <w:rsid w:val="7F046E64"/>
    <w:rsid w:val="7F0476CC"/>
    <w:rsid w:val="7F051B2A"/>
    <w:rsid w:val="7F052B98"/>
    <w:rsid w:val="7F0569E9"/>
    <w:rsid w:val="7F0604F7"/>
    <w:rsid w:val="7F063699"/>
    <w:rsid w:val="7F0709B3"/>
    <w:rsid w:val="7F076C05"/>
    <w:rsid w:val="7F076D82"/>
    <w:rsid w:val="7F080287"/>
    <w:rsid w:val="7F0808D9"/>
    <w:rsid w:val="7F0821EA"/>
    <w:rsid w:val="7F08472B"/>
    <w:rsid w:val="7F0865D9"/>
    <w:rsid w:val="7F086B5C"/>
    <w:rsid w:val="7F097BE9"/>
    <w:rsid w:val="7F0A04A3"/>
    <w:rsid w:val="7F0A280D"/>
    <w:rsid w:val="7F0A3FFF"/>
    <w:rsid w:val="7F0A4434"/>
    <w:rsid w:val="7F0B11F8"/>
    <w:rsid w:val="7F0B18FA"/>
    <w:rsid w:val="7F0B7D77"/>
    <w:rsid w:val="7F0C4E70"/>
    <w:rsid w:val="7F0C6759"/>
    <w:rsid w:val="7F0D1D41"/>
    <w:rsid w:val="7F0D3FA9"/>
    <w:rsid w:val="7F0D7C6E"/>
    <w:rsid w:val="7F0F5FD5"/>
    <w:rsid w:val="7F0F6377"/>
    <w:rsid w:val="7F0F7867"/>
    <w:rsid w:val="7F1016A1"/>
    <w:rsid w:val="7F10538E"/>
    <w:rsid w:val="7F10576C"/>
    <w:rsid w:val="7F11402B"/>
    <w:rsid w:val="7F115181"/>
    <w:rsid w:val="7F121106"/>
    <w:rsid w:val="7F1255AA"/>
    <w:rsid w:val="7F127358"/>
    <w:rsid w:val="7F127844"/>
    <w:rsid w:val="7F127958"/>
    <w:rsid w:val="7F127FB8"/>
    <w:rsid w:val="7F132C5D"/>
    <w:rsid w:val="7F1430D0"/>
    <w:rsid w:val="7F143154"/>
    <w:rsid w:val="7F144E7E"/>
    <w:rsid w:val="7F157BE5"/>
    <w:rsid w:val="7F1629A4"/>
    <w:rsid w:val="7F165798"/>
    <w:rsid w:val="7F166E48"/>
    <w:rsid w:val="7F17496E"/>
    <w:rsid w:val="7F17671C"/>
    <w:rsid w:val="7F182BC0"/>
    <w:rsid w:val="7F184B94"/>
    <w:rsid w:val="7F18593A"/>
    <w:rsid w:val="7F187B70"/>
    <w:rsid w:val="7F193E14"/>
    <w:rsid w:val="7F196534"/>
    <w:rsid w:val="7F1A0E14"/>
    <w:rsid w:val="7F1B06AA"/>
    <w:rsid w:val="7F1B26B0"/>
    <w:rsid w:val="7F1B4C61"/>
    <w:rsid w:val="7F1B7CAE"/>
    <w:rsid w:val="7F1C1F84"/>
    <w:rsid w:val="7F1C7ECF"/>
    <w:rsid w:val="7F1D01D6"/>
    <w:rsid w:val="7F1D141F"/>
    <w:rsid w:val="7F1E3F4E"/>
    <w:rsid w:val="7F1E662F"/>
    <w:rsid w:val="7F1E7669"/>
    <w:rsid w:val="7F1F60EF"/>
    <w:rsid w:val="7F1F61F1"/>
    <w:rsid w:val="7F1F7291"/>
    <w:rsid w:val="7F201A75"/>
    <w:rsid w:val="7F203823"/>
    <w:rsid w:val="7F205261"/>
    <w:rsid w:val="7F207AA0"/>
    <w:rsid w:val="7F211349"/>
    <w:rsid w:val="7F21373B"/>
    <w:rsid w:val="7F213B20"/>
    <w:rsid w:val="7F224935"/>
    <w:rsid w:val="7F224FB0"/>
    <w:rsid w:val="7F2257ED"/>
    <w:rsid w:val="7F231565"/>
    <w:rsid w:val="7F2351A1"/>
    <w:rsid w:val="7F2372DC"/>
    <w:rsid w:val="7F247DDD"/>
    <w:rsid w:val="7F250E39"/>
    <w:rsid w:val="7F253931"/>
    <w:rsid w:val="7F255072"/>
    <w:rsid w:val="7F2550D2"/>
    <w:rsid w:val="7F2552DD"/>
    <w:rsid w:val="7F256093"/>
    <w:rsid w:val="7F257067"/>
    <w:rsid w:val="7F2618C2"/>
    <w:rsid w:val="7F26365E"/>
    <w:rsid w:val="7F264BB1"/>
    <w:rsid w:val="7F272E03"/>
    <w:rsid w:val="7F274F27"/>
    <w:rsid w:val="7F280929"/>
    <w:rsid w:val="7F2826D7"/>
    <w:rsid w:val="7F285CCF"/>
    <w:rsid w:val="7F286B7B"/>
    <w:rsid w:val="7F2A0D3F"/>
    <w:rsid w:val="7F2A1DAC"/>
    <w:rsid w:val="7F2A28F3"/>
    <w:rsid w:val="7F2A46A1"/>
    <w:rsid w:val="7F2A58DA"/>
    <w:rsid w:val="7F2A66C4"/>
    <w:rsid w:val="7F2B3E75"/>
    <w:rsid w:val="7F2B5E31"/>
    <w:rsid w:val="7F2B5EEB"/>
    <w:rsid w:val="7F2C039F"/>
    <w:rsid w:val="7F2C0419"/>
    <w:rsid w:val="7F2C0C33"/>
    <w:rsid w:val="7F2D017A"/>
    <w:rsid w:val="7F2D1A7E"/>
    <w:rsid w:val="7F2D4191"/>
    <w:rsid w:val="7F2D7CEE"/>
    <w:rsid w:val="7F2E721E"/>
    <w:rsid w:val="7F2E725C"/>
    <w:rsid w:val="7F2F0CF5"/>
    <w:rsid w:val="7F2F0F1A"/>
    <w:rsid w:val="7F2F1CB8"/>
    <w:rsid w:val="7F2F3A66"/>
    <w:rsid w:val="7F2F641F"/>
    <w:rsid w:val="7F2F67B7"/>
    <w:rsid w:val="7F30641E"/>
    <w:rsid w:val="7F307193"/>
    <w:rsid w:val="7F307A4D"/>
    <w:rsid w:val="7F307D3A"/>
    <w:rsid w:val="7F307FE4"/>
    <w:rsid w:val="7F313C82"/>
    <w:rsid w:val="7F315A30"/>
    <w:rsid w:val="7F322283"/>
    <w:rsid w:val="7F323556"/>
    <w:rsid w:val="7F330B06"/>
    <w:rsid w:val="7F334C4F"/>
    <w:rsid w:val="7F335853"/>
    <w:rsid w:val="7F335F35"/>
    <w:rsid w:val="7F33770C"/>
    <w:rsid w:val="7F3379FA"/>
    <w:rsid w:val="7F34107C"/>
    <w:rsid w:val="7F3419F4"/>
    <w:rsid w:val="7F343772"/>
    <w:rsid w:val="7F345520"/>
    <w:rsid w:val="7F3472CE"/>
    <w:rsid w:val="7F35038F"/>
    <w:rsid w:val="7F351513"/>
    <w:rsid w:val="7F3543A8"/>
    <w:rsid w:val="7F361298"/>
    <w:rsid w:val="7F3616D4"/>
    <w:rsid w:val="7F367487"/>
    <w:rsid w:val="7F367EE4"/>
    <w:rsid w:val="7F373DCB"/>
    <w:rsid w:val="7F381DA9"/>
    <w:rsid w:val="7F386414"/>
    <w:rsid w:val="7F3869C4"/>
    <w:rsid w:val="7F3A4D1C"/>
    <w:rsid w:val="7F3B065C"/>
    <w:rsid w:val="7F3B1E69"/>
    <w:rsid w:val="7F3B68AE"/>
    <w:rsid w:val="7F3C0728"/>
    <w:rsid w:val="7F3C6183"/>
    <w:rsid w:val="7F3C631A"/>
    <w:rsid w:val="7F3C7165"/>
    <w:rsid w:val="7F3D0865"/>
    <w:rsid w:val="7F3D1ECF"/>
    <w:rsid w:val="7F3D4789"/>
    <w:rsid w:val="7F3E502E"/>
    <w:rsid w:val="7F3E639F"/>
    <w:rsid w:val="7F3F515D"/>
    <w:rsid w:val="7F405C73"/>
    <w:rsid w:val="7F413799"/>
    <w:rsid w:val="7F4202DC"/>
    <w:rsid w:val="7F421BAA"/>
    <w:rsid w:val="7F427C3D"/>
    <w:rsid w:val="7F4309DD"/>
    <w:rsid w:val="7F432EBE"/>
    <w:rsid w:val="7F4339B5"/>
    <w:rsid w:val="7F43660D"/>
    <w:rsid w:val="7F437511"/>
    <w:rsid w:val="7F443B44"/>
    <w:rsid w:val="7F45047C"/>
    <w:rsid w:val="7F4521C3"/>
    <w:rsid w:val="7F453289"/>
    <w:rsid w:val="7F453E8E"/>
    <w:rsid w:val="7F456A92"/>
    <w:rsid w:val="7F45771C"/>
    <w:rsid w:val="7F460DAF"/>
    <w:rsid w:val="7F4639E1"/>
    <w:rsid w:val="7F466D59"/>
    <w:rsid w:val="7F473097"/>
    <w:rsid w:val="7F480ED4"/>
    <w:rsid w:val="7F482D79"/>
    <w:rsid w:val="7F484B27"/>
    <w:rsid w:val="7F487AFB"/>
    <w:rsid w:val="7F495730"/>
    <w:rsid w:val="7F4A08A0"/>
    <w:rsid w:val="7F4A15B7"/>
    <w:rsid w:val="7F4A6D21"/>
    <w:rsid w:val="7F4A7128"/>
    <w:rsid w:val="7F4B3E35"/>
    <w:rsid w:val="7F4B490F"/>
    <w:rsid w:val="7F4C0323"/>
    <w:rsid w:val="7F4C286A"/>
    <w:rsid w:val="7F4C4618"/>
    <w:rsid w:val="7F4C461E"/>
    <w:rsid w:val="7F4C64A1"/>
    <w:rsid w:val="7F4D0FED"/>
    <w:rsid w:val="7F4D1678"/>
    <w:rsid w:val="7F4E1AFF"/>
    <w:rsid w:val="7F4E4273"/>
    <w:rsid w:val="7F4F20F6"/>
    <w:rsid w:val="7F4F235A"/>
    <w:rsid w:val="7F4F4108"/>
    <w:rsid w:val="7F4F5EB6"/>
    <w:rsid w:val="7F505D25"/>
    <w:rsid w:val="7F5077F9"/>
    <w:rsid w:val="7F511C2E"/>
    <w:rsid w:val="7F511DF9"/>
    <w:rsid w:val="7F515688"/>
    <w:rsid w:val="7F5160D2"/>
    <w:rsid w:val="7F516756"/>
    <w:rsid w:val="7F523CFF"/>
    <w:rsid w:val="7F526C02"/>
    <w:rsid w:val="7F5300F0"/>
    <w:rsid w:val="7F533BF8"/>
    <w:rsid w:val="7F53607F"/>
    <w:rsid w:val="7F53683C"/>
    <w:rsid w:val="7F5434CC"/>
    <w:rsid w:val="7F543BA3"/>
    <w:rsid w:val="7F544403"/>
    <w:rsid w:val="7F547970"/>
    <w:rsid w:val="7F551F95"/>
    <w:rsid w:val="7F555AE5"/>
    <w:rsid w:val="7F563301"/>
    <w:rsid w:val="7F565496"/>
    <w:rsid w:val="7F566FC8"/>
    <w:rsid w:val="7F567244"/>
    <w:rsid w:val="7F567685"/>
    <w:rsid w:val="7F570942"/>
    <w:rsid w:val="7F572178"/>
    <w:rsid w:val="7F587460"/>
    <w:rsid w:val="7F590F6E"/>
    <w:rsid w:val="7F5918BD"/>
    <w:rsid w:val="7F5931D8"/>
    <w:rsid w:val="7F593C16"/>
    <w:rsid w:val="7F595119"/>
    <w:rsid w:val="7F596D35"/>
    <w:rsid w:val="7F5A2381"/>
    <w:rsid w:val="7F5A3FB4"/>
    <w:rsid w:val="7F5B0CFF"/>
    <w:rsid w:val="7F5B485B"/>
    <w:rsid w:val="7F5B6D59"/>
    <w:rsid w:val="7F5B6E7D"/>
    <w:rsid w:val="7F5C3CD9"/>
    <w:rsid w:val="7F5D630C"/>
    <w:rsid w:val="7F5E11E8"/>
    <w:rsid w:val="7F5F07EF"/>
    <w:rsid w:val="7F5F55F8"/>
    <w:rsid w:val="7F6000C3"/>
    <w:rsid w:val="7F60162A"/>
    <w:rsid w:val="7F601E71"/>
    <w:rsid w:val="7F604567"/>
    <w:rsid w:val="7F6076EA"/>
    <w:rsid w:val="7F610C54"/>
    <w:rsid w:val="7F610FB3"/>
    <w:rsid w:val="7F625BE9"/>
    <w:rsid w:val="7F631961"/>
    <w:rsid w:val="7F633C9C"/>
    <w:rsid w:val="7F63604B"/>
    <w:rsid w:val="7F637BB3"/>
    <w:rsid w:val="7F637FE8"/>
    <w:rsid w:val="7F6419FB"/>
    <w:rsid w:val="7F650C2D"/>
    <w:rsid w:val="7F650EE0"/>
    <w:rsid w:val="7F651B7D"/>
    <w:rsid w:val="7F653DA0"/>
    <w:rsid w:val="7F6556D9"/>
    <w:rsid w:val="7F663995"/>
    <w:rsid w:val="7F664645"/>
    <w:rsid w:val="7F680E86"/>
    <w:rsid w:val="7F682EF8"/>
    <w:rsid w:val="7F6846AF"/>
    <w:rsid w:val="7F6851CA"/>
    <w:rsid w:val="7F686F78"/>
    <w:rsid w:val="7F695F7C"/>
    <w:rsid w:val="7F696520"/>
    <w:rsid w:val="7F696A80"/>
    <w:rsid w:val="7F696F3D"/>
    <w:rsid w:val="7F6A0F75"/>
    <w:rsid w:val="7F6A14A0"/>
    <w:rsid w:val="7F6A6495"/>
    <w:rsid w:val="7F6A6577"/>
    <w:rsid w:val="7F6B0784"/>
    <w:rsid w:val="7F6B4C36"/>
    <w:rsid w:val="7F6C563A"/>
    <w:rsid w:val="7F6C58C8"/>
    <w:rsid w:val="7F6D27E0"/>
    <w:rsid w:val="7F6D458E"/>
    <w:rsid w:val="7F6E0A32"/>
    <w:rsid w:val="7F6E2A76"/>
    <w:rsid w:val="7F6F0306"/>
    <w:rsid w:val="7F6F4A47"/>
    <w:rsid w:val="7F6F604B"/>
    <w:rsid w:val="7F6F6558"/>
    <w:rsid w:val="7F70149F"/>
    <w:rsid w:val="7F7017E1"/>
    <w:rsid w:val="7F710522"/>
    <w:rsid w:val="7F71407E"/>
    <w:rsid w:val="7F71748B"/>
    <w:rsid w:val="7F721BA4"/>
    <w:rsid w:val="7F72261C"/>
    <w:rsid w:val="7F723A7C"/>
    <w:rsid w:val="7F7251FD"/>
    <w:rsid w:val="7F72559E"/>
    <w:rsid w:val="7F727E65"/>
    <w:rsid w:val="7F730C18"/>
    <w:rsid w:val="7F730E42"/>
    <w:rsid w:val="7F73293C"/>
    <w:rsid w:val="7F732B19"/>
    <w:rsid w:val="7F73429A"/>
    <w:rsid w:val="7F735F98"/>
    <w:rsid w:val="7F737DF6"/>
    <w:rsid w:val="7F737E41"/>
    <w:rsid w:val="7F737EC1"/>
    <w:rsid w:val="7F7406F6"/>
    <w:rsid w:val="7F744857"/>
    <w:rsid w:val="7F74591C"/>
    <w:rsid w:val="7F7500D5"/>
    <w:rsid w:val="7F75461C"/>
    <w:rsid w:val="7F7553F9"/>
    <w:rsid w:val="7F757B36"/>
    <w:rsid w:val="7F765B38"/>
    <w:rsid w:val="7F7724AF"/>
    <w:rsid w:val="7F772B0B"/>
    <w:rsid w:val="7F773697"/>
    <w:rsid w:val="7F774919"/>
    <w:rsid w:val="7F7774CF"/>
    <w:rsid w:val="7F780E12"/>
    <w:rsid w:val="7F78365F"/>
    <w:rsid w:val="7F7846EA"/>
    <w:rsid w:val="7F785888"/>
    <w:rsid w:val="7F791D0E"/>
    <w:rsid w:val="7F793B7D"/>
    <w:rsid w:val="7F7973D7"/>
    <w:rsid w:val="7F7A1CC3"/>
    <w:rsid w:val="7F7A289B"/>
    <w:rsid w:val="7F7A52D8"/>
    <w:rsid w:val="7F7A745B"/>
    <w:rsid w:val="7F7B10B5"/>
    <w:rsid w:val="7F7B314F"/>
    <w:rsid w:val="7F7B4EFD"/>
    <w:rsid w:val="7F7B7837"/>
    <w:rsid w:val="7F7D0C75"/>
    <w:rsid w:val="7F7D2A23"/>
    <w:rsid w:val="7F7D490E"/>
    <w:rsid w:val="7F7D6EC7"/>
    <w:rsid w:val="7F7E21F1"/>
    <w:rsid w:val="7F7E2881"/>
    <w:rsid w:val="7F7E58BB"/>
    <w:rsid w:val="7F7E5C7D"/>
    <w:rsid w:val="7F7F001E"/>
    <w:rsid w:val="7F7F1507"/>
    <w:rsid w:val="7F7F2C3F"/>
    <w:rsid w:val="7F800765"/>
    <w:rsid w:val="7F802513"/>
    <w:rsid w:val="7F805DC6"/>
    <w:rsid w:val="7F811F25"/>
    <w:rsid w:val="7F812EB5"/>
    <w:rsid w:val="7F8145CF"/>
    <w:rsid w:val="7F8160CE"/>
    <w:rsid w:val="7F820039"/>
    <w:rsid w:val="7F82628B"/>
    <w:rsid w:val="7F826DB5"/>
    <w:rsid w:val="7F834496"/>
    <w:rsid w:val="7F834B93"/>
    <w:rsid w:val="7F840255"/>
    <w:rsid w:val="7F842F50"/>
    <w:rsid w:val="7F844D95"/>
    <w:rsid w:val="7F8457DC"/>
    <w:rsid w:val="7F847B19"/>
    <w:rsid w:val="7F8518D8"/>
    <w:rsid w:val="7F851A29"/>
    <w:rsid w:val="7F855246"/>
    <w:rsid w:val="7F8700E0"/>
    <w:rsid w:val="7F870ABF"/>
    <w:rsid w:val="7F871AF4"/>
    <w:rsid w:val="7F8738A2"/>
    <w:rsid w:val="7F8801DB"/>
    <w:rsid w:val="7F881088"/>
    <w:rsid w:val="7F89586C"/>
    <w:rsid w:val="7F8A15E4"/>
    <w:rsid w:val="7F8A16CD"/>
    <w:rsid w:val="7F8A6697"/>
    <w:rsid w:val="7F8A76FB"/>
    <w:rsid w:val="7F8B3DE0"/>
    <w:rsid w:val="7F8B6225"/>
    <w:rsid w:val="7F8C6953"/>
    <w:rsid w:val="7F8D4388"/>
    <w:rsid w:val="7F8D7AC3"/>
    <w:rsid w:val="7F8E2E82"/>
    <w:rsid w:val="7F8E483E"/>
    <w:rsid w:val="7F8E7FCF"/>
    <w:rsid w:val="7F8F24B9"/>
    <w:rsid w:val="7F8F2756"/>
    <w:rsid w:val="7F8F35B7"/>
    <w:rsid w:val="7F8F6BFA"/>
    <w:rsid w:val="7F9102FC"/>
    <w:rsid w:val="7F912972"/>
    <w:rsid w:val="7F9164CE"/>
    <w:rsid w:val="7F92125D"/>
    <w:rsid w:val="7F923FF5"/>
    <w:rsid w:val="7F930498"/>
    <w:rsid w:val="7F933E41"/>
    <w:rsid w:val="7F941FDD"/>
    <w:rsid w:val="7F9443F3"/>
    <w:rsid w:val="7F9452D1"/>
    <w:rsid w:val="7F945FBF"/>
    <w:rsid w:val="7F951E85"/>
    <w:rsid w:val="7F954211"/>
    <w:rsid w:val="7F95468F"/>
    <w:rsid w:val="7F961D37"/>
    <w:rsid w:val="7F962094"/>
    <w:rsid w:val="7F963418"/>
    <w:rsid w:val="7F963AD8"/>
    <w:rsid w:val="7F963AE5"/>
    <w:rsid w:val="7F965165"/>
    <w:rsid w:val="7F992618"/>
    <w:rsid w:val="7F9935D5"/>
    <w:rsid w:val="7F99527C"/>
    <w:rsid w:val="7F995383"/>
    <w:rsid w:val="7F996437"/>
    <w:rsid w:val="7F9A1827"/>
    <w:rsid w:val="7F9A5CE7"/>
    <w:rsid w:val="7F9B10FB"/>
    <w:rsid w:val="7F9B1767"/>
    <w:rsid w:val="7F9B25D3"/>
    <w:rsid w:val="7F9B559F"/>
    <w:rsid w:val="7F9C0ED6"/>
    <w:rsid w:val="7F9C1B98"/>
    <w:rsid w:val="7F9C379F"/>
    <w:rsid w:val="7F9C4AE4"/>
    <w:rsid w:val="7F9C6B71"/>
    <w:rsid w:val="7F9D130A"/>
    <w:rsid w:val="7F9D1317"/>
    <w:rsid w:val="7F9D2148"/>
    <w:rsid w:val="7F9D30C5"/>
    <w:rsid w:val="7F9D56D5"/>
    <w:rsid w:val="7F9E2999"/>
    <w:rsid w:val="7F9E4673"/>
    <w:rsid w:val="7F9F508F"/>
    <w:rsid w:val="7F9F6E3D"/>
    <w:rsid w:val="7FA04963"/>
    <w:rsid w:val="7FA06711"/>
    <w:rsid w:val="7FA152E7"/>
    <w:rsid w:val="7FA16445"/>
    <w:rsid w:val="7FA178FA"/>
    <w:rsid w:val="7FA206DC"/>
    <w:rsid w:val="7FA21622"/>
    <w:rsid w:val="7FA2248A"/>
    <w:rsid w:val="7FA253A9"/>
    <w:rsid w:val="7FA2591E"/>
    <w:rsid w:val="7FA2692E"/>
    <w:rsid w:val="7FA33709"/>
    <w:rsid w:val="7FA33936"/>
    <w:rsid w:val="7FA36202"/>
    <w:rsid w:val="7FA44DC6"/>
    <w:rsid w:val="7FA56256"/>
    <w:rsid w:val="7FA57915"/>
    <w:rsid w:val="7FA60E27"/>
    <w:rsid w:val="7FA64B95"/>
    <w:rsid w:val="7FA65598"/>
    <w:rsid w:val="7FA729EB"/>
    <w:rsid w:val="7FA73F44"/>
    <w:rsid w:val="7FA741E7"/>
    <w:rsid w:val="7FA75CF2"/>
    <w:rsid w:val="7FA77AA0"/>
    <w:rsid w:val="7FA86F12"/>
    <w:rsid w:val="7FA91A6A"/>
    <w:rsid w:val="7FA93818"/>
    <w:rsid w:val="7FA96463"/>
    <w:rsid w:val="7FA97CBC"/>
    <w:rsid w:val="7FAA7942"/>
    <w:rsid w:val="7FAB3A34"/>
    <w:rsid w:val="7FAC155A"/>
    <w:rsid w:val="7FAC3308"/>
    <w:rsid w:val="7FAD19F6"/>
    <w:rsid w:val="7FAD3EFA"/>
    <w:rsid w:val="7FAE7080"/>
    <w:rsid w:val="7FAF092C"/>
    <w:rsid w:val="7FAF4BA7"/>
    <w:rsid w:val="7FB03369"/>
    <w:rsid w:val="7FB126CD"/>
    <w:rsid w:val="7FB2091C"/>
    <w:rsid w:val="7FB239DF"/>
    <w:rsid w:val="7FB275B0"/>
    <w:rsid w:val="7FB34697"/>
    <w:rsid w:val="7FB40BBB"/>
    <w:rsid w:val="7FB44B21"/>
    <w:rsid w:val="7FB45F93"/>
    <w:rsid w:val="7FB54732"/>
    <w:rsid w:val="7FB54A6C"/>
    <w:rsid w:val="7FB56661"/>
    <w:rsid w:val="7FB5758F"/>
    <w:rsid w:val="7FB6091C"/>
    <w:rsid w:val="7FB623D9"/>
    <w:rsid w:val="7FB64187"/>
    <w:rsid w:val="7FB65F35"/>
    <w:rsid w:val="7FB75DF8"/>
    <w:rsid w:val="7FB814E5"/>
    <w:rsid w:val="7FB8164A"/>
    <w:rsid w:val="7FB840B6"/>
    <w:rsid w:val="7FB85480"/>
    <w:rsid w:val="7FB91C5F"/>
    <w:rsid w:val="7FBA5AD8"/>
    <w:rsid w:val="7FBB0472"/>
    <w:rsid w:val="7FBB084F"/>
    <w:rsid w:val="7FBB354B"/>
    <w:rsid w:val="7FBB76D6"/>
    <w:rsid w:val="7FBB79EF"/>
    <w:rsid w:val="7FBC6B0F"/>
    <w:rsid w:val="7FBD2E97"/>
    <w:rsid w:val="7FBD3A26"/>
    <w:rsid w:val="7FBD5515"/>
    <w:rsid w:val="7FBD72C3"/>
    <w:rsid w:val="7FBE4DEA"/>
    <w:rsid w:val="7FBE7A1C"/>
    <w:rsid w:val="7FBF0EC4"/>
    <w:rsid w:val="7FBF128D"/>
    <w:rsid w:val="7FBF278C"/>
    <w:rsid w:val="7FBF303C"/>
    <w:rsid w:val="7FC00B62"/>
    <w:rsid w:val="7FC00B93"/>
    <w:rsid w:val="7FC05006"/>
    <w:rsid w:val="7FC06DB4"/>
    <w:rsid w:val="7FC110E6"/>
    <w:rsid w:val="7FC12C01"/>
    <w:rsid w:val="7FC15E65"/>
    <w:rsid w:val="7FC22B2C"/>
    <w:rsid w:val="7FC22E09"/>
    <w:rsid w:val="7FC234D1"/>
    <w:rsid w:val="7FC248DA"/>
    <w:rsid w:val="7FC24A05"/>
    <w:rsid w:val="7FC317DF"/>
    <w:rsid w:val="7FC31A05"/>
    <w:rsid w:val="7FC33387"/>
    <w:rsid w:val="7FC35D6A"/>
    <w:rsid w:val="7FC43757"/>
    <w:rsid w:val="7FC4650B"/>
    <w:rsid w:val="7FC5261C"/>
    <w:rsid w:val="7FC543CA"/>
    <w:rsid w:val="7FC54790"/>
    <w:rsid w:val="7FC56178"/>
    <w:rsid w:val="7FC66CD0"/>
    <w:rsid w:val="7FC70142"/>
    <w:rsid w:val="7FC71EF0"/>
    <w:rsid w:val="7FC72B17"/>
    <w:rsid w:val="7FC761DE"/>
    <w:rsid w:val="7FC76394"/>
    <w:rsid w:val="7FC77B40"/>
    <w:rsid w:val="7FC801D1"/>
    <w:rsid w:val="7FC80F75"/>
    <w:rsid w:val="7FC87497"/>
    <w:rsid w:val="7FC87C22"/>
    <w:rsid w:val="7FC9210C"/>
    <w:rsid w:val="7FC93EBA"/>
    <w:rsid w:val="7FC943E8"/>
    <w:rsid w:val="7FC95651"/>
    <w:rsid w:val="7FCA06E4"/>
    <w:rsid w:val="7FCA2092"/>
    <w:rsid w:val="7FCA756C"/>
    <w:rsid w:val="7FCB58FE"/>
    <w:rsid w:val="7FCB7C32"/>
    <w:rsid w:val="7FCC3260"/>
    <w:rsid w:val="7FCC39AA"/>
    <w:rsid w:val="7FCD13AB"/>
    <w:rsid w:val="7FCD50A3"/>
    <w:rsid w:val="7FCE0033"/>
    <w:rsid w:val="7FCE14D1"/>
    <w:rsid w:val="7FCE327F"/>
    <w:rsid w:val="7FCE47B0"/>
    <w:rsid w:val="7FCF130A"/>
    <w:rsid w:val="7FCF14C3"/>
    <w:rsid w:val="7FCF3BED"/>
    <w:rsid w:val="7FCF545F"/>
    <w:rsid w:val="7FCF5BD7"/>
    <w:rsid w:val="7FCF5C28"/>
    <w:rsid w:val="7FCF6FF7"/>
    <w:rsid w:val="7FD01A66"/>
    <w:rsid w:val="7FD05249"/>
    <w:rsid w:val="7FD10FC1"/>
    <w:rsid w:val="7FD12D6F"/>
    <w:rsid w:val="7FD1540B"/>
    <w:rsid w:val="7FD20A19"/>
    <w:rsid w:val="7FD23D37"/>
    <w:rsid w:val="7FD305C0"/>
    <w:rsid w:val="7FD30E24"/>
    <w:rsid w:val="7FD31ACB"/>
    <w:rsid w:val="7FD36AE7"/>
    <w:rsid w:val="7FD40848"/>
    <w:rsid w:val="7FD4460D"/>
    <w:rsid w:val="7FD556BC"/>
    <w:rsid w:val="7FD56AC9"/>
    <w:rsid w:val="7FD575FE"/>
    <w:rsid w:val="7FD60385"/>
    <w:rsid w:val="7FD60A38"/>
    <w:rsid w:val="7FD62C99"/>
    <w:rsid w:val="7FD633EB"/>
    <w:rsid w:val="7FD72CF2"/>
    <w:rsid w:val="7FD733BC"/>
    <w:rsid w:val="7FD77BA3"/>
    <w:rsid w:val="7FD84ED6"/>
    <w:rsid w:val="7FD91B84"/>
    <w:rsid w:val="7FD91C23"/>
    <w:rsid w:val="7FD92575"/>
    <w:rsid w:val="7FD95146"/>
    <w:rsid w:val="7FDA5ADE"/>
    <w:rsid w:val="7FDA5ED1"/>
    <w:rsid w:val="7FDA7E75"/>
    <w:rsid w:val="7FDB3BED"/>
    <w:rsid w:val="7FDB4C52"/>
    <w:rsid w:val="7FDD0AE8"/>
    <w:rsid w:val="7FDD1714"/>
    <w:rsid w:val="7FDD7966"/>
    <w:rsid w:val="7FDE1729"/>
    <w:rsid w:val="7FDE30F8"/>
    <w:rsid w:val="7FDE3FD8"/>
    <w:rsid w:val="7FDF723A"/>
    <w:rsid w:val="7FE0141C"/>
    <w:rsid w:val="7FE02FB2"/>
    <w:rsid w:val="7FE038E5"/>
    <w:rsid w:val="7FE05C00"/>
    <w:rsid w:val="7FE10EBC"/>
    <w:rsid w:val="7FE1715B"/>
    <w:rsid w:val="7FE231CE"/>
    <w:rsid w:val="7FE24427"/>
    <w:rsid w:val="7FE24D68"/>
    <w:rsid w:val="7FE26D92"/>
    <w:rsid w:val="7FE32626"/>
    <w:rsid w:val="7FE361F8"/>
    <w:rsid w:val="7FE40CF4"/>
    <w:rsid w:val="7FE42C84"/>
    <w:rsid w:val="7FE44850"/>
    <w:rsid w:val="7FE45F75"/>
    <w:rsid w:val="7FE47E50"/>
    <w:rsid w:val="7FE505C8"/>
    <w:rsid w:val="7FE53215"/>
    <w:rsid w:val="7FE54E2A"/>
    <w:rsid w:val="7FE57D54"/>
    <w:rsid w:val="7FE64A6C"/>
    <w:rsid w:val="7FE662BA"/>
    <w:rsid w:val="7FE707E4"/>
    <w:rsid w:val="7FE82DEE"/>
    <w:rsid w:val="7FE8319D"/>
    <w:rsid w:val="7FE84988"/>
    <w:rsid w:val="7FE931AF"/>
    <w:rsid w:val="7FE9455C"/>
    <w:rsid w:val="7FE94E55"/>
    <w:rsid w:val="7FE96987"/>
    <w:rsid w:val="7FEA0E52"/>
    <w:rsid w:val="7FEA3E31"/>
    <w:rsid w:val="7FEA5BDF"/>
    <w:rsid w:val="7FEB4E86"/>
    <w:rsid w:val="7FEB5383"/>
    <w:rsid w:val="7FEC1957"/>
    <w:rsid w:val="7FEC266B"/>
    <w:rsid w:val="7FEC35BC"/>
    <w:rsid w:val="7FEC4806"/>
    <w:rsid w:val="7FEC5267"/>
    <w:rsid w:val="7FEC5DFB"/>
    <w:rsid w:val="7FED1E7B"/>
    <w:rsid w:val="7FED34A3"/>
    <w:rsid w:val="7FED3ACF"/>
    <w:rsid w:val="7FED50BB"/>
    <w:rsid w:val="7FEE3921"/>
    <w:rsid w:val="7FEE39DD"/>
    <w:rsid w:val="7FEF1377"/>
    <w:rsid w:val="7FEF19C3"/>
    <w:rsid w:val="7FF01447"/>
    <w:rsid w:val="7FF042F2"/>
    <w:rsid w:val="7FF058EB"/>
    <w:rsid w:val="7FF07699"/>
    <w:rsid w:val="7FF11AF3"/>
    <w:rsid w:val="7FF151BF"/>
    <w:rsid w:val="7FF1644D"/>
    <w:rsid w:val="7FF1664A"/>
    <w:rsid w:val="7FF16984"/>
    <w:rsid w:val="7FF22B28"/>
    <w:rsid w:val="7FF30165"/>
    <w:rsid w:val="7FF303D4"/>
    <w:rsid w:val="7FF30F37"/>
    <w:rsid w:val="7FF32CE5"/>
    <w:rsid w:val="7FF35E06"/>
    <w:rsid w:val="7FF369DD"/>
    <w:rsid w:val="7FF37189"/>
    <w:rsid w:val="7FF4698F"/>
    <w:rsid w:val="7FF511E2"/>
    <w:rsid w:val="7FF53257"/>
    <w:rsid w:val="7FF54CAF"/>
    <w:rsid w:val="7FF565D4"/>
    <w:rsid w:val="7FF57D2E"/>
    <w:rsid w:val="7FF60255"/>
    <w:rsid w:val="7FF62787"/>
    <w:rsid w:val="7FF627D5"/>
    <w:rsid w:val="7FF632AF"/>
    <w:rsid w:val="7FF723F5"/>
    <w:rsid w:val="7FF75910"/>
    <w:rsid w:val="7FF81B5F"/>
    <w:rsid w:val="7FF92E95"/>
    <w:rsid w:val="7FFA1057"/>
    <w:rsid w:val="7FFA1BBE"/>
    <w:rsid w:val="7FFA22C6"/>
    <w:rsid w:val="7FFA4074"/>
    <w:rsid w:val="7FFA447F"/>
    <w:rsid w:val="7FFA536E"/>
    <w:rsid w:val="7FFB3170"/>
    <w:rsid w:val="7FFB551D"/>
    <w:rsid w:val="7FFB603E"/>
    <w:rsid w:val="7FFB72E6"/>
    <w:rsid w:val="7FFC0E00"/>
    <w:rsid w:val="7FFC4290"/>
    <w:rsid w:val="7FFD0C77"/>
    <w:rsid w:val="7FFD3B64"/>
    <w:rsid w:val="7FFD3D87"/>
    <w:rsid w:val="7FFD494C"/>
    <w:rsid w:val="7FFE2150"/>
    <w:rsid w:val="7FFE776C"/>
    <w:rsid w:val="7FFF16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ocked="1"/>
    <w:lsdException w:unhideWhenUsed="0" w:uiPriority="0" w:semiHidden="0" w:name="Body Text 2"/>
    <w:lsdException w:unhideWhenUsed="0" w:uiPriority="0" w:semiHidden="0" w:name="Body Text 3" w:locked="1"/>
    <w:lsdException w:unhideWhenUsed="0" w:uiPriority="0" w:semiHidden="0" w:name="Body Text Indent 2"/>
    <w:lsdException w:unhideWhenUsed="0" w:uiPriority="0" w:semiHidden="0" w:name="Body Text Indent 3" w:locked="1"/>
    <w:lsdException w:unhideWhenUsed="0" w:uiPriority="0" w:semiHidden="0" w:name="Block Text"/>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0"/>
    <w:qFormat/>
    <w:locked/>
    <w:uiPriority w:val="99"/>
    <w:pPr>
      <w:keepNext w:val="0"/>
      <w:overflowPunct/>
      <w:adjustRightInd w:val="0"/>
      <w:snapToGrid w:val="0"/>
      <w:spacing w:before="20" w:beforeLines="20" w:after="50" w:afterLines="50" w:line="240" w:lineRule="auto"/>
      <w:ind w:left="0" w:firstLine="0"/>
      <w:jc w:val="center"/>
      <w:outlineLvl w:val="0"/>
    </w:pPr>
    <w:rPr>
      <w:rFonts w:ascii="Times New Roman" w:hAnsi="Times New Roman" w:eastAsia="宋体"/>
      <w:b/>
      <w:bCs/>
      <w:color w:val="000000"/>
      <w:kern w:val="44"/>
      <w:sz w:val="30"/>
      <w:szCs w:val="30"/>
    </w:rPr>
  </w:style>
  <w:style w:type="paragraph" w:styleId="3">
    <w:name w:val="heading 2"/>
    <w:basedOn w:val="1"/>
    <w:next w:val="1"/>
    <w:unhideWhenUsed/>
    <w:qFormat/>
    <w:locked/>
    <w:uiPriority w:val="0"/>
    <w:pPr>
      <w:keepNext w:val="0"/>
      <w:keepLines w:val="0"/>
      <w:spacing w:before="260" w:beforeLines="0" w:beforeAutospacing="0" w:after="260" w:afterLines="0" w:afterAutospacing="0" w:line="240" w:lineRule="auto"/>
      <w:jc w:val="center"/>
      <w:outlineLvl w:val="1"/>
    </w:pPr>
    <w:rPr>
      <w:rFonts w:ascii="Arial" w:hAnsi="Arial" w:eastAsia="黑体"/>
      <w:b/>
    </w:rPr>
  </w:style>
  <w:style w:type="paragraph" w:styleId="4">
    <w:name w:val="heading 3"/>
    <w:basedOn w:val="1"/>
    <w:next w:val="1"/>
    <w:unhideWhenUsed/>
    <w:qFormat/>
    <w:locked/>
    <w:uiPriority w:val="0"/>
    <w:pPr>
      <w:keepNext w:val="0"/>
      <w:keepLines w:val="0"/>
      <w:spacing w:before="260" w:beforeLines="0" w:beforeAutospacing="0" w:after="260" w:afterLines="0" w:afterAutospacing="0" w:line="240" w:lineRule="auto"/>
      <w:jc w:val="center"/>
      <w:outlineLvl w:val="2"/>
    </w:pPr>
    <w:rPr>
      <w:rFonts w:ascii="Times New Roman" w:hAnsi="Times New Roman" w:eastAsia="宋体"/>
      <w:b/>
    </w:rPr>
  </w:style>
  <w:style w:type="paragraph" w:styleId="5">
    <w:name w:val="heading 4"/>
    <w:basedOn w:val="1"/>
    <w:next w:val="1"/>
    <w:qFormat/>
    <w:locked/>
    <w:uiPriority w:val="0"/>
    <w:pPr>
      <w:keepLines w:val="0"/>
      <w:tabs>
        <w:tab w:val="left" w:pos="570"/>
        <w:tab w:val="left" w:pos="1680"/>
      </w:tabs>
      <w:spacing w:before="100" w:beforeLines="100" w:after="50" w:afterLines="50" w:line="360" w:lineRule="auto"/>
      <w:ind w:left="3362" w:hanging="420"/>
      <w:jc w:val="left"/>
      <w:outlineLvl w:val="3"/>
    </w:pPr>
    <w:rPr>
      <w:rFonts w:ascii="宋体" w:hAnsi="宋体" w:eastAsia="宋体" w:cs="宋体"/>
      <w:b/>
      <w:bCs/>
      <w:sz w:val="20"/>
      <w:szCs w:val="20"/>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annotation text"/>
    <w:basedOn w:val="1"/>
    <w:uiPriority w:val="0"/>
    <w:pPr>
      <w:jc w:val="left"/>
    </w:pPr>
  </w:style>
  <w:style w:type="table" w:styleId="8">
    <w:name w:val="Table Grid"/>
    <w:basedOn w:val="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1 Char"/>
    <w:link w:val="2"/>
    <w:qFormat/>
    <w:uiPriority w:val="99"/>
    <w:rPr>
      <w:rFonts w:ascii="Times New Roman" w:hAnsi="Times New Roman" w:eastAsia="宋体"/>
      <w:b/>
      <w:bCs/>
      <w:color w:val="000000"/>
      <w:kern w:val="44"/>
      <w:sz w:val="30"/>
      <w:szCs w:val="30"/>
    </w:rPr>
  </w:style>
  <w:style w:type="paragraph" w:customStyle="1" w:styleId="11">
    <w:name w:val="1图、表标题"/>
    <w:basedOn w:val="1"/>
    <w:link w:val="12"/>
    <w:qFormat/>
    <w:uiPriority w:val="0"/>
    <w:pPr>
      <w:adjustRightInd w:val="0"/>
      <w:snapToGrid w:val="0"/>
      <w:spacing w:line="360" w:lineRule="auto"/>
      <w:jc w:val="center"/>
    </w:pPr>
    <w:rPr>
      <w:rFonts w:ascii="Times New Roman" w:hAnsi="Times New Roman" w:eastAsia="宋体" w:cs="Times New Roman"/>
      <w:b/>
    </w:rPr>
  </w:style>
  <w:style w:type="character" w:customStyle="1" w:styleId="12">
    <w:name w:val="图、表标题 Char"/>
    <w:link w:val="11"/>
    <w:qFormat/>
    <w:uiPriority w:val="0"/>
    <w:rPr>
      <w:rFonts w:ascii="Times New Roman" w:hAnsi="Times New Roman" w:eastAsia="宋体" w:cs="Times New Roman"/>
      <w:b/>
      <w:sz w:val="24"/>
    </w:rPr>
  </w:style>
  <w:style w:type="paragraph" w:customStyle="1" w:styleId="13">
    <w:name w:val="1表格内容"/>
    <w:next w:val="1"/>
    <w:qFormat/>
    <w:uiPriority w:val="0"/>
    <w:pPr>
      <w:widowControl w:val="0"/>
      <w:adjustRightInd w:val="0"/>
      <w:snapToGrid w:val="0"/>
      <w:jc w:val="center"/>
    </w:pPr>
    <w:rPr>
      <w:rFonts w:ascii="Times New Roman" w:hAnsi="Times New Roman" w:eastAsia="宋体" w:cs="Times New Roman"/>
      <w:sz w:val="21"/>
      <w:lang w:val="en-US" w:eastAsia="zh-CN" w:bidi="ar-SA"/>
    </w:rPr>
  </w:style>
  <w:style w:type="table" w:customStyle="1" w:styleId="14">
    <w:name w:val="Table Normal"/>
    <w:unhideWhenUsed/>
    <w:qFormat/>
    <w:uiPriority w:val="2"/>
    <w:pPr>
      <w:widowControl w:val="0"/>
    </w:pPr>
    <w:rPr>
      <w:rFonts w:ascii="Calibri" w:hAnsi="Calibri" w:cs="黑体"/>
      <w:sz w:val="22"/>
      <w:szCs w:val="22"/>
      <w:lang w:val="en-US" w:eastAsia="en-US" w:bidi="ar-SA"/>
    </w:rPr>
    <w:tblPr>
      <w:tblCellMar>
        <w:top w:w="0" w:type="dxa"/>
        <w:left w:w="0" w:type="dxa"/>
        <w:bottom w:w="0" w:type="dxa"/>
        <w:right w:w="0" w:type="dxa"/>
      </w:tblCellMar>
    </w:tblPr>
  </w:style>
  <w:style w:type="paragraph" w:customStyle="1" w:styleId="15">
    <w:name w:val="1表格内容加粗"/>
    <w:basedOn w:val="1"/>
    <w:qFormat/>
    <w:uiPriority w:val="0"/>
    <w:pPr>
      <w:adjustRightInd w:val="0"/>
      <w:snapToGrid w:val="0"/>
      <w:jc w:val="center"/>
    </w:pPr>
    <w:rPr>
      <w:rFonts w:ascii="Times New Roman" w:hAnsi="Times New Roman" w:eastAsia="宋体"/>
      <w:b/>
      <w:bCs/>
      <w:color w:val="auto"/>
      <w:sz w:val="21"/>
      <w:szCs w:val="21"/>
    </w:rPr>
  </w:style>
  <w:style w:type="paragraph" w:customStyle="1" w:styleId="16">
    <w:name w:val="0正文内容"/>
    <w:basedOn w:val="1"/>
    <w:link w:val="17"/>
    <w:qFormat/>
    <w:uiPriority w:val="0"/>
    <w:pPr>
      <w:widowControl w:val="0"/>
      <w:adjustRightInd w:val="0"/>
      <w:snapToGrid w:val="0"/>
      <w:spacing w:line="360" w:lineRule="auto"/>
      <w:ind w:firstLine="480" w:firstLineChars="200"/>
    </w:pPr>
    <w:rPr>
      <w:rFonts w:ascii="Times New Roman" w:hAnsi="Times New Roman" w:eastAsia="宋体" w:cs="宋体"/>
      <w:color w:val="000000"/>
      <w:kern w:val="0"/>
      <w:lang w:bidi="ar"/>
    </w:rPr>
  </w:style>
  <w:style w:type="character" w:customStyle="1" w:styleId="17">
    <w:name w:val="0正文内容 Char"/>
    <w:link w:val="16"/>
    <w:qFormat/>
    <w:uiPriority w:val="0"/>
    <w:rPr>
      <w:rFonts w:ascii="Times New Roman" w:hAnsi="Times New Roman" w:eastAsia="宋体" w:cs="宋体"/>
      <w:color w:val="000000"/>
      <w:kern w:val="0"/>
      <w:lang w:bidi="ar"/>
    </w:rPr>
  </w:style>
  <w:style w:type="paragraph" w:customStyle="1" w:styleId="18">
    <w:name w:val="0正文内容加粗"/>
    <w:basedOn w:val="1"/>
    <w:link w:val="19"/>
    <w:qFormat/>
    <w:uiPriority w:val="0"/>
    <w:pPr>
      <w:adjustRightInd w:val="0"/>
      <w:snapToGrid w:val="0"/>
      <w:spacing w:line="360" w:lineRule="auto"/>
      <w:ind w:firstLine="482" w:firstLineChars="200"/>
    </w:pPr>
    <w:rPr>
      <w:rFonts w:ascii="Times New Roman" w:hAnsi="Times New Roman" w:eastAsia="宋体" w:cs="宋体"/>
      <w:b/>
      <w:bCs/>
      <w:color w:val="auto"/>
    </w:rPr>
  </w:style>
  <w:style w:type="character" w:customStyle="1" w:styleId="19">
    <w:name w:val="0正文内容加粗 Char"/>
    <w:link w:val="18"/>
    <w:qFormat/>
    <w:uiPriority w:val="0"/>
    <w:rPr>
      <w:rFonts w:ascii="Times New Roman" w:hAnsi="Times New Roman" w:eastAsia="宋体" w:cs="宋体"/>
      <w:b/>
      <w:bCs/>
      <w:color w:val="auto"/>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26.wmf"/><Relationship Id="rId58" Type="http://schemas.openxmlformats.org/officeDocument/2006/relationships/oleObject" Target="embeddings/oleObject24.bin"/><Relationship Id="rId57" Type="http://schemas.openxmlformats.org/officeDocument/2006/relationships/image" Target="media/image25.wmf"/><Relationship Id="rId56" Type="http://schemas.openxmlformats.org/officeDocument/2006/relationships/oleObject" Target="embeddings/oleObject23.bin"/><Relationship Id="rId55" Type="http://schemas.openxmlformats.org/officeDocument/2006/relationships/image" Target="media/image24.wmf"/><Relationship Id="rId54" Type="http://schemas.openxmlformats.org/officeDocument/2006/relationships/oleObject" Target="embeddings/oleObject22.bin"/><Relationship Id="rId53" Type="http://schemas.openxmlformats.org/officeDocument/2006/relationships/image" Target="media/image23.wmf"/><Relationship Id="rId52" Type="http://schemas.openxmlformats.org/officeDocument/2006/relationships/oleObject" Target="embeddings/oleObject21.bin"/><Relationship Id="rId51" Type="http://schemas.openxmlformats.org/officeDocument/2006/relationships/image" Target="media/image22.wmf"/><Relationship Id="rId50" Type="http://schemas.openxmlformats.org/officeDocument/2006/relationships/oleObject" Target="embeddings/oleObject20.bin"/><Relationship Id="rId5" Type="http://schemas.openxmlformats.org/officeDocument/2006/relationships/footer" Target="footer2.xml"/><Relationship Id="rId49" Type="http://schemas.openxmlformats.org/officeDocument/2006/relationships/image" Target="media/image21.wmf"/><Relationship Id="rId48" Type="http://schemas.openxmlformats.org/officeDocument/2006/relationships/oleObject" Target="embeddings/oleObject19.bin"/><Relationship Id="rId47" Type="http://schemas.openxmlformats.org/officeDocument/2006/relationships/image" Target="media/image20.wmf"/><Relationship Id="rId46" Type="http://schemas.openxmlformats.org/officeDocument/2006/relationships/oleObject" Target="embeddings/oleObject18.bin"/><Relationship Id="rId45" Type="http://schemas.openxmlformats.org/officeDocument/2006/relationships/image" Target="media/image19.wmf"/><Relationship Id="rId44" Type="http://schemas.openxmlformats.org/officeDocument/2006/relationships/oleObject" Target="embeddings/oleObject17.bin"/><Relationship Id="rId43" Type="http://schemas.openxmlformats.org/officeDocument/2006/relationships/image" Target="media/image18.wmf"/><Relationship Id="rId42" Type="http://schemas.openxmlformats.org/officeDocument/2006/relationships/oleObject" Target="embeddings/oleObject16.bin"/><Relationship Id="rId41" Type="http://schemas.openxmlformats.org/officeDocument/2006/relationships/image" Target="media/image17.wmf"/><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emf"/><Relationship Id="rId36" Type="http://schemas.openxmlformats.org/officeDocument/2006/relationships/oleObject" Target="embeddings/oleObject14.bin"/><Relationship Id="rId35" Type="http://schemas.openxmlformats.org/officeDocument/2006/relationships/image" Target="media/image13.emf"/><Relationship Id="rId34" Type="http://schemas.openxmlformats.org/officeDocument/2006/relationships/oleObject" Target="embeddings/oleObject13.bin"/><Relationship Id="rId33" Type="http://schemas.openxmlformats.org/officeDocument/2006/relationships/image" Target="media/image12.emf"/><Relationship Id="rId32" Type="http://schemas.openxmlformats.org/officeDocument/2006/relationships/oleObject" Target="embeddings/oleObject12.bin"/><Relationship Id="rId31" Type="http://schemas.openxmlformats.org/officeDocument/2006/relationships/image" Target="media/image11.e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0.emf"/><Relationship Id="rId28" Type="http://schemas.openxmlformats.org/officeDocument/2006/relationships/oleObject" Target="embeddings/oleObject10.bin"/><Relationship Id="rId27" Type="http://schemas.openxmlformats.org/officeDocument/2006/relationships/image" Target="media/image9.emf"/><Relationship Id="rId26" Type="http://schemas.openxmlformats.org/officeDocument/2006/relationships/oleObject" Target="embeddings/oleObject9.bin"/><Relationship Id="rId25" Type="http://schemas.openxmlformats.org/officeDocument/2006/relationships/image" Target="media/image8.emf"/><Relationship Id="rId24" Type="http://schemas.openxmlformats.org/officeDocument/2006/relationships/oleObject" Target="embeddings/oleObject8.bin"/><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44265</Words>
  <Characters>51968</Characters>
  <Lines>272</Lines>
  <Paragraphs>76</Paragraphs>
  <TotalTime>25</TotalTime>
  <ScaleCrop>false</ScaleCrop>
  <LinksUpToDate>false</LinksUpToDate>
  <CharactersWithSpaces>52171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2022-03-25T01:45:00Z</cp:lastPrinted>
  <dcterms:modified xsi:type="dcterms:W3CDTF">2023-04-11T14:41:54Z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217B190732994E75B9C97D6FFB720A7F</vt:lpwstr>
  </property>
</Properties>
</file>