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both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怀远县商务局 怀远县财政局 怀远县乡村振兴局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关于申报</w:t>
      </w:r>
      <w:r>
        <w:rPr>
          <w:rFonts w:hint="eastAsia" w:eastAsia="方正小标宋简体"/>
          <w:sz w:val="40"/>
          <w:szCs w:val="40"/>
          <w:lang w:val="en-US" w:eastAsia="zh-CN"/>
        </w:rPr>
        <w:t>怀远县</w:t>
      </w:r>
      <w:r>
        <w:rPr>
          <w:rFonts w:hint="eastAsia" w:eastAsia="方正小标宋简体"/>
          <w:sz w:val="40"/>
          <w:szCs w:val="40"/>
        </w:rPr>
        <w:t>县域商业建设行动储备项目的通知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  <w:lang w:val="en-US" w:eastAsia="zh-CN"/>
        </w:rPr>
        <w:t>乡镇人民政府、县经开区管委会、各有关单位和企业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深入推进国家县域商业建设行动试点县有关工作，规范项目全过程管理，提高财政资金使用效益，进一步完善以渠道下沉为主线，以县乡村商业网络体系和农村物流配送“三点一线”为重点，加快补齐农村商业设施短板，健全县乡村物流配送体系，引导商贸流通企业转型升级，推动县域商业高质量发展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根据《商务部等15部门办公厅(室)关于印发《县域商业建设指南》的通知》（商办流通函〔2021〕322号）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《安徽省商务厅 安徽省财政厅 安徽省乡村振兴局关于开展2022年度县域商业建设行动示范县工作的通知》（皖商明电〔2022〕14号）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精神以及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《怀远县县域商业建设行动工作方案》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有关要求，现就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开展县域商业建设行动储备项目申报工作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hAnsi="黑体" w:eastAsia="黑体"/>
          <w:sz w:val="32"/>
          <w:szCs w:val="32"/>
          <w:lang w:val="en-US" w:eastAsia="zh-CN"/>
        </w:rPr>
      </w:pPr>
      <w:r>
        <w:rPr>
          <w:rFonts w:hAnsi="黑体" w:eastAsia="黑体"/>
          <w:sz w:val="32"/>
          <w:szCs w:val="32"/>
        </w:rPr>
        <w:t>一、</w:t>
      </w:r>
      <w:r>
        <w:rPr>
          <w:rFonts w:hint="eastAsia" w:hAnsi="黑体" w:eastAsia="黑体"/>
          <w:sz w:val="32"/>
          <w:szCs w:val="32"/>
          <w:lang w:val="en-US" w:eastAsia="zh-CN"/>
        </w:rPr>
        <w:t>支持方向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根据《安徽省商务厅 安徽省财政厅 安徽省乡村振兴局关于开展2022年度县域商业建设行动示范县工作的通知》，项目支持方向包括：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补齐县域商业基础设施短板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完善县乡村三级物流配送体系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改善优化县域消费渠道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增强农村产品上行动能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hAnsi="黑体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提高生活服务供给质量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二、支持方式及标准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依据《怀远县实施县域商业建设行动相关配套政策的通知》（怀商字〔2023〕16号）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文件精神，对符合要求的项目，主要采取以奖代补方式予以专项资金支持。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原则上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申报评审入库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专项资金支持比例不超过有效投资额的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0%。单个项目最高支持资金不超过300万元。有效投资额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验收前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需经第三方会计师事务所审计确认。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专项资金不得用于平衡本级财政预算，不得用于征地拆迁、购买流量，支付罚款、捐款、赞助、投资、偿还债务以及财政补助单位人员经费和工作经费（包括项目相关的审计、监理咨询、验收等费用）。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严禁支持的具体项目内容包括：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1.基础设施建设，含土地购买、主体结构(含钢结构) 建设、电梯购置等；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2.承办企业为房地产开发、物业管理类，建设项目为商业地产开发性质；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3.地理位置位于主城区，但隶属于乡镇的乡镇商贸中心建设改造项目；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4.商业网点周边道路硬化、亮化、绿化等；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5.项目内容包含运营场地租金、软件升级、农产品深加工等；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6.其他严禁事项。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加强与发展改革、农业农村、乡村振兴等部门相关资金的衔接，避免重复投入，充分利用万村千乡市场工程、电子商务进农村综合示范、省级文明菜市行动等购建的设施设备，增强工作的延续性和协同性，入库项目的申报主体须承诺申报项目补贴内容不得重复享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发展改革、农业农村、乡村振兴等部门相关资金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）资金拨付方式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储备一批、成熟一批、支持一批”的原则，依据《关于印发怀远县实施县域商业建设行动相关配套政策的通知》（怀商字〔2023〕16号）、《怀远县县域商业建设行动专项资金实施细则》（怀商字〔2023〕17号）要求，项目完成后由县商务局会同县财政局、县乡村振兴局组织项目初验，并出具审核意见，报请市级主管部门组织验收评审。项目验收合格后，在县人民政府网站公示项目验收结果和拟拨付资金额度，公示时间不少于5个工作日。对公示无异议的项目，由县商务局报县政府批准并拨付补助资金，并与奖补主体签订项目承办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hAnsi="黑体" w:eastAsia="黑体"/>
          <w:sz w:val="32"/>
          <w:szCs w:val="32"/>
          <w:lang w:val="en-US" w:eastAsia="zh-CN"/>
        </w:rPr>
        <w:t>三、</w:t>
      </w:r>
      <w:r>
        <w:rPr>
          <w:rFonts w:hint="eastAsia" w:hAnsi="黑体" w:eastAsia="黑体"/>
          <w:sz w:val="32"/>
          <w:szCs w:val="32"/>
        </w:rPr>
        <w:t>申报</w:t>
      </w:r>
      <w:r>
        <w:rPr>
          <w:rFonts w:hint="eastAsia" w:hAnsi="黑体" w:eastAsia="黑体"/>
          <w:sz w:val="32"/>
          <w:szCs w:val="32"/>
          <w:lang w:val="en-US" w:eastAsia="zh-CN"/>
        </w:rPr>
        <w:t>条件及入库流程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申报主体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1.申报主体为</w:t>
      </w:r>
      <w:r>
        <w:rPr>
          <w:rFonts w:hint="eastAsia" w:eastAsia="仿宋_GB2312"/>
          <w:sz w:val="32"/>
          <w:szCs w:val="32"/>
        </w:rPr>
        <w:t>在怀远县境内依法登记注册，具有独立法人资格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或注册地在</w:t>
      </w:r>
      <w:r>
        <w:rPr>
          <w:rFonts w:hint="eastAsia" w:eastAsia="仿宋_GB2312"/>
          <w:sz w:val="32"/>
          <w:szCs w:val="32"/>
          <w:lang w:val="en-US" w:eastAsia="zh-CN"/>
        </w:rPr>
        <w:t>怀远县</w:t>
      </w:r>
      <w:r>
        <w:rPr>
          <w:rFonts w:hint="eastAsia" w:eastAsia="仿宋_GB2312"/>
          <w:sz w:val="32"/>
          <w:szCs w:val="32"/>
        </w:rPr>
        <w:t>的集团公司分公司</w:t>
      </w:r>
      <w:r>
        <w:rPr>
          <w:rFonts w:hint="eastAsia" w:eastAsia="仿宋_GB2312"/>
          <w:sz w:val="32"/>
          <w:szCs w:val="32"/>
          <w:lang w:eastAsia="zh-CN"/>
        </w:rPr>
        <w:t>，正常经营，依法纳税，取得开展相关业务的资格，且与专项资金的使用单位一致；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申报主体和法定代表人（负责人）应遵章守法、信用记录良好，近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年无严重违法违规记录，未被列入“信用中国”(www.creditchina.gov.cn)记录失信名单，未发生安全生产责任事故；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hint="eastAsia" w:eastAsia="仿宋_GB2312"/>
          <w:sz w:val="32"/>
          <w:szCs w:val="32"/>
        </w:rPr>
        <w:t>申报主体具有健全的内部财务管理制度，能按要求及时报送项目相关资料和数据，积极配合各级部门的专项检查；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4.申报主体对项目真实性负责，严禁虚报建设内容或擅自更改入库项目的建设业主、建设地点和建设内容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  <w:r>
        <w:rPr>
          <w:rFonts w:hint="eastAsia" w:eastAsia="仿宋_GB2312"/>
          <w:sz w:val="32"/>
          <w:szCs w:val="32"/>
        </w:rPr>
        <w:t>国家和省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市</w:t>
      </w:r>
      <w:r>
        <w:rPr>
          <w:rFonts w:hint="eastAsia" w:eastAsia="仿宋_GB2312"/>
          <w:sz w:val="32"/>
          <w:szCs w:val="32"/>
        </w:rPr>
        <w:t>级主管部门的其他规定要求</w:t>
      </w:r>
      <w:r>
        <w:rPr>
          <w:rFonts w:eastAsia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（二）项目条件要求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1.入库项目内容应符合县域商业建设行动建设内容、支持方向，实现县域商业的补缺或升级作用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入库项目时限应满足试点县建设周期不超过2年的要求，于2022年1月至2023年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月底期间建成并申请验收；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3.入库项目建成获得奖补后，申报主体承诺持续运营5年以上（不可抗力除外）；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4.同一项目不得重复申报和多头（部门）申报，同一企业同一项目（事项）不得重复享受各级同类资金奖补。市县出台实施的叠加政策除外。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（三）入库流程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企业报送项目申报材料后，县商务局将联合相关部门根据申报材料组织专家评审，确定拟支持入库项目，并在县人民政府网站公示项目信息，公示时间不少于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个工作日。对公示无异议的项目，逐级上报申请入库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/>
          <w:b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四、申报资料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符合条件的企业或单位向怀远县商务局提出项目申请，并提交以下材料（按顺序列出目录并装订成册，一式六份）：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1.怀远县县域商业建设行动项目入库申请文件（正式红头文件）；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2.怀远县县域商业建设行动奖补项目入库申报表（见附件）。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3.项目实施可行性方案。包括申报主体介绍、申报项目概况（名称、地址、内容及规模、总投资及有效投资额、条件及优势分析等）、投资估算与资金筹措（要有具体</w:t>
      </w:r>
      <w:r>
        <w:rPr>
          <w:rFonts w:hint="eastAsia" w:eastAsia="仿宋_GB2312"/>
          <w:sz w:val="32"/>
          <w:szCs w:val="32"/>
          <w:lang w:val="en-US" w:eastAsia="zh-CN"/>
        </w:rPr>
        <w:t>投资明细清单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、财政补助资金用途）、项目实施步骤及进度安排、项目保障措施（包括组织保障、资金保障等）、项目效益分析等。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4.申报主体营业执照、法人身份证、相关资质证明复印件（加盖单位公章）。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5.其他相关证明材料。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五、资料报送时间及方式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本批项目申报截止时间为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3年6月19日10:00</w:t>
      </w:r>
      <w:r>
        <w:rPr>
          <w:rFonts w:hint="eastAsia" w:eastAsia="仿宋_GB2312"/>
          <w:sz w:val="32"/>
          <w:szCs w:val="32"/>
        </w:rPr>
        <w:t>前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逾期不予受理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申报单位将申报资料纸质件装订成册并加盖公章后一式六份，用文件纸袋封装，在文件纸袋表面写明申报项目类别、申报项目名称、申报主体名称及联系人电话，送交怀远县商务局市场体系建设股（联系人：李希；联系电话：0552-8019083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附件：怀远县县域商业建设行动储备项目入库申报表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both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怀远县财政局    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怀远县商务局      怀远县乡村振兴局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leftChars="0"/>
        <w:jc w:val="righ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2023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仿宋_GB2312"/>
          <w:sz w:val="32"/>
          <w:szCs w:val="32"/>
          <w:lang w:val="en-US" w:eastAsia="zh-CN"/>
        </w:rPr>
      </w:pPr>
    </w:p>
    <w:p>
      <w:pPr>
        <w:rPr>
          <w:rFonts w:hint="eastAsia" w:eastAsia="仿宋_GB2312"/>
          <w:sz w:val="32"/>
          <w:szCs w:val="32"/>
          <w:lang w:val="en-US" w:eastAsia="zh-CN"/>
        </w:rPr>
      </w:pPr>
    </w:p>
    <w:p>
      <w:pPr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附件：</w:t>
      </w:r>
    </w:p>
    <w:p>
      <w:pPr>
        <w:pStyle w:val="3"/>
        <w:spacing w:before="0" w:line="590" w:lineRule="exact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怀远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县县域商业建设行动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奖补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项目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入库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</w:rPr>
        <w:t>申报表</w:t>
      </w:r>
    </w:p>
    <w:p>
      <w:pPr>
        <w:spacing w:line="5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填表单位（盖章）：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日期：</w:t>
      </w:r>
      <w:r>
        <w:rPr>
          <w:sz w:val="24"/>
          <w:szCs w:val="24"/>
        </w:rPr>
        <w:t xml:space="preserve">                                           </w:t>
      </w:r>
    </w:p>
    <w:tbl>
      <w:tblPr>
        <w:tblStyle w:val="13"/>
        <w:tblW w:w="9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658"/>
        <w:gridCol w:w="1043"/>
        <w:gridCol w:w="508"/>
        <w:gridCol w:w="1207"/>
        <w:gridCol w:w="159"/>
        <w:gridCol w:w="416"/>
        <w:gridCol w:w="1258"/>
        <w:gridCol w:w="2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一、申报主体情况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申报主体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107" w:rightChars="-5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3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企业注册地址</w:t>
            </w: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□民营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□集体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□混合所有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□外商独资</w:t>
            </w: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中外合资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□中外合作经营企业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□其它（请注明）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申报主体简介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both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简要介绍单位资质实力、发展历程、主管业务、荣誉及对怀远县发展贡献等情况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  <w:p>
            <w:pPr>
              <w:pStyle w:val="3"/>
              <w:ind w:right="57" w:rightChars="0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二、申报项目情况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项目申报方向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重点补齐乡镇商业基础设施短板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□重点完善县乡村三级物流配送体系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□改善优化县域消费渠道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□增强农村产品上行动能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□提供生活服务供给质量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建设起止日期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月至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注：本批项目截止日期必须在2022年1月至2023年7月之间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项目建设性质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□改建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建成类型</w:t>
            </w:r>
          </w:p>
        </w:tc>
        <w:tc>
          <w:tcPr>
            <w:tcW w:w="3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基本型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增强型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提升型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项目位置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路与</w:t>
            </w:r>
            <w:r>
              <w:rPr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路交叉口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项目边界划分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超市（购物中心）为中心，半径为</w:t>
            </w:r>
            <w:r>
              <w:rPr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米范围内的区域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东至中国移动</w:t>
            </w:r>
            <w:r>
              <w:rPr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营业厅，西至</w:t>
            </w:r>
            <w:r>
              <w:rPr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乡人民政府约</w:t>
            </w:r>
            <w:r>
              <w:rPr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米范围的区域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（主要围绕支持方向简要介绍项目情况，包括项目建设内容、实施进展、资金投入情况及其他必要事项）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项目预期效果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（项目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实现功能，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预期经济与社会效益等相关情况）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项目投资情况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项目计划总投资额：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符合支持方向的预算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有效投资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eastAsia="zh-CN"/>
              </w:rPr>
              <w:t>，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/>
              </w:rPr>
              <w:t>当前已经完成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</w:rPr>
              <w:t>有效投资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/>
              </w:rPr>
              <w:t>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资金来源情况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自有资金金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额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银行贷款金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额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其他途径金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额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额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项目主要建设内容及规模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对应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项目申报方向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的有效投资和建设内容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简要分析项目建设的条件及优势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（包括类似项目经验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简要分析项目持续运营的可行性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项目预期绩效目标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both"/>
              <w:rPr>
                <w:rFonts w:hint="default" w:asci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（达到但不限于县域商业建设行动该类项目的预期绩效，包括经济效益和社会效益等）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申报主体承诺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1.本单位和法定代表人（负责人）近5年无严重违法违规记录，未被列入“信用中国”(www.creditchina.gov.cn)记录失信名单，未发生安全生产责任事故；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2.本单位对申报项目的真实性负责，提供的项目申报材料和所填写的各项内容均真实无误，若有失实或欺诈，将承担一切责任；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3.本项目未获得其他财政资金支持，项目支持资金获批后将按规定使用；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4. 若违背上述承诺，自愿承担由此产生的一切后果和责任，并及时退回奖补支持资金。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法定代表人(签字):                  年  月  日 (单位盖章)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所在乡镇（开发区）意见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pStyle w:val="3"/>
              <w:jc w:val="left"/>
            </w:pPr>
          </w:p>
          <w:p>
            <w:pPr>
              <w:jc w:val="left"/>
            </w:pPr>
          </w:p>
          <w:p>
            <w:pPr>
              <w:widowControl/>
              <w:spacing w:line="400" w:lineRule="exact"/>
              <w:ind w:firstLine="3600" w:firstLineChars="15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盖章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主管部门评审入库意见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3600" w:firstLineChars="15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盖章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年  月   日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28" w:right="1531" w:bottom="1871" w:left="153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rPr>
        <w:rFonts w:ascii="Times New Roman" w:hAnsi="Times New Roman" w:eastAsia="仿宋_GB2312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Times New Roman" w:hAnsi="Times New Roman" w:eastAsia="仿宋_GB2312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mQ2YjliNDc1YzM3OWNkMGI0NGEyNzNlMjRjMDQifQ=="/>
  </w:docVars>
  <w:rsids>
    <w:rsidRoot w:val="001B35E0"/>
    <w:rsid w:val="00007860"/>
    <w:rsid w:val="00117AE9"/>
    <w:rsid w:val="00171DC4"/>
    <w:rsid w:val="001B35E0"/>
    <w:rsid w:val="00205A07"/>
    <w:rsid w:val="00217B3A"/>
    <w:rsid w:val="002A64CC"/>
    <w:rsid w:val="002D6165"/>
    <w:rsid w:val="00305409"/>
    <w:rsid w:val="005730E8"/>
    <w:rsid w:val="005D7D72"/>
    <w:rsid w:val="007F7C69"/>
    <w:rsid w:val="00823B6F"/>
    <w:rsid w:val="00845BA9"/>
    <w:rsid w:val="008655ED"/>
    <w:rsid w:val="00A00F47"/>
    <w:rsid w:val="00AE753D"/>
    <w:rsid w:val="00BB7391"/>
    <w:rsid w:val="00E57485"/>
    <w:rsid w:val="00F061EF"/>
    <w:rsid w:val="00F7579B"/>
    <w:rsid w:val="00FE70EE"/>
    <w:rsid w:val="01C47B66"/>
    <w:rsid w:val="02337D11"/>
    <w:rsid w:val="02E04ED8"/>
    <w:rsid w:val="04E734BD"/>
    <w:rsid w:val="06B036DE"/>
    <w:rsid w:val="0953049C"/>
    <w:rsid w:val="0987003C"/>
    <w:rsid w:val="0CE40585"/>
    <w:rsid w:val="0D093F37"/>
    <w:rsid w:val="0EC35F79"/>
    <w:rsid w:val="0F8713D9"/>
    <w:rsid w:val="0FD63E90"/>
    <w:rsid w:val="107B5820"/>
    <w:rsid w:val="11AC53EA"/>
    <w:rsid w:val="11CB6208"/>
    <w:rsid w:val="127C4BF3"/>
    <w:rsid w:val="1288743C"/>
    <w:rsid w:val="15ED6D03"/>
    <w:rsid w:val="180A1D0F"/>
    <w:rsid w:val="184C5231"/>
    <w:rsid w:val="18AE36FB"/>
    <w:rsid w:val="1AFD399D"/>
    <w:rsid w:val="1BD810A1"/>
    <w:rsid w:val="1CF17010"/>
    <w:rsid w:val="1DA5166B"/>
    <w:rsid w:val="1F3709E9"/>
    <w:rsid w:val="1F6575D5"/>
    <w:rsid w:val="20BE5835"/>
    <w:rsid w:val="21097C45"/>
    <w:rsid w:val="21B225A8"/>
    <w:rsid w:val="225E0A1A"/>
    <w:rsid w:val="24464867"/>
    <w:rsid w:val="253006EA"/>
    <w:rsid w:val="265C5285"/>
    <w:rsid w:val="28FC235B"/>
    <w:rsid w:val="2A6B366E"/>
    <w:rsid w:val="2C600635"/>
    <w:rsid w:val="2C8D7B3B"/>
    <w:rsid w:val="2C95447D"/>
    <w:rsid w:val="2CE1615C"/>
    <w:rsid w:val="2CF75313"/>
    <w:rsid w:val="2D960FD0"/>
    <w:rsid w:val="2E4E42D4"/>
    <w:rsid w:val="30755827"/>
    <w:rsid w:val="309B0CAA"/>
    <w:rsid w:val="36313EFB"/>
    <w:rsid w:val="3698515E"/>
    <w:rsid w:val="36C02C1A"/>
    <w:rsid w:val="37B7401D"/>
    <w:rsid w:val="38172D0E"/>
    <w:rsid w:val="38697929"/>
    <w:rsid w:val="3C8E3950"/>
    <w:rsid w:val="3CF90C34"/>
    <w:rsid w:val="3E7605C4"/>
    <w:rsid w:val="3FA66D75"/>
    <w:rsid w:val="42D44E0C"/>
    <w:rsid w:val="43A834B2"/>
    <w:rsid w:val="47EA3F9B"/>
    <w:rsid w:val="48AB507F"/>
    <w:rsid w:val="49641B2B"/>
    <w:rsid w:val="49E43AED"/>
    <w:rsid w:val="49F85C00"/>
    <w:rsid w:val="4A225C6E"/>
    <w:rsid w:val="4D1374D6"/>
    <w:rsid w:val="4E656129"/>
    <w:rsid w:val="4EB52D8C"/>
    <w:rsid w:val="4F98252E"/>
    <w:rsid w:val="50531CFF"/>
    <w:rsid w:val="515706EC"/>
    <w:rsid w:val="548C2E4C"/>
    <w:rsid w:val="54B167A5"/>
    <w:rsid w:val="55711857"/>
    <w:rsid w:val="55A2309A"/>
    <w:rsid w:val="57350276"/>
    <w:rsid w:val="584720E0"/>
    <w:rsid w:val="5A2C0E3D"/>
    <w:rsid w:val="5B3C7284"/>
    <w:rsid w:val="5BD75AB2"/>
    <w:rsid w:val="5C6E089F"/>
    <w:rsid w:val="5CC07632"/>
    <w:rsid w:val="5E416CD5"/>
    <w:rsid w:val="5E9345EC"/>
    <w:rsid w:val="5F1D2E7B"/>
    <w:rsid w:val="616B4900"/>
    <w:rsid w:val="61A5421A"/>
    <w:rsid w:val="626118D7"/>
    <w:rsid w:val="62D43ECF"/>
    <w:rsid w:val="636C365E"/>
    <w:rsid w:val="63FF0976"/>
    <w:rsid w:val="64E9765C"/>
    <w:rsid w:val="65EE47FE"/>
    <w:rsid w:val="6716400D"/>
    <w:rsid w:val="67BF46A4"/>
    <w:rsid w:val="6881195A"/>
    <w:rsid w:val="6BF85184"/>
    <w:rsid w:val="6C57134F"/>
    <w:rsid w:val="6CA177E3"/>
    <w:rsid w:val="6CAC17A2"/>
    <w:rsid w:val="6ED0363B"/>
    <w:rsid w:val="6F500CE8"/>
    <w:rsid w:val="71D834F1"/>
    <w:rsid w:val="730B69EF"/>
    <w:rsid w:val="73AC2E65"/>
    <w:rsid w:val="757F36C5"/>
    <w:rsid w:val="769502BE"/>
    <w:rsid w:val="771670BC"/>
    <w:rsid w:val="77B238DE"/>
    <w:rsid w:val="78634E3D"/>
    <w:rsid w:val="7A1F2454"/>
    <w:rsid w:val="7AA00365"/>
    <w:rsid w:val="7BA7127F"/>
    <w:rsid w:val="7C1D7794"/>
    <w:rsid w:val="7E7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spacing w:before="0" w:after="0" w:line="360" w:lineRule="auto"/>
      <w:ind w:firstLine="723" w:firstLineChars="200"/>
      <w:outlineLvl w:val="1"/>
    </w:pPr>
    <w:rPr>
      <w:rFonts w:ascii="Cambria" w:hAnsi="Cambria" w:eastAsia="楷体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Calibri" w:hAnsi="Calibri"/>
    </w:rPr>
  </w:style>
  <w:style w:type="paragraph" w:styleId="6">
    <w:name w:val="Body Text First Indent"/>
    <w:basedOn w:val="5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7">
    <w:name w:val="Plain Text"/>
    <w:basedOn w:val="1"/>
    <w:unhideWhenUsed/>
    <w:qFormat/>
    <w:uiPriority w:val="0"/>
    <w:rPr>
      <w:rFonts w:ascii="宋体" w:hAnsi="Courier New"/>
      <w:szCs w:val="21"/>
    </w:rPr>
  </w:style>
  <w:style w:type="paragraph" w:styleId="8">
    <w:name w:val="Body Text Indent 2"/>
    <w:basedOn w:val="1"/>
    <w:next w:val="7"/>
    <w:unhideWhenUsed/>
    <w:qFormat/>
    <w:uiPriority w:val="0"/>
    <w:pPr>
      <w:spacing w:before="100" w:beforeAutospacing="1" w:after="120" w:line="480" w:lineRule="auto"/>
      <w:ind w:left="420" w:leftChars="200"/>
    </w:pPr>
    <w:rPr>
      <w:rFonts w:ascii="Calibri" w:hAnsi="Calibri"/>
      <w:szCs w:val="21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3304</Words>
  <Characters>3452</Characters>
  <Lines>40</Lines>
  <Paragraphs>11</Paragraphs>
  <TotalTime>26</TotalTime>
  <ScaleCrop>false</ScaleCrop>
  <LinksUpToDate>false</LinksUpToDate>
  <CharactersWithSpaces>3879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2022-08-26T03:25:00Z</dcterms:created>
  <dc:creator>Lenovo</dc:creator>
  <cp:lastModifiedBy>鱼在波涛下微笑1407312175</cp:lastModifiedBy>
  <cp:lastPrinted>2023-04-11T00:48:00Z</cp:lastPrinted>
  <dcterms:modified xsi:type="dcterms:W3CDTF">2023-06-16T01:38:17Z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895ECEEB064A4766A2EED00F3123E2D1</vt:lpwstr>
  </property>
</Properties>
</file>