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68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32"/>
        <w:gridCol w:w="1270"/>
        <w:gridCol w:w="1346"/>
        <w:gridCol w:w="997"/>
        <w:gridCol w:w="887"/>
        <w:gridCol w:w="1040"/>
        <w:gridCol w:w="1544"/>
        <w:gridCol w:w="952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6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45"/>
              </w:tabs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032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文物保护项目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9032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怀远县博物馆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9032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767"/>
                <w:tab w:val="center" w:pos="394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常年项目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0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9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0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9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0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其他资金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9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3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0"/>
              </w:rPr>
              <w:t>年—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目标1：对辖区内文物保护单位进行不定期巡查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目标2：对文物保护员进行培训，提升文物巡查的力度和质量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目标1：对辖区内文物保护单位进行不定期巡查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目标2：对文物保护员进行培训，提升文物巡查的力度和质量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巡查修缮保养维护文物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≥630天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≥630天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巡查修缮保养维护文物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≥210天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≥210天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工作开展及时率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≥95%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≥95%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工作开展及时率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≥95%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预算控制率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预算控制率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吸引更多人群参与文物保护工作，带来旅游收入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逐步提升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逐步提升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吸引更多人群参与文物保护工作，带来旅游收入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逐步提升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提升群众对文物保护工作的参与度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逐年增长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逐年增长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提升群众对文物保护工作的参与度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逐年增长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文物保护工作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稳定健康发展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稳定健康发展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文物保护工作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稳定健康发展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稳定健康发展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群众对工作的满意度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≥90%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cs="Times New Roman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0"/>
                <w:szCs w:val="20"/>
                <w:lang w:val="en-US" w:eastAsia="zh-CN" w:bidi="ar"/>
              </w:rPr>
              <w:t>群众对工作的满意度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≥90%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mFlMDU2YTM2NDljNzU2ZjE5MmU2ODRjOWVhMTcifQ=="/>
  </w:docVars>
  <w:rsids>
    <w:rsidRoot w:val="00172A27"/>
    <w:rsid w:val="1320760F"/>
    <w:rsid w:val="217D7C00"/>
    <w:rsid w:val="30A25EDE"/>
    <w:rsid w:val="3B9D77FB"/>
    <w:rsid w:val="3F00466A"/>
    <w:rsid w:val="437F2ECA"/>
    <w:rsid w:val="507735DA"/>
    <w:rsid w:val="56DD11F5"/>
    <w:rsid w:val="609B29A1"/>
    <w:rsid w:val="641D4379"/>
    <w:rsid w:val="687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2023-09-27T07:03:00Z</dcterms:created>
  <dc:creator>金良</dc:creator>
  <cp:lastModifiedBy>金良</cp:lastModifiedBy>
  <dcterms:modified xsi:type="dcterms:W3CDTF">2023-09-27T09:38:29Z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3BB4BCD02ACE40DC8520B2047EAF275D_13</vt:lpwstr>
  </property>
</Properties>
</file>