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患者可在自助机进行价格查询。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点击“自助查询”。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1" name="图片 1" descr="ba88b382153259af10858da438a24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88b382153259af10858da438a24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4.点击“药品查询”或“项目查询”。</w:t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2" name="图片 2" descr="692d1097e6f80665683178b6dc70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2d1097e6f80665683178b6dc70e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5.点击“项目查询”，屏幕显示医院提供的所有医疗服务项目价格。</w:t>
      </w: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3" name="图片 3" descr="d9f92a8deb774a17a09d40c8bfdf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f92a8deb774a17a09d40c8bfdf4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1C75B"/>
    <w:multiLevelType w:val="singleLevel"/>
    <w:tmpl w:val="6641C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GUyY2FjZjdmZjY4Mjg4MmJmMWJhNTZlNDI1OTYifQ=="/>
  </w:docVars>
  <w:rsids>
    <w:rsidRoot w:val="00000000"/>
    <w:rsid w:val="790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2023-11-23T12:24:47Z</dcterms:created>
  <dc:creator>59406</dc:creator>
  <cp:lastModifiedBy>王其龙</cp:lastModifiedBy>
  <dcterms:modified xsi:type="dcterms:W3CDTF">2023-11-23T12:31:04Z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FB2EE5F03E4F45ADAA4BA6C51F00D5E5_12</vt:lpwstr>
  </property>
</Properties>
</file>