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hint="eastAsia" w:ascii="方正小标宋简体" w:eastAsia="方正小标宋简体" w:cs="宋体"/>
          <w:bCs/>
          <w:color w:val="333333"/>
          <w:kern w:val="0"/>
          <w:sz w:val="44"/>
          <w:szCs w:val="44"/>
          <w:lang w:val="en-US" w:eastAsia="zh-CN"/>
        </w:rPr>
      </w:pPr>
      <w:r>
        <w:rPr>
          <w:rFonts w:hint="eastAsia" w:ascii="方正小标宋简体" w:eastAsia="方正小标宋简体" w:cs="宋体"/>
          <w:bCs/>
          <w:color w:val="333333"/>
          <w:kern w:val="0"/>
          <w:sz w:val="44"/>
          <w:szCs w:val="44"/>
        </w:rPr>
        <w:t>怀远县</w:t>
      </w:r>
      <w:r>
        <w:rPr>
          <w:rFonts w:hint="eastAsia" w:ascii="方正小标宋简体" w:eastAsia="方正小标宋简体" w:cs="宋体"/>
          <w:bCs/>
          <w:color w:val="333333"/>
          <w:kern w:val="0"/>
          <w:sz w:val="44"/>
          <w:szCs w:val="44"/>
          <w:lang w:eastAsia="zh-CN"/>
        </w:rPr>
        <w:t>退役军人事务局</w:t>
      </w:r>
    </w:p>
    <w:p>
      <w:pPr>
        <w:widowControl/>
        <w:shd w:val="clear" w:color="auto" w:fill="FFFFFF"/>
        <w:spacing w:line="640" w:lineRule="exact"/>
        <w:jc w:val="center"/>
        <w:rPr>
          <w:rFonts w:ascii="方正小标宋简体" w:eastAsia="方正小标宋简体" w:cs="宋体"/>
          <w:color w:val="333333"/>
          <w:kern w:val="0"/>
          <w:sz w:val="44"/>
          <w:szCs w:val="44"/>
        </w:rPr>
      </w:pPr>
      <w:r>
        <w:rPr>
          <w:rFonts w:hint="eastAsia" w:ascii="方正小标宋简体" w:eastAsia="方正小标宋简体" w:cs="宋体"/>
          <w:bCs/>
          <w:color w:val="333333"/>
          <w:kern w:val="0"/>
          <w:sz w:val="44"/>
          <w:szCs w:val="44"/>
        </w:rPr>
        <w:t>2022年政府信息公开工作年度报告</w:t>
      </w:r>
    </w:p>
    <w:p>
      <w:pPr>
        <w:widowControl/>
        <w:shd w:val="clear" w:color="auto" w:fill="FFFFFF"/>
        <w:spacing w:line="560" w:lineRule="exact"/>
        <w:ind w:firstLine="480"/>
        <w:rPr>
          <w:rFonts w:ascii="仿宋_GB2312" w:eastAsia="仿宋_GB2312" w:cs="宋体"/>
          <w:kern w:val="0"/>
          <w:sz w:val="32"/>
          <w:szCs w:val="32"/>
        </w:rPr>
      </w:pPr>
    </w:p>
    <w:p>
      <w:pPr>
        <w:widowControl/>
        <w:shd w:val="clear" w:color="auto" w:fill="FFFFFF"/>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县退役军人事务局办公室联系（地址：怀远县榴城镇榴城路229号,电话：0552-8212145，邮编：233400）。</w:t>
      </w:r>
    </w:p>
    <w:p>
      <w:pPr>
        <w:widowControl/>
        <w:shd w:val="clear" w:color="auto" w:fill="FFFFFF"/>
        <w:spacing w:line="560" w:lineRule="exact"/>
        <w:ind w:firstLine="640" w:firstLineChars="200"/>
        <w:rPr>
          <w:rFonts w:ascii="黑体" w:eastAsia="黑体" w:cs="宋体"/>
          <w:bCs/>
          <w:kern w:val="0"/>
          <w:sz w:val="32"/>
          <w:szCs w:val="32"/>
        </w:rPr>
      </w:pPr>
      <w:r>
        <w:rPr>
          <w:rFonts w:hint="eastAsia" w:ascii="黑体" w:eastAsia="黑体" w:cs="宋体"/>
          <w:bCs/>
          <w:kern w:val="0"/>
          <w:sz w:val="32"/>
          <w:szCs w:val="32"/>
        </w:rPr>
        <w:t>一、总体情况</w:t>
      </w:r>
    </w:p>
    <w:p>
      <w:pPr>
        <w:widowControl/>
        <w:shd w:val="clear" w:color="auto" w:fill="FFFFFF"/>
        <w:spacing w:line="560" w:lineRule="exact"/>
        <w:ind w:firstLine="640" w:firstLineChars="200"/>
        <w:rPr>
          <w:rFonts w:ascii="楷体_GB2312" w:eastAsia="楷体_GB2312" w:cs="微软雅黑"/>
          <w:sz w:val="32"/>
          <w:szCs w:val="32"/>
          <w:shd w:val="clear" w:color="auto" w:fill="FFFFFF"/>
        </w:rPr>
      </w:pPr>
      <w:r>
        <w:rPr>
          <w:rFonts w:hint="eastAsia" w:ascii="楷体_GB2312" w:eastAsia="楷体_GB2312" w:cs="微软雅黑"/>
          <w:sz w:val="32"/>
          <w:szCs w:val="32"/>
          <w:shd w:val="clear" w:color="auto" w:fill="FFFFFF"/>
        </w:rPr>
        <w:t>（一）主动公开情况</w:t>
      </w:r>
    </w:p>
    <w:p>
      <w:pPr>
        <w:widowControl/>
        <w:shd w:val="clear" w:color="auto" w:fill="FFFFFF"/>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2022年，我局积极推进本部门政府信息公开工作，认真贯彻落实省、市、县政府信息公开工作会议精神，建立健全工作机制，切实抓好信息公开平台建设，保障政府信息公开工作依法、及时、有序地开展，为社会提供了方便、快捷的信息公开服务。2022年，我局对本年度公开的政府信息进行了认真的梳理和编目，截至12月31日，新增主动公开政府信息2</w:t>
      </w:r>
      <w:r>
        <w:rPr>
          <w:rFonts w:hint="eastAsia" w:ascii="仿宋_GB2312" w:eastAsia="仿宋_GB2312"/>
          <w:sz w:val="32"/>
          <w:szCs w:val="32"/>
          <w:shd w:val="clear" w:color="auto" w:fill="FFFFFF"/>
          <w:lang w:val="en-US" w:eastAsia="zh-CN"/>
        </w:rPr>
        <w:t>31</w:t>
      </w:r>
      <w:r>
        <w:rPr>
          <w:rFonts w:hint="eastAsia" w:ascii="仿宋_GB2312" w:eastAsia="仿宋_GB2312"/>
          <w:sz w:val="32"/>
          <w:szCs w:val="32"/>
          <w:shd w:val="clear" w:color="auto" w:fill="FFFFFF"/>
        </w:rPr>
        <w:t>条。其中包括：机构领导6条，行政权力运行14条，财政资金27条，应急管理7条，政策解读6条，新闻发布4条，监督保障14条，人事信息5条等。</w:t>
      </w:r>
    </w:p>
    <w:p>
      <w:pPr>
        <w:widowControl/>
        <w:shd w:val="clear" w:color="auto" w:fill="FFFFFF"/>
        <w:spacing w:line="560" w:lineRule="exact"/>
        <w:ind w:firstLine="640" w:firstLineChars="200"/>
        <w:rPr>
          <w:rFonts w:ascii="楷体_GB2312" w:eastAsia="楷体_GB2312" w:cs="微软雅黑"/>
          <w:b/>
          <w:sz w:val="32"/>
          <w:szCs w:val="32"/>
          <w:shd w:val="clear" w:color="auto" w:fill="FFFFFF"/>
        </w:rPr>
      </w:pPr>
      <w:r>
        <w:rPr>
          <w:rFonts w:hint="eastAsia" w:ascii="楷体_GB2312" w:eastAsia="楷体_GB2312" w:cs="微软雅黑"/>
          <w:sz w:val="32"/>
          <w:szCs w:val="32"/>
          <w:shd w:val="clear" w:color="auto" w:fill="FFFFFF"/>
        </w:rPr>
        <w:t>（二）依申请公开情况</w:t>
      </w:r>
    </w:p>
    <w:p>
      <w:pPr>
        <w:widowControl/>
        <w:shd w:val="clear" w:color="auto" w:fill="FFFFFF"/>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2022年，我局严格按照《中华人民共和国政府信息公开条例》和《安徽省政府信息公开申请办理答复规范》，依法依规办理依申请公开。2022年，共接到依申请公开0件。</w:t>
      </w:r>
    </w:p>
    <w:p>
      <w:pPr>
        <w:widowControl/>
        <w:shd w:val="clear" w:color="auto" w:fill="FFFFFF"/>
        <w:spacing w:line="560" w:lineRule="exact"/>
        <w:ind w:firstLine="640" w:firstLineChars="200"/>
        <w:rPr>
          <w:rFonts w:ascii="楷体_GB2312" w:eastAsia="楷体_GB2312" w:cs="微软雅黑"/>
          <w:sz w:val="32"/>
          <w:szCs w:val="32"/>
          <w:shd w:val="clear" w:color="auto" w:fill="FFFFFF"/>
        </w:rPr>
      </w:pPr>
      <w:r>
        <w:rPr>
          <w:rFonts w:hint="eastAsia" w:ascii="楷体_GB2312" w:eastAsia="楷体_GB2312" w:cs="微软雅黑"/>
          <w:sz w:val="32"/>
          <w:szCs w:val="32"/>
          <w:shd w:val="clear" w:color="auto" w:fill="FFFFFF"/>
        </w:rPr>
        <w:t>（三）政府信息管理</w:t>
      </w:r>
    </w:p>
    <w:p>
      <w:pPr>
        <w:widowControl/>
        <w:shd w:val="clear" w:color="auto" w:fill="FFFFFF"/>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我局高度重视政府信息公开工作，始终把做好政府信息公开工作列入重要议事日程。切实加强对政府信息公开工作的组织领导，调整了领导小组，由主要领导任组长，分管领导任副组长，其他班子成员及业务股室负责人为成员，并安排专人负责政务公开工作的日常事务，确保政务公开工作有序开展。</w:t>
      </w:r>
    </w:p>
    <w:p>
      <w:pPr>
        <w:widowControl/>
        <w:shd w:val="clear" w:color="auto" w:fill="FFFFFF"/>
        <w:spacing w:line="560" w:lineRule="exact"/>
        <w:ind w:firstLine="640" w:firstLineChars="200"/>
        <w:rPr>
          <w:rFonts w:ascii="楷体_GB2312" w:eastAsia="楷体_GB2312" w:cs="微软雅黑"/>
          <w:sz w:val="32"/>
          <w:szCs w:val="32"/>
          <w:shd w:val="clear" w:color="auto" w:fill="FFFFFF"/>
        </w:rPr>
      </w:pPr>
      <w:r>
        <w:rPr>
          <w:rFonts w:hint="eastAsia" w:ascii="楷体_GB2312" w:eastAsia="楷体_GB2312" w:cs="微软雅黑"/>
          <w:sz w:val="32"/>
          <w:szCs w:val="32"/>
          <w:shd w:val="clear" w:color="auto" w:fill="FFFFFF"/>
        </w:rPr>
        <w:t>（四）政府信息公开平台建设</w:t>
      </w:r>
    </w:p>
    <w:p>
      <w:pPr>
        <w:widowControl/>
        <w:shd w:val="clear" w:color="auto" w:fill="FFFFFF"/>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做好我局在县政府门户网站维护及信息更新工作，及时公布工作动态、群众关心的热点问题、办事结果等信息以及年度工作报告等信息。</w:t>
      </w:r>
    </w:p>
    <w:p>
      <w:pPr>
        <w:widowControl/>
        <w:shd w:val="clear" w:color="auto" w:fill="FFFFFF"/>
        <w:spacing w:line="560" w:lineRule="exact"/>
        <w:ind w:firstLine="640" w:firstLineChars="200"/>
        <w:rPr>
          <w:rFonts w:hint="eastAsia" w:ascii="仿宋_GB2312" w:eastAsia="仿宋_GB2312" w:cs="宋体"/>
          <w:kern w:val="0"/>
          <w:sz w:val="32"/>
          <w:szCs w:val="32"/>
          <w:shd w:val="clear" w:color="auto" w:fill="FFFFFF"/>
        </w:rPr>
      </w:pPr>
      <w:r>
        <w:rPr>
          <w:rFonts w:hint="eastAsia" w:ascii="楷体_GB2312" w:eastAsia="楷体_GB2312" w:cs="微软雅黑"/>
          <w:sz w:val="32"/>
          <w:szCs w:val="32"/>
          <w:shd w:val="clear" w:color="auto" w:fill="FFFFFF"/>
        </w:rPr>
        <w:t>（五）监督保障</w:t>
      </w:r>
    </w:p>
    <w:p>
      <w:pPr>
        <w:widowControl/>
        <w:shd w:val="clear" w:color="auto" w:fill="FFFFFF"/>
        <w:ind w:firstLine="480"/>
        <w:rPr>
          <w:rFonts w:hint="eastAsia" w:ascii="仿宋_GB2312" w:eastAsia="仿宋_GB2312" w:cs="宋体"/>
          <w:kern w:val="0"/>
          <w:sz w:val="32"/>
          <w:szCs w:val="32"/>
          <w:shd w:val="clear" w:color="auto" w:fill="FFFFFF"/>
        </w:rPr>
      </w:pPr>
      <w:r>
        <w:rPr>
          <w:rFonts w:hint="eastAsia" w:ascii="仿宋_GB2312" w:eastAsia="仿宋_GB2312" w:cs="宋体"/>
          <w:kern w:val="0"/>
          <w:sz w:val="32"/>
          <w:szCs w:val="32"/>
          <w:shd w:val="clear" w:color="auto" w:fill="FFFFFF"/>
        </w:rPr>
        <w:t>定期通报信息公开工作开展情况。将信息公开纳入局绩效考核范围，完善考评细则，以考核推动工作落实。组织干部参加政务公开培训，打牢工作基础，提升业务水平。</w:t>
      </w:r>
    </w:p>
    <w:p>
      <w:pPr>
        <w:widowControl/>
        <w:shd w:val="clear" w:color="auto" w:fill="FFFFFF"/>
        <w:ind w:firstLine="480"/>
        <w:rPr>
          <w:rFonts w:ascii="黑体" w:eastAsia="黑体" w:cs="宋体"/>
          <w:bCs/>
          <w:kern w:val="0"/>
          <w:sz w:val="32"/>
          <w:szCs w:val="32"/>
        </w:rPr>
      </w:pPr>
      <w:r>
        <w:rPr>
          <w:rFonts w:hint="eastAsia" w:ascii="黑体" w:eastAsia="黑体" w:cs="宋体"/>
          <w:bCs/>
          <w:kern w:val="0"/>
          <w:sz w:val="32"/>
          <w:szCs w:val="32"/>
        </w:rPr>
        <w:t>二、主动公开政府信息情况</w:t>
      </w:r>
    </w:p>
    <w:tbl>
      <w:tblPr>
        <w:tblStyle w:val="8"/>
        <w:tblW w:w="5000" w:type="pct"/>
        <w:jc w:val="center"/>
        <w:tblLayout w:type="autofit"/>
        <w:tblCellMar>
          <w:top w:w="0" w:type="dxa"/>
          <w:left w:w="0" w:type="dxa"/>
          <w:bottom w:w="0" w:type="dxa"/>
          <w:right w:w="0" w:type="dxa"/>
        </w:tblCellMar>
      </w:tblPr>
      <w:tblGrid>
        <w:gridCol w:w="2265"/>
        <w:gridCol w:w="2265"/>
        <w:gridCol w:w="2265"/>
        <w:gridCol w:w="2265"/>
      </w:tblGrid>
      <w:tr>
        <w:tblPrEx>
          <w:tblCellMar>
            <w:top w:w="0" w:type="dxa"/>
            <w:left w:w="0" w:type="dxa"/>
            <w:bottom w:w="0" w:type="dxa"/>
            <w:right w:w="0" w:type="dxa"/>
          </w:tblCellMar>
        </w:tblPrEx>
        <w:trPr>
          <w:trHeight w:val="495"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第二十条第（一）项</w:t>
            </w:r>
          </w:p>
        </w:tc>
      </w:tr>
      <w:tr>
        <w:tblPrEx>
          <w:tblCellMar>
            <w:top w:w="0" w:type="dxa"/>
            <w:left w:w="0" w:type="dxa"/>
            <w:bottom w:w="0" w:type="dxa"/>
            <w:right w:w="0" w:type="dxa"/>
          </w:tblCellMar>
        </w:tblPrEx>
        <w:trPr>
          <w:trHeight w:val="882"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信息内容</w:t>
            </w:r>
          </w:p>
        </w:tc>
        <w:tc>
          <w:tcPr>
            <w:tcW w:w="1250" w:type="pct"/>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本年</w:t>
            </w:r>
            <w:r>
              <w:rPr>
                <w:rFonts w:hint="eastAsia" w:ascii="宋体" w:hAnsi="宋体" w:cs="宋体"/>
                <w:kern w:val="0"/>
                <w:szCs w:val="21"/>
                <w:lang w:bidi="ar"/>
              </w:rPr>
              <w:t>制发件数</w:t>
            </w:r>
          </w:p>
        </w:tc>
        <w:tc>
          <w:tcPr>
            <w:tcW w:w="1250" w:type="pc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本年废止件数</w:t>
            </w:r>
          </w:p>
        </w:tc>
        <w:tc>
          <w:tcPr>
            <w:tcW w:w="1250" w:type="pct"/>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现行有效件</w:t>
            </w:r>
            <w:r>
              <w:rPr>
                <w:rFonts w:hint="eastAsia" w:ascii="宋体" w:hAnsi="宋体" w:cs="宋体"/>
                <w:kern w:val="0"/>
                <w:szCs w:val="21"/>
                <w:lang w:bidi="ar"/>
              </w:rPr>
              <w:t>数</w:t>
            </w:r>
          </w:p>
        </w:tc>
      </w:tr>
      <w:tr>
        <w:tblPrEx>
          <w:tblCellMar>
            <w:top w:w="0" w:type="dxa"/>
            <w:left w:w="0" w:type="dxa"/>
            <w:bottom w:w="0" w:type="dxa"/>
            <w:right w:w="0" w:type="dxa"/>
          </w:tblCellMar>
        </w:tblPrEx>
        <w:trPr>
          <w:trHeight w:val="523"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规章</w:t>
            </w:r>
          </w:p>
        </w:tc>
        <w:tc>
          <w:tcPr>
            <w:tcW w:w="1250" w:type="pct"/>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c>
          <w:tcPr>
            <w:tcW w:w="1250" w:type="pct"/>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c>
          <w:tcPr>
            <w:tcW w:w="1250" w:type="pct"/>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 w:val="22"/>
                <w:lang w:bidi="ar"/>
              </w:rPr>
              <w:t>0</w:t>
            </w:r>
          </w:p>
        </w:tc>
      </w:tr>
      <w:tr>
        <w:tblPrEx>
          <w:tblCellMar>
            <w:top w:w="0" w:type="dxa"/>
            <w:left w:w="0" w:type="dxa"/>
            <w:bottom w:w="0" w:type="dxa"/>
            <w:right w:w="0" w:type="dxa"/>
          </w:tblCellMar>
        </w:tblPrEx>
        <w:trPr>
          <w:trHeight w:val="471"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行政规范性文件</w:t>
            </w:r>
          </w:p>
        </w:tc>
        <w:tc>
          <w:tcPr>
            <w:tcW w:w="1250" w:type="pct"/>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c>
          <w:tcPr>
            <w:tcW w:w="1250" w:type="pct"/>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c>
          <w:tcPr>
            <w:tcW w:w="1250" w:type="pct"/>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 w:val="22"/>
                <w:lang w:bidi="ar"/>
              </w:rPr>
              <w:t>0</w:t>
            </w:r>
          </w:p>
        </w:tc>
      </w:tr>
      <w:tr>
        <w:tblPrEx>
          <w:tblCellMar>
            <w:top w:w="0" w:type="dxa"/>
            <w:left w:w="0" w:type="dxa"/>
            <w:bottom w:w="0" w:type="dxa"/>
            <w:right w:w="0" w:type="dxa"/>
          </w:tblCellMar>
        </w:tblPrEx>
        <w:trPr>
          <w:trHeight w:val="48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第二十条第（五）项</w:t>
            </w:r>
          </w:p>
        </w:tc>
      </w:tr>
      <w:tr>
        <w:tblPrEx>
          <w:tblCellMar>
            <w:top w:w="0" w:type="dxa"/>
            <w:left w:w="0" w:type="dxa"/>
            <w:bottom w:w="0" w:type="dxa"/>
            <w:right w:w="0" w:type="dxa"/>
          </w:tblCellMar>
        </w:tblPrEx>
        <w:trPr>
          <w:trHeight w:val="634"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信息内容</w:t>
            </w:r>
          </w:p>
        </w:tc>
        <w:tc>
          <w:tcPr>
            <w:tcW w:w="3750" w:type="pct"/>
            <w:gridSpan w:val="3"/>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本年处理决定数量</w:t>
            </w:r>
          </w:p>
        </w:tc>
      </w:tr>
      <w:tr>
        <w:tblPrEx>
          <w:tblCellMar>
            <w:top w:w="0" w:type="dxa"/>
            <w:left w:w="0" w:type="dxa"/>
            <w:bottom w:w="0" w:type="dxa"/>
            <w:right w:w="0" w:type="dxa"/>
          </w:tblCellMar>
        </w:tblPrEx>
        <w:trPr>
          <w:trHeight w:val="528"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行政许可</w:t>
            </w:r>
          </w:p>
        </w:tc>
        <w:tc>
          <w:tcPr>
            <w:tcW w:w="3750" w:type="pct"/>
            <w:gridSpan w:val="3"/>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 w:val="22"/>
                <w:lang w:bidi="ar"/>
              </w:rPr>
              <w:t>0</w:t>
            </w:r>
          </w:p>
        </w:tc>
      </w:tr>
      <w:tr>
        <w:tblPrEx>
          <w:tblCellMar>
            <w:top w:w="0" w:type="dxa"/>
            <w:left w:w="0" w:type="dxa"/>
            <w:bottom w:w="0" w:type="dxa"/>
            <w:right w:w="0" w:type="dxa"/>
          </w:tblCellMar>
        </w:tblPrEx>
        <w:trPr>
          <w:trHeight w:val="550" w:hRule="atLeast"/>
          <w:jc w:val="center"/>
        </w:trPr>
        <w:tc>
          <w:tcPr>
            <w:tcW w:w="5000" w:type="pct"/>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第二十条第（六）项</w:t>
            </w:r>
          </w:p>
        </w:tc>
      </w:tr>
      <w:tr>
        <w:tblPrEx>
          <w:tblCellMar>
            <w:top w:w="0" w:type="dxa"/>
            <w:left w:w="0" w:type="dxa"/>
            <w:bottom w:w="0" w:type="dxa"/>
            <w:right w:w="0" w:type="dxa"/>
          </w:tblCellMar>
        </w:tblPrEx>
        <w:trPr>
          <w:trHeight w:val="406" w:hRule="atLeast"/>
          <w:jc w:val="center"/>
        </w:trPr>
        <w:tc>
          <w:tcPr>
            <w:tcW w:w="1250" w:type="pct"/>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信息内容</w:t>
            </w:r>
          </w:p>
        </w:tc>
        <w:tc>
          <w:tcPr>
            <w:tcW w:w="3750" w:type="pct"/>
            <w:gridSpan w:val="3"/>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pPr>
            <w:r>
              <w:rPr>
                <w:rFonts w:hint="eastAsia" w:ascii="宋体" w:hAnsi="宋体" w:cs="宋体"/>
                <w:color w:val="000000"/>
                <w:kern w:val="0"/>
                <w:szCs w:val="21"/>
                <w:lang w:bidi="ar"/>
              </w:rPr>
              <w:t>本年处理决定数量</w:t>
            </w:r>
          </w:p>
        </w:tc>
      </w:tr>
      <w:tr>
        <w:tblPrEx>
          <w:tblCellMar>
            <w:top w:w="0" w:type="dxa"/>
            <w:left w:w="0" w:type="dxa"/>
            <w:bottom w:w="0" w:type="dxa"/>
            <w:right w:w="0" w:type="dxa"/>
          </w:tblCellMar>
        </w:tblPrEx>
        <w:trPr>
          <w:trHeight w:val="634"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行政处罚</w:t>
            </w:r>
          </w:p>
        </w:tc>
        <w:tc>
          <w:tcPr>
            <w:tcW w:w="3750" w:type="pct"/>
            <w:gridSpan w:val="3"/>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r>
      <w:tr>
        <w:tblPrEx>
          <w:tblCellMar>
            <w:top w:w="0" w:type="dxa"/>
            <w:left w:w="0" w:type="dxa"/>
            <w:bottom w:w="0" w:type="dxa"/>
            <w:right w:w="0" w:type="dxa"/>
          </w:tblCellMar>
        </w:tblPrEx>
        <w:trPr>
          <w:trHeight w:val="430"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行政强制</w:t>
            </w:r>
          </w:p>
        </w:tc>
        <w:tc>
          <w:tcPr>
            <w:tcW w:w="3750" w:type="pct"/>
            <w:gridSpan w:val="3"/>
            <w:tcBorders>
              <w:top w:val="nil"/>
              <w:left w:val="nil"/>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0</w:t>
            </w:r>
          </w:p>
        </w:tc>
      </w:tr>
      <w:tr>
        <w:tblPrEx>
          <w:tblCellMar>
            <w:top w:w="0" w:type="dxa"/>
            <w:left w:w="0" w:type="dxa"/>
            <w:bottom w:w="0" w:type="dxa"/>
            <w:right w:w="0" w:type="dxa"/>
          </w:tblCellMar>
        </w:tblPrEx>
        <w:trPr>
          <w:trHeight w:val="409" w:hRule="atLeast"/>
          <w:jc w:val="center"/>
        </w:trPr>
        <w:tc>
          <w:tcPr>
            <w:tcW w:w="5000" w:type="pct"/>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第二十条第（八）项</w:t>
            </w:r>
          </w:p>
        </w:tc>
      </w:tr>
      <w:tr>
        <w:tblPrEx>
          <w:tblCellMar>
            <w:top w:w="0" w:type="dxa"/>
            <w:left w:w="0" w:type="dxa"/>
            <w:bottom w:w="0" w:type="dxa"/>
            <w:right w:w="0" w:type="dxa"/>
          </w:tblCellMar>
        </w:tblPrEx>
        <w:trPr>
          <w:trHeight w:val="474" w:hRule="atLeast"/>
          <w:jc w:val="center"/>
        </w:trPr>
        <w:tc>
          <w:tcPr>
            <w:tcW w:w="1250" w:type="pct"/>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color w:val="000000"/>
                <w:kern w:val="0"/>
                <w:szCs w:val="21"/>
                <w:lang w:bidi="ar"/>
              </w:rPr>
              <w:t>信息内容</w:t>
            </w:r>
          </w:p>
        </w:tc>
        <w:tc>
          <w:tcPr>
            <w:tcW w:w="3750" w:type="pct"/>
            <w:gridSpan w:val="3"/>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pPr>
            <w:r>
              <w:rPr>
                <w:rFonts w:hint="eastAsia" w:ascii="宋体" w:hAnsi="宋体" w:cs="宋体"/>
                <w:color w:val="000000"/>
                <w:kern w:val="0"/>
                <w:szCs w:val="21"/>
                <w:lang w:bidi="ar"/>
              </w:rPr>
              <w:t>本年收费金额（单位：万元）</w:t>
            </w:r>
          </w:p>
        </w:tc>
      </w:tr>
      <w:tr>
        <w:tblPrEx>
          <w:tblCellMar>
            <w:top w:w="0" w:type="dxa"/>
            <w:left w:w="0" w:type="dxa"/>
            <w:bottom w:w="0" w:type="dxa"/>
            <w:right w:w="0" w:type="dxa"/>
          </w:tblCellMar>
        </w:tblPrEx>
        <w:trPr>
          <w:trHeight w:val="270" w:hRule="atLeast"/>
          <w:jc w:val="center"/>
        </w:trPr>
        <w:tc>
          <w:tcPr>
            <w:tcW w:w="1250" w:type="pc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color w:val="000000"/>
                <w:kern w:val="0"/>
                <w:szCs w:val="21"/>
                <w:lang w:bidi="ar"/>
              </w:rPr>
              <w:t>行政事业性收费</w:t>
            </w:r>
          </w:p>
        </w:tc>
        <w:tc>
          <w:tcPr>
            <w:tcW w:w="3750" w:type="pct"/>
            <w:gridSpan w:val="3"/>
            <w:tcBorders>
              <w:top w:val="nil"/>
              <w:left w:val="nil"/>
              <w:bottom w:val="single" w:color="auto" w:sz="8" w:space="0"/>
              <w:right w:val="single" w:color="auto" w:sz="8" w:space="0"/>
            </w:tcBorders>
            <w:noWrap/>
            <w:tcMar>
              <w:left w:w="108" w:type="dxa"/>
              <w:right w:w="108" w:type="dxa"/>
            </w:tcMar>
            <w:vAlign w:val="center"/>
          </w:tcPr>
          <w:p>
            <w:pPr>
              <w:jc w:val="center"/>
              <w:rPr>
                <w:rFonts w:ascii="仿宋_GB2312" w:eastAsia="仿宋_GB2312" w:cs="宋体"/>
                <w:kern w:val="0"/>
                <w:sz w:val="24"/>
                <w:szCs w:val="24"/>
              </w:rPr>
            </w:pPr>
            <w:r>
              <w:rPr>
                <w:rFonts w:hint="eastAsia" w:ascii="仿宋_GB2312" w:eastAsia="仿宋_GB2312" w:cs="宋体"/>
                <w:kern w:val="0"/>
                <w:sz w:val="24"/>
                <w:szCs w:val="24"/>
              </w:rPr>
              <w:t>0</w:t>
            </w:r>
          </w:p>
        </w:tc>
      </w:tr>
    </w:tbl>
    <w:p>
      <w:pPr>
        <w:widowControl/>
        <w:shd w:val="clear" w:color="auto" w:fill="FFFFFF"/>
        <w:ind w:firstLine="480"/>
        <w:rPr>
          <w:rFonts w:ascii="黑体" w:eastAsia="黑体" w:cs="宋体"/>
          <w:bCs/>
          <w:kern w:val="0"/>
          <w:sz w:val="32"/>
          <w:szCs w:val="32"/>
        </w:rPr>
      </w:pPr>
    </w:p>
    <w:p>
      <w:pPr>
        <w:widowControl/>
        <w:shd w:val="clear" w:color="auto" w:fill="FFFFFF"/>
        <w:ind w:firstLine="480"/>
        <w:rPr>
          <w:rFonts w:ascii="黑体" w:eastAsia="黑体" w:cs="宋体"/>
          <w:bCs/>
          <w:kern w:val="0"/>
          <w:sz w:val="32"/>
          <w:szCs w:val="32"/>
        </w:rPr>
      </w:pPr>
      <w:r>
        <w:rPr>
          <w:rFonts w:hint="eastAsia" w:ascii="黑体" w:eastAsia="黑体" w:cs="宋体"/>
          <w:bCs/>
          <w:kern w:val="0"/>
          <w:sz w:val="32"/>
          <w:szCs w:val="32"/>
        </w:rPr>
        <w:t>三、收到和处理政府信息公开申请情况</w:t>
      </w:r>
    </w:p>
    <w:tbl>
      <w:tblPr>
        <w:tblStyle w:val="8"/>
        <w:tblW w:w="9071" w:type="dxa"/>
        <w:jc w:val="center"/>
        <w:tblLayout w:type="autofit"/>
        <w:tblCellMar>
          <w:top w:w="0" w:type="dxa"/>
          <w:left w:w="0" w:type="dxa"/>
          <w:bottom w:w="0" w:type="dxa"/>
          <w:right w:w="0" w:type="dxa"/>
        </w:tblCellMar>
      </w:tblPr>
      <w:tblGrid>
        <w:gridCol w:w="636"/>
        <w:gridCol w:w="846"/>
        <w:gridCol w:w="2229"/>
        <w:gridCol w:w="742"/>
        <w:gridCol w:w="742"/>
        <w:gridCol w:w="742"/>
        <w:gridCol w:w="742"/>
        <w:gridCol w:w="742"/>
        <w:gridCol w:w="745"/>
        <w:gridCol w:w="905"/>
      </w:tblGrid>
      <w:tr>
        <w:tblPrEx>
          <w:tblCellMar>
            <w:top w:w="0" w:type="dxa"/>
            <w:left w:w="0" w:type="dxa"/>
            <w:bottom w:w="0" w:type="dxa"/>
            <w:right w:w="0" w:type="dxa"/>
          </w:tblCellMar>
        </w:tblPrEx>
        <w:trPr>
          <w:jc w:val="center"/>
        </w:trPr>
        <w:tc>
          <w:tcPr>
            <w:tcW w:w="3711"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楷体" w:hAnsi="楷体" w:eastAsia="楷体" w:cs="楷体"/>
                <w:kern w:val="0"/>
                <w:szCs w:val="21"/>
                <w:lang w:bidi="ar"/>
              </w:rPr>
              <w:t>（本列数据的勾稽关系为：第一项加第二项之和，等于第三项加第四项之和）</w:t>
            </w:r>
          </w:p>
        </w:tc>
        <w:tc>
          <w:tcPr>
            <w:tcW w:w="5360"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申请人情况</w:t>
            </w:r>
          </w:p>
        </w:tc>
      </w:tr>
      <w:tr>
        <w:tblPrEx>
          <w:tblCellMar>
            <w:top w:w="0" w:type="dxa"/>
            <w:left w:w="0" w:type="dxa"/>
            <w:bottom w:w="0" w:type="dxa"/>
            <w:right w:w="0" w:type="dxa"/>
          </w:tblCellMar>
        </w:tblPrEx>
        <w:trPr>
          <w:jc w:val="center"/>
        </w:trPr>
        <w:tc>
          <w:tcPr>
            <w:tcW w:w="3711" w:type="dxa"/>
            <w:gridSpan w:val="3"/>
            <w:vMerge w:val="continue"/>
            <w:tcBorders>
              <w:top w:val="single" w:color="auto" w:sz="8" w:space="0"/>
              <w:left w:val="single" w:color="auto" w:sz="8" w:space="0"/>
              <w:bottom w:val="single" w:color="auto" w:sz="8" w:space="0"/>
              <w:right w:val="single" w:color="auto" w:sz="8" w:space="0"/>
            </w:tcBorders>
            <w:vAlign w:val="center"/>
          </w:tcPr>
          <w:p>
            <w:pPr>
              <w:rPr>
                <w:sz w:val="24"/>
                <w:szCs w:val="24"/>
              </w:rPr>
            </w:pPr>
          </w:p>
        </w:tc>
        <w:tc>
          <w:tcPr>
            <w:tcW w:w="742" w:type="dxa"/>
            <w:vMerge w:val="restart"/>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自然人</w:t>
            </w:r>
          </w:p>
        </w:tc>
        <w:tc>
          <w:tcPr>
            <w:tcW w:w="3713"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法人或其他组织</w:t>
            </w:r>
          </w:p>
        </w:tc>
        <w:tc>
          <w:tcPr>
            <w:tcW w:w="90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总计</w:t>
            </w:r>
          </w:p>
        </w:tc>
      </w:tr>
      <w:tr>
        <w:tblPrEx>
          <w:tblCellMar>
            <w:top w:w="0" w:type="dxa"/>
            <w:left w:w="0" w:type="dxa"/>
            <w:bottom w:w="0" w:type="dxa"/>
            <w:right w:w="0" w:type="dxa"/>
          </w:tblCellMar>
        </w:tblPrEx>
        <w:trPr>
          <w:jc w:val="center"/>
        </w:trPr>
        <w:tc>
          <w:tcPr>
            <w:tcW w:w="3711" w:type="dxa"/>
            <w:gridSpan w:val="3"/>
            <w:vMerge w:val="continue"/>
            <w:tcBorders>
              <w:top w:val="single" w:color="auto" w:sz="8" w:space="0"/>
              <w:left w:val="single" w:color="auto" w:sz="8" w:space="0"/>
              <w:bottom w:val="single" w:color="auto" w:sz="8" w:space="0"/>
              <w:right w:val="single" w:color="auto" w:sz="8" w:space="0"/>
            </w:tcBorders>
            <w:vAlign w:val="center"/>
          </w:tcPr>
          <w:p>
            <w:pPr>
              <w:rPr>
                <w:sz w:val="24"/>
                <w:szCs w:val="24"/>
              </w:rPr>
            </w:pPr>
          </w:p>
        </w:tc>
        <w:tc>
          <w:tcPr>
            <w:tcW w:w="742" w:type="dxa"/>
            <w:vMerge w:val="continue"/>
            <w:tcBorders>
              <w:top w:val="nil"/>
              <w:left w:val="nil"/>
              <w:bottom w:val="single" w:color="auto" w:sz="8" w:space="0"/>
              <w:right w:val="single" w:color="auto" w:sz="8" w:space="0"/>
            </w:tcBorders>
            <w:vAlign w:val="center"/>
          </w:tcPr>
          <w:p>
            <w:pPr>
              <w:rPr>
                <w:sz w:val="24"/>
                <w:szCs w:val="24"/>
              </w:rPr>
            </w:pP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sz w:val="22"/>
                <w:szCs w:val="28"/>
              </w:rPr>
            </w:pPr>
            <w:r>
              <w:rPr>
                <w:rFonts w:hint="eastAsia" w:ascii="宋体" w:hAnsi="宋体" w:cs="宋体"/>
                <w:kern w:val="0"/>
                <w:szCs w:val="21"/>
                <w:lang w:bidi="ar"/>
              </w:rPr>
              <w:t>商业</w:t>
            </w:r>
          </w:p>
          <w:p>
            <w:pPr>
              <w:widowControl/>
              <w:jc w:val="center"/>
              <w:rPr>
                <w:rFonts w:ascii="仿宋_GB2312" w:eastAsia="仿宋_GB2312" w:cs="宋体"/>
                <w:kern w:val="0"/>
                <w:sz w:val="24"/>
                <w:szCs w:val="24"/>
              </w:rPr>
            </w:pPr>
            <w:r>
              <w:rPr>
                <w:rFonts w:hint="eastAsia" w:ascii="宋体" w:hAnsi="宋体" w:cs="宋体"/>
                <w:kern w:val="0"/>
                <w:szCs w:val="21"/>
                <w:lang w:bidi="ar"/>
              </w:rPr>
              <w:t>企业</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sz w:val="22"/>
                <w:szCs w:val="28"/>
              </w:rPr>
            </w:pPr>
            <w:r>
              <w:rPr>
                <w:rFonts w:hint="eastAsia" w:ascii="宋体" w:hAnsi="宋体" w:cs="宋体"/>
                <w:kern w:val="0"/>
                <w:szCs w:val="21"/>
                <w:lang w:bidi="ar"/>
              </w:rPr>
              <w:t>科研</w:t>
            </w:r>
          </w:p>
          <w:p>
            <w:pPr>
              <w:widowControl/>
              <w:jc w:val="center"/>
              <w:rPr>
                <w:rFonts w:ascii="仿宋_GB2312" w:eastAsia="仿宋_GB2312" w:cs="宋体"/>
                <w:kern w:val="0"/>
                <w:sz w:val="24"/>
                <w:szCs w:val="24"/>
              </w:rPr>
            </w:pPr>
            <w:r>
              <w:rPr>
                <w:rFonts w:hint="eastAsia" w:ascii="宋体" w:hAnsi="宋体" w:cs="宋体"/>
                <w:kern w:val="0"/>
                <w:szCs w:val="21"/>
                <w:lang w:bidi="ar"/>
              </w:rPr>
              <w:t>机构</w:t>
            </w:r>
          </w:p>
        </w:tc>
        <w:tc>
          <w:tcPr>
            <w:tcW w:w="742"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社会公益组织</w:t>
            </w:r>
          </w:p>
        </w:tc>
        <w:tc>
          <w:tcPr>
            <w:tcW w:w="742"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法律服务机构</w:t>
            </w:r>
          </w:p>
        </w:tc>
        <w:tc>
          <w:tcPr>
            <w:tcW w:w="74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宋体" w:hAnsi="宋体" w:cs="宋体"/>
                <w:kern w:val="0"/>
                <w:szCs w:val="21"/>
                <w:lang w:bidi="ar"/>
              </w:rPr>
              <w:t>其他</w:t>
            </w:r>
          </w:p>
        </w:tc>
        <w:tc>
          <w:tcPr>
            <w:tcW w:w="905" w:type="dxa"/>
            <w:vMerge w:val="continue"/>
            <w:tcBorders>
              <w:top w:val="single" w:color="auto" w:sz="8" w:space="0"/>
              <w:left w:val="nil"/>
              <w:bottom w:val="single" w:color="auto" w:sz="8" w:space="0"/>
              <w:right w:val="single" w:color="auto" w:sz="8" w:space="0"/>
            </w:tcBorders>
            <w:vAlign w:val="center"/>
          </w:tcPr>
          <w:p>
            <w:pPr>
              <w:rPr>
                <w:sz w:val="24"/>
                <w:szCs w:val="24"/>
              </w:rPr>
            </w:pPr>
          </w:p>
        </w:tc>
      </w:tr>
      <w:tr>
        <w:tblPrEx>
          <w:tblCellMar>
            <w:top w:w="0" w:type="dxa"/>
            <w:left w:w="0" w:type="dxa"/>
            <w:bottom w:w="0" w:type="dxa"/>
            <w:right w:w="0" w:type="dxa"/>
          </w:tblCellMar>
        </w:tblPrEx>
        <w:trPr>
          <w:jc w:val="center"/>
        </w:trPr>
        <w:tc>
          <w:tcPr>
            <w:tcW w:w="3711"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一、本年新收政府信息公开申请数量</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nil"/>
              <w:left w:val="nil"/>
              <w:bottom w:val="single" w:color="auto" w:sz="8"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3711"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二、上年结转政府信息公开申请数量</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nil"/>
              <w:left w:val="nil"/>
              <w:bottom w:val="single" w:color="auto" w:sz="8"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restart"/>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三、本年度办理结果</w:t>
            </w:r>
          </w:p>
        </w:tc>
        <w:tc>
          <w:tcPr>
            <w:tcW w:w="3075" w:type="dxa"/>
            <w:gridSpan w:val="2"/>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（一）予以公开</w:t>
            </w:r>
          </w:p>
        </w:tc>
        <w:tc>
          <w:tcPr>
            <w:tcW w:w="742"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8"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307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（二）部分公开</w:t>
            </w:r>
            <w:r>
              <w:rPr>
                <w:rFonts w:hint="eastAsia" w:ascii="楷体" w:hAnsi="楷体" w:eastAsia="楷体" w:cs="楷体"/>
                <w:kern w:val="0"/>
                <w:szCs w:val="21"/>
                <w:lang w:bidi="ar"/>
              </w:rPr>
              <w:t>（区分处理的，只计这一情形，不计其他情形）</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（三）不予公开</w:t>
            </w: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1.属于国家秘密</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2.其他法律行政法规禁止公开</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3.危及“三安全一稳定”</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4.保护第三方合法权益</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5.属于三类内部事务信息</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6.属于四类过程性信息</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7.属于行政执法案卷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8.属于行政查询事项</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（四）无法提供</w:t>
            </w: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1.本机关不掌握相关政府信息</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2.没有现成信息需要另行制作</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690"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3.补正后申请内容仍不明确</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745"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（五）不予处理</w:t>
            </w: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1.信访举报投诉类申请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422"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2.重复申请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767"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3.要求提供公开出版物</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638"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left"/>
              <w:rPr>
                <w:rFonts w:ascii="仿宋_GB2312" w:eastAsia="仿宋_GB2312" w:cs="宋体"/>
                <w:kern w:val="0"/>
                <w:sz w:val="24"/>
                <w:szCs w:val="24"/>
              </w:rPr>
            </w:pPr>
            <w:r>
              <w:rPr>
                <w:rFonts w:hint="eastAsia" w:ascii="宋体" w:hAnsi="宋体" w:cs="宋体"/>
                <w:kern w:val="0"/>
                <w:szCs w:val="21"/>
                <w:lang w:bidi="ar"/>
              </w:rPr>
              <w:t>4.无正当理由大量反复申请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1091"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rPr>
                <w:rFonts w:ascii="仿宋_GB2312" w:eastAsia="仿宋_GB2312" w:cs="宋体"/>
                <w:kern w:val="0"/>
                <w:sz w:val="24"/>
                <w:szCs w:val="24"/>
              </w:rPr>
            </w:pPr>
            <w:r>
              <w:rPr>
                <w:rFonts w:hint="eastAsia" w:ascii="宋体" w:hAnsi="宋体" w:cs="宋体"/>
                <w:kern w:val="0"/>
                <w:szCs w:val="21"/>
                <w:lang w:bidi="ar"/>
              </w:rPr>
              <w:t>5.要求行政机关确认或重新出具已获取信息</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1336"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宋体" w:hAnsi="宋体" w:cs="宋体"/>
                <w:kern w:val="0"/>
                <w:szCs w:val="21"/>
                <w:lang w:bidi="ar"/>
              </w:rPr>
              <w:t>（六）其他处理</w:t>
            </w: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Pr>
            <w:r>
              <w:rPr>
                <w:rFonts w:hint="eastAsia" w:ascii="宋体" w:hAnsi="宋体" w:cs="宋体"/>
                <w:kern w:val="0"/>
                <w:szCs w:val="21"/>
                <w:lang w:bidi="ar"/>
              </w:rPr>
              <w:t>1.申请人无正当理由逾期不补正、行政机关不再处理其政府信息公开申请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1358" w:hRule="atLeast"/>
          <w:jc w:val="center"/>
        </w:trPr>
        <w:tc>
          <w:tcPr>
            <w:tcW w:w="636" w:type="dxa"/>
            <w:vMerge w:val="continue"/>
            <w:tcBorders>
              <w:top w:val="single" w:color="auto" w:sz="4" w:space="0"/>
              <w:left w:val="single" w:color="auto" w:sz="8" w:space="0"/>
              <w:bottom w:val="single" w:color="auto" w:sz="4" w:space="0"/>
              <w:right w:val="single" w:color="auto" w:sz="4" w:space="0"/>
            </w:tcBorders>
            <w:vAlign w:val="center"/>
          </w:tcPr>
          <w:p>
            <w:pPr>
              <w:rPr>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仿宋_GB2312" w:eastAsia="仿宋_GB2312" w:cs="宋体"/>
                <w:kern w:val="0"/>
                <w:sz w:val="24"/>
                <w:szCs w:val="24"/>
              </w:rPr>
            </w:p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Pr>
            <w:r>
              <w:rPr>
                <w:rFonts w:hint="eastAsia" w:ascii="宋体" w:hAnsi="宋体" w:cs="宋体"/>
                <w:kern w:val="0"/>
                <w:szCs w:val="21"/>
                <w:lang w:bidi="ar"/>
              </w:rPr>
              <w:t>2.申请人逾期未按收费通知要求缴纳费用、行政机关不再处理其政府信息公开申请</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465" w:hRule="atLeast"/>
          <w:jc w:val="center"/>
        </w:trPr>
        <w:tc>
          <w:tcPr>
            <w:tcW w:w="636"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rPr>
                <w:rFonts w:ascii="仿宋_GB2312" w:eastAsia="仿宋_GB2312" w:cs="宋体"/>
                <w:kern w:val="0"/>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tc>
        <w:tc>
          <w:tcPr>
            <w:tcW w:w="22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pPr>
            <w:r>
              <w:rPr>
                <w:rFonts w:hint="eastAsia" w:ascii="宋体" w:hAnsi="宋体" w:cs="宋体"/>
                <w:kern w:val="0"/>
                <w:szCs w:val="21"/>
                <w:lang w:bidi="ar"/>
              </w:rPr>
              <w:t>3.其他</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cs="Calibri"/>
                <w:kern w:val="0"/>
                <w:szCs w:val="21"/>
                <w:lang w:bidi="ar"/>
              </w:rPr>
              <w:t> </w:t>
            </w: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ascii="仿宋_GB2312" w:eastAsia="仿宋_GB2312" w:cs="宋体"/>
                <w:kern w:val="0"/>
                <w:sz w:val="24"/>
                <w:szCs w:val="24"/>
              </w:rPr>
            </w:pPr>
            <w:r>
              <w:rPr>
                <w:rFonts w:hint="eastAsia" w:cs="Calibri"/>
                <w:kern w:val="0"/>
                <w:szCs w:val="21"/>
                <w:lang w:bidi="ar"/>
              </w:rPr>
              <w:t>0</w:t>
            </w:r>
            <w:r>
              <w:rPr>
                <w:rFonts w:cs="Calibri"/>
                <w:kern w:val="0"/>
                <w:szCs w:val="21"/>
                <w:lang w:bidi="ar"/>
              </w:rPr>
              <w:t> </w:t>
            </w:r>
          </w:p>
        </w:tc>
      </w:tr>
      <w:tr>
        <w:tblPrEx>
          <w:tblCellMar>
            <w:top w:w="0" w:type="dxa"/>
            <w:left w:w="0" w:type="dxa"/>
            <w:bottom w:w="0" w:type="dxa"/>
            <w:right w:w="0" w:type="dxa"/>
          </w:tblCellMar>
        </w:tblPrEx>
        <w:trPr>
          <w:trHeight w:val="411" w:hRule="atLeast"/>
          <w:jc w:val="center"/>
        </w:trPr>
        <w:tc>
          <w:tcPr>
            <w:tcW w:w="636"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rPr>
                <w:rFonts w:ascii="仿宋_GB2312" w:eastAsia="仿宋_GB2312" w:cs="宋体"/>
                <w:kern w:val="0"/>
                <w:sz w:val="24"/>
                <w:szCs w:val="24"/>
              </w:rPr>
            </w:pPr>
          </w:p>
        </w:tc>
        <w:tc>
          <w:tcPr>
            <w:tcW w:w="307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（七）总计</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905" w:type="dxa"/>
            <w:tcBorders>
              <w:top w:val="single" w:color="auto" w:sz="4" w:space="0"/>
              <w:left w:val="single" w:color="auto" w:sz="4" w:space="0"/>
              <w:bottom w:val="single" w:color="auto" w:sz="4" w:space="0"/>
              <w:right w:val="single" w:color="auto" w:sz="8" w:space="0"/>
            </w:tcBorders>
            <w:tcMar>
              <w:left w:w="108" w:type="dxa"/>
              <w:right w:w="108" w:type="dxa"/>
            </w:tcMar>
          </w:tcPr>
          <w:p>
            <w:pPr>
              <w:widowControl/>
              <w:jc w:val="center"/>
              <w:rPr>
                <w:rFonts w:cs="Calibri"/>
                <w:kern w:val="0"/>
                <w:szCs w:val="21"/>
                <w:lang w:bidi="ar"/>
              </w:rPr>
            </w:pPr>
            <w:r>
              <w:rPr>
                <w:rFonts w:hint="eastAsia" w:cs="Calibri"/>
                <w:kern w:val="0"/>
                <w:szCs w:val="21"/>
                <w:lang w:bidi="ar"/>
              </w:rPr>
              <w:t>0</w:t>
            </w:r>
          </w:p>
        </w:tc>
      </w:tr>
      <w:tr>
        <w:tblPrEx>
          <w:tblCellMar>
            <w:top w:w="0" w:type="dxa"/>
            <w:left w:w="0" w:type="dxa"/>
            <w:bottom w:w="0" w:type="dxa"/>
            <w:right w:w="0" w:type="dxa"/>
          </w:tblCellMar>
        </w:tblPrEx>
        <w:trPr>
          <w:trHeight w:val="476" w:hRule="atLeast"/>
          <w:jc w:val="center"/>
        </w:trPr>
        <w:tc>
          <w:tcPr>
            <w:tcW w:w="3711" w:type="dxa"/>
            <w:gridSpan w:val="3"/>
            <w:tcBorders>
              <w:top w:val="single" w:color="auto" w:sz="4" w:space="0"/>
              <w:left w:val="single" w:color="auto" w:sz="8" w:space="0"/>
              <w:bottom w:val="single" w:color="auto" w:sz="8" w:space="0"/>
              <w:right w:val="single" w:color="auto" w:sz="4" w:space="0"/>
            </w:tcBorders>
            <w:tcMar>
              <w:left w:w="108" w:type="dxa"/>
              <w:right w:w="10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四、结转下年继续办理</w:t>
            </w:r>
          </w:p>
        </w:tc>
        <w:tc>
          <w:tcPr>
            <w:tcW w:w="742"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2"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745" w:type="dxa"/>
            <w:tcBorders>
              <w:top w:val="single" w:color="auto" w:sz="4" w:space="0"/>
              <w:left w:val="single" w:color="auto" w:sz="4" w:space="0"/>
              <w:bottom w:val="single" w:color="auto" w:sz="8" w:space="0"/>
              <w:right w:val="single" w:color="auto" w:sz="4" w:space="0"/>
            </w:tcBorders>
            <w:tcMar>
              <w:left w:w="108" w:type="dxa"/>
              <w:right w:w="108" w:type="dxa"/>
            </w:tcMar>
            <w:vAlign w:val="center"/>
          </w:tcPr>
          <w:p>
            <w:pPr>
              <w:widowControl/>
              <w:jc w:val="center"/>
              <w:rPr>
                <w:rFonts w:cs="Calibri"/>
                <w:kern w:val="0"/>
                <w:szCs w:val="21"/>
                <w:lang w:bidi="ar"/>
              </w:rPr>
            </w:pPr>
            <w:r>
              <w:rPr>
                <w:rFonts w:hint="eastAsia" w:cs="Calibri"/>
                <w:kern w:val="0"/>
                <w:szCs w:val="21"/>
                <w:lang w:bidi="ar"/>
              </w:rPr>
              <w:t>0</w:t>
            </w:r>
          </w:p>
        </w:tc>
        <w:tc>
          <w:tcPr>
            <w:tcW w:w="905" w:type="dxa"/>
            <w:tcBorders>
              <w:top w:val="single" w:color="auto" w:sz="4" w:space="0"/>
              <w:left w:val="single" w:color="auto" w:sz="4" w:space="0"/>
              <w:bottom w:val="single" w:color="auto" w:sz="8" w:space="0"/>
              <w:right w:val="single" w:color="auto" w:sz="8" w:space="0"/>
            </w:tcBorders>
            <w:tcMar>
              <w:left w:w="108" w:type="dxa"/>
              <w:right w:w="108" w:type="dxa"/>
            </w:tcMar>
          </w:tcPr>
          <w:p>
            <w:pPr>
              <w:widowControl/>
              <w:jc w:val="center"/>
              <w:rPr>
                <w:rFonts w:cs="Calibri"/>
                <w:kern w:val="0"/>
                <w:szCs w:val="21"/>
                <w:lang w:bidi="ar"/>
              </w:rPr>
            </w:pPr>
            <w:r>
              <w:rPr>
                <w:rFonts w:hint="eastAsia" w:cs="Calibri"/>
                <w:kern w:val="0"/>
                <w:szCs w:val="21"/>
                <w:lang w:bidi="ar"/>
              </w:rPr>
              <w:t>0</w:t>
            </w:r>
          </w:p>
        </w:tc>
      </w:tr>
    </w:tbl>
    <w:p>
      <w:pPr>
        <w:widowControl/>
        <w:shd w:val="clear" w:color="auto" w:fill="FFFFFF"/>
        <w:ind w:firstLine="480"/>
        <w:rPr>
          <w:rFonts w:ascii="黑体" w:eastAsia="黑体" w:cs="宋体"/>
          <w:bCs/>
          <w:kern w:val="0"/>
          <w:sz w:val="32"/>
          <w:szCs w:val="32"/>
        </w:rPr>
      </w:pPr>
    </w:p>
    <w:p>
      <w:pPr>
        <w:widowControl/>
        <w:shd w:val="clear" w:color="auto" w:fill="FFFFFF"/>
        <w:ind w:firstLine="480"/>
        <w:rPr>
          <w:rFonts w:ascii="黑体" w:eastAsia="黑体" w:cs="宋体"/>
          <w:bCs/>
          <w:kern w:val="0"/>
          <w:sz w:val="32"/>
          <w:szCs w:val="32"/>
        </w:rPr>
      </w:pPr>
      <w:r>
        <w:rPr>
          <w:rFonts w:hint="eastAsia" w:ascii="黑体" w:eastAsia="黑体" w:cs="宋体"/>
          <w:bCs/>
          <w:kern w:val="0"/>
          <w:sz w:val="32"/>
          <w:szCs w:val="32"/>
        </w:rPr>
        <w:t>四、政府信息公开行政复议、行政诉讼情况</w:t>
      </w:r>
    </w:p>
    <w:tbl>
      <w:tblPr>
        <w:tblStyle w:val="8"/>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rPr>
                <w:sz w:val="24"/>
                <w:szCs w:val="24"/>
              </w:rPr>
            </w:pPr>
          </w:p>
        </w:tc>
        <w:tc>
          <w:tcPr>
            <w:tcW w:w="0" w:type="auto"/>
            <w:vMerge w:val="continue"/>
            <w:tcBorders>
              <w:top w:val="nil"/>
              <w:left w:val="nil"/>
              <w:bottom w:val="single" w:color="auto" w:sz="8" w:space="0"/>
              <w:right w:val="single" w:color="auto" w:sz="8" w:space="0"/>
            </w:tcBorders>
            <w:vAlign w:val="center"/>
          </w:tcPr>
          <w:p>
            <w:pPr>
              <w:rPr>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rPr>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rPr>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rPr>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Calibri"/>
                <w:kern w:val="0"/>
                <w:sz w:val="24"/>
                <w:szCs w:val="24"/>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Calibri"/>
                <w:kern w:val="0"/>
                <w:sz w:val="24"/>
                <w:szCs w:val="24"/>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Calibri"/>
                <w:kern w:val="0"/>
                <w:sz w:val="24"/>
                <w:szCs w:val="24"/>
              </w:rPr>
              <w:t> 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Calibri"/>
                <w:kern w:val="0"/>
                <w:sz w:val="24"/>
                <w:szCs w:val="24"/>
              </w:rPr>
              <w:t> 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Calibri"/>
                <w:kern w:val="0"/>
                <w:sz w:val="24"/>
                <w:szCs w:val="24"/>
              </w:rPr>
              <w:t> 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eastAsia="仿宋_GB2312" w:cs="宋体"/>
                <w:kern w:val="0"/>
                <w:sz w:val="24"/>
                <w:szCs w:val="24"/>
              </w:rPr>
            </w:pPr>
            <w:r>
              <w:rPr>
                <w:rFonts w:hint="eastAsia" w:ascii="仿宋_GB2312" w:eastAsia="仿宋_GB2312" w:cs="宋体"/>
                <w:kern w:val="0"/>
                <w:sz w:val="24"/>
                <w:szCs w:val="24"/>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仿宋_GB2312" w:eastAsia="仿宋_GB2312" w:cs="宋体"/>
                <w:kern w:val="0"/>
                <w:sz w:val="24"/>
                <w:szCs w:val="24"/>
              </w:rPr>
            </w:pPr>
            <w:r>
              <w:rPr>
                <w:rFonts w:hint="eastAsia" w:ascii="仿宋_GB2312" w:eastAsia="仿宋_GB2312" w:cs="宋体"/>
                <w:kern w:val="0"/>
                <w:sz w:val="24"/>
                <w:szCs w:val="24"/>
              </w:rPr>
              <w:t>0</w:t>
            </w:r>
          </w:p>
        </w:tc>
      </w:tr>
    </w:tbl>
    <w:p>
      <w:pPr>
        <w:widowControl/>
        <w:shd w:val="clear" w:color="auto" w:fill="FFFFFF"/>
        <w:spacing w:line="560" w:lineRule="exact"/>
        <w:jc w:val="center"/>
        <w:rPr>
          <w:rFonts w:ascii="仿宋_GB2312" w:eastAsia="仿宋_GB2312" w:cs="宋体"/>
          <w:kern w:val="0"/>
          <w:sz w:val="32"/>
          <w:szCs w:val="32"/>
        </w:rPr>
      </w:pPr>
    </w:p>
    <w:p>
      <w:pPr>
        <w:widowControl/>
        <w:shd w:val="clear" w:color="auto" w:fill="FFFFFF"/>
        <w:spacing w:line="560" w:lineRule="exact"/>
        <w:ind w:firstLine="480"/>
        <w:rPr>
          <w:rFonts w:ascii="黑体" w:eastAsia="黑体" w:cs="宋体"/>
          <w:bCs/>
          <w:kern w:val="0"/>
          <w:sz w:val="32"/>
          <w:szCs w:val="32"/>
        </w:rPr>
      </w:pPr>
      <w:r>
        <w:rPr>
          <w:rFonts w:hint="eastAsia" w:ascii="黑体" w:eastAsia="黑体" w:cs="宋体"/>
          <w:bCs/>
          <w:kern w:val="0"/>
          <w:sz w:val="32"/>
          <w:szCs w:val="32"/>
        </w:rPr>
        <w:t>五、存在的主要问题及改进情况</w:t>
      </w:r>
    </w:p>
    <w:p>
      <w:pPr>
        <w:widowControl/>
        <w:shd w:val="clear" w:color="auto" w:fill="FFFFFF"/>
        <w:spacing w:line="560" w:lineRule="exact"/>
        <w:ind w:firstLine="480"/>
        <w:rPr>
          <w:rFonts w:hint="eastAsia" w:ascii="仿宋_GB2312" w:eastAsia="仿宋_GB2312" w:cs="Arial"/>
          <w:kern w:val="2"/>
          <w:sz w:val="32"/>
          <w:szCs w:val="32"/>
          <w:shd w:val="clear" w:color="auto" w:fill="FFFFFF"/>
        </w:rPr>
      </w:pPr>
      <w:r>
        <w:rPr>
          <w:rFonts w:hint="eastAsia" w:ascii="仿宋_GB2312" w:eastAsia="仿宋_GB2312" w:cs="Arial"/>
          <w:kern w:val="2"/>
          <w:sz w:val="32"/>
          <w:szCs w:val="32"/>
          <w:shd w:val="clear" w:color="auto" w:fill="FFFFFF"/>
        </w:rPr>
        <w:t>2022年，我局政务信息公开工作严格按照县委、县政府和县政务公开办的相关要求认真开展，取得了一定成效，但也存在一些不足，一是部分股室对政府信息公开工作的重视程度还不够，认识还不够深。二是宣传力度有待加强。群众对于政府信息公开工作知晓度、参与度不够。下一步工作措施：一是要加强工作人员理论学习，强化实际操作能力。二是我局将进一步加强政府信息服务宣传工作，提高群众知晓度、参与度。</w:t>
      </w:r>
    </w:p>
    <w:p>
      <w:pPr>
        <w:widowControl/>
        <w:shd w:val="clear" w:color="auto" w:fill="FFFFFF"/>
        <w:spacing w:line="560" w:lineRule="exact"/>
        <w:ind w:firstLine="480"/>
        <w:rPr>
          <w:rFonts w:ascii="黑体" w:eastAsia="黑体" w:cs="宋体"/>
          <w:bCs/>
          <w:kern w:val="0"/>
          <w:sz w:val="32"/>
          <w:szCs w:val="32"/>
        </w:rPr>
      </w:pPr>
      <w:bookmarkStart w:id="0" w:name="_GoBack"/>
      <w:bookmarkEnd w:id="0"/>
      <w:r>
        <w:rPr>
          <w:rFonts w:hint="eastAsia" w:ascii="黑体" w:eastAsia="黑体" w:cs="宋体"/>
          <w:bCs/>
          <w:kern w:val="0"/>
          <w:sz w:val="32"/>
          <w:szCs w:val="32"/>
        </w:rPr>
        <w:t>六、其他需要报告的事项</w:t>
      </w:r>
    </w:p>
    <w:p>
      <w:pPr>
        <w:widowControl/>
        <w:shd w:val="clear" w:color="auto" w:fill="FFFFFF"/>
        <w:spacing w:line="560" w:lineRule="exact"/>
        <w:ind w:firstLine="48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（一）收取信息处理费的情况</w:t>
      </w:r>
    </w:p>
    <w:p>
      <w:pPr>
        <w:widowControl/>
        <w:shd w:val="clear" w:color="auto" w:fill="FFFFFF"/>
        <w:spacing w:line="560" w:lineRule="exact"/>
        <w:ind w:firstLine="48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按照《国务院办公厅关于印发〈政府信息公开信息处理费管理办法〉的通知》（国办函〔2020〕109号）规定的按件、按量收费标准，本年度没有产生信息公开处理费。</w:t>
      </w:r>
    </w:p>
    <w:p>
      <w:pPr>
        <w:widowControl/>
        <w:shd w:val="clear" w:color="auto" w:fill="FFFFFF"/>
        <w:spacing w:line="560" w:lineRule="exact"/>
        <w:ind w:firstLine="48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（二）2022年政务公开重点工作落实情况</w:t>
      </w:r>
    </w:p>
    <w:p>
      <w:pPr>
        <w:widowControl/>
        <w:shd w:val="clear" w:color="auto" w:fill="FFFFFF"/>
        <w:spacing w:line="560" w:lineRule="exact"/>
        <w:ind w:firstLine="48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根据《安徽省人民政府办公厅关于印发安徽省2022年政务公开重点工作任务分工的通知》要求，本单位严格遵循文件规定，有序开展政务信息公开工作。</w:t>
      </w:r>
    </w:p>
    <w:p>
      <w:pPr>
        <w:widowControl/>
        <w:shd w:val="clear" w:color="auto" w:fill="FFFFFF"/>
        <w:spacing w:line="560" w:lineRule="exact"/>
        <w:ind w:firstLine="480"/>
        <w:rPr>
          <w:rFonts w:hint="eastAsia" w:ascii="仿宋_GB2312" w:eastAsia="仿宋_GB2312"/>
          <w:sz w:val="32"/>
          <w:szCs w:val="32"/>
          <w:shd w:val="clear" w:color="auto" w:fill="FFFFFF"/>
        </w:rPr>
      </w:pPr>
    </w:p>
    <w:p>
      <w:pPr>
        <w:widowControl/>
        <w:shd w:val="clear" w:color="auto" w:fill="FFFFFF"/>
        <w:spacing w:line="560" w:lineRule="exact"/>
        <w:ind w:firstLine="480"/>
        <w:rPr>
          <w:rFonts w:hint="eastAsia" w:ascii="仿宋_GB2312" w:eastAsia="仿宋_GB2312"/>
          <w:sz w:val="32"/>
          <w:szCs w:val="32"/>
          <w:shd w:val="clear" w:color="auto" w:fill="FFFFFF"/>
        </w:rPr>
      </w:pPr>
    </w:p>
    <w:sectPr>
      <w:footerReference r:id="rId3" w:type="default"/>
      <w:pgSz w:w="11906" w:h="16838"/>
      <w:pgMar w:top="209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50"/>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5"/>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- 2 -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2PAcLRAAAAAwEAAA8AAAAAAAAAAQAgAAAAIgAAAGRycy9kb3ducmV2LnhtbFBLAQIUABQAAAAI&#10;AIdO4kD710W09AEAAPUDAAAOAAAAAAAAAAEAIAAAACABAABkcnMvZTJvRG9jLnhtbFBLBQYAAAAA&#10;BgAGAFkBAACGBQAAAAA=&#10;">
              <v:fill on="f" focussize="0,0"/>
              <v:stroke on="f" joinstyle="miter"/>
              <v:imagedata o:title=""/>
              <o:lock v:ext="edit" aspectratio="f"/>
              <v:textbox inset="0mm,0mm,0mm,0mm" style="mso-fit-shape-to-text:t;">
                <w:txbxContent>
                  <w:p>
                    <w:pPr>
                      <w:pStyle w:val="5"/>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- 2 -</w:t>
                    </w:r>
                    <w:r>
                      <w:rPr>
                        <w:rFonts w:hint="eastAsia" w:asci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TNmY2Y3M2JiNDBmNDVmODY4NmZhZDAyMDhmNjUifQ=="/>
  </w:docVars>
  <w:rsids>
    <w:rsidRoot w:val="00403D00"/>
    <w:rsid w:val="00191725"/>
    <w:rsid w:val="001A72A5"/>
    <w:rsid w:val="0035160D"/>
    <w:rsid w:val="003F3905"/>
    <w:rsid w:val="00403D00"/>
    <w:rsid w:val="00432A19"/>
    <w:rsid w:val="004B47DE"/>
    <w:rsid w:val="004D44DC"/>
    <w:rsid w:val="00542E2A"/>
    <w:rsid w:val="005B2791"/>
    <w:rsid w:val="00720CAD"/>
    <w:rsid w:val="008E4A58"/>
    <w:rsid w:val="00904B77"/>
    <w:rsid w:val="0093584A"/>
    <w:rsid w:val="009531A3"/>
    <w:rsid w:val="00A962D1"/>
    <w:rsid w:val="00AF6F38"/>
    <w:rsid w:val="00B11A44"/>
    <w:rsid w:val="00C12EAE"/>
    <w:rsid w:val="00C24762"/>
    <w:rsid w:val="00CA19C9"/>
    <w:rsid w:val="00CE1446"/>
    <w:rsid w:val="00D230FA"/>
    <w:rsid w:val="00EC691E"/>
    <w:rsid w:val="00EE1BBF"/>
    <w:rsid w:val="00F86DC7"/>
    <w:rsid w:val="0576113F"/>
    <w:rsid w:val="08133812"/>
    <w:rsid w:val="0E2E2770"/>
    <w:rsid w:val="103E2DC4"/>
    <w:rsid w:val="24F2250E"/>
    <w:rsid w:val="268B1A29"/>
    <w:rsid w:val="27480737"/>
    <w:rsid w:val="2E13617D"/>
    <w:rsid w:val="2E5E7AFA"/>
    <w:rsid w:val="34335593"/>
    <w:rsid w:val="3BD232B5"/>
    <w:rsid w:val="3F393FC5"/>
    <w:rsid w:val="40B3522F"/>
    <w:rsid w:val="416B13A6"/>
    <w:rsid w:val="51F74F82"/>
    <w:rsid w:val="57155D48"/>
    <w:rsid w:val="5CCD6E51"/>
    <w:rsid w:val="66CB2FAF"/>
    <w:rsid w:val="79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cs="宋体"/>
      <w:kern w:val="0"/>
      <w:sz w:val="24"/>
      <w:szCs w:val="24"/>
    </w:rPr>
  </w:style>
  <w:style w:type="character" w:styleId="10">
    <w:name w:val="Strong"/>
    <w:basedOn w:val="9"/>
    <w:autoRedefine/>
    <w:qFormat/>
    <w:uiPriority w:val="0"/>
    <w:rPr>
      <w:b/>
      <w:bCs/>
    </w:rPr>
  </w:style>
  <w:style w:type="paragraph" w:styleId="11">
    <w:name w:val="List Paragraph"/>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2347</Words>
  <Characters>2437</Characters>
  <Lines>182</Lines>
  <Paragraphs>109</Paragraphs>
  <TotalTime>6</TotalTime>
  <ScaleCrop>false</ScaleCrop>
  <LinksUpToDate>false</LinksUpToDate>
  <CharactersWithSpaces>2603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2021-01-22T00:37:00Z</dcterms:created>
  <dc:creator>池鱼</dc:creator>
  <cp:lastModifiedBy>gyb1</cp:lastModifiedBy>
  <cp:lastPrinted>2023-01-18T00:50:00Z</cp:lastPrinted>
  <dcterms:modified xsi:type="dcterms:W3CDTF">2024-02-05T08:16:46Z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943855B067D14C4B9B4E8AAF26F3A481</vt:lpwstr>
  </property>
</Properties>
</file>