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  <w:highlight w:val="none"/>
          <w:lang w:eastAsia="zh-CN"/>
        </w:rPr>
      </w:pPr>
      <w:r>
        <w:rPr>
          <w:rFonts w:hint="eastAsia" w:ascii="TimesNewRoman" w:hAnsi="TimesNewRoman" w:eastAsia="华文中宋" w:cs="TimesNewRoman"/>
          <w:b/>
          <w:sz w:val="36"/>
          <w:szCs w:val="36"/>
          <w:highlight w:val="none"/>
          <w:lang w:eastAsia="zh-CN"/>
        </w:rPr>
        <w:t>怀远县人民代表大会常务委员会办公室</w:t>
      </w:r>
      <w:r>
        <w:rPr>
          <w:rFonts w:hint="default" w:ascii="TimesNewRoman" w:hAnsi="TimesNewRoman" w:eastAsia="华文中宋" w:cs="TimesNewRoman"/>
          <w:b/>
          <w:sz w:val="36"/>
          <w:szCs w:val="36"/>
          <w:highlight w:val="none"/>
          <w:lang w:val="en-US" w:eastAsia="zh-CN"/>
        </w:rPr>
        <w:t>2024年度</w:t>
      </w:r>
      <w:r>
        <w:rPr>
          <w:rFonts w:hint="default" w:ascii="TimesNewRoman" w:hAnsi="TimesNewRoman" w:eastAsia="华文中宋" w:cs="TimesNewRoman"/>
          <w:b/>
          <w:sz w:val="36"/>
          <w:szCs w:val="36"/>
          <w:highlight w:val="none"/>
        </w:rPr>
        <w:t>项目</w:t>
      </w:r>
      <w:r>
        <w:rPr>
          <w:rFonts w:hint="default" w:ascii="TimesNewRoman" w:hAnsi="TimesNewRoman" w:eastAsia="华文中宋" w:cs="TimesNewRoman"/>
          <w:b/>
          <w:sz w:val="36"/>
          <w:szCs w:val="36"/>
          <w:highlight w:val="none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会议费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人大事务经费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食堂经费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县人大代表履职补助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…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eastAsia="zh-CN"/>
        </w:rPr>
        <w:t>注：本部门</w:t>
      </w:r>
      <w:r>
        <w:rPr>
          <w:rFonts w:hint="eastAsia" w:ascii="Times New Roman" w:hAnsi="Times New Roman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个涉密项目除外。</w:t>
      </w: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sz w:val="36"/>
          <w:szCs w:val="36"/>
          <w:highlight w:val="none"/>
        </w:rPr>
        <w:br w:type="page"/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食堂经费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[001]怀远县人民代表大会常务委员会办公室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cs="TimesNewRoman"/>
                <w:highlight w:val="none"/>
              </w:rPr>
              <w:t>怀远县人民代表大会常务委员会办公室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本级申报项目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保障职工福利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指标1：单位在职职工人数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≥20人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指标1：餐食达标率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指标1：资金下达及发放时间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指标1：预算控制率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指标1：保障工作正常开展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持续提升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指标1：保障职工福利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指标1：职工满意度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eastAsia="zh-CN"/>
              </w:rPr>
              <w:t>人大事务</w:t>
            </w:r>
            <w:r>
              <w:rPr>
                <w:rFonts w:hint="default" w:ascii="TimesNewRoman" w:hAnsi="TimesNewRoman" w:cs="TimesNewRoman"/>
                <w:sz w:val="20"/>
                <w:highlight w:val="none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[001]怀远县人民代表大会常务委员会办公室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怀远县人民代表大会常务委员会办公室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本级申报项目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val="en-US" w:eastAsia="zh-CN"/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val="en-US" w:eastAsia="zh-CN"/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保障单位正常工作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指标1：单位体检次数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2：</w:t>
            </w:r>
            <w:r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走访、调研乡镇数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≤18个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指标1：提升老干部幸福感和满意度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2：</w:t>
            </w:r>
            <w:r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提升代表履职积极性和主动性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指标1：项目支出及时性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及时高效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指标1：预算控制率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指标1：完成人大职能，促进怀远经济社会发展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指标1：提升人大监督职能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指标1：保障安定团结，完成新老交替，提升老干部幸福感和满意度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2：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提升代表履职能力和水平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2：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老干部满意度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eastAsia="zh-CN"/>
              </w:rPr>
              <w:t>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[001]怀远县人民代表大会常务委员会办公室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怀远县人民代表大会常务委员会办公室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本级申报项目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完成人大职能，保障会议顺利召开，促进怀远经济社会发展</w:t>
            </w:r>
          </w:p>
          <w:p>
            <w:pPr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指标1：举办会议次数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≥10次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指标1：举办会议成功率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指标1：项目支出及时性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及时高效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指标1：支出标准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指标1：完成人大职能，促进怀远经济社会发展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指标1：切实保障人大日常监督职能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0"/>
                <w:highlight w:val="none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指标1：推动相关工作落实，完成人大工作职能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不断提升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cs="TimesNewRoman"/>
                <w:sz w:val="20"/>
                <w:highlight w:val="none"/>
              </w:rPr>
              <w:t>≥95%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sz w:val="32"/>
          <w:highlight w:val="none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Tk5ZTE4MzFiYjU3OWI4NDA2MTgwZjkzYTRhMzUifQ=="/>
  </w:docVars>
  <w:rsids>
    <w:rsidRoot w:val="13954381"/>
    <w:rsid w:val="1395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2024-03-04T08:29:00Z</dcterms:created>
  <dc:creator>Administrator</dc:creator>
  <cp:lastModifiedBy>Administrator</cp:lastModifiedBy>
  <dcterms:modified xsi:type="dcterms:W3CDTF">2024-03-04T08:30:50Z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C573CEEF9DCD4603BA0ED2C9898B449E_11</vt:lpwstr>
  </property>
</Properties>
</file>