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eastAsia="zh-CN"/>
        </w:rPr>
      </w:pPr>
      <w:r>
        <w:rPr>
          <w:rFonts w:hint="eastAsia" w:ascii="Times New Roman" w:hAnsi="Times New Roman" w:eastAsia="华文中宋" w:cs="Times New Roman"/>
          <w:b/>
          <w:sz w:val="36"/>
          <w:szCs w:val="36"/>
          <w:highlight w:val="none"/>
          <w:lang w:eastAsia="zh-CN"/>
        </w:rPr>
        <w:t>怀远县公务用车管理办公室</w:t>
      </w: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val="en-US" w:eastAsia="zh-CN"/>
        </w:rPr>
        <w:t>2024年度</w:t>
      </w: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</w:rPr>
        <w:t>项目</w:t>
      </w: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eastAsia="zh-CN"/>
        </w:rPr>
        <w:t>支出绩效目标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outlineLvl w:val="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</w:p>
    <w:tbl>
      <w:tblPr>
        <w:tblStyle w:val="5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795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项目支出绩效目标公开清单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预算金额（单位：万元）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车辆购置费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60.0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公车运行平台维护费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23.1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公务用车运行维护费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89.1</w:t>
            </w:r>
          </w:p>
        </w:tc>
      </w:tr>
    </w:tbl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highlight w:val="none"/>
          <w:lang w:eastAsia="zh-CN"/>
        </w:rPr>
        <w:t>注：本</w:t>
      </w:r>
      <w:r>
        <w:rPr>
          <w:rFonts w:hint="default" w:ascii="Times New Roman" w:hAnsi="Times New Roman" w:cs="Times New Roman"/>
          <w:b w:val="0"/>
          <w:bCs w:val="0"/>
          <w:color w:val="FF0000"/>
          <w:sz w:val="32"/>
          <w:szCs w:val="32"/>
          <w:highlight w:val="none"/>
          <w:lang w:eastAsia="zh-CN"/>
        </w:rPr>
        <w:t>单位</w:t>
      </w:r>
      <w:r>
        <w:rPr>
          <w:rFonts w:hint="eastAsia" w:ascii="Times New Roman" w:hAnsi="Times New Roman" w:cs="Times New Roman"/>
          <w:b w:val="0"/>
          <w:bCs w:val="0"/>
          <w:color w:val="FF000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highlight w:val="none"/>
          <w:lang w:val="en-US" w:eastAsia="zh-CN"/>
        </w:rPr>
        <w:t>个涉密项目除外。</w:t>
      </w: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</w:p>
    <w:p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</w:p>
    <w:tbl>
      <w:tblPr>
        <w:tblStyle w:val="4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442"/>
        <w:gridCol w:w="563"/>
        <w:gridCol w:w="664"/>
        <w:gridCol w:w="2675"/>
        <w:gridCol w:w="1854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项目责任人：</w:t>
            </w:r>
          </w:p>
        </w:tc>
        <w:tc>
          <w:tcPr>
            <w:tcW w:w="33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1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单位（盖章）：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车辆购置费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33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[003]怀远县人民政府办公室</w:t>
            </w:r>
          </w:p>
        </w:tc>
        <w:tc>
          <w:tcPr>
            <w:tcW w:w="1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怀远县公务用车管理办公室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本级申报项目</w:t>
            </w:r>
          </w:p>
        </w:tc>
        <w:tc>
          <w:tcPr>
            <w:tcW w:w="1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7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7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33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447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33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</w:t>
            </w:r>
          </w:p>
        </w:tc>
        <w:tc>
          <w:tcPr>
            <w:tcW w:w="857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为确保公务用车正常运行，本单位将按照实际预算需求，合理安排购买新车，以便更好的为全县人民服务。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4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4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2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44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购买新车数量</w:t>
            </w:r>
          </w:p>
        </w:tc>
        <w:tc>
          <w:tcPr>
            <w:tcW w:w="42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≤4台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4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12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购买流程合法合规性</w:t>
            </w:r>
          </w:p>
        </w:tc>
        <w:tc>
          <w:tcPr>
            <w:tcW w:w="42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合法合规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4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12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年度内车辆购置任务完成及时性</w:t>
            </w:r>
          </w:p>
        </w:tc>
        <w:tc>
          <w:tcPr>
            <w:tcW w:w="42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4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12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每台车辆成本控制率</w:t>
            </w:r>
          </w:p>
        </w:tc>
        <w:tc>
          <w:tcPr>
            <w:tcW w:w="42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≤195000元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44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不适用</w:t>
            </w:r>
          </w:p>
        </w:tc>
        <w:tc>
          <w:tcPr>
            <w:tcW w:w="42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4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12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提高公务用车效能</w:t>
            </w:r>
          </w:p>
        </w:tc>
        <w:tc>
          <w:tcPr>
            <w:tcW w:w="42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4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12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指标不适用</w:t>
            </w:r>
          </w:p>
        </w:tc>
        <w:tc>
          <w:tcPr>
            <w:tcW w:w="42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4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12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对促进公车平台健康发展</w:t>
            </w:r>
          </w:p>
        </w:tc>
        <w:tc>
          <w:tcPr>
            <w:tcW w:w="42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4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党政机关对公务用车满意度</w:t>
            </w:r>
          </w:p>
        </w:tc>
        <w:tc>
          <w:tcPr>
            <w:tcW w:w="42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highlight w:val="none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highlight w:val="none"/>
        </w:rPr>
      </w:pPr>
    </w:p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30"/>
        <w:gridCol w:w="446"/>
        <w:gridCol w:w="446"/>
        <w:gridCol w:w="2293"/>
        <w:gridCol w:w="1661"/>
        <w:gridCol w:w="1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项目责任人：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单位（盖章）：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公车运行平台维护费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[003]怀远县人民政府办公室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怀远县公务用车管理办公室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本级申报项目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23.07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23.07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为了保障公务用车正常运行，结合本单位实际需要，切实履行公务用车管理相关规定精神，本着开源节流的原则，尽量减少各项不必要的开支，为真正达到绩效目标任务而努力，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保证公务用车数量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≥32台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车辆定位率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任务完成时效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成本控制率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不适用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不适用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提高公务用车效能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效果显著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指标不适用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不适用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促进公车平台有序发展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党政机关对公车使用满意度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highlight w:val="none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highlight w:val="none"/>
        </w:rPr>
      </w:pPr>
    </w:p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090"/>
        <w:gridCol w:w="534"/>
        <w:gridCol w:w="534"/>
        <w:gridCol w:w="2240"/>
        <w:gridCol w:w="1568"/>
        <w:gridCol w:w="1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项目责任人：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单位（盖章）：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[003]怀远县人民政府办公室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怀远县公务用车管理办公室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本级申报项目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89.10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89.10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依据公务用车管理相关规定，按照绩效目标任务，严格管控目标计划的各项开支，确保公务用车安全有效运营，完成既定目标任务。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公务用车数量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≥32台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项目支出是否合规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任务完成及时率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1017600元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节省车辆使用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效果显著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提高公务用车效能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不适用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不适用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促进公车平台健康发展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效果显著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党政机关对公务用车满意度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highlight w:val="none"/>
        </w:rPr>
      </w:pPr>
    </w:p>
    <w:p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">
    <w:altName w:val="Times New Roman"/>
    <w:panose1 w:val="02020603050405020304"/>
    <w:charset w:val="00"/>
    <w:family w:val="auto"/>
    <w:pitch w:val="default"/>
    <w:sig w:usb0="00000000" w:usb1="00000000" w:usb2="00000029" w:usb3="00000000" w:csb0="6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ZDFhYTVlMjYxNmI0MWVjMTE4ZDkwYzRiMzE3MTEifQ=="/>
    <w:docVar w:name="KSO_WPS_MARK_KEY" w:val="a827a4c9-2b43-4027-8b55-53a96d2a8a00"/>
  </w:docVars>
  <w:rsids>
    <w:rsidRoot w:val="6EDA72A3"/>
    <w:rsid w:val="10615A49"/>
    <w:rsid w:val="6EDA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rPr>
      <w:rFonts w:eastAsia="宋体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4300</Words>
  <Characters>4639</Characters>
  <Lines>0</Lines>
  <Paragraphs>0</Paragraphs>
  <TotalTime>1</TotalTime>
  <ScaleCrop>false</ScaleCrop>
  <LinksUpToDate>false</LinksUpToDate>
  <CharactersWithSpaces>5322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2024-03-05T07:03:00Z</dcterms:created>
  <dc:creator>温华</dc:creator>
  <cp:lastModifiedBy>温华</cp:lastModifiedBy>
  <dcterms:modified xsi:type="dcterms:W3CDTF">2024-03-05T07:10:16Z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EB09ED94191F4FD5BEE43002FBFC732D_13</vt:lpwstr>
  </property>
</Properties>
</file>